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A55E" w14:textId="77777777" w:rsidR="004B2A74" w:rsidRPr="004B2A74" w:rsidRDefault="004B2A74">
      <w:pPr>
        <w:jc w:val="center"/>
        <w:rPr>
          <w:rFonts w:ascii="Arial" w:hAnsi="Arial" w:cs="Arial"/>
          <w:b/>
          <w:sz w:val="21"/>
          <w:szCs w:val="21"/>
          <w:lang w:val="en-GB"/>
        </w:rPr>
      </w:pPr>
    </w:p>
    <w:p w14:paraId="1BD2491B" w14:textId="77777777" w:rsidR="004B2A74" w:rsidRPr="004B2A74" w:rsidRDefault="004B2A74">
      <w:pPr>
        <w:jc w:val="center"/>
        <w:rPr>
          <w:rFonts w:ascii="Arial" w:hAnsi="Arial" w:cs="Arial"/>
          <w:b/>
          <w:sz w:val="21"/>
          <w:szCs w:val="21"/>
          <w:lang w:val="en-GB"/>
        </w:rPr>
      </w:pPr>
    </w:p>
    <w:p w14:paraId="1CC03861" w14:textId="77777777" w:rsidR="00CD4BB6" w:rsidRDefault="00CD4BB6" w:rsidP="00CE2715">
      <w:pPr>
        <w:spacing w:after="0"/>
        <w:jc w:val="center"/>
        <w:rPr>
          <w:rFonts w:ascii="Arial" w:hAnsi="Arial" w:cs="Arial"/>
          <w:b/>
          <w:sz w:val="56"/>
          <w:szCs w:val="56"/>
          <w:lang w:val="en-GB"/>
        </w:rPr>
      </w:pPr>
    </w:p>
    <w:p w14:paraId="798D431C" w14:textId="38833620" w:rsidR="00FA65F5" w:rsidRDefault="004B2A74" w:rsidP="00CE2715">
      <w:pPr>
        <w:spacing w:after="0"/>
        <w:jc w:val="center"/>
        <w:rPr>
          <w:rFonts w:ascii="Arial" w:hAnsi="Arial" w:cs="Arial"/>
          <w:b/>
          <w:sz w:val="56"/>
          <w:szCs w:val="56"/>
          <w:lang w:val="en-GB"/>
        </w:rPr>
      </w:pPr>
      <w:r w:rsidRPr="00FA65F5">
        <w:rPr>
          <w:rFonts w:ascii="Arial" w:hAnsi="Arial" w:cs="Arial"/>
          <w:b/>
          <w:sz w:val="56"/>
          <w:szCs w:val="56"/>
          <w:lang w:val="en-GB"/>
        </w:rPr>
        <w:t>Care Together Programme</w:t>
      </w:r>
    </w:p>
    <w:p w14:paraId="31D78A2B" w14:textId="7EE02F8D" w:rsidR="00FA65F5" w:rsidRPr="00FA65F5" w:rsidRDefault="000C2902" w:rsidP="00CE2715">
      <w:pPr>
        <w:spacing w:after="0"/>
        <w:jc w:val="center"/>
        <w:rPr>
          <w:rFonts w:ascii="Arial" w:hAnsi="Arial" w:cs="Arial"/>
          <w:b/>
          <w:i/>
          <w:iCs/>
          <w:sz w:val="56"/>
          <w:szCs w:val="56"/>
          <w:lang w:val="en-GB"/>
        </w:rPr>
      </w:pPr>
      <w:r w:rsidRPr="00FA65F5">
        <w:rPr>
          <w:rFonts w:ascii="Arial" w:hAnsi="Arial" w:cs="Arial"/>
          <w:b/>
          <w:i/>
          <w:iCs/>
          <w:sz w:val="56"/>
          <w:szCs w:val="56"/>
          <w:lang w:val="en-GB"/>
        </w:rPr>
        <w:t>Seed Funding Element</w:t>
      </w:r>
    </w:p>
    <w:p w14:paraId="158D2F09" w14:textId="0CDDBE3B" w:rsidR="0032172A" w:rsidRPr="00FA65F5" w:rsidRDefault="004B2A74">
      <w:pPr>
        <w:jc w:val="center"/>
        <w:rPr>
          <w:rFonts w:ascii="Arial" w:hAnsi="Arial" w:cs="Arial"/>
          <w:sz w:val="36"/>
          <w:szCs w:val="36"/>
          <w:lang w:val="en-GB"/>
        </w:rPr>
      </w:pPr>
      <w:r w:rsidRPr="00FA65F5">
        <w:rPr>
          <w:rFonts w:ascii="Arial" w:hAnsi="Arial" w:cs="Arial"/>
          <w:b/>
          <w:sz w:val="56"/>
          <w:szCs w:val="56"/>
          <w:lang w:val="en-GB"/>
        </w:rPr>
        <w:br/>
      </w:r>
      <w:r w:rsidRPr="00FA65F5">
        <w:rPr>
          <w:rFonts w:ascii="Arial" w:hAnsi="Arial" w:cs="Arial"/>
          <w:sz w:val="36"/>
          <w:szCs w:val="36"/>
          <w:lang w:val="en-GB"/>
        </w:rPr>
        <w:t>Independent Evaluation Report for Cambridgeshire County Council</w:t>
      </w:r>
    </w:p>
    <w:p w14:paraId="64522D3B" w14:textId="4EE6C514" w:rsidR="0032172A" w:rsidRPr="004B2A74" w:rsidRDefault="004B2A74">
      <w:pPr>
        <w:jc w:val="center"/>
        <w:rPr>
          <w:rFonts w:ascii="Arial" w:hAnsi="Arial" w:cs="Arial"/>
          <w:sz w:val="21"/>
          <w:szCs w:val="21"/>
          <w:lang w:val="en-GB"/>
        </w:rPr>
      </w:pPr>
      <w:r>
        <w:br/>
      </w:r>
      <w:r w:rsidR="6BCE032F" w:rsidRPr="6BCE032F">
        <w:rPr>
          <w:rFonts w:ascii="Arial" w:hAnsi="Arial" w:cs="Arial"/>
          <w:sz w:val="21"/>
          <w:szCs w:val="21"/>
          <w:lang w:val="en-GB"/>
        </w:rPr>
        <w:t>Locality</w:t>
      </w:r>
      <w:r>
        <w:br/>
      </w:r>
      <w:r w:rsidR="6BCE032F" w:rsidRPr="6BCE032F">
        <w:rPr>
          <w:rFonts w:ascii="Arial" w:hAnsi="Arial" w:cs="Arial"/>
          <w:sz w:val="21"/>
          <w:szCs w:val="21"/>
          <w:lang w:val="en-GB"/>
        </w:rPr>
        <w:t xml:space="preserve">3rd </w:t>
      </w:r>
      <w:r w:rsidR="00A96728">
        <w:rPr>
          <w:rFonts w:ascii="Arial" w:hAnsi="Arial" w:cs="Arial"/>
          <w:sz w:val="21"/>
          <w:szCs w:val="21"/>
          <w:lang w:val="en-GB"/>
        </w:rPr>
        <w:t xml:space="preserve">March </w:t>
      </w:r>
      <w:r w:rsidR="6BCE032F" w:rsidRPr="6BCE032F">
        <w:rPr>
          <w:rFonts w:ascii="Arial" w:hAnsi="Arial" w:cs="Arial"/>
          <w:sz w:val="21"/>
          <w:szCs w:val="21"/>
          <w:lang w:val="en-GB"/>
        </w:rPr>
        <w:t>2026</w:t>
      </w:r>
    </w:p>
    <w:p w14:paraId="3F9E1CC8"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br w:type="page"/>
      </w:r>
    </w:p>
    <w:p w14:paraId="2FC2F129" w14:textId="77777777" w:rsidR="0032172A" w:rsidRPr="004B2A74" w:rsidRDefault="004B2A74">
      <w:pPr>
        <w:pStyle w:val="Heading1"/>
        <w:rPr>
          <w:rFonts w:ascii="Arial" w:hAnsi="Arial" w:cs="Arial"/>
          <w:sz w:val="21"/>
          <w:szCs w:val="21"/>
          <w:lang w:val="en-GB"/>
        </w:rPr>
      </w:pPr>
      <w:r w:rsidRPr="004B2A74">
        <w:rPr>
          <w:rFonts w:ascii="Arial" w:hAnsi="Arial" w:cs="Arial"/>
          <w:sz w:val="21"/>
          <w:szCs w:val="21"/>
          <w:lang w:val="en-GB"/>
        </w:rPr>
        <w:lastRenderedPageBreak/>
        <w:t>Contents</w:t>
      </w:r>
    </w:p>
    <w:p w14:paraId="20319D2B" w14:textId="77777777" w:rsidR="004B2A74" w:rsidRPr="004B2A74" w:rsidRDefault="004B2A74">
      <w:pPr>
        <w:pStyle w:val="ListParagraph"/>
        <w:rPr>
          <w:rFonts w:ascii="Arial" w:hAnsi="Arial" w:cs="Arial"/>
          <w:sz w:val="21"/>
          <w:szCs w:val="21"/>
          <w:lang w:val="en-GB"/>
        </w:rPr>
      </w:pPr>
    </w:p>
    <w:p w14:paraId="64AA76D4" w14:textId="7145DCB9" w:rsidR="0032172A" w:rsidRPr="00025E9D" w:rsidRDefault="004B2A74" w:rsidP="004B2A74">
      <w:pPr>
        <w:pStyle w:val="ListParagraph"/>
        <w:spacing w:line="480" w:lineRule="auto"/>
        <w:rPr>
          <w:rFonts w:ascii="Arial" w:hAnsi="Arial" w:cs="Arial"/>
          <w:sz w:val="21"/>
          <w:szCs w:val="21"/>
          <w:lang w:val="en-GB"/>
        </w:rPr>
      </w:pPr>
      <w:r w:rsidRPr="00025E9D">
        <w:rPr>
          <w:rFonts w:ascii="Arial" w:hAnsi="Arial" w:cs="Arial"/>
          <w:sz w:val="21"/>
          <w:szCs w:val="21"/>
          <w:lang w:val="en-GB"/>
        </w:rPr>
        <w:t>Executive Summary</w:t>
      </w:r>
    </w:p>
    <w:p w14:paraId="1D3807C4" w14:textId="328E4DA7" w:rsidR="00C203E3" w:rsidRPr="00025E9D" w:rsidRDefault="004B2A74" w:rsidP="004B2A74">
      <w:pPr>
        <w:pStyle w:val="ListParagraph"/>
        <w:spacing w:line="480" w:lineRule="auto"/>
        <w:rPr>
          <w:rFonts w:ascii="Arial" w:hAnsi="Arial" w:cs="Arial"/>
          <w:sz w:val="21"/>
          <w:szCs w:val="21"/>
          <w:lang w:val="en-GB"/>
        </w:rPr>
      </w:pPr>
      <w:r w:rsidRPr="00025E9D">
        <w:rPr>
          <w:rFonts w:ascii="Arial" w:hAnsi="Arial" w:cs="Arial"/>
          <w:sz w:val="21"/>
          <w:szCs w:val="21"/>
          <w:lang w:val="en-GB"/>
        </w:rPr>
        <w:t>1. Introduction and context</w:t>
      </w:r>
    </w:p>
    <w:p w14:paraId="78EFF020" w14:textId="0FC137EB" w:rsidR="00076111" w:rsidRPr="00C203E3" w:rsidRDefault="004B2A74" w:rsidP="00C203E3">
      <w:pPr>
        <w:pStyle w:val="ListParagraph"/>
        <w:spacing w:line="480" w:lineRule="auto"/>
        <w:rPr>
          <w:lang w:val="en-GB"/>
        </w:rPr>
      </w:pPr>
      <w:r w:rsidRPr="00025E9D">
        <w:rPr>
          <w:rFonts w:ascii="Arial" w:hAnsi="Arial" w:cs="Arial"/>
          <w:sz w:val="21"/>
          <w:szCs w:val="21"/>
          <w:lang w:val="en-GB"/>
        </w:rPr>
        <w:t>2. How the seed funding strand has been implemented</w:t>
      </w:r>
    </w:p>
    <w:p w14:paraId="631E1077" w14:textId="2BE276FA" w:rsidR="00B51862" w:rsidRPr="00B83D34" w:rsidRDefault="00B51862" w:rsidP="00041909">
      <w:pPr>
        <w:pStyle w:val="ListParagraph"/>
        <w:spacing w:line="480" w:lineRule="auto"/>
        <w:rPr>
          <w:rFonts w:ascii="Arial" w:hAnsi="Arial" w:cs="Arial"/>
          <w:sz w:val="21"/>
          <w:szCs w:val="21"/>
          <w:lang w:val="en-GB"/>
        </w:rPr>
      </w:pPr>
      <w:r w:rsidRPr="00025E9D">
        <w:rPr>
          <w:rFonts w:ascii="Arial" w:hAnsi="Arial" w:cs="Arial"/>
          <w:sz w:val="21"/>
          <w:szCs w:val="21"/>
          <w:lang w:val="en-GB"/>
        </w:rPr>
        <w:t>3. Programme design and place-based approach</w:t>
      </w:r>
    </w:p>
    <w:p w14:paraId="6E756DD9" w14:textId="4AAB39E0" w:rsidR="0032172A" w:rsidRPr="00025E9D" w:rsidRDefault="00076111" w:rsidP="004B2A74">
      <w:pPr>
        <w:pStyle w:val="ListParagraph"/>
        <w:spacing w:line="480" w:lineRule="auto"/>
        <w:rPr>
          <w:rFonts w:ascii="Arial" w:hAnsi="Arial" w:cs="Arial"/>
          <w:sz w:val="21"/>
          <w:szCs w:val="21"/>
          <w:lang w:val="en-GB"/>
        </w:rPr>
      </w:pPr>
      <w:r w:rsidRPr="0F4345E3">
        <w:rPr>
          <w:rFonts w:ascii="Arial" w:hAnsi="Arial" w:cs="Arial"/>
          <w:sz w:val="21"/>
          <w:szCs w:val="21"/>
          <w:lang w:val="en-GB"/>
        </w:rPr>
        <w:t>4.</w:t>
      </w:r>
      <w:r w:rsidR="004B2A74" w:rsidRPr="0F4345E3">
        <w:rPr>
          <w:rFonts w:ascii="Arial" w:hAnsi="Arial" w:cs="Arial"/>
          <w:sz w:val="21"/>
          <w:szCs w:val="21"/>
          <w:lang w:val="en-GB"/>
        </w:rPr>
        <w:t xml:space="preserve"> What difference the seed funding has made</w:t>
      </w:r>
    </w:p>
    <w:p w14:paraId="24605D85" w14:textId="0C9A8801" w:rsidR="00025E9D" w:rsidRPr="00B83D34" w:rsidRDefault="00076111" w:rsidP="000D3732">
      <w:pPr>
        <w:pStyle w:val="ListParagraph"/>
        <w:spacing w:line="480" w:lineRule="auto"/>
        <w:rPr>
          <w:rFonts w:ascii="Arial" w:hAnsi="Arial" w:cs="Arial"/>
          <w:sz w:val="21"/>
          <w:szCs w:val="21"/>
          <w:lang w:val="en-GB"/>
        </w:rPr>
      </w:pPr>
      <w:r w:rsidRPr="0F4345E3">
        <w:rPr>
          <w:rFonts w:ascii="Arial" w:hAnsi="Arial" w:cs="Arial"/>
          <w:sz w:val="21"/>
          <w:szCs w:val="21"/>
          <w:lang w:val="en-GB"/>
        </w:rPr>
        <w:t>5.</w:t>
      </w:r>
      <w:r w:rsidR="09456B4C" w:rsidRPr="0F4345E3">
        <w:rPr>
          <w:rFonts w:ascii="Arial" w:hAnsi="Arial" w:cs="Arial"/>
          <w:sz w:val="21"/>
          <w:szCs w:val="21"/>
          <w:lang w:val="en-GB"/>
        </w:rPr>
        <w:t xml:space="preserve"> </w:t>
      </w:r>
      <w:r w:rsidR="6BCE032F" w:rsidRPr="0F4345E3">
        <w:rPr>
          <w:rFonts w:ascii="Arial" w:hAnsi="Arial" w:cs="Arial"/>
          <w:sz w:val="21"/>
          <w:szCs w:val="21"/>
          <w:lang w:val="en-GB"/>
        </w:rPr>
        <w:t>Contribution to prevention and early help</w:t>
      </w:r>
      <w:r w:rsidR="00025E9D" w:rsidRPr="0F4345E3">
        <w:rPr>
          <w:rFonts w:ascii="Arial" w:hAnsi="Arial" w:cs="Arial"/>
          <w:sz w:val="21"/>
          <w:szCs w:val="21"/>
          <w:lang w:val="en-GB"/>
        </w:rPr>
        <w:t xml:space="preserve"> </w:t>
      </w:r>
    </w:p>
    <w:p w14:paraId="78BF4B15" w14:textId="3AC588E2" w:rsidR="0032172A" w:rsidRPr="00025E9D" w:rsidRDefault="00076111" w:rsidP="004B2A74">
      <w:pPr>
        <w:pStyle w:val="ListParagraph"/>
        <w:spacing w:line="480" w:lineRule="auto"/>
        <w:rPr>
          <w:rFonts w:ascii="Arial" w:hAnsi="Arial" w:cs="Arial"/>
          <w:sz w:val="21"/>
          <w:szCs w:val="21"/>
          <w:lang w:val="en-GB"/>
        </w:rPr>
      </w:pPr>
      <w:r w:rsidRPr="00025E9D">
        <w:rPr>
          <w:rFonts w:ascii="Arial" w:hAnsi="Arial" w:cs="Arial"/>
          <w:sz w:val="21"/>
          <w:szCs w:val="21"/>
          <w:lang w:val="en-GB"/>
        </w:rPr>
        <w:t>6.</w:t>
      </w:r>
      <w:r w:rsidR="00025E9D" w:rsidRPr="00025E9D">
        <w:rPr>
          <w:rFonts w:ascii="Arial" w:hAnsi="Arial" w:cs="Arial"/>
          <w:sz w:val="21"/>
          <w:szCs w:val="21"/>
          <w:lang w:val="en-GB"/>
        </w:rPr>
        <w:t xml:space="preserve"> </w:t>
      </w:r>
      <w:r w:rsidR="004B2A74" w:rsidRPr="00025E9D">
        <w:rPr>
          <w:rFonts w:ascii="Arial" w:hAnsi="Arial" w:cs="Arial"/>
          <w:sz w:val="21"/>
          <w:szCs w:val="21"/>
          <w:lang w:val="en-GB"/>
        </w:rPr>
        <w:t>Sustainability and strategic development</w:t>
      </w:r>
    </w:p>
    <w:p w14:paraId="5DB062A8" w14:textId="5C09FB46" w:rsidR="0032172A" w:rsidRPr="00025E9D" w:rsidRDefault="00076111" w:rsidP="004B2A74">
      <w:pPr>
        <w:pStyle w:val="ListParagraph"/>
        <w:spacing w:line="480" w:lineRule="auto"/>
        <w:rPr>
          <w:rFonts w:ascii="Arial" w:hAnsi="Arial" w:cs="Arial"/>
          <w:sz w:val="21"/>
          <w:szCs w:val="21"/>
          <w:lang w:val="en-GB"/>
        </w:rPr>
      </w:pPr>
      <w:r w:rsidRPr="00025E9D">
        <w:rPr>
          <w:rFonts w:ascii="Arial" w:hAnsi="Arial" w:cs="Arial"/>
          <w:sz w:val="21"/>
          <w:szCs w:val="21"/>
          <w:lang w:val="en-GB"/>
        </w:rPr>
        <w:t>7.</w:t>
      </w:r>
      <w:r w:rsidR="004B2A74" w:rsidRPr="00025E9D">
        <w:rPr>
          <w:rFonts w:ascii="Arial" w:hAnsi="Arial" w:cs="Arial"/>
          <w:sz w:val="21"/>
          <w:szCs w:val="21"/>
          <w:lang w:val="en-GB"/>
        </w:rPr>
        <w:t xml:space="preserve"> Learning for 2026–27 commissioning</w:t>
      </w:r>
    </w:p>
    <w:p w14:paraId="52C5B4F3" w14:textId="538C351D" w:rsidR="0032172A" w:rsidRPr="00025E9D" w:rsidRDefault="00076111" w:rsidP="004B2A74">
      <w:pPr>
        <w:pStyle w:val="ListParagraph"/>
        <w:spacing w:line="480" w:lineRule="auto"/>
        <w:rPr>
          <w:rFonts w:ascii="Arial" w:hAnsi="Arial" w:cs="Arial"/>
          <w:sz w:val="21"/>
          <w:szCs w:val="21"/>
          <w:lang w:val="en-GB"/>
        </w:rPr>
      </w:pPr>
      <w:r w:rsidRPr="00025E9D">
        <w:rPr>
          <w:rFonts w:ascii="Arial" w:hAnsi="Arial" w:cs="Arial"/>
          <w:sz w:val="21"/>
          <w:szCs w:val="21"/>
          <w:lang w:val="en-GB"/>
        </w:rPr>
        <w:t>8.</w:t>
      </w:r>
      <w:r w:rsidR="004B2A74" w:rsidRPr="00025E9D">
        <w:rPr>
          <w:rFonts w:ascii="Arial" w:hAnsi="Arial" w:cs="Arial"/>
          <w:sz w:val="21"/>
          <w:szCs w:val="21"/>
          <w:lang w:val="en-GB"/>
        </w:rPr>
        <w:t xml:space="preserve"> Conclusion</w:t>
      </w:r>
    </w:p>
    <w:p w14:paraId="05BBBA07" w14:textId="77777777" w:rsidR="0032172A" w:rsidRPr="00025E9D" w:rsidRDefault="004B2A74" w:rsidP="004B2A74">
      <w:pPr>
        <w:pStyle w:val="ListParagraph"/>
        <w:spacing w:line="480" w:lineRule="auto"/>
        <w:rPr>
          <w:rFonts w:ascii="Arial" w:hAnsi="Arial" w:cs="Arial"/>
          <w:sz w:val="21"/>
          <w:szCs w:val="21"/>
          <w:lang w:val="en-GB"/>
        </w:rPr>
      </w:pPr>
      <w:r w:rsidRPr="00025E9D">
        <w:rPr>
          <w:rFonts w:ascii="Arial" w:hAnsi="Arial" w:cs="Arial"/>
          <w:sz w:val="21"/>
          <w:szCs w:val="21"/>
          <w:lang w:val="en-GB"/>
        </w:rPr>
        <w:t>Appendices (separate document)</w:t>
      </w:r>
    </w:p>
    <w:p w14:paraId="0DDC59AA"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br w:type="page"/>
      </w:r>
    </w:p>
    <w:p w14:paraId="59688E4C" w14:textId="77777777" w:rsidR="0032172A" w:rsidRPr="004B2A74" w:rsidRDefault="004B2A74" w:rsidP="004B2A74">
      <w:pPr>
        <w:pStyle w:val="Heading1"/>
      </w:pPr>
      <w:r w:rsidRPr="004B2A74">
        <w:lastRenderedPageBreak/>
        <w:t>Executive Summary</w:t>
      </w:r>
    </w:p>
    <w:p w14:paraId="1B27D4A6" w14:textId="44DE759F"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Locality was commissioned by Cambridgeshire County Council (CCC) to independently evaluate the community-led seed funding </w:t>
      </w:r>
      <w:r w:rsidR="00025E9D">
        <w:rPr>
          <w:rFonts w:ascii="Arial" w:hAnsi="Arial" w:cs="Arial"/>
          <w:sz w:val="21"/>
          <w:szCs w:val="21"/>
          <w:lang w:val="en-GB"/>
        </w:rPr>
        <w:t>element</w:t>
      </w:r>
      <w:r w:rsidR="00025E9D" w:rsidRPr="004B2A74">
        <w:rPr>
          <w:rFonts w:ascii="Arial" w:hAnsi="Arial" w:cs="Arial"/>
          <w:sz w:val="21"/>
          <w:szCs w:val="21"/>
          <w:lang w:val="en-GB"/>
        </w:rPr>
        <w:t xml:space="preserve"> </w:t>
      </w:r>
      <w:r w:rsidRPr="004B2A74">
        <w:rPr>
          <w:rFonts w:ascii="Arial" w:hAnsi="Arial" w:cs="Arial"/>
          <w:sz w:val="21"/>
          <w:szCs w:val="21"/>
          <w:lang w:val="en-GB"/>
        </w:rPr>
        <w:t>of the Care Together programme across five districts: East Cambridgeshire, Fenland, Huntingdonshire, South Cambridgeshire and Cambridge City (2023–24 to 2025–26).</w:t>
      </w:r>
    </w:p>
    <w:p w14:paraId="6215B261"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This report focuses on the seed-funded projects. It does not evaluate the wider Care Together work on commissioning reform, place-based development, or care micro-enterprises, though we recognise these strands are closely connected in practice.</w:t>
      </w:r>
    </w:p>
    <w:p w14:paraId="7569176A"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We used a proportionate mixed-methods approach designed to minimise burden on community organisations. The full evidence base is available in the separate appendices (Appendix A–H), including the detailed district summaries (Appendix B), the desk review (Appendix C), the full survey findings (Appendix D), and the five case studies (Appendix G).</w:t>
      </w:r>
    </w:p>
    <w:p w14:paraId="5BB43817"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What we did</w:t>
      </w:r>
    </w:p>
    <w:p w14:paraId="2BD8AA7D"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Across January and February 2026, the Locality team drew together five complementary sources of evidence:</w:t>
      </w:r>
    </w:p>
    <w:p w14:paraId="5DB7C869" w14:textId="0DB04D65" w:rsidR="004B2A74" w:rsidRPr="004B2A74" w:rsidRDefault="004B2A74" w:rsidP="004B2A74">
      <w:pPr>
        <w:pStyle w:val="ListParagraph"/>
        <w:numPr>
          <w:ilvl w:val="0"/>
          <w:numId w:val="12"/>
        </w:numPr>
        <w:rPr>
          <w:rFonts w:ascii="Arial" w:hAnsi="Arial" w:cs="Arial"/>
          <w:sz w:val="21"/>
          <w:szCs w:val="21"/>
          <w:lang w:val="en-GB"/>
        </w:rPr>
      </w:pPr>
      <w:r w:rsidRPr="004B2A74">
        <w:rPr>
          <w:rFonts w:ascii="Arial" w:hAnsi="Arial" w:cs="Arial"/>
          <w:sz w:val="21"/>
          <w:szCs w:val="21"/>
          <w:lang w:val="en-GB"/>
        </w:rPr>
        <w:t>Desk review of programme documentation and monitoring across three</w:t>
      </w:r>
      <w:r w:rsidR="00CC11BB">
        <w:rPr>
          <w:rFonts w:ascii="Arial" w:hAnsi="Arial" w:cs="Arial"/>
          <w:sz w:val="21"/>
          <w:szCs w:val="21"/>
          <w:lang w:val="en-GB"/>
        </w:rPr>
        <w:t xml:space="preserve"> funding</w:t>
      </w:r>
      <w:r w:rsidRPr="004B2A74">
        <w:rPr>
          <w:rFonts w:ascii="Arial" w:hAnsi="Arial" w:cs="Arial"/>
          <w:sz w:val="21"/>
          <w:szCs w:val="21"/>
          <w:lang w:val="en-GB"/>
        </w:rPr>
        <w:t xml:space="preserve"> rounds (2023–24 to 2025–26).</w:t>
      </w:r>
    </w:p>
    <w:p w14:paraId="490C09DD" w14:textId="4A7088AD" w:rsidR="004B2A74" w:rsidRPr="004B2A74" w:rsidRDefault="6BCE032F" w:rsidP="004B2A74">
      <w:pPr>
        <w:pStyle w:val="ListParagraph"/>
        <w:numPr>
          <w:ilvl w:val="0"/>
          <w:numId w:val="12"/>
        </w:numPr>
        <w:rPr>
          <w:rFonts w:ascii="Arial" w:hAnsi="Arial" w:cs="Arial"/>
          <w:sz w:val="21"/>
          <w:szCs w:val="21"/>
          <w:lang w:val="en-GB"/>
        </w:rPr>
      </w:pPr>
      <w:r w:rsidRPr="6BCE032F">
        <w:rPr>
          <w:rFonts w:ascii="Arial" w:hAnsi="Arial" w:cs="Arial"/>
          <w:sz w:val="21"/>
          <w:szCs w:val="21"/>
          <w:lang w:val="en-GB"/>
        </w:rPr>
        <w:t>A short online survey completed by 25 funded organisations.</w:t>
      </w:r>
    </w:p>
    <w:p w14:paraId="11DEF246" w14:textId="5F368CEC" w:rsidR="004B2A74" w:rsidRPr="004B2A74" w:rsidRDefault="004B2A74" w:rsidP="004B2A74">
      <w:pPr>
        <w:pStyle w:val="ListParagraph"/>
        <w:numPr>
          <w:ilvl w:val="0"/>
          <w:numId w:val="12"/>
        </w:numPr>
        <w:rPr>
          <w:rFonts w:ascii="Arial" w:hAnsi="Arial" w:cs="Arial"/>
          <w:sz w:val="21"/>
          <w:szCs w:val="21"/>
          <w:lang w:val="en-GB"/>
        </w:rPr>
      </w:pPr>
      <w:r w:rsidRPr="0F4345E3">
        <w:rPr>
          <w:rFonts w:ascii="Arial" w:hAnsi="Arial" w:cs="Arial"/>
          <w:sz w:val="21"/>
          <w:szCs w:val="21"/>
          <w:lang w:val="en-GB"/>
        </w:rPr>
        <w:t xml:space="preserve">Five in-depth case studies (one per district), including interviews with project leads and (where feasible) </w:t>
      </w:r>
      <w:r w:rsidR="13EC1C90" w:rsidRPr="0F4345E3">
        <w:rPr>
          <w:rFonts w:ascii="Arial" w:hAnsi="Arial" w:cs="Arial"/>
          <w:sz w:val="21"/>
          <w:szCs w:val="21"/>
          <w:lang w:val="en-GB"/>
        </w:rPr>
        <w:t xml:space="preserve">project </w:t>
      </w:r>
      <w:r w:rsidRPr="0F4345E3">
        <w:rPr>
          <w:rFonts w:ascii="Arial" w:hAnsi="Arial" w:cs="Arial"/>
          <w:sz w:val="21"/>
          <w:szCs w:val="21"/>
          <w:lang w:val="en-GB"/>
        </w:rPr>
        <w:t>participants.</w:t>
      </w:r>
    </w:p>
    <w:p w14:paraId="4A76CFF2" w14:textId="77777777" w:rsidR="004B2A74" w:rsidRPr="004B2A74" w:rsidRDefault="004B2A74" w:rsidP="004B2A74">
      <w:pPr>
        <w:pStyle w:val="ListParagraph"/>
        <w:numPr>
          <w:ilvl w:val="0"/>
          <w:numId w:val="12"/>
        </w:numPr>
        <w:rPr>
          <w:rFonts w:ascii="Arial" w:hAnsi="Arial" w:cs="Arial"/>
          <w:sz w:val="21"/>
          <w:szCs w:val="21"/>
          <w:lang w:val="en-GB"/>
        </w:rPr>
      </w:pPr>
      <w:r w:rsidRPr="004B2A74">
        <w:rPr>
          <w:rFonts w:ascii="Arial" w:hAnsi="Arial" w:cs="Arial"/>
          <w:sz w:val="21"/>
          <w:szCs w:val="21"/>
          <w:lang w:val="en-GB"/>
        </w:rPr>
        <w:t>Discussions with place-based commissioners.</w:t>
      </w:r>
    </w:p>
    <w:p w14:paraId="321158F9" w14:textId="43B67A18" w:rsidR="0032172A" w:rsidRPr="004B2A74" w:rsidRDefault="004B2A74" w:rsidP="004B2A74">
      <w:pPr>
        <w:pStyle w:val="ListParagraph"/>
        <w:numPr>
          <w:ilvl w:val="0"/>
          <w:numId w:val="12"/>
        </w:numPr>
        <w:rPr>
          <w:rFonts w:ascii="Arial" w:hAnsi="Arial" w:cs="Arial"/>
          <w:sz w:val="21"/>
          <w:szCs w:val="21"/>
          <w:lang w:val="en-GB"/>
        </w:rPr>
      </w:pPr>
      <w:r w:rsidRPr="004B2A74">
        <w:rPr>
          <w:rFonts w:ascii="Arial" w:hAnsi="Arial" w:cs="Arial"/>
          <w:sz w:val="21"/>
          <w:szCs w:val="21"/>
          <w:lang w:val="en-GB"/>
        </w:rPr>
        <w:t>Discussions with system partners working at neighbourhood level.</w:t>
      </w:r>
    </w:p>
    <w:p w14:paraId="5E8F20F2"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Our analysis is contribution-based rather than attribution-focused. We looked at what changed, how it changed, for whom, and under what conditions (see Appendix A).</w:t>
      </w:r>
    </w:p>
    <w:p w14:paraId="33EFD19C"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What we found overall</w:t>
      </w:r>
    </w:p>
    <w:p w14:paraId="12492484"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Across all five districts, Locality found a consistent pattern: small amounts of flexible funding enabled local organisations to create low-barrier, welcoming spaces that older people </w:t>
      </w:r>
      <w:proofErr w:type="gramStart"/>
      <w:r w:rsidRPr="004B2A74">
        <w:rPr>
          <w:rFonts w:ascii="Arial" w:hAnsi="Arial" w:cs="Arial"/>
          <w:sz w:val="21"/>
          <w:szCs w:val="21"/>
          <w:lang w:val="en-GB"/>
        </w:rPr>
        <w:t>actually used</w:t>
      </w:r>
      <w:proofErr w:type="gramEnd"/>
      <w:r w:rsidRPr="004B2A74">
        <w:rPr>
          <w:rFonts w:ascii="Arial" w:hAnsi="Arial" w:cs="Arial"/>
          <w:sz w:val="21"/>
          <w:szCs w:val="21"/>
          <w:lang w:val="en-GB"/>
        </w:rPr>
        <w:t>. Activities varied widely, but the underlying mechanism was similar: regular contact, familiarity, and relationships.</w:t>
      </w:r>
    </w:p>
    <w:p w14:paraId="1B0AA370"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Survey responses were strikingly consistent. Of the 25 organisations responding, most reported reduced loneliness and improved mood among older participants, alongside gains in confidence and routine (see Appendix D). One organisation summed up the impact in simple terms:</w:t>
      </w:r>
    </w:p>
    <w:p w14:paraId="022CBE1B" w14:textId="77777777" w:rsidR="0032172A" w:rsidRPr="004B2A74" w:rsidRDefault="004B2A74">
      <w:pPr>
        <w:ind w:left="454" w:right="454"/>
        <w:rPr>
          <w:rFonts w:ascii="Arial" w:hAnsi="Arial" w:cs="Arial"/>
          <w:sz w:val="21"/>
          <w:szCs w:val="21"/>
          <w:lang w:val="en-GB"/>
        </w:rPr>
      </w:pPr>
      <w:r w:rsidRPr="004B2A74">
        <w:rPr>
          <w:rFonts w:ascii="Arial" w:hAnsi="Arial" w:cs="Arial"/>
          <w:i/>
          <w:sz w:val="21"/>
          <w:szCs w:val="21"/>
          <w:lang w:val="en-GB"/>
        </w:rPr>
        <w:t>“People tell us this is the highlight of their week — it gives them something to look forward to.”</w:t>
      </w:r>
    </w:p>
    <w:p w14:paraId="0985D10D"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 Locality team also found that delivery was experienced as supportive and straightforward. This mattered. Providers repeatedly described the programme as enabling rather than bureaucratic:</w:t>
      </w:r>
    </w:p>
    <w:p w14:paraId="6DB19EE3" w14:textId="77777777" w:rsidR="0032172A" w:rsidRPr="004B2A74" w:rsidRDefault="004B2A74">
      <w:pPr>
        <w:ind w:left="454" w:right="454"/>
        <w:rPr>
          <w:rFonts w:ascii="Arial" w:hAnsi="Arial" w:cs="Arial"/>
          <w:sz w:val="21"/>
          <w:szCs w:val="21"/>
          <w:lang w:val="en-GB"/>
        </w:rPr>
      </w:pPr>
      <w:r w:rsidRPr="004B2A74">
        <w:rPr>
          <w:rFonts w:ascii="Arial" w:hAnsi="Arial" w:cs="Arial"/>
          <w:i/>
          <w:sz w:val="21"/>
          <w:szCs w:val="21"/>
          <w:lang w:val="en-GB"/>
        </w:rPr>
        <w:t>“The team were approachable, responsive and genuinely supportive throughout the process.”</w:t>
      </w:r>
    </w:p>
    <w:p w14:paraId="52296004" w14:textId="048B6BF9"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Across the case studies, we saw people arriving tentatively, often after a period of withdrawal following </w:t>
      </w:r>
      <w:r w:rsidR="006A5218">
        <w:rPr>
          <w:rFonts w:ascii="Arial" w:hAnsi="Arial" w:cs="Arial"/>
          <w:sz w:val="21"/>
          <w:szCs w:val="21"/>
          <w:lang w:val="en-GB"/>
        </w:rPr>
        <w:t>events like</w:t>
      </w:r>
      <w:r w:rsidR="00D00B11">
        <w:rPr>
          <w:rFonts w:ascii="Arial" w:hAnsi="Arial" w:cs="Arial"/>
          <w:sz w:val="21"/>
          <w:szCs w:val="21"/>
          <w:lang w:val="en-GB"/>
        </w:rPr>
        <w:t xml:space="preserve"> </w:t>
      </w:r>
      <w:r w:rsidRPr="004B2A74">
        <w:rPr>
          <w:rFonts w:ascii="Arial" w:hAnsi="Arial" w:cs="Arial"/>
          <w:sz w:val="21"/>
          <w:szCs w:val="21"/>
          <w:lang w:val="en-GB"/>
        </w:rPr>
        <w:t>bereavement</w:t>
      </w:r>
      <w:r w:rsidR="006A5218">
        <w:rPr>
          <w:rFonts w:ascii="Arial" w:hAnsi="Arial" w:cs="Arial"/>
          <w:sz w:val="21"/>
          <w:szCs w:val="21"/>
          <w:lang w:val="en-GB"/>
        </w:rPr>
        <w:t xml:space="preserve"> or </w:t>
      </w:r>
      <w:r w:rsidRPr="004B2A74">
        <w:rPr>
          <w:rFonts w:ascii="Arial" w:hAnsi="Arial" w:cs="Arial"/>
          <w:sz w:val="21"/>
          <w:szCs w:val="21"/>
          <w:lang w:val="en-GB"/>
        </w:rPr>
        <w:t xml:space="preserve">declining health </w:t>
      </w:r>
      <w:r w:rsidR="006A5218">
        <w:rPr>
          <w:rFonts w:ascii="Arial" w:hAnsi="Arial" w:cs="Arial"/>
          <w:sz w:val="21"/>
          <w:szCs w:val="21"/>
          <w:lang w:val="en-GB"/>
        </w:rPr>
        <w:t xml:space="preserve">and </w:t>
      </w:r>
      <w:r w:rsidRPr="004B2A74">
        <w:rPr>
          <w:rFonts w:ascii="Arial" w:hAnsi="Arial" w:cs="Arial"/>
          <w:sz w:val="21"/>
          <w:szCs w:val="21"/>
          <w:lang w:val="en-GB"/>
        </w:rPr>
        <w:t xml:space="preserve">reduced confidence. Over time, many </w:t>
      </w:r>
      <w:proofErr w:type="gramStart"/>
      <w:r w:rsidRPr="004B2A74">
        <w:rPr>
          <w:rFonts w:ascii="Arial" w:hAnsi="Arial" w:cs="Arial"/>
          <w:sz w:val="21"/>
          <w:szCs w:val="21"/>
          <w:lang w:val="en-GB"/>
        </w:rPr>
        <w:t>participants built</w:t>
      </w:r>
      <w:proofErr w:type="gramEnd"/>
      <w:r w:rsidRPr="004B2A74">
        <w:rPr>
          <w:rFonts w:ascii="Arial" w:hAnsi="Arial" w:cs="Arial"/>
          <w:sz w:val="21"/>
          <w:szCs w:val="21"/>
          <w:lang w:val="en-GB"/>
        </w:rPr>
        <w:t xml:space="preserve"> friendships, started to volunteer informally, and reconnected with their community. At Haddenham Social Hub, volunteers described that journey vividly:</w:t>
      </w:r>
    </w:p>
    <w:p w14:paraId="18556A39" w14:textId="77777777" w:rsidR="0032172A" w:rsidRDefault="004B2A74">
      <w:pPr>
        <w:ind w:left="454" w:right="454"/>
        <w:rPr>
          <w:rFonts w:ascii="Arial" w:hAnsi="Arial" w:cs="Arial"/>
          <w:i/>
          <w:sz w:val="21"/>
          <w:szCs w:val="21"/>
          <w:lang w:val="en-GB"/>
        </w:rPr>
      </w:pPr>
      <w:r w:rsidRPr="004B2A74">
        <w:rPr>
          <w:rFonts w:ascii="Arial" w:hAnsi="Arial" w:cs="Arial"/>
          <w:i/>
          <w:sz w:val="21"/>
          <w:szCs w:val="21"/>
          <w:lang w:val="en-GB"/>
        </w:rPr>
        <w:lastRenderedPageBreak/>
        <w:t>“Quite a few people have come to the hub like an empty shell, and over time they’ve become completely part of the group.”</w:t>
      </w:r>
    </w:p>
    <w:p w14:paraId="23F66BAF" w14:textId="57AF43D9" w:rsidR="00D67B44" w:rsidRPr="00D67B44" w:rsidRDefault="00D67B44" w:rsidP="00D67B44">
      <w:pPr>
        <w:ind w:right="454"/>
        <w:rPr>
          <w:rFonts w:ascii="Arial" w:hAnsi="Arial" w:cs="Arial"/>
          <w:iCs/>
          <w:sz w:val="21"/>
          <w:szCs w:val="21"/>
          <w:lang w:val="en-GB"/>
        </w:rPr>
      </w:pPr>
      <w:r w:rsidRPr="00D67B44">
        <w:rPr>
          <w:rFonts w:ascii="Arial" w:hAnsi="Arial" w:cs="Arial"/>
          <w:iCs/>
          <w:sz w:val="21"/>
          <w:szCs w:val="21"/>
        </w:rPr>
        <w:t>A notable feature across many seed-funded projects was the introduction of accessible physical activity – often the first</w:t>
      </w:r>
      <w:r w:rsidR="00082E0F">
        <w:rPr>
          <w:rFonts w:ascii="Arial" w:hAnsi="Arial" w:cs="Arial"/>
          <w:iCs/>
          <w:sz w:val="21"/>
          <w:szCs w:val="21"/>
        </w:rPr>
        <w:t>-</w:t>
      </w:r>
      <w:r w:rsidRPr="00D67B44">
        <w:rPr>
          <w:rFonts w:ascii="Arial" w:hAnsi="Arial" w:cs="Arial"/>
          <w:iCs/>
          <w:sz w:val="21"/>
          <w:szCs w:val="21"/>
        </w:rPr>
        <w:t>time participants had engaged in structured movement in decades. This included chair-based exercise, walking groups, community sport, and strength-based sessions delivered in trusted local settings.</w:t>
      </w:r>
    </w:p>
    <w:p w14:paraId="1FD8CE59"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Where the model is under strain</w:t>
      </w:r>
    </w:p>
    <w:p w14:paraId="5B70E44D" w14:textId="69097EDD" w:rsidR="0032172A" w:rsidRPr="004B2A74" w:rsidRDefault="004B2A74">
      <w:pPr>
        <w:rPr>
          <w:rFonts w:ascii="Arial" w:hAnsi="Arial" w:cs="Arial"/>
          <w:sz w:val="21"/>
          <w:szCs w:val="21"/>
          <w:lang w:val="en-GB"/>
        </w:rPr>
      </w:pPr>
      <w:r w:rsidRPr="0F4345E3">
        <w:rPr>
          <w:rFonts w:ascii="Arial" w:hAnsi="Arial" w:cs="Arial"/>
          <w:sz w:val="21"/>
          <w:szCs w:val="21"/>
          <w:lang w:val="en-GB"/>
        </w:rPr>
        <w:t xml:space="preserve">Alongside </w:t>
      </w:r>
      <w:r w:rsidR="07AE0251" w:rsidRPr="0F4345E3">
        <w:rPr>
          <w:rFonts w:ascii="Arial" w:hAnsi="Arial" w:cs="Arial"/>
          <w:sz w:val="21"/>
          <w:szCs w:val="21"/>
          <w:lang w:val="en-GB"/>
        </w:rPr>
        <w:t>with the</w:t>
      </w:r>
      <w:r w:rsidRPr="0F4345E3">
        <w:rPr>
          <w:rFonts w:ascii="Arial" w:hAnsi="Arial" w:cs="Arial"/>
          <w:sz w:val="21"/>
          <w:szCs w:val="21"/>
          <w:lang w:val="en-GB"/>
        </w:rPr>
        <w:t xml:space="preserve"> strengths, Locality found three recurring tensions that limit the programme’s longer-term impact:</w:t>
      </w:r>
    </w:p>
    <w:p w14:paraId="43B6227A" w14:textId="009BB121" w:rsidR="004B2A74" w:rsidRDefault="6BCE032F" w:rsidP="004B2A74">
      <w:pPr>
        <w:pStyle w:val="ListParagraph"/>
        <w:numPr>
          <w:ilvl w:val="0"/>
          <w:numId w:val="12"/>
        </w:numPr>
        <w:rPr>
          <w:rFonts w:ascii="Arial" w:hAnsi="Arial" w:cs="Arial"/>
          <w:sz w:val="21"/>
          <w:szCs w:val="21"/>
          <w:lang w:val="en-GB"/>
        </w:rPr>
      </w:pPr>
      <w:r w:rsidRPr="00B83D34">
        <w:rPr>
          <w:rFonts w:ascii="Arial" w:hAnsi="Arial" w:cs="Arial"/>
          <w:b/>
          <w:bCs/>
          <w:sz w:val="21"/>
          <w:szCs w:val="21"/>
          <w:lang w:val="en-GB"/>
        </w:rPr>
        <w:t>Time:</w:t>
      </w:r>
      <w:r w:rsidRPr="6BCE032F">
        <w:rPr>
          <w:rFonts w:ascii="Arial" w:hAnsi="Arial" w:cs="Arial"/>
          <w:sz w:val="21"/>
          <w:szCs w:val="21"/>
          <w:lang w:val="en-GB"/>
        </w:rPr>
        <w:t xml:space="preserve"> one-year seed funding rarely matches the time needed to recruit volunteers, build trust, stabilise attendance, embed referral relationships. Many projects only consolidated later in the funding year</w:t>
      </w:r>
      <w:r w:rsidR="00A23B67">
        <w:rPr>
          <w:rFonts w:ascii="Arial" w:hAnsi="Arial" w:cs="Arial"/>
          <w:sz w:val="21"/>
          <w:szCs w:val="21"/>
          <w:lang w:val="en-GB"/>
        </w:rPr>
        <w:t xml:space="preserve">, with </w:t>
      </w:r>
      <w:r w:rsidR="00220AF0">
        <w:rPr>
          <w:rFonts w:ascii="Arial" w:hAnsi="Arial" w:cs="Arial"/>
          <w:sz w:val="21"/>
          <w:szCs w:val="21"/>
          <w:lang w:val="en-GB"/>
        </w:rPr>
        <w:t xml:space="preserve">the short funding period </w:t>
      </w:r>
      <w:r w:rsidR="00AF6886">
        <w:rPr>
          <w:rFonts w:ascii="Arial" w:hAnsi="Arial" w:cs="Arial"/>
          <w:sz w:val="21"/>
          <w:szCs w:val="21"/>
          <w:lang w:val="en-GB"/>
        </w:rPr>
        <w:t xml:space="preserve">increasing the challenge </w:t>
      </w:r>
      <w:r w:rsidR="00343CB6">
        <w:rPr>
          <w:rFonts w:ascii="Arial" w:hAnsi="Arial" w:cs="Arial"/>
          <w:sz w:val="21"/>
          <w:szCs w:val="21"/>
          <w:lang w:val="en-GB"/>
        </w:rPr>
        <w:t xml:space="preserve">of </w:t>
      </w:r>
      <w:r w:rsidR="00A92D42">
        <w:rPr>
          <w:rFonts w:ascii="Arial" w:hAnsi="Arial" w:cs="Arial"/>
          <w:sz w:val="21"/>
          <w:szCs w:val="21"/>
          <w:lang w:val="en-GB"/>
        </w:rPr>
        <w:t>securing l</w:t>
      </w:r>
      <w:r w:rsidR="00AF6886">
        <w:rPr>
          <w:rFonts w:ascii="Arial" w:hAnsi="Arial" w:cs="Arial"/>
          <w:sz w:val="21"/>
          <w:szCs w:val="21"/>
          <w:lang w:val="en-GB"/>
        </w:rPr>
        <w:t xml:space="preserve">ong term </w:t>
      </w:r>
      <w:r w:rsidR="00352A74">
        <w:rPr>
          <w:rFonts w:ascii="Arial" w:hAnsi="Arial" w:cs="Arial"/>
          <w:sz w:val="21"/>
          <w:szCs w:val="21"/>
          <w:lang w:val="en-GB"/>
        </w:rPr>
        <w:t>sustainability.</w:t>
      </w:r>
    </w:p>
    <w:p w14:paraId="14273423" w14:textId="77777777" w:rsidR="004B2A74" w:rsidRDefault="6BCE032F" w:rsidP="004B2A74">
      <w:pPr>
        <w:pStyle w:val="ListParagraph"/>
        <w:numPr>
          <w:ilvl w:val="0"/>
          <w:numId w:val="12"/>
        </w:numPr>
        <w:rPr>
          <w:rFonts w:ascii="Arial" w:hAnsi="Arial" w:cs="Arial"/>
          <w:sz w:val="21"/>
          <w:szCs w:val="21"/>
          <w:lang w:val="en-GB"/>
        </w:rPr>
      </w:pPr>
      <w:r w:rsidRPr="00B83D34">
        <w:rPr>
          <w:rFonts w:ascii="Arial" w:hAnsi="Arial" w:cs="Arial"/>
          <w:b/>
          <w:bCs/>
          <w:sz w:val="21"/>
          <w:szCs w:val="21"/>
          <w:lang w:val="en-GB"/>
        </w:rPr>
        <w:t xml:space="preserve">Integration: </w:t>
      </w:r>
      <w:r w:rsidRPr="6BCE032F">
        <w:rPr>
          <w:rFonts w:ascii="Arial" w:hAnsi="Arial" w:cs="Arial"/>
          <w:sz w:val="21"/>
          <w:szCs w:val="21"/>
          <w:lang w:val="en-GB"/>
        </w:rPr>
        <w:t>links to social prescribing, Primary Care Networks (PCNs) and neighbourhood teams are uneven and often depend on personal relationships rather than routine pathways.</w:t>
      </w:r>
    </w:p>
    <w:p w14:paraId="14F3521D" w14:textId="6FE6F1DD" w:rsidR="0032172A" w:rsidRPr="004B2A74" w:rsidRDefault="6BCE032F" w:rsidP="004B2A74">
      <w:pPr>
        <w:pStyle w:val="ListParagraph"/>
        <w:numPr>
          <w:ilvl w:val="0"/>
          <w:numId w:val="12"/>
        </w:numPr>
        <w:rPr>
          <w:rFonts w:ascii="Arial" w:hAnsi="Arial" w:cs="Arial"/>
          <w:sz w:val="21"/>
          <w:szCs w:val="21"/>
          <w:lang w:val="en-GB"/>
        </w:rPr>
      </w:pPr>
      <w:r w:rsidRPr="00B83D34">
        <w:rPr>
          <w:rFonts w:ascii="Arial" w:hAnsi="Arial" w:cs="Arial"/>
          <w:b/>
          <w:bCs/>
          <w:sz w:val="21"/>
          <w:szCs w:val="21"/>
          <w:lang w:val="en-GB"/>
        </w:rPr>
        <w:t>Evidence:</w:t>
      </w:r>
      <w:r w:rsidRPr="6BCE032F">
        <w:rPr>
          <w:rFonts w:ascii="Arial" w:hAnsi="Arial" w:cs="Arial"/>
          <w:sz w:val="21"/>
          <w:szCs w:val="21"/>
          <w:lang w:val="en-GB"/>
        </w:rPr>
        <w:t xml:space="preserve"> outcomes are credible and consistent, but still largely informal and qualitative. Prevention impact is plausible and visible in practice, yet difficult to demonstrate with confidence at programme level.</w:t>
      </w:r>
    </w:p>
    <w:p w14:paraId="55A1EAD7"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System partners were candid about this challenge:</w:t>
      </w:r>
    </w:p>
    <w:p w14:paraId="3FBB1ECF" w14:textId="77777777" w:rsidR="0032172A" w:rsidRPr="004B2A74" w:rsidRDefault="004B2A74">
      <w:pPr>
        <w:ind w:left="454" w:right="454"/>
        <w:rPr>
          <w:rFonts w:ascii="Arial" w:hAnsi="Arial" w:cs="Arial"/>
          <w:sz w:val="21"/>
          <w:szCs w:val="21"/>
          <w:lang w:val="en-GB"/>
        </w:rPr>
      </w:pPr>
      <w:r w:rsidRPr="004B2A74">
        <w:rPr>
          <w:rFonts w:ascii="Arial" w:hAnsi="Arial" w:cs="Arial"/>
          <w:i/>
          <w:sz w:val="21"/>
          <w:szCs w:val="21"/>
          <w:lang w:val="en-GB"/>
        </w:rPr>
        <w:t>“We know they’re working, but we’ve got no way of really proving it.”</w:t>
      </w:r>
    </w:p>
    <w:p w14:paraId="0899C9D6"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Headline conclusions</w:t>
      </w:r>
    </w:p>
    <w:p w14:paraId="0EE0DA08"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Overall, the Locality team’s conclusion is that the seed funding strand works best as a relational, enabling mechanism. It creates the conditions for prevention by supporting routine social participation, confidence, access to advice, and early identification of emerging issues.</w:t>
      </w:r>
    </w:p>
    <w:p w14:paraId="63191CBA"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To maximise impact in 2026–27 (as CCC broadens seed funding to adults aged 18+), we recommend maintaining the flexibility and trust that make the programme effective, while strengthening sustainability pathways, integration and light-touch outcome capture.</w:t>
      </w:r>
    </w:p>
    <w:p w14:paraId="556FF1C6"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A full set of recommendations is presented in Section 6, with supporting detail in Appendix F (proposed evaluation toolkit) and Appendix H (commissioner and system partner synthesis).</w:t>
      </w:r>
    </w:p>
    <w:p w14:paraId="429B097A" w14:textId="77777777" w:rsidR="0032172A" w:rsidRPr="004B2A74" w:rsidRDefault="004B2A74" w:rsidP="004B2A74">
      <w:pPr>
        <w:pStyle w:val="Heading1"/>
      </w:pPr>
      <w:r w:rsidRPr="004B2A74">
        <w:t>1. Introduction and context</w:t>
      </w:r>
    </w:p>
    <w:p w14:paraId="50C77146" w14:textId="5F2A1BB3" w:rsidR="0032172A" w:rsidRPr="004B2A74" w:rsidRDefault="004B2A74">
      <w:pPr>
        <w:rPr>
          <w:rFonts w:ascii="Arial" w:hAnsi="Arial" w:cs="Arial"/>
          <w:sz w:val="21"/>
          <w:szCs w:val="21"/>
          <w:lang w:val="en-GB"/>
        </w:rPr>
      </w:pPr>
      <w:r w:rsidRPr="0F4345E3">
        <w:rPr>
          <w:rFonts w:ascii="Arial" w:hAnsi="Arial" w:cs="Arial"/>
          <w:sz w:val="21"/>
          <w:szCs w:val="21"/>
          <w:lang w:val="en-GB"/>
        </w:rPr>
        <w:t xml:space="preserve">This is the final report of Locality’s </w:t>
      </w:r>
      <w:r w:rsidR="47A13592" w:rsidRPr="0F4345E3">
        <w:rPr>
          <w:rFonts w:ascii="Arial" w:hAnsi="Arial" w:cs="Arial"/>
          <w:sz w:val="21"/>
          <w:szCs w:val="21"/>
          <w:lang w:val="en-GB"/>
        </w:rPr>
        <w:t xml:space="preserve">independent </w:t>
      </w:r>
      <w:r w:rsidRPr="0F4345E3">
        <w:rPr>
          <w:rFonts w:ascii="Arial" w:hAnsi="Arial" w:cs="Arial"/>
          <w:sz w:val="21"/>
          <w:szCs w:val="21"/>
          <w:lang w:val="en-GB"/>
        </w:rPr>
        <w:t>evaluation of Cambridgeshire County Council’s Care Together seed funding programme.</w:t>
      </w:r>
    </w:p>
    <w:p w14:paraId="0E51701C" w14:textId="2449DD5E" w:rsidR="0032172A" w:rsidRPr="004B2A74" w:rsidRDefault="004B2A74">
      <w:pPr>
        <w:rPr>
          <w:rFonts w:ascii="Arial" w:hAnsi="Arial" w:cs="Arial"/>
          <w:sz w:val="21"/>
          <w:szCs w:val="21"/>
          <w:lang w:val="en-GB"/>
        </w:rPr>
      </w:pPr>
      <w:r w:rsidRPr="0F4345E3">
        <w:rPr>
          <w:rFonts w:ascii="Arial" w:hAnsi="Arial" w:cs="Arial"/>
          <w:sz w:val="21"/>
          <w:szCs w:val="21"/>
          <w:lang w:val="en-GB"/>
        </w:rPr>
        <w:t>Care Together is a multi-strand programme designed to strengthen local support for older people and enable more residents to remain independent at home for as long as possible. Alongside seed funding for community organisations, the programme includes wider place-based work to build local capacity, develop local services</w:t>
      </w:r>
      <w:r w:rsidR="30B58502" w:rsidRPr="0F4345E3">
        <w:rPr>
          <w:rFonts w:ascii="Arial" w:hAnsi="Arial" w:cs="Arial"/>
          <w:sz w:val="21"/>
          <w:szCs w:val="21"/>
          <w:lang w:val="en-GB"/>
        </w:rPr>
        <w:t>,</w:t>
      </w:r>
      <w:r w:rsidRPr="0F4345E3">
        <w:rPr>
          <w:rFonts w:ascii="Arial" w:hAnsi="Arial" w:cs="Arial"/>
          <w:sz w:val="21"/>
          <w:szCs w:val="21"/>
          <w:lang w:val="en-GB"/>
        </w:rPr>
        <w:t xml:space="preserve"> and reshape elements of the homecare market.</w:t>
      </w:r>
    </w:p>
    <w:p w14:paraId="6546A84E"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lastRenderedPageBreak/>
        <w:t>This evaluation focuses specifically on the seed-funded, community-led projects. We have treated the seed funding strand as a distinct ‘portfolio’ of locally designed interventions, while recognising that it sits within — and benefits from — the wider Care Together vision.</w:t>
      </w:r>
    </w:p>
    <w:p w14:paraId="62B392C6"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To deliver Care Together, CCC has established dedicated place-based commissioners in each locality. In our discussions, commissioners and system partners repeatedly highlighted the value of a named person who understands local context and can broker relationships. One system partner described seed funding as:</w:t>
      </w:r>
    </w:p>
    <w:p w14:paraId="1E1298FD" w14:textId="77777777" w:rsidR="0032172A" w:rsidRPr="004B2A74" w:rsidRDefault="004B2A74">
      <w:pPr>
        <w:ind w:left="454" w:right="454"/>
        <w:rPr>
          <w:rFonts w:ascii="Arial" w:hAnsi="Arial" w:cs="Arial"/>
          <w:sz w:val="21"/>
          <w:szCs w:val="21"/>
          <w:lang w:val="en-GB"/>
        </w:rPr>
      </w:pPr>
      <w:r w:rsidRPr="004B2A74">
        <w:rPr>
          <w:rFonts w:ascii="Arial" w:hAnsi="Arial" w:cs="Arial"/>
          <w:i/>
          <w:sz w:val="21"/>
          <w:szCs w:val="21"/>
          <w:lang w:val="en-GB"/>
        </w:rPr>
        <w:t>“a fabulous idea and a really nice opportunity to be less bureaucratic… really reactive and responsive.”</w:t>
      </w:r>
    </w:p>
    <w:p w14:paraId="4A83DA55" w14:textId="6FE54F42" w:rsidR="0032172A" w:rsidRPr="004B2A74" w:rsidRDefault="004B2A74">
      <w:pPr>
        <w:rPr>
          <w:rFonts w:ascii="Arial" w:hAnsi="Arial" w:cs="Arial"/>
          <w:sz w:val="21"/>
          <w:szCs w:val="21"/>
          <w:lang w:val="en-GB"/>
        </w:rPr>
      </w:pPr>
      <w:r w:rsidRPr="0F4345E3">
        <w:rPr>
          <w:rFonts w:ascii="Arial" w:hAnsi="Arial" w:cs="Arial"/>
          <w:sz w:val="21"/>
          <w:szCs w:val="21"/>
          <w:lang w:val="en-GB"/>
        </w:rPr>
        <w:t>We also heard clearly that the seed funding strand has relational value: it changes how the</w:t>
      </w:r>
      <w:r w:rsidR="3600BF27" w:rsidRPr="0F4345E3">
        <w:rPr>
          <w:rFonts w:ascii="Arial" w:hAnsi="Arial" w:cs="Arial"/>
          <w:sz w:val="21"/>
          <w:szCs w:val="21"/>
          <w:lang w:val="en-GB"/>
        </w:rPr>
        <w:t xml:space="preserve"> </w:t>
      </w:r>
      <w:r w:rsidRPr="0F4345E3">
        <w:rPr>
          <w:rFonts w:ascii="Arial" w:hAnsi="Arial" w:cs="Arial"/>
          <w:sz w:val="21"/>
          <w:szCs w:val="21"/>
          <w:lang w:val="en-GB"/>
        </w:rPr>
        <w:t>Council is experienced by community organisations. As one partner put it:</w:t>
      </w:r>
    </w:p>
    <w:p w14:paraId="3F5BC01A" w14:textId="77777777" w:rsidR="0032172A" w:rsidRPr="004B2A74" w:rsidRDefault="004B2A74">
      <w:pPr>
        <w:ind w:left="454" w:right="454"/>
        <w:rPr>
          <w:rFonts w:ascii="Arial" w:hAnsi="Arial" w:cs="Arial"/>
          <w:sz w:val="21"/>
          <w:szCs w:val="21"/>
          <w:lang w:val="en-GB"/>
        </w:rPr>
      </w:pPr>
      <w:r w:rsidRPr="004B2A74">
        <w:rPr>
          <w:rFonts w:ascii="Arial" w:hAnsi="Arial" w:cs="Arial"/>
          <w:i/>
          <w:sz w:val="21"/>
          <w:szCs w:val="21"/>
          <w:lang w:val="en-GB"/>
        </w:rPr>
        <w:t>“Seed funding got the county council in the room as an equal… instead of coming in behind the lanyard.”</w:t>
      </w:r>
    </w:p>
    <w:p w14:paraId="3DE57B63"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1.1 Scope of this evaluation</w:t>
      </w:r>
    </w:p>
    <w:p w14:paraId="27BB6BEB"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 scope of this evaluation is the seed funding strand delivered between 2023 and 2026 across:</w:t>
      </w:r>
    </w:p>
    <w:p w14:paraId="5C27DFE0"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 East Cambridgeshire</w:t>
      </w:r>
      <w:r w:rsidRPr="004B2A74">
        <w:rPr>
          <w:rFonts w:ascii="Arial" w:hAnsi="Arial" w:cs="Arial"/>
          <w:sz w:val="21"/>
          <w:szCs w:val="21"/>
          <w:lang w:val="en-GB"/>
        </w:rPr>
        <w:br/>
        <w:t>• Fenland</w:t>
      </w:r>
      <w:r w:rsidRPr="004B2A74">
        <w:rPr>
          <w:rFonts w:ascii="Arial" w:hAnsi="Arial" w:cs="Arial"/>
          <w:sz w:val="21"/>
          <w:szCs w:val="21"/>
          <w:lang w:val="en-GB"/>
        </w:rPr>
        <w:br/>
        <w:t>• Huntingdonshire</w:t>
      </w:r>
      <w:r w:rsidRPr="004B2A74">
        <w:rPr>
          <w:rFonts w:ascii="Arial" w:hAnsi="Arial" w:cs="Arial"/>
          <w:sz w:val="21"/>
          <w:szCs w:val="21"/>
          <w:lang w:val="en-GB"/>
        </w:rPr>
        <w:br/>
        <w:t>• South Cambridgeshire</w:t>
      </w:r>
      <w:r w:rsidRPr="004B2A74">
        <w:rPr>
          <w:rFonts w:ascii="Arial" w:hAnsi="Arial" w:cs="Arial"/>
          <w:sz w:val="21"/>
          <w:szCs w:val="21"/>
          <w:lang w:val="en-GB"/>
        </w:rPr>
        <w:br/>
        <w:t>• Cambridge City</w:t>
      </w:r>
    </w:p>
    <w:p w14:paraId="00C4757C"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 detailed district summaries are provided in Appendix B.</w:t>
      </w:r>
    </w:p>
    <w:p w14:paraId="0BDBD91C" w14:textId="10C85589" w:rsidR="0032172A" w:rsidRPr="004B2A74" w:rsidRDefault="004B2A74">
      <w:pPr>
        <w:rPr>
          <w:rFonts w:ascii="Arial" w:hAnsi="Arial" w:cs="Arial"/>
          <w:sz w:val="21"/>
          <w:szCs w:val="21"/>
          <w:lang w:val="en-GB"/>
        </w:rPr>
      </w:pPr>
      <w:r w:rsidRPr="004B2A74">
        <w:rPr>
          <w:rFonts w:ascii="Arial" w:hAnsi="Arial" w:cs="Arial"/>
          <w:sz w:val="21"/>
          <w:szCs w:val="21"/>
          <w:lang w:val="en-GB"/>
        </w:rPr>
        <w:t>We did not evaluate other Care Together components (for example, care micro-enterprises), though where they intersect with seed funding in practice</w:t>
      </w:r>
      <w:r w:rsidR="00691B6E">
        <w:rPr>
          <w:rFonts w:ascii="Arial" w:hAnsi="Arial" w:cs="Arial"/>
          <w:sz w:val="21"/>
          <w:szCs w:val="21"/>
          <w:lang w:val="en-GB"/>
        </w:rPr>
        <w:t>,</w:t>
      </w:r>
      <w:r w:rsidRPr="004B2A74">
        <w:rPr>
          <w:rFonts w:ascii="Arial" w:hAnsi="Arial" w:cs="Arial"/>
          <w:sz w:val="21"/>
          <w:szCs w:val="21"/>
          <w:lang w:val="en-GB"/>
        </w:rPr>
        <w:t xml:space="preserve"> we note this in our analysis.</w:t>
      </w:r>
    </w:p>
    <w:p w14:paraId="0C24D075"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1.2 Evidence base and approach</w:t>
      </w:r>
    </w:p>
    <w:p w14:paraId="7B5DC9D7" w14:textId="09D991F1"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Locality used a proportionate mixed-methods approach. We deliberately balanced depth with practicality, aiming to generate credible learning without placing additional burden on small community organisations. </w:t>
      </w:r>
      <w:r w:rsidR="000A2C73">
        <w:rPr>
          <w:rFonts w:ascii="Arial" w:hAnsi="Arial" w:cs="Arial"/>
          <w:sz w:val="21"/>
          <w:szCs w:val="21"/>
          <w:lang w:val="en-GB"/>
        </w:rPr>
        <w:t xml:space="preserve">Our approach included </w:t>
      </w:r>
      <w:r w:rsidR="009362E1">
        <w:rPr>
          <w:rFonts w:ascii="Arial" w:hAnsi="Arial" w:cs="Arial"/>
          <w:sz w:val="21"/>
          <w:szCs w:val="21"/>
          <w:lang w:val="en-GB"/>
        </w:rPr>
        <w:t xml:space="preserve">conversations with </w:t>
      </w:r>
      <w:r w:rsidR="00F26D15">
        <w:rPr>
          <w:rFonts w:ascii="Arial" w:hAnsi="Arial" w:cs="Arial"/>
          <w:sz w:val="21"/>
          <w:szCs w:val="21"/>
          <w:lang w:val="en-GB"/>
        </w:rPr>
        <w:t xml:space="preserve">direct project participants, to ensure that lived experience informed our findings. </w:t>
      </w:r>
      <w:r w:rsidRPr="004B2A74">
        <w:rPr>
          <w:rFonts w:ascii="Arial" w:hAnsi="Arial" w:cs="Arial"/>
          <w:sz w:val="21"/>
          <w:szCs w:val="21"/>
          <w:lang w:val="en-GB"/>
        </w:rPr>
        <w:t>Full methodological detail is in Appendix A.</w:t>
      </w:r>
    </w:p>
    <w:p w14:paraId="5815418A" w14:textId="219A52CE" w:rsidR="0032172A" w:rsidRPr="004B2A74" w:rsidRDefault="004B2A74">
      <w:pPr>
        <w:rPr>
          <w:rFonts w:ascii="Arial" w:hAnsi="Arial" w:cs="Arial"/>
          <w:sz w:val="21"/>
          <w:szCs w:val="21"/>
          <w:lang w:val="en-GB"/>
        </w:rPr>
      </w:pPr>
      <w:r w:rsidRPr="0F4345E3">
        <w:rPr>
          <w:rFonts w:ascii="Arial" w:hAnsi="Arial" w:cs="Arial"/>
          <w:sz w:val="21"/>
          <w:szCs w:val="21"/>
          <w:lang w:val="en-GB"/>
        </w:rPr>
        <w:t>In summary, our work comprised</w:t>
      </w:r>
      <w:r w:rsidR="4C0EE1EA" w:rsidRPr="0F4345E3">
        <w:rPr>
          <w:rFonts w:ascii="Arial" w:hAnsi="Arial" w:cs="Arial"/>
          <w:sz w:val="21"/>
          <w:szCs w:val="21"/>
          <w:lang w:val="en-GB"/>
        </w:rPr>
        <w:t>:</w:t>
      </w:r>
    </w:p>
    <w:p w14:paraId="42803A1A" w14:textId="30243708" w:rsidR="0032172A" w:rsidRPr="004B2A74" w:rsidRDefault="6BCE032F">
      <w:pPr>
        <w:rPr>
          <w:rFonts w:ascii="Arial" w:hAnsi="Arial" w:cs="Arial"/>
          <w:sz w:val="21"/>
          <w:szCs w:val="21"/>
          <w:lang w:val="en-GB"/>
        </w:rPr>
      </w:pPr>
      <w:r w:rsidRPr="0F4345E3">
        <w:rPr>
          <w:rFonts w:ascii="Arial" w:hAnsi="Arial" w:cs="Arial"/>
          <w:sz w:val="21"/>
          <w:szCs w:val="21"/>
          <w:lang w:val="en-GB"/>
        </w:rPr>
        <w:t>• Desk review of applications, monitoring and programme documentation across three rounds (Appendix C).</w:t>
      </w:r>
      <w:r>
        <w:br/>
      </w:r>
      <w:r w:rsidRPr="0F4345E3">
        <w:rPr>
          <w:rFonts w:ascii="Arial" w:hAnsi="Arial" w:cs="Arial"/>
          <w:sz w:val="21"/>
          <w:szCs w:val="21"/>
          <w:lang w:val="en-GB"/>
        </w:rPr>
        <w:t>• Online survey of 25 funded organisations (Appendix D).</w:t>
      </w:r>
      <w:r>
        <w:br/>
      </w:r>
      <w:r w:rsidRPr="0F4345E3">
        <w:rPr>
          <w:rFonts w:ascii="Arial" w:hAnsi="Arial" w:cs="Arial"/>
          <w:sz w:val="21"/>
          <w:szCs w:val="21"/>
          <w:lang w:val="en-GB"/>
        </w:rPr>
        <w:t>• Five in-depth case studies based on qualitative discussions (Appendix G)</w:t>
      </w:r>
      <w:r w:rsidR="00600405" w:rsidRPr="0F4345E3">
        <w:rPr>
          <w:rFonts w:ascii="Arial" w:hAnsi="Arial" w:cs="Arial"/>
          <w:sz w:val="21"/>
          <w:szCs w:val="21"/>
          <w:lang w:val="en-GB"/>
        </w:rPr>
        <w:t xml:space="preserve"> including project leads and</w:t>
      </w:r>
      <w:r w:rsidR="000A2C73" w:rsidRPr="0F4345E3">
        <w:rPr>
          <w:rFonts w:ascii="Arial" w:hAnsi="Arial" w:cs="Arial"/>
          <w:sz w:val="21"/>
          <w:szCs w:val="21"/>
          <w:lang w:val="en-GB"/>
        </w:rPr>
        <w:t xml:space="preserve"> </w:t>
      </w:r>
      <w:r w:rsidR="00F26D15" w:rsidRPr="0F4345E3">
        <w:rPr>
          <w:rFonts w:ascii="Arial" w:hAnsi="Arial" w:cs="Arial"/>
          <w:sz w:val="21"/>
          <w:szCs w:val="21"/>
          <w:lang w:val="en-GB"/>
        </w:rPr>
        <w:t xml:space="preserve">(where feasible) </w:t>
      </w:r>
      <w:r w:rsidR="4D09907E" w:rsidRPr="0F4345E3">
        <w:rPr>
          <w:rFonts w:ascii="Arial" w:hAnsi="Arial" w:cs="Arial"/>
          <w:sz w:val="21"/>
          <w:szCs w:val="21"/>
          <w:lang w:val="en-GB"/>
        </w:rPr>
        <w:t xml:space="preserve">project </w:t>
      </w:r>
      <w:r w:rsidR="000A2C73" w:rsidRPr="0F4345E3">
        <w:rPr>
          <w:rFonts w:ascii="Arial" w:hAnsi="Arial" w:cs="Arial"/>
          <w:sz w:val="21"/>
          <w:szCs w:val="21"/>
          <w:lang w:val="en-GB"/>
        </w:rPr>
        <w:t>participants</w:t>
      </w:r>
      <w:r w:rsidRPr="0F4345E3">
        <w:rPr>
          <w:rFonts w:ascii="Arial" w:hAnsi="Arial" w:cs="Arial"/>
          <w:sz w:val="21"/>
          <w:szCs w:val="21"/>
          <w:lang w:val="en-GB"/>
        </w:rPr>
        <w:t>.</w:t>
      </w:r>
      <w:r>
        <w:br/>
      </w:r>
      <w:r w:rsidRPr="0F4345E3">
        <w:rPr>
          <w:rFonts w:ascii="Arial" w:hAnsi="Arial" w:cs="Arial"/>
          <w:sz w:val="21"/>
          <w:szCs w:val="21"/>
          <w:lang w:val="en-GB"/>
        </w:rPr>
        <w:t>• Discussions with place-based commissioners and system partners (Appendix H).</w:t>
      </w:r>
      <w:r>
        <w:br/>
      </w:r>
      <w:r w:rsidRPr="0F4345E3">
        <w:rPr>
          <w:rFonts w:ascii="Arial" w:hAnsi="Arial" w:cs="Arial"/>
          <w:sz w:val="21"/>
          <w:szCs w:val="21"/>
          <w:lang w:val="en-GB"/>
        </w:rPr>
        <w:t>• A light-touch social value model aligned with national evidence (Appendix E).</w:t>
      </w:r>
    </w:p>
    <w:p w14:paraId="4C41D1A9"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Our approach is contribution-based: we explore plausible pathways of change, rather than claiming direct attribution or cashable savings.</w:t>
      </w:r>
    </w:p>
    <w:p w14:paraId="14150E8C" w14:textId="77777777" w:rsidR="0032172A" w:rsidRPr="004B2A74" w:rsidRDefault="004B2A74">
      <w:pPr>
        <w:pStyle w:val="Heading1"/>
        <w:rPr>
          <w:rFonts w:ascii="Arial" w:hAnsi="Arial" w:cs="Arial"/>
          <w:sz w:val="21"/>
          <w:szCs w:val="21"/>
          <w:lang w:val="en-GB"/>
        </w:rPr>
      </w:pPr>
      <w:r w:rsidRPr="004B2A74">
        <w:rPr>
          <w:rFonts w:ascii="Arial" w:hAnsi="Arial" w:cs="Arial"/>
          <w:sz w:val="21"/>
          <w:szCs w:val="21"/>
          <w:lang w:val="en-GB"/>
        </w:rPr>
        <w:lastRenderedPageBreak/>
        <w:t>2. How the seed funding strand has been implemented</w:t>
      </w:r>
    </w:p>
    <w:p w14:paraId="06DBD5A6"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Across three rounds, Locality found that Care Together seed funding has operated less as a single uniform programme and more as a flexible portfolio of locally designed responses. This is one of its strengths: it allows each district, and often each community, to shape an offer that fits local realities. It also creates a challenge for evaluation and aggregation: “what was delivered” is intentionally diverse.</w:t>
      </w:r>
    </w:p>
    <w:p w14:paraId="3A9FEB0A" w14:textId="468A1A63"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The desk review shows a consistent implementation trajectory across districts: mobilisation, adaptation, consolidation (see Appendix C). In practice, many projects required time to recruit volunteers, confirm venues, establish safeguarding processes, and build confidence among participants. </w:t>
      </w:r>
      <w:r w:rsidR="00A72F5C">
        <w:rPr>
          <w:rFonts w:ascii="Arial" w:hAnsi="Arial" w:cs="Arial"/>
          <w:sz w:val="21"/>
          <w:szCs w:val="21"/>
          <w:lang w:val="en-GB"/>
        </w:rPr>
        <w:t>Early or mid</w:t>
      </w:r>
      <w:r w:rsidRPr="004B2A74">
        <w:rPr>
          <w:rFonts w:ascii="Arial" w:hAnsi="Arial" w:cs="Arial"/>
          <w:sz w:val="21"/>
          <w:szCs w:val="21"/>
          <w:lang w:val="en-GB"/>
        </w:rPr>
        <w:t>-course changes were common and often necessary for success.</w:t>
      </w:r>
    </w:p>
    <w:p w14:paraId="2408BF24"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2.1 Flexibility as the programme’s core design feature</w:t>
      </w:r>
    </w:p>
    <w:p w14:paraId="7E99A01E"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Providers repeatedly told us that flexibility was not a ‘nice to have’; it was what made delivery possible. Organisations used funding to respond to what older people wanted, to adjust activity formats, and to manage real-world disruption (including venue changes and fluctuating volunteer capacity). A survey respondent captured this clearly:</w:t>
      </w:r>
    </w:p>
    <w:p w14:paraId="66A08925" w14:textId="77777777" w:rsidR="0032172A" w:rsidRPr="004B2A74" w:rsidRDefault="004B2A74">
      <w:pPr>
        <w:ind w:left="454" w:right="454"/>
        <w:rPr>
          <w:rFonts w:ascii="Arial" w:hAnsi="Arial" w:cs="Arial"/>
          <w:sz w:val="21"/>
          <w:szCs w:val="21"/>
          <w:lang w:val="en-GB"/>
        </w:rPr>
      </w:pPr>
      <w:r w:rsidRPr="004B2A74">
        <w:rPr>
          <w:rFonts w:ascii="Arial" w:hAnsi="Arial" w:cs="Arial"/>
          <w:i/>
          <w:sz w:val="21"/>
          <w:szCs w:val="21"/>
          <w:lang w:val="en-GB"/>
        </w:rPr>
        <w:t>“The flexibility of the funding meant we could respond to what people actually wanted, rather than sticking rigidly to one type of activity.”</w:t>
      </w:r>
    </w:p>
    <w:p w14:paraId="37BA4029"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2.2 Place matters: what shapes delivery across the five districts</w:t>
      </w:r>
    </w:p>
    <w:p w14:paraId="7F3C3810"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Locality found that the conditions for delivery differ markedly across the five districts, and that these differences shape what “good delivery” looks like.</w:t>
      </w:r>
    </w:p>
    <w:p w14:paraId="443FAF7B" w14:textId="7A424F5D"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In Fenland, higher levels of deprivation and long-term illness mean projects often work at greater depth, balancing reach with intensity of support. In East Cambridgeshire, the strongest pattern is the evolution of hubs and volunteer-enabled ‘backbone’ infrastructure. In Huntingdonshire, practical enablers such as accessible transport can be the difference between participation and isolation. In South Cambridgeshire, volunteer resilience and rural access shape sustainability. In Cambridge City, the challenge is often conversion: </w:t>
      </w:r>
      <w:r w:rsidR="00A72F5C">
        <w:rPr>
          <w:rFonts w:ascii="Arial" w:hAnsi="Arial" w:cs="Arial"/>
          <w:sz w:val="21"/>
          <w:szCs w:val="21"/>
          <w:lang w:val="en-GB"/>
        </w:rPr>
        <w:t xml:space="preserve">many </w:t>
      </w:r>
      <w:r w:rsidRPr="004B2A74">
        <w:rPr>
          <w:rFonts w:ascii="Arial" w:hAnsi="Arial" w:cs="Arial"/>
          <w:sz w:val="21"/>
          <w:szCs w:val="21"/>
          <w:lang w:val="en-GB"/>
        </w:rPr>
        <w:t>services exist, but people still need confidence, affordability and navigation support to participate.</w:t>
      </w:r>
    </w:p>
    <w:p w14:paraId="5A3BCA4A"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Appendix B provides a full place-by-place synthesis, including district context, delivery profile, survey insight, commissioner perspectives and forward-looking implications.</w:t>
      </w:r>
    </w:p>
    <w:p w14:paraId="42CC5319" w14:textId="77777777" w:rsidR="0032172A" w:rsidRPr="004B2A74" w:rsidRDefault="004B2A74">
      <w:pPr>
        <w:pStyle w:val="Heading2"/>
        <w:rPr>
          <w:rFonts w:ascii="Arial" w:hAnsi="Arial" w:cs="Arial"/>
          <w:sz w:val="21"/>
          <w:szCs w:val="21"/>
          <w:lang w:val="en-GB"/>
        </w:rPr>
      </w:pPr>
      <w:r w:rsidRPr="004B2A74">
        <w:rPr>
          <w:rFonts w:ascii="Arial" w:hAnsi="Arial" w:cs="Arial"/>
          <w:sz w:val="21"/>
          <w:szCs w:val="21"/>
          <w:lang w:val="en-GB"/>
        </w:rPr>
        <w:t>2.3 What helped projects start and embed</w:t>
      </w:r>
    </w:p>
    <w:p w14:paraId="339CB43C"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Across the desk review, survey and interviews, the Locality team found a consistent set of enabling conditions:</w:t>
      </w:r>
    </w:p>
    <w:p w14:paraId="1DBB2695"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 A trusted organisation with existing relationships in the community.</w:t>
      </w:r>
      <w:r w:rsidRPr="004B2A74">
        <w:rPr>
          <w:rFonts w:ascii="Arial" w:hAnsi="Arial" w:cs="Arial"/>
          <w:sz w:val="21"/>
          <w:szCs w:val="21"/>
          <w:lang w:val="en-GB"/>
        </w:rPr>
        <w:br/>
        <w:t>• An accessible, familiar venue (or a model that brings activity to people).</w:t>
      </w:r>
      <w:r w:rsidRPr="004B2A74">
        <w:rPr>
          <w:rFonts w:ascii="Arial" w:hAnsi="Arial" w:cs="Arial"/>
          <w:sz w:val="21"/>
          <w:szCs w:val="21"/>
          <w:lang w:val="en-GB"/>
        </w:rPr>
        <w:br/>
        <w:t>• A core volunteer group and light-touch coordination capacity.</w:t>
      </w:r>
      <w:r w:rsidRPr="004B2A74">
        <w:rPr>
          <w:rFonts w:ascii="Arial" w:hAnsi="Arial" w:cs="Arial"/>
          <w:sz w:val="21"/>
          <w:szCs w:val="21"/>
          <w:lang w:val="en-GB"/>
        </w:rPr>
        <w:br/>
        <w:t>• Simple, welcoming messaging that reduces stigma.</w:t>
      </w:r>
      <w:r w:rsidRPr="004B2A74">
        <w:rPr>
          <w:rFonts w:ascii="Arial" w:hAnsi="Arial" w:cs="Arial"/>
          <w:sz w:val="21"/>
          <w:szCs w:val="21"/>
          <w:lang w:val="en-GB"/>
        </w:rPr>
        <w:br/>
        <w:t>• Openness to adaptation as learning emerges.</w:t>
      </w:r>
    </w:p>
    <w:p w14:paraId="2FC3F23B" w14:textId="37B36AEB" w:rsidR="0032172A" w:rsidRDefault="004B2A74">
      <w:pPr>
        <w:rPr>
          <w:rFonts w:ascii="Arial" w:hAnsi="Arial" w:cs="Arial"/>
          <w:sz w:val="21"/>
          <w:szCs w:val="21"/>
          <w:lang w:val="en-GB"/>
        </w:rPr>
      </w:pPr>
      <w:r w:rsidRPr="004B2A74">
        <w:rPr>
          <w:rFonts w:ascii="Arial" w:hAnsi="Arial" w:cs="Arial"/>
          <w:sz w:val="21"/>
          <w:szCs w:val="21"/>
          <w:lang w:val="en-GB"/>
        </w:rPr>
        <w:t>When these conditions were present, projects tended to mobilise faster and stabilise earlier. When they were absent, projects could still succeed but often took longer and required additional support to embed.</w:t>
      </w:r>
    </w:p>
    <w:p w14:paraId="632347F4" w14:textId="77777777" w:rsidR="00430B1B" w:rsidRDefault="00430B1B">
      <w:pPr>
        <w:rPr>
          <w:rFonts w:ascii="Arial" w:hAnsi="Arial" w:cs="Arial"/>
          <w:sz w:val="21"/>
          <w:szCs w:val="21"/>
          <w:lang w:val="en-GB"/>
        </w:rPr>
      </w:pPr>
    </w:p>
    <w:p w14:paraId="30C3B901" w14:textId="260D72D1" w:rsidR="00E56468" w:rsidRDefault="00F45544">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 xml:space="preserve">3. </w:t>
      </w:r>
      <w:r w:rsidR="00E56468" w:rsidRPr="00B83D34">
        <w:rPr>
          <w:rFonts w:asciiTheme="majorHAnsi" w:eastAsiaTheme="majorEastAsia" w:hAnsiTheme="majorHAnsi" w:cstheme="majorBidi"/>
          <w:b/>
          <w:bCs/>
          <w:color w:val="365F91" w:themeColor="accent1" w:themeShade="BF"/>
          <w:sz w:val="28"/>
          <w:szCs w:val="28"/>
        </w:rPr>
        <w:t>Programme design and place-based approach</w:t>
      </w:r>
    </w:p>
    <w:p w14:paraId="0FF89D85" w14:textId="7813DE53" w:rsidR="00336B0A" w:rsidRPr="00B83D34" w:rsidRDefault="00F45544" w:rsidP="00430B1B">
      <w:pPr>
        <w:spacing w:after="0"/>
        <w:rPr>
          <w:rFonts w:ascii="Arial" w:eastAsiaTheme="majorEastAsia" w:hAnsi="Arial" w:cs="Arial"/>
          <w:b/>
          <w:bCs/>
          <w:color w:val="4F81BD" w:themeColor="accent1"/>
          <w:sz w:val="21"/>
          <w:szCs w:val="21"/>
          <w:lang w:val="en-GB"/>
        </w:rPr>
      </w:pPr>
      <w:r>
        <w:rPr>
          <w:rFonts w:ascii="Arial" w:eastAsiaTheme="majorEastAsia" w:hAnsi="Arial" w:cs="Arial"/>
          <w:b/>
          <w:bCs/>
          <w:color w:val="4F81BD" w:themeColor="accent1"/>
          <w:sz w:val="21"/>
          <w:szCs w:val="21"/>
          <w:lang w:val="en-GB"/>
        </w:rPr>
        <w:t xml:space="preserve">3.1 </w:t>
      </w:r>
      <w:r w:rsidR="00336B0A" w:rsidRPr="00B83D34">
        <w:rPr>
          <w:rFonts w:ascii="Arial" w:eastAsiaTheme="majorEastAsia" w:hAnsi="Arial" w:cs="Arial"/>
          <w:b/>
          <w:bCs/>
          <w:color w:val="4F81BD" w:themeColor="accent1"/>
          <w:sz w:val="21"/>
          <w:szCs w:val="21"/>
          <w:lang w:val="en-GB"/>
        </w:rPr>
        <w:t>Seed funding as an enabling mechanism</w:t>
      </w:r>
    </w:p>
    <w:p w14:paraId="44C196A9" w14:textId="7492C1A4" w:rsidR="00336B0A" w:rsidRPr="00336B0A" w:rsidRDefault="00336B0A" w:rsidP="00430B1B">
      <w:pPr>
        <w:spacing w:after="0"/>
        <w:rPr>
          <w:rFonts w:ascii="Arial" w:hAnsi="Arial" w:cs="Arial"/>
          <w:sz w:val="21"/>
          <w:szCs w:val="21"/>
          <w:lang w:val="en-GB"/>
        </w:rPr>
      </w:pPr>
      <w:r w:rsidRPr="00336B0A">
        <w:rPr>
          <w:rFonts w:ascii="Arial" w:hAnsi="Arial" w:cs="Arial"/>
          <w:sz w:val="21"/>
          <w:szCs w:val="21"/>
          <w:lang w:val="en-GB"/>
        </w:rPr>
        <w:t>Across grantees, commissioners and system partners, Care Together seed funding was widely viewed as an effective enabling mechanism. The model was described as “pump-priming” and “kickstart” funding — reducing early financial risk and allowing community organisations to test and adapt ideas without heavy bureaucracy.</w:t>
      </w:r>
    </w:p>
    <w:p w14:paraId="19F22D14" w14:textId="77777777" w:rsidR="00430B1B" w:rsidRDefault="00430B1B" w:rsidP="00430B1B">
      <w:pPr>
        <w:spacing w:after="0"/>
        <w:rPr>
          <w:rFonts w:ascii="Arial" w:hAnsi="Arial" w:cs="Arial"/>
          <w:sz w:val="21"/>
          <w:szCs w:val="21"/>
          <w:lang w:val="en-GB"/>
        </w:rPr>
      </w:pPr>
    </w:p>
    <w:p w14:paraId="51BDA730" w14:textId="60FE6193" w:rsidR="00336B0A" w:rsidRPr="00336B0A" w:rsidRDefault="00336B0A" w:rsidP="00430B1B">
      <w:pPr>
        <w:spacing w:after="0"/>
        <w:rPr>
          <w:rFonts w:ascii="Arial" w:hAnsi="Arial" w:cs="Arial"/>
          <w:sz w:val="21"/>
          <w:szCs w:val="21"/>
          <w:lang w:val="en-GB"/>
        </w:rPr>
      </w:pPr>
      <w:r w:rsidRPr="00336B0A">
        <w:rPr>
          <w:rFonts w:ascii="Arial" w:hAnsi="Arial" w:cs="Arial"/>
          <w:sz w:val="21"/>
          <w:szCs w:val="21"/>
          <w:lang w:val="en-GB"/>
        </w:rPr>
        <w:t>Grantees emphasised that</w:t>
      </w:r>
      <w:r w:rsidR="00137150">
        <w:rPr>
          <w:rFonts w:ascii="Arial" w:hAnsi="Arial" w:cs="Arial"/>
          <w:sz w:val="21"/>
          <w:szCs w:val="21"/>
          <w:lang w:val="en-GB"/>
        </w:rPr>
        <w:t xml:space="preserve"> this initial boost</w:t>
      </w:r>
      <w:r w:rsidR="005C280A">
        <w:rPr>
          <w:rFonts w:ascii="Arial" w:hAnsi="Arial" w:cs="Arial"/>
          <w:sz w:val="21"/>
          <w:szCs w:val="21"/>
          <w:lang w:val="en-GB"/>
        </w:rPr>
        <w:t xml:space="preserve"> of funding </w:t>
      </w:r>
      <w:r w:rsidR="001C640B">
        <w:rPr>
          <w:rFonts w:ascii="Arial" w:hAnsi="Arial" w:cs="Arial"/>
          <w:sz w:val="21"/>
          <w:szCs w:val="21"/>
          <w:lang w:val="en-GB"/>
        </w:rPr>
        <w:t>to develop projects was</w:t>
      </w:r>
      <w:r w:rsidR="005C280A">
        <w:rPr>
          <w:rFonts w:ascii="Arial" w:hAnsi="Arial" w:cs="Arial"/>
          <w:sz w:val="21"/>
          <w:szCs w:val="21"/>
          <w:lang w:val="en-GB"/>
        </w:rPr>
        <w:t xml:space="preserve"> critical</w:t>
      </w:r>
      <w:r w:rsidRPr="00336B0A">
        <w:rPr>
          <w:rFonts w:ascii="Arial" w:hAnsi="Arial" w:cs="Arial"/>
          <w:sz w:val="21"/>
          <w:szCs w:val="21"/>
          <w:lang w:val="en-GB"/>
        </w:rPr>
        <w:t>:</w:t>
      </w:r>
    </w:p>
    <w:p w14:paraId="05F9F7E9" w14:textId="77777777" w:rsidR="00430B1B" w:rsidRDefault="00430B1B" w:rsidP="0F4345E3">
      <w:pPr>
        <w:spacing w:after="0"/>
        <w:rPr>
          <w:rFonts w:ascii="Arial" w:hAnsi="Arial" w:cs="Arial"/>
          <w:i/>
          <w:iCs/>
          <w:sz w:val="21"/>
          <w:szCs w:val="21"/>
          <w:lang w:val="en-GB"/>
        </w:rPr>
      </w:pPr>
    </w:p>
    <w:p w14:paraId="3614F4E3" w14:textId="6EACC940" w:rsidR="00336B0A" w:rsidRPr="00B83D34" w:rsidRDefault="00336B0A" w:rsidP="0F4345E3">
      <w:pPr>
        <w:spacing w:after="0"/>
        <w:ind w:firstLine="720"/>
        <w:rPr>
          <w:rFonts w:ascii="Arial" w:hAnsi="Arial" w:cs="Arial"/>
          <w:i/>
          <w:iCs/>
          <w:sz w:val="21"/>
          <w:szCs w:val="21"/>
          <w:lang w:val="en-GB"/>
        </w:rPr>
      </w:pPr>
      <w:r w:rsidRPr="00B470C1">
        <w:rPr>
          <w:rFonts w:ascii="Arial" w:hAnsi="Arial" w:cs="Arial"/>
          <w:i/>
          <w:sz w:val="21"/>
          <w:szCs w:val="21"/>
          <w:lang w:val="en-GB"/>
        </w:rPr>
        <w:t xml:space="preserve">“The seed funding just removed the financial side of the conversation… which meant we </w:t>
      </w:r>
      <w:r w:rsidRPr="00B470C1">
        <w:rPr>
          <w:rFonts w:ascii="Arial" w:hAnsi="Arial" w:cs="Arial"/>
          <w:i/>
          <w:sz w:val="21"/>
          <w:szCs w:val="21"/>
          <w:lang w:val="en-GB"/>
        </w:rPr>
        <w:br/>
      </w:r>
      <w:r w:rsidRPr="00B470C1">
        <w:rPr>
          <w:rFonts w:ascii="Arial" w:hAnsi="Arial" w:cs="Arial"/>
          <w:i/>
          <w:sz w:val="21"/>
          <w:szCs w:val="21"/>
          <w:lang w:val="en-GB"/>
        </w:rPr>
        <w:tab/>
        <w:t>coul</w:t>
      </w:r>
      <w:r w:rsidR="65DA4E92" w:rsidRPr="00B470C1">
        <w:rPr>
          <w:rFonts w:ascii="Arial" w:hAnsi="Arial" w:cs="Arial"/>
          <w:i/>
          <w:sz w:val="21"/>
          <w:szCs w:val="21"/>
          <w:lang w:val="en-GB"/>
        </w:rPr>
        <w:t xml:space="preserve">d </w:t>
      </w:r>
      <w:r w:rsidRPr="00B470C1">
        <w:rPr>
          <w:rFonts w:ascii="Arial" w:hAnsi="Arial" w:cs="Arial"/>
          <w:i/>
          <w:sz w:val="21"/>
          <w:szCs w:val="21"/>
          <w:lang w:val="en-GB"/>
        </w:rPr>
        <w:t>just focus on the event.”</w:t>
      </w:r>
    </w:p>
    <w:p w14:paraId="10536440" w14:textId="77777777" w:rsidR="00430B1B" w:rsidRDefault="00430B1B" w:rsidP="00430B1B">
      <w:pPr>
        <w:spacing w:after="0"/>
        <w:rPr>
          <w:rFonts w:ascii="Arial" w:hAnsi="Arial" w:cs="Arial"/>
          <w:sz w:val="21"/>
          <w:szCs w:val="21"/>
          <w:lang w:val="en-GB"/>
        </w:rPr>
      </w:pPr>
    </w:p>
    <w:p w14:paraId="01ABFAB9" w14:textId="61A84B08" w:rsidR="00336B0A" w:rsidRPr="00336B0A" w:rsidRDefault="00336B0A" w:rsidP="00430B1B">
      <w:pPr>
        <w:spacing w:after="0"/>
        <w:rPr>
          <w:rFonts w:ascii="Arial" w:hAnsi="Arial" w:cs="Arial"/>
          <w:sz w:val="21"/>
          <w:szCs w:val="21"/>
          <w:lang w:val="en-GB"/>
        </w:rPr>
      </w:pPr>
      <w:r w:rsidRPr="00336B0A">
        <w:rPr>
          <w:rFonts w:ascii="Arial" w:hAnsi="Arial" w:cs="Arial"/>
          <w:sz w:val="21"/>
          <w:szCs w:val="21"/>
          <w:lang w:val="en-GB"/>
        </w:rPr>
        <w:t>Survey respondents similarly highlighted the supportive and proportionate nature of programme management</w:t>
      </w:r>
      <w:r w:rsidR="00312D3E">
        <w:rPr>
          <w:rFonts w:ascii="Arial" w:hAnsi="Arial" w:cs="Arial"/>
          <w:sz w:val="21"/>
          <w:szCs w:val="21"/>
          <w:lang w:val="en-GB"/>
        </w:rPr>
        <w:t xml:space="preserve">. </w:t>
      </w:r>
      <w:r w:rsidRPr="00336B0A">
        <w:rPr>
          <w:rFonts w:ascii="Arial" w:hAnsi="Arial" w:cs="Arial"/>
          <w:sz w:val="21"/>
          <w:szCs w:val="21"/>
          <w:lang w:val="en-GB"/>
        </w:rPr>
        <w:t xml:space="preserve">Rather than commissioning tightly specified services, the programme created conditions for locally relevant </w:t>
      </w:r>
      <w:r w:rsidR="001C640B">
        <w:rPr>
          <w:rFonts w:ascii="Arial" w:hAnsi="Arial" w:cs="Arial"/>
          <w:sz w:val="21"/>
          <w:szCs w:val="21"/>
          <w:lang w:val="en-GB"/>
        </w:rPr>
        <w:t>approaches to emerge</w:t>
      </w:r>
      <w:r w:rsidRPr="00336B0A">
        <w:rPr>
          <w:rFonts w:ascii="Arial" w:hAnsi="Arial" w:cs="Arial"/>
          <w:sz w:val="21"/>
          <w:szCs w:val="21"/>
          <w:lang w:val="en-GB"/>
        </w:rPr>
        <w:t xml:space="preserve">. </w:t>
      </w:r>
    </w:p>
    <w:p w14:paraId="40994B16" w14:textId="77777777" w:rsidR="00430B1B" w:rsidRDefault="00430B1B" w:rsidP="00430B1B">
      <w:pPr>
        <w:spacing w:after="0"/>
        <w:rPr>
          <w:rFonts w:ascii="Arial" w:eastAsiaTheme="majorEastAsia" w:hAnsi="Arial" w:cs="Arial"/>
          <w:b/>
          <w:bCs/>
          <w:color w:val="4F81BD" w:themeColor="accent1"/>
          <w:sz w:val="21"/>
          <w:szCs w:val="21"/>
          <w:lang w:val="en-GB"/>
        </w:rPr>
      </w:pPr>
    </w:p>
    <w:p w14:paraId="3DBE48E0" w14:textId="6A39A5C4" w:rsidR="00336B0A" w:rsidRPr="00336B0A" w:rsidRDefault="00F45544" w:rsidP="00430B1B">
      <w:pPr>
        <w:spacing w:after="0"/>
        <w:rPr>
          <w:rFonts w:ascii="Arial" w:hAnsi="Arial" w:cs="Arial"/>
          <w:b/>
          <w:bCs/>
          <w:sz w:val="21"/>
          <w:szCs w:val="21"/>
          <w:lang w:val="en-GB"/>
        </w:rPr>
      </w:pPr>
      <w:r>
        <w:rPr>
          <w:rFonts w:ascii="Arial" w:eastAsiaTheme="majorEastAsia" w:hAnsi="Arial" w:cs="Arial"/>
          <w:b/>
          <w:bCs/>
          <w:color w:val="4F81BD" w:themeColor="accent1"/>
          <w:sz w:val="21"/>
          <w:szCs w:val="21"/>
          <w:lang w:val="en-GB"/>
        </w:rPr>
        <w:t xml:space="preserve">3.2 </w:t>
      </w:r>
      <w:r w:rsidR="00336B0A" w:rsidRPr="00B83D34">
        <w:rPr>
          <w:rFonts w:ascii="Arial" w:eastAsiaTheme="majorEastAsia" w:hAnsi="Arial" w:cs="Arial"/>
          <w:b/>
          <w:bCs/>
          <w:color w:val="4F81BD" w:themeColor="accent1"/>
          <w:sz w:val="21"/>
          <w:szCs w:val="21"/>
          <w:lang w:val="en-GB"/>
        </w:rPr>
        <w:t xml:space="preserve">The </w:t>
      </w:r>
      <w:r w:rsidR="00224996" w:rsidRPr="00B83D34">
        <w:rPr>
          <w:rFonts w:ascii="Arial" w:eastAsiaTheme="majorEastAsia" w:hAnsi="Arial" w:cs="Arial"/>
          <w:b/>
          <w:bCs/>
          <w:color w:val="4F81BD" w:themeColor="accent1"/>
          <w:sz w:val="21"/>
          <w:szCs w:val="21"/>
          <w:lang w:val="en-GB"/>
        </w:rPr>
        <w:t>value of</w:t>
      </w:r>
      <w:r w:rsidR="00336B0A" w:rsidRPr="00B83D34">
        <w:rPr>
          <w:rFonts w:ascii="Arial" w:eastAsiaTheme="majorEastAsia" w:hAnsi="Arial" w:cs="Arial"/>
          <w:b/>
          <w:bCs/>
          <w:color w:val="4F81BD" w:themeColor="accent1"/>
          <w:sz w:val="21"/>
          <w:szCs w:val="21"/>
          <w:lang w:val="en-GB"/>
        </w:rPr>
        <w:t xml:space="preserve"> </w:t>
      </w:r>
      <w:r w:rsidR="00DF7089" w:rsidRPr="00B83D34">
        <w:rPr>
          <w:rFonts w:ascii="Arial" w:eastAsiaTheme="majorEastAsia" w:hAnsi="Arial" w:cs="Arial"/>
          <w:b/>
          <w:bCs/>
          <w:color w:val="4F81BD" w:themeColor="accent1"/>
          <w:sz w:val="21"/>
          <w:szCs w:val="21"/>
          <w:lang w:val="en-GB"/>
        </w:rPr>
        <w:t xml:space="preserve">local </w:t>
      </w:r>
      <w:r>
        <w:rPr>
          <w:rFonts w:ascii="Arial" w:eastAsiaTheme="majorEastAsia" w:hAnsi="Arial" w:cs="Arial"/>
          <w:b/>
          <w:bCs/>
          <w:color w:val="4F81BD" w:themeColor="accent1"/>
          <w:sz w:val="21"/>
          <w:szCs w:val="21"/>
          <w:lang w:val="en-GB"/>
        </w:rPr>
        <w:t xml:space="preserve">knowledge and </w:t>
      </w:r>
      <w:r w:rsidR="00DF7089" w:rsidRPr="00B83D34">
        <w:rPr>
          <w:rFonts w:ascii="Arial" w:eastAsiaTheme="majorEastAsia" w:hAnsi="Arial" w:cs="Arial"/>
          <w:b/>
          <w:bCs/>
          <w:color w:val="4F81BD" w:themeColor="accent1"/>
          <w:sz w:val="21"/>
          <w:szCs w:val="21"/>
          <w:lang w:val="en-GB"/>
        </w:rPr>
        <w:t>relationships</w:t>
      </w:r>
    </w:p>
    <w:p w14:paraId="09744F6A" w14:textId="55E53B3F" w:rsidR="00336B0A" w:rsidRDefault="00336B0A" w:rsidP="00430B1B">
      <w:pPr>
        <w:spacing w:after="0"/>
        <w:rPr>
          <w:rFonts w:ascii="Arial" w:hAnsi="Arial" w:cs="Arial"/>
          <w:sz w:val="21"/>
          <w:szCs w:val="21"/>
          <w:lang w:val="en-GB"/>
        </w:rPr>
      </w:pPr>
      <w:r w:rsidRPr="00336B0A">
        <w:rPr>
          <w:rFonts w:ascii="Arial" w:hAnsi="Arial" w:cs="Arial"/>
          <w:sz w:val="21"/>
          <w:szCs w:val="21"/>
          <w:lang w:val="en-GB"/>
        </w:rPr>
        <w:t xml:space="preserve">A defining strength of the programme was the involvement of </w:t>
      </w:r>
      <w:r w:rsidR="00E4552B">
        <w:rPr>
          <w:rFonts w:ascii="Arial" w:hAnsi="Arial" w:cs="Arial"/>
          <w:sz w:val="21"/>
          <w:szCs w:val="21"/>
          <w:lang w:val="en-GB"/>
        </w:rPr>
        <w:t>local relationships</w:t>
      </w:r>
      <w:r w:rsidR="00186C90">
        <w:rPr>
          <w:rFonts w:ascii="Arial" w:hAnsi="Arial" w:cs="Arial"/>
          <w:sz w:val="21"/>
          <w:szCs w:val="21"/>
          <w:lang w:val="en-GB"/>
        </w:rPr>
        <w:t>,</w:t>
      </w:r>
      <w:r w:rsidR="006B2771">
        <w:rPr>
          <w:rFonts w:ascii="Arial" w:hAnsi="Arial" w:cs="Arial"/>
          <w:sz w:val="21"/>
          <w:szCs w:val="21"/>
          <w:lang w:val="en-GB"/>
        </w:rPr>
        <w:t xml:space="preserve"> incl</w:t>
      </w:r>
      <w:r w:rsidR="00E4552B">
        <w:rPr>
          <w:rFonts w:ascii="Arial" w:hAnsi="Arial" w:cs="Arial"/>
          <w:sz w:val="21"/>
          <w:szCs w:val="21"/>
          <w:lang w:val="en-GB"/>
        </w:rPr>
        <w:t xml:space="preserve">uding the </w:t>
      </w:r>
      <w:r w:rsidR="00186C90">
        <w:rPr>
          <w:rFonts w:ascii="Arial" w:hAnsi="Arial" w:cs="Arial"/>
          <w:sz w:val="21"/>
          <w:szCs w:val="21"/>
          <w:lang w:val="en-GB"/>
        </w:rPr>
        <w:t xml:space="preserve">role of </w:t>
      </w:r>
      <w:r w:rsidRPr="00336B0A">
        <w:rPr>
          <w:rFonts w:ascii="Arial" w:hAnsi="Arial" w:cs="Arial"/>
          <w:sz w:val="21"/>
          <w:szCs w:val="21"/>
          <w:lang w:val="en-GB"/>
        </w:rPr>
        <w:t>place-based commissioners</w:t>
      </w:r>
      <w:r w:rsidR="00186C90">
        <w:rPr>
          <w:rFonts w:ascii="Arial" w:hAnsi="Arial" w:cs="Arial"/>
          <w:sz w:val="21"/>
          <w:szCs w:val="21"/>
          <w:lang w:val="en-GB"/>
        </w:rPr>
        <w:t xml:space="preserve"> which were</w:t>
      </w:r>
      <w:r w:rsidRPr="00336B0A">
        <w:rPr>
          <w:rFonts w:ascii="Arial" w:hAnsi="Arial" w:cs="Arial"/>
          <w:sz w:val="21"/>
          <w:szCs w:val="21"/>
          <w:lang w:val="en-GB"/>
        </w:rPr>
        <w:t xml:space="preserve"> embedded within each district.</w:t>
      </w:r>
      <w:r w:rsidR="004D4614">
        <w:rPr>
          <w:rFonts w:ascii="Arial" w:hAnsi="Arial" w:cs="Arial"/>
          <w:sz w:val="21"/>
          <w:szCs w:val="21"/>
          <w:lang w:val="en-GB"/>
        </w:rPr>
        <w:t xml:space="preserve"> </w:t>
      </w:r>
      <w:r w:rsidRPr="00336B0A">
        <w:rPr>
          <w:rFonts w:ascii="Arial" w:hAnsi="Arial" w:cs="Arial"/>
          <w:sz w:val="21"/>
          <w:szCs w:val="21"/>
          <w:lang w:val="en-GB"/>
        </w:rPr>
        <w:t>Commissioners described how local knowledge shaped funding decisions and ongoing support:</w:t>
      </w:r>
    </w:p>
    <w:p w14:paraId="0F671770" w14:textId="77777777" w:rsidR="00430B1B" w:rsidRPr="00336B0A" w:rsidRDefault="00430B1B" w:rsidP="00430B1B">
      <w:pPr>
        <w:spacing w:after="0"/>
        <w:rPr>
          <w:rFonts w:ascii="Arial" w:hAnsi="Arial" w:cs="Arial"/>
          <w:sz w:val="21"/>
          <w:szCs w:val="21"/>
          <w:lang w:val="en-GB"/>
        </w:rPr>
      </w:pPr>
    </w:p>
    <w:p w14:paraId="4E1740E4" w14:textId="486643B8" w:rsidR="00336B0A" w:rsidRPr="00B83D34" w:rsidRDefault="00336B0A" w:rsidP="00430B1B">
      <w:pPr>
        <w:spacing w:after="0"/>
        <w:jc w:val="center"/>
        <w:rPr>
          <w:rFonts w:ascii="Arial" w:hAnsi="Arial" w:cs="Arial"/>
          <w:i/>
          <w:iCs/>
          <w:sz w:val="21"/>
          <w:szCs w:val="21"/>
          <w:lang w:val="en-GB"/>
        </w:rPr>
      </w:pPr>
      <w:r w:rsidRPr="00B83D34">
        <w:rPr>
          <w:rFonts w:ascii="Arial" w:hAnsi="Arial" w:cs="Arial"/>
          <w:i/>
          <w:iCs/>
          <w:sz w:val="21"/>
          <w:szCs w:val="21"/>
          <w:lang w:val="en-GB"/>
        </w:rPr>
        <w:t>“Knowing the area and the organisations made a big difference to how things landed.”</w:t>
      </w:r>
    </w:p>
    <w:p w14:paraId="373D1068" w14:textId="77777777" w:rsidR="00430B1B" w:rsidRDefault="00430B1B" w:rsidP="00430B1B">
      <w:pPr>
        <w:spacing w:after="0"/>
        <w:rPr>
          <w:rFonts w:ascii="Arial" w:hAnsi="Arial" w:cs="Arial"/>
          <w:sz w:val="21"/>
          <w:szCs w:val="21"/>
          <w:lang w:val="en-GB"/>
        </w:rPr>
      </w:pPr>
    </w:p>
    <w:p w14:paraId="01C51895" w14:textId="1B8ACF3D" w:rsidR="00F45544" w:rsidRDefault="00336B0A" w:rsidP="00430B1B">
      <w:pPr>
        <w:spacing w:after="0"/>
        <w:rPr>
          <w:rFonts w:ascii="Arial" w:hAnsi="Arial" w:cs="Arial"/>
          <w:sz w:val="21"/>
          <w:szCs w:val="21"/>
          <w:lang w:val="en-GB"/>
        </w:rPr>
      </w:pPr>
      <w:r w:rsidRPr="00336B0A">
        <w:rPr>
          <w:rFonts w:ascii="Arial" w:hAnsi="Arial" w:cs="Arial"/>
          <w:sz w:val="21"/>
          <w:szCs w:val="21"/>
          <w:lang w:val="en-GB"/>
        </w:rPr>
        <w:t>Projects worked best where they built on existing infrastructure and trusted organisations</w:t>
      </w:r>
      <w:r w:rsidR="00EA1FA4">
        <w:rPr>
          <w:rFonts w:ascii="Arial" w:hAnsi="Arial" w:cs="Arial"/>
          <w:sz w:val="21"/>
          <w:szCs w:val="21"/>
          <w:lang w:val="en-GB"/>
        </w:rPr>
        <w:t>.</w:t>
      </w:r>
      <w:r w:rsidR="00F45544">
        <w:rPr>
          <w:rFonts w:ascii="Arial" w:hAnsi="Arial" w:cs="Arial"/>
          <w:sz w:val="21"/>
          <w:szCs w:val="21"/>
          <w:lang w:val="en-GB"/>
        </w:rPr>
        <w:t xml:space="preserve"> </w:t>
      </w:r>
      <w:r w:rsidR="0000374E">
        <w:rPr>
          <w:rFonts w:ascii="Arial" w:hAnsi="Arial" w:cs="Arial"/>
          <w:sz w:val="21"/>
          <w:szCs w:val="21"/>
          <w:lang w:val="en-GB"/>
        </w:rPr>
        <w:t>Both c</w:t>
      </w:r>
      <w:r w:rsidR="00F7181E">
        <w:rPr>
          <w:rFonts w:ascii="Arial" w:hAnsi="Arial" w:cs="Arial"/>
          <w:sz w:val="21"/>
          <w:szCs w:val="21"/>
          <w:lang w:val="en-GB"/>
        </w:rPr>
        <w:t>ommissioners</w:t>
      </w:r>
      <w:r w:rsidRPr="00336B0A">
        <w:rPr>
          <w:rFonts w:ascii="Arial" w:hAnsi="Arial" w:cs="Arial"/>
          <w:sz w:val="21"/>
          <w:szCs w:val="21"/>
          <w:lang w:val="en-GB"/>
        </w:rPr>
        <w:t xml:space="preserve"> </w:t>
      </w:r>
      <w:r w:rsidR="0000374E">
        <w:rPr>
          <w:rFonts w:ascii="Arial" w:hAnsi="Arial" w:cs="Arial"/>
          <w:sz w:val="21"/>
          <w:szCs w:val="21"/>
          <w:lang w:val="en-GB"/>
        </w:rPr>
        <w:t xml:space="preserve">and system partners </w:t>
      </w:r>
      <w:r w:rsidR="00A22583">
        <w:rPr>
          <w:rFonts w:ascii="Arial" w:hAnsi="Arial" w:cs="Arial"/>
          <w:sz w:val="21"/>
          <w:szCs w:val="21"/>
          <w:lang w:val="en-GB"/>
        </w:rPr>
        <w:t>had a role in acting as connectors</w:t>
      </w:r>
      <w:r w:rsidRPr="00336B0A">
        <w:rPr>
          <w:rFonts w:ascii="Arial" w:hAnsi="Arial" w:cs="Arial"/>
          <w:sz w:val="21"/>
          <w:szCs w:val="21"/>
          <w:lang w:val="en-GB"/>
        </w:rPr>
        <w:t xml:space="preserve"> — linking groups to partners, supporting applications and navigating </w:t>
      </w:r>
      <w:r w:rsidR="000E2846">
        <w:rPr>
          <w:rFonts w:ascii="Arial" w:hAnsi="Arial" w:cs="Arial"/>
          <w:sz w:val="21"/>
          <w:szCs w:val="21"/>
          <w:lang w:val="en-GB"/>
        </w:rPr>
        <w:t>local</w:t>
      </w:r>
      <w:r w:rsidR="0000374E">
        <w:rPr>
          <w:rFonts w:ascii="Arial" w:hAnsi="Arial" w:cs="Arial"/>
          <w:sz w:val="21"/>
          <w:szCs w:val="21"/>
          <w:lang w:val="en-GB"/>
        </w:rPr>
        <w:t xml:space="preserve"> networks and</w:t>
      </w:r>
      <w:r w:rsidR="000E2846">
        <w:rPr>
          <w:rFonts w:ascii="Arial" w:hAnsi="Arial" w:cs="Arial"/>
          <w:sz w:val="21"/>
          <w:szCs w:val="21"/>
          <w:lang w:val="en-GB"/>
        </w:rPr>
        <w:t xml:space="preserve"> </w:t>
      </w:r>
      <w:r w:rsidRPr="00336B0A">
        <w:rPr>
          <w:rFonts w:ascii="Arial" w:hAnsi="Arial" w:cs="Arial"/>
          <w:sz w:val="21"/>
          <w:szCs w:val="21"/>
          <w:lang w:val="en-GB"/>
        </w:rPr>
        <w:t>processes.</w:t>
      </w:r>
      <w:r w:rsidR="00EA1FA4">
        <w:rPr>
          <w:rFonts w:ascii="Arial" w:hAnsi="Arial" w:cs="Arial"/>
          <w:sz w:val="21"/>
          <w:szCs w:val="21"/>
          <w:lang w:val="en-GB"/>
        </w:rPr>
        <w:t xml:space="preserve"> </w:t>
      </w:r>
    </w:p>
    <w:p w14:paraId="2EA2184B" w14:textId="77777777" w:rsidR="00430B1B" w:rsidRDefault="00430B1B" w:rsidP="00430B1B">
      <w:pPr>
        <w:spacing w:after="0"/>
        <w:rPr>
          <w:rFonts w:ascii="Arial" w:eastAsiaTheme="majorEastAsia" w:hAnsi="Arial" w:cs="Arial"/>
          <w:b/>
          <w:bCs/>
          <w:color w:val="4F81BD" w:themeColor="accent1"/>
          <w:sz w:val="21"/>
          <w:szCs w:val="21"/>
          <w:lang w:val="en-GB"/>
        </w:rPr>
      </w:pPr>
    </w:p>
    <w:p w14:paraId="3CBC8B02" w14:textId="53E260A2" w:rsidR="00880FC5" w:rsidRPr="00B83D34" w:rsidRDefault="0006787D" w:rsidP="00430B1B">
      <w:pPr>
        <w:spacing w:after="0"/>
        <w:rPr>
          <w:rFonts w:ascii="Arial" w:eastAsiaTheme="majorEastAsia" w:hAnsi="Arial" w:cs="Arial"/>
          <w:b/>
          <w:bCs/>
          <w:color w:val="4F81BD" w:themeColor="accent1"/>
          <w:sz w:val="21"/>
          <w:szCs w:val="21"/>
          <w:lang w:val="en-GB"/>
        </w:rPr>
      </w:pPr>
      <w:r>
        <w:rPr>
          <w:rFonts w:ascii="Arial" w:eastAsiaTheme="majorEastAsia" w:hAnsi="Arial" w:cs="Arial"/>
          <w:b/>
          <w:bCs/>
          <w:color w:val="4F81BD" w:themeColor="accent1"/>
          <w:sz w:val="21"/>
          <w:szCs w:val="21"/>
          <w:lang w:val="en-GB"/>
        </w:rPr>
        <w:t xml:space="preserve">3.3 </w:t>
      </w:r>
      <w:r w:rsidR="005D32EB" w:rsidRPr="00B83D34">
        <w:rPr>
          <w:rFonts w:ascii="Arial" w:eastAsiaTheme="majorEastAsia" w:hAnsi="Arial" w:cs="Arial"/>
          <w:b/>
          <w:bCs/>
          <w:color w:val="4F81BD" w:themeColor="accent1"/>
          <w:sz w:val="21"/>
          <w:szCs w:val="21"/>
          <w:lang w:val="en-GB"/>
        </w:rPr>
        <w:t>Design tensions – timeframe</w:t>
      </w:r>
      <w:r w:rsidR="00774EA1">
        <w:rPr>
          <w:rFonts w:ascii="Arial" w:eastAsiaTheme="majorEastAsia" w:hAnsi="Arial" w:cs="Arial"/>
          <w:b/>
          <w:bCs/>
          <w:color w:val="4F81BD" w:themeColor="accent1"/>
          <w:sz w:val="21"/>
          <w:szCs w:val="21"/>
          <w:lang w:val="en-GB"/>
        </w:rPr>
        <w:t xml:space="preserve"> and</w:t>
      </w:r>
      <w:r w:rsidR="005D32EB" w:rsidRPr="00B83D34">
        <w:rPr>
          <w:rFonts w:ascii="Arial" w:eastAsiaTheme="majorEastAsia" w:hAnsi="Arial" w:cs="Arial"/>
          <w:b/>
          <w:bCs/>
          <w:color w:val="4F81BD" w:themeColor="accent1"/>
          <w:sz w:val="21"/>
          <w:szCs w:val="21"/>
          <w:lang w:val="en-GB"/>
        </w:rPr>
        <w:t xml:space="preserve"> fragmentation </w:t>
      </w:r>
    </w:p>
    <w:p w14:paraId="222D2762" w14:textId="3B84DC0C" w:rsidR="005D32EB" w:rsidRPr="005D32EB" w:rsidRDefault="005D32EB" w:rsidP="00430B1B">
      <w:pPr>
        <w:spacing w:after="0"/>
        <w:rPr>
          <w:rFonts w:ascii="Arial" w:hAnsi="Arial" w:cs="Arial"/>
          <w:sz w:val="21"/>
          <w:szCs w:val="21"/>
          <w:lang w:val="en-GB"/>
        </w:rPr>
      </w:pPr>
      <w:r w:rsidRPr="0F4345E3">
        <w:rPr>
          <w:rFonts w:ascii="Arial" w:hAnsi="Arial" w:cs="Arial"/>
          <w:sz w:val="21"/>
          <w:szCs w:val="21"/>
          <w:lang w:val="en-GB"/>
        </w:rPr>
        <w:t>While the seed funding model was widely welcomed, stakeholders identified structural tensions. The one-year funding cycle was the most consistent concern:</w:t>
      </w:r>
      <w:r>
        <w:br/>
      </w:r>
    </w:p>
    <w:p w14:paraId="394C9EB6" w14:textId="7E478410" w:rsidR="005D32EB" w:rsidRPr="00B83D34" w:rsidRDefault="005D32EB" w:rsidP="00430B1B">
      <w:pPr>
        <w:spacing w:after="0"/>
        <w:jc w:val="center"/>
        <w:rPr>
          <w:rFonts w:ascii="Arial" w:hAnsi="Arial" w:cs="Arial"/>
          <w:i/>
          <w:iCs/>
          <w:sz w:val="21"/>
          <w:szCs w:val="21"/>
          <w:lang w:val="en-GB"/>
        </w:rPr>
      </w:pPr>
      <w:r w:rsidRPr="00B83D34">
        <w:rPr>
          <w:rFonts w:ascii="Arial" w:hAnsi="Arial" w:cs="Arial"/>
          <w:i/>
          <w:iCs/>
          <w:sz w:val="21"/>
          <w:szCs w:val="21"/>
          <w:lang w:val="en-GB"/>
        </w:rPr>
        <w:t>“You’re only just seeing whether something works when the funding ends.”</w:t>
      </w:r>
    </w:p>
    <w:p w14:paraId="34B25A30" w14:textId="77777777" w:rsidR="00430B1B" w:rsidRDefault="00430B1B" w:rsidP="00430B1B">
      <w:pPr>
        <w:spacing w:after="0"/>
        <w:rPr>
          <w:rFonts w:ascii="Arial" w:hAnsi="Arial" w:cs="Arial"/>
          <w:sz w:val="21"/>
          <w:szCs w:val="21"/>
          <w:lang w:val="en-GB"/>
        </w:rPr>
      </w:pPr>
    </w:p>
    <w:p w14:paraId="5DD0B24D" w14:textId="00FAE867" w:rsidR="005D32EB" w:rsidRPr="00774EA1" w:rsidRDefault="008B679F" w:rsidP="00430B1B">
      <w:pPr>
        <w:spacing w:after="0"/>
        <w:rPr>
          <w:rFonts w:ascii="Arial" w:hAnsi="Arial" w:cs="Arial"/>
          <w:sz w:val="21"/>
          <w:szCs w:val="21"/>
          <w:lang w:val="en-GB"/>
        </w:rPr>
      </w:pPr>
      <w:r w:rsidRPr="00774EA1">
        <w:rPr>
          <w:rFonts w:ascii="Arial" w:hAnsi="Arial" w:cs="Arial"/>
          <w:sz w:val="21"/>
          <w:szCs w:val="21"/>
          <w:lang w:val="en-GB"/>
        </w:rPr>
        <w:t xml:space="preserve">Long term </w:t>
      </w:r>
      <w:r w:rsidR="00FE5C8B" w:rsidRPr="00B83D34">
        <w:rPr>
          <w:rFonts w:ascii="Arial" w:hAnsi="Arial" w:cs="Arial"/>
          <w:sz w:val="21"/>
          <w:szCs w:val="21"/>
          <w:lang w:val="en-GB"/>
        </w:rPr>
        <w:t xml:space="preserve">preventative </w:t>
      </w:r>
      <w:r w:rsidRPr="00774EA1">
        <w:rPr>
          <w:rFonts w:ascii="Arial" w:hAnsi="Arial" w:cs="Arial"/>
          <w:sz w:val="21"/>
          <w:szCs w:val="21"/>
          <w:lang w:val="en-GB"/>
        </w:rPr>
        <w:t>outcomes</w:t>
      </w:r>
      <w:r w:rsidR="005D32EB" w:rsidRPr="00774EA1">
        <w:rPr>
          <w:rFonts w:ascii="Arial" w:hAnsi="Arial" w:cs="Arial"/>
          <w:sz w:val="21"/>
          <w:szCs w:val="21"/>
          <w:lang w:val="en-GB"/>
        </w:rPr>
        <w:t xml:space="preserve"> often take time to mature. Commissioners and system partners suggested that longer funding </w:t>
      </w:r>
      <w:r w:rsidR="00BA1154" w:rsidRPr="00B83D34">
        <w:rPr>
          <w:rFonts w:ascii="Arial" w:hAnsi="Arial" w:cs="Arial"/>
          <w:sz w:val="21"/>
          <w:szCs w:val="21"/>
          <w:lang w:val="en-GB"/>
        </w:rPr>
        <w:t xml:space="preserve">periods could </w:t>
      </w:r>
      <w:r w:rsidR="005D32EB" w:rsidRPr="00774EA1">
        <w:rPr>
          <w:rFonts w:ascii="Arial" w:hAnsi="Arial" w:cs="Arial"/>
          <w:sz w:val="21"/>
          <w:szCs w:val="21"/>
          <w:lang w:val="en-GB"/>
        </w:rPr>
        <w:t xml:space="preserve">better align with </w:t>
      </w:r>
      <w:r w:rsidR="00F9160E" w:rsidRPr="00B83D34">
        <w:rPr>
          <w:rFonts w:ascii="Arial" w:hAnsi="Arial" w:cs="Arial"/>
          <w:sz w:val="21"/>
          <w:szCs w:val="21"/>
          <w:lang w:val="en-GB"/>
        </w:rPr>
        <w:t xml:space="preserve">the </w:t>
      </w:r>
      <w:r w:rsidR="005D32EB" w:rsidRPr="00774EA1">
        <w:rPr>
          <w:rFonts w:ascii="Arial" w:hAnsi="Arial" w:cs="Arial"/>
          <w:sz w:val="21"/>
          <w:szCs w:val="21"/>
          <w:lang w:val="en-GB"/>
        </w:rPr>
        <w:t xml:space="preserve">preventative </w:t>
      </w:r>
      <w:r w:rsidR="00BA1154" w:rsidRPr="00B83D34">
        <w:rPr>
          <w:rFonts w:ascii="Arial" w:hAnsi="Arial" w:cs="Arial"/>
          <w:sz w:val="21"/>
          <w:szCs w:val="21"/>
          <w:lang w:val="en-GB"/>
        </w:rPr>
        <w:t>ambition</w:t>
      </w:r>
      <w:r w:rsidR="008A70E7" w:rsidRPr="00774EA1">
        <w:rPr>
          <w:rFonts w:ascii="Arial" w:hAnsi="Arial" w:cs="Arial"/>
          <w:sz w:val="21"/>
          <w:szCs w:val="21"/>
          <w:lang w:val="en-GB"/>
        </w:rPr>
        <w:t>.</w:t>
      </w:r>
      <w:r w:rsidR="005D32EB" w:rsidRPr="00774EA1">
        <w:rPr>
          <w:rFonts w:ascii="Arial" w:hAnsi="Arial" w:cs="Arial"/>
          <w:sz w:val="21"/>
          <w:szCs w:val="21"/>
          <w:lang w:val="en-GB"/>
        </w:rPr>
        <w:t xml:space="preserve"> </w:t>
      </w:r>
    </w:p>
    <w:p w14:paraId="195A5990" w14:textId="77777777" w:rsidR="00430B1B" w:rsidRDefault="00430B1B" w:rsidP="00430B1B">
      <w:pPr>
        <w:spacing w:after="0"/>
        <w:rPr>
          <w:rFonts w:ascii="Arial" w:hAnsi="Arial" w:cs="Arial"/>
          <w:sz w:val="21"/>
          <w:szCs w:val="21"/>
          <w:lang w:val="en-GB"/>
        </w:rPr>
      </w:pPr>
    </w:p>
    <w:p w14:paraId="741FCA7C" w14:textId="393AA1B4" w:rsidR="005D32EB" w:rsidRDefault="005D32EB" w:rsidP="00430B1B">
      <w:pPr>
        <w:spacing w:after="0"/>
        <w:rPr>
          <w:rFonts w:ascii="Arial" w:hAnsi="Arial" w:cs="Arial"/>
          <w:sz w:val="21"/>
          <w:szCs w:val="21"/>
          <w:lang w:val="en-GB"/>
        </w:rPr>
      </w:pPr>
      <w:r w:rsidRPr="00774EA1">
        <w:rPr>
          <w:rFonts w:ascii="Arial" w:hAnsi="Arial" w:cs="Arial"/>
          <w:sz w:val="21"/>
          <w:szCs w:val="21"/>
          <w:lang w:val="en-GB"/>
        </w:rPr>
        <w:t xml:space="preserve">There were also reflections on fragmentation — </w:t>
      </w:r>
      <w:r w:rsidR="00FE5C8B" w:rsidRPr="00B83D34">
        <w:rPr>
          <w:rFonts w:ascii="Arial" w:hAnsi="Arial" w:cs="Arial"/>
          <w:sz w:val="21"/>
          <w:szCs w:val="21"/>
          <w:lang w:val="en-GB"/>
        </w:rPr>
        <w:t xml:space="preserve">in some cases </w:t>
      </w:r>
      <w:r w:rsidRPr="00774EA1">
        <w:rPr>
          <w:rFonts w:ascii="Arial" w:hAnsi="Arial" w:cs="Arial"/>
          <w:sz w:val="21"/>
          <w:szCs w:val="21"/>
          <w:lang w:val="en-GB"/>
        </w:rPr>
        <w:t>multiple small projects sometimes operating without full alignment to wider neighbourhood strategy.</w:t>
      </w:r>
      <w:r w:rsidR="00ED18EA" w:rsidRPr="00774EA1">
        <w:rPr>
          <w:rFonts w:ascii="Arial" w:hAnsi="Arial" w:cs="Arial"/>
          <w:sz w:val="21"/>
          <w:szCs w:val="21"/>
          <w:lang w:val="en-GB"/>
        </w:rPr>
        <w:t xml:space="preserve"> </w:t>
      </w:r>
      <w:r w:rsidRPr="00774EA1">
        <w:rPr>
          <w:rFonts w:ascii="Arial" w:hAnsi="Arial" w:cs="Arial"/>
          <w:sz w:val="21"/>
          <w:szCs w:val="21"/>
          <w:lang w:val="en-GB"/>
        </w:rPr>
        <w:t>In a dense urban context, one system partner noted:</w:t>
      </w:r>
    </w:p>
    <w:p w14:paraId="0F3B29A7" w14:textId="77777777" w:rsidR="00430B1B" w:rsidRPr="00774EA1" w:rsidRDefault="00430B1B" w:rsidP="00430B1B">
      <w:pPr>
        <w:spacing w:after="0"/>
        <w:rPr>
          <w:rFonts w:ascii="Arial" w:hAnsi="Arial" w:cs="Arial"/>
          <w:sz w:val="21"/>
          <w:szCs w:val="21"/>
          <w:lang w:val="en-GB"/>
        </w:rPr>
      </w:pPr>
    </w:p>
    <w:p w14:paraId="02A7F5FB" w14:textId="77777777" w:rsidR="005D32EB" w:rsidRPr="00B83D34" w:rsidRDefault="005D32EB" w:rsidP="00430B1B">
      <w:pPr>
        <w:spacing w:after="0"/>
        <w:rPr>
          <w:rFonts w:ascii="Arial" w:hAnsi="Arial" w:cs="Arial"/>
          <w:i/>
          <w:iCs/>
          <w:sz w:val="21"/>
          <w:szCs w:val="21"/>
          <w:lang w:val="en-GB"/>
        </w:rPr>
      </w:pPr>
      <w:r w:rsidRPr="00B83D34">
        <w:rPr>
          <w:rFonts w:ascii="Arial" w:hAnsi="Arial" w:cs="Arial"/>
          <w:i/>
          <w:iCs/>
          <w:sz w:val="21"/>
          <w:szCs w:val="21"/>
          <w:lang w:val="en-GB"/>
        </w:rPr>
        <w:t xml:space="preserve">“We’ve got loads… hundreds and hundreds of organisations… it’s amazing, but it’s also overwhelming.” </w:t>
      </w:r>
    </w:p>
    <w:p w14:paraId="4DCA2134" w14:textId="77777777" w:rsidR="00430B1B" w:rsidRDefault="00430B1B" w:rsidP="00430B1B">
      <w:pPr>
        <w:spacing w:after="0"/>
        <w:rPr>
          <w:rFonts w:ascii="Arial" w:hAnsi="Arial" w:cs="Arial"/>
          <w:sz w:val="21"/>
          <w:szCs w:val="21"/>
          <w:lang w:val="en-GB"/>
        </w:rPr>
      </w:pPr>
    </w:p>
    <w:p w14:paraId="09BA3F75" w14:textId="281DC3A5" w:rsidR="00880FC5" w:rsidRPr="00312D3E" w:rsidRDefault="005D32EB" w:rsidP="00430B1B">
      <w:pPr>
        <w:spacing w:after="0"/>
        <w:rPr>
          <w:rFonts w:ascii="Arial" w:hAnsi="Arial" w:cs="Arial"/>
          <w:sz w:val="21"/>
          <w:szCs w:val="21"/>
          <w:lang w:val="en-GB"/>
        </w:rPr>
      </w:pPr>
      <w:r w:rsidRPr="0F4345E3">
        <w:rPr>
          <w:rFonts w:ascii="Arial" w:hAnsi="Arial" w:cs="Arial"/>
          <w:sz w:val="21"/>
          <w:szCs w:val="21"/>
          <w:lang w:val="en-GB"/>
        </w:rPr>
        <w:t xml:space="preserve">This raises questions not </w:t>
      </w:r>
      <w:r w:rsidR="00834161" w:rsidRPr="0F4345E3">
        <w:rPr>
          <w:rFonts w:ascii="Arial" w:hAnsi="Arial" w:cs="Arial"/>
          <w:sz w:val="21"/>
          <w:szCs w:val="21"/>
          <w:lang w:val="en-GB"/>
        </w:rPr>
        <w:t xml:space="preserve">only </w:t>
      </w:r>
      <w:r w:rsidRPr="0F4345E3">
        <w:rPr>
          <w:rFonts w:ascii="Arial" w:hAnsi="Arial" w:cs="Arial"/>
          <w:sz w:val="21"/>
          <w:szCs w:val="21"/>
          <w:lang w:val="en-GB"/>
        </w:rPr>
        <w:t>about availability of provision, but about coordination</w:t>
      </w:r>
      <w:r w:rsidR="00F9160E" w:rsidRPr="0F4345E3">
        <w:rPr>
          <w:rFonts w:ascii="Arial" w:hAnsi="Arial" w:cs="Arial"/>
          <w:sz w:val="21"/>
          <w:szCs w:val="21"/>
          <w:lang w:val="en-GB"/>
        </w:rPr>
        <w:t xml:space="preserve"> of funded activities</w:t>
      </w:r>
      <w:r w:rsidR="4BA15CAA" w:rsidRPr="0F4345E3">
        <w:rPr>
          <w:rFonts w:ascii="Arial" w:hAnsi="Arial" w:cs="Arial"/>
          <w:sz w:val="21"/>
          <w:szCs w:val="21"/>
          <w:lang w:val="en-GB"/>
        </w:rPr>
        <w:t>,</w:t>
      </w:r>
      <w:r w:rsidR="00774EA1" w:rsidRPr="0F4345E3">
        <w:rPr>
          <w:rFonts w:ascii="Arial" w:hAnsi="Arial" w:cs="Arial"/>
          <w:sz w:val="21"/>
          <w:szCs w:val="21"/>
          <w:lang w:val="en-GB"/>
        </w:rPr>
        <w:t xml:space="preserve"> and how they sit as part of the wider </w:t>
      </w:r>
      <w:r w:rsidR="00834161" w:rsidRPr="0F4345E3">
        <w:rPr>
          <w:rFonts w:ascii="Arial" w:hAnsi="Arial" w:cs="Arial"/>
          <w:sz w:val="21"/>
          <w:szCs w:val="21"/>
          <w:lang w:val="en-GB"/>
        </w:rPr>
        <w:t>local landscape.</w:t>
      </w:r>
    </w:p>
    <w:p w14:paraId="0B307B95" w14:textId="52D442C8" w:rsidR="0032172A" w:rsidRPr="004B2A74" w:rsidRDefault="00C203E3" w:rsidP="004B2A74">
      <w:pPr>
        <w:pStyle w:val="Heading1"/>
      </w:pPr>
      <w:r>
        <w:lastRenderedPageBreak/>
        <w:t>4</w:t>
      </w:r>
      <w:r w:rsidR="004B2A74" w:rsidRPr="004B2A74">
        <w:t>. What difference the seed funding has made</w:t>
      </w:r>
    </w:p>
    <w:p w14:paraId="5E01B4CE" w14:textId="40DE6E7D" w:rsidR="0032172A" w:rsidRPr="004B2A74" w:rsidRDefault="6BCE032F">
      <w:pPr>
        <w:rPr>
          <w:rFonts w:ascii="Arial" w:hAnsi="Arial" w:cs="Arial"/>
          <w:sz w:val="21"/>
          <w:szCs w:val="21"/>
          <w:lang w:val="en-GB"/>
        </w:rPr>
      </w:pPr>
      <w:r w:rsidRPr="6BCE032F">
        <w:rPr>
          <w:rFonts w:ascii="Arial" w:hAnsi="Arial" w:cs="Arial"/>
          <w:sz w:val="21"/>
          <w:szCs w:val="21"/>
          <w:lang w:val="en-GB"/>
        </w:rPr>
        <w:t>The evidence across all methods points to consistent early outcomes for older people and, in many cases, offering wider outcomes for carers, volunteers and community organisations. Locality found that the most reliable and immediate changes are social and emotional: belonging, confidence, routine, and improved mood.</w:t>
      </w:r>
    </w:p>
    <w:p w14:paraId="02822D17"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This does not mean the work is “only social”. In practice, social connection is often the route into wider benefits: physical activity, early help, advice, and a renewed sense of agency.</w:t>
      </w:r>
    </w:p>
    <w:p w14:paraId="57086E32" w14:textId="3412C168" w:rsidR="0032172A" w:rsidRPr="004B2A74" w:rsidRDefault="00C203E3">
      <w:pPr>
        <w:pStyle w:val="Heading2"/>
        <w:rPr>
          <w:rFonts w:ascii="Arial" w:hAnsi="Arial" w:cs="Arial"/>
          <w:sz w:val="21"/>
          <w:szCs w:val="21"/>
          <w:lang w:val="en-GB"/>
        </w:rPr>
      </w:pPr>
      <w:r>
        <w:rPr>
          <w:rFonts w:ascii="Arial" w:hAnsi="Arial" w:cs="Arial"/>
          <w:sz w:val="21"/>
          <w:szCs w:val="21"/>
          <w:lang w:val="en-GB"/>
        </w:rPr>
        <w:t>4.</w:t>
      </w:r>
      <w:r w:rsidR="6BCE032F" w:rsidRPr="6BCE032F">
        <w:rPr>
          <w:rFonts w:ascii="Arial" w:hAnsi="Arial" w:cs="Arial"/>
          <w:sz w:val="21"/>
          <w:szCs w:val="21"/>
          <w:lang w:val="en-GB"/>
        </w:rPr>
        <w:t>1 Outcomes for older people</w:t>
      </w:r>
    </w:p>
    <w:p w14:paraId="79785FC3" w14:textId="4E9288F3" w:rsidR="0032172A" w:rsidRPr="004B2A74" w:rsidRDefault="003D4C3B">
      <w:pPr>
        <w:rPr>
          <w:rFonts w:ascii="Arial" w:hAnsi="Arial" w:cs="Arial"/>
          <w:sz w:val="21"/>
          <w:szCs w:val="21"/>
          <w:lang w:val="en-GB"/>
        </w:rPr>
      </w:pPr>
      <w:r>
        <w:rPr>
          <w:rFonts w:ascii="Arial" w:hAnsi="Arial" w:cs="Arial"/>
          <w:sz w:val="21"/>
          <w:szCs w:val="21"/>
          <w:lang w:val="en-GB"/>
        </w:rPr>
        <w:t>Survey findings</w:t>
      </w:r>
      <w:r w:rsidR="004B2A74" w:rsidRPr="004B2A74">
        <w:rPr>
          <w:rFonts w:ascii="Arial" w:hAnsi="Arial" w:cs="Arial"/>
          <w:sz w:val="21"/>
          <w:szCs w:val="21"/>
          <w:lang w:val="en-GB"/>
        </w:rPr>
        <w:t xml:space="preserve"> show strong consistency across respondents: reduced loneliness, improved wellbeing and mood, increased confidence, and a greater sense of routine (see Appendix D). Providers described these changes in everyday language. One respondent told us:</w:t>
      </w:r>
    </w:p>
    <w:p w14:paraId="19FEA664" w14:textId="77777777" w:rsidR="0032172A" w:rsidRPr="004B2A74" w:rsidRDefault="004B2A74" w:rsidP="00430B1B">
      <w:pPr>
        <w:ind w:right="454"/>
        <w:jc w:val="center"/>
        <w:rPr>
          <w:rFonts w:ascii="Arial" w:hAnsi="Arial" w:cs="Arial"/>
          <w:sz w:val="21"/>
          <w:szCs w:val="21"/>
          <w:lang w:val="en-GB"/>
        </w:rPr>
      </w:pPr>
      <w:r w:rsidRPr="004B2A74">
        <w:rPr>
          <w:rFonts w:ascii="Arial" w:hAnsi="Arial" w:cs="Arial"/>
          <w:i/>
          <w:sz w:val="21"/>
          <w:szCs w:val="21"/>
          <w:lang w:val="en-GB"/>
        </w:rPr>
        <w:t>“People tell us this is the highlight of their week — it gives them something to look forward to.”</w:t>
      </w:r>
    </w:p>
    <w:p w14:paraId="3DA3E3F4" w14:textId="164E8E3D" w:rsidR="00BC685C" w:rsidRDefault="004B2A74">
      <w:pPr>
        <w:rPr>
          <w:rFonts w:ascii="Arial" w:hAnsi="Arial" w:cs="Arial"/>
          <w:sz w:val="21"/>
          <w:szCs w:val="21"/>
          <w:lang w:val="en-GB"/>
        </w:rPr>
      </w:pPr>
      <w:r w:rsidRPr="004B2A74">
        <w:rPr>
          <w:rFonts w:ascii="Arial" w:hAnsi="Arial" w:cs="Arial"/>
          <w:sz w:val="21"/>
          <w:szCs w:val="21"/>
          <w:lang w:val="en-GB"/>
        </w:rPr>
        <w:t xml:space="preserve">In the case studies, we heard similar themes, but with richer detail. For example, </w:t>
      </w:r>
      <w:r w:rsidR="00BC685C">
        <w:rPr>
          <w:rFonts w:ascii="Arial" w:hAnsi="Arial" w:cs="Arial"/>
          <w:sz w:val="21"/>
          <w:szCs w:val="21"/>
        </w:rPr>
        <w:t>i</w:t>
      </w:r>
      <w:r w:rsidR="00BC685C" w:rsidRPr="00BC685C">
        <w:rPr>
          <w:rFonts w:ascii="Arial" w:hAnsi="Arial" w:cs="Arial"/>
          <w:sz w:val="21"/>
          <w:szCs w:val="21"/>
        </w:rPr>
        <w:t>n CARESCO’s Day Club, staff observed visible changes in confidence over time:</w:t>
      </w:r>
    </w:p>
    <w:p w14:paraId="48A0E747" w14:textId="484DD03F" w:rsidR="005061CB" w:rsidRDefault="00141DEB" w:rsidP="0F4345E3">
      <w:pPr>
        <w:ind w:firstLine="720"/>
        <w:rPr>
          <w:rFonts w:ascii="Arial" w:hAnsi="Arial" w:cs="Arial"/>
          <w:i/>
          <w:iCs/>
          <w:sz w:val="21"/>
          <w:szCs w:val="21"/>
        </w:rPr>
      </w:pPr>
      <w:r w:rsidRPr="0F4345E3">
        <w:rPr>
          <w:rFonts w:ascii="Arial" w:hAnsi="Arial" w:cs="Arial"/>
          <w:i/>
          <w:iCs/>
          <w:sz w:val="21"/>
          <w:szCs w:val="21"/>
        </w:rPr>
        <w:t xml:space="preserve">“When somebody first </w:t>
      </w:r>
      <w:proofErr w:type="gramStart"/>
      <w:r w:rsidRPr="0F4345E3">
        <w:rPr>
          <w:rFonts w:ascii="Arial" w:hAnsi="Arial" w:cs="Arial"/>
          <w:i/>
          <w:iCs/>
          <w:sz w:val="21"/>
          <w:szCs w:val="21"/>
        </w:rPr>
        <w:t>comes</w:t>
      </w:r>
      <w:proofErr w:type="gramEnd"/>
      <w:r w:rsidRPr="0F4345E3">
        <w:rPr>
          <w:rFonts w:ascii="Arial" w:hAnsi="Arial" w:cs="Arial"/>
          <w:i/>
          <w:iCs/>
          <w:sz w:val="21"/>
          <w:szCs w:val="21"/>
        </w:rPr>
        <w:t xml:space="preserve"> they can be very quiet… then all of a sudden they’re chatting, </w:t>
      </w:r>
      <w:r>
        <w:br/>
      </w:r>
      <w:r>
        <w:tab/>
      </w:r>
      <w:r w:rsidRPr="0F4345E3">
        <w:rPr>
          <w:rFonts w:ascii="Arial" w:hAnsi="Arial" w:cs="Arial"/>
          <w:i/>
          <w:iCs/>
          <w:sz w:val="21"/>
          <w:szCs w:val="21"/>
        </w:rPr>
        <w:t>laughing, joking.”</w:t>
      </w:r>
    </w:p>
    <w:p w14:paraId="1408D93C" w14:textId="5B2D4AC5" w:rsidR="0009774D" w:rsidRPr="00B83D34" w:rsidRDefault="0009774D" w:rsidP="0009774D">
      <w:pPr>
        <w:rPr>
          <w:rFonts w:ascii="Arial" w:hAnsi="Arial" w:cs="Arial"/>
          <w:sz w:val="21"/>
          <w:szCs w:val="21"/>
          <w:lang w:val="en-GB"/>
        </w:rPr>
      </w:pPr>
      <w:r w:rsidRPr="00B83D34">
        <w:rPr>
          <w:rFonts w:ascii="Arial" w:hAnsi="Arial" w:cs="Arial"/>
          <w:sz w:val="21"/>
          <w:szCs w:val="21"/>
          <w:lang w:val="en-GB"/>
        </w:rPr>
        <w:t xml:space="preserve">Importantly, evidence across case studies also indicates that the benefits </w:t>
      </w:r>
      <w:r w:rsidR="00162160">
        <w:rPr>
          <w:rFonts w:ascii="Arial" w:hAnsi="Arial" w:cs="Arial"/>
          <w:sz w:val="21"/>
          <w:szCs w:val="21"/>
          <w:lang w:val="en-GB"/>
        </w:rPr>
        <w:t xml:space="preserve">experienced by the participants </w:t>
      </w:r>
      <w:r w:rsidRPr="00B83D34">
        <w:rPr>
          <w:rFonts w:ascii="Arial" w:hAnsi="Arial" w:cs="Arial"/>
          <w:sz w:val="21"/>
          <w:szCs w:val="21"/>
          <w:lang w:val="en-GB"/>
        </w:rPr>
        <w:t>often extend beyond the immediate session itself.</w:t>
      </w:r>
      <w:r w:rsidR="007D0F97">
        <w:rPr>
          <w:rFonts w:ascii="Arial" w:hAnsi="Arial" w:cs="Arial"/>
          <w:sz w:val="21"/>
          <w:szCs w:val="21"/>
          <w:lang w:val="en-GB"/>
        </w:rPr>
        <w:t xml:space="preserve"> </w:t>
      </w:r>
      <w:r w:rsidRPr="00B83D34">
        <w:rPr>
          <w:rFonts w:ascii="Arial" w:hAnsi="Arial" w:cs="Arial"/>
          <w:sz w:val="21"/>
          <w:szCs w:val="21"/>
          <w:lang w:val="en-GB"/>
        </w:rPr>
        <w:t>At the Ferry Project, participants formed friendships that continued outside the cookery school:</w:t>
      </w:r>
    </w:p>
    <w:p w14:paraId="328289B8" w14:textId="77777777" w:rsidR="0009774D" w:rsidRDefault="0009774D" w:rsidP="00430B1B">
      <w:pPr>
        <w:jc w:val="center"/>
        <w:rPr>
          <w:rFonts w:ascii="Arial" w:hAnsi="Arial" w:cs="Arial"/>
          <w:i/>
          <w:iCs/>
          <w:sz w:val="21"/>
          <w:szCs w:val="21"/>
          <w:lang w:val="en-GB"/>
        </w:rPr>
      </w:pPr>
      <w:r w:rsidRPr="0009774D">
        <w:rPr>
          <w:rFonts w:ascii="Arial" w:hAnsi="Arial" w:cs="Arial"/>
          <w:i/>
          <w:iCs/>
          <w:sz w:val="21"/>
          <w:szCs w:val="21"/>
          <w:lang w:val="en-GB"/>
        </w:rPr>
        <w:t>“They were making friends… meeting those people outside the cookery school — the end result has been quite transformative.”</w:t>
      </w:r>
    </w:p>
    <w:p w14:paraId="2F579A9A" w14:textId="445A9B10" w:rsidR="00622411" w:rsidRDefault="001B43F8" w:rsidP="0009774D">
      <w:pPr>
        <w:rPr>
          <w:rFonts w:ascii="Arial" w:hAnsi="Arial" w:cs="Arial"/>
          <w:sz w:val="21"/>
          <w:szCs w:val="21"/>
          <w:lang w:val="en-GB"/>
        </w:rPr>
      </w:pPr>
      <w:r w:rsidRPr="00B83D34">
        <w:rPr>
          <w:rFonts w:ascii="Arial" w:hAnsi="Arial" w:cs="Arial"/>
          <w:sz w:val="21"/>
          <w:szCs w:val="21"/>
          <w:lang w:val="en-GB"/>
        </w:rPr>
        <w:t xml:space="preserve">This suggests that relationships formed within structured activities </w:t>
      </w:r>
      <w:r w:rsidR="000A5744" w:rsidRPr="00B83D34">
        <w:rPr>
          <w:rFonts w:ascii="Arial" w:hAnsi="Arial" w:cs="Arial"/>
          <w:sz w:val="21"/>
          <w:szCs w:val="21"/>
          <w:lang w:val="en-GB"/>
        </w:rPr>
        <w:t>translate i</w:t>
      </w:r>
      <w:r w:rsidRPr="00B83D34">
        <w:rPr>
          <w:rFonts w:ascii="Arial" w:hAnsi="Arial" w:cs="Arial"/>
          <w:sz w:val="21"/>
          <w:szCs w:val="21"/>
          <w:lang w:val="en-GB"/>
        </w:rPr>
        <w:t>nto informal social networks.</w:t>
      </w:r>
      <w:r w:rsidR="00F255BE">
        <w:rPr>
          <w:rFonts w:ascii="Arial" w:hAnsi="Arial" w:cs="Arial"/>
          <w:sz w:val="21"/>
          <w:szCs w:val="21"/>
          <w:lang w:val="en-GB"/>
        </w:rPr>
        <w:t xml:space="preserve"> </w:t>
      </w:r>
      <w:r w:rsidR="00D60F58">
        <w:rPr>
          <w:rFonts w:ascii="Arial" w:hAnsi="Arial" w:cs="Arial"/>
          <w:sz w:val="21"/>
          <w:szCs w:val="21"/>
          <w:lang w:val="en-GB"/>
        </w:rPr>
        <w:t>Th</w:t>
      </w:r>
      <w:r w:rsidR="00D24C57">
        <w:rPr>
          <w:rFonts w:ascii="Arial" w:hAnsi="Arial" w:cs="Arial"/>
          <w:sz w:val="21"/>
          <w:szCs w:val="21"/>
          <w:lang w:val="en-GB"/>
        </w:rPr>
        <w:t>ese</w:t>
      </w:r>
      <w:r w:rsidR="00D60F58">
        <w:rPr>
          <w:rFonts w:ascii="Arial" w:hAnsi="Arial" w:cs="Arial"/>
          <w:sz w:val="21"/>
          <w:szCs w:val="21"/>
          <w:lang w:val="en-GB"/>
        </w:rPr>
        <w:t xml:space="preserve"> </w:t>
      </w:r>
      <w:r w:rsidR="00C203E3">
        <w:rPr>
          <w:rFonts w:ascii="Arial" w:hAnsi="Arial" w:cs="Arial"/>
          <w:sz w:val="21"/>
          <w:szCs w:val="21"/>
          <w:lang w:val="en-GB"/>
        </w:rPr>
        <w:t xml:space="preserve">projects </w:t>
      </w:r>
      <w:r w:rsidR="000A5744" w:rsidRPr="00B83D34">
        <w:rPr>
          <w:rFonts w:ascii="Arial" w:hAnsi="Arial" w:cs="Arial"/>
          <w:sz w:val="21"/>
          <w:szCs w:val="21"/>
          <w:lang w:val="en-GB"/>
        </w:rPr>
        <w:t xml:space="preserve">act as </w:t>
      </w:r>
      <w:proofErr w:type="gramStart"/>
      <w:r w:rsidR="000A5744" w:rsidRPr="00B83D34">
        <w:rPr>
          <w:rFonts w:ascii="Arial" w:hAnsi="Arial" w:cs="Arial"/>
          <w:sz w:val="21"/>
          <w:szCs w:val="21"/>
          <w:lang w:val="en-GB"/>
        </w:rPr>
        <w:t xml:space="preserve">gateways </w:t>
      </w:r>
      <w:r w:rsidRPr="00B83D34">
        <w:rPr>
          <w:rFonts w:ascii="Arial" w:hAnsi="Arial" w:cs="Arial"/>
          <w:sz w:val="21"/>
          <w:szCs w:val="21"/>
          <w:lang w:val="en-GB"/>
        </w:rPr>
        <w:t xml:space="preserve"> </w:t>
      </w:r>
      <w:r w:rsidR="00716586" w:rsidRPr="00B83D34">
        <w:rPr>
          <w:rFonts w:ascii="Arial" w:hAnsi="Arial" w:cs="Arial"/>
          <w:sz w:val="21"/>
          <w:szCs w:val="21"/>
          <w:lang w:val="en-GB"/>
        </w:rPr>
        <w:t>-</w:t>
      </w:r>
      <w:proofErr w:type="gramEnd"/>
      <w:r w:rsidRPr="00B83D34">
        <w:rPr>
          <w:rFonts w:ascii="Arial" w:hAnsi="Arial" w:cs="Arial"/>
          <w:sz w:val="21"/>
          <w:szCs w:val="21"/>
          <w:lang w:val="en-GB"/>
        </w:rPr>
        <w:t xml:space="preserve"> increasing confidence and enabling engagement with other forms of activity or community </w:t>
      </w:r>
      <w:r w:rsidR="00674CD1" w:rsidRPr="00B83D34">
        <w:rPr>
          <w:rFonts w:ascii="Arial" w:hAnsi="Arial" w:cs="Arial"/>
          <w:sz w:val="21"/>
          <w:szCs w:val="21"/>
          <w:lang w:val="en-GB"/>
        </w:rPr>
        <w:t>life</w:t>
      </w:r>
      <w:r w:rsidR="00674CD1">
        <w:rPr>
          <w:rFonts w:ascii="Arial" w:hAnsi="Arial" w:cs="Arial"/>
          <w:sz w:val="21"/>
          <w:szCs w:val="21"/>
          <w:lang w:val="en-GB"/>
        </w:rPr>
        <w:t xml:space="preserve"> and</w:t>
      </w:r>
      <w:r w:rsidR="004C0C10" w:rsidRPr="00B83D34">
        <w:rPr>
          <w:rFonts w:ascii="Arial" w:hAnsi="Arial" w:cs="Arial"/>
          <w:sz w:val="21"/>
          <w:szCs w:val="21"/>
          <w:lang w:val="en-GB"/>
        </w:rPr>
        <w:t xml:space="preserve"> </w:t>
      </w:r>
      <w:r w:rsidR="00622411" w:rsidRPr="00B83D34">
        <w:rPr>
          <w:rFonts w:ascii="Arial" w:hAnsi="Arial" w:cs="Arial"/>
          <w:sz w:val="21"/>
          <w:szCs w:val="21"/>
          <w:lang w:val="en-GB"/>
        </w:rPr>
        <w:t>contributing to continued</w:t>
      </w:r>
      <w:r w:rsidR="004C0C10" w:rsidRPr="00B83D34">
        <w:rPr>
          <w:rFonts w:ascii="Arial" w:hAnsi="Arial" w:cs="Arial"/>
          <w:sz w:val="21"/>
          <w:szCs w:val="21"/>
          <w:lang w:val="en-GB"/>
        </w:rPr>
        <w:t xml:space="preserve"> wellbeing outcomes</w:t>
      </w:r>
      <w:r w:rsidRPr="00B83D34">
        <w:rPr>
          <w:rFonts w:ascii="Arial" w:hAnsi="Arial" w:cs="Arial"/>
          <w:sz w:val="21"/>
          <w:szCs w:val="21"/>
          <w:lang w:val="en-GB"/>
        </w:rPr>
        <w:t>.</w:t>
      </w:r>
    </w:p>
    <w:p w14:paraId="3A2E3982" w14:textId="167C9159" w:rsidR="006F3719" w:rsidRDefault="00885448" w:rsidP="00885448">
      <w:pPr>
        <w:rPr>
          <w:rFonts w:ascii="Arial" w:hAnsi="Arial" w:cs="Arial"/>
          <w:sz w:val="21"/>
          <w:szCs w:val="21"/>
          <w:lang w:val="en-GB"/>
        </w:rPr>
      </w:pPr>
      <w:r w:rsidRPr="00885448">
        <w:rPr>
          <w:rFonts w:ascii="Arial" w:hAnsi="Arial" w:cs="Arial"/>
          <w:sz w:val="21"/>
          <w:szCs w:val="21"/>
          <w:lang w:val="en-GB"/>
        </w:rPr>
        <w:t>Across the programme, community-based physical activity emerged as a powerful gateway outcome</w:t>
      </w:r>
      <w:r w:rsidR="0031162F">
        <w:rPr>
          <w:rFonts w:ascii="Arial" w:hAnsi="Arial" w:cs="Arial"/>
          <w:sz w:val="21"/>
          <w:szCs w:val="21"/>
          <w:lang w:val="en-GB"/>
        </w:rPr>
        <w:t xml:space="preserve"> as well as an </w:t>
      </w:r>
      <w:proofErr w:type="gramStart"/>
      <w:r w:rsidR="0031162F">
        <w:rPr>
          <w:rFonts w:ascii="Arial" w:hAnsi="Arial" w:cs="Arial"/>
          <w:sz w:val="21"/>
          <w:szCs w:val="21"/>
          <w:lang w:val="en-GB"/>
        </w:rPr>
        <w:t>outcome in its own right</w:t>
      </w:r>
      <w:proofErr w:type="gramEnd"/>
      <w:r w:rsidRPr="00885448">
        <w:rPr>
          <w:rFonts w:ascii="Arial" w:hAnsi="Arial" w:cs="Arial"/>
          <w:sz w:val="21"/>
          <w:szCs w:val="21"/>
          <w:lang w:val="en-GB"/>
        </w:rPr>
        <w:t xml:space="preserve">. Often delivered in familiar, hyper-local venues – village halls, community centres and social clubs – sessions provided a low-barrier and trusted entry point for older residents who might not otherwise have engaged in formal </w:t>
      </w:r>
      <w:r w:rsidR="00BA4A96" w:rsidRPr="00885448">
        <w:rPr>
          <w:rFonts w:ascii="Arial" w:hAnsi="Arial" w:cs="Arial"/>
          <w:sz w:val="21"/>
          <w:szCs w:val="21"/>
          <w:lang w:val="en-GB"/>
        </w:rPr>
        <w:t>exercise</w:t>
      </w:r>
      <w:r w:rsidRPr="00885448">
        <w:rPr>
          <w:rFonts w:ascii="Arial" w:hAnsi="Arial" w:cs="Arial"/>
          <w:sz w:val="21"/>
          <w:szCs w:val="21"/>
          <w:lang w:val="en-GB"/>
        </w:rPr>
        <w:t>.</w:t>
      </w:r>
      <w:r w:rsidR="00E73B8A">
        <w:rPr>
          <w:rFonts w:ascii="Arial" w:hAnsi="Arial" w:cs="Arial"/>
          <w:sz w:val="21"/>
          <w:szCs w:val="21"/>
          <w:lang w:val="en-GB"/>
        </w:rPr>
        <w:t xml:space="preserve"> Participants improved their physical mobility and strength</w:t>
      </w:r>
      <w:r w:rsidR="008B67AD">
        <w:rPr>
          <w:rFonts w:ascii="Arial" w:hAnsi="Arial" w:cs="Arial"/>
          <w:sz w:val="21"/>
          <w:szCs w:val="21"/>
          <w:lang w:val="en-GB"/>
        </w:rPr>
        <w:t>, having possibly not engaged in this type of activity for decades</w:t>
      </w:r>
      <w:r w:rsidR="00E73B8A">
        <w:rPr>
          <w:rFonts w:ascii="Arial" w:hAnsi="Arial" w:cs="Arial"/>
          <w:sz w:val="21"/>
          <w:szCs w:val="21"/>
          <w:lang w:val="en-GB"/>
        </w:rPr>
        <w:t>.</w:t>
      </w:r>
      <w:r w:rsidRPr="00885448">
        <w:rPr>
          <w:rFonts w:ascii="Arial" w:hAnsi="Arial" w:cs="Arial"/>
          <w:sz w:val="21"/>
          <w:szCs w:val="21"/>
          <w:lang w:val="en-GB"/>
        </w:rPr>
        <w:t xml:space="preserve"> In many cases,</w:t>
      </w:r>
      <w:r w:rsidR="00A22A1F">
        <w:rPr>
          <w:rFonts w:ascii="Arial" w:hAnsi="Arial" w:cs="Arial"/>
          <w:sz w:val="21"/>
          <w:szCs w:val="21"/>
          <w:lang w:val="en-GB"/>
        </w:rPr>
        <w:t xml:space="preserve"> </w:t>
      </w:r>
      <w:r w:rsidRPr="00885448">
        <w:rPr>
          <w:rFonts w:ascii="Arial" w:hAnsi="Arial" w:cs="Arial"/>
          <w:sz w:val="21"/>
          <w:szCs w:val="21"/>
          <w:lang w:val="en-GB"/>
        </w:rPr>
        <w:t xml:space="preserve">the physical activity was inseparable from its social benefit: participants came initially for company or curiosity, and stayed for the improvement in strength, balance and confidence. As one participant reflected, </w:t>
      </w:r>
    </w:p>
    <w:p w14:paraId="0A0CA6FA" w14:textId="7DD6F2D1" w:rsidR="00885448" w:rsidRPr="00885448" w:rsidRDefault="00885448" w:rsidP="00430B1B">
      <w:pPr>
        <w:jc w:val="center"/>
        <w:rPr>
          <w:rFonts w:ascii="Arial" w:hAnsi="Arial" w:cs="Arial"/>
          <w:sz w:val="21"/>
          <w:szCs w:val="21"/>
          <w:lang w:val="en-GB"/>
        </w:rPr>
      </w:pPr>
      <w:r w:rsidRPr="00885448">
        <w:rPr>
          <w:rFonts w:ascii="Arial" w:hAnsi="Arial" w:cs="Arial"/>
          <w:i/>
          <w:iCs/>
          <w:sz w:val="21"/>
          <w:szCs w:val="21"/>
          <w:lang w:val="en-GB"/>
        </w:rPr>
        <w:t>“This is the first time in years I’ve done anything like this – I never thought I would, but I already feel stronger and more mobile.”</w:t>
      </w:r>
    </w:p>
    <w:p w14:paraId="23A1BB87" w14:textId="4FE8B8A9" w:rsidR="00885448" w:rsidRPr="00B83D34" w:rsidRDefault="00885448" w:rsidP="0009774D">
      <w:pPr>
        <w:rPr>
          <w:rFonts w:ascii="Arial" w:hAnsi="Arial" w:cs="Arial"/>
          <w:sz w:val="21"/>
          <w:szCs w:val="21"/>
          <w:lang w:val="en-GB"/>
        </w:rPr>
      </w:pPr>
      <w:r w:rsidRPr="00885448">
        <w:rPr>
          <w:rFonts w:ascii="Arial" w:hAnsi="Arial" w:cs="Arial"/>
          <w:sz w:val="21"/>
          <w:szCs w:val="21"/>
          <w:lang w:val="en-GB"/>
        </w:rPr>
        <w:t xml:space="preserve">Importantly, this pattern was evident across multiple districts, not solely within projects explicitly branded around fitness. </w:t>
      </w:r>
    </w:p>
    <w:p w14:paraId="7F86C8FE" w14:textId="1B2E432B" w:rsidR="0032172A" w:rsidRPr="004B2A74" w:rsidRDefault="00C203E3">
      <w:pPr>
        <w:pStyle w:val="Heading2"/>
        <w:rPr>
          <w:rFonts w:ascii="Arial" w:hAnsi="Arial" w:cs="Arial"/>
          <w:sz w:val="21"/>
          <w:szCs w:val="21"/>
          <w:lang w:val="en-GB"/>
        </w:rPr>
      </w:pPr>
      <w:r>
        <w:rPr>
          <w:rFonts w:ascii="Arial" w:hAnsi="Arial" w:cs="Arial"/>
          <w:sz w:val="21"/>
          <w:szCs w:val="21"/>
          <w:lang w:val="en-GB"/>
        </w:rPr>
        <w:lastRenderedPageBreak/>
        <w:t>4</w:t>
      </w:r>
      <w:r w:rsidR="004B2A74" w:rsidRPr="004B2A74">
        <w:rPr>
          <w:rFonts w:ascii="Arial" w:hAnsi="Arial" w:cs="Arial"/>
          <w:sz w:val="21"/>
          <w:szCs w:val="21"/>
          <w:lang w:val="en-GB"/>
        </w:rPr>
        <w:t>.2 Carers: reassurance, respite and shared understanding</w:t>
      </w:r>
    </w:p>
    <w:p w14:paraId="66210F34" w14:textId="6D465063" w:rsidR="003766C6" w:rsidRPr="004B2A74" w:rsidRDefault="00C2668D">
      <w:pPr>
        <w:rPr>
          <w:rFonts w:ascii="Arial" w:hAnsi="Arial" w:cs="Arial"/>
          <w:sz w:val="21"/>
          <w:szCs w:val="21"/>
          <w:lang w:val="en-GB"/>
        </w:rPr>
      </w:pPr>
      <w:r w:rsidRPr="0F4345E3">
        <w:rPr>
          <w:rFonts w:ascii="Arial" w:hAnsi="Arial" w:cs="Arial"/>
          <w:sz w:val="21"/>
          <w:szCs w:val="21"/>
        </w:rPr>
        <w:t>Across several projects, benefits extended beyond the participants themselves</w:t>
      </w:r>
      <w:r w:rsidR="6EFCD3EB" w:rsidRPr="0F4345E3">
        <w:rPr>
          <w:rFonts w:ascii="Arial" w:hAnsi="Arial" w:cs="Arial"/>
          <w:sz w:val="21"/>
          <w:szCs w:val="21"/>
        </w:rPr>
        <w:t>,</w:t>
      </w:r>
      <w:r w:rsidRPr="0F4345E3">
        <w:rPr>
          <w:rFonts w:ascii="Arial" w:hAnsi="Arial" w:cs="Arial"/>
          <w:sz w:val="21"/>
          <w:szCs w:val="21"/>
        </w:rPr>
        <w:t xml:space="preserve"> to include carers and family members. Whilst these outcomes are less consistently captured than those for older participants, the outcomes are present, </w:t>
      </w:r>
      <w:r w:rsidR="00996932" w:rsidRPr="0F4345E3">
        <w:rPr>
          <w:rFonts w:ascii="Arial" w:hAnsi="Arial" w:cs="Arial"/>
          <w:sz w:val="21"/>
          <w:szCs w:val="21"/>
        </w:rPr>
        <w:t>specifically where projects are dementia friendly or explicitly carer- inclusive.</w:t>
      </w:r>
    </w:p>
    <w:p w14:paraId="6C9245F6"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At Over Memory Cafe, carers described the value of a safe, familiar environment. The offer created a space where carers could relax, even briefly, because they trusted that their loved one was supported:</w:t>
      </w:r>
    </w:p>
    <w:p w14:paraId="4292EE92" w14:textId="77777777" w:rsidR="0032172A" w:rsidRDefault="004B2A74" w:rsidP="0F4345E3">
      <w:pPr>
        <w:ind w:left="454" w:right="454"/>
        <w:rPr>
          <w:rFonts w:ascii="Arial" w:hAnsi="Arial" w:cs="Arial"/>
          <w:i/>
          <w:iCs/>
          <w:sz w:val="21"/>
          <w:szCs w:val="21"/>
          <w:lang w:val="en-GB"/>
        </w:rPr>
      </w:pPr>
      <w:r w:rsidRPr="0F4345E3">
        <w:rPr>
          <w:rFonts w:ascii="Arial" w:hAnsi="Arial" w:cs="Arial"/>
          <w:i/>
          <w:iCs/>
          <w:sz w:val="21"/>
          <w:szCs w:val="21"/>
          <w:lang w:val="en-GB"/>
        </w:rPr>
        <w:t>“They know they’re in a very safe environment… and that gives them that two hours where they can relax.”</w:t>
      </w:r>
    </w:p>
    <w:p w14:paraId="381B70B9" w14:textId="77777777" w:rsidR="00747526" w:rsidRPr="00747526" w:rsidRDefault="00747526" w:rsidP="00747526">
      <w:pPr>
        <w:ind w:right="454"/>
        <w:rPr>
          <w:rFonts w:ascii="Arial" w:hAnsi="Arial" w:cs="Arial"/>
          <w:sz w:val="21"/>
          <w:szCs w:val="21"/>
          <w:lang w:val="en-GB"/>
        </w:rPr>
      </w:pPr>
      <w:r w:rsidRPr="00747526">
        <w:rPr>
          <w:rFonts w:ascii="Arial" w:hAnsi="Arial" w:cs="Arial"/>
          <w:sz w:val="21"/>
          <w:szCs w:val="21"/>
          <w:lang w:val="en-GB"/>
        </w:rPr>
        <w:t>At CARESCO, staff described the importance of predictable time away from caring responsibilities:</w:t>
      </w:r>
    </w:p>
    <w:p w14:paraId="4D774A47" w14:textId="4E0F2D13" w:rsidR="00747526" w:rsidRPr="00D24C57" w:rsidRDefault="00747526" w:rsidP="0F4345E3">
      <w:pPr>
        <w:ind w:left="720" w:right="454"/>
        <w:rPr>
          <w:rFonts w:ascii="Arial" w:hAnsi="Arial" w:cs="Arial"/>
          <w:i/>
          <w:iCs/>
          <w:sz w:val="21"/>
          <w:szCs w:val="21"/>
          <w:lang w:val="en-GB"/>
        </w:rPr>
      </w:pPr>
      <w:r w:rsidRPr="0F4345E3">
        <w:rPr>
          <w:rFonts w:ascii="Arial" w:hAnsi="Arial" w:cs="Arial"/>
          <w:i/>
          <w:iCs/>
          <w:sz w:val="21"/>
          <w:szCs w:val="21"/>
          <w:lang w:val="en-GB"/>
        </w:rPr>
        <w:t>“That one day a week is her one day when she doesn’t do anything at home… she can go out with her friends.”</w:t>
      </w:r>
    </w:p>
    <w:p w14:paraId="19D728CA" w14:textId="3B3C68F1" w:rsidR="0032172A" w:rsidRPr="004B2A74" w:rsidRDefault="00206E94" w:rsidP="00BD4058">
      <w:pPr>
        <w:ind w:right="454"/>
        <w:rPr>
          <w:rFonts w:ascii="Arial" w:hAnsi="Arial" w:cs="Arial"/>
          <w:sz w:val="21"/>
          <w:szCs w:val="21"/>
          <w:lang w:val="en-GB"/>
        </w:rPr>
      </w:pPr>
      <w:r w:rsidRPr="00206E94">
        <w:rPr>
          <w:rFonts w:ascii="Arial" w:hAnsi="Arial" w:cs="Arial"/>
          <w:sz w:val="21"/>
          <w:szCs w:val="21"/>
        </w:rPr>
        <w:t>Families were reassured knowing their relative was safe, engaged and supported</w:t>
      </w:r>
      <w:r>
        <w:rPr>
          <w:rFonts w:ascii="Arial" w:hAnsi="Arial" w:cs="Arial"/>
          <w:sz w:val="21"/>
          <w:szCs w:val="21"/>
        </w:rPr>
        <w:t xml:space="preserve">. </w:t>
      </w:r>
      <w:r w:rsidR="009226A8" w:rsidRPr="009226A8">
        <w:rPr>
          <w:rFonts w:ascii="Arial" w:hAnsi="Arial" w:cs="Arial"/>
          <w:sz w:val="21"/>
          <w:szCs w:val="21"/>
        </w:rPr>
        <w:t>This suggests that benefits extend into family wellbeing, reducing anxiety and pressure on informal carers.</w:t>
      </w:r>
      <w:r w:rsidR="00BD4058">
        <w:rPr>
          <w:rFonts w:ascii="Arial" w:hAnsi="Arial" w:cs="Arial"/>
          <w:sz w:val="21"/>
          <w:szCs w:val="21"/>
          <w:lang w:val="en-GB"/>
        </w:rPr>
        <w:t xml:space="preserve"> </w:t>
      </w:r>
      <w:r w:rsidR="004B2A74" w:rsidRPr="004B2A74">
        <w:rPr>
          <w:rFonts w:ascii="Arial" w:hAnsi="Arial" w:cs="Arial"/>
          <w:sz w:val="21"/>
          <w:szCs w:val="21"/>
          <w:lang w:val="en-GB"/>
        </w:rPr>
        <w:t>The</w:t>
      </w:r>
      <w:r w:rsidR="00996932">
        <w:rPr>
          <w:rFonts w:ascii="Arial" w:hAnsi="Arial" w:cs="Arial"/>
          <w:sz w:val="21"/>
          <w:szCs w:val="21"/>
          <w:lang w:val="en-GB"/>
        </w:rPr>
        <w:t>se</w:t>
      </w:r>
      <w:r w:rsidR="00961EB8">
        <w:rPr>
          <w:rFonts w:ascii="Arial" w:hAnsi="Arial" w:cs="Arial"/>
          <w:sz w:val="21"/>
          <w:szCs w:val="21"/>
          <w:lang w:val="en-GB"/>
        </w:rPr>
        <w:t xml:space="preserve"> </w:t>
      </w:r>
      <w:r w:rsidR="00936A52">
        <w:rPr>
          <w:rFonts w:ascii="Arial" w:hAnsi="Arial" w:cs="Arial"/>
          <w:sz w:val="21"/>
          <w:szCs w:val="21"/>
          <w:lang w:val="en-GB"/>
        </w:rPr>
        <w:t>examples</w:t>
      </w:r>
      <w:r w:rsidR="004B2A74" w:rsidRPr="004B2A74">
        <w:rPr>
          <w:rFonts w:ascii="Arial" w:hAnsi="Arial" w:cs="Arial"/>
          <w:sz w:val="21"/>
          <w:szCs w:val="21"/>
          <w:lang w:val="en-GB"/>
        </w:rPr>
        <w:t xml:space="preserve"> also highlight the importance of enjoyment and normality. The project is not framed as “support”; it is framed as a good afternoon out. That framing matters for stigma, attendance and early engagement.</w:t>
      </w:r>
    </w:p>
    <w:p w14:paraId="6E448760" w14:textId="4B64B90D" w:rsidR="0032172A" w:rsidRPr="004B2A74" w:rsidRDefault="00C203E3">
      <w:pPr>
        <w:pStyle w:val="Heading2"/>
        <w:rPr>
          <w:rFonts w:ascii="Arial" w:hAnsi="Arial" w:cs="Arial"/>
          <w:sz w:val="21"/>
          <w:szCs w:val="21"/>
          <w:lang w:val="en-GB"/>
        </w:rPr>
      </w:pPr>
      <w:r w:rsidRPr="0F4345E3">
        <w:rPr>
          <w:rFonts w:ascii="Arial" w:hAnsi="Arial" w:cs="Arial"/>
          <w:sz w:val="21"/>
          <w:szCs w:val="21"/>
          <w:lang w:val="en-GB"/>
        </w:rPr>
        <w:t>4</w:t>
      </w:r>
      <w:r w:rsidR="6BCE032F" w:rsidRPr="0F4345E3">
        <w:rPr>
          <w:rFonts w:ascii="Arial" w:hAnsi="Arial" w:cs="Arial"/>
          <w:sz w:val="21"/>
          <w:szCs w:val="21"/>
          <w:lang w:val="en-GB"/>
        </w:rPr>
        <w:t>.3 Volunteers and organisations: capacity as an outcome</w:t>
      </w:r>
    </w:p>
    <w:p w14:paraId="1F95ED1F" w14:textId="63113A0F" w:rsidR="0092480E" w:rsidRPr="0092480E" w:rsidRDefault="0092480E" w:rsidP="0092480E">
      <w:pPr>
        <w:rPr>
          <w:rFonts w:ascii="Arial" w:hAnsi="Arial" w:cs="Arial"/>
          <w:sz w:val="21"/>
          <w:szCs w:val="21"/>
          <w:lang w:val="en-GB"/>
        </w:rPr>
      </w:pPr>
      <w:r w:rsidRPr="0092480E">
        <w:rPr>
          <w:rFonts w:ascii="Arial" w:hAnsi="Arial" w:cs="Arial"/>
          <w:sz w:val="21"/>
          <w:szCs w:val="21"/>
          <w:lang w:val="en-GB"/>
        </w:rPr>
        <w:t>Across the desk review and interviews, Locality found that strengthened volunteer and organisational capacity is one of the more durable outcomes of the seed funding programme. Beyond direct participant impact, funding supported organisations to test ideas, strengthen governance, build volunteer confidence and deepen partnerships.</w:t>
      </w:r>
    </w:p>
    <w:p w14:paraId="4D6EE918" w14:textId="388079F7" w:rsidR="0092480E" w:rsidRPr="00BD4058" w:rsidRDefault="0092480E" w:rsidP="0092480E">
      <w:pPr>
        <w:rPr>
          <w:rFonts w:ascii="Arial" w:hAnsi="Arial" w:cs="Arial"/>
          <w:i/>
          <w:iCs/>
          <w:sz w:val="21"/>
          <w:szCs w:val="21"/>
          <w:lang w:val="en-GB"/>
        </w:rPr>
      </w:pPr>
      <w:r w:rsidRPr="0092480E">
        <w:rPr>
          <w:rFonts w:ascii="Arial" w:hAnsi="Arial" w:cs="Arial"/>
          <w:sz w:val="21"/>
          <w:szCs w:val="21"/>
          <w:lang w:val="en-GB"/>
        </w:rPr>
        <w:t xml:space="preserve">In </w:t>
      </w:r>
      <w:proofErr w:type="gramStart"/>
      <w:r w:rsidR="00F5228A">
        <w:rPr>
          <w:rFonts w:ascii="Arial" w:hAnsi="Arial" w:cs="Arial"/>
          <w:sz w:val="21"/>
          <w:szCs w:val="21"/>
          <w:lang w:val="en-GB"/>
        </w:rPr>
        <w:t>a number of</w:t>
      </w:r>
      <w:proofErr w:type="gramEnd"/>
      <w:r w:rsidR="00F5228A">
        <w:rPr>
          <w:rFonts w:ascii="Arial" w:hAnsi="Arial" w:cs="Arial"/>
          <w:sz w:val="21"/>
          <w:szCs w:val="21"/>
          <w:lang w:val="en-GB"/>
        </w:rPr>
        <w:t xml:space="preserve"> cases</w:t>
      </w:r>
      <w:r w:rsidRPr="0092480E">
        <w:rPr>
          <w:rFonts w:ascii="Arial" w:hAnsi="Arial" w:cs="Arial"/>
          <w:sz w:val="21"/>
          <w:szCs w:val="21"/>
          <w:lang w:val="en-GB"/>
        </w:rPr>
        <w:t xml:space="preserve">, participation progressed into volunteering. At Haddenham Social Hub, </w:t>
      </w:r>
      <w:r w:rsidR="00F5228A">
        <w:rPr>
          <w:rFonts w:ascii="Arial" w:hAnsi="Arial" w:cs="Arial"/>
          <w:sz w:val="21"/>
          <w:szCs w:val="21"/>
          <w:lang w:val="en-GB"/>
        </w:rPr>
        <w:t>an individual who</w:t>
      </w:r>
      <w:r w:rsidRPr="0092480E">
        <w:rPr>
          <w:rFonts w:ascii="Arial" w:hAnsi="Arial" w:cs="Arial"/>
          <w:sz w:val="21"/>
          <w:szCs w:val="21"/>
          <w:lang w:val="en-GB"/>
        </w:rPr>
        <w:t xml:space="preserve"> initially attended for support later took on welcoming and practical roles. This shift — from attendee to contributor — strengthens both individual confidence and project sustainability.</w:t>
      </w:r>
    </w:p>
    <w:p w14:paraId="32F12532" w14:textId="77777777" w:rsidR="0092480E" w:rsidRPr="0092480E" w:rsidRDefault="0092480E" w:rsidP="0092480E">
      <w:pPr>
        <w:rPr>
          <w:rFonts w:ascii="Arial" w:hAnsi="Arial" w:cs="Arial"/>
          <w:sz w:val="21"/>
          <w:szCs w:val="21"/>
          <w:lang w:val="en-GB"/>
        </w:rPr>
      </w:pPr>
      <w:r w:rsidRPr="0092480E">
        <w:rPr>
          <w:rFonts w:ascii="Arial" w:hAnsi="Arial" w:cs="Arial"/>
          <w:sz w:val="21"/>
          <w:szCs w:val="21"/>
          <w:lang w:val="en-GB"/>
        </w:rPr>
        <w:t>This relational capacity is central to the programme’s preventative impact. Volunteers and coordinators create trusted spaces where informal conversations can surface emerging issues. As one project lead noted:</w:t>
      </w:r>
    </w:p>
    <w:p w14:paraId="682CC315" w14:textId="6D8F25CE" w:rsidR="0092480E" w:rsidRPr="0092480E" w:rsidRDefault="0092480E" w:rsidP="0F4345E3">
      <w:pPr>
        <w:ind w:firstLine="720"/>
        <w:rPr>
          <w:rFonts w:ascii="Arial" w:hAnsi="Arial" w:cs="Arial"/>
          <w:i/>
          <w:iCs/>
          <w:sz w:val="21"/>
          <w:szCs w:val="21"/>
          <w:lang w:val="en-GB"/>
        </w:rPr>
      </w:pPr>
      <w:r w:rsidRPr="0F4345E3">
        <w:rPr>
          <w:rFonts w:ascii="Arial" w:hAnsi="Arial" w:cs="Arial"/>
          <w:i/>
          <w:iCs/>
          <w:sz w:val="21"/>
          <w:szCs w:val="21"/>
          <w:lang w:val="en-GB"/>
        </w:rPr>
        <w:t xml:space="preserve">“They wouldn’t necessarily want to book a doctor’s appointment… those chance </w:t>
      </w:r>
      <w:r>
        <w:br/>
      </w:r>
      <w:r>
        <w:tab/>
      </w:r>
      <w:r w:rsidRPr="0F4345E3">
        <w:rPr>
          <w:rFonts w:ascii="Arial" w:hAnsi="Arial" w:cs="Arial"/>
          <w:i/>
          <w:iCs/>
          <w:sz w:val="21"/>
          <w:szCs w:val="21"/>
          <w:lang w:val="en-GB"/>
        </w:rPr>
        <w:t>conversations are really important.”</w:t>
      </w:r>
    </w:p>
    <w:p w14:paraId="1844E741" w14:textId="77777777" w:rsidR="0092480E" w:rsidRDefault="0092480E" w:rsidP="0092480E">
      <w:pPr>
        <w:rPr>
          <w:rFonts w:ascii="Arial" w:hAnsi="Arial" w:cs="Arial"/>
          <w:sz w:val="21"/>
          <w:szCs w:val="21"/>
          <w:lang w:val="en-GB"/>
        </w:rPr>
      </w:pPr>
      <w:r w:rsidRPr="0092480E">
        <w:rPr>
          <w:rFonts w:ascii="Arial" w:hAnsi="Arial" w:cs="Arial"/>
          <w:sz w:val="21"/>
          <w:szCs w:val="21"/>
          <w:lang w:val="en-GB"/>
        </w:rPr>
        <w:t>While difficult to measure formally, this community capacity represents an important element of local prevention infrastructure.</w:t>
      </w:r>
    </w:p>
    <w:p w14:paraId="5280AF88" w14:textId="69069CA6" w:rsidR="00EC5CC2" w:rsidRPr="00A568F7" w:rsidRDefault="00DA6B95" w:rsidP="00BD4058">
      <w:pPr>
        <w:spacing w:after="0"/>
        <w:ind w:right="454"/>
        <w:rPr>
          <w:rFonts w:ascii="Arial" w:eastAsiaTheme="majorEastAsia" w:hAnsi="Arial" w:cs="Arial"/>
          <w:b/>
          <w:bCs/>
          <w:color w:val="4F81BD" w:themeColor="accent1"/>
          <w:sz w:val="21"/>
          <w:szCs w:val="21"/>
          <w:lang w:val="en-GB"/>
        </w:rPr>
      </w:pPr>
      <w:r>
        <w:rPr>
          <w:rFonts w:ascii="Arial" w:eastAsiaTheme="majorEastAsia" w:hAnsi="Arial" w:cs="Arial"/>
          <w:b/>
          <w:bCs/>
          <w:color w:val="4F81BD" w:themeColor="accent1"/>
          <w:sz w:val="21"/>
          <w:szCs w:val="21"/>
          <w:lang w:val="en-GB"/>
        </w:rPr>
        <w:t>4</w:t>
      </w:r>
      <w:r w:rsidR="00EC5CC2" w:rsidRPr="00A568F7">
        <w:rPr>
          <w:rFonts w:ascii="Arial" w:eastAsiaTheme="majorEastAsia" w:hAnsi="Arial" w:cs="Arial"/>
          <w:b/>
          <w:bCs/>
          <w:color w:val="4F81BD" w:themeColor="accent1"/>
          <w:sz w:val="21"/>
          <w:szCs w:val="21"/>
          <w:lang w:val="en-GB"/>
        </w:rPr>
        <w:t>.4 Inclusion and reach</w:t>
      </w:r>
    </w:p>
    <w:p w14:paraId="2DDAC9AD" w14:textId="77777777" w:rsidR="00EC5CC2" w:rsidRPr="00BD5375" w:rsidRDefault="00EC5CC2" w:rsidP="00BD4058">
      <w:pPr>
        <w:spacing w:after="0"/>
        <w:ind w:right="454"/>
        <w:rPr>
          <w:rFonts w:ascii="Arial" w:hAnsi="Arial" w:cs="Arial"/>
          <w:sz w:val="21"/>
          <w:szCs w:val="21"/>
          <w:lang w:val="en-GB"/>
        </w:rPr>
      </w:pPr>
      <w:r w:rsidRPr="00BD5375">
        <w:rPr>
          <w:rFonts w:ascii="Arial" w:hAnsi="Arial" w:cs="Arial"/>
          <w:sz w:val="21"/>
          <w:szCs w:val="21"/>
          <w:lang w:val="en-GB"/>
        </w:rPr>
        <w:t xml:space="preserve">Across districts, projects were generally successful in reaching </w:t>
      </w:r>
      <w:r>
        <w:rPr>
          <w:rFonts w:ascii="Arial" w:hAnsi="Arial" w:cs="Arial"/>
          <w:sz w:val="21"/>
          <w:szCs w:val="21"/>
          <w:lang w:val="en-GB"/>
        </w:rPr>
        <w:t>the target group</w:t>
      </w:r>
      <w:r w:rsidRPr="00BD5375">
        <w:rPr>
          <w:rFonts w:ascii="Arial" w:hAnsi="Arial" w:cs="Arial"/>
          <w:sz w:val="21"/>
          <w:szCs w:val="21"/>
          <w:lang w:val="en-GB"/>
        </w:rPr>
        <w:t>. Inclusive design features — including free access, familiar community venues, informal drop-in formats and accessible transport — were important in reducing barriers to participation.</w:t>
      </w:r>
    </w:p>
    <w:p w14:paraId="06F0963C" w14:textId="77777777" w:rsidR="00BD4058" w:rsidRDefault="00BD4058" w:rsidP="00BD4058">
      <w:pPr>
        <w:spacing w:after="0"/>
        <w:ind w:right="454"/>
        <w:rPr>
          <w:rFonts w:ascii="Arial" w:hAnsi="Arial" w:cs="Arial"/>
          <w:sz w:val="21"/>
          <w:szCs w:val="21"/>
          <w:lang w:val="en-GB"/>
        </w:rPr>
      </w:pPr>
    </w:p>
    <w:p w14:paraId="3D77C073" w14:textId="6157F8CC" w:rsidR="00EC5CC2" w:rsidRPr="00A568F7" w:rsidRDefault="00EC5CC2" w:rsidP="00BD4058">
      <w:pPr>
        <w:spacing w:after="0"/>
        <w:ind w:right="454"/>
        <w:rPr>
          <w:rFonts w:ascii="Arial" w:hAnsi="Arial" w:cs="Arial"/>
          <w:i/>
          <w:iCs/>
          <w:sz w:val="21"/>
          <w:szCs w:val="21"/>
          <w:lang w:val="en-GB"/>
        </w:rPr>
      </w:pPr>
      <w:r w:rsidRPr="00BD5375">
        <w:rPr>
          <w:rFonts w:ascii="Arial" w:hAnsi="Arial" w:cs="Arial"/>
          <w:sz w:val="21"/>
          <w:szCs w:val="21"/>
          <w:lang w:val="en-GB"/>
        </w:rPr>
        <w:t>In rural areas, transport was particularly significant. Without accessible transport, some participants would not have been able to attend at all. In other settings, keeping activities free was described as cent</w:t>
      </w:r>
      <w:r>
        <w:rPr>
          <w:rFonts w:ascii="Arial" w:hAnsi="Arial" w:cs="Arial"/>
          <w:sz w:val="21"/>
          <w:szCs w:val="21"/>
          <w:lang w:val="en-GB"/>
        </w:rPr>
        <w:t>r</w:t>
      </w:r>
      <w:r w:rsidRPr="00BD5375">
        <w:rPr>
          <w:rFonts w:ascii="Arial" w:hAnsi="Arial" w:cs="Arial"/>
          <w:sz w:val="21"/>
          <w:szCs w:val="21"/>
          <w:lang w:val="en-GB"/>
        </w:rPr>
        <w:t xml:space="preserve">al to ensuring that </w:t>
      </w:r>
      <w:r w:rsidRPr="00A568F7">
        <w:rPr>
          <w:rFonts w:ascii="Arial" w:hAnsi="Arial" w:cs="Arial"/>
          <w:i/>
          <w:iCs/>
          <w:sz w:val="21"/>
          <w:szCs w:val="21"/>
          <w:lang w:val="en-GB"/>
        </w:rPr>
        <w:t>“everybody is welcome, regardless of their background or financial situation.”</w:t>
      </w:r>
    </w:p>
    <w:p w14:paraId="40C85B00" w14:textId="77777777" w:rsidR="00BD4058" w:rsidRDefault="00BD4058" w:rsidP="00BD4058">
      <w:pPr>
        <w:spacing w:after="0"/>
        <w:ind w:right="454"/>
        <w:rPr>
          <w:rFonts w:ascii="Arial" w:hAnsi="Arial" w:cs="Arial"/>
          <w:sz w:val="21"/>
          <w:szCs w:val="21"/>
          <w:lang w:val="en-GB"/>
        </w:rPr>
      </w:pPr>
    </w:p>
    <w:p w14:paraId="228EC053" w14:textId="05BD0DD5" w:rsidR="00B64A48" w:rsidRDefault="00EC5CC2" w:rsidP="00BD4058">
      <w:pPr>
        <w:spacing w:after="0"/>
        <w:ind w:right="454"/>
        <w:rPr>
          <w:rFonts w:ascii="Arial" w:hAnsi="Arial" w:cs="Arial"/>
          <w:sz w:val="21"/>
          <w:szCs w:val="21"/>
          <w:lang w:val="en-GB"/>
        </w:rPr>
      </w:pPr>
      <w:r w:rsidRPr="00BD5375">
        <w:rPr>
          <w:rFonts w:ascii="Arial" w:hAnsi="Arial" w:cs="Arial"/>
          <w:sz w:val="21"/>
          <w:szCs w:val="21"/>
          <w:lang w:val="en-GB"/>
        </w:rPr>
        <w:t>Projects also reduced stigma by framing activities around social connection, creativity or movement, rather than “support</w:t>
      </w:r>
      <w:r>
        <w:rPr>
          <w:rFonts w:ascii="Arial" w:hAnsi="Arial" w:cs="Arial"/>
          <w:sz w:val="21"/>
          <w:szCs w:val="21"/>
          <w:lang w:val="en-GB"/>
        </w:rPr>
        <w:t xml:space="preserve">. </w:t>
      </w:r>
      <w:r w:rsidRPr="00BD5375">
        <w:rPr>
          <w:rFonts w:ascii="Arial" w:hAnsi="Arial" w:cs="Arial"/>
          <w:sz w:val="21"/>
          <w:szCs w:val="21"/>
          <w:lang w:val="en-GB"/>
        </w:rPr>
        <w:t xml:space="preserve">However, reach was not uniform. Some groups — including </w:t>
      </w:r>
      <w:r>
        <w:rPr>
          <w:rFonts w:ascii="Arial" w:hAnsi="Arial" w:cs="Arial"/>
          <w:sz w:val="21"/>
          <w:szCs w:val="21"/>
          <w:lang w:val="en-GB"/>
        </w:rPr>
        <w:t xml:space="preserve">in some cases </w:t>
      </w:r>
      <w:r w:rsidRPr="00BD5375">
        <w:rPr>
          <w:rFonts w:ascii="Arial" w:hAnsi="Arial" w:cs="Arial"/>
          <w:sz w:val="21"/>
          <w:szCs w:val="21"/>
          <w:lang w:val="en-GB"/>
        </w:rPr>
        <w:t>men</w:t>
      </w:r>
      <w:r>
        <w:rPr>
          <w:rFonts w:ascii="Arial" w:hAnsi="Arial" w:cs="Arial"/>
          <w:sz w:val="21"/>
          <w:szCs w:val="21"/>
          <w:lang w:val="en-GB"/>
        </w:rPr>
        <w:t xml:space="preserve"> </w:t>
      </w:r>
      <w:r w:rsidRPr="00BD5375">
        <w:rPr>
          <w:rFonts w:ascii="Arial" w:hAnsi="Arial" w:cs="Arial"/>
          <w:sz w:val="21"/>
          <w:szCs w:val="21"/>
          <w:lang w:val="en-GB"/>
        </w:rPr>
        <w:t>and those less connected to local networks — were reported as harder to engage. Monitoring of protected characteristics was limited, meaning</w:t>
      </w:r>
      <w:r>
        <w:rPr>
          <w:rFonts w:ascii="Arial" w:hAnsi="Arial" w:cs="Arial"/>
          <w:sz w:val="21"/>
          <w:szCs w:val="21"/>
          <w:lang w:val="en-GB"/>
        </w:rPr>
        <w:t xml:space="preserve"> drawing firm</w:t>
      </w:r>
      <w:r w:rsidRPr="00BD5375">
        <w:rPr>
          <w:rFonts w:ascii="Arial" w:hAnsi="Arial" w:cs="Arial"/>
          <w:sz w:val="21"/>
          <w:szCs w:val="21"/>
          <w:lang w:val="en-GB"/>
        </w:rPr>
        <w:t xml:space="preserve"> conclusions about reach </w:t>
      </w:r>
      <w:r>
        <w:rPr>
          <w:rFonts w:ascii="Arial" w:hAnsi="Arial" w:cs="Arial"/>
          <w:sz w:val="21"/>
          <w:szCs w:val="21"/>
          <w:lang w:val="en-GB"/>
        </w:rPr>
        <w:t>is challenging.</w:t>
      </w:r>
    </w:p>
    <w:p w14:paraId="26807AFE" w14:textId="77777777" w:rsidR="00BD4058" w:rsidRPr="0092480E" w:rsidRDefault="00BD4058" w:rsidP="00BD4058">
      <w:pPr>
        <w:spacing w:after="0"/>
        <w:ind w:right="454"/>
        <w:rPr>
          <w:rFonts w:ascii="Arial" w:hAnsi="Arial" w:cs="Arial"/>
          <w:sz w:val="21"/>
          <w:szCs w:val="21"/>
          <w:lang w:val="en-GB"/>
        </w:rPr>
      </w:pPr>
    </w:p>
    <w:p w14:paraId="0E89A14E" w14:textId="7C3ED1E5" w:rsidR="0032172A" w:rsidRPr="00F5228A" w:rsidRDefault="00DA6B95" w:rsidP="0F4345E3">
      <w:pPr>
        <w:rPr>
          <w:rFonts w:asciiTheme="majorHAnsi" w:eastAsiaTheme="majorEastAsia" w:hAnsiTheme="majorHAnsi" w:cstheme="majorBidi"/>
          <w:b/>
          <w:bCs/>
          <w:color w:val="365F91" w:themeColor="accent1" w:themeShade="BF"/>
          <w:sz w:val="28"/>
          <w:szCs w:val="28"/>
        </w:rPr>
      </w:pPr>
      <w:r w:rsidRPr="0F4345E3">
        <w:rPr>
          <w:rFonts w:asciiTheme="majorHAnsi" w:eastAsiaTheme="majorEastAsia" w:hAnsiTheme="majorHAnsi" w:cstheme="majorBidi"/>
          <w:b/>
          <w:bCs/>
          <w:color w:val="365F91" w:themeColor="accent1" w:themeShade="BF"/>
          <w:sz w:val="28"/>
          <w:szCs w:val="28"/>
        </w:rPr>
        <w:t>5</w:t>
      </w:r>
      <w:r w:rsidR="6BCE032F" w:rsidRPr="0F4345E3">
        <w:rPr>
          <w:rFonts w:asciiTheme="majorHAnsi" w:eastAsiaTheme="majorEastAsia" w:hAnsiTheme="majorHAnsi" w:cstheme="majorBidi"/>
          <w:b/>
          <w:bCs/>
          <w:color w:val="365F91" w:themeColor="accent1" w:themeShade="BF"/>
          <w:sz w:val="28"/>
          <w:szCs w:val="28"/>
        </w:rPr>
        <w:t>. Contribution to prevention and early help</w:t>
      </w:r>
    </w:p>
    <w:p w14:paraId="50FDDDBD"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 Locality team found strong evidence of preventative mechanisms in action, but limited evidence of long-term outcomes or avoided demand. This is not unusual for place-based, community-led programmes of this kind. Prevention is often real and visible at ground level, but difficult to aggregate or quantify without longitudinal tracking.</w:t>
      </w:r>
    </w:p>
    <w:p w14:paraId="3630828A" w14:textId="29FB18D3" w:rsidR="0032172A" w:rsidRDefault="004B2A74">
      <w:pPr>
        <w:rPr>
          <w:rFonts w:ascii="Arial" w:hAnsi="Arial" w:cs="Arial"/>
          <w:sz w:val="21"/>
          <w:szCs w:val="21"/>
          <w:lang w:val="en-GB"/>
        </w:rPr>
      </w:pPr>
      <w:r w:rsidRPr="004B2A74">
        <w:rPr>
          <w:rFonts w:ascii="Arial" w:hAnsi="Arial" w:cs="Arial"/>
          <w:sz w:val="21"/>
          <w:szCs w:val="21"/>
          <w:lang w:val="en-GB"/>
        </w:rPr>
        <w:t>Rather than making speculative claims, this evaluation sets out the most credible prevention pathways supported by the evidence and identifies practical ways CCC could strengthen outcome capture without adding disproportionate burden.</w:t>
      </w:r>
    </w:p>
    <w:p w14:paraId="468A400D" w14:textId="65E6A551" w:rsidR="00605A6E" w:rsidRPr="00605A6E" w:rsidRDefault="00DA6B95" w:rsidP="00BD4058">
      <w:pPr>
        <w:spacing w:after="0"/>
        <w:rPr>
          <w:rFonts w:ascii="Arial" w:eastAsiaTheme="majorEastAsia" w:hAnsi="Arial" w:cs="Arial"/>
          <w:b/>
          <w:bCs/>
          <w:color w:val="4F81BD" w:themeColor="accent1"/>
          <w:sz w:val="21"/>
          <w:szCs w:val="21"/>
          <w:lang w:val="en-GB"/>
        </w:rPr>
      </w:pPr>
      <w:r>
        <w:rPr>
          <w:rFonts w:ascii="Arial" w:eastAsiaTheme="majorEastAsia" w:hAnsi="Arial" w:cs="Arial"/>
          <w:b/>
          <w:bCs/>
          <w:color w:val="4F81BD" w:themeColor="accent1"/>
          <w:sz w:val="21"/>
          <w:szCs w:val="21"/>
          <w:lang w:val="en-GB"/>
        </w:rPr>
        <w:t>5</w:t>
      </w:r>
      <w:r w:rsidR="00605A6E" w:rsidRPr="00605A6E">
        <w:rPr>
          <w:rFonts w:ascii="Arial" w:eastAsiaTheme="majorEastAsia" w:hAnsi="Arial" w:cs="Arial"/>
          <w:b/>
          <w:bCs/>
          <w:color w:val="4F81BD" w:themeColor="accent1"/>
          <w:sz w:val="21"/>
          <w:szCs w:val="21"/>
          <w:lang w:val="en-GB"/>
        </w:rPr>
        <w:t>.1 Prevention as relational and upstream</w:t>
      </w:r>
    </w:p>
    <w:p w14:paraId="14996ECA" w14:textId="77777777" w:rsidR="00DF171B" w:rsidRDefault="00605A6E" w:rsidP="00BD4058">
      <w:pPr>
        <w:spacing w:after="0"/>
        <w:rPr>
          <w:rFonts w:ascii="Arial" w:hAnsi="Arial" w:cs="Arial"/>
          <w:sz w:val="21"/>
          <w:szCs w:val="21"/>
          <w:lang w:val="en-GB"/>
        </w:rPr>
      </w:pPr>
      <w:r w:rsidRPr="00605A6E">
        <w:rPr>
          <w:rFonts w:ascii="Arial" w:hAnsi="Arial" w:cs="Arial"/>
          <w:sz w:val="21"/>
          <w:szCs w:val="21"/>
          <w:lang w:val="en-GB"/>
        </w:rPr>
        <w:t>Across discussions with commissioners and system partners, prevention was consistently framed as early, relational and embedded in everyday settings.</w:t>
      </w:r>
      <w:r w:rsidR="00DF171B">
        <w:rPr>
          <w:rFonts w:ascii="Arial" w:hAnsi="Arial" w:cs="Arial"/>
          <w:sz w:val="21"/>
          <w:szCs w:val="21"/>
          <w:lang w:val="en-GB"/>
        </w:rPr>
        <w:t xml:space="preserve"> </w:t>
      </w:r>
    </w:p>
    <w:p w14:paraId="556BA3EC" w14:textId="4CA5ED9D" w:rsidR="00605A6E" w:rsidRDefault="00605A6E" w:rsidP="00BD4058">
      <w:pPr>
        <w:spacing w:after="0"/>
        <w:rPr>
          <w:rFonts w:ascii="Arial" w:hAnsi="Arial" w:cs="Arial"/>
          <w:sz w:val="21"/>
          <w:szCs w:val="21"/>
          <w:lang w:val="en-GB"/>
        </w:rPr>
      </w:pPr>
      <w:r w:rsidRPr="00605A6E">
        <w:rPr>
          <w:rFonts w:ascii="Arial" w:hAnsi="Arial" w:cs="Arial"/>
          <w:sz w:val="21"/>
          <w:szCs w:val="21"/>
          <w:lang w:val="en-GB"/>
        </w:rPr>
        <w:t>One commissioner described the programme clearly:</w:t>
      </w:r>
    </w:p>
    <w:p w14:paraId="1B1D33A4" w14:textId="77777777" w:rsidR="00BD4058" w:rsidRPr="00605A6E" w:rsidRDefault="00BD4058" w:rsidP="00BD4058">
      <w:pPr>
        <w:spacing w:after="0"/>
        <w:rPr>
          <w:rFonts w:ascii="Arial" w:hAnsi="Arial" w:cs="Arial"/>
          <w:sz w:val="21"/>
          <w:szCs w:val="21"/>
          <w:lang w:val="en-GB"/>
        </w:rPr>
      </w:pPr>
    </w:p>
    <w:p w14:paraId="1D7C8594" w14:textId="77777777" w:rsidR="00605A6E" w:rsidRDefault="00605A6E" w:rsidP="00BD4058">
      <w:pPr>
        <w:spacing w:after="0"/>
        <w:jc w:val="center"/>
        <w:rPr>
          <w:rFonts w:ascii="Arial" w:hAnsi="Arial" w:cs="Arial"/>
          <w:i/>
          <w:iCs/>
          <w:sz w:val="21"/>
          <w:szCs w:val="21"/>
          <w:lang w:val="en-GB"/>
        </w:rPr>
      </w:pPr>
      <w:r w:rsidRPr="00B83D34">
        <w:rPr>
          <w:rFonts w:ascii="Arial" w:hAnsi="Arial" w:cs="Arial"/>
          <w:i/>
          <w:iCs/>
          <w:sz w:val="21"/>
          <w:szCs w:val="21"/>
          <w:lang w:val="en-GB"/>
        </w:rPr>
        <w:t>“This is about stopping things escalating — it’s earlier than crisis.”</w:t>
      </w:r>
    </w:p>
    <w:p w14:paraId="676CAD19" w14:textId="77777777" w:rsidR="00BD4058" w:rsidRPr="00B83D34" w:rsidRDefault="00BD4058" w:rsidP="00BD4058">
      <w:pPr>
        <w:spacing w:after="0"/>
        <w:jc w:val="center"/>
        <w:rPr>
          <w:rFonts w:ascii="Arial" w:hAnsi="Arial" w:cs="Arial"/>
          <w:i/>
          <w:iCs/>
          <w:sz w:val="21"/>
          <w:szCs w:val="21"/>
          <w:lang w:val="en-GB"/>
        </w:rPr>
      </w:pPr>
    </w:p>
    <w:p w14:paraId="4D1D475F" w14:textId="77777777" w:rsidR="00605A6E" w:rsidRDefault="00605A6E" w:rsidP="00BD4058">
      <w:pPr>
        <w:spacing w:after="0"/>
        <w:rPr>
          <w:rFonts w:ascii="Arial" w:hAnsi="Arial" w:cs="Arial"/>
          <w:sz w:val="21"/>
          <w:szCs w:val="21"/>
          <w:lang w:val="en-GB"/>
        </w:rPr>
      </w:pPr>
      <w:r w:rsidRPr="00605A6E">
        <w:rPr>
          <w:rFonts w:ascii="Arial" w:hAnsi="Arial" w:cs="Arial"/>
          <w:sz w:val="21"/>
          <w:szCs w:val="21"/>
          <w:lang w:val="en-GB"/>
        </w:rPr>
        <w:t>Projects are not designed as crisis interventions. Instead, they create low-pressure, welcoming environments where social connection, routine and confidence can be rebuilt before isolation deepens or needs intensify.</w:t>
      </w:r>
    </w:p>
    <w:p w14:paraId="6D9FD0B1" w14:textId="77777777" w:rsidR="00BD4058" w:rsidRPr="00605A6E" w:rsidRDefault="00BD4058" w:rsidP="00BD4058">
      <w:pPr>
        <w:spacing w:after="0"/>
        <w:rPr>
          <w:rFonts w:ascii="Arial" w:hAnsi="Arial" w:cs="Arial"/>
          <w:sz w:val="21"/>
          <w:szCs w:val="21"/>
          <w:lang w:val="en-GB"/>
        </w:rPr>
      </w:pPr>
    </w:p>
    <w:p w14:paraId="0B2A94FB" w14:textId="4E93EC6C" w:rsidR="00605A6E" w:rsidRPr="004B2A74" w:rsidRDefault="00605A6E" w:rsidP="00BD4058">
      <w:pPr>
        <w:spacing w:after="0"/>
        <w:rPr>
          <w:rFonts w:ascii="Arial" w:hAnsi="Arial" w:cs="Arial"/>
          <w:sz w:val="21"/>
          <w:szCs w:val="21"/>
          <w:lang w:val="en-GB"/>
        </w:rPr>
      </w:pPr>
      <w:r w:rsidRPr="00605A6E">
        <w:rPr>
          <w:rFonts w:ascii="Arial" w:hAnsi="Arial" w:cs="Arial"/>
          <w:sz w:val="21"/>
          <w:szCs w:val="21"/>
          <w:lang w:val="en-GB"/>
        </w:rPr>
        <w:t>System partners described these offers as “entry points” — places where people engage voluntarily and informally, rather than through referral at a point of breakdown.</w:t>
      </w:r>
    </w:p>
    <w:p w14:paraId="1392B9D3" w14:textId="77777777" w:rsidR="00BD4058" w:rsidRDefault="00BD4058" w:rsidP="00BD4058">
      <w:pPr>
        <w:pStyle w:val="Heading2"/>
        <w:spacing w:before="0"/>
        <w:rPr>
          <w:rFonts w:ascii="Arial" w:hAnsi="Arial" w:cs="Arial"/>
          <w:sz w:val="21"/>
          <w:szCs w:val="21"/>
          <w:lang w:val="en-GB"/>
        </w:rPr>
      </w:pPr>
    </w:p>
    <w:p w14:paraId="7E0CAAAA" w14:textId="27160A37" w:rsidR="0032172A" w:rsidRPr="004B2A74" w:rsidRDefault="00DA6B95" w:rsidP="00BD4058">
      <w:pPr>
        <w:pStyle w:val="Heading2"/>
        <w:spacing w:before="0"/>
        <w:rPr>
          <w:rFonts w:ascii="Arial" w:hAnsi="Arial" w:cs="Arial"/>
          <w:sz w:val="21"/>
          <w:szCs w:val="21"/>
          <w:lang w:val="en-GB"/>
        </w:rPr>
      </w:pPr>
      <w:r>
        <w:rPr>
          <w:rFonts w:ascii="Arial" w:hAnsi="Arial" w:cs="Arial"/>
          <w:sz w:val="21"/>
          <w:szCs w:val="21"/>
          <w:lang w:val="en-GB"/>
        </w:rPr>
        <w:t>5</w:t>
      </w:r>
      <w:r w:rsidR="004B2A74" w:rsidRPr="004B2A74">
        <w:rPr>
          <w:rFonts w:ascii="Arial" w:hAnsi="Arial" w:cs="Arial"/>
          <w:sz w:val="21"/>
          <w:szCs w:val="21"/>
          <w:lang w:val="en-GB"/>
        </w:rPr>
        <w:t>.</w:t>
      </w:r>
      <w:r w:rsidR="00605A6E">
        <w:rPr>
          <w:rFonts w:ascii="Arial" w:hAnsi="Arial" w:cs="Arial"/>
          <w:sz w:val="21"/>
          <w:szCs w:val="21"/>
          <w:lang w:val="en-GB"/>
        </w:rPr>
        <w:t>2</w:t>
      </w:r>
      <w:r w:rsidR="004B2A74" w:rsidRPr="004B2A74">
        <w:rPr>
          <w:rFonts w:ascii="Arial" w:hAnsi="Arial" w:cs="Arial"/>
          <w:sz w:val="21"/>
          <w:szCs w:val="21"/>
          <w:lang w:val="en-GB"/>
        </w:rPr>
        <w:t xml:space="preserve"> The main prevention pathways we observed</w:t>
      </w:r>
    </w:p>
    <w:p w14:paraId="46FC4759" w14:textId="77777777" w:rsidR="0032172A" w:rsidRPr="004B2A74" w:rsidRDefault="004B2A74" w:rsidP="00BD4058">
      <w:pPr>
        <w:spacing w:after="0"/>
        <w:rPr>
          <w:rFonts w:ascii="Arial" w:hAnsi="Arial" w:cs="Arial"/>
          <w:sz w:val="21"/>
          <w:szCs w:val="21"/>
          <w:lang w:val="en-GB"/>
        </w:rPr>
      </w:pPr>
      <w:r w:rsidRPr="004B2A74">
        <w:rPr>
          <w:rFonts w:ascii="Arial" w:hAnsi="Arial" w:cs="Arial"/>
          <w:sz w:val="21"/>
          <w:szCs w:val="21"/>
          <w:lang w:val="en-GB"/>
        </w:rPr>
        <w:t>Across the survey and case studies, prevention is most plausibly operating through four linked pathways:</w:t>
      </w:r>
    </w:p>
    <w:p w14:paraId="2150170A" w14:textId="77777777" w:rsidR="00BD4058" w:rsidRPr="00BD4058" w:rsidRDefault="6BCE032F" w:rsidP="00BD4058">
      <w:pPr>
        <w:pStyle w:val="ListParagraph"/>
        <w:numPr>
          <w:ilvl w:val="0"/>
          <w:numId w:val="14"/>
        </w:numPr>
        <w:spacing w:after="0"/>
        <w:rPr>
          <w:rFonts w:ascii="Arial" w:hAnsi="Arial" w:cs="Arial"/>
          <w:sz w:val="21"/>
          <w:szCs w:val="21"/>
          <w:lang w:val="en-GB"/>
        </w:rPr>
      </w:pPr>
      <w:r w:rsidRPr="0F4345E3">
        <w:rPr>
          <w:rFonts w:ascii="Arial" w:hAnsi="Arial" w:cs="Arial"/>
          <w:sz w:val="21"/>
          <w:szCs w:val="21"/>
          <w:lang w:val="en-GB"/>
        </w:rPr>
        <w:t xml:space="preserve">Social connection and </w:t>
      </w:r>
      <w:proofErr w:type="gramStart"/>
      <w:r w:rsidRPr="0F4345E3">
        <w:rPr>
          <w:rFonts w:ascii="Arial" w:hAnsi="Arial" w:cs="Arial"/>
          <w:sz w:val="21"/>
          <w:szCs w:val="21"/>
          <w:lang w:val="en-GB"/>
        </w:rPr>
        <w:t>belonging:</w:t>
      </w:r>
      <w:proofErr w:type="gramEnd"/>
      <w:r w:rsidRPr="0F4345E3">
        <w:rPr>
          <w:rFonts w:ascii="Arial" w:hAnsi="Arial" w:cs="Arial"/>
          <w:sz w:val="21"/>
          <w:szCs w:val="21"/>
          <w:lang w:val="en-GB"/>
        </w:rPr>
        <w:t xml:space="preserve"> reducing isolation and strengthening protective relationships.</w:t>
      </w:r>
    </w:p>
    <w:p w14:paraId="44AFC5F1" w14:textId="77777777" w:rsidR="00BD4058" w:rsidRPr="00BD4058" w:rsidRDefault="6BCE032F" w:rsidP="00BD4058">
      <w:pPr>
        <w:pStyle w:val="ListParagraph"/>
        <w:numPr>
          <w:ilvl w:val="0"/>
          <w:numId w:val="14"/>
        </w:numPr>
        <w:spacing w:after="0"/>
        <w:rPr>
          <w:rFonts w:ascii="Arial" w:hAnsi="Arial" w:cs="Arial"/>
          <w:sz w:val="21"/>
          <w:szCs w:val="21"/>
          <w:lang w:val="en-GB"/>
        </w:rPr>
      </w:pPr>
      <w:r w:rsidRPr="00BD4058">
        <w:rPr>
          <w:rFonts w:ascii="Arial" w:hAnsi="Arial" w:cs="Arial"/>
          <w:sz w:val="21"/>
          <w:szCs w:val="21"/>
          <w:lang w:val="en-GB"/>
        </w:rPr>
        <w:t>Confidence and routine: rebuilding habits that sustain independence and reduce withdrawal.</w:t>
      </w:r>
    </w:p>
    <w:p w14:paraId="52EF3638" w14:textId="77777777" w:rsidR="00BD4058" w:rsidRDefault="6BCE032F" w:rsidP="00BD4058">
      <w:pPr>
        <w:pStyle w:val="ListParagraph"/>
        <w:numPr>
          <w:ilvl w:val="0"/>
          <w:numId w:val="14"/>
        </w:numPr>
        <w:spacing w:after="0"/>
        <w:rPr>
          <w:rFonts w:ascii="Arial" w:hAnsi="Arial" w:cs="Arial"/>
          <w:sz w:val="21"/>
          <w:szCs w:val="21"/>
          <w:lang w:val="en-GB"/>
        </w:rPr>
      </w:pPr>
      <w:r w:rsidRPr="00BD4058">
        <w:rPr>
          <w:rFonts w:ascii="Arial" w:hAnsi="Arial" w:cs="Arial"/>
          <w:sz w:val="21"/>
          <w:szCs w:val="21"/>
          <w:lang w:val="en-GB"/>
        </w:rPr>
        <w:t>Function and mobility: supporting movement, balance and capability through gentle activity</w:t>
      </w:r>
    </w:p>
    <w:p w14:paraId="574A0A75" w14:textId="30AF5F7E" w:rsidR="0032172A" w:rsidRPr="00BD4058" w:rsidRDefault="6BCE032F" w:rsidP="00BD4058">
      <w:pPr>
        <w:pStyle w:val="ListParagraph"/>
        <w:numPr>
          <w:ilvl w:val="0"/>
          <w:numId w:val="14"/>
        </w:numPr>
        <w:spacing w:after="0"/>
        <w:rPr>
          <w:rFonts w:ascii="Arial" w:hAnsi="Arial" w:cs="Arial"/>
          <w:sz w:val="21"/>
          <w:szCs w:val="21"/>
          <w:lang w:val="en-GB"/>
        </w:rPr>
      </w:pPr>
      <w:r w:rsidRPr="00BD4058">
        <w:rPr>
          <w:rFonts w:ascii="Arial" w:hAnsi="Arial" w:cs="Arial"/>
          <w:sz w:val="21"/>
          <w:szCs w:val="21"/>
          <w:lang w:val="en-GB"/>
        </w:rPr>
        <w:t>Early identification and signposting: creating low-pressure settings where emerging issues are noticed and help can be offered.</w:t>
      </w:r>
    </w:p>
    <w:p w14:paraId="44E67CC2" w14:textId="77777777" w:rsidR="00BD4058" w:rsidRDefault="00BD4058" w:rsidP="00BD4058">
      <w:pPr>
        <w:spacing w:after="0"/>
        <w:rPr>
          <w:rFonts w:ascii="Arial" w:hAnsi="Arial" w:cs="Arial"/>
          <w:sz w:val="21"/>
          <w:szCs w:val="21"/>
          <w:lang w:val="en-GB"/>
        </w:rPr>
      </w:pPr>
    </w:p>
    <w:p w14:paraId="4E7FFE46" w14:textId="3EF23019" w:rsidR="0032172A" w:rsidRPr="004B2A74" w:rsidRDefault="004B2A74" w:rsidP="00BD4058">
      <w:pPr>
        <w:spacing w:after="0"/>
        <w:rPr>
          <w:rFonts w:ascii="Arial" w:hAnsi="Arial" w:cs="Arial"/>
          <w:sz w:val="21"/>
          <w:szCs w:val="21"/>
          <w:lang w:val="en-GB"/>
        </w:rPr>
      </w:pPr>
      <w:r w:rsidRPr="0F4345E3">
        <w:rPr>
          <w:rFonts w:ascii="Arial" w:hAnsi="Arial" w:cs="Arial"/>
          <w:sz w:val="21"/>
          <w:szCs w:val="21"/>
          <w:lang w:val="en-GB"/>
        </w:rPr>
        <w:t>Survey respondents described prevention in practical terms:</w:t>
      </w:r>
      <w:r>
        <w:br/>
      </w:r>
    </w:p>
    <w:p w14:paraId="116E0CE4" w14:textId="2C4A6E84" w:rsidR="00DA6B95" w:rsidRDefault="004B2A74" w:rsidP="00BD4058">
      <w:pPr>
        <w:spacing w:after="0"/>
        <w:ind w:left="454" w:right="454"/>
        <w:rPr>
          <w:rFonts w:ascii="Arial" w:hAnsi="Arial" w:cs="Arial"/>
          <w:i/>
          <w:sz w:val="21"/>
          <w:szCs w:val="21"/>
          <w:lang w:val="en-GB"/>
        </w:rPr>
      </w:pPr>
      <w:r w:rsidRPr="004B2A74">
        <w:rPr>
          <w:rFonts w:ascii="Arial" w:hAnsi="Arial" w:cs="Arial"/>
          <w:i/>
          <w:sz w:val="21"/>
          <w:szCs w:val="21"/>
          <w:lang w:val="en-GB"/>
        </w:rPr>
        <w:t>“Having a regular, welcoming space means issues are spotted early, before they become more serious.”</w:t>
      </w:r>
    </w:p>
    <w:p w14:paraId="1E3B4B64" w14:textId="77777777" w:rsidR="00BD4058" w:rsidRDefault="00BD4058" w:rsidP="00BD4058">
      <w:pPr>
        <w:spacing w:after="0"/>
        <w:ind w:left="454" w:right="454"/>
        <w:rPr>
          <w:rFonts w:ascii="Arial" w:hAnsi="Arial" w:cs="Arial"/>
          <w:i/>
          <w:sz w:val="21"/>
          <w:szCs w:val="21"/>
          <w:lang w:val="en-GB"/>
        </w:rPr>
      </w:pPr>
    </w:p>
    <w:p w14:paraId="609AF304" w14:textId="12479CB0" w:rsidR="00CB4C1A" w:rsidRPr="00B83D34" w:rsidRDefault="00DA6B95" w:rsidP="00BD4058">
      <w:pPr>
        <w:spacing w:after="0"/>
        <w:ind w:right="454"/>
        <w:rPr>
          <w:rFonts w:ascii="Arial" w:eastAsiaTheme="majorEastAsia" w:hAnsi="Arial" w:cs="Arial"/>
          <w:b/>
          <w:bCs/>
          <w:color w:val="4F81BD" w:themeColor="accent1"/>
          <w:sz w:val="21"/>
          <w:szCs w:val="21"/>
          <w:lang w:val="en-GB"/>
        </w:rPr>
      </w:pPr>
      <w:r>
        <w:rPr>
          <w:rFonts w:ascii="Arial" w:eastAsiaTheme="majorEastAsia" w:hAnsi="Arial" w:cs="Arial"/>
          <w:b/>
          <w:bCs/>
          <w:color w:val="4F81BD" w:themeColor="accent1"/>
          <w:sz w:val="21"/>
          <w:szCs w:val="21"/>
          <w:lang w:val="en-GB"/>
        </w:rPr>
        <w:t>5</w:t>
      </w:r>
      <w:r w:rsidR="00CB4C1A" w:rsidRPr="00B83D34">
        <w:rPr>
          <w:rFonts w:ascii="Arial" w:eastAsiaTheme="majorEastAsia" w:hAnsi="Arial" w:cs="Arial"/>
          <w:b/>
          <w:bCs/>
          <w:color w:val="4F81BD" w:themeColor="accent1"/>
          <w:sz w:val="21"/>
          <w:szCs w:val="21"/>
          <w:lang w:val="en-GB"/>
        </w:rPr>
        <w:t>.3 Lived experience of prevention</w:t>
      </w:r>
    </w:p>
    <w:p w14:paraId="7BF6EB93" w14:textId="466FCB82" w:rsidR="00CB4C1A" w:rsidRDefault="00CB4C1A" w:rsidP="00BD4058">
      <w:pPr>
        <w:spacing w:after="0"/>
        <w:ind w:right="454"/>
        <w:rPr>
          <w:rFonts w:ascii="Arial" w:hAnsi="Arial" w:cs="Arial"/>
          <w:iCs/>
          <w:sz w:val="21"/>
          <w:szCs w:val="21"/>
          <w:lang w:val="en-GB"/>
        </w:rPr>
      </w:pPr>
      <w:r w:rsidRPr="00B83D34">
        <w:rPr>
          <w:rFonts w:ascii="Arial" w:hAnsi="Arial" w:cs="Arial"/>
          <w:iCs/>
          <w:sz w:val="21"/>
          <w:szCs w:val="21"/>
          <w:lang w:val="en-GB"/>
        </w:rPr>
        <w:lastRenderedPageBreak/>
        <w:t>Participant accounts provide grounded examples of these mechanisms.</w:t>
      </w:r>
      <w:r w:rsidR="00DA6B95">
        <w:rPr>
          <w:rFonts w:ascii="Arial" w:hAnsi="Arial" w:cs="Arial"/>
          <w:iCs/>
          <w:sz w:val="21"/>
          <w:szCs w:val="21"/>
          <w:lang w:val="en-GB"/>
        </w:rPr>
        <w:t xml:space="preserve"> </w:t>
      </w:r>
      <w:r w:rsidRPr="00B83D34">
        <w:rPr>
          <w:rFonts w:ascii="Arial" w:hAnsi="Arial" w:cs="Arial"/>
          <w:iCs/>
          <w:sz w:val="21"/>
          <w:szCs w:val="21"/>
          <w:lang w:val="en-GB"/>
        </w:rPr>
        <w:t>In a discussion with a project participant, it was described how attending a community day club was recommended by their GP following a period of low mood and isolation:</w:t>
      </w:r>
    </w:p>
    <w:p w14:paraId="0B995E8D" w14:textId="77777777" w:rsidR="00BD4058" w:rsidRPr="00B83D34" w:rsidRDefault="00BD4058" w:rsidP="00BD4058">
      <w:pPr>
        <w:spacing w:after="0"/>
        <w:ind w:right="454"/>
        <w:rPr>
          <w:rFonts w:ascii="Arial" w:hAnsi="Arial" w:cs="Arial"/>
          <w:iCs/>
          <w:sz w:val="21"/>
          <w:szCs w:val="21"/>
          <w:lang w:val="en-GB"/>
        </w:rPr>
      </w:pPr>
    </w:p>
    <w:p w14:paraId="4AB870B8" w14:textId="77777777" w:rsidR="00CB4C1A" w:rsidRPr="00CB4C1A" w:rsidRDefault="00CB4C1A" w:rsidP="00B83D34">
      <w:pPr>
        <w:ind w:right="454"/>
        <w:jc w:val="center"/>
        <w:rPr>
          <w:rFonts w:ascii="Arial" w:hAnsi="Arial" w:cs="Arial"/>
          <w:i/>
          <w:sz w:val="21"/>
          <w:szCs w:val="21"/>
          <w:lang w:val="en-GB"/>
        </w:rPr>
      </w:pPr>
      <w:r w:rsidRPr="00CB4C1A">
        <w:rPr>
          <w:rFonts w:ascii="Arial" w:hAnsi="Arial" w:cs="Arial"/>
          <w:i/>
          <w:sz w:val="21"/>
          <w:szCs w:val="21"/>
          <w:lang w:val="en-GB"/>
        </w:rPr>
        <w:t>“Go there as much as you can… I don’t want to put you on tablets for depression.”</w:t>
      </w:r>
    </w:p>
    <w:p w14:paraId="20C928AC" w14:textId="77777777" w:rsidR="00CB4C1A" w:rsidRPr="00B83D34" w:rsidRDefault="00CB4C1A" w:rsidP="00CB4C1A">
      <w:pPr>
        <w:ind w:right="454"/>
        <w:rPr>
          <w:rFonts w:ascii="Arial" w:hAnsi="Arial" w:cs="Arial"/>
          <w:iCs/>
          <w:sz w:val="21"/>
          <w:szCs w:val="21"/>
          <w:lang w:val="en-GB"/>
        </w:rPr>
      </w:pPr>
      <w:r w:rsidRPr="00B83D34">
        <w:rPr>
          <w:rFonts w:ascii="Arial" w:hAnsi="Arial" w:cs="Arial"/>
          <w:iCs/>
          <w:sz w:val="21"/>
          <w:szCs w:val="21"/>
          <w:lang w:val="en-GB"/>
        </w:rPr>
        <w:t>For this individual, regular attendance was explicitly positioned as an alternative to medical intervention. They later reflected:</w:t>
      </w:r>
    </w:p>
    <w:p w14:paraId="602A228D" w14:textId="77777777" w:rsidR="00CB4C1A" w:rsidRPr="00CB4C1A" w:rsidRDefault="00CB4C1A" w:rsidP="00B83D34">
      <w:pPr>
        <w:ind w:right="454"/>
        <w:jc w:val="center"/>
        <w:rPr>
          <w:rFonts w:ascii="Arial" w:hAnsi="Arial" w:cs="Arial"/>
          <w:i/>
          <w:sz w:val="21"/>
          <w:szCs w:val="21"/>
          <w:lang w:val="en-GB"/>
        </w:rPr>
      </w:pPr>
      <w:r w:rsidRPr="00CB4C1A">
        <w:rPr>
          <w:rFonts w:ascii="Arial" w:hAnsi="Arial" w:cs="Arial"/>
          <w:i/>
          <w:sz w:val="21"/>
          <w:szCs w:val="21"/>
          <w:lang w:val="en-GB"/>
        </w:rPr>
        <w:t>“If it weren’t for here, I think I would just break up… it helps you up here.”</w:t>
      </w:r>
    </w:p>
    <w:p w14:paraId="50BA27DE" w14:textId="7065FDB6" w:rsidR="00EE02E2" w:rsidRPr="002A420D" w:rsidRDefault="00CB4C1A" w:rsidP="00B83D34">
      <w:pPr>
        <w:ind w:right="454"/>
        <w:rPr>
          <w:rFonts w:ascii="Arial" w:hAnsi="Arial" w:cs="Arial"/>
          <w:iCs/>
          <w:sz w:val="21"/>
          <w:szCs w:val="21"/>
          <w:lang w:val="en-GB"/>
        </w:rPr>
      </w:pPr>
      <w:r w:rsidRPr="00B83D34">
        <w:rPr>
          <w:rFonts w:ascii="Arial" w:hAnsi="Arial" w:cs="Arial"/>
          <w:iCs/>
          <w:sz w:val="21"/>
          <w:szCs w:val="21"/>
          <w:lang w:val="en-GB"/>
        </w:rPr>
        <w:t>This illustrates prevention not as a measurable service output, but as the maintenance of mental wellbeing through connection, routine and reassurance.</w:t>
      </w:r>
    </w:p>
    <w:p w14:paraId="0CED6CD4" w14:textId="19613A9F" w:rsidR="0032172A" w:rsidRPr="004B2A74" w:rsidRDefault="00DA6B95">
      <w:pPr>
        <w:pStyle w:val="Heading2"/>
        <w:rPr>
          <w:rFonts w:ascii="Arial" w:hAnsi="Arial" w:cs="Arial"/>
          <w:sz w:val="21"/>
          <w:szCs w:val="21"/>
          <w:lang w:val="en-GB"/>
        </w:rPr>
      </w:pPr>
      <w:r>
        <w:rPr>
          <w:rFonts w:ascii="Arial" w:hAnsi="Arial" w:cs="Arial"/>
          <w:sz w:val="21"/>
          <w:szCs w:val="21"/>
          <w:lang w:val="en-GB"/>
        </w:rPr>
        <w:t>5</w:t>
      </w:r>
      <w:r w:rsidR="004B2A74" w:rsidRPr="004B2A74">
        <w:rPr>
          <w:rFonts w:ascii="Arial" w:hAnsi="Arial" w:cs="Arial"/>
          <w:sz w:val="21"/>
          <w:szCs w:val="21"/>
          <w:lang w:val="en-GB"/>
        </w:rPr>
        <w:t>.</w:t>
      </w:r>
      <w:r w:rsidR="005C6A3E">
        <w:rPr>
          <w:rFonts w:ascii="Arial" w:hAnsi="Arial" w:cs="Arial"/>
          <w:sz w:val="21"/>
          <w:szCs w:val="21"/>
          <w:lang w:val="en-GB"/>
        </w:rPr>
        <w:t>4</w:t>
      </w:r>
      <w:r w:rsidR="004B2A74" w:rsidRPr="004B2A74">
        <w:rPr>
          <w:rFonts w:ascii="Arial" w:hAnsi="Arial" w:cs="Arial"/>
          <w:sz w:val="21"/>
          <w:szCs w:val="21"/>
          <w:lang w:val="en-GB"/>
        </w:rPr>
        <w:t xml:space="preserve"> Access as prevention infrastructure</w:t>
      </w:r>
    </w:p>
    <w:p w14:paraId="0B74B0E6"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In rural districts in particular, Locality found that access enablers such as transport are not peripheral; they are foundational. The Huntingdonshire case study showed how an accessible minibus unlocked attendance at a day club and other community activity for older people who would otherwise be housebound. This is prevention at its most practical: without access, no other benefit is reachable.</w:t>
      </w:r>
    </w:p>
    <w:p w14:paraId="16B31DA8"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 sustainability implication is important, too: once a high-impact access service exists, it quickly becomes core. As one provider reflected:</w:t>
      </w:r>
    </w:p>
    <w:p w14:paraId="70856F0D" w14:textId="77777777" w:rsidR="0032172A" w:rsidRPr="004B2A74" w:rsidRDefault="004B2A74" w:rsidP="00BD4058">
      <w:pPr>
        <w:ind w:left="454" w:right="454"/>
        <w:jc w:val="center"/>
        <w:rPr>
          <w:rFonts w:ascii="Arial" w:hAnsi="Arial" w:cs="Arial"/>
          <w:sz w:val="21"/>
          <w:szCs w:val="21"/>
          <w:lang w:val="en-GB"/>
        </w:rPr>
      </w:pPr>
      <w:r w:rsidRPr="004B2A74">
        <w:rPr>
          <w:rFonts w:ascii="Arial" w:hAnsi="Arial" w:cs="Arial"/>
          <w:i/>
          <w:sz w:val="21"/>
          <w:szCs w:val="21"/>
          <w:lang w:val="en-GB"/>
        </w:rPr>
        <w:t>“Once you’ve got that as a service, it’s really hard to consider not having it anymore.”</w:t>
      </w:r>
    </w:p>
    <w:p w14:paraId="4A022854" w14:textId="5D7C771E" w:rsidR="0032172A" w:rsidRPr="004B2A74" w:rsidRDefault="00DA6B95">
      <w:pPr>
        <w:pStyle w:val="Heading2"/>
        <w:rPr>
          <w:rFonts w:ascii="Arial" w:hAnsi="Arial" w:cs="Arial"/>
          <w:sz w:val="21"/>
          <w:szCs w:val="21"/>
          <w:lang w:val="en-GB"/>
        </w:rPr>
      </w:pPr>
      <w:r>
        <w:rPr>
          <w:rFonts w:ascii="Arial" w:hAnsi="Arial" w:cs="Arial"/>
          <w:sz w:val="21"/>
          <w:szCs w:val="21"/>
          <w:lang w:val="en-GB"/>
        </w:rPr>
        <w:t>5.5</w:t>
      </w:r>
      <w:r w:rsidR="004B2A74" w:rsidRPr="004B2A74">
        <w:rPr>
          <w:rFonts w:ascii="Arial" w:hAnsi="Arial" w:cs="Arial"/>
          <w:sz w:val="21"/>
          <w:szCs w:val="21"/>
          <w:lang w:val="en-GB"/>
        </w:rPr>
        <w:t xml:space="preserve"> What we can and cannot claim</w:t>
      </w:r>
    </w:p>
    <w:p w14:paraId="4FD1F9DA"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This evaluation does not claim cashable savings or direct avoided demand. We can say, with confidence, that projects are generating consistent early outcomes aligned with prevention: people are less lonely, more confident, and more engaged. We can also say that community settings are enabling earlier conversations and signposting.</w:t>
      </w:r>
    </w:p>
    <w:p w14:paraId="456B0A25"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To help CCC understand plausible scale, we developed a conservative social value model aligned with national evidence (Appendix E). The model illustrates how small changes — such as improved routine or reduced loneliness — could contribute to delayed escalation under cautious assumptions, without overstating attribution.</w:t>
      </w:r>
    </w:p>
    <w:p w14:paraId="36710123" w14:textId="0AF29B29" w:rsidR="0032172A" w:rsidRPr="004B2A74" w:rsidRDefault="00DA6B95" w:rsidP="004B2A74">
      <w:pPr>
        <w:pStyle w:val="Heading1"/>
      </w:pPr>
      <w:r>
        <w:t>6</w:t>
      </w:r>
      <w:r w:rsidR="004B2A74" w:rsidRPr="004B2A74">
        <w:t>. Sustainability and strategic development</w:t>
      </w:r>
    </w:p>
    <w:p w14:paraId="2845716F"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Sustainability is the most consistent concern across the evidence base. Locality found that many projects were valued and effective, but fragile. This is not primarily because organisations lacked commitment. It is because preventative, relational work takes time to mature, and because some models carry unavoidable ongoing costs (for example, transport, specialist staff, or coordination roles).</w:t>
      </w:r>
    </w:p>
    <w:p w14:paraId="0B1D8160"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In other words: seed funding can start the work, but it does not automatically create the conditions for continuation.</w:t>
      </w:r>
    </w:p>
    <w:p w14:paraId="05F8EF62" w14:textId="18371E88" w:rsidR="0032172A" w:rsidRPr="004B2A74" w:rsidRDefault="00DA6B95">
      <w:pPr>
        <w:pStyle w:val="Heading2"/>
        <w:rPr>
          <w:rFonts w:ascii="Arial" w:hAnsi="Arial" w:cs="Arial"/>
          <w:sz w:val="21"/>
          <w:szCs w:val="21"/>
          <w:lang w:val="en-GB"/>
        </w:rPr>
      </w:pPr>
      <w:r>
        <w:rPr>
          <w:rFonts w:ascii="Arial" w:hAnsi="Arial" w:cs="Arial"/>
          <w:sz w:val="21"/>
          <w:szCs w:val="21"/>
          <w:lang w:val="en-GB"/>
        </w:rPr>
        <w:t>6</w:t>
      </w:r>
      <w:r w:rsidR="004B2A74" w:rsidRPr="004B2A74">
        <w:rPr>
          <w:rFonts w:ascii="Arial" w:hAnsi="Arial" w:cs="Arial"/>
          <w:sz w:val="21"/>
          <w:szCs w:val="21"/>
          <w:lang w:val="en-GB"/>
        </w:rPr>
        <w:t>.1 The maturity gap: why one year often isn’t enough</w:t>
      </w:r>
    </w:p>
    <w:p w14:paraId="3A043C39"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Across districts, we saw the same pattern: projects often took the first months to mobilise and adapt, and only later settled into a stable rhythm. Where the funding period ends just as the model is working well, organisations face an abrupt cliff edge.</w:t>
      </w:r>
    </w:p>
    <w:p w14:paraId="4F872455"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lastRenderedPageBreak/>
        <w:t>This is particularly visible in delivery models that rely on skilled outreach or specialist input. The Cambridge City case study makes this point sharply:</w:t>
      </w:r>
    </w:p>
    <w:p w14:paraId="0E89B19D" w14:textId="77777777" w:rsidR="0032172A" w:rsidRPr="004B2A74" w:rsidRDefault="004B2A74" w:rsidP="00BD4058">
      <w:pPr>
        <w:ind w:left="454" w:right="454"/>
        <w:jc w:val="center"/>
        <w:rPr>
          <w:rFonts w:ascii="Arial" w:hAnsi="Arial" w:cs="Arial"/>
          <w:sz w:val="21"/>
          <w:szCs w:val="21"/>
          <w:lang w:val="en-GB"/>
        </w:rPr>
      </w:pPr>
      <w:r w:rsidRPr="004B2A74">
        <w:rPr>
          <w:rFonts w:ascii="Arial" w:hAnsi="Arial" w:cs="Arial"/>
          <w:i/>
          <w:sz w:val="21"/>
          <w:szCs w:val="21"/>
          <w:lang w:val="en-GB"/>
        </w:rPr>
        <w:t>“Seed funding is a great thing… but who’s watering the tree?”</w:t>
      </w:r>
    </w:p>
    <w:p w14:paraId="536F9A9E" w14:textId="159B0872" w:rsidR="0032172A" w:rsidRPr="004B2A74" w:rsidRDefault="00DA6B95">
      <w:pPr>
        <w:pStyle w:val="Heading2"/>
        <w:rPr>
          <w:rFonts w:ascii="Arial" w:hAnsi="Arial" w:cs="Arial"/>
          <w:sz w:val="21"/>
          <w:szCs w:val="21"/>
          <w:lang w:val="en-GB"/>
        </w:rPr>
      </w:pPr>
      <w:r>
        <w:rPr>
          <w:rFonts w:ascii="Arial" w:hAnsi="Arial" w:cs="Arial"/>
          <w:sz w:val="21"/>
          <w:szCs w:val="21"/>
          <w:lang w:val="en-GB"/>
        </w:rPr>
        <w:t>6</w:t>
      </w:r>
      <w:r w:rsidR="004B2A74" w:rsidRPr="004B2A74">
        <w:rPr>
          <w:rFonts w:ascii="Arial" w:hAnsi="Arial" w:cs="Arial"/>
          <w:sz w:val="21"/>
          <w:szCs w:val="21"/>
          <w:lang w:val="en-GB"/>
        </w:rPr>
        <w:t>.2 What tends to sustain</w:t>
      </w:r>
    </w:p>
    <w:p w14:paraId="7B8B7D48"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Locality found that projects are more likely to continue where they can draw on at least one of the following:</w:t>
      </w:r>
    </w:p>
    <w:p w14:paraId="315223DA"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 Embedded infrastructure: an established organisation, venue, and volunteer base.</w:t>
      </w:r>
      <w:r w:rsidRPr="004B2A74">
        <w:rPr>
          <w:rFonts w:ascii="Arial" w:hAnsi="Arial" w:cs="Arial"/>
          <w:sz w:val="21"/>
          <w:szCs w:val="21"/>
          <w:lang w:val="en-GB"/>
        </w:rPr>
        <w:br/>
        <w:t>• A viable mixed income model: small participant contributions, fundraising, or cross-subsidy.</w:t>
      </w:r>
      <w:r w:rsidRPr="004B2A74">
        <w:rPr>
          <w:rFonts w:ascii="Arial" w:hAnsi="Arial" w:cs="Arial"/>
          <w:sz w:val="21"/>
          <w:szCs w:val="21"/>
          <w:lang w:val="en-GB"/>
        </w:rPr>
        <w:br/>
        <w:t>• A clear ‘home’ in local systems: referrals and recognition through social prescribing, PCNs or neighbourhood teams.</w:t>
      </w:r>
      <w:r w:rsidRPr="004B2A74">
        <w:rPr>
          <w:rFonts w:ascii="Arial" w:hAnsi="Arial" w:cs="Arial"/>
          <w:sz w:val="21"/>
          <w:szCs w:val="21"/>
          <w:lang w:val="en-GB"/>
        </w:rPr>
        <w:br/>
        <w:t>• Funded assets that reduce future costs: equipment, training, volunteer development.</w:t>
      </w:r>
    </w:p>
    <w:p w14:paraId="37361CDD"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Where projects relied on a single coordinator, or where ongoing costs were high and no continuation route existed, sustainability confidence was lower (see Appendix D).</w:t>
      </w:r>
    </w:p>
    <w:p w14:paraId="31FE2CBE" w14:textId="779FCA5D" w:rsidR="0032172A" w:rsidRPr="004B2A74" w:rsidRDefault="00DA6B95">
      <w:pPr>
        <w:pStyle w:val="Heading2"/>
        <w:rPr>
          <w:rFonts w:ascii="Arial" w:hAnsi="Arial" w:cs="Arial"/>
          <w:sz w:val="21"/>
          <w:szCs w:val="21"/>
          <w:lang w:val="en-GB"/>
        </w:rPr>
      </w:pPr>
      <w:r>
        <w:rPr>
          <w:rFonts w:ascii="Arial" w:hAnsi="Arial" w:cs="Arial"/>
          <w:sz w:val="21"/>
          <w:szCs w:val="21"/>
          <w:lang w:val="en-GB"/>
        </w:rPr>
        <w:t>6</w:t>
      </w:r>
      <w:r w:rsidR="004B2A74" w:rsidRPr="004B2A74">
        <w:rPr>
          <w:rFonts w:ascii="Arial" w:hAnsi="Arial" w:cs="Arial"/>
          <w:sz w:val="21"/>
          <w:szCs w:val="21"/>
          <w:lang w:val="en-GB"/>
        </w:rPr>
        <w:t>.3 Sustainability as a commissioning question</w:t>
      </w:r>
    </w:p>
    <w:p w14:paraId="7F07426C"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 Locality team’s view is that sustainability should not be treated as a test of whether community organisations can “stand on their own feet” within twelve months. Instead, it should be framed as a commissioning design choice: what level of ongoing support is appropriate for preventative infrastructure, and where should CCC invest for stability?</w:t>
      </w:r>
    </w:p>
    <w:p w14:paraId="548C1B6D"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This includes making deliberate decisions about:</w:t>
      </w:r>
    </w:p>
    <w:p w14:paraId="1E04F78C"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 Which models are inherently time-limited ‘boosts’ (and are still worthwhile).</w:t>
      </w:r>
      <w:r w:rsidRPr="004B2A74">
        <w:rPr>
          <w:rFonts w:ascii="Arial" w:hAnsi="Arial" w:cs="Arial"/>
          <w:sz w:val="21"/>
          <w:szCs w:val="21"/>
          <w:lang w:val="en-GB"/>
        </w:rPr>
        <w:br/>
        <w:t>• Which models represent local prevention infrastructure that warrants longer-term support.</w:t>
      </w:r>
      <w:r w:rsidRPr="004B2A74">
        <w:rPr>
          <w:rFonts w:ascii="Arial" w:hAnsi="Arial" w:cs="Arial"/>
          <w:sz w:val="21"/>
          <w:szCs w:val="21"/>
          <w:lang w:val="en-GB"/>
        </w:rPr>
        <w:br/>
        <w:t>• How seed funding aligns with, or transitions into, other funding routes.</w:t>
      </w:r>
    </w:p>
    <w:p w14:paraId="3F996C42"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Appendix H sets out system partner reflections on longer funding horizons and better alignment with neighbourhood planning.</w:t>
      </w:r>
    </w:p>
    <w:p w14:paraId="7BDAF4DE" w14:textId="48234087" w:rsidR="0032172A" w:rsidRPr="004B2A74" w:rsidRDefault="00DA6B95" w:rsidP="004B2A74">
      <w:pPr>
        <w:pStyle w:val="Heading1"/>
      </w:pPr>
      <w:r>
        <w:t>7</w:t>
      </w:r>
      <w:r w:rsidR="004B2A74" w:rsidRPr="004B2A74">
        <w:t>. Learning for 2026–27 commissioning</w:t>
      </w:r>
    </w:p>
    <w:p w14:paraId="19F0E123"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This section sets out practical learning for the next phase of Care Together seed funding, including the planned broadening to adults aged 18+. Locality’s recommendations aim to retain the core strengths of the programme — flexibility, trust and local design — while strengthening integration, sustainability and evidence capture.</w:t>
      </w:r>
    </w:p>
    <w:p w14:paraId="48F9B230"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These recommendations are supported by detailed evidence in Appendices B–H. A proposed light-touch evaluation toolkit for 2026–27 is provided in Appendix F.</w:t>
      </w:r>
    </w:p>
    <w:p w14:paraId="2E35B74D" w14:textId="0B6F66DE" w:rsidR="0032172A" w:rsidRPr="004B2A74" w:rsidRDefault="00DA6B95">
      <w:pPr>
        <w:pStyle w:val="Heading2"/>
        <w:rPr>
          <w:rFonts w:ascii="Arial" w:hAnsi="Arial" w:cs="Arial"/>
          <w:sz w:val="21"/>
          <w:szCs w:val="21"/>
          <w:lang w:val="en-GB"/>
        </w:rPr>
      </w:pPr>
      <w:r>
        <w:rPr>
          <w:rFonts w:ascii="Arial" w:hAnsi="Arial" w:cs="Arial"/>
          <w:sz w:val="21"/>
          <w:szCs w:val="21"/>
          <w:lang w:val="en-GB"/>
        </w:rPr>
        <w:t>7</w:t>
      </w:r>
      <w:r w:rsidR="004B2A74" w:rsidRPr="004B2A74">
        <w:rPr>
          <w:rFonts w:ascii="Arial" w:hAnsi="Arial" w:cs="Arial"/>
          <w:sz w:val="21"/>
          <w:szCs w:val="21"/>
          <w:lang w:val="en-GB"/>
        </w:rPr>
        <w:t>.1 Keep what works: flexibility, trust and relational commissioning</w:t>
      </w:r>
    </w:p>
    <w:p w14:paraId="5DC5D2F9"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Locality found that the programme’s effectiveness is strongly linked to how it is experienced by community organisations. Providers consistently described a supportive relationship with CCC and proportionate monitoring. This trust-based approach enables adaptation and honesty about what is (and is not) working.</w:t>
      </w:r>
    </w:p>
    <w:p w14:paraId="093B77AC" w14:textId="6E22F4B2" w:rsidR="0032172A" w:rsidRPr="004B2A74" w:rsidRDefault="004B2A74">
      <w:pPr>
        <w:rPr>
          <w:rFonts w:ascii="Arial" w:hAnsi="Arial" w:cs="Arial"/>
          <w:sz w:val="21"/>
          <w:szCs w:val="21"/>
          <w:lang w:val="en-GB"/>
        </w:rPr>
      </w:pPr>
      <w:r w:rsidRPr="004B2A74">
        <w:rPr>
          <w:rFonts w:ascii="Arial" w:hAnsi="Arial" w:cs="Arial"/>
          <w:sz w:val="21"/>
          <w:szCs w:val="21"/>
          <w:lang w:val="en-GB"/>
        </w:rPr>
        <w:lastRenderedPageBreak/>
        <w:t>Recommendation: Maintain flexible, enabling processes and avoid over-specifying delivery models</w:t>
      </w:r>
      <w:r w:rsidR="00530B3D">
        <w:rPr>
          <w:rFonts w:ascii="Arial" w:hAnsi="Arial" w:cs="Arial"/>
          <w:sz w:val="21"/>
          <w:szCs w:val="21"/>
          <w:lang w:val="en-GB"/>
        </w:rPr>
        <w:t xml:space="preserve"> and </w:t>
      </w:r>
      <w:r w:rsidR="00530B3D">
        <w:rPr>
          <w:rFonts w:ascii="Arial" w:hAnsi="Arial" w:cs="Arial"/>
          <w:sz w:val="21"/>
          <w:szCs w:val="21"/>
        </w:rPr>
        <w:t>c</w:t>
      </w:r>
      <w:r w:rsidR="00530B3D" w:rsidRPr="00530B3D">
        <w:rPr>
          <w:rFonts w:ascii="Arial" w:hAnsi="Arial" w:cs="Arial"/>
          <w:sz w:val="21"/>
          <w:szCs w:val="21"/>
        </w:rPr>
        <w:t xml:space="preserve">ontinue to </w:t>
      </w:r>
      <w:proofErr w:type="spellStart"/>
      <w:r w:rsidR="00530B3D" w:rsidRPr="00530B3D">
        <w:rPr>
          <w:rFonts w:ascii="Arial" w:hAnsi="Arial" w:cs="Arial"/>
          <w:sz w:val="21"/>
          <w:szCs w:val="21"/>
        </w:rPr>
        <w:t>prioritise</w:t>
      </w:r>
      <w:proofErr w:type="spellEnd"/>
      <w:r w:rsidR="00530B3D" w:rsidRPr="00530B3D">
        <w:rPr>
          <w:rFonts w:ascii="Arial" w:hAnsi="Arial" w:cs="Arial"/>
          <w:sz w:val="21"/>
          <w:szCs w:val="21"/>
        </w:rPr>
        <w:t xml:space="preserve"> low-cost, locally delivered models as part of preventative ageing strategy.</w:t>
      </w:r>
      <w:r w:rsidRPr="004B2A74">
        <w:rPr>
          <w:rFonts w:ascii="Arial" w:hAnsi="Arial" w:cs="Arial"/>
          <w:sz w:val="21"/>
          <w:szCs w:val="21"/>
          <w:lang w:val="en-GB"/>
        </w:rPr>
        <w:t xml:space="preserve"> Keep monitoring proportionate and focused on learning.</w:t>
      </w:r>
    </w:p>
    <w:p w14:paraId="496AB376" w14:textId="4BCA14BC" w:rsidR="0032172A" w:rsidRPr="004B2A74" w:rsidRDefault="00DA6B95">
      <w:pPr>
        <w:pStyle w:val="Heading2"/>
        <w:rPr>
          <w:rFonts w:ascii="Arial" w:hAnsi="Arial" w:cs="Arial"/>
          <w:sz w:val="21"/>
          <w:szCs w:val="21"/>
          <w:lang w:val="en-GB"/>
        </w:rPr>
      </w:pPr>
      <w:r>
        <w:rPr>
          <w:rFonts w:ascii="Arial" w:hAnsi="Arial" w:cs="Arial"/>
          <w:sz w:val="21"/>
          <w:szCs w:val="21"/>
          <w:lang w:val="en-GB"/>
        </w:rPr>
        <w:t>7</w:t>
      </w:r>
      <w:r w:rsidR="004B2A74" w:rsidRPr="004B2A74">
        <w:rPr>
          <w:rFonts w:ascii="Arial" w:hAnsi="Arial" w:cs="Arial"/>
          <w:sz w:val="21"/>
          <w:szCs w:val="21"/>
          <w:lang w:val="en-GB"/>
        </w:rPr>
        <w:t>.2 Strengthen integration without adding burden</w:t>
      </w:r>
    </w:p>
    <w:p w14:paraId="1D7395A1"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Integration is currently uneven. In some places, seed-funded offers are known to social prescribers and informal referrals occur; in others, projects rely on word-of-mouth alone.</w:t>
      </w:r>
    </w:p>
    <w:p w14:paraId="763FFA35" w14:textId="038709A4"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Recommendation: </w:t>
      </w:r>
      <w:r w:rsidRPr="00BD4058">
        <w:rPr>
          <w:rFonts w:ascii="Arial" w:hAnsi="Arial" w:cs="Arial"/>
          <w:b/>
          <w:bCs/>
          <w:sz w:val="21"/>
          <w:szCs w:val="21"/>
          <w:lang w:val="en-GB"/>
        </w:rPr>
        <w:t>Create simple, repeatable integration practices</w:t>
      </w:r>
      <w:r w:rsidRPr="004B2A74">
        <w:rPr>
          <w:rFonts w:ascii="Arial" w:hAnsi="Arial" w:cs="Arial"/>
          <w:sz w:val="21"/>
          <w:szCs w:val="21"/>
          <w:lang w:val="en-GB"/>
        </w:rPr>
        <w:t>, for example:</w:t>
      </w:r>
      <w:r w:rsidRPr="004B2A74">
        <w:rPr>
          <w:rFonts w:ascii="Arial" w:hAnsi="Arial" w:cs="Arial"/>
          <w:sz w:val="21"/>
          <w:szCs w:val="21"/>
          <w:lang w:val="en-GB"/>
        </w:rPr>
        <w:br/>
        <w:t>• A short “what’s on” brief by district for PCNs and neighbourhood teams, refreshed quarterly.</w:t>
      </w:r>
      <w:r w:rsidRPr="004B2A74">
        <w:rPr>
          <w:rFonts w:ascii="Arial" w:hAnsi="Arial" w:cs="Arial"/>
          <w:sz w:val="21"/>
          <w:szCs w:val="21"/>
          <w:lang w:val="en-GB"/>
        </w:rPr>
        <w:br/>
        <w:t>• A named link for each district between seed-funded projects and social prescribing teams</w:t>
      </w:r>
      <w:r w:rsidR="00FC0951">
        <w:rPr>
          <w:rFonts w:ascii="Arial" w:hAnsi="Arial" w:cs="Arial"/>
          <w:sz w:val="21"/>
          <w:szCs w:val="21"/>
          <w:lang w:val="en-GB"/>
        </w:rPr>
        <w:t xml:space="preserve"> (e.g. </w:t>
      </w:r>
      <w:r w:rsidR="0058234F">
        <w:rPr>
          <w:rFonts w:ascii="Arial" w:hAnsi="Arial" w:cs="Arial"/>
          <w:sz w:val="21"/>
          <w:szCs w:val="21"/>
          <w:lang w:val="en-GB"/>
        </w:rPr>
        <w:t>Place-based Commissioners)</w:t>
      </w:r>
      <w:r w:rsidRPr="004B2A74">
        <w:rPr>
          <w:rFonts w:ascii="Arial" w:hAnsi="Arial" w:cs="Arial"/>
          <w:sz w:val="21"/>
          <w:szCs w:val="21"/>
          <w:lang w:val="en-GB"/>
        </w:rPr>
        <w:t>.</w:t>
      </w:r>
      <w:r w:rsidRPr="004B2A74">
        <w:rPr>
          <w:rFonts w:ascii="Arial" w:hAnsi="Arial" w:cs="Arial"/>
          <w:sz w:val="21"/>
          <w:szCs w:val="21"/>
          <w:lang w:val="en-GB"/>
        </w:rPr>
        <w:br/>
        <w:t>• A light-touch referral feedback loop (even if informal) so community organisations know whether signposting has helped.</w:t>
      </w:r>
    </w:p>
    <w:p w14:paraId="0F6EB05A" w14:textId="228A5215" w:rsidR="0032172A" w:rsidRPr="004B2A74" w:rsidRDefault="00DA6B95">
      <w:pPr>
        <w:pStyle w:val="Heading2"/>
        <w:rPr>
          <w:rFonts w:ascii="Arial" w:hAnsi="Arial" w:cs="Arial"/>
          <w:sz w:val="21"/>
          <w:szCs w:val="21"/>
          <w:lang w:val="en-GB"/>
        </w:rPr>
      </w:pPr>
      <w:r>
        <w:rPr>
          <w:rFonts w:ascii="Arial" w:hAnsi="Arial" w:cs="Arial"/>
          <w:sz w:val="21"/>
          <w:szCs w:val="21"/>
          <w:lang w:val="en-GB"/>
        </w:rPr>
        <w:t>7</w:t>
      </w:r>
      <w:r w:rsidR="004B2A74" w:rsidRPr="004B2A74">
        <w:rPr>
          <w:rFonts w:ascii="Arial" w:hAnsi="Arial" w:cs="Arial"/>
          <w:sz w:val="21"/>
          <w:szCs w:val="21"/>
          <w:lang w:val="en-GB"/>
        </w:rPr>
        <w:t>.3 Invest in sustainability pathways</w:t>
      </w:r>
    </w:p>
    <w:p w14:paraId="24703228" w14:textId="2F7BA4AE" w:rsidR="0032172A" w:rsidRPr="004B2A74" w:rsidRDefault="6BCE032F">
      <w:pPr>
        <w:rPr>
          <w:rFonts w:ascii="Arial" w:hAnsi="Arial" w:cs="Arial"/>
          <w:sz w:val="21"/>
          <w:szCs w:val="21"/>
          <w:lang w:val="en-GB"/>
        </w:rPr>
      </w:pPr>
      <w:r w:rsidRPr="6BCE032F">
        <w:rPr>
          <w:rFonts w:ascii="Arial" w:hAnsi="Arial" w:cs="Arial"/>
          <w:sz w:val="21"/>
          <w:szCs w:val="21"/>
          <w:lang w:val="en-GB"/>
        </w:rPr>
        <w:t xml:space="preserve">Recommendation: </w:t>
      </w:r>
      <w:r w:rsidRPr="00BD4058">
        <w:rPr>
          <w:rFonts w:ascii="Arial" w:hAnsi="Arial" w:cs="Arial"/>
          <w:b/>
          <w:bCs/>
          <w:sz w:val="21"/>
          <w:szCs w:val="21"/>
          <w:lang w:val="en-GB"/>
        </w:rPr>
        <w:t>Introduce a clearer sustainability pathway for projects that demonstrate strong demand and credible prevention contribution</w:t>
      </w:r>
      <w:r w:rsidRPr="6BCE032F">
        <w:rPr>
          <w:rFonts w:ascii="Arial" w:hAnsi="Arial" w:cs="Arial"/>
          <w:sz w:val="21"/>
          <w:szCs w:val="21"/>
          <w:lang w:val="en-GB"/>
        </w:rPr>
        <w:t>. Options could include:</w:t>
      </w:r>
      <w:r w:rsidR="004B2A74">
        <w:br/>
      </w:r>
      <w:r w:rsidRPr="6BCE032F">
        <w:rPr>
          <w:rFonts w:ascii="Arial" w:hAnsi="Arial" w:cs="Arial"/>
          <w:sz w:val="21"/>
          <w:szCs w:val="21"/>
          <w:lang w:val="en-GB"/>
        </w:rPr>
        <w:t>• Longer grant periods for selected models (e.g., 18–24 months where appropriate, building in additional ‘development time’ or simple approaches to extend (such as 1+1+1 (year) model, being taken forward by the Council in other areas).</w:t>
      </w:r>
      <w:r w:rsidR="004B2A74">
        <w:br/>
      </w:r>
      <w:r w:rsidRPr="6BCE032F">
        <w:rPr>
          <w:rFonts w:ascii="Arial" w:hAnsi="Arial" w:cs="Arial"/>
          <w:sz w:val="21"/>
          <w:szCs w:val="21"/>
          <w:lang w:val="en-GB"/>
        </w:rPr>
        <w:t>• A small follow-on ‘stabilisation’ grant for proven projects with a clear continuation plan.</w:t>
      </w:r>
      <w:r w:rsidR="004B2A74">
        <w:br/>
      </w:r>
      <w:r w:rsidRPr="6BCE032F">
        <w:rPr>
          <w:rFonts w:ascii="Arial" w:hAnsi="Arial" w:cs="Arial"/>
          <w:sz w:val="21"/>
          <w:szCs w:val="21"/>
          <w:lang w:val="en-GB"/>
        </w:rPr>
        <w:t>• Offer capacity-building support (governance, fundraising, evaluation) through CVS/Support Cambridgeshire or similar partners.</w:t>
      </w:r>
    </w:p>
    <w:p w14:paraId="7F40EA9D"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This does not mean turning seed funding into long-term contracts. It means acknowledging that some preventive infrastructure needs time and light support to embed.</w:t>
      </w:r>
    </w:p>
    <w:p w14:paraId="7875912D" w14:textId="356971C4" w:rsidR="0032172A" w:rsidRPr="004B2A74" w:rsidRDefault="00DA6B95">
      <w:pPr>
        <w:pStyle w:val="Heading2"/>
        <w:rPr>
          <w:rFonts w:ascii="Arial" w:hAnsi="Arial" w:cs="Arial"/>
          <w:sz w:val="21"/>
          <w:szCs w:val="21"/>
          <w:lang w:val="en-GB"/>
        </w:rPr>
      </w:pPr>
      <w:r>
        <w:rPr>
          <w:rFonts w:ascii="Arial" w:hAnsi="Arial" w:cs="Arial"/>
          <w:sz w:val="21"/>
          <w:szCs w:val="21"/>
          <w:lang w:val="en-GB"/>
        </w:rPr>
        <w:t>7</w:t>
      </w:r>
      <w:r w:rsidR="004B2A74" w:rsidRPr="004B2A74">
        <w:rPr>
          <w:rFonts w:ascii="Arial" w:hAnsi="Arial" w:cs="Arial"/>
          <w:sz w:val="21"/>
          <w:szCs w:val="21"/>
          <w:lang w:val="en-GB"/>
        </w:rPr>
        <w:t>.4 Improve evidence capture in a light-touch way</w:t>
      </w:r>
    </w:p>
    <w:p w14:paraId="514F6D33"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 evidence base is currently strong on qualitative experience and credible early outcomes, but weaker on measurable change over time and repeat engagement.</w:t>
      </w:r>
    </w:p>
    <w:p w14:paraId="6F1D0F1F"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Recommendation: </w:t>
      </w:r>
      <w:r w:rsidRPr="00BD4058">
        <w:rPr>
          <w:rFonts w:ascii="Arial" w:hAnsi="Arial" w:cs="Arial"/>
          <w:b/>
          <w:bCs/>
          <w:sz w:val="21"/>
          <w:szCs w:val="21"/>
          <w:lang w:val="en-GB"/>
        </w:rPr>
        <w:t>Add a small set of shared indicators for 2026–27, designed to be quick and consistent.</w:t>
      </w:r>
      <w:r w:rsidRPr="004B2A74">
        <w:rPr>
          <w:rFonts w:ascii="Arial" w:hAnsi="Arial" w:cs="Arial"/>
          <w:sz w:val="21"/>
          <w:szCs w:val="21"/>
          <w:lang w:val="en-GB"/>
        </w:rPr>
        <w:t xml:space="preserve"> Appendix F proposes a toolkit including:</w:t>
      </w:r>
      <w:r w:rsidRPr="004B2A74">
        <w:rPr>
          <w:rFonts w:ascii="Arial" w:hAnsi="Arial" w:cs="Arial"/>
          <w:sz w:val="21"/>
          <w:szCs w:val="21"/>
          <w:lang w:val="en-GB"/>
        </w:rPr>
        <w:br/>
        <w:t>• Repeat attendance tracking (simple counts).</w:t>
      </w:r>
      <w:r w:rsidRPr="004B2A74">
        <w:rPr>
          <w:rFonts w:ascii="Arial" w:hAnsi="Arial" w:cs="Arial"/>
          <w:sz w:val="21"/>
          <w:szCs w:val="21"/>
          <w:lang w:val="en-GB"/>
        </w:rPr>
        <w:br/>
        <w:t>• A one-question confidence indicator (e.g., confidence leaving the house).</w:t>
      </w:r>
      <w:r w:rsidRPr="004B2A74">
        <w:rPr>
          <w:rFonts w:ascii="Arial" w:hAnsi="Arial" w:cs="Arial"/>
          <w:sz w:val="21"/>
          <w:szCs w:val="21"/>
          <w:lang w:val="en-GB"/>
        </w:rPr>
        <w:br/>
        <w:t>• A short wellbeing check-in (lightweight and non-clinical).</w:t>
      </w:r>
      <w:r w:rsidRPr="004B2A74">
        <w:rPr>
          <w:rFonts w:ascii="Arial" w:hAnsi="Arial" w:cs="Arial"/>
          <w:sz w:val="21"/>
          <w:szCs w:val="21"/>
          <w:lang w:val="en-GB"/>
        </w:rPr>
        <w:br/>
        <w:t>• A carer reassurance question where relevant.</w:t>
      </w:r>
      <w:r w:rsidRPr="004B2A74">
        <w:rPr>
          <w:rFonts w:ascii="Arial" w:hAnsi="Arial" w:cs="Arial"/>
          <w:sz w:val="21"/>
          <w:szCs w:val="21"/>
          <w:lang w:val="en-GB"/>
        </w:rPr>
        <w:br/>
        <w:t>• Volunteer hours captured consistently where volunteers are core to delivery.</w:t>
      </w:r>
    </w:p>
    <w:p w14:paraId="48DA110C"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This would strengthen future social value modelling and help CCC tell a clearer prevention story without over-burdening providers.</w:t>
      </w:r>
    </w:p>
    <w:p w14:paraId="70CCCBB4" w14:textId="293E3BC7" w:rsidR="0032172A" w:rsidRPr="004B2A74" w:rsidRDefault="00DA6B95">
      <w:pPr>
        <w:pStyle w:val="Heading2"/>
        <w:rPr>
          <w:rFonts w:ascii="Arial" w:hAnsi="Arial" w:cs="Arial"/>
          <w:sz w:val="21"/>
          <w:szCs w:val="21"/>
          <w:lang w:val="en-GB"/>
        </w:rPr>
      </w:pPr>
      <w:r>
        <w:rPr>
          <w:rFonts w:ascii="Arial" w:hAnsi="Arial" w:cs="Arial"/>
          <w:sz w:val="21"/>
          <w:szCs w:val="21"/>
          <w:lang w:val="en-GB"/>
        </w:rPr>
        <w:t>7</w:t>
      </w:r>
      <w:r w:rsidR="004B2A74" w:rsidRPr="004B2A74">
        <w:rPr>
          <w:rFonts w:ascii="Arial" w:hAnsi="Arial" w:cs="Arial"/>
          <w:sz w:val="21"/>
          <w:szCs w:val="21"/>
          <w:lang w:val="en-GB"/>
        </w:rPr>
        <w:t>.5 Use place-based learning more deliberately</w:t>
      </w:r>
    </w:p>
    <w:p w14:paraId="085C5541" w14:textId="77777777" w:rsidR="00CE2715" w:rsidRDefault="004B2A74">
      <w:pPr>
        <w:rPr>
          <w:rFonts w:ascii="Arial" w:hAnsi="Arial" w:cs="Arial"/>
          <w:sz w:val="21"/>
          <w:szCs w:val="21"/>
          <w:lang w:val="en-GB"/>
        </w:rPr>
      </w:pPr>
      <w:r w:rsidRPr="004B2A74">
        <w:rPr>
          <w:rFonts w:ascii="Arial" w:hAnsi="Arial" w:cs="Arial"/>
          <w:sz w:val="21"/>
          <w:szCs w:val="21"/>
          <w:lang w:val="en-GB"/>
        </w:rPr>
        <w:t xml:space="preserve">Appendix B shows distinct district patterns. </w:t>
      </w:r>
    </w:p>
    <w:p w14:paraId="7BAFAA21" w14:textId="0F5DA128" w:rsidR="0032172A" w:rsidRPr="004B2A74" w:rsidRDefault="00CE2715">
      <w:pPr>
        <w:rPr>
          <w:rFonts w:ascii="Arial" w:hAnsi="Arial" w:cs="Arial"/>
          <w:sz w:val="21"/>
          <w:szCs w:val="21"/>
          <w:lang w:val="en-GB"/>
        </w:rPr>
      </w:pPr>
      <w:r w:rsidRPr="004B2A74">
        <w:rPr>
          <w:rFonts w:ascii="Arial" w:hAnsi="Arial" w:cs="Arial"/>
          <w:sz w:val="21"/>
          <w:szCs w:val="21"/>
          <w:lang w:val="en-GB"/>
        </w:rPr>
        <w:t xml:space="preserve">Recommendation: </w:t>
      </w:r>
      <w:r>
        <w:rPr>
          <w:rFonts w:ascii="Arial" w:hAnsi="Arial" w:cs="Arial"/>
          <w:b/>
          <w:bCs/>
          <w:sz w:val="21"/>
          <w:szCs w:val="21"/>
          <w:lang w:val="en-GB"/>
        </w:rPr>
        <w:t>U</w:t>
      </w:r>
      <w:r w:rsidR="004B2A74" w:rsidRPr="00BD4058">
        <w:rPr>
          <w:rFonts w:ascii="Arial" w:hAnsi="Arial" w:cs="Arial"/>
          <w:b/>
          <w:bCs/>
          <w:sz w:val="21"/>
          <w:szCs w:val="21"/>
          <w:lang w:val="en-GB"/>
        </w:rPr>
        <w:t xml:space="preserve">sing </w:t>
      </w:r>
      <w:r>
        <w:rPr>
          <w:rFonts w:ascii="Arial" w:hAnsi="Arial" w:cs="Arial"/>
          <w:b/>
          <w:bCs/>
          <w:sz w:val="21"/>
          <w:szCs w:val="21"/>
          <w:lang w:val="en-GB"/>
        </w:rPr>
        <w:t>place</w:t>
      </w:r>
      <w:r w:rsidR="004B2A74" w:rsidRPr="00BD4058">
        <w:rPr>
          <w:rFonts w:ascii="Arial" w:hAnsi="Arial" w:cs="Arial"/>
          <w:b/>
          <w:bCs/>
          <w:sz w:val="21"/>
          <w:szCs w:val="21"/>
          <w:lang w:val="en-GB"/>
        </w:rPr>
        <w:t xml:space="preserve"> differences more explicitly in commissioning decisions, recognising that “success” looks different depending on local context</w:t>
      </w:r>
      <w:r w:rsidR="004B2A74" w:rsidRPr="004B2A74">
        <w:rPr>
          <w:rFonts w:ascii="Arial" w:hAnsi="Arial" w:cs="Arial"/>
          <w:sz w:val="21"/>
          <w:szCs w:val="21"/>
          <w:lang w:val="en-GB"/>
        </w:rPr>
        <w:t>:</w:t>
      </w:r>
    </w:p>
    <w:p w14:paraId="1D1EAA01"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lastRenderedPageBreak/>
        <w:t>• Fenland: depth of support and affordability are central; reach may be harder without transport and capacity investment.</w:t>
      </w:r>
      <w:r w:rsidRPr="004B2A74">
        <w:rPr>
          <w:rFonts w:ascii="Arial" w:hAnsi="Arial" w:cs="Arial"/>
          <w:sz w:val="21"/>
          <w:szCs w:val="21"/>
          <w:lang w:val="en-GB"/>
        </w:rPr>
        <w:br/>
        <w:t>• Cambridge City: coordination and navigation are key; the challenge is conversion from availability to participation.</w:t>
      </w:r>
      <w:r w:rsidRPr="004B2A74">
        <w:rPr>
          <w:rFonts w:ascii="Arial" w:hAnsi="Arial" w:cs="Arial"/>
          <w:sz w:val="21"/>
          <w:szCs w:val="21"/>
          <w:lang w:val="en-GB"/>
        </w:rPr>
        <w:br/>
        <w:t>• South Cambridgeshire: volunteer resilience and rural access shape sustainability.</w:t>
      </w:r>
      <w:r w:rsidRPr="004B2A74">
        <w:rPr>
          <w:rFonts w:ascii="Arial" w:hAnsi="Arial" w:cs="Arial"/>
          <w:sz w:val="21"/>
          <w:szCs w:val="21"/>
          <w:lang w:val="en-GB"/>
        </w:rPr>
        <w:br/>
        <w:t>• Huntingdonshire: access enablers (e.g., transport) can be foundational.</w:t>
      </w:r>
      <w:r w:rsidRPr="004B2A74">
        <w:rPr>
          <w:rFonts w:ascii="Arial" w:hAnsi="Arial" w:cs="Arial"/>
          <w:sz w:val="21"/>
          <w:szCs w:val="21"/>
          <w:lang w:val="en-GB"/>
        </w:rPr>
        <w:br/>
        <w:t>• East Cambridgeshire: hub models show how infrastructure investment can mature over time.</w:t>
      </w:r>
    </w:p>
    <w:p w14:paraId="3C6C9F23"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 xml:space="preserve">Recommendation: </w:t>
      </w:r>
      <w:r w:rsidRPr="00CE2715">
        <w:rPr>
          <w:rFonts w:ascii="Arial" w:hAnsi="Arial" w:cs="Arial"/>
          <w:b/>
          <w:bCs/>
          <w:sz w:val="21"/>
          <w:szCs w:val="21"/>
          <w:lang w:val="en-GB"/>
        </w:rPr>
        <w:t>Set district-informed expectations and avoid assuming uniform outcomes across places.</w:t>
      </w:r>
    </w:p>
    <w:p w14:paraId="2E21D317" w14:textId="53881762" w:rsidR="0032172A" w:rsidRPr="004B2A74" w:rsidRDefault="00DA6B95" w:rsidP="004B2A74">
      <w:pPr>
        <w:pStyle w:val="Heading1"/>
      </w:pPr>
      <w:r>
        <w:t>8</w:t>
      </w:r>
      <w:r w:rsidR="004B2A74" w:rsidRPr="004B2A74">
        <w:t>. Conclusion</w:t>
      </w:r>
    </w:p>
    <w:p w14:paraId="62ABD6DF" w14:textId="7AE3A4EF" w:rsidR="0032172A" w:rsidRDefault="004B2A74">
      <w:pPr>
        <w:rPr>
          <w:rFonts w:ascii="Arial" w:hAnsi="Arial" w:cs="Arial"/>
          <w:sz w:val="21"/>
          <w:szCs w:val="21"/>
        </w:rPr>
      </w:pPr>
      <w:r w:rsidRPr="004B2A74">
        <w:rPr>
          <w:rFonts w:ascii="Arial" w:hAnsi="Arial" w:cs="Arial"/>
          <w:sz w:val="21"/>
          <w:szCs w:val="21"/>
          <w:lang w:val="en-GB"/>
        </w:rPr>
        <w:t xml:space="preserve">Across three funding rounds and five districts, the Locality team found that Care Together seed funding has enabled a diverse but coherent set of community-led prevention offers. The programme’s strongest and most consistent impacts are early outcomes: reduced loneliness, improved wellbeing, </w:t>
      </w:r>
      <w:r w:rsidR="0058234F" w:rsidRPr="0058234F">
        <w:rPr>
          <w:rFonts w:ascii="Arial" w:hAnsi="Arial" w:cs="Arial"/>
          <w:sz w:val="21"/>
          <w:szCs w:val="21"/>
          <w:lang w:val="en-GB"/>
        </w:rPr>
        <w:t>increased physical activity and exercise</w:t>
      </w:r>
      <w:r w:rsidR="0058234F">
        <w:rPr>
          <w:rFonts w:ascii="Arial" w:hAnsi="Arial" w:cs="Arial"/>
          <w:sz w:val="21"/>
          <w:szCs w:val="21"/>
          <w:lang w:val="en-GB"/>
        </w:rPr>
        <w:t xml:space="preserve">, </w:t>
      </w:r>
      <w:r w:rsidRPr="004B2A74">
        <w:rPr>
          <w:rFonts w:ascii="Arial" w:hAnsi="Arial" w:cs="Arial"/>
          <w:sz w:val="21"/>
          <w:szCs w:val="21"/>
          <w:lang w:val="en-GB"/>
        </w:rPr>
        <w:t>increased confidence, and the creation of routine and belonging.</w:t>
      </w:r>
      <w:r w:rsidR="0051131A">
        <w:rPr>
          <w:rFonts w:ascii="Arial" w:hAnsi="Arial" w:cs="Arial"/>
          <w:sz w:val="21"/>
          <w:szCs w:val="21"/>
          <w:lang w:val="en-GB"/>
        </w:rPr>
        <w:t xml:space="preserve"> </w:t>
      </w:r>
      <w:r w:rsidR="005460AE" w:rsidRPr="00CC78F3">
        <w:rPr>
          <w:rFonts w:ascii="Arial" w:hAnsi="Arial" w:cs="Arial"/>
          <w:sz w:val="21"/>
          <w:szCs w:val="21"/>
        </w:rPr>
        <w:t xml:space="preserve">The prominence of community-based physical activity as a preventative intervention </w:t>
      </w:r>
      <w:r w:rsidR="005460AE">
        <w:rPr>
          <w:rFonts w:ascii="Arial" w:hAnsi="Arial" w:cs="Arial"/>
          <w:sz w:val="21"/>
          <w:szCs w:val="21"/>
        </w:rPr>
        <w:t xml:space="preserve">also </w:t>
      </w:r>
      <w:r w:rsidR="005460AE" w:rsidRPr="00CC78F3">
        <w:rPr>
          <w:rFonts w:ascii="Arial" w:hAnsi="Arial" w:cs="Arial"/>
          <w:sz w:val="21"/>
          <w:szCs w:val="21"/>
        </w:rPr>
        <w:t xml:space="preserve">stands out as a defining strength of </w:t>
      </w:r>
      <w:r w:rsidR="005460AE">
        <w:rPr>
          <w:rFonts w:ascii="Arial" w:hAnsi="Arial" w:cs="Arial"/>
          <w:sz w:val="21"/>
          <w:szCs w:val="21"/>
        </w:rPr>
        <w:t>the work</w:t>
      </w:r>
      <w:r w:rsidR="005460AE" w:rsidRPr="00CC78F3">
        <w:rPr>
          <w:rFonts w:ascii="Arial" w:hAnsi="Arial" w:cs="Arial"/>
          <w:sz w:val="21"/>
          <w:szCs w:val="21"/>
        </w:rPr>
        <w:t>.</w:t>
      </w:r>
      <w:r w:rsidR="005460AE">
        <w:rPr>
          <w:rFonts w:ascii="Arial" w:hAnsi="Arial" w:cs="Arial"/>
          <w:sz w:val="21"/>
          <w:szCs w:val="21"/>
        </w:rPr>
        <w:t xml:space="preserve"> </w:t>
      </w:r>
      <w:r w:rsidR="0051131A" w:rsidRPr="005E4014">
        <w:rPr>
          <w:rFonts w:ascii="Arial" w:hAnsi="Arial" w:cs="Arial"/>
          <w:sz w:val="21"/>
          <w:szCs w:val="21"/>
        </w:rPr>
        <w:t xml:space="preserve">The </w:t>
      </w:r>
      <w:proofErr w:type="spellStart"/>
      <w:r w:rsidR="0051131A" w:rsidRPr="005E4014">
        <w:rPr>
          <w:rFonts w:ascii="Arial" w:hAnsi="Arial" w:cs="Arial"/>
          <w:sz w:val="21"/>
          <w:szCs w:val="21"/>
        </w:rPr>
        <w:t>programme’s</w:t>
      </w:r>
      <w:proofErr w:type="spellEnd"/>
      <w:r w:rsidR="0051131A" w:rsidRPr="005E4014">
        <w:rPr>
          <w:rFonts w:ascii="Arial" w:hAnsi="Arial" w:cs="Arial"/>
          <w:sz w:val="21"/>
          <w:szCs w:val="21"/>
        </w:rPr>
        <w:t xml:space="preserve"> inclusive design — particularly free access, transport and familiar venues — has helped reach older people who might otherwise remain disconnected.</w:t>
      </w:r>
    </w:p>
    <w:p w14:paraId="755F07B8" w14:textId="2B58A141" w:rsidR="0032172A" w:rsidRPr="004B2A74" w:rsidRDefault="004B2A74">
      <w:pPr>
        <w:rPr>
          <w:rFonts w:ascii="Arial" w:hAnsi="Arial" w:cs="Arial"/>
          <w:sz w:val="21"/>
          <w:szCs w:val="21"/>
          <w:lang w:val="en-GB"/>
        </w:rPr>
      </w:pPr>
      <w:r w:rsidRPr="004B2A74">
        <w:rPr>
          <w:rFonts w:ascii="Arial" w:hAnsi="Arial" w:cs="Arial"/>
          <w:sz w:val="21"/>
          <w:szCs w:val="21"/>
          <w:lang w:val="en-GB"/>
        </w:rPr>
        <w:t>The case studies illustrate what those outcomes look like in real life: a village hub kept free so “everybody is welcome”; a memory cafe where “they just come alive when the music starts”; a mobile gym that makes movement feel possible again; an accessible minibus that turns isolation into attendance; a cookery programme where the biggest shifts are “around social isolation.”</w:t>
      </w:r>
      <w:r w:rsidR="00CC78F3">
        <w:rPr>
          <w:rFonts w:ascii="Arial" w:hAnsi="Arial" w:cs="Arial"/>
          <w:sz w:val="21"/>
          <w:szCs w:val="21"/>
          <w:lang w:val="en-GB"/>
        </w:rPr>
        <w:t xml:space="preserve"> </w:t>
      </w:r>
    </w:p>
    <w:p w14:paraId="59B80E76"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There is no single ‘Care Together model’. Instead, there is a flexible approach that enables local people and organisations to design what fits. That flexibility is a strength — and it is the reason the programme is widely valued.</w:t>
      </w:r>
    </w:p>
    <w:p w14:paraId="050F9F03"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The commissioning question for 2026–27 is not whether seed funding works. It is how CCC can deepen its impact while keeping what makes it effective: trust, flexibility and place-based relationships. Strengthening sustainability pathways, integration with neighbourhood systems, and light-touch outcome capture would help the programme move from credible early outcomes to a more demonstrable prevention contribution over time.</w:t>
      </w:r>
    </w:p>
    <w:p w14:paraId="4353D6E9" w14:textId="77777777" w:rsidR="0032172A" w:rsidRPr="004B2A74" w:rsidRDefault="004B2A74">
      <w:pPr>
        <w:rPr>
          <w:rFonts w:ascii="Arial" w:hAnsi="Arial" w:cs="Arial"/>
          <w:sz w:val="21"/>
          <w:szCs w:val="21"/>
          <w:lang w:val="en-GB"/>
        </w:rPr>
      </w:pPr>
      <w:r w:rsidRPr="004B2A74">
        <w:rPr>
          <w:rFonts w:ascii="Arial" w:hAnsi="Arial" w:cs="Arial"/>
          <w:sz w:val="21"/>
          <w:szCs w:val="21"/>
          <w:lang w:val="en-GB"/>
        </w:rPr>
        <w:t>For readers who want the full detail — by district, method and evidence source — the appendices provide a transparent and comprehensive record (Appendices A–H).</w:t>
      </w:r>
    </w:p>
    <w:sectPr w:rsidR="0032172A" w:rsidRPr="004B2A74" w:rsidSect="00034616">
      <w:headerReference w:type="even" r:id="rId11"/>
      <w:headerReference w:type="default" r:id="rId12"/>
      <w:footerReference w:type="even" r:id="rId13"/>
      <w:footerReference w:type="default" r:id="rId14"/>
      <w:headerReference w:type="first" r:id="rId15"/>
      <w:footerReference w:type="first" r:id="rId16"/>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8F23" w14:textId="77777777" w:rsidR="00B334F5" w:rsidRDefault="00B334F5" w:rsidP="004B2A74">
      <w:pPr>
        <w:spacing w:after="0" w:line="240" w:lineRule="auto"/>
      </w:pPr>
      <w:r>
        <w:separator/>
      </w:r>
    </w:p>
  </w:endnote>
  <w:endnote w:type="continuationSeparator" w:id="0">
    <w:p w14:paraId="1555F822" w14:textId="77777777" w:rsidR="00B334F5" w:rsidRDefault="00B334F5" w:rsidP="004B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BD10" w14:textId="77777777" w:rsidR="00E45289" w:rsidRDefault="00E45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3B5A" w14:textId="77777777" w:rsidR="00E45289" w:rsidRDefault="00E45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BADA" w14:textId="77777777" w:rsidR="00E45289" w:rsidRDefault="00E45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F9EF" w14:textId="77777777" w:rsidR="00B334F5" w:rsidRDefault="00B334F5" w:rsidP="004B2A74">
      <w:pPr>
        <w:spacing w:after="0" w:line="240" w:lineRule="auto"/>
      </w:pPr>
      <w:r>
        <w:separator/>
      </w:r>
    </w:p>
  </w:footnote>
  <w:footnote w:type="continuationSeparator" w:id="0">
    <w:p w14:paraId="647609B7" w14:textId="77777777" w:rsidR="00B334F5" w:rsidRDefault="00B334F5" w:rsidP="004B2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29E8" w14:textId="67A6D9CE" w:rsidR="00E45289" w:rsidRDefault="00E45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F822" w14:textId="38E4540A" w:rsidR="004B2A74" w:rsidRPr="004B2A74" w:rsidRDefault="004B2A74" w:rsidP="004B2A74">
    <w:pPr>
      <w:jc w:val="center"/>
      <w:rPr>
        <w:rFonts w:ascii="Arial" w:hAnsi="Arial" w:cs="Arial"/>
        <w:bCs/>
        <w:color w:val="A6A6A6" w:themeColor="background1" w:themeShade="A6"/>
        <w:sz w:val="14"/>
        <w:szCs w:val="14"/>
      </w:rPr>
    </w:pPr>
    <w:r w:rsidRPr="004B2A74">
      <w:rPr>
        <w:rFonts w:ascii="Arial" w:hAnsi="Arial" w:cs="Arial"/>
        <w:bCs/>
        <w:color w:val="A6A6A6" w:themeColor="background1" w:themeShade="A6"/>
        <w:sz w:val="14"/>
        <w:szCs w:val="14"/>
      </w:rPr>
      <w:t xml:space="preserve">Care Together Seed Funding Programme Independent Evaluation Report </w:t>
    </w:r>
  </w:p>
  <w:p w14:paraId="63441323" w14:textId="6293C28D" w:rsidR="004B2A74" w:rsidRDefault="004B2A74">
    <w:pPr>
      <w:pStyle w:val="Header"/>
    </w:pPr>
    <w:r w:rsidRPr="00521116">
      <w:rPr>
        <w:rFonts w:cs="Arial"/>
        <w:noProof/>
        <w:color w:val="808080" w:themeColor="background1" w:themeShade="80"/>
        <w:sz w:val="21"/>
        <w:szCs w:val="21"/>
        <w:u w:val="single"/>
      </w:rPr>
      <w:drawing>
        <wp:anchor distT="0" distB="0" distL="114300" distR="114300" simplePos="0" relativeHeight="251658240" behindDoc="0" locked="0" layoutInCell="1" allowOverlap="1" wp14:anchorId="599B92BB" wp14:editId="1CB745EC">
          <wp:simplePos x="0" y="0"/>
          <wp:positionH relativeFrom="margin">
            <wp:posOffset>5778500</wp:posOffset>
          </wp:positionH>
          <wp:positionV relativeFrom="paragraph">
            <wp:posOffset>-284813</wp:posOffset>
          </wp:positionV>
          <wp:extent cx="823595" cy="551180"/>
          <wp:effectExtent l="0" t="0" r="0" b="1270"/>
          <wp:wrapSquare wrapText="bothSides"/>
          <wp:docPr id="7" name="Picture 7" descr="A close - 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 up of a 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3595" cy="5511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8DB" w14:textId="66AFE017" w:rsidR="00E45289" w:rsidRDefault="00E45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E55B28"/>
    <w:multiLevelType w:val="hybridMultilevel"/>
    <w:tmpl w:val="9BCC65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370FCB"/>
    <w:multiLevelType w:val="hybridMultilevel"/>
    <w:tmpl w:val="29864130"/>
    <w:lvl w:ilvl="0" w:tplc="324E2DCC">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E5926"/>
    <w:multiLevelType w:val="hybridMultilevel"/>
    <w:tmpl w:val="A82AC8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0378A3"/>
    <w:multiLevelType w:val="hybridMultilevel"/>
    <w:tmpl w:val="9184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B1E64"/>
    <w:multiLevelType w:val="hybridMultilevel"/>
    <w:tmpl w:val="72AA8294"/>
    <w:lvl w:ilvl="0" w:tplc="324E2DCC">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A67E7"/>
    <w:multiLevelType w:val="hybridMultilevel"/>
    <w:tmpl w:val="CC1CE46C"/>
    <w:lvl w:ilvl="0" w:tplc="324E2DCC">
      <w:start w:val="7"/>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6461126">
    <w:abstractNumId w:val="8"/>
  </w:num>
  <w:num w:numId="2" w16cid:durableId="274948616">
    <w:abstractNumId w:val="6"/>
  </w:num>
  <w:num w:numId="3" w16cid:durableId="190073290">
    <w:abstractNumId w:val="5"/>
  </w:num>
  <w:num w:numId="4" w16cid:durableId="1532643540">
    <w:abstractNumId w:val="4"/>
  </w:num>
  <w:num w:numId="5" w16cid:durableId="2031174053">
    <w:abstractNumId w:val="7"/>
  </w:num>
  <w:num w:numId="6" w16cid:durableId="2123064508">
    <w:abstractNumId w:val="3"/>
  </w:num>
  <w:num w:numId="7" w16cid:durableId="538323127">
    <w:abstractNumId w:val="2"/>
  </w:num>
  <w:num w:numId="8" w16cid:durableId="301933190">
    <w:abstractNumId w:val="1"/>
  </w:num>
  <w:num w:numId="9" w16cid:durableId="917128258">
    <w:abstractNumId w:val="0"/>
  </w:num>
  <w:num w:numId="10" w16cid:durableId="1877811643">
    <w:abstractNumId w:val="12"/>
  </w:num>
  <w:num w:numId="11" w16cid:durableId="1224681244">
    <w:abstractNumId w:val="13"/>
  </w:num>
  <w:num w:numId="12" w16cid:durableId="1906255650">
    <w:abstractNumId w:val="14"/>
  </w:num>
  <w:num w:numId="13" w16cid:durableId="989363098">
    <w:abstractNumId w:val="10"/>
  </w:num>
  <w:num w:numId="14" w16cid:durableId="1740860581">
    <w:abstractNumId w:val="11"/>
  </w:num>
  <w:num w:numId="15" w16cid:durableId="1714382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74E"/>
    <w:rsid w:val="00005DD8"/>
    <w:rsid w:val="00022774"/>
    <w:rsid w:val="00025E9D"/>
    <w:rsid w:val="00034616"/>
    <w:rsid w:val="00034B0F"/>
    <w:rsid w:val="00035721"/>
    <w:rsid w:val="00041909"/>
    <w:rsid w:val="0006063C"/>
    <w:rsid w:val="0006787D"/>
    <w:rsid w:val="00071108"/>
    <w:rsid w:val="00076111"/>
    <w:rsid w:val="00082E0F"/>
    <w:rsid w:val="0009774D"/>
    <w:rsid w:val="000A2C73"/>
    <w:rsid w:val="000A5744"/>
    <w:rsid w:val="000B18D0"/>
    <w:rsid w:val="000C0A2A"/>
    <w:rsid w:val="000C2902"/>
    <w:rsid w:val="000D3732"/>
    <w:rsid w:val="000E2846"/>
    <w:rsid w:val="00113A09"/>
    <w:rsid w:val="001179FA"/>
    <w:rsid w:val="00137150"/>
    <w:rsid w:val="00141DEB"/>
    <w:rsid w:val="0015074B"/>
    <w:rsid w:val="00160EFD"/>
    <w:rsid w:val="00162160"/>
    <w:rsid w:val="0017751D"/>
    <w:rsid w:val="00186C90"/>
    <w:rsid w:val="00191128"/>
    <w:rsid w:val="001A2D98"/>
    <w:rsid w:val="001B43F8"/>
    <w:rsid w:val="001C640B"/>
    <w:rsid w:val="001D00A3"/>
    <w:rsid w:val="001D0206"/>
    <w:rsid w:val="001D08B4"/>
    <w:rsid w:val="00203082"/>
    <w:rsid w:val="00206E94"/>
    <w:rsid w:val="00220AF0"/>
    <w:rsid w:val="00220E1B"/>
    <w:rsid w:val="00224996"/>
    <w:rsid w:val="00251D51"/>
    <w:rsid w:val="0029639D"/>
    <w:rsid w:val="002A420D"/>
    <w:rsid w:val="002B757E"/>
    <w:rsid w:val="002E61F6"/>
    <w:rsid w:val="002E63FF"/>
    <w:rsid w:val="0031162F"/>
    <w:rsid w:val="00312C9D"/>
    <w:rsid w:val="00312D3E"/>
    <w:rsid w:val="0032172A"/>
    <w:rsid w:val="00326F90"/>
    <w:rsid w:val="00336B0A"/>
    <w:rsid w:val="00343CB6"/>
    <w:rsid w:val="00352A74"/>
    <w:rsid w:val="00374ABE"/>
    <w:rsid w:val="003751EE"/>
    <w:rsid w:val="003766C6"/>
    <w:rsid w:val="003B7D47"/>
    <w:rsid w:val="003D4C3B"/>
    <w:rsid w:val="003F1531"/>
    <w:rsid w:val="00426C08"/>
    <w:rsid w:val="00430B1B"/>
    <w:rsid w:val="00436B3C"/>
    <w:rsid w:val="004804A0"/>
    <w:rsid w:val="004B2A74"/>
    <w:rsid w:val="004C0C10"/>
    <w:rsid w:val="004C3833"/>
    <w:rsid w:val="004D4614"/>
    <w:rsid w:val="0050118F"/>
    <w:rsid w:val="005061CB"/>
    <w:rsid w:val="0051131A"/>
    <w:rsid w:val="00530B3D"/>
    <w:rsid w:val="0053221A"/>
    <w:rsid w:val="005460AE"/>
    <w:rsid w:val="00564025"/>
    <w:rsid w:val="0058234F"/>
    <w:rsid w:val="005A2C98"/>
    <w:rsid w:val="005C10E6"/>
    <w:rsid w:val="005C280A"/>
    <w:rsid w:val="005C6A3E"/>
    <w:rsid w:val="005D32EB"/>
    <w:rsid w:val="00600405"/>
    <w:rsid w:val="00605A6E"/>
    <w:rsid w:val="00622411"/>
    <w:rsid w:val="00626497"/>
    <w:rsid w:val="0065683F"/>
    <w:rsid w:val="00674CD1"/>
    <w:rsid w:val="00682E8D"/>
    <w:rsid w:val="00691B6E"/>
    <w:rsid w:val="00695986"/>
    <w:rsid w:val="0069795F"/>
    <w:rsid w:val="006A5218"/>
    <w:rsid w:val="006B2771"/>
    <w:rsid w:val="006E7E6C"/>
    <w:rsid w:val="006F05C3"/>
    <w:rsid w:val="006F3719"/>
    <w:rsid w:val="00716586"/>
    <w:rsid w:val="00747526"/>
    <w:rsid w:val="00774EA1"/>
    <w:rsid w:val="007755BE"/>
    <w:rsid w:val="007C4E08"/>
    <w:rsid w:val="007D0F97"/>
    <w:rsid w:val="007D351E"/>
    <w:rsid w:val="00825183"/>
    <w:rsid w:val="00834161"/>
    <w:rsid w:val="00874784"/>
    <w:rsid w:val="00880FC5"/>
    <w:rsid w:val="0088448D"/>
    <w:rsid w:val="00885448"/>
    <w:rsid w:val="008A70E7"/>
    <w:rsid w:val="008B679F"/>
    <w:rsid w:val="008B67AD"/>
    <w:rsid w:val="008E20FC"/>
    <w:rsid w:val="009005F9"/>
    <w:rsid w:val="00916FC6"/>
    <w:rsid w:val="009226A8"/>
    <w:rsid w:val="0092480E"/>
    <w:rsid w:val="0093139E"/>
    <w:rsid w:val="00933307"/>
    <w:rsid w:val="009362E1"/>
    <w:rsid w:val="00936A52"/>
    <w:rsid w:val="0094162E"/>
    <w:rsid w:val="009560D8"/>
    <w:rsid w:val="00961EB8"/>
    <w:rsid w:val="00992525"/>
    <w:rsid w:val="00996932"/>
    <w:rsid w:val="00A13A29"/>
    <w:rsid w:val="00A22583"/>
    <w:rsid w:val="00A22A1F"/>
    <w:rsid w:val="00A22C9E"/>
    <w:rsid w:val="00A23B67"/>
    <w:rsid w:val="00A72A40"/>
    <w:rsid w:val="00A72F5C"/>
    <w:rsid w:val="00A92D42"/>
    <w:rsid w:val="00A96728"/>
    <w:rsid w:val="00AA1D8D"/>
    <w:rsid w:val="00AF6886"/>
    <w:rsid w:val="00B334F5"/>
    <w:rsid w:val="00B42C05"/>
    <w:rsid w:val="00B470C1"/>
    <w:rsid w:val="00B47730"/>
    <w:rsid w:val="00B51862"/>
    <w:rsid w:val="00B531E9"/>
    <w:rsid w:val="00B64A48"/>
    <w:rsid w:val="00B72EEE"/>
    <w:rsid w:val="00B76361"/>
    <w:rsid w:val="00B83D34"/>
    <w:rsid w:val="00BA1154"/>
    <w:rsid w:val="00BA4A96"/>
    <w:rsid w:val="00BC4535"/>
    <w:rsid w:val="00BC685C"/>
    <w:rsid w:val="00BD4058"/>
    <w:rsid w:val="00BF0A20"/>
    <w:rsid w:val="00C203E3"/>
    <w:rsid w:val="00C263BB"/>
    <w:rsid w:val="00C2668D"/>
    <w:rsid w:val="00C75003"/>
    <w:rsid w:val="00C97BF9"/>
    <w:rsid w:val="00CA3121"/>
    <w:rsid w:val="00CA42BF"/>
    <w:rsid w:val="00CB0664"/>
    <w:rsid w:val="00CB4C1A"/>
    <w:rsid w:val="00CC11BB"/>
    <w:rsid w:val="00CC1E9F"/>
    <w:rsid w:val="00CC56D7"/>
    <w:rsid w:val="00CC78F3"/>
    <w:rsid w:val="00CD4BB6"/>
    <w:rsid w:val="00CE2715"/>
    <w:rsid w:val="00CE6798"/>
    <w:rsid w:val="00D00B11"/>
    <w:rsid w:val="00D24C57"/>
    <w:rsid w:val="00D36D40"/>
    <w:rsid w:val="00D370BF"/>
    <w:rsid w:val="00D60F58"/>
    <w:rsid w:val="00D65464"/>
    <w:rsid w:val="00D67B44"/>
    <w:rsid w:val="00D8011D"/>
    <w:rsid w:val="00DA6B95"/>
    <w:rsid w:val="00DE79C4"/>
    <w:rsid w:val="00DF171B"/>
    <w:rsid w:val="00DF7089"/>
    <w:rsid w:val="00E26B5B"/>
    <w:rsid w:val="00E407B7"/>
    <w:rsid w:val="00E45289"/>
    <w:rsid w:val="00E4552B"/>
    <w:rsid w:val="00E54553"/>
    <w:rsid w:val="00E56468"/>
    <w:rsid w:val="00E73B8A"/>
    <w:rsid w:val="00E86735"/>
    <w:rsid w:val="00EA1FA4"/>
    <w:rsid w:val="00EA5ED4"/>
    <w:rsid w:val="00EC5CC2"/>
    <w:rsid w:val="00EC6136"/>
    <w:rsid w:val="00ED18EA"/>
    <w:rsid w:val="00EE02E2"/>
    <w:rsid w:val="00F05CBD"/>
    <w:rsid w:val="00F255BE"/>
    <w:rsid w:val="00F26D15"/>
    <w:rsid w:val="00F45544"/>
    <w:rsid w:val="00F5228A"/>
    <w:rsid w:val="00F7181E"/>
    <w:rsid w:val="00F82496"/>
    <w:rsid w:val="00F83E53"/>
    <w:rsid w:val="00F86500"/>
    <w:rsid w:val="00F9160E"/>
    <w:rsid w:val="00FA65F5"/>
    <w:rsid w:val="00FC0951"/>
    <w:rsid w:val="00FC693F"/>
    <w:rsid w:val="00FE5718"/>
    <w:rsid w:val="00FE5C8B"/>
    <w:rsid w:val="00FE7805"/>
    <w:rsid w:val="01743EE2"/>
    <w:rsid w:val="063246DC"/>
    <w:rsid w:val="0704311C"/>
    <w:rsid w:val="07AE0251"/>
    <w:rsid w:val="09456B4C"/>
    <w:rsid w:val="0F4345E3"/>
    <w:rsid w:val="116E53C4"/>
    <w:rsid w:val="118CB573"/>
    <w:rsid w:val="13EC1C90"/>
    <w:rsid w:val="1CADB3FB"/>
    <w:rsid w:val="1D27EF06"/>
    <w:rsid w:val="1F377515"/>
    <w:rsid w:val="27975A04"/>
    <w:rsid w:val="28426AFD"/>
    <w:rsid w:val="29DE4B9A"/>
    <w:rsid w:val="2F496458"/>
    <w:rsid w:val="30B58502"/>
    <w:rsid w:val="3600BF27"/>
    <w:rsid w:val="3AB5CE6D"/>
    <w:rsid w:val="46A9619B"/>
    <w:rsid w:val="47A13592"/>
    <w:rsid w:val="4A1A0BC0"/>
    <w:rsid w:val="4BA15CAA"/>
    <w:rsid w:val="4C0EE1EA"/>
    <w:rsid w:val="4D09907E"/>
    <w:rsid w:val="5CB4D708"/>
    <w:rsid w:val="5D16F37E"/>
    <w:rsid w:val="60F21383"/>
    <w:rsid w:val="61C3F92E"/>
    <w:rsid w:val="65DA4E92"/>
    <w:rsid w:val="6B97A676"/>
    <w:rsid w:val="6BC2FEA4"/>
    <w:rsid w:val="6BCE032F"/>
    <w:rsid w:val="6EFCD3EB"/>
    <w:rsid w:val="7AE08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DF132"/>
  <w14:defaultImageDpi w14:val="330"/>
  <w15:docId w15:val="{4FEE7550-678E-4736-BAE3-E9529029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5721"/>
    <w:pPr>
      <w:spacing w:after="0" w:line="240" w:lineRule="auto"/>
    </w:pPr>
  </w:style>
  <w:style w:type="paragraph" w:styleId="CommentSubject">
    <w:name w:val="annotation subject"/>
    <w:basedOn w:val="CommentText"/>
    <w:next w:val="CommentText"/>
    <w:link w:val="CommentSubjectChar"/>
    <w:uiPriority w:val="99"/>
    <w:semiHidden/>
    <w:unhideWhenUsed/>
    <w:rsid w:val="00CC11BB"/>
    <w:rPr>
      <w:b/>
      <w:bCs/>
    </w:rPr>
  </w:style>
  <w:style w:type="character" w:customStyle="1" w:styleId="CommentSubjectChar">
    <w:name w:val="Comment Subject Char"/>
    <w:basedOn w:val="CommentTextChar"/>
    <w:link w:val="CommentSubject"/>
    <w:uiPriority w:val="99"/>
    <w:semiHidden/>
    <w:rsid w:val="00CC11BB"/>
    <w:rPr>
      <w:b/>
      <w:bCs/>
      <w:sz w:val="20"/>
      <w:szCs w:val="20"/>
    </w:rPr>
  </w:style>
  <w:style w:type="paragraph" w:styleId="NormalWeb">
    <w:name w:val="Normal (Web)"/>
    <w:basedOn w:val="Normal"/>
    <w:uiPriority w:val="99"/>
    <w:semiHidden/>
    <w:unhideWhenUsed/>
    <w:rsid w:val="009248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onuse xmlns="74759862-c55e-4f65-85d3-7cbd95d77574" xsi:nil="true"/>
    <lcf76f155ced4ddcb4097134ff3c332f xmlns="74759862-c55e-4f65-85d3-7cbd95d77574">
      <Terms xmlns="http://schemas.microsoft.com/office/infopath/2007/PartnerControls"/>
    </lcf76f155ced4ddcb4097134ff3c332f>
    <TaxCatchAll xmlns="9a75d10a-d492-4a08-9645-9eaaf34f3a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22D88187F17A44A4CB3031DFF649D7" ma:contentTypeVersion="19" ma:contentTypeDescription="Create a new document." ma:contentTypeScope="" ma:versionID="8eb864bd54d777f634757e5f3814fdcd">
  <xsd:schema xmlns:xsd="http://www.w3.org/2001/XMLSchema" xmlns:xs="http://www.w3.org/2001/XMLSchema" xmlns:p="http://schemas.microsoft.com/office/2006/metadata/properties" xmlns:ns2="9a75d10a-d492-4a08-9645-9eaaf34f3a80" xmlns:ns3="74759862-c55e-4f65-85d3-7cbd95d77574" targetNamespace="http://schemas.microsoft.com/office/2006/metadata/properties" ma:root="true" ma:fieldsID="af3147deedb9e6cf65b2c13c1dc2241f" ns2:_="" ns3:_="">
    <xsd:import namespace="9a75d10a-d492-4a08-9645-9eaaf34f3a80"/>
    <xsd:import namespace="74759862-c55e-4f65-85d3-7cbd95d775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Notesonus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5d10a-d492-4a08-9645-9eaaf34f3a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e321e3d-8537-4478-bf4b-5e570f78b79f}" ma:internalName="TaxCatchAll" ma:showField="CatchAllData" ma:web="9a75d10a-d492-4a08-9645-9eaaf34f3a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59862-c55e-4f65-85d3-7cbd95d7757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86d211-8e2c-49a7-b06d-11aad578d1c1" ma:termSetId="09814cd3-568e-fe90-9814-8d621ff8fb84" ma:anchorId="fba54fb3-c3e1-fe81-a776-ca4b69148c4d" ma:open="true" ma:isKeyword="false">
      <xsd:complexType>
        <xsd:sequence>
          <xsd:element ref="pc:Terms" minOccurs="0" maxOccurs="1"/>
        </xsd:sequence>
      </xsd:complexType>
    </xsd:element>
    <xsd:element name="Notesonuse" ma:index="24" nillable="true" ma:displayName="Notes on use" ma:description="How has this tool been used in the past?" ma:format="Dropdown" ma:internalName="Notesonus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A6832-F62D-4015-A8A8-5CE8CC25F001}">
  <ds:schemaRefs>
    <ds:schemaRef ds:uri="http://schemas.microsoft.com/office/2006/metadata/properties"/>
    <ds:schemaRef ds:uri="http://schemas.microsoft.com/office/infopath/2007/PartnerControls"/>
    <ds:schemaRef ds:uri="74759862-c55e-4f65-85d3-7cbd95d77574"/>
    <ds:schemaRef ds:uri="9a75d10a-d492-4a08-9645-9eaaf34f3a80"/>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992FEE0-5A8F-41A9-BDAE-C0D59E060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5d10a-d492-4a08-9645-9eaaf34f3a80"/>
    <ds:schemaRef ds:uri="74759862-c55e-4f65-85d3-7cbd95d77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42C37-FD6D-4772-86B9-78E94C6CC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4707</Words>
  <Characters>28621</Characters>
  <Application>Microsoft Office Word</Application>
  <DocSecurity>0</DocSecurity>
  <Lines>493</Lines>
  <Paragraphs>233</Paragraphs>
  <ScaleCrop>false</ScaleCrop>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Moynihan</cp:lastModifiedBy>
  <cp:revision>3</cp:revision>
  <dcterms:created xsi:type="dcterms:W3CDTF">2026-03-03T13:40:00Z</dcterms:created>
  <dcterms:modified xsi:type="dcterms:W3CDTF">2026-03-03T13:41:00Z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0x0101004722D88187F17A44A4CB3031DFF649D7</vt:lpwstr>
  </property>
  <property fmtid="{D5CDD505-2E9C-101B-9397-08002B2CF9AE}" pid="3" name="MediaServiceImageTags">
    <vt:lpwstr/>
  </property>
</Properties>
</file>