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93A03" w14:textId="13471AAA" w:rsidR="00C843C8" w:rsidRDefault="00235D38" w:rsidP="00F27A04">
      <w:pPr>
        <w:jc w:val="center"/>
        <w:rPr>
          <w:rFonts w:asciiTheme="majorHAnsi" w:hAnsiTheme="majorHAnsi"/>
          <w:sz w:val="28"/>
          <w:szCs w:val="28"/>
        </w:rPr>
      </w:pPr>
      <w:r>
        <w:rPr>
          <w:rFonts w:asciiTheme="majorHAnsi" w:hAnsiTheme="majorHAnsi"/>
          <w:sz w:val="28"/>
          <w:szCs w:val="28"/>
        </w:rPr>
        <w:t xml:space="preserve"> </w:t>
      </w:r>
    </w:p>
    <w:p w14:paraId="45902B49" w14:textId="7FB3BF21" w:rsidR="00E45350" w:rsidRDefault="006113E4" w:rsidP="00D13846">
      <w:pPr>
        <w:jc w:val="center"/>
        <w:rPr>
          <w:rFonts w:asciiTheme="majorHAnsi" w:hAnsiTheme="majorHAnsi"/>
          <w:sz w:val="28"/>
          <w:szCs w:val="28"/>
        </w:rPr>
      </w:pPr>
      <w:r>
        <w:rPr>
          <w:noProof/>
        </w:rPr>
        <w:drawing>
          <wp:inline distT="0" distB="0" distL="0" distR="0" wp14:anchorId="587AE0F4" wp14:editId="673A19E5">
            <wp:extent cx="3437164" cy="1054835"/>
            <wp:effectExtent l="0" t="0" r="0" b="0"/>
            <wp:docPr id="1326092038" name="Picture 1" descr="Peterborough-city-council - Cent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borough-city-council - Cent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845" cy="1058420"/>
                    </a:xfrm>
                    <a:prstGeom prst="rect">
                      <a:avLst/>
                    </a:prstGeom>
                    <a:noFill/>
                    <a:ln>
                      <a:noFill/>
                    </a:ln>
                  </pic:spPr>
                </pic:pic>
              </a:graphicData>
            </a:graphic>
          </wp:inline>
        </w:drawing>
      </w:r>
    </w:p>
    <w:p w14:paraId="600EDE9D" w14:textId="77777777" w:rsidR="006113E4" w:rsidRDefault="006113E4" w:rsidP="00F27A04">
      <w:pPr>
        <w:jc w:val="center"/>
        <w:rPr>
          <w:rFonts w:asciiTheme="majorHAnsi" w:hAnsiTheme="majorHAnsi"/>
          <w:sz w:val="28"/>
          <w:szCs w:val="28"/>
        </w:rPr>
      </w:pPr>
    </w:p>
    <w:p w14:paraId="74FBCE9C" w14:textId="77777777" w:rsidR="005A6C43" w:rsidRDefault="005A6C43" w:rsidP="00F27A04">
      <w:pPr>
        <w:jc w:val="center"/>
        <w:rPr>
          <w:rFonts w:asciiTheme="majorHAnsi" w:hAnsiTheme="majorHAnsi"/>
          <w:sz w:val="28"/>
          <w:szCs w:val="28"/>
        </w:rPr>
      </w:pPr>
    </w:p>
    <w:p w14:paraId="5127F8D8" w14:textId="77777777" w:rsidR="005A6C43" w:rsidRDefault="005A6C43" w:rsidP="00781F6C">
      <w:pPr>
        <w:rPr>
          <w:rFonts w:asciiTheme="majorHAnsi" w:hAnsiTheme="majorHAnsi"/>
          <w:sz w:val="28"/>
          <w:szCs w:val="28"/>
        </w:rPr>
      </w:pPr>
    </w:p>
    <w:p w14:paraId="4009913D" w14:textId="77777777" w:rsidR="00781F6C" w:rsidRDefault="00781F6C" w:rsidP="00781F6C">
      <w:pPr>
        <w:rPr>
          <w:rFonts w:asciiTheme="majorHAnsi" w:hAnsiTheme="majorHAnsi"/>
          <w:sz w:val="28"/>
          <w:szCs w:val="28"/>
        </w:rPr>
      </w:pPr>
    </w:p>
    <w:p w14:paraId="507CCE02" w14:textId="77777777" w:rsidR="00781F6C" w:rsidRPr="00781F6C" w:rsidRDefault="00781F6C" w:rsidP="00781F6C">
      <w:pPr>
        <w:rPr>
          <w:rFonts w:asciiTheme="majorHAnsi" w:hAnsiTheme="majorHAnsi"/>
          <w:sz w:val="40"/>
          <w:szCs w:val="40"/>
        </w:rPr>
      </w:pPr>
    </w:p>
    <w:p w14:paraId="653990A2" w14:textId="3C428C58" w:rsidR="00D13846" w:rsidRPr="00781F6C" w:rsidRDefault="00795268" w:rsidP="006113E4">
      <w:pPr>
        <w:rPr>
          <w:rFonts w:asciiTheme="majorHAnsi" w:hAnsiTheme="majorHAnsi"/>
          <w:sz w:val="96"/>
          <w:szCs w:val="96"/>
        </w:rPr>
      </w:pPr>
      <w:r w:rsidRPr="00781F6C">
        <w:rPr>
          <w:rFonts w:asciiTheme="majorHAnsi" w:hAnsiTheme="majorHAnsi"/>
          <w:sz w:val="96"/>
          <w:szCs w:val="96"/>
        </w:rPr>
        <w:t xml:space="preserve">Drug and Alcohol Needs Assessment </w:t>
      </w:r>
    </w:p>
    <w:p w14:paraId="35B3D272" w14:textId="57835AA7" w:rsidR="00C43279" w:rsidRPr="00C31126" w:rsidRDefault="00795268" w:rsidP="006113E4">
      <w:pPr>
        <w:rPr>
          <w:rFonts w:asciiTheme="majorHAnsi" w:hAnsiTheme="majorHAnsi"/>
          <w:sz w:val="52"/>
          <w:szCs w:val="52"/>
        </w:rPr>
      </w:pPr>
      <w:r w:rsidRPr="00C31126">
        <w:rPr>
          <w:rFonts w:asciiTheme="majorHAnsi" w:hAnsiTheme="majorHAnsi"/>
          <w:sz w:val="52"/>
          <w:szCs w:val="52"/>
        </w:rPr>
        <w:t>2024-25</w:t>
      </w:r>
    </w:p>
    <w:p w14:paraId="655037AD" w14:textId="77777777" w:rsidR="00D13846" w:rsidRDefault="00D13846" w:rsidP="006113E4">
      <w:pPr>
        <w:rPr>
          <w:rFonts w:asciiTheme="majorHAnsi" w:hAnsiTheme="majorHAnsi"/>
          <w:sz w:val="28"/>
          <w:szCs w:val="28"/>
        </w:rPr>
      </w:pPr>
    </w:p>
    <w:p w14:paraId="7504A4B6" w14:textId="77777777" w:rsidR="005A6C43" w:rsidRDefault="005A6C43" w:rsidP="006113E4">
      <w:pPr>
        <w:rPr>
          <w:rFonts w:asciiTheme="majorHAnsi" w:hAnsiTheme="majorHAnsi"/>
          <w:sz w:val="28"/>
          <w:szCs w:val="28"/>
        </w:rPr>
      </w:pPr>
    </w:p>
    <w:p w14:paraId="224CA1BD" w14:textId="77777777" w:rsidR="005A6C43" w:rsidRDefault="005A6C43" w:rsidP="006113E4">
      <w:pPr>
        <w:rPr>
          <w:rFonts w:asciiTheme="majorHAnsi" w:hAnsiTheme="majorHAnsi"/>
          <w:sz w:val="28"/>
          <w:szCs w:val="28"/>
        </w:rPr>
      </w:pPr>
    </w:p>
    <w:p w14:paraId="3196B3DC" w14:textId="77777777" w:rsidR="005A6C43" w:rsidRDefault="005A6C43" w:rsidP="006113E4">
      <w:pPr>
        <w:rPr>
          <w:rFonts w:asciiTheme="majorHAnsi" w:hAnsiTheme="majorHAnsi"/>
          <w:sz w:val="28"/>
          <w:szCs w:val="28"/>
        </w:rPr>
      </w:pPr>
    </w:p>
    <w:p w14:paraId="09206BD4" w14:textId="77777777" w:rsidR="00781F6C" w:rsidRDefault="00781F6C" w:rsidP="006113E4">
      <w:pPr>
        <w:rPr>
          <w:rFonts w:asciiTheme="majorHAnsi" w:hAnsiTheme="majorHAnsi"/>
          <w:b/>
          <w:bCs/>
          <w:sz w:val="28"/>
          <w:szCs w:val="28"/>
        </w:rPr>
      </w:pPr>
    </w:p>
    <w:p w14:paraId="037EA375" w14:textId="77777777" w:rsidR="00781F6C" w:rsidRDefault="00781F6C" w:rsidP="006113E4">
      <w:pPr>
        <w:rPr>
          <w:rFonts w:asciiTheme="majorHAnsi" w:hAnsiTheme="majorHAnsi"/>
          <w:b/>
          <w:bCs/>
          <w:sz w:val="28"/>
          <w:szCs w:val="28"/>
        </w:rPr>
      </w:pPr>
    </w:p>
    <w:p w14:paraId="09D2309C" w14:textId="3BD55DDC" w:rsidR="00D13846" w:rsidRPr="00781F6C" w:rsidRDefault="00D13846" w:rsidP="006113E4">
      <w:pPr>
        <w:rPr>
          <w:rFonts w:asciiTheme="majorHAnsi" w:hAnsiTheme="majorHAnsi"/>
          <w:sz w:val="24"/>
          <w:szCs w:val="24"/>
        </w:rPr>
      </w:pPr>
      <w:r w:rsidRPr="00781F6C">
        <w:rPr>
          <w:rFonts w:asciiTheme="majorHAnsi" w:hAnsiTheme="majorHAnsi"/>
          <w:b/>
          <w:bCs/>
          <w:sz w:val="24"/>
          <w:szCs w:val="24"/>
        </w:rPr>
        <w:t>Authors</w:t>
      </w:r>
    </w:p>
    <w:p w14:paraId="2CB02D1A" w14:textId="319F176D" w:rsidR="00982707" w:rsidRDefault="00D13846" w:rsidP="16F14F99">
      <w:pPr>
        <w:rPr>
          <w:rFonts w:asciiTheme="majorHAnsi" w:hAnsiTheme="majorHAnsi"/>
          <w:sz w:val="28"/>
          <w:szCs w:val="28"/>
        </w:rPr>
      </w:pPr>
      <w:r w:rsidRPr="16F14F99">
        <w:rPr>
          <w:rFonts w:asciiTheme="majorHAnsi" w:hAnsiTheme="majorHAnsi"/>
          <w:sz w:val="24"/>
          <w:szCs w:val="24"/>
        </w:rPr>
        <w:t>Alice Middleton, Public Health Registrar</w:t>
      </w:r>
      <w:r>
        <w:br/>
      </w:r>
      <w:r w:rsidRPr="16F14F99">
        <w:rPr>
          <w:rFonts w:asciiTheme="majorHAnsi" w:hAnsiTheme="majorHAnsi"/>
          <w:sz w:val="24"/>
          <w:szCs w:val="24"/>
        </w:rPr>
        <w:t>Gemma Ru</w:t>
      </w:r>
      <w:r w:rsidR="00982707" w:rsidRPr="16F14F99">
        <w:rPr>
          <w:rFonts w:asciiTheme="majorHAnsi" w:hAnsiTheme="majorHAnsi"/>
          <w:sz w:val="24"/>
          <w:szCs w:val="24"/>
        </w:rPr>
        <w:t>igrok, Commissioning Manager</w:t>
      </w:r>
      <w:r>
        <w:br/>
      </w:r>
      <w:r w:rsidR="00982707" w:rsidRPr="16F14F99">
        <w:rPr>
          <w:rFonts w:asciiTheme="majorHAnsi" w:hAnsiTheme="majorHAnsi"/>
          <w:sz w:val="24"/>
          <w:szCs w:val="24"/>
        </w:rPr>
        <w:t xml:space="preserve">Joseph Keegan, </w:t>
      </w:r>
      <w:r w:rsidR="00F65F6D" w:rsidRPr="16F14F99">
        <w:rPr>
          <w:rFonts w:asciiTheme="majorHAnsi" w:hAnsiTheme="majorHAnsi"/>
          <w:sz w:val="24"/>
          <w:szCs w:val="24"/>
        </w:rPr>
        <w:t>Public Health Commissioning Team Manager</w:t>
      </w:r>
      <w:r>
        <w:br/>
      </w:r>
      <w:r w:rsidR="00781F6C" w:rsidRPr="16F14F99">
        <w:rPr>
          <w:rFonts w:asciiTheme="majorHAnsi" w:hAnsiTheme="majorHAnsi"/>
          <w:sz w:val="24"/>
          <w:szCs w:val="24"/>
        </w:rPr>
        <w:t>Kathy Hartley, Consultant</w:t>
      </w:r>
      <w:r w:rsidR="00FD01E9" w:rsidRPr="16F14F99">
        <w:rPr>
          <w:rFonts w:asciiTheme="majorHAnsi" w:hAnsiTheme="majorHAnsi"/>
          <w:sz w:val="24"/>
          <w:szCs w:val="24"/>
        </w:rPr>
        <w:t xml:space="preserve"> in</w:t>
      </w:r>
      <w:r w:rsidR="00781F6C" w:rsidRPr="16F14F99">
        <w:rPr>
          <w:rFonts w:asciiTheme="majorHAnsi" w:hAnsiTheme="majorHAnsi"/>
          <w:sz w:val="24"/>
          <w:szCs w:val="24"/>
        </w:rPr>
        <w:t xml:space="preserve"> Public Health</w:t>
      </w:r>
    </w:p>
    <w:p w14:paraId="0215326E" w14:textId="77777777" w:rsidR="006F18B2" w:rsidRDefault="006F18B2" w:rsidP="00F27A04">
      <w:pPr>
        <w:jc w:val="center"/>
        <w:rPr>
          <w:rFonts w:asciiTheme="majorHAnsi" w:hAnsiTheme="majorHAnsi"/>
          <w:sz w:val="28"/>
          <w:szCs w:val="28"/>
        </w:rPr>
        <w:sectPr w:rsidR="006F18B2" w:rsidSect="00781F6C">
          <w:headerReference w:type="default" r:id="rId12"/>
          <w:footerReference w:type="default" r:id="rId13"/>
          <w:pgSz w:w="11906" w:h="16838"/>
          <w:pgMar w:top="1440" w:right="1440" w:bottom="1440" w:left="1440" w:header="708" w:footer="708" w:gutter="0"/>
          <w:cols w:space="708"/>
          <w:titlePg/>
          <w:docGrid w:linePitch="360"/>
        </w:sectPr>
      </w:pPr>
    </w:p>
    <w:bookmarkStart w:id="0" w:name="_Ref196812507" w:displacedByCustomXml="next"/>
    <w:bookmarkStart w:id="1" w:name="_Toc200479441" w:displacedByCustomXml="next"/>
    <w:sdt>
      <w:sdtPr>
        <w:rPr>
          <w:rFonts w:asciiTheme="minorHAnsi" w:eastAsiaTheme="minorEastAsia" w:hAnsiTheme="minorHAnsi" w:cstheme="minorBidi"/>
          <w:color w:val="auto"/>
          <w:sz w:val="22"/>
          <w:szCs w:val="22"/>
        </w:rPr>
        <w:id w:val="-2143959855"/>
        <w:docPartObj>
          <w:docPartGallery w:val="Table of Contents"/>
          <w:docPartUnique/>
        </w:docPartObj>
      </w:sdtPr>
      <w:sdtEndPr>
        <w:rPr>
          <w:b/>
          <w:bCs/>
          <w:noProof/>
        </w:rPr>
      </w:sdtEndPr>
      <w:sdtContent>
        <w:p w14:paraId="7D6E6596" w14:textId="09C82BD3" w:rsidR="00795268" w:rsidRDefault="00795268" w:rsidP="00BF6C96">
          <w:pPr>
            <w:pStyle w:val="Heading1"/>
            <w:numPr>
              <w:ilvl w:val="0"/>
              <w:numId w:val="0"/>
            </w:numPr>
            <w:ind w:left="360"/>
          </w:pPr>
          <w:r>
            <w:t>Contents</w:t>
          </w:r>
          <w:bookmarkEnd w:id="1"/>
          <w:bookmarkEnd w:id="0"/>
        </w:p>
        <w:p w14:paraId="1CE41694" w14:textId="45A8BB9D" w:rsidR="00F555B1" w:rsidRDefault="00795268">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0479441" w:history="1">
            <w:r w:rsidR="00F555B1" w:rsidRPr="00307352">
              <w:rPr>
                <w:rStyle w:val="Hyperlink"/>
                <w:noProof/>
              </w:rPr>
              <w:t>Contents</w:t>
            </w:r>
            <w:r w:rsidR="00F555B1">
              <w:rPr>
                <w:noProof/>
                <w:webHidden/>
              </w:rPr>
              <w:tab/>
            </w:r>
            <w:r w:rsidR="00F555B1">
              <w:rPr>
                <w:noProof/>
                <w:webHidden/>
              </w:rPr>
              <w:fldChar w:fldCharType="begin"/>
            </w:r>
            <w:r w:rsidR="00F555B1">
              <w:rPr>
                <w:noProof/>
                <w:webHidden/>
              </w:rPr>
              <w:instrText xml:space="preserve"> PAGEREF _Toc200479441 \h </w:instrText>
            </w:r>
            <w:r w:rsidR="00F555B1">
              <w:rPr>
                <w:noProof/>
                <w:webHidden/>
              </w:rPr>
            </w:r>
            <w:r w:rsidR="00F555B1">
              <w:rPr>
                <w:noProof/>
                <w:webHidden/>
              </w:rPr>
              <w:fldChar w:fldCharType="separate"/>
            </w:r>
            <w:r w:rsidR="00F555B1">
              <w:rPr>
                <w:noProof/>
                <w:webHidden/>
              </w:rPr>
              <w:t>2</w:t>
            </w:r>
            <w:r w:rsidR="00F555B1">
              <w:rPr>
                <w:noProof/>
                <w:webHidden/>
              </w:rPr>
              <w:fldChar w:fldCharType="end"/>
            </w:r>
          </w:hyperlink>
        </w:p>
        <w:p w14:paraId="7542F33F" w14:textId="2C1DF1BA"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442" w:history="1">
            <w:r w:rsidRPr="00307352">
              <w:rPr>
                <w:rStyle w:val="Hyperlink"/>
                <w:noProof/>
              </w:rPr>
              <w:t>1.</w:t>
            </w:r>
            <w:r>
              <w:rPr>
                <w:rFonts w:eastAsiaTheme="minorEastAsia"/>
                <w:noProof/>
                <w:kern w:val="2"/>
                <w:sz w:val="24"/>
                <w:szCs w:val="24"/>
                <w:lang w:eastAsia="en-GB"/>
                <w14:ligatures w14:val="standardContextual"/>
              </w:rPr>
              <w:tab/>
            </w:r>
            <w:r w:rsidRPr="00307352">
              <w:rPr>
                <w:rStyle w:val="Hyperlink"/>
                <w:noProof/>
              </w:rPr>
              <w:t>Executive Summary</w:t>
            </w:r>
            <w:r>
              <w:rPr>
                <w:noProof/>
                <w:webHidden/>
              </w:rPr>
              <w:tab/>
            </w:r>
            <w:r>
              <w:rPr>
                <w:noProof/>
                <w:webHidden/>
              </w:rPr>
              <w:fldChar w:fldCharType="begin"/>
            </w:r>
            <w:r>
              <w:rPr>
                <w:noProof/>
                <w:webHidden/>
              </w:rPr>
              <w:instrText xml:space="preserve"> PAGEREF _Toc200479442 \h </w:instrText>
            </w:r>
            <w:r>
              <w:rPr>
                <w:noProof/>
                <w:webHidden/>
              </w:rPr>
            </w:r>
            <w:r>
              <w:rPr>
                <w:noProof/>
                <w:webHidden/>
              </w:rPr>
              <w:fldChar w:fldCharType="separate"/>
            </w:r>
            <w:r>
              <w:rPr>
                <w:noProof/>
                <w:webHidden/>
              </w:rPr>
              <w:t>5</w:t>
            </w:r>
            <w:r>
              <w:rPr>
                <w:noProof/>
                <w:webHidden/>
              </w:rPr>
              <w:fldChar w:fldCharType="end"/>
            </w:r>
          </w:hyperlink>
        </w:p>
        <w:p w14:paraId="247A9CAB" w14:textId="2BCDE28A"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3" w:history="1">
            <w:r w:rsidRPr="00307352">
              <w:rPr>
                <w:rStyle w:val="Hyperlink"/>
                <w:noProof/>
              </w:rPr>
              <w:t>1.1.</w:t>
            </w:r>
            <w:r>
              <w:rPr>
                <w:rFonts w:eastAsiaTheme="minorEastAsia"/>
                <w:noProof/>
                <w:kern w:val="2"/>
                <w:sz w:val="24"/>
                <w:szCs w:val="24"/>
                <w:lang w:eastAsia="en-GB"/>
                <w14:ligatures w14:val="standardContextual"/>
              </w:rPr>
              <w:tab/>
            </w:r>
            <w:r w:rsidRPr="00307352">
              <w:rPr>
                <w:rStyle w:val="Hyperlink"/>
                <w:noProof/>
              </w:rPr>
              <w:t>Introduction</w:t>
            </w:r>
            <w:r>
              <w:rPr>
                <w:noProof/>
                <w:webHidden/>
              </w:rPr>
              <w:tab/>
            </w:r>
            <w:r>
              <w:rPr>
                <w:noProof/>
                <w:webHidden/>
              </w:rPr>
              <w:fldChar w:fldCharType="begin"/>
            </w:r>
            <w:r>
              <w:rPr>
                <w:noProof/>
                <w:webHidden/>
              </w:rPr>
              <w:instrText xml:space="preserve"> PAGEREF _Toc200479443 \h </w:instrText>
            </w:r>
            <w:r>
              <w:rPr>
                <w:noProof/>
                <w:webHidden/>
              </w:rPr>
            </w:r>
            <w:r>
              <w:rPr>
                <w:noProof/>
                <w:webHidden/>
              </w:rPr>
              <w:fldChar w:fldCharType="separate"/>
            </w:r>
            <w:r>
              <w:rPr>
                <w:noProof/>
                <w:webHidden/>
              </w:rPr>
              <w:t>5</w:t>
            </w:r>
            <w:r>
              <w:rPr>
                <w:noProof/>
                <w:webHidden/>
              </w:rPr>
              <w:fldChar w:fldCharType="end"/>
            </w:r>
          </w:hyperlink>
        </w:p>
        <w:p w14:paraId="0ED90B70" w14:textId="6B4B727E"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4" w:history="1">
            <w:r w:rsidRPr="00307352">
              <w:rPr>
                <w:rStyle w:val="Hyperlink"/>
                <w:noProof/>
              </w:rPr>
              <w:t>1.2.</w:t>
            </w:r>
            <w:r>
              <w:rPr>
                <w:rFonts w:eastAsiaTheme="minorEastAsia"/>
                <w:noProof/>
                <w:kern w:val="2"/>
                <w:sz w:val="24"/>
                <w:szCs w:val="24"/>
                <w:lang w:eastAsia="en-GB"/>
                <w14:ligatures w14:val="standardContextual"/>
              </w:rPr>
              <w:tab/>
            </w:r>
            <w:r w:rsidRPr="00307352">
              <w:rPr>
                <w:rStyle w:val="Hyperlink"/>
                <w:noProof/>
              </w:rPr>
              <w:t>Known Issues</w:t>
            </w:r>
            <w:r>
              <w:rPr>
                <w:noProof/>
                <w:webHidden/>
              </w:rPr>
              <w:tab/>
            </w:r>
            <w:r>
              <w:rPr>
                <w:noProof/>
                <w:webHidden/>
              </w:rPr>
              <w:fldChar w:fldCharType="begin"/>
            </w:r>
            <w:r>
              <w:rPr>
                <w:noProof/>
                <w:webHidden/>
              </w:rPr>
              <w:instrText xml:space="preserve"> PAGEREF _Toc200479444 \h </w:instrText>
            </w:r>
            <w:r>
              <w:rPr>
                <w:noProof/>
                <w:webHidden/>
              </w:rPr>
            </w:r>
            <w:r>
              <w:rPr>
                <w:noProof/>
                <w:webHidden/>
              </w:rPr>
              <w:fldChar w:fldCharType="separate"/>
            </w:r>
            <w:r>
              <w:rPr>
                <w:noProof/>
                <w:webHidden/>
              </w:rPr>
              <w:t>5</w:t>
            </w:r>
            <w:r>
              <w:rPr>
                <w:noProof/>
                <w:webHidden/>
              </w:rPr>
              <w:fldChar w:fldCharType="end"/>
            </w:r>
          </w:hyperlink>
        </w:p>
        <w:p w14:paraId="37988DD2" w14:textId="1D03F781"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5" w:history="1">
            <w:r w:rsidRPr="00307352">
              <w:rPr>
                <w:rStyle w:val="Hyperlink"/>
                <w:noProof/>
              </w:rPr>
              <w:t>1.3.</w:t>
            </w:r>
            <w:r>
              <w:rPr>
                <w:rFonts w:eastAsiaTheme="minorEastAsia"/>
                <w:noProof/>
                <w:kern w:val="2"/>
                <w:sz w:val="24"/>
                <w:szCs w:val="24"/>
                <w:lang w:eastAsia="en-GB"/>
                <w14:ligatures w14:val="standardContextual"/>
              </w:rPr>
              <w:tab/>
            </w:r>
            <w:r w:rsidRPr="00307352">
              <w:rPr>
                <w:rStyle w:val="Hyperlink"/>
                <w:noProof/>
              </w:rPr>
              <w:t>Strengths of the Current System</w:t>
            </w:r>
            <w:r>
              <w:rPr>
                <w:noProof/>
                <w:webHidden/>
              </w:rPr>
              <w:tab/>
            </w:r>
            <w:r>
              <w:rPr>
                <w:noProof/>
                <w:webHidden/>
              </w:rPr>
              <w:fldChar w:fldCharType="begin"/>
            </w:r>
            <w:r>
              <w:rPr>
                <w:noProof/>
                <w:webHidden/>
              </w:rPr>
              <w:instrText xml:space="preserve"> PAGEREF _Toc200479445 \h </w:instrText>
            </w:r>
            <w:r>
              <w:rPr>
                <w:noProof/>
                <w:webHidden/>
              </w:rPr>
            </w:r>
            <w:r>
              <w:rPr>
                <w:noProof/>
                <w:webHidden/>
              </w:rPr>
              <w:fldChar w:fldCharType="separate"/>
            </w:r>
            <w:r>
              <w:rPr>
                <w:noProof/>
                <w:webHidden/>
              </w:rPr>
              <w:t>6</w:t>
            </w:r>
            <w:r>
              <w:rPr>
                <w:noProof/>
                <w:webHidden/>
              </w:rPr>
              <w:fldChar w:fldCharType="end"/>
            </w:r>
          </w:hyperlink>
        </w:p>
        <w:p w14:paraId="72858BBA" w14:textId="5965A97F"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6" w:history="1">
            <w:r w:rsidRPr="00307352">
              <w:rPr>
                <w:rStyle w:val="Hyperlink"/>
                <w:noProof/>
              </w:rPr>
              <w:t>1.4.</w:t>
            </w:r>
            <w:r>
              <w:rPr>
                <w:rFonts w:eastAsiaTheme="minorEastAsia"/>
                <w:noProof/>
                <w:kern w:val="2"/>
                <w:sz w:val="24"/>
                <w:szCs w:val="24"/>
                <w:lang w:eastAsia="en-GB"/>
                <w14:ligatures w14:val="standardContextual"/>
              </w:rPr>
              <w:tab/>
            </w:r>
            <w:r w:rsidRPr="00307352">
              <w:rPr>
                <w:rStyle w:val="Hyperlink"/>
                <w:noProof/>
              </w:rPr>
              <w:t>Weaknesses in the Current System</w:t>
            </w:r>
            <w:r>
              <w:rPr>
                <w:noProof/>
                <w:webHidden/>
              </w:rPr>
              <w:tab/>
            </w:r>
            <w:r>
              <w:rPr>
                <w:noProof/>
                <w:webHidden/>
              </w:rPr>
              <w:fldChar w:fldCharType="begin"/>
            </w:r>
            <w:r>
              <w:rPr>
                <w:noProof/>
                <w:webHidden/>
              </w:rPr>
              <w:instrText xml:space="preserve"> PAGEREF _Toc200479446 \h </w:instrText>
            </w:r>
            <w:r>
              <w:rPr>
                <w:noProof/>
                <w:webHidden/>
              </w:rPr>
            </w:r>
            <w:r>
              <w:rPr>
                <w:noProof/>
                <w:webHidden/>
              </w:rPr>
              <w:fldChar w:fldCharType="separate"/>
            </w:r>
            <w:r>
              <w:rPr>
                <w:noProof/>
                <w:webHidden/>
              </w:rPr>
              <w:t>6</w:t>
            </w:r>
            <w:r>
              <w:rPr>
                <w:noProof/>
                <w:webHidden/>
              </w:rPr>
              <w:fldChar w:fldCharType="end"/>
            </w:r>
          </w:hyperlink>
        </w:p>
        <w:p w14:paraId="084E41A1" w14:textId="581E47AE"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7" w:history="1">
            <w:r w:rsidRPr="00307352">
              <w:rPr>
                <w:rStyle w:val="Hyperlink"/>
                <w:noProof/>
              </w:rPr>
              <w:t>1.5.</w:t>
            </w:r>
            <w:r>
              <w:rPr>
                <w:rFonts w:eastAsiaTheme="minorEastAsia"/>
                <w:noProof/>
                <w:kern w:val="2"/>
                <w:sz w:val="24"/>
                <w:szCs w:val="24"/>
                <w:lang w:eastAsia="en-GB"/>
                <w14:ligatures w14:val="standardContextual"/>
              </w:rPr>
              <w:tab/>
            </w:r>
            <w:r w:rsidRPr="00307352">
              <w:rPr>
                <w:rStyle w:val="Hyperlink"/>
                <w:noProof/>
              </w:rPr>
              <w:t>Other Opportunities</w:t>
            </w:r>
            <w:r>
              <w:rPr>
                <w:noProof/>
                <w:webHidden/>
              </w:rPr>
              <w:tab/>
            </w:r>
            <w:r>
              <w:rPr>
                <w:noProof/>
                <w:webHidden/>
              </w:rPr>
              <w:fldChar w:fldCharType="begin"/>
            </w:r>
            <w:r>
              <w:rPr>
                <w:noProof/>
                <w:webHidden/>
              </w:rPr>
              <w:instrText xml:space="preserve"> PAGEREF _Toc200479447 \h </w:instrText>
            </w:r>
            <w:r>
              <w:rPr>
                <w:noProof/>
                <w:webHidden/>
              </w:rPr>
            </w:r>
            <w:r>
              <w:rPr>
                <w:noProof/>
                <w:webHidden/>
              </w:rPr>
              <w:fldChar w:fldCharType="separate"/>
            </w:r>
            <w:r>
              <w:rPr>
                <w:noProof/>
                <w:webHidden/>
              </w:rPr>
              <w:t>6</w:t>
            </w:r>
            <w:r>
              <w:rPr>
                <w:noProof/>
                <w:webHidden/>
              </w:rPr>
              <w:fldChar w:fldCharType="end"/>
            </w:r>
          </w:hyperlink>
        </w:p>
        <w:p w14:paraId="3D38760F" w14:textId="48EEB3A0"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8" w:history="1">
            <w:r w:rsidRPr="00307352">
              <w:rPr>
                <w:rStyle w:val="Hyperlink"/>
                <w:noProof/>
              </w:rPr>
              <w:t>1.6.</w:t>
            </w:r>
            <w:r>
              <w:rPr>
                <w:rFonts w:eastAsiaTheme="minorEastAsia"/>
                <w:noProof/>
                <w:kern w:val="2"/>
                <w:sz w:val="24"/>
                <w:szCs w:val="24"/>
                <w:lang w:eastAsia="en-GB"/>
                <w14:ligatures w14:val="standardContextual"/>
              </w:rPr>
              <w:tab/>
            </w:r>
            <w:r w:rsidRPr="00307352">
              <w:rPr>
                <w:rStyle w:val="Hyperlink"/>
                <w:noProof/>
              </w:rPr>
              <w:t>Co-benefits of Investment</w:t>
            </w:r>
            <w:r>
              <w:rPr>
                <w:noProof/>
                <w:webHidden/>
              </w:rPr>
              <w:tab/>
            </w:r>
            <w:r>
              <w:rPr>
                <w:noProof/>
                <w:webHidden/>
              </w:rPr>
              <w:fldChar w:fldCharType="begin"/>
            </w:r>
            <w:r>
              <w:rPr>
                <w:noProof/>
                <w:webHidden/>
              </w:rPr>
              <w:instrText xml:space="preserve"> PAGEREF _Toc200479448 \h </w:instrText>
            </w:r>
            <w:r>
              <w:rPr>
                <w:noProof/>
                <w:webHidden/>
              </w:rPr>
            </w:r>
            <w:r>
              <w:rPr>
                <w:noProof/>
                <w:webHidden/>
              </w:rPr>
              <w:fldChar w:fldCharType="separate"/>
            </w:r>
            <w:r>
              <w:rPr>
                <w:noProof/>
                <w:webHidden/>
              </w:rPr>
              <w:t>6</w:t>
            </w:r>
            <w:r>
              <w:rPr>
                <w:noProof/>
                <w:webHidden/>
              </w:rPr>
              <w:fldChar w:fldCharType="end"/>
            </w:r>
          </w:hyperlink>
        </w:p>
        <w:p w14:paraId="3A15FC9C" w14:textId="3DC2986C"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49" w:history="1">
            <w:r w:rsidRPr="00307352">
              <w:rPr>
                <w:rStyle w:val="Hyperlink"/>
                <w:noProof/>
              </w:rPr>
              <w:t>1.7.</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_Toc200479449 \h </w:instrText>
            </w:r>
            <w:r>
              <w:rPr>
                <w:noProof/>
                <w:webHidden/>
              </w:rPr>
            </w:r>
            <w:r>
              <w:rPr>
                <w:noProof/>
                <w:webHidden/>
              </w:rPr>
              <w:fldChar w:fldCharType="separate"/>
            </w:r>
            <w:r>
              <w:rPr>
                <w:noProof/>
                <w:webHidden/>
              </w:rPr>
              <w:t>7</w:t>
            </w:r>
            <w:r>
              <w:rPr>
                <w:noProof/>
                <w:webHidden/>
              </w:rPr>
              <w:fldChar w:fldCharType="end"/>
            </w:r>
          </w:hyperlink>
        </w:p>
        <w:p w14:paraId="7888BA5F" w14:textId="5A429DF2"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50" w:history="1">
            <w:r w:rsidRPr="00307352">
              <w:rPr>
                <w:rStyle w:val="Hyperlink"/>
                <w:noProof/>
              </w:rPr>
              <w:t>1.7.1.</w:t>
            </w:r>
            <w:r>
              <w:rPr>
                <w:rFonts w:eastAsiaTheme="minorEastAsia"/>
                <w:noProof/>
                <w:kern w:val="2"/>
                <w:sz w:val="24"/>
                <w:szCs w:val="24"/>
                <w:lang w:eastAsia="en-GB"/>
                <w14:ligatures w14:val="standardContextual"/>
              </w:rPr>
              <w:tab/>
            </w:r>
            <w:r w:rsidRPr="00307352">
              <w:rPr>
                <w:rStyle w:val="Hyperlink"/>
                <w:noProof/>
              </w:rPr>
              <w:t>Quantitative (‘Quant’) Recommendations</w:t>
            </w:r>
            <w:r>
              <w:rPr>
                <w:noProof/>
                <w:webHidden/>
              </w:rPr>
              <w:tab/>
            </w:r>
            <w:r>
              <w:rPr>
                <w:noProof/>
                <w:webHidden/>
              </w:rPr>
              <w:fldChar w:fldCharType="begin"/>
            </w:r>
            <w:r>
              <w:rPr>
                <w:noProof/>
                <w:webHidden/>
              </w:rPr>
              <w:instrText xml:space="preserve"> PAGEREF _Toc200479450 \h </w:instrText>
            </w:r>
            <w:r>
              <w:rPr>
                <w:noProof/>
                <w:webHidden/>
              </w:rPr>
            </w:r>
            <w:r>
              <w:rPr>
                <w:noProof/>
                <w:webHidden/>
              </w:rPr>
              <w:fldChar w:fldCharType="separate"/>
            </w:r>
            <w:r>
              <w:rPr>
                <w:noProof/>
                <w:webHidden/>
              </w:rPr>
              <w:t>7</w:t>
            </w:r>
            <w:r>
              <w:rPr>
                <w:noProof/>
                <w:webHidden/>
              </w:rPr>
              <w:fldChar w:fldCharType="end"/>
            </w:r>
          </w:hyperlink>
        </w:p>
        <w:p w14:paraId="3062B637" w14:textId="1D0C3C07"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51" w:history="1">
            <w:r w:rsidRPr="00307352">
              <w:rPr>
                <w:rStyle w:val="Hyperlink"/>
                <w:noProof/>
              </w:rPr>
              <w:t>1.7.2.</w:t>
            </w:r>
            <w:r>
              <w:rPr>
                <w:rFonts w:eastAsiaTheme="minorEastAsia"/>
                <w:noProof/>
                <w:kern w:val="2"/>
                <w:sz w:val="24"/>
                <w:szCs w:val="24"/>
                <w:lang w:eastAsia="en-GB"/>
                <w14:ligatures w14:val="standardContextual"/>
              </w:rPr>
              <w:tab/>
            </w:r>
            <w:r w:rsidRPr="00307352">
              <w:rPr>
                <w:rStyle w:val="Hyperlink"/>
                <w:noProof/>
              </w:rPr>
              <w:t>Qualitative (‘Qual’) Recommendations</w:t>
            </w:r>
            <w:r>
              <w:rPr>
                <w:noProof/>
                <w:webHidden/>
              </w:rPr>
              <w:tab/>
            </w:r>
            <w:r>
              <w:rPr>
                <w:noProof/>
                <w:webHidden/>
              </w:rPr>
              <w:fldChar w:fldCharType="begin"/>
            </w:r>
            <w:r>
              <w:rPr>
                <w:noProof/>
                <w:webHidden/>
              </w:rPr>
              <w:instrText xml:space="preserve"> PAGEREF _Toc200479451 \h </w:instrText>
            </w:r>
            <w:r>
              <w:rPr>
                <w:noProof/>
                <w:webHidden/>
              </w:rPr>
            </w:r>
            <w:r>
              <w:rPr>
                <w:noProof/>
                <w:webHidden/>
              </w:rPr>
              <w:fldChar w:fldCharType="separate"/>
            </w:r>
            <w:r>
              <w:rPr>
                <w:noProof/>
                <w:webHidden/>
              </w:rPr>
              <w:t>12</w:t>
            </w:r>
            <w:r>
              <w:rPr>
                <w:noProof/>
                <w:webHidden/>
              </w:rPr>
              <w:fldChar w:fldCharType="end"/>
            </w:r>
          </w:hyperlink>
        </w:p>
        <w:p w14:paraId="55F51E71" w14:textId="4E711FF4"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452" w:history="1">
            <w:r w:rsidRPr="00307352">
              <w:rPr>
                <w:rStyle w:val="Hyperlink"/>
                <w:noProof/>
              </w:rPr>
              <w:t>2.</w:t>
            </w:r>
            <w:r>
              <w:rPr>
                <w:rFonts w:eastAsiaTheme="minorEastAsia"/>
                <w:noProof/>
                <w:kern w:val="2"/>
                <w:sz w:val="24"/>
                <w:szCs w:val="24"/>
                <w:lang w:eastAsia="en-GB"/>
                <w14:ligatures w14:val="standardContextual"/>
              </w:rPr>
              <w:tab/>
            </w:r>
            <w:r w:rsidRPr="00307352">
              <w:rPr>
                <w:rStyle w:val="Hyperlink"/>
                <w:noProof/>
              </w:rPr>
              <w:t>Introduction</w:t>
            </w:r>
            <w:r>
              <w:rPr>
                <w:noProof/>
                <w:webHidden/>
              </w:rPr>
              <w:tab/>
            </w:r>
            <w:r>
              <w:rPr>
                <w:noProof/>
                <w:webHidden/>
              </w:rPr>
              <w:fldChar w:fldCharType="begin"/>
            </w:r>
            <w:r>
              <w:rPr>
                <w:noProof/>
                <w:webHidden/>
              </w:rPr>
              <w:instrText xml:space="preserve"> PAGEREF _Toc200479452 \h </w:instrText>
            </w:r>
            <w:r>
              <w:rPr>
                <w:noProof/>
                <w:webHidden/>
              </w:rPr>
            </w:r>
            <w:r>
              <w:rPr>
                <w:noProof/>
                <w:webHidden/>
              </w:rPr>
              <w:fldChar w:fldCharType="separate"/>
            </w:r>
            <w:r>
              <w:rPr>
                <w:noProof/>
                <w:webHidden/>
              </w:rPr>
              <w:t>15</w:t>
            </w:r>
            <w:r>
              <w:rPr>
                <w:noProof/>
                <w:webHidden/>
              </w:rPr>
              <w:fldChar w:fldCharType="end"/>
            </w:r>
          </w:hyperlink>
        </w:p>
        <w:p w14:paraId="379DB350" w14:textId="772C560F"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53" w:history="1">
            <w:r w:rsidRPr="00307352">
              <w:rPr>
                <w:rStyle w:val="Hyperlink"/>
                <w:noProof/>
              </w:rPr>
              <w:t>2.1.</w:t>
            </w:r>
            <w:r>
              <w:rPr>
                <w:rFonts w:eastAsiaTheme="minorEastAsia"/>
                <w:noProof/>
                <w:kern w:val="2"/>
                <w:sz w:val="24"/>
                <w:szCs w:val="24"/>
                <w:lang w:eastAsia="en-GB"/>
                <w14:ligatures w14:val="standardContextual"/>
              </w:rPr>
              <w:tab/>
            </w:r>
            <w:r w:rsidRPr="00307352">
              <w:rPr>
                <w:rStyle w:val="Hyperlink"/>
                <w:noProof/>
              </w:rPr>
              <w:t>Why We Need a Needs Assessment</w:t>
            </w:r>
            <w:r>
              <w:rPr>
                <w:noProof/>
                <w:webHidden/>
              </w:rPr>
              <w:tab/>
            </w:r>
            <w:r>
              <w:rPr>
                <w:noProof/>
                <w:webHidden/>
              </w:rPr>
              <w:fldChar w:fldCharType="begin"/>
            </w:r>
            <w:r>
              <w:rPr>
                <w:noProof/>
                <w:webHidden/>
              </w:rPr>
              <w:instrText xml:space="preserve"> PAGEREF _Toc200479453 \h </w:instrText>
            </w:r>
            <w:r>
              <w:rPr>
                <w:noProof/>
                <w:webHidden/>
              </w:rPr>
            </w:r>
            <w:r>
              <w:rPr>
                <w:noProof/>
                <w:webHidden/>
              </w:rPr>
              <w:fldChar w:fldCharType="separate"/>
            </w:r>
            <w:r>
              <w:rPr>
                <w:noProof/>
                <w:webHidden/>
              </w:rPr>
              <w:t>15</w:t>
            </w:r>
            <w:r>
              <w:rPr>
                <w:noProof/>
                <w:webHidden/>
              </w:rPr>
              <w:fldChar w:fldCharType="end"/>
            </w:r>
          </w:hyperlink>
        </w:p>
        <w:p w14:paraId="37F4CADF" w14:textId="13AA51F3"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54" w:history="1">
            <w:r w:rsidRPr="00307352">
              <w:rPr>
                <w:rStyle w:val="Hyperlink"/>
                <w:noProof/>
              </w:rPr>
              <w:t>2.2.</w:t>
            </w:r>
            <w:r>
              <w:rPr>
                <w:rFonts w:eastAsiaTheme="minorEastAsia"/>
                <w:noProof/>
                <w:kern w:val="2"/>
                <w:sz w:val="24"/>
                <w:szCs w:val="24"/>
                <w:lang w:eastAsia="en-GB"/>
                <w14:ligatures w14:val="standardContextual"/>
              </w:rPr>
              <w:tab/>
            </w:r>
            <w:r w:rsidRPr="00307352">
              <w:rPr>
                <w:rStyle w:val="Hyperlink"/>
                <w:noProof/>
              </w:rPr>
              <w:t>Why Drug &amp; Alcohol Services Matter</w:t>
            </w:r>
            <w:r>
              <w:rPr>
                <w:noProof/>
                <w:webHidden/>
              </w:rPr>
              <w:tab/>
            </w:r>
            <w:r>
              <w:rPr>
                <w:noProof/>
                <w:webHidden/>
              </w:rPr>
              <w:fldChar w:fldCharType="begin"/>
            </w:r>
            <w:r>
              <w:rPr>
                <w:noProof/>
                <w:webHidden/>
              </w:rPr>
              <w:instrText xml:space="preserve"> PAGEREF _Toc200479454 \h </w:instrText>
            </w:r>
            <w:r>
              <w:rPr>
                <w:noProof/>
                <w:webHidden/>
              </w:rPr>
            </w:r>
            <w:r>
              <w:rPr>
                <w:noProof/>
                <w:webHidden/>
              </w:rPr>
              <w:fldChar w:fldCharType="separate"/>
            </w:r>
            <w:r>
              <w:rPr>
                <w:noProof/>
                <w:webHidden/>
              </w:rPr>
              <w:t>15</w:t>
            </w:r>
            <w:r>
              <w:rPr>
                <w:noProof/>
                <w:webHidden/>
              </w:rPr>
              <w:fldChar w:fldCharType="end"/>
            </w:r>
          </w:hyperlink>
        </w:p>
        <w:p w14:paraId="45179970" w14:textId="5BFD8834"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55" w:history="1">
            <w:r w:rsidRPr="00307352">
              <w:rPr>
                <w:rStyle w:val="Hyperlink"/>
                <w:noProof/>
              </w:rPr>
              <w:t>2.3.</w:t>
            </w:r>
            <w:r>
              <w:rPr>
                <w:rFonts w:eastAsiaTheme="minorEastAsia"/>
                <w:noProof/>
                <w:kern w:val="2"/>
                <w:sz w:val="24"/>
                <w:szCs w:val="24"/>
                <w:lang w:eastAsia="en-GB"/>
                <w14:ligatures w14:val="standardContextual"/>
              </w:rPr>
              <w:tab/>
            </w:r>
            <w:r w:rsidRPr="00307352">
              <w:rPr>
                <w:rStyle w:val="Hyperlink"/>
                <w:noProof/>
              </w:rPr>
              <w:t>Aims/ Objectives</w:t>
            </w:r>
            <w:r>
              <w:rPr>
                <w:noProof/>
                <w:webHidden/>
              </w:rPr>
              <w:tab/>
            </w:r>
            <w:r>
              <w:rPr>
                <w:noProof/>
                <w:webHidden/>
              </w:rPr>
              <w:fldChar w:fldCharType="begin"/>
            </w:r>
            <w:r>
              <w:rPr>
                <w:noProof/>
                <w:webHidden/>
              </w:rPr>
              <w:instrText xml:space="preserve"> PAGEREF _Toc200479455 \h </w:instrText>
            </w:r>
            <w:r>
              <w:rPr>
                <w:noProof/>
                <w:webHidden/>
              </w:rPr>
            </w:r>
            <w:r>
              <w:rPr>
                <w:noProof/>
                <w:webHidden/>
              </w:rPr>
              <w:fldChar w:fldCharType="separate"/>
            </w:r>
            <w:r>
              <w:rPr>
                <w:noProof/>
                <w:webHidden/>
              </w:rPr>
              <w:t>16</w:t>
            </w:r>
            <w:r>
              <w:rPr>
                <w:noProof/>
                <w:webHidden/>
              </w:rPr>
              <w:fldChar w:fldCharType="end"/>
            </w:r>
          </w:hyperlink>
        </w:p>
        <w:p w14:paraId="35664204" w14:textId="54B305A6"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56" w:history="1">
            <w:r w:rsidRPr="00307352">
              <w:rPr>
                <w:rStyle w:val="Hyperlink"/>
                <w:noProof/>
              </w:rPr>
              <w:t>2.4.</w:t>
            </w:r>
            <w:r>
              <w:rPr>
                <w:rFonts w:eastAsiaTheme="minorEastAsia"/>
                <w:noProof/>
                <w:kern w:val="2"/>
                <w:sz w:val="24"/>
                <w:szCs w:val="24"/>
                <w:lang w:eastAsia="en-GB"/>
                <w14:ligatures w14:val="standardContextual"/>
              </w:rPr>
              <w:tab/>
            </w:r>
            <w:r w:rsidRPr="00307352">
              <w:rPr>
                <w:rStyle w:val="Hyperlink"/>
                <w:noProof/>
              </w:rPr>
              <w:t>Legal Context</w:t>
            </w:r>
            <w:r>
              <w:rPr>
                <w:noProof/>
                <w:webHidden/>
              </w:rPr>
              <w:tab/>
            </w:r>
            <w:r>
              <w:rPr>
                <w:noProof/>
                <w:webHidden/>
              </w:rPr>
              <w:fldChar w:fldCharType="begin"/>
            </w:r>
            <w:r>
              <w:rPr>
                <w:noProof/>
                <w:webHidden/>
              </w:rPr>
              <w:instrText xml:space="preserve"> PAGEREF _Toc200479456 \h </w:instrText>
            </w:r>
            <w:r>
              <w:rPr>
                <w:noProof/>
                <w:webHidden/>
              </w:rPr>
            </w:r>
            <w:r>
              <w:rPr>
                <w:noProof/>
                <w:webHidden/>
              </w:rPr>
              <w:fldChar w:fldCharType="separate"/>
            </w:r>
            <w:r>
              <w:rPr>
                <w:noProof/>
                <w:webHidden/>
              </w:rPr>
              <w:t>16</w:t>
            </w:r>
            <w:r>
              <w:rPr>
                <w:noProof/>
                <w:webHidden/>
              </w:rPr>
              <w:fldChar w:fldCharType="end"/>
            </w:r>
          </w:hyperlink>
        </w:p>
        <w:p w14:paraId="2EFF759C" w14:textId="3161BFA8"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57" w:history="1">
            <w:r w:rsidRPr="00307352">
              <w:rPr>
                <w:rStyle w:val="Hyperlink"/>
                <w:noProof/>
              </w:rPr>
              <w:t>2.5.</w:t>
            </w:r>
            <w:r>
              <w:rPr>
                <w:rFonts w:eastAsiaTheme="minorEastAsia"/>
                <w:noProof/>
                <w:kern w:val="2"/>
                <w:sz w:val="24"/>
                <w:szCs w:val="24"/>
                <w:lang w:eastAsia="en-GB"/>
                <w14:ligatures w14:val="standardContextual"/>
              </w:rPr>
              <w:tab/>
            </w:r>
            <w:r w:rsidRPr="00307352">
              <w:rPr>
                <w:rStyle w:val="Hyperlink"/>
                <w:noProof/>
              </w:rPr>
              <w:t>Strategic Context – Local and National Policy</w:t>
            </w:r>
            <w:r>
              <w:rPr>
                <w:noProof/>
                <w:webHidden/>
              </w:rPr>
              <w:tab/>
            </w:r>
            <w:r>
              <w:rPr>
                <w:noProof/>
                <w:webHidden/>
              </w:rPr>
              <w:fldChar w:fldCharType="begin"/>
            </w:r>
            <w:r>
              <w:rPr>
                <w:noProof/>
                <w:webHidden/>
              </w:rPr>
              <w:instrText xml:space="preserve"> PAGEREF _Toc200479457 \h </w:instrText>
            </w:r>
            <w:r>
              <w:rPr>
                <w:noProof/>
                <w:webHidden/>
              </w:rPr>
            </w:r>
            <w:r>
              <w:rPr>
                <w:noProof/>
                <w:webHidden/>
              </w:rPr>
              <w:fldChar w:fldCharType="separate"/>
            </w:r>
            <w:r>
              <w:rPr>
                <w:noProof/>
                <w:webHidden/>
              </w:rPr>
              <w:t>16</w:t>
            </w:r>
            <w:r>
              <w:rPr>
                <w:noProof/>
                <w:webHidden/>
              </w:rPr>
              <w:fldChar w:fldCharType="end"/>
            </w:r>
          </w:hyperlink>
        </w:p>
        <w:p w14:paraId="194FB991" w14:textId="3DA71CD4"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458" w:history="1">
            <w:r w:rsidRPr="00307352">
              <w:rPr>
                <w:rStyle w:val="Hyperlink"/>
                <w:noProof/>
              </w:rPr>
              <w:t>3.</w:t>
            </w:r>
            <w:r>
              <w:rPr>
                <w:rFonts w:eastAsiaTheme="minorEastAsia"/>
                <w:noProof/>
                <w:kern w:val="2"/>
                <w:sz w:val="24"/>
                <w:szCs w:val="24"/>
                <w:lang w:eastAsia="en-GB"/>
                <w14:ligatures w14:val="standardContextual"/>
              </w:rPr>
              <w:tab/>
            </w:r>
            <w:r w:rsidRPr="00307352">
              <w:rPr>
                <w:rStyle w:val="Hyperlink"/>
                <w:noProof/>
              </w:rPr>
              <w:t>Literature Review: Summary</w:t>
            </w:r>
            <w:r>
              <w:rPr>
                <w:noProof/>
                <w:webHidden/>
              </w:rPr>
              <w:tab/>
            </w:r>
            <w:r>
              <w:rPr>
                <w:noProof/>
                <w:webHidden/>
              </w:rPr>
              <w:fldChar w:fldCharType="begin"/>
            </w:r>
            <w:r>
              <w:rPr>
                <w:noProof/>
                <w:webHidden/>
              </w:rPr>
              <w:instrText xml:space="preserve"> PAGEREF _Toc200479458 \h </w:instrText>
            </w:r>
            <w:r>
              <w:rPr>
                <w:noProof/>
                <w:webHidden/>
              </w:rPr>
            </w:r>
            <w:r>
              <w:rPr>
                <w:noProof/>
                <w:webHidden/>
              </w:rPr>
              <w:fldChar w:fldCharType="separate"/>
            </w:r>
            <w:r>
              <w:rPr>
                <w:noProof/>
                <w:webHidden/>
              </w:rPr>
              <w:t>17</w:t>
            </w:r>
            <w:r>
              <w:rPr>
                <w:noProof/>
                <w:webHidden/>
              </w:rPr>
              <w:fldChar w:fldCharType="end"/>
            </w:r>
          </w:hyperlink>
        </w:p>
        <w:p w14:paraId="228EA5A0" w14:textId="0674BD28"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459" w:history="1">
            <w:r w:rsidRPr="00307352">
              <w:rPr>
                <w:rStyle w:val="Hyperlink"/>
                <w:noProof/>
              </w:rPr>
              <w:t>4.</w:t>
            </w:r>
            <w:r>
              <w:rPr>
                <w:rFonts w:eastAsiaTheme="minorEastAsia"/>
                <w:noProof/>
                <w:kern w:val="2"/>
                <w:sz w:val="24"/>
                <w:szCs w:val="24"/>
                <w:lang w:eastAsia="en-GB"/>
                <w14:ligatures w14:val="standardContextual"/>
              </w:rPr>
              <w:tab/>
            </w:r>
            <w:r w:rsidRPr="00307352">
              <w:rPr>
                <w:rStyle w:val="Hyperlink"/>
                <w:noProof/>
              </w:rPr>
              <w:t>National Epidemiology</w:t>
            </w:r>
            <w:r>
              <w:rPr>
                <w:noProof/>
                <w:webHidden/>
              </w:rPr>
              <w:tab/>
            </w:r>
            <w:r>
              <w:rPr>
                <w:noProof/>
                <w:webHidden/>
              </w:rPr>
              <w:fldChar w:fldCharType="begin"/>
            </w:r>
            <w:r>
              <w:rPr>
                <w:noProof/>
                <w:webHidden/>
              </w:rPr>
              <w:instrText xml:space="preserve"> PAGEREF _Toc200479459 \h </w:instrText>
            </w:r>
            <w:r>
              <w:rPr>
                <w:noProof/>
                <w:webHidden/>
              </w:rPr>
            </w:r>
            <w:r>
              <w:rPr>
                <w:noProof/>
                <w:webHidden/>
              </w:rPr>
              <w:fldChar w:fldCharType="separate"/>
            </w:r>
            <w:r>
              <w:rPr>
                <w:noProof/>
                <w:webHidden/>
              </w:rPr>
              <w:t>19</w:t>
            </w:r>
            <w:r>
              <w:rPr>
                <w:noProof/>
                <w:webHidden/>
              </w:rPr>
              <w:fldChar w:fldCharType="end"/>
            </w:r>
          </w:hyperlink>
        </w:p>
        <w:p w14:paraId="5574BC92" w14:textId="769D870A"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60" w:history="1">
            <w:r w:rsidRPr="00307352">
              <w:rPr>
                <w:rStyle w:val="Hyperlink"/>
                <w:noProof/>
              </w:rPr>
              <w:t>4.1.</w:t>
            </w:r>
            <w:r>
              <w:rPr>
                <w:rFonts w:eastAsiaTheme="minorEastAsia"/>
                <w:noProof/>
                <w:kern w:val="2"/>
                <w:sz w:val="24"/>
                <w:szCs w:val="24"/>
                <w:lang w:eastAsia="en-GB"/>
                <w14:ligatures w14:val="standardContextual"/>
              </w:rPr>
              <w:tab/>
            </w:r>
            <w:r w:rsidRPr="00307352">
              <w:rPr>
                <w:rStyle w:val="Hyperlink"/>
                <w:noProof/>
              </w:rPr>
              <w:t>National Epi; Drugs</w:t>
            </w:r>
            <w:r>
              <w:rPr>
                <w:noProof/>
                <w:webHidden/>
              </w:rPr>
              <w:tab/>
            </w:r>
            <w:r>
              <w:rPr>
                <w:noProof/>
                <w:webHidden/>
              </w:rPr>
              <w:fldChar w:fldCharType="begin"/>
            </w:r>
            <w:r>
              <w:rPr>
                <w:noProof/>
                <w:webHidden/>
              </w:rPr>
              <w:instrText xml:space="preserve"> PAGEREF _Toc200479460 \h </w:instrText>
            </w:r>
            <w:r>
              <w:rPr>
                <w:noProof/>
                <w:webHidden/>
              </w:rPr>
            </w:r>
            <w:r>
              <w:rPr>
                <w:noProof/>
                <w:webHidden/>
              </w:rPr>
              <w:fldChar w:fldCharType="separate"/>
            </w:r>
            <w:r>
              <w:rPr>
                <w:noProof/>
                <w:webHidden/>
              </w:rPr>
              <w:t>19</w:t>
            </w:r>
            <w:r>
              <w:rPr>
                <w:noProof/>
                <w:webHidden/>
              </w:rPr>
              <w:fldChar w:fldCharType="end"/>
            </w:r>
          </w:hyperlink>
        </w:p>
        <w:p w14:paraId="7A7317E2" w14:textId="2DEB2B96"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1" w:history="1">
            <w:r w:rsidRPr="00307352">
              <w:rPr>
                <w:rStyle w:val="Hyperlink"/>
                <w:noProof/>
              </w:rPr>
              <w:t>4.1.1.</w:t>
            </w:r>
            <w:r>
              <w:rPr>
                <w:rFonts w:eastAsiaTheme="minorEastAsia"/>
                <w:noProof/>
                <w:kern w:val="2"/>
                <w:sz w:val="24"/>
                <w:szCs w:val="24"/>
                <w:lang w:eastAsia="en-GB"/>
                <w14:ligatures w14:val="standardContextual"/>
              </w:rPr>
              <w:tab/>
            </w:r>
            <w:r w:rsidRPr="00307352">
              <w:rPr>
                <w:rStyle w:val="Hyperlink"/>
                <w:noProof/>
              </w:rPr>
              <w:t>General Trends in Drug Use</w:t>
            </w:r>
            <w:r>
              <w:rPr>
                <w:noProof/>
                <w:webHidden/>
              </w:rPr>
              <w:tab/>
            </w:r>
            <w:r>
              <w:rPr>
                <w:noProof/>
                <w:webHidden/>
              </w:rPr>
              <w:fldChar w:fldCharType="begin"/>
            </w:r>
            <w:r>
              <w:rPr>
                <w:noProof/>
                <w:webHidden/>
              </w:rPr>
              <w:instrText xml:space="preserve"> PAGEREF _Toc200479461 \h </w:instrText>
            </w:r>
            <w:r>
              <w:rPr>
                <w:noProof/>
                <w:webHidden/>
              </w:rPr>
            </w:r>
            <w:r>
              <w:rPr>
                <w:noProof/>
                <w:webHidden/>
              </w:rPr>
              <w:fldChar w:fldCharType="separate"/>
            </w:r>
            <w:r>
              <w:rPr>
                <w:noProof/>
                <w:webHidden/>
              </w:rPr>
              <w:t>19</w:t>
            </w:r>
            <w:r>
              <w:rPr>
                <w:noProof/>
                <w:webHidden/>
              </w:rPr>
              <w:fldChar w:fldCharType="end"/>
            </w:r>
          </w:hyperlink>
        </w:p>
        <w:p w14:paraId="2C683A0E" w14:textId="475E70A2"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2" w:history="1">
            <w:r w:rsidRPr="00307352">
              <w:rPr>
                <w:rStyle w:val="Hyperlink"/>
                <w:noProof/>
              </w:rPr>
              <w:t>4.1.2.</w:t>
            </w:r>
            <w:r>
              <w:rPr>
                <w:rFonts w:eastAsiaTheme="minorEastAsia"/>
                <w:noProof/>
                <w:kern w:val="2"/>
                <w:sz w:val="24"/>
                <w:szCs w:val="24"/>
                <w:lang w:eastAsia="en-GB"/>
                <w14:ligatures w14:val="standardContextual"/>
              </w:rPr>
              <w:tab/>
            </w:r>
            <w:r w:rsidRPr="00307352">
              <w:rPr>
                <w:rStyle w:val="Hyperlink"/>
                <w:noProof/>
              </w:rPr>
              <w:t>Substance-Specific Trends and Frequency of Use</w:t>
            </w:r>
            <w:r>
              <w:rPr>
                <w:noProof/>
                <w:webHidden/>
              </w:rPr>
              <w:tab/>
            </w:r>
            <w:r>
              <w:rPr>
                <w:noProof/>
                <w:webHidden/>
              </w:rPr>
              <w:fldChar w:fldCharType="begin"/>
            </w:r>
            <w:r>
              <w:rPr>
                <w:noProof/>
                <w:webHidden/>
              </w:rPr>
              <w:instrText xml:space="preserve"> PAGEREF _Toc200479462 \h </w:instrText>
            </w:r>
            <w:r>
              <w:rPr>
                <w:noProof/>
                <w:webHidden/>
              </w:rPr>
            </w:r>
            <w:r>
              <w:rPr>
                <w:noProof/>
                <w:webHidden/>
              </w:rPr>
              <w:fldChar w:fldCharType="separate"/>
            </w:r>
            <w:r>
              <w:rPr>
                <w:noProof/>
                <w:webHidden/>
              </w:rPr>
              <w:t>19</w:t>
            </w:r>
            <w:r>
              <w:rPr>
                <w:noProof/>
                <w:webHidden/>
              </w:rPr>
              <w:fldChar w:fldCharType="end"/>
            </w:r>
          </w:hyperlink>
        </w:p>
        <w:p w14:paraId="3587F5CA" w14:textId="415022D8"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3" w:history="1">
            <w:r w:rsidRPr="00307352">
              <w:rPr>
                <w:rStyle w:val="Hyperlink"/>
                <w:noProof/>
              </w:rPr>
              <w:t>4.1.3.</w:t>
            </w:r>
            <w:r>
              <w:rPr>
                <w:rFonts w:eastAsiaTheme="minorEastAsia"/>
                <w:noProof/>
                <w:kern w:val="2"/>
                <w:sz w:val="24"/>
                <w:szCs w:val="24"/>
                <w:lang w:eastAsia="en-GB"/>
                <w14:ligatures w14:val="standardContextual"/>
              </w:rPr>
              <w:tab/>
            </w:r>
            <w:r w:rsidRPr="00307352">
              <w:rPr>
                <w:rStyle w:val="Hyperlink"/>
                <w:noProof/>
              </w:rPr>
              <w:t>Demographic Patterns in Drug Use</w:t>
            </w:r>
            <w:r>
              <w:rPr>
                <w:noProof/>
                <w:webHidden/>
              </w:rPr>
              <w:tab/>
            </w:r>
            <w:r>
              <w:rPr>
                <w:noProof/>
                <w:webHidden/>
              </w:rPr>
              <w:fldChar w:fldCharType="begin"/>
            </w:r>
            <w:r>
              <w:rPr>
                <w:noProof/>
                <w:webHidden/>
              </w:rPr>
              <w:instrText xml:space="preserve"> PAGEREF _Toc200479463 \h </w:instrText>
            </w:r>
            <w:r>
              <w:rPr>
                <w:noProof/>
                <w:webHidden/>
              </w:rPr>
            </w:r>
            <w:r>
              <w:rPr>
                <w:noProof/>
                <w:webHidden/>
              </w:rPr>
              <w:fldChar w:fldCharType="separate"/>
            </w:r>
            <w:r>
              <w:rPr>
                <w:noProof/>
                <w:webHidden/>
              </w:rPr>
              <w:t>19</w:t>
            </w:r>
            <w:r>
              <w:rPr>
                <w:noProof/>
                <w:webHidden/>
              </w:rPr>
              <w:fldChar w:fldCharType="end"/>
            </w:r>
          </w:hyperlink>
        </w:p>
        <w:p w14:paraId="3BED23E5" w14:textId="1C22B0D9"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4" w:history="1">
            <w:r w:rsidRPr="00307352">
              <w:rPr>
                <w:rStyle w:val="Hyperlink"/>
                <w:noProof/>
              </w:rPr>
              <w:t>4.1.4.</w:t>
            </w:r>
            <w:r>
              <w:rPr>
                <w:rFonts w:eastAsiaTheme="minorEastAsia"/>
                <w:noProof/>
                <w:kern w:val="2"/>
                <w:sz w:val="24"/>
                <w:szCs w:val="24"/>
                <w:lang w:eastAsia="en-GB"/>
                <w14:ligatures w14:val="standardContextual"/>
              </w:rPr>
              <w:tab/>
            </w:r>
            <w:r w:rsidRPr="00307352">
              <w:rPr>
                <w:rStyle w:val="Hyperlink"/>
                <w:noProof/>
              </w:rPr>
              <w:t>Children and Young People</w:t>
            </w:r>
            <w:r>
              <w:rPr>
                <w:noProof/>
                <w:webHidden/>
              </w:rPr>
              <w:tab/>
            </w:r>
            <w:r>
              <w:rPr>
                <w:noProof/>
                <w:webHidden/>
              </w:rPr>
              <w:fldChar w:fldCharType="begin"/>
            </w:r>
            <w:r>
              <w:rPr>
                <w:noProof/>
                <w:webHidden/>
              </w:rPr>
              <w:instrText xml:space="preserve"> PAGEREF _Toc200479464 \h </w:instrText>
            </w:r>
            <w:r>
              <w:rPr>
                <w:noProof/>
                <w:webHidden/>
              </w:rPr>
            </w:r>
            <w:r>
              <w:rPr>
                <w:noProof/>
                <w:webHidden/>
              </w:rPr>
              <w:fldChar w:fldCharType="separate"/>
            </w:r>
            <w:r>
              <w:rPr>
                <w:noProof/>
                <w:webHidden/>
              </w:rPr>
              <w:t>21</w:t>
            </w:r>
            <w:r>
              <w:rPr>
                <w:noProof/>
                <w:webHidden/>
              </w:rPr>
              <w:fldChar w:fldCharType="end"/>
            </w:r>
          </w:hyperlink>
        </w:p>
        <w:p w14:paraId="1386D60C" w14:textId="0A39498E"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65" w:history="1">
            <w:r w:rsidRPr="00307352">
              <w:rPr>
                <w:rStyle w:val="Hyperlink"/>
                <w:noProof/>
              </w:rPr>
              <w:t>4.2.</w:t>
            </w:r>
            <w:r>
              <w:rPr>
                <w:rFonts w:eastAsiaTheme="minorEastAsia"/>
                <w:noProof/>
                <w:kern w:val="2"/>
                <w:sz w:val="24"/>
                <w:szCs w:val="24"/>
                <w:lang w:eastAsia="en-GB"/>
                <w14:ligatures w14:val="standardContextual"/>
              </w:rPr>
              <w:tab/>
            </w:r>
            <w:r w:rsidRPr="00307352">
              <w:rPr>
                <w:rStyle w:val="Hyperlink"/>
                <w:noProof/>
              </w:rPr>
              <w:t>National Epi; Alcohol</w:t>
            </w:r>
            <w:r>
              <w:rPr>
                <w:noProof/>
                <w:webHidden/>
              </w:rPr>
              <w:tab/>
            </w:r>
            <w:r>
              <w:rPr>
                <w:noProof/>
                <w:webHidden/>
              </w:rPr>
              <w:fldChar w:fldCharType="begin"/>
            </w:r>
            <w:r>
              <w:rPr>
                <w:noProof/>
                <w:webHidden/>
              </w:rPr>
              <w:instrText xml:space="preserve"> PAGEREF _Toc200479465 \h </w:instrText>
            </w:r>
            <w:r>
              <w:rPr>
                <w:noProof/>
                <w:webHidden/>
              </w:rPr>
            </w:r>
            <w:r>
              <w:rPr>
                <w:noProof/>
                <w:webHidden/>
              </w:rPr>
              <w:fldChar w:fldCharType="separate"/>
            </w:r>
            <w:r>
              <w:rPr>
                <w:noProof/>
                <w:webHidden/>
              </w:rPr>
              <w:t>21</w:t>
            </w:r>
            <w:r>
              <w:rPr>
                <w:noProof/>
                <w:webHidden/>
              </w:rPr>
              <w:fldChar w:fldCharType="end"/>
            </w:r>
          </w:hyperlink>
        </w:p>
        <w:p w14:paraId="36CE3345" w14:textId="68788D8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6" w:history="1">
            <w:r w:rsidRPr="00307352">
              <w:rPr>
                <w:rStyle w:val="Hyperlink"/>
                <w:noProof/>
              </w:rPr>
              <w:t>4.2.1.</w:t>
            </w:r>
            <w:r>
              <w:rPr>
                <w:rFonts w:eastAsiaTheme="minorEastAsia"/>
                <w:noProof/>
                <w:kern w:val="2"/>
                <w:sz w:val="24"/>
                <w:szCs w:val="24"/>
                <w:lang w:eastAsia="en-GB"/>
                <w14:ligatures w14:val="standardContextual"/>
              </w:rPr>
              <w:tab/>
            </w:r>
            <w:r w:rsidRPr="00307352">
              <w:rPr>
                <w:rStyle w:val="Hyperlink"/>
                <w:noProof/>
              </w:rPr>
              <w:t>General Trends in Alcohol Use</w:t>
            </w:r>
            <w:r>
              <w:rPr>
                <w:noProof/>
                <w:webHidden/>
              </w:rPr>
              <w:tab/>
            </w:r>
            <w:r>
              <w:rPr>
                <w:noProof/>
                <w:webHidden/>
              </w:rPr>
              <w:fldChar w:fldCharType="begin"/>
            </w:r>
            <w:r>
              <w:rPr>
                <w:noProof/>
                <w:webHidden/>
              </w:rPr>
              <w:instrText xml:space="preserve"> PAGEREF _Toc200479466 \h </w:instrText>
            </w:r>
            <w:r>
              <w:rPr>
                <w:noProof/>
                <w:webHidden/>
              </w:rPr>
            </w:r>
            <w:r>
              <w:rPr>
                <w:noProof/>
                <w:webHidden/>
              </w:rPr>
              <w:fldChar w:fldCharType="separate"/>
            </w:r>
            <w:r>
              <w:rPr>
                <w:noProof/>
                <w:webHidden/>
              </w:rPr>
              <w:t>22</w:t>
            </w:r>
            <w:r>
              <w:rPr>
                <w:noProof/>
                <w:webHidden/>
              </w:rPr>
              <w:fldChar w:fldCharType="end"/>
            </w:r>
          </w:hyperlink>
        </w:p>
        <w:p w14:paraId="1F91BEA7" w14:textId="21718D0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7" w:history="1">
            <w:r w:rsidRPr="00307352">
              <w:rPr>
                <w:rStyle w:val="Hyperlink"/>
                <w:noProof/>
              </w:rPr>
              <w:t>4.2.2.</w:t>
            </w:r>
            <w:r>
              <w:rPr>
                <w:rFonts w:eastAsiaTheme="minorEastAsia"/>
                <w:noProof/>
                <w:kern w:val="2"/>
                <w:sz w:val="24"/>
                <w:szCs w:val="24"/>
                <w:lang w:eastAsia="en-GB"/>
                <w14:ligatures w14:val="standardContextual"/>
              </w:rPr>
              <w:tab/>
            </w:r>
            <w:r w:rsidRPr="00307352">
              <w:rPr>
                <w:rStyle w:val="Hyperlink"/>
                <w:noProof/>
              </w:rPr>
              <w:t>Demographic Patterns in Alcohol Use</w:t>
            </w:r>
            <w:r>
              <w:rPr>
                <w:noProof/>
                <w:webHidden/>
              </w:rPr>
              <w:tab/>
            </w:r>
            <w:r>
              <w:rPr>
                <w:noProof/>
                <w:webHidden/>
              </w:rPr>
              <w:fldChar w:fldCharType="begin"/>
            </w:r>
            <w:r>
              <w:rPr>
                <w:noProof/>
                <w:webHidden/>
              </w:rPr>
              <w:instrText xml:space="preserve"> PAGEREF _Toc200479467 \h </w:instrText>
            </w:r>
            <w:r>
              <w:rPr>
                <w:noProof/>
                <w:webHidden/>
              </w:rPr>
            </w:r>
            <w:r>
              <w:rPr>
                <w:noProof/>
                <w:webHidden/>
              </w:rPr>
              <w:fldChar w:fldCharType="separate"/>
            </w:r>
            <w:r>
              <w:rPr>
                <w:noProof/>
                <w:webHidden/>
              </w:rPr>
              <w:t>22</w:t>
            </w:r>
            <w:r>
              <w:rPr>
                <w:noProof/>
                <w:webHidden/>
              </w:rPr>
              <w:fldChar w:fldCharType="end"/>
            </w:r>
          </w:hyperlink>
        </w:p>
        <w:p w14:paraId="354BC551" w14:textId="06E8A2F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68" w:history="1">
            <w:r w:rsidRPr="00307352">
              <w:rPr>
                <w:rStyle w:val="Hyperlink"/>
                <w:noProof/>
              </w:rPr>
              <w:t>4.2.3.</w:t>
            </w:r>
            <w:r>
              <w:rPr>
                <w:rFonts w:eastAsiaTheme="minorEastAsia"/>
                <w:noProof/>
                <w:kern w:val="2"/>
                <w:sz w:val="24"/>
                <w:szCs w:val="24"/>
                <w:lang w:eastAsia="en-GB"/>
                <w14:ligatures w14:val="standardContextual"/>
              </w:rPr>
              <w:tab/>
            </w:r>
            <w:r w:rsidRPr="00307352">
              <w:rPr>
                <w:rStyle w:val="Hyperlink"/>
                <w:noProof/>
              </w:rPr>
              <w:t>Children and Young People</w:t>
            </w:r>
            <w:r>
              <w:rPr>
                <w:noProof/>
                <w:webHidden/>
              </w:rPr>
              <w:tab/>
            </w:r>
            <w:r>
              <w:rPr>
                <w:noProof/>
                <w:webHidden/>
              </w:rPr>
              <w:fldChar w:fldCharType="begin"/>
            </w:r>
            <w:r>
              <w:rPr>
                <w:noProof/>
                <w:webHidden/>
              </w:rPr>
              <w:instrText xml:space="preserve"> PAGEREF _Toc200479468 \h </w:instrText>
            </w:r>
            <w:r>
              <w:rPr>
                <w:noProof/>
                <w:webHidden/>
              </w:rPr>
            </w:r>
            <w:r>
              <w:rPr>
                <w:noProof/>
                <w:webHidden/>
              </w:rPr>
              <w:fldChar w:fldCharType="separate"/>
            </w:r>
            <w:r>
              <w:rPr>
                <w:noProof/>
                <w:webHidden/>
              </w:rPr>
              <w:t>23</w:t>
            </w:r>
            <w:r>
              <w:rPr>
                <w:noProof/>
                <w:webHidden/>
              </w:rPr>
              <w:fldChar w:fldCharType="end"/>
            </w:r>
          </w:hyperlink>
        </w:p>
        <w:p w14:paraId="36DD7431" w14:textId="6273CC0B"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69" w:history="1">
            <w:r w:rsidRPr="00307352">
              <w:rPr>
                <w:rStyle w:val="Hyperlink"/>
                <w:noProof/>
              </w:rPr>
              <w:t>4.3.</w:t>
            </w:r>
            <w:r>
              <w:rPr>
                <w:rFonts w:eastAsiaTheme="minorEastAsia"/>
                <w:noProof/>
                <w:kern w:val="2"/>
                <w:sz w:val="24"/>
                <w:szCs w:val="24"/>
                <w:lang w:eastAsia="en-GB"/>
                <w14:ligatures w14:val="standardContextual"/>
              </w:rPr>
              <w:tab/>
            </w:r>
            <w:r w:rsidRPr="00307352">
              <w:rPr>
                <w:rStyle w:val="Hyperlink"/>
                <w:noProof/>
              </w:rPr>
              <w:t>National Epi; Mortality</w:t>
            </w:r>
            <w:r>
              <w:rPr>
                <w:noProof/>
                <w:webHidden/>
              </w:rPr>
              <w:tab/>
            </w:r>
            <w:r>
              <w:rPr>
                <w:noProof/>
                <w:webHidden/>
              </w:rPr>
              <w:fldChar w:fldCharType="begin"/>
            </w:r>
            <w:r>
              <w:rPr>
                <w:noProof/>
                <w:webHidden/>
              </w:rPr>
              <w:instrText xml:space="preserve"> PAGEREF _Toc200479469 \h </w:instrText>
            </w:r>
            <w:r>
              <w:rPr>
                <w:noProof/>
                <w:webHidden/>
              </w:rPr>
            </w:r>
            <w:r>
              <w:rPr>
                <w:noProof/>
                <w:webHidden/>
              </w:rPr>
              <w:fldChar w:fldCharType="separate"/>
            </w:r>
            <w:r>
              <w:rPr>
                <w:noProof/>
                <w:webHidden/>
              </w:rPr>
              <w:t>23</w:t>
            </w:r>
            <w:r>
              <w:rPr>
                <w:noProof/>
                <w:webHidden/>
              </w:rPr>
              <w:fldChar w:fldCharType="end"/>
            </w:r>
          </w:hyperlink>
        </w:p>
        <w:p w14:paraId="68BF4561" w14:textId="295ACC4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0" w:history="1">
            <w:r w:rsidRPr="00307352">
              <w:rPr>
                <w:rStyle w:val="Hyperlink"/>
                <w:noProof/>
              </w:rPr>
              <w:t>4.3.1.</w:t>
            </w:r>
            <w:r>
              <w:rPr>
                <w:rFonts w:eastAsiaTheme="minorEastAsia"/>
                <w:noProof/>
                <w:kern w:val="2"/>
                <w:sz w:val="24"/>
                <w:szCs w:val="24"/>
                <w:lang w:eastAsia="en-GB"/>
                <w14:ligatures w14:val="standardContextual"/>
              </w:rPr>
              <w:tab/>
            </w:r>
            <w:r w:rsidRPr="00307352">
              <w:rPr>
                <w:rStyle w:val="Hyperlink"/>
                <w:noProof/>
              </w:rPr>
              <w:t>Drugs</w:t>
            </w:r>
            <w:r>
              <w:rPr>
                <w:noProof/>
                <w:webHidden/>
              </w:rPr>
              <w:tab/>
            </w:r>
            <w:r>
              <w:rPr>
                <w:noProof/>
                <w:webHidden/>
              </w:rPr>
              <w:fldChar w:fldCharType="begin"/>
            </w:r>
            <w:r>
              <w:rPr>
                <w:noProof/>
                <w:webHidden/>
              </w:rPr>
              <w:instrText xml:space="preserve"> PAGEREF _Toc200479470 \h </w:instrText>
            </w:r>
            <w:r>
              <w:rPr>
                <w:noProof/>
                <w:webHidden/>
              </w:rPr>
            </w:r>
            <w:r>
              <w:rPr>
                <w:noProof/>
                <w:webHidden/>
              </w:rPr>
              <w:fldChar w:fldCharType="separate"/>
            </w:r>
            <w:r>
              <w:rPr>
                <w:noProof/>
                <w:webHidden/>
              </w:rPr>
              <w:t>23</w:t>
            </w:r>
            <w:r>
              <w:rPr>
                <w:noProof/>
                <w:webHidden/>
              </w:rPr>
              <w:fldChar w:fldCharType="end"/>
            </w:r>
          </w:hyperlink>
        </w:p>
        <w:p w14:paraId="0CD58251" w14:textId="77442198"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1" w:history="1">
            <w:r w:rsidRPr="00307352">
              <w:rPr>
                <w:rStyle w:val="Hyperlink"/>
                <w:noProof/>
              </w:rPr>
              <w:t>4.3.2.</w:t>
            </w:r>
            <w:r>
              <w:rPr>
                <w:rFonts w:eastAsiaTheme="minorEastAsia"/>
                <w:noProof/>
                <w:kern w:val="2"/>
                <w:sz w:val="24"/>
                <w:szCs w:val="24"/>
                <w:lang w:eastAsia="en-GB"/>
                <w14:ligatures w14:val="standardContextual"/>
              </w:rPr>
              <w:tab/>
            </w:r>
            <w:r w:rsidRPr="00307352">
              <w:rPr>
                <w:rStyle w:val="Hyperlink"/>
                <w:noProof/>
              </w:rPr>
              <w:t>Alcohol</w:t>
            </w:r>
            <w:r>
              <w:rPr>
                <w:noProof/>
                <w:webHidden/>
              </w:rPr>
              <w:tab/>
            </w:r>
            <w:r>
              <w:rPr>
                <w:noProof/>
                <w:webHidden/>
              </w:rPr>
              <w:fldChar w:fldCharType="begin"/>
            </w:r>
            <w:r>
              <w:rPr>
                <w:noProof/>
                <w:webHidden/>
              </w:rPr>
              <w:instrText xml:space="preserve"> PAGEREF _Toc200479471 \h </w:instrText>
            </w:r>
            <w:r>
              <w:rPr>
                <w:noProof/>
                <w:webHidden/>
              </w:rPr>
            </w:r>
            <w:r>
              <w:rPr>
                <w:noProof/>
                <w:webHidden/>
              </w:rPr>
              <w:fldChar w:fldCharType="separate"/>
            </w:r>
            <w:r>
              <w:rPr>
                <w:noProof/>
                <w:webHidden/>
              </w:rPr>
              <w:t>25</w:t>
            </w:r>
            <w:r>
              <w:rPr>
                <w:noProof/>
                <w:webHidden/>
              </w:rPr>
              <w:fldChar w:fldCharType="end"/>
            </w:r>
          </w:hyperlink>
        </w:p>
        <w:p w14:paraId="75F51C5D" w14:textId="78F2F1D9"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72" w:history="1">
            <w:r w:rsidRPr="00307352">
              <w:rPr>
                <w:rStyle w:val="Hyperlink"/>
                <w:noProof/>
              </w:rPr>
              <w:t>4.4.</w:t>
            </w:r>
            <w:r>
              <w:rPr>
                <w:rFonts w:eastAsiaTheme="minorEastAsia"/>
                <w:noProof/>
                <w:kern w:val="2"/>
                <w:sz w:val="24"/>
                <w:szCs w:val="24"/>
                <w:lang w:eastAsia="en-GB"/>
                <w14:ligatures w14:val="standardContextual"/>
              </w:rPr>
              <w:tab/>
            </w:r>
            <w:r w:rsidRPr="00307352">
              <w:rPr>
                <w:rStyle w:val="Hyperlink"/>
                <w:noProof/>
              </w:rPr>
              <w:t>Intersecting Vulnerabilities</w:t>
            </w:r>
            <w:r>
              <w:rPr>
                <w:noProof/>
                <w:webHidden/>
              </w:rPr>
              <w:tab/>
            </w:r>
            <w:r>
              <w:rPr>
                <w:noProof/>
                <w:webHidden/>
              </w:rPr>
              <w:fldChar w:fldCharType="begin"/>
            </w:r>
            <w:r>
              <w:rPr>
                <w:noProof/>
                <w:webHidden/>
              </w:rPr>
              <w:instrText xml:space="preserve"> PAGEREF _Toc200479472 \h </w:instrText>
            </w:r>
            <w:r>
              <w:rPr>
                <w:noProof/>
                <w:webHidden/>
              </w:rPr>
            </w:r>
            <w:r>
              <w:rPr>
                <w:noProof/>
                <w:webHidden/>
              </w:rPr>
              <w:fldChar w:fldCharType="separate"/>
            </w:r>
            <w:r>
              <w:rPr>
                <w:noProof/>
                <w:webHidden/>
              </w:rPr>
              <w:t>26</w:t>
            </w:r>
            <w:r>
              <w:rPr>
                <w:noProof/>
                <w:webHidden/>
              </w:rPr>
              <w:fldChar w:fldCharType="end"/>
            </w:r>
          </w:hyperlink>
        </w:p>
        <w:p w14:paraId="574E0BCD" w14:textId="6915F756"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473" w:history="1">
            <w:r w:rsidRPr="00307352">
              <w:rPr>
                <w:rStyle w:val="Hyperlink"/>
                <w:noProof/>
              </w:rPr>
              <w:t>5.</w:t>
            </w:r>
            <w:r>
              <w:rPr>
                <w:rFonts w:eastAsiaTheme="minorEastAsia"/>
                <w:noProof/>
                <w:kern w:val="2"/>
                <w:sz w:val="24"/>
                <w:szCs w:val="24"/>
                <w:lang w:eastAsia="en-GB"/>
                <w14:ligatures w14:val="standardContextual"/>
              </w:rPr>
              <w:tab/>
            </w:r>
            <w:r w:rsidRPr="00307352">
              <w:rPr>
                <w:rStyle w:val="Hyperlink"/>
                <w:noProof/>
              </w:rPr>
              <w:t>Peterborough</w:t>
            </w:r>
            <w:r>
              <w:rPr>
                <w:noProof/>
                <w:webHidden/>
              </w:rPr>
              <w:tab/>
            </w:r>
            <w:r>
              <w:rPr>
                <w:noProof/>
                <w:webHidden/>
              </w:rPr>
              <w:fldChar w:fldCharType="begin"/>
            </w:r>
            <w:r>
              <w:rPr>
                <w:noProof/>
                <w:webHidden/>
              </w:rPr>
              <w:instrText xml:space="preserve"> PAGEREF _Toc200479473 \h </w:instrText>
            </w:r>
            <w:r>
              <w:rPr>
                <w:noProof/>
                <w:webHidden/>
              </w:rPr>
            </w:r>
            <w:r>
              <w:rPr>
                <w:noProof/>
                <w:webHidden/>
              </w:rPr>
              <w:fldChar w:fldCharType="separate"/>
            </w:r>
            <w:r>
              <w:rPr>
                <w:noProof/>
                <w:webHidden/>
              </w:rPr>
              <w:t>27</w:t>
            </w:r>
            <w:r>
              <w:rPr>
                <w:noProof/>
                <w:webHidden/>
              </w:rPr>
              <w:fldChar w:fldCharType="end"/>
            </w:r>
          </w:hyperlink>
        </w:p>
        <w:p w14:paraId="6827A697" w14:textId="0952B802"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74" w:history="1">
            <w:r w:rsidRPr="00307352">
              <w:rPr>
                <w:rStyle w:val="Hyperlink"/>
                <w:noProof/>
              </w:rPr>
              <w:t>5.1.</w:t>
            </w:r>
            <w:r>
              <w:rPr>
                <w:rFonts w:eastAsiaTheme="minorEastAsia"/>
                <w:noProof/>
                <w:kern w:val="2"/>
                <w:sz w:val="24"/>
                <w:szCs w:val="24"/>
                <w:lang w:eastAsia="en-GB"/>
                <w14:ligatures w14:val="standardContextual"/>
              </w:rPr>
              <w:tab/>
            </w:r>
            <w:r w:rsidRPr="00307352">
              <w:rPr>
                <w:rStyle w:val="Hyperlink"/>
                <w:noProof/>
              </w:rPr>
              <w:t>Peterborough; Demographics</w:t>
            </w:r>
            <w:r>
              <w:rPr>
                <w:noProof/>
                <w:webHidden/>
              </w:rPr>
              <w:tab/>
            </w:r>
            <w:r>
              <w:rPr>
                <w:noProof/>
                <w:webHidden/>
              </w:rPr>
              <w:fldChar w:fldCharType="begin"/>
            </w:r>
            <w:r>
              <w:rPr>
                <w:noProof/>
                <w:webHidden/>
              </w:rPr>
              <w:instrText xml:space="preserve"> PAGEREF _Toc200479474 \h </w:instrText>
            </w:r>
            <w:r>
              <w:rPr>
                <w:noProof/>
                <w:webHidden/>
              </w:rPr>
            </w:r>
            <w:r>
              <w:rPr>
                <w:noProof/>
                <w:webHidden/>
              </w:rPr>
              <w:fldChar w:fldCharType="separate"/>
            </w:r>
            <w:r>
              <w:rPr>
                <w:noProof/>
                <w:webHidden/>
              </w:rPr>
              <w:t>27</w:t>
            </w:r>
            <w:r>
              <w:rPr>
                <w:noProof/>
                <w:webHidden/>
              </w:rPr>
              <w:fldChar w:fldCharType="end"/>
            </w:r>
          </w:hyperlink>
        </w:p>
        <w:p w14:paraId="542ED701" w14:textId="0C855CC8"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5" w:history="1">
            <w:r w:rsidRPr="00307352">
              <w:rPr>
                <w:rStyle w:val="Hyperlink"/>
                <w:noProof/>
              </w:rPr>
              <w:t>5.1.1.</w:t>
            </w:r>
            <w:r>
              <w:rPr>
                <w:rFonts w:eastAsiaTheme="minorEastAsia"/>
                <w:noProof/>
                <w:kern w:val="2"/>
                <w:sz w:val="24"/>
                <w:szCs w:val="24"/>
                <w:lang w:eastAsia="en-GB"/>
                <w14:ligatures w14:val="standardContextual"/>
              </w:rPr>
              <w:tab/>
            </w:r>
            <w:r w:rsidRPr="00307352">
              <w:rPr>
                <w:rStyle w:val="Hyperlink"/>
                <w:noProof/>
              </w:rPr>
              <w:t>Population</w:t>
            </w:r>
            <w:r>
              <w:rPr>
                <w:noProof/>
                <w:webHidden/>
              </w:rPr>
              <w:tab/>
            </w:r>
            <w:r>
              <w:rPr>
                <w:noProof/>
                <w:webHidden/>
              </w:rPr>
              <w:fldChar w:fldCharType="begin"/>
            </w:r>
            <w:r>
              <w:rPr>
                <w:noProof/>
                <w:webHidden/>
              </w:rPr>
              <w:instrText xml:space="preserve"> PAGEREF _Toc200479475 \h </w:instrText>
            </w:r>
            <w:r>
              <w:rPr>
                <w:noProof/>
                <w:webHidden/>
              </w:rPr>
            </w:r>
            <w:r>
              <w:rPr>
                <w:noProof/>
                <w:webHidden/>
              </w:rPr>
              <w:fldChar w:fldCharType="separate"/>
            </w:r>
            <w:r>
              <w:rPr>
                <w:noProof/>
                <w:webHidden/>
              </w:rPr>
              <w:t>27</w:t>
            </w:r>
            <w:r>
              <w:rPr>
                <w:noProof/>
                <w:webHidden/>
              </w:rPr>
              <w:fldChar w:fldCharType="end"/>
            </w:r>
          </w:hyperlink>
        </w:p>
        <w:p w14:paraId="23FB2DA3" w14:textId="094F9BE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6" w:history="1">
            <w:r w:rsidRPr="00307352">
              <w:rPr>
                <w:rStyle w:val="Hyperlink"/>
                <w:noProof/>
              </w:rPr>
              <w:t>5.1.2.</w:t>
            </w:r>
            <w:r>
              <w:rPr>
                <w:rFonts w:eastAsiaTheme="minorEastAsia"/>
                <w:noProof/>
                <w:kern w:val="2"/>
                <w:sz w:val="24"/>
                <w:szCs w:val="24"/>
                <w:lang w:eastAsia="en-GB"/>
                <w14:ligatures w14:val="standardContextual"/>
              </w:rPr>
              <w:tab/>
            </w:r>
            <w:r w:rsidRPr="00307352">
              <w:rPr>
                <w:rStyle w:val="Hyperlink"/>
                <w:noProof/>
              </w:rPr>
              <w:t>Geographic Distribution</w:t>
            </w:r>
            <w:r>
              <w:rPr>
                <w:noProof/>
                <w:webHidden/>
              </w:rPr>
              <w:tab/>
            </w:r>
            <w:r>
              <w:rPr>
                <w:noProof/>
                <w:webHidden/>
              </w:rPr>
              <w:fldChar w:fldCharType="begin"/>
            </w:r>
            <w:r>
              <w:rPr>
                <w:noProof/>
                <w:webHidden/>
              </w:rPr>
              <w:instrText xml:space="preserve"> PAGEREF _Toc200479476 \h </w:instrText>
            </w:r>
            <w:r>
              <w:rPr>
                <w:noProof/>
                <w:webHidden/>
              </w:rPr>
            </w:r>
            <w:r>
              <w:rPr>
                <w:noProof/>
                <w:webHidden/>
              </w:rPr>
              <w:fldChar w:fldCharType="separate"/>
            </w:r>
            <w:r>
              <w:rPr>
                <w:noProof/>
                <w:webHidden/>
              </w:rPr>
              <w:t>27</w:t>
            </w:r>
            <w:r>
              <w:rPr>
                <w:noProof/>
                <w:webHidden/>
              </w:rPr>
              <w:fldChar w:fldCharType="end"/>
            </w:r>
          </w:hyperlink>
        </w:p>
        <w:p w14:paraId="76128BBF" w14:textId="73FD1BE8"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7" w:history="1">
            <w:r w:rsidRPr="00307352">
              <w:rPr>
                <w:rStyle w:val="Hyperlink"/>
                <w:noProof/>
              </w:rPr>
              <w:t>5.1.3.</w:t>
            </w:r>
            <w:r>
              <w:rPr>
                <w:rFonts w:eastAsiaTheme="minorEastAsia"/>
                <w:noProof/>
                <w:kern w:val="2"/>
                <w:sz w:val="24"/>
                <w:szCs w:val="24"/>
                <w:lang w:eastAsia="en-GB"/>
                <w14:ligatures w14:val="standardContextual"/>
              </w:rPr>
              <w:tab/>
            </w:r>
            <w:r w:rsidRPr="00307352">
              <w:rPr>
                <w:rStyle w:val="Hyperlink"/>
                <w:noProof/>
              </w:rPr>
              <w:t>Wider Determinants and Further Demographics</w:t>
            </w:r>
            <w:r>
              <w:rPr>
                <w:noProof/>
                <w:webHidden/>
              </w:rPr>
              <w:tab/>
            </w:r>
            <w:r>
              <w:rPr>
                <w:noProof/>
                <w:webHidden/>
              </w:rPr>
              <w:fldChar w:fldCharType="begin"/>
            </w:r>
            <w:r>
              <w:rPr>
                <w:noProof/>
                <w:webHidden/>
              </w:rPr>
              <w:instrText xml:space="preserve"> PAGEREF _Toc200479477 \h </w:instrText>
            </w:r>
            <w:r>
              <w:rPr>
                <w:noProof/>
                <w:webHidden/>
              </w:rPr>
            </w:r>
            <w:r>
              <w:rPr>
                <w:noProof/>
                <w:webHidden/>
              </w:rPr>
              <w:fldChar w:fldCharType="separate"/>
            </w:r>
            <w:r>
              <w:rPr>
                <w:noProof/>
                <w:webHidden/>
              </w:rPr>
              <w:t>28</w:t>
            </w:r>
            <w:r>
              <w:rPr>
                <w:noProof/>
                <w:webHidden/>
              </w:rPr>
              <w:fldChar w:fldCharType="end"/>
            </w:r>
          </w:hyperlink>
        </w:p>
        <w:p w14:paraId="40880DCE" w14:textId="35A47168"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78" w:history="1">
            <w:r w:rsidRPr="00307352">
              <w:rPr>
                <w:rStyle w:val="Hyperlink"/>
                <w:noProof/>
              </w:rPr>
              <w:t>5.2.</w:t>
            </w:r>
            <w:r>
              <w:rPr>
                <w:rFonts w:eastAsiaTheme="minorEastAsia"/>
                <w:noProof/>
                <w:kern w:val="2"/>
                <w:sz w:val="24"/>
                <w:szCs w:val="24"/>
                <w:lang w:eastAsia="en-GB"/>
                <w14:ligatures w14:val="standardContextual"/>
              </w:rPr>
              <w:tab/>
            </w:r>
            <w:r w:rsidRPr="00307352">
              <w:rPr>
                <w:rStyle w:val="Hyperlink"/>
                <w:noProof/>
              </w:rPr>
              <w:t>Peterborough; Drugs</w:t>
            </w:r>
            <w:r>
              <w:rPr>
                <w:noProof/>
                <w:webHidden/>
              </w:rPr>
              <w:tab/>
            </w:r>
            <w:r>
              <w:rPr>
                <w:noProof/>
                <w:webHidden/>
              </w:rPr>
              <w:fldChar w:fldCharType="begin"/>
            </w:r>
            <w:r>
              <w:rPr>
                <w:noProof/>
                <w:webHidden/>
              </w:rPr>
              <w:instrText xml:space="preserve"> PAGEREF _Toc200479478 \h </w:instrText>
            </w:r>
            <w:r>
              <w:rPr>
                <w:noProof/>
                <w:webHidden/>
              </w:rPr>
            </w:r>
            <w:r>
              <w:rPr>
                <w:noProof/>
                <w:webHidden/>
              </w:rPr>
              <w:fldChar w:fldCharType="separate"/>
            </w:r>
            <w:r>
              <w:rPr>
                <w:noProof/>
                <w:webHidden/>
              </w:rPr>
              <w:t>30</w:t>
            </w:r>
            <w:r>
              <w:rPr>
                <w:noProof/>
                <w:webHidden/>
              </w:rPr>
              <w:fldChar w:fldCharType="end"/>
            </w:r>
          </w:hyperlink>
        </w:p>
        <w:p w14:paraId="3E867592" w14:textId="47D1A13C"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79" w:history="1">
            <w:r w:rsidRPr="00307352">
              <w:rPr>
                <w:rStyle w:val="Hyperlink"/>
                <w:noProof/>
              </w:rPr>
              <w:t>5.2.1.</w:t>
            </w:r>
            <w:r>
              <w:rPr>
                <w:rFonts w:eastAsiaTheme="minorEastAsia"/>
                <w:noProof/>
                <w:kern w:val="2"/>
                <w:sz w:val="24"/>
                <w:szCs w:val="24"/>
                <w:lang w:eastAsia="en-GB"/>
                <w14:ligatures w14:val="standardContextual"/>
              </w:rPr>
              <w:tab/>
            </w:r>
            <w:r w:rsidRPr="00307352">
              <w:rPr>
                <w:rStyle w:val="Hyperlink"/>
                <w:noProof/>
              </w:rPr>
              <w:t>Prevalence</w:t>
            </w:r>
            <w:r>
              <w:rPr>
                <w:noProof/>
                <w:webHidden/>
              </w:rPr>
              <w:tab/>
            </w:r>
            <w:r>
              <w:rPr>
                <w:noProof/>
                <w:webHidden/>
              </w:rPr>
              <w:fldChar w:fldCharType="begin"/>
            </w:r>
            <w:r>
              <w:rPr>
                <w:noProof/>
                <w:webHidden/>
              </w:rPr>
              <w:instrText xml:space="preserve"> PAGEREF _Toc200479479 \h </w:instrText>
            </w:r>
            <w:r>
              <w:rPr>
                <w:noProof/>
                <w:webHidden/>
              </w:rPr>
            </w:r>
            <w:r>
              <w:rPr>
                <w:noProof/>
                <w:webHidden/>
              </w:rPr>
              <w:fldChar w:fldCharType="separate"/>
            </w:r>
            <w:r>
              <w:rPr>
                <w:noProof/>
                <w:webHidden/>
              </w:rPr>
              <w:t>30</w:t>
            </w:r>
            <w:r>
              <w:rPr>
                <w:noProof/>
                <w:webHidden/>
              </w:rPr>
              <w:fldChar w:fldCharType="end"/>
            </w:r>
          </w:hyperlink>
        </w:p>
        <w:p w14:paraId="475944CB" w14:textId="72CFEA81"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0" w:history="1">
            <w:r w:rsidRPr="00307352">
              <w:rPr>
                <w:rStyle w:val="Hyperlink"/>
                <w:noProof/>
              </w:rPr>
              <w:t>5.2.2.</w:t>
            </w:r>
            <w:r>
              <w:rPr>
                <w:rFonts w:eastAsiaTheme="minorEastAsia"/>
                <w:noProof/>
                <w:kern w:val="2"/>
                <w:sz w:val="24"/>
                <w:szCs w:val="24"/>
                <w:lang w:eastAsia="en-GB"/>
                <w14:ligatures w14:val="standardContextual"/>
              </w:rPr>
              <w:tab/>
            </w:r>
            <w:r w:rsidRPr="00307352">
              <w:rPr>
                <w:rStyle w:val="Hyperlink"/>
                <w:noProof/>
              </w:rPr>
              <w:t>Service User Epidemiology</w:t>
            </w:r>
            <w:r>
              <w:rPr>
                <w:noProof/>
                <w:webHidden/>
              </w:rPr>
              <w:tab/>
            </w:r>
            <w:r>
              <w:rPr>
                <w:noProof/>
                <w:webHidden/>
              </w:rPr>
              <w:fldChar w:fldCharType="begin"/>
            </w:r>
            <w:r>
              <w:rPr>
                <w:noProof/>
                <w:webHidden/>
              </w:rPr>
              <w:instrText xml:space="preserve"> PAGEREF _Toc200479480 \h </w:instrText>
            </w:r>
            <w:r>
              <w:rPr>
                <w:noProof/>
                <w:webHidden/>
              </w:rPr>
            </w:r>
            <w:r>
              <w:rPr>
                <w:noProof/>
                <w:webHidden/>
              </w:rPr>
              <w:fldChar w:fldCharType="separate"/>
            </w:r>
            <w:r>
              <w:rPr>
                <w:noProof/>
                <w:webHidden/>
              </w:rPr>
              <w:t>35</w:t>
            </w:r>
            <w:r>
              <w:rPr>
                <w:noProof/>
                <w:webHidden/>
              </w:rPr>
              <w:fldChar w:fldCharType="end"/>
            </w:r>
          </w:hyperlink>
        </w:p>
        <w:p w14:paraId="46B10905" w14:textId="72C54834"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1" w:history="1">
            <w:r w:rsidRPr="00307352">
              <w:rPr>
                <w:rStyle w:val="Hyperlink"/>
                <w:noProof/>
              </w:rPr>
              <w:t>5.2.3.</w:t>
            </w:r>
            <w:r>
              <w:rPr>
                <w:rFonts w:eastAsiaTheme="minorEastAsia"/>
                <w:noProof/>
                <w:kern w:val="2"/>
                <w:sz w:val="24"/>
                <w:szCs w:val="24"/>
                <w:lang w:eastAsia="en-GB"/>
                <w14:ligatures w14:val="standardContextual"/>
              </w:rPr>
              <w:tab/>
            </w:r>
            <w:r w:rsidRPr="00307352">
              <w:rPr>
                <w:rStyle w:val="Hyperlink"/>
                <w:noProof/>
              </w:rPr>
              <w:t>Unmet Need</w:t>
            </w:r>
            <w:r>
              <w:rPr>
                <w:noProof/>
                <w:webHidden/>
              </w:rPr>
              <w:tab/>
            </w:r>
            <w:r>
              <w:rPr>
                <w:noProof/>
                <w:webHidden/>
              </w:rPr>
              <w:fldChar w:fldCharType="begin"/>
            </w:r>
            <w:r>
              <w:rPr>
                <w:noProof/>
                <w:webHidden/>
              </w:rPr>
              <w:instrText xml:space="preserve"> PAGEREF _Toc200479481 \h </w:instrText>
            </w:r>
            <w:r>
              <w:rPr>
                <w:noProof/>
                <w:webHidden/>
              </w:rPr>
            </w:r>
            <w:r>
              <w:rPr>
                <w:noProof/>
                <w:webHidden/>
              </w:rPr>
              <w:fldChar w:fldCharType="separate"/>
            </w:r>
            <w:r>
              <w:rPr>
                <w:noProof/>
                <w:webHidden/>
              </w:rPr>
              <w:t>40</w:t>
            </w:r>
            <w:r>
              <w:rPr>
                <w:noProof/>
                <w:webHidden/>
              </w:rPr>
              <w:fldChar w:fldCharType="end"/>
            </w:r>
          </w:hyperlink>
        </w:p>
        <w:p w14:paraId="10B3E687" w14:textId="384E0BF5"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2" w:history="1">
            <w:r w:rsidRPr="00307352">
              <w:rPr>
                <w:rStyle w:val="Hyperlink"/>
                <w:noProof/>
              </w:rPr>
              <w:t>5.2.4.</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_Toc200479482 \h </w:instrText>
            </w:r>
            <w:r>
              <w:rPr>
                <w:noProof/>
                <w:webHidden/>
              </w:rPr>
            </w:r>
            <w:r>
              <w:rPr>
                <w:noProof/>
                <w:webHidden/>
              </w:rPr>
              <w:fldChar w:fldCharType="separate"/>
            </w:r>
            <w:r>
              <w:rPr>
                <w:noProof/>
                <w:webHidden/>
              </w:rPr>
              <w:t>42</w:t>
            </w:r>
            <w:r>
              <w:rPr>
                <w:noProof/>
                <w:webHidden/>
              </w:rPr>
              <w:fldChar w:fldCharType="end"/>
            </w:r>
          </w:hyperlink>
        </w:p>
        <w:p w14:paraId="609F771F" w14:textId="2AF1BE78"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83" w:history="1">
            <w:r w:rsidRPr="00307352">
              <w:rPr>
                <w:rStyle w:val="Hyperlink"/>
                <w:noProof/>
              </w:rPr>
              <w:t>5.3.</w:t>
            </w:r>
            <w:r>
              <w:rPr>
                <w:rFonts w:eastAsiaTheme="minorEastAsia"/>
                <w:noProof/>
                <w:kern w:val="2"/>
                <w:sz w:val="24"/>
                <w:szCs w:val="24"/>
                <w:lang w:eastAsia="en-GB"/>
                <w14:ligatures w14:val="standardContextual"/>
              </w:rPr>
              <w:tab/>
            </w:r>
            <w:r w:rsidRPr="00307352">
              <w:rPr>
                <w:rStyle w:val="Hyperlink"/>
                <w:noProof/>
              </w:rPr>
              <w:t>Peterborough; Alcohol</w:t>
            </w:r>
            <w:r>
              <w:rPr>
                <w:noProof/>
                <w:webHidden/>
              </w:rPr>
              <w:tab/>
            </w:r>
            <w:r>
              <w:rPr>
                <w:noProof/>
                <w:webHidden/>
              </w:rPr>
              <w:fldChar w:fldCharType="begin"/>
            </w:r>
            <w:r>
              <w:rPr>
                <w:noProof/>
                <w:webHidden/>
              </w:rPr>
              <w:instrText xml:space="preserve"> PAGEREF _Toc200479483 \h </w:instrText>
            </w:r>
            <w:r>
              <w:rPr>
                <w:noProof/>
                <w:webHidden/>
              </w:rPr>
            </w:r>
            <w:r>
              <w:rPr>
                <w:noProof/>
                <w:webHidden/>
              </w:rPr>
              <w:fldChar w:fldCharType="separate"/>
            </w:r>
            <w:r>
              <w:rPr>
                <w:noProof/>
                <w:webHidden/>
              </w:rPr>
              <w:t>43</w:t>
            </w:r>
            <w:r>
              <w:rPr>
                <w:noProof/>
                <w:webHidden/>
              </w:rPr>
              <w:fldChar w:fldCharType="end"/>
            </w:r>
          </w:hyperlink>
        </w:p>
        <w:p w14:paraId="60A9D54C" w14:textId="7967D93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4" w:history="1">
            <w:r w:rsidRPr="00307352">
              <w:rPr>
                <w:rStyle w:val="Hyperlink"/>
                <w:noProof/>
              </w:rPr>
              <w:t>5.3.1.</w:t>
            </w:r>
            <w:r>
              <w:rPr>
                <w:rFonts w:eastAsiaTheme="minorEastAsia"/>
                <w:noProof/>
                <w:kern w:val="2"/>
                <w:sz w:val="24"/>
                <w:szCs w:val="24"/>
                <w:lang w:eastAsia="en-GB"/>
                <w14:ligatures w14:val="standardContextual"/>
              </w:rPr>
              <w:tab/>
            </w:r>
            <w:r w:rsidRPr="00307352">
              <w:rPr>
                <w:rStyle w:val="Hyperlink"/>
                <w:noProof/>
              </w:rPr>
              <w:t>Prevalence</w:t>
            </w:r>
            <w:r>
              <w:rPr>
                <w:noProof/>
                <w:webHidden/>
              </w:rPr>
              <w:tab/>
            </w:r>
            <w:r>
              <w:rPr>
                <w:noProof/>
                <w:webHidden/>
              </w:rPr>
              <w:fldChar w:fldCharType="begin"/>
            </w:r>
            <w:r>
              <w:rPr>
                <w:noProof/>
                <w:webHidden/>
              </w:rPr>
              <w:instrText xml:space="preserve"> PAGEREF _Toc200479484 \h </w:instrText>
            </w:r>
            <w:r>
              <w:rPr>
                <w:noProof/>
                <w:webHidden/>
              </w:rPr>
            </w:r>
            <w:r>
              <w:rPr>
                <w:noProof/>
                <w:webHidden/>
              </w:rPr>
              <w:fldChar w:fldCharType="separate"/>
            </w:r>
            <w:r>
              <w:rPr>
                <w:noProof/>
                <w:webHidden/>
              </w:rPr>
              <w:t>43</w:t>
            </w:r>
            <w:r>
              <w:rPr>
                <w:noProof/>
                <w:webHidden/>
              </w:rPr>
              <w:fldChar w:fldCharType="end"/>
            </w:r>
          </w:hyperlink>
        </w:p>
        <w:p w14:paraId="6E68BA2B" w14:textId="495E7653"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5" w:history="1">
            <w:r w:rsidRPr="00307352">
              <w:rPr>
                <w:rStyle w:val="Hyperlink"/>
                <w:noProof/>
              </w:rPr>
              <w:t>5.3.2.</w:t>
            </w:r>
            <w:r>
              <w:rPr>
                <w:rFonts w:eastAsiaTheme="minorEastAsia"/>
                <w:noProof/>
                <w:kern w:val="2"/>
                <w:sz w:val="24"/>
                <w:szCs w:val="24"/>
                <w:lang w:eastAsia="en-GB"/>
                <w14:ligatures w14:val="standardContextual"/>
              </w:rPr>
              <w:tab/>
            </w:r>
            <w:r w:rsidRPr="00307352">
              <w:rPr>
                <w:rStyle w:val="Hyperlink"/>
                <w:noProof/>
              </w:rPr>
              <w:t>Service User Epidemiology</w:t>
            </w:r>
            <w:r>
              <w:rPr>
                <w:noProof/>
                <w:webHidden/>
              </w:rPr>
              <w:tab/>
            </w:r>
            <w:r>
              <w:rPr>
                <w:noProof/>
                <w:webHidden/>
              </w:rPr>
              <w:fldChar w:fldCharType="begin"/>
            </w:r>
            <w:r>
              <w:rPr>
                <w:noProof/>
                <w:webHidden/>
              </w:rPr>
              <w:instrText xml:space="preserve"> PAGEREF _Toc200479485 \h </w:instrText>
            </w:r>
            <w:r>
              <w:rPr>
                <w:noProof/>
                <w:webHidden/>
              </w:rPr>
            </w:r>
            <w:r>
              <w:rPr>
                <w:noProof/>
                <w:webHidden/>
              </w:rPr>
              <w:fldChar w:fldCharType="separate"/>
            </w:r>
            <w:r>
              <w:rPr>
                <w:noProof/>
                <w:webHidden/>
              </w:rPr>
              <w:t>46</w:t>
            </w:r>
            <w:r>
              <w:rPr>
                <w:noProof/>
                <w:webHidden/>
              </w:rPr>
              <w:fldChar w:fldCharType="end"/>
            </w:r>
          </w:hyperlink>
        </w:p>
        <w:p w14:paraId="42BB0399" w14:textId="659D5657"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6" w:history="1">
            <w:r w:rsidRPr="00307352">
              <w:rPr>
                <w:rStyle w:val="Hyperlink"/>
                <w:noProof/>
              </w:rPr>
              <w:t>5.3.3.</w:t>
            </w:r>
            <w:r>
              <w:rPr>
                <w:rFonts w:eastAsiaTheme="minorEastAsia"/>
                <w:noProof/>
                <w:kern w:val="2"/>
                <w:sz w:val="24"/>
                <w:szCs w:val="24"/>
                <w:lang w:eastAsia="en-GB"/>
                <w14:ligatures w14:val="standardContextual"/>
              </w:rPr>
              <w:tab/>
            </w:r>
            <w:r w:rsidRPr="00307352">
              <w:rPr>
                <w:rStyle w:val="Hyperlink"/>
                <w:noProof/>
              </w:rPr>
              <w:t>Unmet Need</w:t>
            </w:r>
            <w:r>
              <w:rPr>
                <w:noProof/>
                <w:webHidden/>
              </w:rPr>
              <w:tab/>
            </w:r>
            <w:r>
              <w:rPr>
                <w:noProof/>
                <w:webHidden/>
              </w:rPr>
              <w:fldChar w:fldCharType="begin"/>
            </w:r>
            <w:r>
              <w:rPr>
                <w:noProof/>
                <w:webHidden/>
              </w:rPr>
              <w:instrText xml:space="preserve"> PAGEREF _Toc200479486 \h </w:instrText>
            </w:r>
            <w:r>
              <w:rPr>
                <w:noProof/>
                <w:webHidden/>
              </w:rPr>
            </w:r>
            <w:r>
              <w:rPr>
                <w:noProof/>
                <w:webHidden/>
              </w:rPr>
              <w:fldChar w:fldCharType="separate"/>
            </w:r>
            <w:r>
              <w:rPr>
                <w:noProof/>
                <w:webHidden/>
              </w:rPr>
              <w:t>47</w:t>
            </w:r>
            <w:r>
              <w:rPr>
                <w:noProof/>
                <w:webHidden/>
              </w:rPr>
              <w:fldChar w:fldCharType="end"/>
            </w:r>
          </w:hyperlink>
        </w:p>
        <w:p w14:paraId="1B85E7B7" w14:textId="6ABC6581"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7" w:history="1">
            <w:r w:rsidRPr="00307352">
              <w:rPr>
                <w:rStyle w:val="Hyperlink"/>
                <w:noProof/>
              </w:rPr>
              <w:t>5.3.4.</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_Toc200479487 \h </w:instrText>
            </w:r>
            <w:r>
              <w:rPr>
                <w:noProof/>
                <w:webHidden/>
              </w:rPr>
            </w:r>
            <w:r>
              <w:rPr>
                <w:noProof/>
                <w:webHidden/>
              </w:rPr>
              <w:fldChar w:fldCharType="separate"/>
            </w:r>
            <w:r>
              <w:rPr>
                <w:noProof/>
                <w:webHidden/>
              </w:rPr>
              <w:t>49</w:t>
            </w:r>
            <w:r>
              <w:rPr>
                <w:noProof/>
                <w:webHidden/>
              </w:rPr>
              <w:fldChar w:fldCharType="end"/>
            </w:r>
          </w:hyperlink>
        </w:p>
        <w:p w14:paraId="7B1716DE" w14:textId="4212BCB6"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88" w:history="1">
            <w:r w:rsidRPr="00307352">
              <w:rPr>
                <w:rStyle w:val="Hyperlink"/>
                <w:noProof/>
              </w:rPr>
              <w:t>5.4.</w:t>
            </w:r>
            <w:r>
              <w:rPr>
                <w:rFonts w:eastAsiaTheme="minorEastAsia"/>
                <w:noProof/>
                <w:kern w:val="2"/>
                <w:sz w:val="24"/>
                <w:szCs w:val="24"/>
                <w:lang w:eastAsia="en-GB"/>
                <w14:ligatures w14:val="standardContextual"/>
              </w:rPr>
              <w:tab/>
            </w:r>
            <w:r w:rsidRPr="00307352">
              <w:rPr>
                <w:rStyle w:val="Hyperlink"/>
                <w:noProof/>
              </w:rPr>
              <w:t>Peterborough; Service User Demographics</w:t>
            </w:r>
            <w:r>
              <w:rPr>
                <w:noProof/>
                <w:webHidden/>
              </w:rPr>
              <w:tab/>
            </w:r>
            <w:r>
              <w:rPr>
                <w:noProof/>
                <w:webHidden/>
              </w:rPr>
              <w:fldChar w:fldCharType="begin"/>
            </w:r>
            <w:r>
              <w:rPr>
                <w:noProof/>
                <w:webHidden/>
              </w:rPr>
              <w:instrText xml:space="preserve"> PAGEREF _Toc200479488 \h </w:instrText>
            </w:r>
            <w:r>
              <w:rPr>
                <w:noProof/>
                <w:webHidden/>
              </w:rPr>
            </w:r>
            <w:r>
              <w:rPr>
                <w:noProof/>
                <w:webHidden/>
              </w:rPr>
              <w:fldChar w:fldCharType="separate"/>
            </w:r>
            <w:r>
              <w:rPr>
                <w:noProof/>
                <w:webHidden/>
              </w:rPr>
              <w:t>51</w:t>
            </w:r>
            <w:r>
              <w:rPr>
                <w:noProof/>
                <w:webHidden/>
              </w:rPr>
              <w:fldChar w:fldCharType="end"/>
            </w:r>
          </w:hyperlink>
        </w:p>
        <w:p w14:paraId="3FD5361D" w14:textId="4E023394"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89" w:history="1">
            <w:r w:rsidRPr="00307352">
              <w:rPr>
                <w:rStyle w:val="Hyperlink"/>
                <w:noProof/>
              </w:rPr>
              <w:t>5.4.1.</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_Toc200479489 \h </w:instrText>
            </w:r>
            <w:r>
              <w:rPr>
                <w:noProof/>
                <w:webHidden/>
              </w:rPr>
            </w:r>
            <w:r>
              <w:rPr>
                <w:noProof/>
                <w:webHidden/>
              </w:rPr>
              <w:fldChar w:fldCharType="separate"/>
            </w:r>
            <w:r>
              <w:rPr>
                <w:noProof/>
                <w:webHidden/>
              </w:rPr>
              <w:t>57</w:t>
            </w:r>
            <w:r>
              <w:rPr>
                <w:noProof/>
                <w:webHidden/>
              </w:rPr>
              <w:fldChar w:fldCharType="end"/>
            </w:r>
          </w:hyperlink>
        </w:p>
        <w:p w14:paraId="7189CCED" w14:textId="57E8AA3F"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90" w:history="1">
            <w:r w:rsidRPr="00307352">
              <w:rPr>
                <w:rStyle w:val="Hyperlink"/>
                <w:noProof/>
              </w:rPr>
              <w:t>5.5.</w:t>
            </w:r>
            <w:r>
              <w:rPr>
                <w:rFonts w:eastAsiaTheme="minorEastAsia"/>
                <w:noProof/>
                <w:kern w:val="2"/>
                <w:sz w:val="24"/>
                <w:szCs w:val="24"/>
                <w:lang w:eastAsia="en-GB"/>
                <w14:ligatures w14:val="standardContextual"/>
              </w:rPr>
              <w:tab/>
            </w:r>
            <w:r w:rsidRPr="00307352">
              <w:rPr>
                <w:rStyle w:val="Hyperlink"/>
                <w:noProof/>
              </w:rPr>
              <w:t>Peterborough; Mortality</w:t>
            </w:r>
            <w:r>
              <w:rPr>
                <w:noProof/>
                <w:webHidden/>
              </w:rPr>
              <w:tab/>
            </w:r>
            <w:r>
              <w:rPr>
                <w:noProof/>
                <w:webHidden/>
              </w:rPr>
              <w:fldChar w:fldCharType="begin"/>
            </w:r>
            <w:r>
              <w:rPr>
                <w:noProof/>
                <w:webHidden/>
              </w:rPr>
              <w:instrText xml:space="preserve"> PAGEREF _Toc200479490 \h </w:instrText>
            </w:r>
            <w:r>
              <w:rPr>
                <w:noProof/>
                <w:webHidden/>
              </w:rPr>
            </w:r>
            <w:r>
              <w:rPr>
                <w:noProof/>
                <w:webHidden/>
              </w:rPr>
              <w:fldChar w:fldCharType="separate"/>
            </w:r>
            <w:r>
              <w:rPr>
                <w:noProof/>
                <w:webHidden/>
              </w:rPr>
              <w:t>58</w:t>
            </w:r>
            <w:r>
              <w:rPr>
                <w:noProof/>
                <w:webHidden/>
              </w:rPr>
              <w:fldChar w:fldCharType="end"/>
            </w:r>
          </w:hyperlink>
        </w:p>
        <w:p w14:paraId="4E878A7F" w14:textId="1624513C"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1" w:history="1">
            <w:r w:rsidRPr="00307352">
              <w:rPr>
                <w:rStyle w:val="Hyperlink"/>
                <w:noProof/>
              </w:rPr>
              <w:t>5.5.1.</w:t>
            </w:r>
            <w:r>
              <w:rPr>
                <w:rFonts w:eastAsiaTheme="minorEastAsia"/>
                <w:noProof/>
                <w:kern w:val="2"/>
                <w:sz w:val="24"/>
                <w:szCs w:val="24"/>
                <w:lang w:eastAsia="en-GB"/>
                <w14:ligatures w14:val="standardContextual"/>
              </w:rPr>
              <w:tab/>
            </w:r>
            <w:r w:rsidRPr="00307352">
              <w:rPr>
                <w:rStyle w:val="Hyperlink"/>
                <w:noProof/>
              </w:rPr>
              <w:t>Deaths from Drug Misuse</w:t>
            </w:r>
            <w:r>
              <w:rPr>
                <w:noProof/>
                <w:webHidden/>
              </w:rPr>
              <w:tab/>
            </w:r>
            <w:r>
              <w:rPr>
                <w:noProof/>
                <w:webHidden/>
              </w:rPr>
              <w:fldChar w:fldCharType="begin"/>
            </w:r>
            <w:r>
              <w:rPr>
                <w:noProof/>
                <w:webHidden/>
              </w:rPr>
              <w:instrText xml:space="preserve"> PAGEREF _Toc200479491 \h </w:instrText>
            </w:r>
            <w:r>
              <w:rPr>
                <w:noProof/>
                <w:webHidden/>
              </w:rPr>
            </w:r>
            <w:r>
              <w:rPr>
                <w:noProof/>
                <w:webHidden/>
              </w:rPr>
              <w:fldChar w:fldCharType="separate"/>
            </w:r>
            <w:r>
              <w:rPr>
                <w:noProof/>
                <w:webHidden/>
              </w:rPr>
              <w:t>58</w:t>
            </w:r>
            <w:r>
              <w:rPr>
                <w:noProof/>
                <w:webHidden/>
              </w:rPr>
              <w:fldChar w:fldCharType="end"/>
            </w:r>
          </w:hyperlink>
        </w:p>
        <w:p w14:paraId="40D90147" w14:textId="2E0B605C"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2" w:history="1">
            <w:r w:rsidRPr="00307352">
              <w:rPr>
                <w:rStyle w:val="Hyperlink"/>
                <w:noProof/>
              </w:rPr>
              <w:t>5.5.2.</w:t>
            </w:r>
            <w:r>
              <w:rPr>
                <w:rFonts w:eastAsiaTheme="minorEastAsia"/>
                <w:noProof/>
                <w:kern w:val="2"/>
                <w:sz w:val="24"/>
                <w:szCs w:val="24"/>
                <w:lang w:eastAsia="en-GB"/>
                <w14:ligatures w14:val="standardContextual"/>
              </w:rPr>
              <w:tab/>
            </w:r>
            <w:r w:rsidRPr="00307352">
              <w:rPr>
                <w:rStyle w:val="Hyperlink"/>
                <w:noProof/>
              </w:rPr>
              <w:t>Mortality from Alcohol</w:t>
            </w:r>
            <w:r>
              <w:rPr>
                <w:noProof/>
                <w:webHidden/>
              </w:rPr>
              <w:tab/>
            </w:r>
            <w:r>
              <w:rPr>
                <w:noProof/>
                <w:webHidden/>
              </w:rPr>
              <w:fldChar w:fldCharType="begin"/>
            </w:r>
            <w:r>
              <w:rPr>
                <w:noProof/>
                <w:webHidden/>
              </w:rPr>
              <w:instrText xml:space="preserve"> PAGEREF _Toc200479492 \h </w:instrText>
            </w:r>
            <w:r>
              <w:rPr>
                <w:noProof/>
                <w:webHidden/>
              </w:rPr>
            </w:r>
            <w:r>
              <w:rPr>
                <w:noProof/>
                <w:webHidden/>
              </w:rPr>
              <w:fldChar w:fldCharType="separate"/>
            </w:r>
            <w:r>
              <w:rPr>
                <w:noProof/>
                <w:webHidden/>
              </w:rPr>
              <w:t>60</w:t>
            </w:r>
            <w:r>
              <w:rPr>
                <w:noProof/>
                <w:webHidden/>
              </w:rPr>
              <w:fldChar w:fldCharType="end"/>
            </w:r>
          </w:hyperlink>
        </w:p>
        <w:p w14:paraId="6012E425" w14:textId="47A34903"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3" w:history="1">
            <w:r w:rsidRPr="00307352">
              <w:rPr>
                <w:rStyle w:val="Hyperlink"/>
                <w:noProof/>
              </w:rPr>
              <w:t>5.5.3.</w:t>
            </w:r>
            <w:r>
              <w:rPr>
                <w:rFonts w:eastAsiaTheme="minorEastAsia"/>
                <w:noProof/>
                <w:kern w:val="2"/>
                <w:sz w:val="24"/>
                <w:szCs w:val="24"/>
                <w:lang w:eastAsia="en-GB"/>
                <w14:ligatures w14:val="standardContextual"/>
              </w:rPr>
              <w:tab/>
            </w:r>
            <w:r w:rsidRPr="00307352">
              <w:rPr>
                <w:rStyle w:val="Hyperlink"/>
                <w:noProof/>
              </w:rPr>
              <w:t>Substance Misuse and Suicide</w:t>
            </w:r>
            <w:r>
              <w:rPr>
                <w:noProof/>
                <w:webHidden/>
              </w:rPr>
              <w:tab/>
            </w:r>
            <w:r>
              <w:rPr>
                <w:noProof/>
                <w:webHidden/>
              </w:rPr>
              <w:fldChar w:fldCharType="begin"/>
            </w:r>
            <w:r>
              <w:rPr>
                <w:noProof/>
                <w:webHidden/>
              </w:rPr>
              <w:instrText xml:space="preserve"> PAGEREF _Toc200479493 \h </w:instrText>
            </w:r>
            <w:r>
              <w:rPr>
                <w:noProof/>
                <w:webHidden/>
              </w:rPr>
            </w:r>
            <w:r>
              <w:rPr>
                <w:noProof/>
                <w:webHidden/>
              </w:rPr>
              <w:fldChar w:fldCharType="separate"/>
            </w:r>
            <w:r>
              <w:rPr>
                <w:noProof/>
                <w:webHidden/>
              </w:rPr>
              <w:t>63</w:t>
            </w:r>
            <w:r>
              <w:rPr>
                <w:noProof/>
                <w:webHidden/>
              </w:rPr>
              <w:fldChar w:fldCharType="end"/>
            </w:r>
          </w:hyperlink>
        </w:p>
        <w:p w14:paraId="4FC75A19" w14:textId="26F90558"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4" w:history="1">
            <w:r w:rsidRPr="00307352">
              <w:rPr>
                <w:rStyle w:val="Hyperlink"/>
                <w:noProof/>
              </w:rPr>
              <w:t>5.5.4.</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_Toc200479494 \h </w:instrText>
            </w:r>
            <w:r>
              <w:rPr>
                <w:noProof/>
                <w:webHidden/>
              </w:rPr>
            </w:r>
            <w:r>
              <w:rPr>
                <w:noProof/>
                <w:webHidden/>
              </w:rPr>
              <w:fldChar w:fldCharType="separate"/>
            </w:r>
            <w:r>
              <w:rPr>
                <w:noProof/>
                <w:webHidden/>
              </w:rPr>
              <w:t>63</w:t>
            </w:r>
            <w:r>
              <w:rPr>
                <w:noProof/>
                <w:webHidden/>
              </w:rPr>
              <w:fldChar w:fldCharType="end"/>
            </w:r>
          </w:hyperlink>
        </w:p>
        <w:p w14:paraId="2DD8582F" w14:textId="5A504864"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495" w:history="1">
            <w:r w:rsidRPr="00307352">
              <w:rPr>
                <w:rStyle w:val="Hyperlink"/>
                <w:noProof/>
              </w:rPr>
              <w:t>5.6.</w:t>
            </w:r>
            <w:r>
              <w:rPr>
                <w:rFonts w:eastAsiaTheme="minorEastAsia"/>
                <w:noProof/>
                <w:kern w:val="2"/>
                <w:sz w:val="24"/>
                <w:szCs w:val="24"/>
                <w:lang w:eastAsia="en-GB"/>
                <w14:ligatures w14:val="standardContextual"/>
              </w:rPr>
              <w:tab/>
            </w:r>
            <w:r w:rsidRPr="00307352">
              <w:rPr>
                <w:rStyle w:val="Hyperlink"/>
                <w:noProof/>
              </w:rPr>
              <w:t>Peterborough; Health Harms</w:t>
            </w:r>
            <w:r>
              <w:rPr>
                <w:noProof/>
                <w:webHidden/>
              </w:rPr>
              <w:tab/>
            </w:r>
            <w:r>
              <w:rPr>
                <w:noProof/>
                <w:webHidden/>
              </w:rPr>
              <w:fldChar w:fldCharType="begin"/>
            </w:r>
            <w:r>
              <w:rPr>
                <w:noProof/>
                <w:webHidden/>
              </w:rPr>
              <w:instrText xml:space="preserve"> PAGEREF _Toc200479495 \h </w:instrText>
            </w:r>
            <w:r>
              <w:rPr>
                <w:noProof/>
                <w:webHidden/>
              </w:rPr>
            </w:r>
            <w:r>
              <w:rPr>
                <w:noProof/>
                <w:webHidden/>
              </w:rPr>
              <w:fldChar w:fldCharType="separate"/>
            </w:r>
            <w:r>
              <w:rPr>
                <w:noProof/>
                <w:webHidden/>
              </w:rPr>
              <w:t>64</w:t>
            </w:r>
            <w:r>
              <w:rPr>
                <w:noProof/>
                <w:webHidden/>
              </w:rPr>
              <w:fldChar w:fldCharType="end"/>
            </w:r>
          </w:hyperlink>
        </w:p>
        <w:p w14:paraId="5FBBDA84" w14:textId="10C20C7D"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6" w:history="1">
            <w:r w:rsidRPr="00307352">
              <w:rPr>
                <w:rStyle w:val="Hyperlink"/>
                <w:noProof/>
              </w:rPr>
              <w:t>5.6.1.</w:t>
            </w:r>
            <w:r>
              <w:rPr>
                <w:rFonts w:eastAsiaTheme="minorEastAsia"/>
                <w:noProof/>
                <w:kern w:val="2"/>
                <w:sz w:val="24"/>
                <w:szCs w:val="24"/>
                <w:lang w:eastAsia="en-GB"/>
                <w14:ligatures w14:val="standardContextual"/>
              </w:rPr>
              <w:tab/>
            </w:r>
            <w:r w:rsidRPr="00307352">
              <w:rPr>
                <w:rStyle w:val="Hyperlink"/>
                <w:noProof/>
              </w:rPr>
              <w:t>Hospital Admissions for Drugs and Alcohol</w:t>
            </w:r>
            <w:r>
              <w:rPr>
                <w:noProof/>
                <w:webHidden/>
              </w:rPr>
              <w:tab/>
            </w:r>
            <w:r>
              <w:rPr>
                <w:noProof/>
                <w:webHidden/>
              </w:rPr>
              <w:fldChar w:fldCharType="begin"/>
            </w:r>
            <w:r>
              <w:rPr>
                <w:noProof/>
                <w:webHidden/>
              </w:rPr>
              <w:instrText xml:space="preserve"> PAGEREF _Toc200479496 \h </w:instrText>
            </w:r>
            <w:r>
              <w:rPr>
                <w:noProof/>
                <w:webHidden/>
              </w:rPr>
            </w:r>
            <w:r>
              <w:rPr>
                <w:noProof/>
                <w:webHidden/>
              </w:rPr>
              <w:fldChar w:fldCharType="separate"/>
            </w:r>
            <w:r>
              <w:rPr>
                <w:noProof/>
                <w:webHidden/>
              </w:rPr>
              <w:t>64</w:t>
            </w:r>
            <w:r>
              <w:rPr>
                <w:noProof/>
                <w:webHidden/>
              </w:rPr>
              <w:fldChar w:fldCharType="end"/>
            </w:r>
          </w:hyperlink>
        </w:p>
        <w:p w14:paraId="44BAD2D1" w14:textId="1EFEE95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7" w:history="1">
            <w:r w:rsidRPr="00307352">
              <w:rPr>
                <w:rStyle w:val="Hyperlink"/>
                <w:noProof/>
              </w:rPr>
              <w:t>5.6.2.</w:t>
            </w:r>
            <w:r>
              <w:rPr>
                <w:rFonts w:eastAsiaTheme="minorEastAsia"/>
                <w:noProof/>
                <w:kern w:val="2"/>
                <w:sz w:val="24"/>
                <w:szCs w:val="24"/>
                <w:lang w:eastAsia="en-GB"/>
                <w14:ligatures w14:val="standardContextual"/>
              </w:rPr>
              <w:tab/>
            </w:r>
            <w:r w:rsidRPr="00307352">
              <w:rPr>
                <w:rStyle w:val="Hyperlink"/>
                <w:noProof/>
              </w:rPr>
              <w:t>Liver Disease</w:t>
            </w:r>
            <w:r>
              <w:rPr>
                <w:noProof/>
                <w:webHidden/>
              </w:rPr>
              <w:tab/>
            </w:r>
            <w:r>
              <w:rPr>
                <w:noProof/>
                <w:webHidden/>
              </w:rPr>
              <w:fldChar w:fldCharType="begin"/>
            </w:r>
            <w:r>
              <w:rPr>
                <w:noProof/>
                <w:webHidden/>
              </w:rPr>
              <w:instrText xml:space="preserve"> PAGEREF _Toc200479497 \h </w:instrText>
            </w:r>
            <w:r>
              <w:rPr>
                <w:noProof/>
                <w:webHidden/>
              </w:rPr>
            </w:r>
            <w:r>
              <w:rPr>
                <w:noProof/>
                <w:webHidden/>
              </w:rPr>
              <w:fldChar w:fldCharType="separate"/>
            </w:r>
            <w:r>
              <w:rPr>
                <w:noProof/>
                <w:webHidden/>
              </w:rPr>
              <w:t>66</w:t>
            </w:r>
            <w:r>
              <w:rPr>
                <w:noProof/>
                <w:webHidden/>
              </w:rPr>
              <w:fldChar w:fldCharType="end"/>
            </w:r>
          </w:hyperlink>
        </w:p>
        <w:p w14:paraId="4E368619" w14:textId="6F6FC20C"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8" w:history="1">
            <w:r w:rsidRPr="00307352">
              <w:rPr>
                <w:rStyle w:val="Hyperlink"/>
                <w:noProof/>
              </w:rPr>
              <w:t>5.6.3.</w:t>
            </w:r>
            <w:r>
              <w:rPr>
                <w:rFonts w:eastAsiaTheme="minorEastAsia"/>
                <w:noProof/>
                <w:kern w:val="2"/>
                <w:sz w:val="24"/>
                <w:szCs w:val="24"/>
                <w:lang w:eastAsia="en-GB"/>
                <w14:ligatures w14:val="standardContextual"/>
              </w:rPr>
              <w:tab/>
            </w:r>
            <w:r w:rsidRPr="00307352">
              <w:rPr>
                <w:rStyle w:val="Hyperlink"/>
                <w:noProof/>
              </w:rPr>
              <w:t>Blood-borne Viruses</w:t>
            </w:r>
            <w:r>
              <w:rPr>
                <w:noProof/>
                <w:webHidden/>
              </w:rPr>
              <w:tab/>
            </w:r>
            <w:r>
              <w:rPr>
                <w:noProof/>
                <w:webHidden/>
              </w:rPr>
              <w:fldChar w:fldCharType="begin"/>
            </w:r>
            <w:r>
              <w:rPr>
                <w:noProof/>
                <w:webHidden/>
              </w:rPr>
              <w:instrText xml:space="preserve"> PAGEREF _Toc200479498 \h </w:instrText>
            </w:r>
            <w:r>
              <w:rPr>
                <w:noProof/>
                <w:webHidden/>
              </w:rPr>
            </w:r>
            <w:r>
              <w:rPr>
                <w:noProof/>
                <w:webHidden/>
              </w:rPr>
              <w:fldChar w:fldCharType="separate"/>
            </w:r>
            <w:r>
              <w:rPr>
                <w:noProof/>
                <w:webHidden/>
              </w:rPr>
              <w:t>67</w:t>
            </w:r>
            <w:r>
              <w:rPr>
                <w:noProof/>
                <w:webHidden/>
              </w:rPr>
              <w:fldChar w:fldCharType="end"/>
            </w:r>
          </w:hyperlink>
        </w:p>
        <w:p w14:paraId="1CC355AF" w14:textId="4A66E9B3"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499" w:history="1">
            <w:r w:rsidRPr="00307352">
              <w:rPr>
                <w:rStyle w:val="Hyperlink"/>
                <w:noProof/>
              </w:rPr>
              <w:t>5.6.4.</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_Toc200479499 \h </w:instrText>
            </w:r>
            <w:r>
              <w:rPr>
                <w:noProof/>
                <w:webHidden/>
              </w:rPr>
            </w:r>
            <w:r>
              <w:rPr>
                <w:noProof/>
                <w:webHidden/>
              </w:rPr>
              <w:fldChar w:fldCharType="separate"/>
            </w:r>
            <w:r>
              <w:rPr>
                <w:noProof/>
                <w:webHidden/>
              </w:rPr>
              <w:t>68</w:t>
            </w:r>
            <w:r>
              <w:rPr>
                <w:noProof/>
                <w:webHidden/>
              </w:rPr>
              <w:fldChar w:fldCharType="end"/>
            </w:r>
          </w:hyperlink>
        </w:p>
        <w:p w14:paraId="0CBAE3EF" w14:textId="367EDAB1"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00" w:history="1">
            <w:r w:rsidRPr="00307352">
              <w:rPr>
                <w:rStyle w:val="Hyperlink"/>
                <w:noProof/>
              </w:rPr>
              <w:t>5.7.</w:t>
            </w:r>
            <w:r>
              <w:rPr>
                <w:rFonts w:eastAsiaTheme="minorEastAsia"/>
                <w:noProof/>
                <w:kern w:val="2"/>
                <w:sz w:val="24"/>
                <w:szCs w:val="24"/>
                <w:lang w:eastAsia="en-GB"/>
                <w14:ligatures w14:val="standardContextual"/>
              </w:rPr>
              <w:tab/>
            </w:r>
            <w:r w:rsidRPr="00307352">
              <w:rPr>
                <w:rStyle w:val="Hyperlink"/>
                <w:noProof/>
              </w:rPr>
              <w:t>Peterborough; Intersecting Vulnerabilities</w:t>
            </w:r>
            <w:r>
              <w:rPr>
                <w:noProof/>
                <w:webHidden/>
              </w:rPr>
              <w:tab/>
            </w:r>
            <w:r>
              <w:rPr>
                <w:noProof/>
                <w:webHidden/>
              </w:rPr>
              <w:fldChar w:fldCharType="begin"/>
            </w:r>
            <w:r>
              <w:rPr>
                <w:noProof/>
                <w:webHidden/>
              </w:rPr>
              <w:instrText xml:space="preserve"> PAGEREF _Toc200479500 \h </w:instrText>
            </w:r>
            <w:r>
              <w:rPr>
                <w:noProof/>
                <w:webHidden/>
              </w:rPr>
            </w:r>
            <w:r>
              <w:rPr>
                <w:noProof/>
                <w:webHidden/>
              </w:rPr>
              <w:fldChar w:fldCharType="separate"/>
            </w:r>
            <w:r>
              <w:rPr>
                <w:noProof/>
                <w:webHidden/>
              </w:rPr>
              <w:t>69</w:t>
            </w:r>
            <w:r>
              <w:rPr>
                <w:noProof/>
                <w:webHidden/>
              </w:rPr>
              <w:fldChar w:fldCharType="end"/>
            </w:r>
          </w:hyperlink>
        </w:p>
        <w:p w14:paraId="78C6F4A1" w14:textId="62560C95"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1" w:history="1">
            <w:r w:rsidRPr="00307352">
              <w:rPr>
                <w:rStyle w:val="Hyperlink"/>
                <w:noProof/>
              </w:rPr>
              <w:t>5.7.1.</w:t>
            </w:r>
            <w:r>
              <w:rPr>
                <w:rFonts w:eastAsiaTheme="minorEastAsia"/>
                <w:noProof/>
                <w:kern w:val="2"/>
                <w:sz w:val="24"/>
                <w:szCs w:val="24"/>
                <w:lang w:eastAsia="en-GB"/>
                <w14:ligatures w14:val="standardContextual"/>
              </w:rPr>
              <w:tab/>
            </w:r>
            <w:r w:rsidRPr="00307352">
              <w:rPr>
                <w:rStyle w:val="Hyperlink"/>
                <w:noProof/>
              </w:rPr>
              <w:t>Mental Health/ Co-occurring Conditions</w:t>
            </w:r>
            <w:r>
              <w:rPr>
                <w:noProof/>
                <w:webHidden/>
              </w:rPr>
              <w:tab/>
            </w:r>
            <w:r>
              <w:rPr>
                <w:noProof/>
                <w:webHidden/>
              </w:rPr>
              <w:fldChar w:fldCharType="begin"/>
            </w:r>
            <w:r>
              <w:rPr>
                <w:noProof/>
                <w:webHidden/>
              </w:rPr>
              <w:instrText xml:space="preserve"> PAGEREF _Toc200479501 \h </w:instrText>
            </w:r>
            <w:r>
              <w:rPr>
                <w:noProof/>
                <w:webHidden/>
              </w:rPr>
            </w:r>
            <w:r>
              <w:rPr>
                <w:noProof/>
                <w:webHidden/>
              </w:rPr>
              <w:fldChar w:fldCharType="separate"/>
            </w:r>
            <w:r>
              <w:rPr>
                <w:noProof/>
                <w:webHidden/>
              </w:rPr>
              <w:t>69</w:t>
            </w:r>
            <w:r>
              <w:rPr>
                <w:noProof/>
                <w:webHidden/>
              </w:rPr>
              <w:fldChar w:fldCharType="end"/>
            </w:r>
          </w:hyperlink>
        </w:p>
        <w:p w14:paraId="03A3B629" w14:textId="112216D2"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2" w:history="1">
            <w:r w:rsidRPr="00307352">
              <w:rPr>
                <w:rStyle w:val="Hyperlink"/>
                <w:noProof/>
              </w:rPr>
              <w:t>5.7.2.</w:t>
            </w:r>
            <w:r>
              <w:rPr>
                <w:rFonts w:eastAsiaTheme="minorEastAsia"/>
                <w:noProof/>
                <w:kern w:val="2"/>
                <w:sz w:val="24"/>
                <w:szCs w:val="24"/>
                <w:lang w:eastAsia="en-GB"/>
                <w14:ligatures w14:val="standardContextual"/>
              </w:rPr>
              <w:tab/>
            </w:r>
            <w:r w:rsidRPr="00307352">
              <w:rPr>
                <w:rStyle w:val="Hyperlink"/>
                <w:noProof/>
              </w:rPr>
              <w:t>Women</w:t>
            </w:r>
            <w:r>
              <w:rPr>
                <w:noProof/>
                <w:webHidden/>
              </w:rPr>
              <w:tab/>
            </w:r>
            <w:r>
              <w:rPr>
                <w:noProof/>
                <w:webHidden/>
              </w:rPr>
              <w:fldChar w:fldCharType="begin"/>
            </w:r>
            <w:r>
              <w:rPr>
                <w:noProof/>
                <w:webHidden/>
              </w:rPr>
              <w:instrText xml:space="preserve"> PAGEREF _Toc200479502 \h </w:instrText>
            </w:r>
            <w:r>
              <w:rPr>
                <w:noProof/>
                <w:webHidden/>
              </w:rPr>
            </w:r>
            <w:r>
              <w:rPr>
                <w:noProof/>
                <w:webHidden/>
              </w:rPr>
              <w:fldChar w:fldCharType="separate"/>
            </w:r>
            <w:r>
              <w:rPr>
                <w:noProof/>
                <w:webHidden/>
              </w:rPr>
              <w:t>72</w:t>
            </w:r>
            <w:r>
              <w:rPr>
                <w:noProof/>
                <w:webHidden/>
              </w:rPr>
              <w:fldChar w:fldCharType="end"/>
            </w:r>
          </w:hyperlink>
        </w:p>
        <w:p w14:paraId="3A8FE523" w14:textId="6BBBBDCF"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3" w:history="1">
            <w:r w:rsidRPr="00307352">
              <w:rPr>
                <w:rStyle w:val="Hyperlink"/>
                <w:noProof/>
              </w:rPr>
              <w:t>5.7.3.</w:t>
            </w:r>
            <w:r>
              <w:rPr>
                <w:rFonts w:eastAsiaTheme="minorEastAsia"/>
                <w:noProof/>
                <w:kern w:val="2"/>
                <w:sz w:val="24"/>
                <w:szCs w:val="24"/>
                <w:lang w:eastAsia="en-GB"/>
                <w14:ligatures w14:val="standardContextual"/>
              </w:rPr>
              <w:tab/>
            </w:r>
            <w:r w:rsidRPr="00307352">
              <w:rPr>
                <w:rStyle w:val="Hyperlink"/>
                <w:noProof/>
              </w:rPr>
              <w:t>Prison and Prison Leaver Population</w:t>
            </w:r>
            <w:r>
              <w:rPr>
                <w:noProof/>
                <w:webHidden/>
              </w:rPr>
              <w:tab/>
            </w:r>
            <w:r>
              <w:rPr>
                <w:noProof/>
                <w:webHidden/>
              </w:rPr>
              <w:fldChar w:fldCharType="begin"/>
            </w:r>
            <w:r>
              <w:rPr>
                <w:noProof/>
                <w:webHidden/>
              </w:rPr>
              <w:instrText xml:space="preserve"> PAGEREF _Toc200479503 \h </w:instrText>
            </w:r>
            <w:r>
              <w:rPr>
                <w:noProof/>
                <w:webHidden/>
              </w:rPr>
            </w:r>
            <w:r>
              <w:rPr>
                <w:noProof/>
                <w:webHidden/>
              </w:rPr>
              <w:fldChar w:fldCharType="separate"/>
            </w:r>
            <w:r>
              <w:rPr>
                <w:noProof/>
                <w:webHidden/>
              </w:rPr>
              <w:t>73</w:t>
            </w:r>
            <w:r>
              <w:rPr>
                <w:noProof/>
                <w:webHidden/>
              </w:rPr>
              <w:fldChar w:fldCharType="end"/>
            </w:r>
          </w:hyperlink>
        </w:p>
        <w:p w14:paraId="3D5649EE" w14:textId="4E0BC3C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4" w:history="1">
            <w:r w:rsidRPr="00307352">
              <w:rPr>
                <w:rStyle w:val="Hyperlink"/>
                <w:noProof/>
              </w:rPr>
              <w:t>5.7.4.</w:t>
            </w:r>
            <w:r>
              <w:rPr>
                <w:rFonts w:eastAsiaTheme="minorEastAsia"/>
                <w:noProof/>
                <w:kern w:val="2"/>
                <w:sz w:val="24"/>
                <w:szCs w:val="24"/>
                <w:lang w:eastAsia="en-GB"/>
                <w14:ligatures w14:val="standardContextual"/>
              </w:rPr>
              <w:tab/>
            </w:r>
            <w:r w:rsidRPr="00307352">
              <w:rPr>
                <w:rStyle w:val="Hyperlink"/>
                <w:noProof/>
              </w:rPr>
              <w:t>Housing and Homelessness</w:t>
            </w:r>
            <w:r>
              <w:rPr>
                <w:noProof/>
                <w:webHidden/>
              </w:rPr>
              <w:tab/>
            </w:r>
            <w:r>
              <w:rPr>
                <w:noProof/>
                <w:webHidden/>
              </w:rPr>
              <w:fldChar w:fldCharType="begin"/>
            </w:r>
            <w:r>
              <w:rPr>
                <w:noProof/>
                <w:webHidden/>
              </w:rPr>
              <w:instrText xml:space="preserve"> PAGEREF _Toc200479504 \h </w:instrText>
            </w:r>
            <w:r>
              <w:rPr>
                <w:noProof/>
                <w:webHidden/>
              </w:rPr>
            </w:r>
            <w:r>
              <w:rPr>
                <w:noProof/>
                <w:webHidden/>
              </w:rPr>
              <w:fldChar w:fldCharType="separate"/>
            </w:r>
            <w:r>
              <w:rPr>
                <w:noProof/>
                <w:webHidden/>
              </w:rPr>
              <w:t>75</w:t>
            </w:r>
            <w:r>
              <w:rPr>
                <w:noProof/>
                <w:webHidden/>
              </w:rPr>
              <w:fldChar w:fldCharType="end"/>
            </w:r>
          </w:hyperlink>
        </w:p>
        <w:p w14:paraId="325EFD9D" w14:textId="4ACC098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5" w:history="1">
            <w:r w:rsidRPr="00307352">
              <w:rPr>
                <w:rStyle w:val="Hyperlink"/>
                <w:noProof/>
              </w:rPr>
              <w:t>5.7.5.</w:t>
            </w:r>
            <w:r>
              <w:rPr>
                <w:rFonts w:eastAsiaTheme="minorEastAsia"/>
                <w:noProof/>
                <w:kern w:val="2"/>
                <w:sz w:val="24"/>
                <w:szCs w:val="24"/>
                <w:lang w:eastAsia="en-GB"/>
                <w14:ligatures w14:val="standardContextual"/>
              </w:rPr>
              <w:tab/>
            </w:r>
            <w:r w:rsidRPr="00307352">
              <w:rPr>
                <w:rStyle w:val="Hyperlink"/>
                <w:noProof/>
              </w:rPr>
              <w:t>Parents in Treatment for Substance Misuse</w:t>
            </w:r>
            <w:r>
              <w:rPr>
                <w:noProof/>
                <w:webHidden/>
              </w:rPr>
              <w:tab/>
            </w:r>
            <w:r>
              <w:rPr>
                <w:noProof/>
                <w:webHidden/>
              </w:rPr>
              <w:fldChar w:fldCharType="begin"/>
            </w:r>
            <w:r>
              <w:rPr>
                <w:noProof/>
                <w:webHidden/>
              </w:rPr>
              <w:instrText xml:space="preserve"> PAGEREF _Toc200479505 \h </w:instrText>
            </w:r>
            <w:r>
              <w:rPr>
                <w:noProof/>
                <w:webHidden/>
              </w:rPr>
            </w:r>
            <w:r>
              <w:rPr>
                <w:noProof/>
                <w:webHidden/>
              </w:rPr>
              <w:fldChar w:fldCharType="separate"/>
            </w:r>
            <w:r>
              <w:rPr>
                <w:noProof/>
                <w:webHidden/>
              </w:rPr>
              <w:t>76</w:t>
            </w:r>
            <w:r>
              <w:rPr>
                <w:noProof/>
                <w:webHidden/>
              </w:rPr>
              <w:fldChar w:fldCharType="end"/>
            </w:r>
          </w:hyperlink>
        </w:p>
        <w:p w14:paraId="013434D3" w14:textId="64A9D4DC"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6" w:history="1">
            <w:r w:rsidRPr="00307352">
              <w:rPr>
                <w:rStyle w:val="Hyperlink"/>
                <w:noProof/>
              </w:rPr>
              <w:t>5.7.6.</w:t>
            </w:r>
            <w:r>
              <w:rPr>
                <w:rFonts w:eastAsiaTheme="minorEastAsia"/>
                <w:noProof/>
                <w:kern w:val="2"/>
                <w:sz w:val="24"/>
                <w:szCs w:val="24"/>
                <w:lang w:eastAsia="en-GB"/>
                <w14:ligatures w14:val="standardContextual"/>
              </w:rPr>
              <w:tab/>
            </w:r>
            <w:r w:rsidRPr="00307352">
              <w:rPr>
                <w:rStyle w:val="Hyperlink"/>
                <w:noProof/>
              </w:rPr>
              <w:t>Children of Parents with Substance Misuse</w:t>
            </w:r>
            <w:r>
              <w:rPr>
                <w:noProof/>
                <w:webHidden/>
              </w:rPr>
              <w:tab/>
            </w:r>
            <w:r>
              <w:rPr>
                <w:noProof/>
                <w:webHidden/>
              </w:rPr>
              <w:fldChar w:fldCharType="begin"/>
            </w:r>
            <w:r>
              <w:rPr>
                <w:noProof/>
                <w:webHidden/>
              </w:rPr>
              <w:instrText xml:space="preserve"> PAGEREF _Toc200479506 \h </w:instrText>
            </w:r>
            <w:r>
              <w:rPr>
                <w:noProof/>
                <w:webHidden/>
              </w:rPr>
            </w:r>
            <w:r>
              <w:rPr>
                <w:noProof/>
                <w:webHidden/>
              </w:rPr>
              <w:fldChar w:fldCharType="separate"/>
            </w:r>
            <w:r>
              <w:rPr>
                <w:noProof/>
                <w:webHidden/>
              </w:rPr>
              <w:t>77</w:t>
            </w:r>
            <w:r>
              <w:rPr>
                <w:noProof/>
                <w:webHidden/>
              </w:rPr>
              <w:fldChar w:fldCharType="end"/>
            </w:r>
          </w:hyperlink>
        </w:p>
        <w:p w14:paraId="4ADB2C63" w14:textId="02EC966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7" w:history="1">
            <w:r w:rsidRPr="00307352">
              <w:rPr>
                <w:rStyle w:val="Hyperlink"/>
                <w:noProof/>
              </w:rPr>
              <w:t>5.7.7.</w:t>
            </w:r>
            <w:r>
              <w:rPr>
                <w:rFonts w:eastAsiaTheme="minorEastAsia"/>
                <w:noProof/>
                <w:kern w:val="2"/>
                <w:sz w:val="24"/>
                <w:szCs w:val="24"/>
                <w:lang w:eastAsia="en-GB"/>
                <w14:ligatures w14:val="standardContextual"/>
              </w:rPr>
              <w:tab/>
            </w:r>
            <w:r w:rsidRPr="00307352">
              <w:rPr>
                <w:rStyle w:val="Hyperlink"/>
                <w:noProof/>
              </w:rPr>
              <w:t>Employment and Individual Placement and Support (IPS) Services</w:t>
            </w:r>
            <w:r>
              <w:rPr>
                <w:noProof/>
                <w:webHidden/>
              </w:rPr>
              <w:tab/>
            </w:r>
            <w:r>
              <w:rPr>
                <w:noProof/>
                <w:webHidden/>
              </w:rPr>
              <w:fldChar w:fldCharType="begin"/>
            </w:r>
            <w:r>
              <w:rPr>
                <w:noProof/>
                <w:webHidden/>
              </w:rPr>
              <w:instrText xml:space="preserve"> PAGEREF _Toc200479507 \h </w:instrText>
            </w:r>
            <w:r>
              <w:rPr>
                <w:noProof/>
                <w:webHidden/>
              </w:rPr>
            </w:r>
            <w:r>
              <w:rPr>
                <w:noProof/>
                <w:webHidden/>
              </w:rPr>
              <w:fldChar w:fldCharType="separate"/>
            </w:r>
            <w:r>
              <w:rPr>
                <w:noProof/>
                <w:webHidden/>
              </w:rPr>
              <w:t>77</w:t>
            </w:r>
            <w:r>
              <w:rPr>
                <w:noProof/>
                <w:webHidden/>
              </w:rPr>
              <w:fldChar w:fldCharType="end"/>
            </w:r>
          </w:hyperlink>
        </w:p>
        <w:p w14:paraId="5542B279" w14:textId="33BD816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08" w:history="1">
            <w:r w:rsidRPr="00307352">
              <w:rPr>
                <w:rStyle w:val="Hyperlink"/>
                <w:noProof/>
              </w:rPr>
              <w:t>5.7.8.</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_Toc200479508 \h </w:instrText>
            </w:r>
            <w:r>
              <w:rPr>
                <w:noProof/>
                <w:webHidden/>
              </w:rPr>
            </w:r>
            <w:r>
              <w:rPr>
                <w:noProof/>
                <w:webHidden/>
              </w:rPr>
              <w:fldChar w:fldCharType="separate"/>
            </w:r>
            <w:r>
              <w:rPr>
                <w:noProof/>
                <w:webHidden/>
              </w:rPr>
              <w:t>79</w:t>
            </w:r>
            <w:r>
              <w:rPr>
                <w:noProof/>
                <w:webHidden/>
              </w:rPr>
              <w:fldChar w:fldCharType="end"/>
            </w:r>
          </w:hyperlink>
        </w:p>
        <w:p w14:paraId="7AC5AF75" w14:textId="313B9AE3"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09" w:history="1">
            <w:r w:rsidRPr="00307352">
              <w:rPr>
                <w:rStyle w:val="Hyperlink"/>
                <w:noProof/>
              </w:rPr>
              <w:t>5.8.</w:t>
            </w:r>
            <w:r>
              <w:rPr>
                <w:rFonts w:eastAsiaTheme="minorEastAsia"/>
                <w:noProof/>
                <w:kern w:val="2"/>
                <w:sz w:val="24"/>
                <w:szCs w:val="24"/>
                <w:lang w:eastAsia="en-GB"/>
                <w14:ligatures w14:val="standardContextual"/>
              </w:rPr>
              <w:tab/>
            </w:r>
            <w:r w:rsidRPr="00307352">
              <w:rPr>
                <w:rStyle w:val="Hyperlink"/>
                <w:noProof/>
              </w:rPr>
              <w:t>Peterborough; Services</w:t>
            </w:r>
            <w:r>
              <w:rPr>
                <w:noProof/>
                <w:webHidden/>
              </w:rPr>
              <w:tab/>
            </w:r>
            <w:r>
              <w:rPr>
                <w:noProof/>
                <w:webHidden/>
              </w:rPr>
              <w:fldChar w:fldCharType="begin"/>
            </w:r>
            <w:r>
              <w:rPr>
                <w:noProof/>
                <w:webHidden/>
              </w:rPr>
              <w:instrText xml:space="preserve"> PAGEREF _Toc200479509 \h </w:instrText>
            </w:r>
            <w:r>
              <w:rPr>
                <w:noProof/>
                <w:webHidden/>
              </w:rPr>
            </w:r>
            <w:r>
              <w:rPr>
                <w:noProof/>
                <w:webHidden/>
              </w:rPr>
              <w:fldChar w:fldCharType="separate"/>
            </w:r>
            <w:r>
              <w:rPr>
                <w:noProof/>
                <w:webHidden/>
              </w:rPr>
              <w:t>80</w:t>
            </w:r>
            <w:r>
              <w:rPr>
                <w:noProof/>
                <w:webHidden/>
              </w:rPr>
              <w:fldChar w:fldCharType="end"/>
            </w:r>
          </w:hyperlink>
        </w:p>
        <w:p w14:paraId="0CE9241A" w14:textId="63AA5EB4"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0" w:history="1">
            <w:r w:rsidRPr="00307352">
              <w:rPr>
                <w:rStyle w:val="Hyperlink"/>
                <w:noProof/>
              </w:rPr>
              <w:t>5.8.1.</w:t>
            </w:r>
            <w:r>
              <w:rPr>
                <w:rFonts w:eastAsiaTheme="minorEastAsia"/>
                <w:noProof/>
                <w:kern w:val="2"/>
                <w:sz w:val="24"/>
                <w:szCs w:val="24"/>
                <w:lang w:eastAsia="en-GB"/>
                <w14:ligatures w14:val="standardContextual"/>
              </w:rPr>
              <w:tab/>
            </w:r>
            <w:r w:rsidRPr="00307352">
              <w:rPr>
                <w:rStyle w:val="Hyperlink"/>
                <w:noProof/>
              </w:rPr>
              <w:t>Current Service Model</w:t>
            </w:r>
            <w:r>
              <w:rPr>
                <w:noProof/>
                <w:webHidden/>
              </w:rPr>
              <w:tab/>
            </w:r>
            <w:r>
              <w:rPr>
                <w:noProof/>
                <w:webHidden/>
              </w:rPr>
              <w:fldChar w:fldCharType="begin"/>
            </w:r>
            <w:r>
              <w:rPr>
                <w:noProof/>
                <w:webHidden/>
              </w:rPr>
              <w:instrText xml:space="preserve"> PAGEREF _Toc200479510 \h </w:instrText>
            </w:r>
            <w:r>
              <w:rPr>
                <w:noProof/>
                <w:webHidden/>
              </w:rPr>
            </w:r>
            <w:r>
              <w:rPr>
                <w:noProof/>
                <w:webHidden/>
              </w:rPr>
              <w:fldChar w:fldCharType="separate"/>
            </w:r>
            <w:r>
              <w:rPr>
                <w:noProof/>
                <w:webHidden/>
              </w:rPr>
              <w:t>80</w:t>
            </w:r>
            <w:r>
              <w:rPr>
                <w:noProof/>
                <w:webHidden/>
              </w:rPr>
              <w:fldChar w:fldCharType="end"/>
            </w:r>
          </w:hyperlink>
        </w:p>
        <w:p w14:paraId="671AB204" w14:textId="72551102"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1" w:history="1">
            <w:r w:rsidRPr="00307352">
              <w:rPr>
                <w:rStyle w:val="Hyperlink"/>
                <w:noProof/>
              </w:rPr>
              <w:t>5.8.2.</w:t>
            </w:r>
            <w:r>
              <w:rPr>
                <w:rFonts w:eastAsiaTheme="minorEastAsia"/>
                <w:noProof/>
                <w:kern w:val="2"/>
                <w:sz w:val="24"/>
                <w:szCs w:val="24"/>
                <w:lang w:eastAsia="en-GB"/>
                <w14:ligatures w14:val="standardContextual"/>
              </w:rPr>
              <w:tab/>
            </w:r>
            <w:r w:rsidRPr="00307352">
              <w:rPr>
                <w:rStyle w:val="Hyperlink"/>
                <w:noProof/>
              </w:rPr>
              <w:t>Harm Reduction</w:t>
            </w:r>
            <w:r>
              <w:rPr>
                <w:noProof/>
                <w:webHidden/>
              </w:rPr>
              <w:tab/>
            </w:r>
            <w:r>
              <w:rPr>
                <w:noProof/>
                <w:webHidden/>
              </w:rPr>
              <w:fldChar w:fldCharType="begin"/>
            </w:r>
            <w:r>
              <w:rPr>
                <w:noProof/>
                <w:webHidden/>
              </w:rPr>
              <w:instrText xml:space="preserve"> PAGEREF _Toc200479511 \h </w:instrText>
            </w:r>
            <w:r>
              <w:rPr>
                <w:noProof/>
                <w:webHidden/>
              </w:rPr>
            </w:r>
            <w:r>
              <w:rPr>
                <w:noProof/>
                <w:webHidden/>
              </w:rPr>
              <w:fldChar w:fldCharType="separate"/>
            </w:r>
            <w:r>
              <w:rPr>
                <w:noProof/>
                <w:webHidden/>
              </w:rPr>
              <w:t>81</w:t>
            </w:r>
            <w:r>
              <w:rPr>
                <w:noProof/>
                <w:webHidden/>
              </w:rPr>
              <w:fldChar w:fldCharType="end"/>
            </w:r>
          </w:hyperlink>
        </w:p>
        <w:p w14:paraId="062C229E" w14:textId="73743EC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2" w:history="1">
            <w:r w:rsidRPr="00307352">
              <w:rPr>
                <w:rStyle w:val="Hyperlink"/>
                <w:noProof/>
              </w:rPr>
              <w:t>5.8.3.</w:t>
            </w:r>
            <w:r>
              <w:rPr>
                <w:rFonts w:eastAsiaTheme="minorEastAsia"/>
                <w:noProof/>
                <w:kern w:val="2"/>
                <w:sz w:val="24"/>
                <w:szCs w:val="24"/>
                <w:lang w:eastAsia="en-GB"/>
                <w14:ligatures w14:val="standardContextual"/>
              </w:rPr>
              <w:tab/>
            </w:r>
            <w:r w:rsidRPr="00307352">
              <w:rPr>
                <w:rStyle w:val="Hyperlink"/>
                <w:noProof/>
              </w:rPr>
              <w:t>Insights from Service Mapping</w:t>
            </w:r>
            <w:r>
              <w:rPr>
                <w:noProof/>
                <w:webHidden/>
              </w:rPr>
              <w:tab/>
            </w:r>
            <w:r>
              <w:rPr>
                <w:noProof/>
                <w:webHidden/>
              </w:rPr>
              <w:fldChar w:fldCharType="begin"/>
            </w:r>
            <w:r>
              <w:rPr>
                <w:noProof/>
                <w:webHidden/>
              </w:rPr>
              <w:instrText xml:space="preserve"> PAGEREF _Toc200479512 \h </w:instrText>
            </w:r>
            <w:r>
              <w:rPr>
                <w:noProof/>
                <w:webHidden/>
              </w:rPr>
            </w:r>
            <w:r>
              <w:rPr>
                <w:noProof/>
                <w:webHidden/>
              </w:rPr>
              <w:fldChar w:fldCharType="separate"/>
            </w:r>
            <w:r>
              <w:rPr>
                <w:noProof/>
                <w:webHidden/>
              </w:rPr>
              <w:t>85</w:t>
            </w:r>
            <w:r>
              <w:rPr>
                <w:noProof/>
                <w:webHidden/>
              </w:rPr>
              <w:fldChar w:fldCharType="end"/>
            </w:r>
          </w:hyperlink>
        </w:p>
        <w:p w14:paraId="6638AEBC" w14:textId="74181E5B"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3" w:history="1">
            <w:r w:rsidRPr="00307352">
              <w:rPr>
                <w:rStyle w:val="Hyperlink"/>
                <w:noProof/>
              </w:rPr>
              <w:t>5.8.4.</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_Toc200479513 \h </w:instrText>
            </w:r>
            <w:r>
              <w:rPr>
                <w:noProof/>
                <w:webHidden/>
              </w:rPr>
            </w:r>
            <w:r>
              <w:rPr>
                <w:noProof/>
                <w:webHidden/>
              </w:rPr>
              <w:fldChar w:fldCharType="separate"/>
            </w:r>
            <w:r>
              <w:rPr>
                <w:noProof/>
                <w:webHidden/>
              </w:rPr>
              <w:t>85</w:t>
            </w:r>
            <w:r>
              <w:rPr>
                <w:noProof/>
                <w:webHidden/>
              </w:rPr>
              <w:fldChar w:fldCharType="end"/>
            </w:r>
          </w:hyperlink>
        </w:p>
        <w:p w14:paraId="27944A00" w14:textId="565E9B76"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14" w:history="1">
            <w:r w:rsidRPr="00307352">
              <w:rPr>
                <w:rStyle w:val="Hyperlink"/>
                <w:noProof/>
              </w:rPr>
              <w:t>5.9.</w:t>
            </w:r>
            <w:r>
              <w:rPr>
                <w:rFonts w:eastAsiaTheme="minorEastAsia"/>
                <w:noProof/>
                <w:kern w:val="2"/>
                <w:sz w:val="24"/>
                <w:szCs w:val="24"/>
                <w:lang w:eastAsia="en-GB"/>
                <w14:ligatures w14:val="standardContextual"/>
              </w:rPr>
              <w:tab/>
            </w:r>
            <w:r w:rsidRPr="00307352">
              <w:rPr>
                <w:rStyle w:val="Hyperlink"/>
                <w:noProof/>
              </w:rPr>
              <w:t>Peterborough; Challenges and Opportunities</w:t>
            </w:r>
            <w:r>
              <w:rPr>
                <w:noProof/>
                <w:webHidden/>
              </w:rPr>
              <w:tab/>
            </w:r>
            <w:r>
              <w:rPr>
                <w:noProof/>
                <w:webHidden/>
              </w:rPr>
              <w:fldChar w:fldCharType="begin"/>
            </w:r>
            <w:r>
              <w:rPr>
                <w:noProof/>
                <w:webHidden/>
              </w:rPr>
              <w:instrText xml:space="preserve"> PAGEREF _Toc200479514 \h </w:instrText>
            </w:r>
            <w:r>
              <w:rPr>
                <w:noProof/>
                <w:webHidden/>
              </w:rPr>
            </w:r>
            <w:r>
              <w:rPr>
                <w:noProof/>
                <w:webHidden/>
              </w:rPr>
              <w:fldChar w:fldCharType="separate"/>
            </w:r>
            <w:r>
              <w:rPr>
                <w:noProof/>
                <w:webHidden/>
              </w:rPr>
              <w:t>87</w:t>
            </w:r>
            <w:r>
              <w:rPr>
                <w:noProof/>
                <w:webHidden/>
              </w:rPr>
              <w:fldChar w:fldCharType="end"/>
            </w:r>
          </w:hyperlink>
        </w:p>
        <w:p w14:paraId="7EE7A475" w14:textId="4E2E8897"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5" w:history="1">
            <w:r w:rsidRPr="00307352">
              <w:rPr>
                <w:rStyle w:val="Hyperlink"/>
                <w:noProof/>
              </w:rPr>
              <w:t>5.9.1.</w:t>
            </w:r>
            <w:r>
              <w:rPr>
                <w:rFonts w:eastAsiaTheme="minorEastAsia"/>
                <w:noProof/>
                <w:kern w:val="2"/>
                <w:sz w:val="24"/>
                <w:szCs w:val="24"/>
                <w:lang w:eastAsia="en-GB"/>
                <w14:ligatures w14:val="standardContextual"/>
              </w:rPr>
              <w:tab/>
            </w:r>
            <w:r w:rsidRPr="00307352">
              <w:rPr>
                <w:rStyle w:val="Hyperlink"/>
                <w:noProof/>
              </w:rPr>
              <w:t>Adult Social Care</w:t>
            </w:r>
            <w:r>
              <w:rPr>
                <w:noProof/>
                <w:webHidden/>
              </w:rPr>
              <w:tab/>
            </w:r>
            <w:r>
              <w:rPr>
                <w:noProof/>
                <w:webHidden/>
              </w:rPr>
              <w:fldChar w:fldCharType="begin"/>
            </w:r>
            <w:r>
              <w:rPr>
                <w:noProof/>
                <w:webHidden/>
              </w:rPr>
              <w:instrText xml:space="preserve"> PAGEREF _Toc200479515 \h </w:instrText>
            </w:r>
            <w:r>
              <w:rPr>
                <w:noProof/>
                <w:webHidden/>
              </w:rPr>
            </w:r>
            <w:r>
              <w:rPr>
                <w:noProof/>
                <w:webHidden/>
              </w:rPr>
              <w:fldChar w:fldCharType="separate"/>
            </w:r>
            <w:r>
              <w:rPr>
                <w:noProof/>
                <w:webHidden/>
              </w:rPr>
              <w:t>87</w:t>
            </w:r>
            <w:r>
              <w:rPr>
                <w:noProof/>
                <w:webHidden/>
              </w:rPr>
              <w:fldChar w:fldCharType="end"/>
            </w:r>
          </w:hyperlink>
        </w:p>
        <w:p w14:paraId="179D2121" w14:textId="38453B90"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6" w:history="1">
            <w:r w:rsidRPr="00307352">
              <w:rPr>
                <w:rStyle w:val="Hyperlink"/>
                <w:noProof/>
              </w:rPr>
              <w:t>5.9.2.</w:t>
            </w:r>
            <w:r>
              <w:rPr>
                <w:rFonts w:eastAsiaTheme="minorEastAsia"/>
                <w:noProof/>
                <w:kern w:val="2"/>
                <w:sz w:val="24"/>
                <w:szCs w:val="24"/>
                <w:lang w:eastAsia="en-GB"/>
                <w14:ligatures w14:val="standardContextual"/>
              </w:rPr>
              <w:tab/>
            </w:r>
            <w:r w:rsidRPr="00307352">
              <w:rPr>
                <w:rStyle w:val="Hyperlink"/>
                <w:noProof/>
              </w:rPr>
              <w:t>Accessibility of Services</w:t>
            </w:r>
            <w:r>
              <w:rPr>
                <w:noProof/>
                <w:webHidden/>
              </w:rPr>
              <w:tab/>
            </w:r>
            <w:r>
              <w:rPr>
                <w:noProof/>
                <w:webHidden/>
              </w:rPr>
              <w:fldChar w:fldCharType="begin"/>
            </w:r>
            <w:r>
              <w:rPr>
                <w:noProof/>
                <w:webHidden/>
              </w:rPr>
              <w:instrText xml:space="preserve"> PAGEREF _Toc200479516 \h </w:instrText>
            </w:r>
            <w:r>
              <w:rPr>
                <w:noProof/>
                <w:webHidden/>
              </w:rPr>
            </w:r>
            <w:r>
              <w:rPr>
                <w:noProof/>
                <w:webHidden/>
              </w:rPr>
              <w:fldChar w:fldCharType="separate"/>
            </w:r>
            <w:r>
              <w:rPr>
                <w:noProof/>
                <w:webHidden/>
              </w:rPr>
              <w:t>87</w:t>
            </w:r>
            <w:r>
              <w:rPr>
                <w:noProof/>
                <w:webHidden/>
              </w:rPr>
              <w:fldChar w:fldCharType="end"/>
            </w:r>
          </w:hyperlink>
        </w:p>
        <w:p w14:paraId="020CB5F3" w14:textId="679FB10D"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7" w:history="1">
            <w:r w:rsidRPr="00307352">
              <w:rPr>
                <w:rStyle w:val="Hyperlink"/>
                <w:noProof/>
              </w:rPr>
              <w:t>5.9.1.</w:t>
            </w:r>
            <w:r>
              <w:rPr>
                <w:rFonts w:eastAsiaTheme="minorEastAsia"/>
                <w:noProof/>
                <w:kern w:val="2"/>
                <w:sz w:val="24"/>
                <w:szCs w:val="24"/>
                <w:lang w:eastAsia="en-GB"/>
                <w14:ligatures w14:val="standardContextual"/>
              </w:rPr>
              <w:tab/>
            </w:r>
            <w:r w:rsidRPr="00307352">
              <w:rPr>
                <w:rStyle w:val="Hyperlink"/>
                <w:noProof/>
              </w:rPr>
              <w:t>Opportunities to Engage High-risk Populations</w:t>
            </w:r>
            <w:r>
              <w:rPr>
                <w:noProof/>
                <w:webHidden/>
              </w:rPr>
              <w:tab/>
            </w:r>
            <w:r>
              <w:rPr>
                <w:noProof/>
                <w:webHidden/>
              </w:rPr>
              <w:fldChar w:fldCharType="begin"/>
            </w:r>
            <w:r>
              <w:rPr>
                <w:noProof/>
                <w:webHidden/>
              </w:rPr>
              <w:instrText xml:space="preserve"> PAGEREF _Toc200479517 \h </w:instrText>
            </w:r>
            <w:r>
              <w:rPr>
                <w:noProof/>
                <w:webHidden/>
              </w:rPr>
            </w:r>
            <w:r>
              <w:rPr>
                <w:noProof/>
                <w:webHidden/>
              </w:rPr>
              <w:fldChar w:fldCharType="separate"/>
            </w:r>
            <w:r>
              <w:rPr>
                <w:noProof/>
                <w:webHidden/>
              </w:rPr>
              <w:t>88</w:t>
            </w:r>
            <w:r>
              <w:rPr>
                <w:noProof/>
                <w:webHidden/>
              </w:rPr>
              <w:fldChar w:fldCharType="end"/>
            </w:r>
          </w:hyperlink>
        </w:p>
        <w:p w14:paraId="3CACDF47" w14:textId="5ECCEDC9"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18" w:history="1">
            <w:r w:rsidRPr="00307352">
              <w:rPr>
                <w:rStyle w:val="Hyperlink"/>
                <w:noProof/>
              </w:rPr>
              <w:t>5.9.2.</w:t>
            </w:r>
            <w:r>
              <w:rPr>
                <w:rFonts w:eastAsiaTheme="minorEastAsia"/>
                <w:noProof/>
                <w:kern w:val="2"/>
                <w:sz w:val="24"/>
                <w:szCs w:val="24"/>
                <w:lang w:eastAsia="en-GB"/>
                <w14:ligatures w14:val="standardContextual"/>
              </w:rPr>
              <w:tab/>
            </w:r>
            <w:r w:rsidRPr="00307352">
              <w:rPr>
                <w:rStyle w:val="Hyperlink"/>
                <w:noProof/>
              </w:rPr>
              <w:t>Recommendations</w:t>
            </w:r>
            <w:r>
              <w:rPr>
                <w:noProof/>
                <w:webHidden/>
              </w:rPr>
              <w:tab/>
            </w:r>
            <w:r>
              <w:rPr>
                <w:noProof/>
                <w:webHidden/>
              </w:rPr>
              <w:fldChar w:fldCharType="begin"/>
            </w:r>
            <w:r>
              <w:rPr>
                <w:noProof/>
                <w:webHidden/>
              </w:rPr>
              <w:instrText xml:space="preserve"> PAGEREF _Toc200479518 \h </w:instrText>
            </w:r>
            <w:r>
              <w:rPr>
                <w:noProof/>
                <w:webHidden/>
              </w:rPr>
            </w:r>
            <w:r>
              <w:rPr>
                <w:noProof/>
                <w:webHidden/>
              </w:rPr>
              <w:fldChar w:fldCharType="separate"/>
            </w:r>
            <w:r>
              <w:rPr>
                <w:noProof/>
                <w:webHidden/>
              </w:rPr>
              <w:t>88</w:t>
            </w:r>
            <w:r>
              <w:rPr>
                <w:noProof/>
                <w:webHidden/>
              </w:rPr>
              <w:fldChar w:fldCharType="end"/>
            </w:r>
          </w:hyperlink>
        </w:p>
        <w:p w14:paraId="4EFE82E2" w14:textId="129B2D44"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519" w:history="1">
            <w:r w:rsidRPr="00307352">
              <w:rPr>
                <w:rStyle w:val="Hyperlink"/>
                <w:noProof/>
              </w:rPr>
              <w:t>6.</w:t>
            </w:r>
            <w:r>
              <w:rPr>
                <w:rFonts w:eastAsiaTheme="minorEastAsia"/>
                <w:noProof/>
                <w:kern w:val="2"/>
                <w:sz w:val="24"/>
                <w:szCs w:val="24"/>
                <w:lang w:eastAsia="en-GB"/>
                <w14:ligatures w14:val="standardContextual"/>
              </w:rPr>
              <w:tab/>
            </w:r>
            <w:r w:rsidRPr="00307352">
              <w:rPr>
                <w:rStyle w:val="Hyperlink"/>
                <w:noProof/>
              </w:rPr>
              <w:t>Qualitative Analysis</w:t>
            </w:r>
            <w:r>
              <w:rPr>
                <w:noProof/>
                <w:webHidden/>
              </w:rPr>
              <w:tab/>
            </w:r>
            <w:r>
              <w:rPr>
                <w:noProof/>
                <w:webHidden/>
              </w:rPr>
              <w:fldChar w:fldCharType="begin"/>
            </w:r>
            <w:r>
              <w:rPr>
                <w:noProof/>
                <w:webHidden/>
              </w:rPr>
              <w:instrText xml:space="preserve"> PAGEREF _Toc200479519 \h </w:instrText>
            </w:r>
            <w:r>
              <w:rPr>
                <w:noProof/>
                <w:webHidden/>
              </w:rPr>
            </w:r>
            <w:r>
              <w:rPr>
                <w:noProof/>
                <w:webHidden/>
              </w:rPr>
              <w:fldChar w:fldCharType="separate"/>
            </w:r>
            <w:r>
              <w:rPr>
                <w:noProof/>
                <w:webHidden/>
              </w:rPr>
              <w:t>90</w:t>
            </w:r>
            <w:r>
              <w:rPr>
                <w:noProof/>
                <w:webHidden/>
              </w:rPr>
              <w:fldChar w:fldCharType="end"/>
            </w:r>
          </w:hyperlink>
        </w:p>
        <w:p w14:paraId="14EFEBA6" w14:textId="3E837F1D"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20" w:history="1">
            <w:r w:rsidRPr="00307352">
              <w:rPr>
                <w:rStyle w:val="Hyperlink"/>
                <w:noProof/>
              </w:rPr>
              <w:t>6.1.</w:t>
            </w:r>
            <w:r>
              <w:rPr>
                <w:rFonts w:eastAsiaTheme="minorEastAsia"/>
                <w:noProof/>
                <w:kern w:val="2"/>
                <w:sz w:val="24"/>
                <w:szCs w:val="24"/>
                <w:lang w:eastAsia="en-GB"/>
                <w14:ligatures w14:val="standardContextual"/>
              </w:rPr>
              <w:tab/>
            </w:r>
            <w:r w:rsidRPr="00307352">
              <w:rPr>
                <w:rStyle w:val="Hyperlink"/>
                <w:noProof/>
              </w:rPr>
              <w:t>Qualitative; Methodology</w:t>
            </w:r>
            <w:r>
              <w:rPr>
                <w:noProof/>
                <w:webHidden/>
              </w:rPr>
              <w:tab/>
            </w:r>
            <w:r>
              <w:rPr>
                <w:noProof/>
                <w:webHidden/>
              </w:rPr>
              <w:fldChar w:fldCharType="begin"/>
            </w:r>
            <w:r>
              <w:rPr>
                <w:noProof/>
                <w:webHidden/>
              </w:rPr>
              <w:instrText xml:space="preserve"> PAGEREF _Toc200479520 \h </w:instrText>
            </w:r>
            <w:r>
              <w:rPr>
                <w:noProof/>
                <w:webHidden/>
              </w:rPr>
            </w:r>
            <w:r>
              <w:rPr>
                <w:noProof/>
                <w:webHidden/>
              </w:rPr>
              <w:fldChar w:fldCharType="separate"/>
            </w:r>
            <w:r>
              <w:rPr>
                <w:noProof/>
                <w:webHidden/>
              </w:rPr>
              <w:t>90</w:t>
            </w:r>
            <w:r>
              <w:rPr>
                <w:noProof/>
                <w:webHidden/>
              </w:rPr>
              <w:fldChar w:fldCharType="end"/>
            </w:r>
          </w:hyperlink>
        </w:p>
        <w:p w14:paraId="53300716" w14:textId="0487BFC0"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21" w:history="1">
            <w:r w:rsidRPr="00307352">
              <w:rPr>
                <w:rStyle w:val="Hyperlink"/>
                <w:noProof/>
              </w:rPr>
              <w:t>6.2.</w:t>
            </w:r>
            <w:r>
              <w:rPr>
                <w:rFonts w:eastAsiaTheme="minorEastAsia"/>
                <w:noProof/>
                <w:kern w:val="2"/>
                <w:sz w:val="24"/>
                <w:szCs w:val="24"/>
                <w:lang w:eastAsia="en-GB"/>
                <w14:ligatures w14:val="standardContextual"/>
              </w:rPr>
              <w:tab/>
            </w:r>
            <w:r w:rsidRPr="00307352">
              <w:rPr>
                <w:rStyle w:val="Hyperlink"/>
                <w:noProof/>
              </w:rPr>
              <w:t>Qualitative; Participants</w:t>
            </w:r>
            <w:r>
              <w:rPr>
                <w:noProof/>
                <w:webHidden/>
              </w:rPr>
              <w:tab/>
            </w:r>
            <w:r>
              <w:rPr>
                <w:noProof/>
                <w:webHidden/>
              </w:rPr>
              <w:fldChar w:fldCharType="begin"/>
            </w:r>
            <w:r>
              <w:rPr>
                <w:noProof/>
                <w:webHidden/>
              </w:rPr>
              <w:instrText xml:space="preserve"> PAGEREF _Toc200479521 \h </w:instrText>
            </w:r>
            <w:r>
              <w:rPr>
                <w:noProof/>
                <w:webHidden/>
              </w:rPr>
            </w:r>
            <w:r>
              <w:rPr>
                <w:noProof/>
                <w:webHidden/>
              </w:rPr>
              <w:fldChar w:fldCharType="separate"/>
            </w:r>
            <w:r>
              <w:rPr>
                <w:noProof/>
                <w:webHidden/>
              </w:rPr>
              <w:t>91</w:t>
            </w:r>
            <w:r>
              <w:rPr>
                <w:noProof/>
                <w:webHidden/>
              </w:rPr>
              <w:fldChar w:fldCharType="end"/>
            </w:r>
          </w:hyperlink>
        </w:p>
        <w:p w14:paraId="748CB147" w14:textId="713467DC"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22" w:history="1">
            <w:r w:rsidRPr="00307352">
              <w:rPr>
                <w:rStyle w:val="Hyperlink"/>
                <w:noProof/>
              </w:rPr>
              <w:t>6.3.</w:t>
            </w:r>
            <w:r>
              <w:rPr>
                <w:rFonts w:eastAsiaTheme="minorEastAsia"/>
                <w:noProof/>
                <w:kern w:val="2"/>
                <w:sz w:val="24"/>
                <w:szCs w:val="24"/>
                <w:lang w:eastAsia="en-GB"/>
                <w14:ligatures w14:val="standardContextual"/>
              </w:rPr>
              <w:tab/>
            </w:r>
            <w:r w:rsidRPr="00307352">
              <w:rPr>
                <w:rStyle w:val="Hyperlink"/>
                <w:noProof/>
              </w:rPr>
              <w:t>Qualitative; Key Findings</w:t>
            </w:r>
            <w:r>
              <w:rPr>
                <w:noProof/>
                <w:webHidden/>
              </w:rPr>
              <w:tab/>
            </w:r>
            <w:r>
              <w:rPr>
                <w:noProof/>
                <w:webHidden/>
              </w:rPr>
              <w:fldChar w:fldCharType="begin"/>
            </w:r>
            <w:r>
              <w:rPr>
                <w:noProof/>
                <w:webHidden/>
              </w:rPr>
              <w:instrText xml:space="preserve"> PAGEREF _Toc200479522 \h </w:instrText>
            </w:r>
            <w:r>
              <w:rPr>
                <w:noProof/>
                <w:webHidden/>
              </w:rPr>
            </w:r>
            <w:r>
              <w:rPr>
                <w:noProof/>
                <w:webHidden/>
              </w:rPr>
              <w:fldChar w:fldCharType="separate"/>
            </w:r>
            <w:r>
              <w:rPr>
                <w:noProof/>
                <w:webHidden/>
              </w:rPr>
              <w:t>91</w:t>
            </w:r>
            <w:r>
              <w:rPr>
                <w:noProof/>
                <w:webHidden/>
              </w:rPr>
              <w:fldChar w:fldCharType="end"/>
            </w:r>
          </w:hyperlink>
        </w:p>
        <w:p w14:paraId="5479EC46" w14:textId="45862915"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3" w:history="1">
            <w:r w:rsidRPr="00307352">
              <w:rPr>
                <w:rStyle w:val="Hyperlink"/>
                <w:noProof/>
              </w:rPr>
              <w:t>6.3.1.</w:t>
            </w:r>
            <w:r>
              <w:rPr>
                <w:rFonts w:eastAsiaTheme="minorEastAsia"/>
                <w:noProof/>
                <w:kern w:val="2"/>
                <w:sz w:val="24"/>
                <w:szCs w:val="24"/>
                <w:lang w:eastAsia="en-GB"/>
                <w14:ligatures w14:val="standardContextual"/>
              </w:rPr>
              <w:tab/>
            </w:r>
            <w:r w:rsidRPr="00307352">
              <w:rPr>
                <w:rStyle w:val="Hyperlink"/>
                <w:noProof/>
              </w:rPr>
              <w:t>Individual</w:t>
            </w:r>
            <w:r>
              <w:rPr>
                <w:noProof/>
                <w:webHidden/>
              </w:rPr>
              <w:tab/>
            </w:r>
            <w:r>
              <w:rPr>
                <w:noProof/>
                <w:webHidden/>
              </w:rPr>
              <w:fldChar w:fldCharType="begin"/>
            </w:r>
            <w:r>
              <w:rPr>
                <w:noProof/>
                <w:webHidden/>
              </w:rPr>
              <w:instrText xml:space="preserve"> PAGEREF _Toc200479523 \h </w:instrText>
            </w:r>
            <w:r>
              <w:rPr>
                <w:noProof/>
                <w:webHidden/>
              </w:rPr>
            </w:r>
            <w:r>
              <w:rPr>
                <w:noProof/>
                <w:webHidden/>
              </w:rPr>
              <w:fldChar w:fldCharType="separate"/>
            </w:r>
            <w:r>
              <w:rPr>
                <w:noProof/>
                <w:webHidden/>
              </w:rPr>
              <w:t>92</w:t>
            </w:r>
            <w:r>
              <w:rPr>
                <w:noProof/>
                <w:webHidden/>
              </w:rPr>
              <w:fldChar w:fldCharType="end"/>
            </w:r>
          </w:hyperlink>
        </w:p>
        <w:p w14:paraId="646A2074" w14:textId="01B29F93"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4" w:history="1">
            <w:r w:rsidRPr="00307352">
              <w:rPr>
                <w:rStyle w:val="Hyperlink"/>
                <w:noProof/>
              </w:rPr>
              <w:t>6.3.2.</w:t>
            </w:r>
            <w:r>
              <w:rPr>
                <w:rFonts w:eastAsiaTheme="minorEastAsia"/>
                <w:noProof/>
                <w:kern w:val="2"/>
                <w:sz w:val="24"/>
                <w:szCs w:val="24"/>
                <w:lang w:eastAsia="en-GB"/>
                <w14:ligatures w14:val="standardContextual"/>
              </w:rPr>
              <w:tab/>
            </w:r>
            <w:r w:rsidRPr="00307352">
              <w:rPr>
                <w:rStyle w:val="Hyperlink"/>
                <w:noProof/>
              </w:rPr>
              <w:t>Space</w:t>
            </w:r>
            <w:r>
              <w:rPr>
                <w:noProof/>
                <w:webHidden/>
              </w:rPr>
              <w:tab/>
            </w:r>
            <w:r>
              <w:rPr>
                <w:noProof/>
                <w:webHidden/>
              </w:rPr>
              <w:fldChar w:fldCharType="begin"/>
            </w:r>
            <w:r>
              <w:rPr>
                <w:noProof/>
                <w:webHidden/>
              </w:rPr>
              <w:instrText xml:space="preserve"> PAGEREF _Toc200479524 \h </w:instrText>
            </w:r>
            <w:r>
              <w:rPr>
                <w:noProof/>
                <w:webHidden/>
              </w:rPr>
            </w:r>
            <w:r>
              <w:rPr>
                <w:noProof/>
                <w:webHidden/>
              </w:rPr>
              <w:fldChar w:fldCharType="separate"/>
            </w:r>
            <w:r>
              <w:rPr>
                <w:noProof/>
                <w:webHidden/>
              </w:rPr>
              <w:t>93</w:t>
            </w:r>
            <w:r>
              <w:rPr>
                <w:noProof/>
                <w:webHidden/>
              </w:rPr>
              <w:fldChar w:fldCharType="end"/>
            </w:r>
          </w:hyperlink>
        </w:p>
        <w:p w14:paraId="566BF8FA" w14:textId="133F83EA"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5" w:history="1">
            <w:r w:rsidRPr="00307352">
              <w:rPr>
                <w:rStyle w:val="Hyperlink"/>
                <w:noProof/>
              </w:rPr>
              <w:t>6.3.3.</w:t>
            </w:r>
            <w:r>
              <w:rPr>
                <w:rFonts w:eastAsiaTheme="minorEastAsia"/>
                <w:noProof/>
                <w:kern w:val="2"/>
                <w:sz w:val="24"/>
                <w:szCs w:val="24"/>
                <w:lang w:eastAsia="en-GB"/>
                <w14:ligatures w14:val="standardContextual"/>
              </w:rPr>
              <w:tab/>
            </w:r>
            <w:r w:rsidRPr="00307352">
              <w:rPr>
                <w:rStyle w:val="Hyperlink"/>
                <w:noProof/>
              </w:rPr>
              <w:t>Service in the Community</w:t>
            </w:r>
            <w:r>
              <w:rPr>
                <w:noProof/>
                <w:webHidden/>
              </w:rPr>
              <w:tab/>
            </w:r>
            <w:r>
              <w:rPr>
                <w:noProof/>
                <w:webHidden/>
              </w:rPr>
              <w:fldChar w:fldCharType="begin"/>
            </w:r>
            <w:r>
              <w:rPr>
                <w:noProof/>
                <w:webHidden/>
              </w:rPr>
              <w:instrText xml:space="preserve"> PAGEREF _Toc200479525 \h </w:instrText>
            </w:r>
            <w:r>
              <w:rPr>
                <w:noProof/>
                <w:webHidden/>
              </w:rPr>
            </w:r>
            <w:r>
              <w:rPr>
                <w:noProof/>
                <w:webHidden/>
              </w:rPr>
              <w:fldChar w:fldCharType="separate"/>
            </w:r>
            <w:r>
              <w:rPr>
                <w:noProof/>
                <w:webHidden/>
              </w:rPr>
              <w:t>94</w:t>
            </w:r>
            <w:r>
              <w:rPr>
                <w:noProof/>
                <w:webHidden/>
              </w:rPr>
              <w:fldChar w:fldCharType="end"/>
            </w:r>
          </w:hyperlink>
        </w:p>
        <w:p w14:paraId="073B6BCF" w14:textId="486A2E4F"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6" w:history="1">
            <w:r w:rsidRPr="00307352">
              <w:rPr>
                <w:rStyle w:val="Hyperlink"/>
                <w:noProof/>
              </w:rPr>
              <w:t>6.3.4.</w:t>
            </w:r>
            <w:r>
              <w:rPr>
                <w:rFonts w:eastAsiaTheme="minorEastAsia"/>
                <w:noProof/>
                <w:kern w:val="2"/>
                <w:sz w:val="24"/>
                <w:szCs w:val="24"/>
                <w:lang w:eastAsia="en-GB"/>
                <w14:ligatures w14:val="standardContextual"/>
              </w:rPr>
              <w:tab/>
            </w:r>
            <w:r w:rsidRPr="00307352">
              <w:rPr>
                <w:rStyle w:val="Hyperlink"/>
                <w:noProof/>
              </w:rPr>
              <w:t>Partnerships</w:t>
            </w:r>
            <w:r>
              <w:rPr>
                <w:noProof/>
                <w:webHidden/>
              </w:rPr>
              <w:tab/>
            </w:r>
            <w:r>
              <w:rPr>
                <w:noProof/>
                <w:webHidden/>
              </w:rPr>
              <w:fldChar w:fldCharType="begin"/>
            </w:r>
            <w:r>
              <w:rPr>
                <w:noProof/>
                <w:webHidden/>
              </w:rPr>
              <w:instrText xml:space="preserve"> PAGEREF _Toc200479526 \h </w:instrText>
            </w:r>
            <w:r>
              <w:rPr>
                <w:noProof/>
                <w:webHidden/>
              </w:rPr>
            </w:r>
            <w:r>
              <w:rPr>
                <w:noProof/>
                <w:webHidden/>
              </w:rPr>
              <w:fldChar w:fldCharType="separate"/>
            </w:r>
            <w:r>
              <w:rPr>
                <w:noProof/>
                <w:webHidden/>
              </w:rPr>
              <w:t>95</w:t>
            </w:r>
            <w:r>
              <w:rPr>
                <w:noProof/>
                <w:webHidden/>
              </w:rPr>
              <w:fldChar w:fldCharType="end"/>
            </w:r>
          </w:hyperlink>
        </w:p>
        <w:p w14:paraId="0DA3A7A3" w14:textId="5E00C17E"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7" w:history="1">
            <w:r w:rsidRPr="00307352">
              <w:rPr>
                <w:rStyle w:val="Hyperlink"/>
                <w:noProof/>
              </w:rPr>
              <w:t>6.3.5.</w:t>
            </w:r>
            <w:r>
              <w:rPr>
                <w:rFonts w:eastAsiaTheme="minorEastAsia"/>
                <w:noProof/>
                <w:kern w:val="2"/>
                <w:sz w:val="24"/>
                <w:szCs w:val="24"/>
                <w:lang w:eastAsia="en-GB"/>
                <w14:ligatures w14:val="standardContextual"/>
              </w:rPr>
              <w:tab/>
            </w:r>
            <w:r w:rsidRPr="00307352">
              <w:rPr>
                <w:rStyle w:val="Hyperlink"/>
                <w:noProof/>
              </w:rPr>
              <w:t>Service Offer</w:t>
            </w:r>
            <w:r>
              <w:rPr>
                <w:noProof/>
                <w:webHidden/>
              </w:rPr>
              <w:tab/>
            </w:r>
            <w:r>
              <w:rPr>
                <w:noProof/>
                <w:webHidden/>
              </w:rPr>
              <w:fldChar w:fldCharType="begin"/>
            </w:r>
            <w:r>
              <w:rPr>
                <w:noProof/>
                <w:webHidden/>
              </w:rPr>
              <w:instrText xml:space="preserve"> PAGEREF _Toc200479527 \h </w:instrText>
            </w:r>
            <w:r>
              <w:rPr>
                <w:noProof/>
                <w:webHidden/>
              </w:rPr>
            </w:r>
            <w:r>
              <w:rPr>
                <w:noProof/>
                <w:webHidden/>
              </w:rPr>
              <w:fldChar w:fldCharType="separate"/>
            </w:r>
            <w:r>
              <w:rPr>
                <w:noProof/>
                <w:webHidden/>
              </w:rPr>
              <w:t>96</w:t>
            </w:r>
            <w:r>
              <w:rPr>
                <w:noProof/>
                <w:webHidden/>
              </w:rPr>
              <w:fldChar w:fldCharType="end"/>
            </w:r>
          </w:hyperlink>
        </w:p>
        <w:p w14:paraId="5A62DDF9" w14:textId="05F47D71"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28" w:history="1">
            <w:r w:rsidRPr="00307352">
              <w:rPr>
                <w:rStyle w:val="Hyperlink"/>
                <w:noProof/>
              </w:rPr>
              <w:t>6.3.6.</w:t>
            </w:r>
            <w:r>
              <w:rPr>
                <w:rFonts w:eastAsiaTheme="minorEastAsia"/>
                <w:noProof/>
                <w:kern w:val="2"/>
                <w:sz w:val="24"/>
                <w:szCs w:val="24"/>
                <w:lang w:eastAsia="en-GB"/>
                <w14:ligatures w14:val="standardContextual"/>
              </w:rPr>
              <w:tab/>
            </w:r>
            <w:r w:rsidRPr="00307352">
              <w:rPr>
                <w:rStyle w:val="Hyperlink"/>
                <w:noProof/>
              </w:rPr>
              <w:t>Young People</w:t>
            </w:r>
            <w:r>
              <w:rPr>
                <w:noProof/>
                <w:webHidden/>
              </w:rPr>
              <w:tab/>
            </w:r>
            <w:r>
              <w:rPr>
                <w:noProof/>
                <w:webHidden/>
              </w:rPr>
              <w:fldChar w:fldCharType="begin"/>
            </w:r>
            <w:r>
              <w:rPr>
                <w:noProof/>
                <w:webHidden/>
              </w:rPr>
              <w:instrText xml:space="preserve"> PAGEREF _Toc200479528 \h </w:instrText>
            </w:r>
            <w:r>
              <w:rPr>
                <w:noProof/>
                <w:webHidden/>
              </w:rPr>
            </w:r>
            <w:r>
              <w:rPr>
                <w:noProof/>
                <w:webHidden/>
              </w:rPr>
              <w:fldChar w:fldCharType="separate"/>
            </w:r>
            <w:r>
              <w:rPr>
                <w:noProof/>
                <w:webHidden/>
              </w:rPr>
              <w:t>97</w:t>
            </w:r>
            <w:r>
              <w:rPr>
                <w:noProof/>
                <w:webHidden/>
              </w:rPr>
              <w:fldChar w:fldCharType="end"/>
            </w:r>
          </w:hyperlink>
        </w:p>
        <w:p w14:paraId="1DEA776B" w14:textId="3CF49538"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29" w:history="1">
            <w:r w:rsidRPr="00307352">
              <w:rPr>
                <w:rStyle w:val="Hyperlink"/>
                <w:noProof/>
              </w:rPr>
              <w:t>6.4.</w:t>
            </w:r>
            <w:r>
              <w:rPr>
                <w:rFonts w:eastAsiaTheme="minorEastAsia"/>
                <w:noProof/>
                <w:kern w:val="2"/>
                <w:sz w:val="24"/>
                <w:szCs w:val="24"/>
                <w:lang w:eastAsia="en-GB"/>
                <w14:ligatures w14:val="standardContextual"/>
              </w:rPr>
              <w:tab/>
            </w:r>
            <w:r w:rsidRPr="00307352">
              <w:rPr>
                <w:rStyle w:val="Hyperlink"/>
                <w:noProof/>
              </w:rPr>
              <w:t>Qualitative; Recommendations</w:t>
            </w:r>
            <w:r>
              <w:rPr>
                <w:noProof/>
                <w:webHidden/>
              </w:rPr>
              <w:tab/>
            </w:r>
            <w:r>
              <w:rPr>
                <w:noProof/>
                <w:webHidden/>
              </w:rPr>
              <w:fldChar w:fldCharType="begin"/>
            </w:r>
            <w:r>
              <w:rPr>
                <w:noProof/>
                <w:webHidden/>
              </w:rPr>
              <w:instrText xml:space="preserve"> PAGEREF _Toc200479529 \h </w:instrText>
            </w:r>
            <w:r>
              <w:rPr>
                <w:noProof/>
                <w:webHidden/>
              </w:rPr>
            </w:r>
            <w:r>
              <w:rPr>
                <w:noProof/>
                <w:webHidden/>
              </w:rPr>
              <w:fldChar w:fldCharType="separate"/>
            </w:r>
            <w:r>
              <w:rPr>
                <w:noProof/>
                <w:webHidden/>
              </w:rPr>
              <w:t>97</w:t>
            </w:r>
            <w:r>
              <w:rPr>
                <w:noProof/>
                <w:webHidden/>
              </w:rPr>
              <w:fldChar w:fldCharType="end"/>
            </w:r>
          </w:hyperlink>
        </w:p>
        <w:p w14:paraId="46F4152B" w14:textId="7D13C888" w:rsidR="00F555B1" w:rsidRDefault="00F555B1">
          <w:pPr>
            <w:pStyle w:val="TOC1"/>
            <w:tabs>
              <w:tab w:val="left" w:pos="440"/>
              <w:tab w:val="right" w:leader="dot" w:pos="9016"/>
            </w:tabs>
            <w:rPr>
              <w:rFonts w:eastAsiaTheme="minorEastAsia"/>
              <w:noProof/>
              <w:kern w:val="2"/>
              <w:sz w:val="24"/>
              <w:szCs w:val="24"/>
              <w:lang w:eastAsia="en-GB"/>
              <w14:ligatures w14:val="standardContextual"/>
            </w:rPr>
          </w:pPr>
          <w:hyperlink w:anchor="_Toc200479530" w:history="1">
            <w:r w:rsidRPr="00307352">
              <w:rPr>
                <w:rStyle w:val="Hyperlink"/>
                <w:noProof/>
              </w:rPr>
              <w:t>7.</w:t>
            </w:r>
            <w:r>
              <w:rPr>
                <w:rFonts w:eastAsiaTheme="minorEastAsia"/>
                <w:noProof/>
                <w:kern w:val="2"/>
                <w:sz w:val="24"/>
                <w:szCs w:val="24"/>
                <w:lang w:eastAsia="en-GB"/>
                <w14:ligatures w14:val="standardContextual"/>
              </w:rPr>
              <w:tab/>
            </w:r>
            <w:r w:rsidRPr="00307352">
              <w:rPr>
                <w:rStyle w:val="Hyperlink"/>
                <w:noProof/>
              </w:rPr>
              <w:t>Appendix</w:t>
            </w:r>
            <w:r>
              <w:rPr>
                <w:noProof/>
                <w:webHidden/>
              </w:rPr>
              <w:tab/>
            </w:r>
            <w:r>
              <w:rPr>
                <w:noProof/>
                <w:webHidden/>
              </w:rPr>
              <w:fldChar w:fldCharType="begin"/>
            </w:r>
            <w:r>
              <w:rPr>
                <w:noProof/>
                <w:webHidden/>
              </w:rPr>
              <w:instrText xml:space="preserve"> PAGEREF _Toc200479530 \h </w:instrText>
            </w:r>
            <w:r>
              <w:rPr>
                <w:noProof/>
                <w:webHidden/>
              </w:rPr>
            </w:r>
            <w:r>
              <w:rPr>
                <w:noProof/>
                <w:webHidden/>
              </w:rPr>
              <w:fldChar w:fldCharType="separate"/>
            </w:r>
            <w:r>
              <w:rPr>
                <w:noProof/>
                <w:webHidden/>
              </w:rPr>
              <w:t>98</w:t>
            </w:r>
            <w:r>
              <w:rPr>
                <w:noProof/>
                <w:webHidden/>
              </w:rPr>
              <w:fldChar w:fldCharType="end"/>
            </w:r>
          </w:hyperlink>
        </w:p>
        <w:p w14:paraId="1CDCEF89" w14:textId="18E39721"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31" w:history="1">
            <w:r w:rsidRPr="00307352">
              <w:rPr>
                <w:rStyle w:val="Hyperlink"/>
                <w:noProof/>
              </w:rPr>
              <w:t>7.1.</w:t>
            </w:r>
            <w:r>
              <w:rPr>
                <w:rFonts w:eastAsiaTheme="minorEastAsia"/>
                <w:noProof/>
                <w:kern w:val="2"/>
                <w:sz w:val="24"/>
                <w:szCs w:val="24"/>
                <w:lang w:eastAsia="en-GB"/>
                <w14:ligatures w14:val="standardContextual"/>
              </w:rPr>
              <w:tab/>
            </w:r>
            <w:r w:rsidRPr="00307352">
              <w:rPr>
                <w:rStyle w:val="Hyperlink"/>
                <w:noProof/>
              </w:rPr>
              <w:t>Acronyms</w:t>
            </w:r>
            <w:r>
              <w:rPr>
                <w:noProof/>
                <w:webHidden/>
              </w:rPr>
              <w:tab/>
            </w:r>
            <w:r>
              <w:rPr>
                <w:noProof/>
                <w:webHidden/>
              </w:rPr>
              <w:fldChar w:fldCharType="begin"/>
            </w:r>
            <w:r>
              <w:rPr>
                <w:noProof/>
                <w:webHidden/>
              </w:rPr>
              <w:instrText xml:space="preserve"> PAGEREF _Toc200479531 \h </w:instrText>
            </w:r>
            <w:r>
              <w:rPr>
                <w:noProof/>
                <w:webHidden/>
              </w:rPr>
            </w:r>
            <w:r>
              <w:rPr>
                <w:noProof/>
                <w:webHidden/>
              </w:rPr>
              <w:fldChar w:fldCharType="separate"/>
            </w:r>
            <w:r>
              <w:rPr>
                <w:noProof/>
                <w:webHidden/>
              </w:rPr>
              <w:t>98</w:t>
            </w:r>
            <w:r>
              <w:rPr>
                <w:noProof/>
                <w:webHidden/>
              </w:rPr>
              <w:fldChar w:fldCharType="end"/>
            </w:r>
          </w:hyperlink>
        </w:p>
        <w:p w14:paraId="62DE173C" w14:textId="068AFFA6"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32" w:history="1">
            <w:r w:rsidRPr="00307352">
              <w:rPr>
                <w:rStyle w:val="Hyperlink"/>
                <w:noProof/>
              </w:rPr>
              <w:t>7.2.</w:t>
            </w:r>
            <w:r>
              <w:rPr>
                <w:rFonts w:eastAsiaTheme="minorEastAsia"/>
                <w:noProof/>
                <w:kern w:val="2"/>
                <w:sz w:val="24"/>
                <w:szCs w:val="24"/>
                <w:lang w:eastAsia="en-GB"/>
                <w14:ligatures w14:val="standardContextual"/>
              </w:rPr>
              <w:tab/>
            </w:r>
            <w:r w:rsidRPr="00307352">
              <w:rPr>
                <w:rStyle w:val="Hyperlink"/>
                <w:noProof/>
              </w:rPr>
              <w:t>Literature Review</w:t>
            </w:r>
            <w:r>
              <w:rPr>
                <w:noProof/>
                <w:webHidden/>
              </w:rPr>
              <w:tab/>
            </w:r>
            <w:r>
              <w:rPr>
                <w:noProof/>
                <w:webHidden/>
              </w:rPr>
              <w:fldChar w:fldCharType="begin"/>
            </w:r>
            <w:r>
              <w:rPr>
                <w:noProof/>
                <w:webHidden/>
              </w:rPr>
              <w:instrText xml:space="preserve"> PAGEREF _Toc200479532 \h </w:instrText>
            </w:r>
            <w:r>
              <w:rPr>
                <w:noProof/>
                <w:webHidden/>
              </w:rPr>
            </w:r>
            <w:r>
              <w:rPr>
                <w:noProof/>
                <w:webHidden/>
              </w:rPr>
              <w:fldChar w:fldCharType="separate"/>
            </w:r>
            <w:r>
              <w:rPr>
                <w:noProof/>
                <w:webHidden/>
              </w:rPr>
              <w:t>99</w:t>
            </w:r>
            <w:r>
              <w:rPr>
                <w:noProof/>
                <w:webHidden/>
              </w:rPr>
              <w:fldChar w:fldCharType="end"/>
            </w:r>
          </w:hyperlink>
        </w:p>
        <w:p w14:paraId="7D2E4909" w14:textId="3A9CAD73"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33" w:history="1">
            <w:r w:rsidRPr="00307352">
              <w:rPr>
                <w:rStyle w:val="Hyperlink"/>
                <w:noProof/>
              </w:rPr>
              <w:t>7.3.</w:t>
            </w:r>
            <w:r>
              <w:rPr>
                <w:rFonts w:eastAsiaTheme="minorEastAsia"/>
                <w:noProof/>
                <w:kern w:val="2"/>
                <w:sz w:val="24"/>
                <w:szCs w:val="24"/>
                <w:lang w:eastAsia="en-GB"/>
                <w14:ligatures w14:val="standardContextual"/>
              </w:rPr>
              <w:tab/>
            </w:r>
            <w:r w:rsidRPr="00307352">
              <w:rPr>
                <w:rStyle w:val="Hyperlink"/>
                <w:noProof/>
              </w:rPr>
              <w:t>Qualitative Consultation; Summary Themes</w:t>
            </w:r>
            <w:r>
              <w:rPr>
                <w:noProof/>
                <w:webHidden/>
              </w:rPr>
              <w:tab/>
            </w:r>
            <w:r>
              <w:rPr>
                <w:noProof/>
                <w:webHidden/>
              </w:rPr>
              <w:fldChar w:fldCharType="begin"/>
            </w:r>
            <w:r>
              <w:rPr>
                <w:noProof/>
                <w:webHidden/>
              </w:rPr>
              <w:instrText xml:space="preserve"> PAGEREF _Toc200479533 \h </w:instrText>
            </w:r>
            <w:r>
              <w:rPr>
                <w:noProof/>
                <w:webHidden/>
              </w:rPr>
            </w:r>
            <w:r>
              <w:rPr>
                <w:noProof/>
                <w:webHidden/>
              </w:rPr>
              <w:fldChar w:fldCharType="separate"/>
            </w:r>
            <w:r>
              <w:rPr>
                <w:noProof/>
                <w:webHidden/>
              </w:rPr>
              <w:t>100</w:t>
            </w:r>
            <w:r>
              <w:rPr>
                <w:noProof/>
                <w:webHidden/>
              </w:rPr>
              <w:fldChar w:fldCharType="end"/>
            </w:r>
          </w:hyperlink>
        </w:p>
        <w:p w14:paraId="73B4E237" w14:textId="5BCF839D" w:rsidR="00F555B1" w:rsidRDefault="00F555B1">
          <w:pPr>
            <w:pStyle w:val="TOC3"/>
            <w:tabs>
              <w:tab w:val="left" w:pos="1440"/>
              <w:tab w:val="right" w:leader="dot" w:pos="9016"/>
            </w:tabs>
            <w:rPr>
              <w:rFonts w:eastAsiaTheme="minorEastAsia"/>
              <w:noProof/>
              <w:kern w:val="2"/>
              <w:sz w:val="24"/>
              <w:szCs w:val="24"/>
              <w:lang w:eastAsia="en-GB"/>
              <w14:ligatures w14:val="standardContextual"/>
            </w:rPr>
          </w:pPr>
          <w:hyperlink w:anchor="_Toc200479534" w:history="1">
            <w:r w:rsidRPr="00307352">
              <w:rPr>
                <w:rStyle w:val="Hyperlink"/>
                <w:noProof/>
              </w:rPr>
              <w:t>7.3.1.</w:t>
            </w:r>
            <w:r>
              <w:rPr>
                <w:rFonts w:eastAsiaTheme="minorEastAsia"/>
                <w:noProof/>
                <w:kern w:val="2"/>
                <w:sz w:val="24"/>
                <w:szCs w:val="24"/>
                <w:lang w:eastAsia="en-GB"/>
                <w14:ligatures w14:val="standardContextual"/>
              </w:rPr>
              <w:tab/>
            </w:r>
            <w:r w:rsidRPr="00307352">
              <w:rPr>
                <w:rStyle w:val="Hyperlink"/>
                <w:noProof/>
              </w:rPr>
              <w:t>Overarching Qualitative Recommendations:</w:t>
            </w:r>
            <w:r>
              <w:rPr>
                <w:noProof/>
                <w:webHidden/>
              </w:rPr>
              <w:tab/>
            </w:r>
            <w:r>
              <w:rPr>
                <w:noProof/>
                <w:webHidden/>
              </w:rPr>
              <w:fldChar w:fldCharType="begin"/>
            </w:r>
            <w:r>
              <w:rPr>
                <w:noProof/>
                <w:webHidden/>
              </w:rPr>
              <w:instrText xml:space="preserve"> PAGEREF _Toc200479534 \h </w:instrText>
            </w:r>
            <w:r>
              <w:rPr>
                <w:noProof/>
                <w:webHidden/>
              </w:rPr>
            </w:r>
            <w:r>
              <w:rPr>
                <w:noProof/>
                <w:webHidden/>
              </w:rPr>
              <w:fldChar w:fldCharType="separate"/>
            </w:r>
            <w:r>
              <w:rPr>
                <w:noProof/>
                <w:webHidden/>
              </w:rPr>
              <w:t>101</w:t>
            </w:r>
            <w:r>
              <w:rPr>
                <w:noProof/>
                <w:webHidden/>
              </w:rPr>
              <w:fldChar w:fldCharType="end"/>
            </w:r>
          </w:hyperlink>
        </w:p>
        <w:p w14:paraId="7D57533C" w14:textId="2B220828"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35" w:history="1">
            <w:r w:rsidRPr="00307352">
              <w:rPr>
                <w:rStyle w:val="Hyperlink"/>
                <w:noProof/>
                <w:lang w:eastAsia="en-GB"/>
              </w:rPr>
              <w:t>7.4.</w:t>
            </w:r>
            <w:r>
              <w:rPr>
                <w:rFonts w:eastAsiaTheme="minorEastAsia"/>
                <w:noProof/>
                <w:kern w:val="2"/>
                <w:sz w:val="24"/>
                <w:szCs w:val="24"/>
                <w:lang w:eastAsia="en-GB"/>
                <w14:ligatures w14:val="standardContextual"/>
              </w:rPr>
              <w:tab/>
            </w:r>
            <w:r w:rsidRPr="00307352">
              <w:rPr>
                <w:rStyle w:val="Hyperlink"/>
                <w:noProof/>
              </w:rPr>
              <w:t xml:space="preserve">Qualitative </w:t>
            </w:r>
            <w:r w:rsidRPr="00307352">
              <w:rPr>
                <w:rStyle w:val="Hyperlink"/>
                <w:noProof/>
                <w:lang w:eastAsia="en-GB"/>
              </w:rPr>
              <w:t>Consultation Overview</w:t>
            </w:r>
            <w:r>
              <w:rPr>
                <w:noProof/>
                <w:webHidden/>
              </w:rPr>
              <w:tab/>
            </w:r>
            <w:r>
              <w:rPr>
                <w:noProof/>
                <w:webHidden/>
              </w:rPr>
              <w:fldChar w:fldCharType="begin"/>
            </w:r>
            <w:r>
              <w:rPr>
                <w:noProof/>
                <w:webHidden/>
              </w:rPr>
              <w:instrText xml:space="preserve"> PAGEREF _Toc200479535 \h </w:instrText>
            </w:r>
            <w:r>
              <w:rPr>
                <w:noProof/>
                <w:webHidden/>
              </w:rPr>
            </w:r>
            <w:r>
              <w:rPr>
                <w:noProof/>
                <w:webHidden/>
              </w:rPr>
              <w:fldChar w:fldCharType="separate"/>
            </w:r>
            <w:r>
              <w:rPr>
                <w:noProof/>
                <w:webHidden/>
              </w:rPr>
              <w:t>102</w:t>
            </w:r>
            <w:r>
              <w:rPr>
                <w:noProof/>
                <w:webHidden/>
              </w:rPr>
              <w:fldChar w:fldCharType="end"/>
            </w:r>
          </w:hyperlink>
        </w:p>
        <w:p w14:paraId="1A211D5C" w14:textId="7CB4EB5D" w:rsidR="00F555B1" w:rsidRDefault="00F555B1">
          <w:pPr>
            <w:pStyle w:val="TOC2"/>
            <w:tabs>
              <w:tab w:val="left" w:pos="960"/>
              <w:tab w:val="right" w:leader="dot" w:pos="9016"/>
            </w:tabs>
            <w:rPr>
              <w:rFonts w:eastAsiaTheme="minorEastAsia"/>
              <w:noProof/>
              <w:kern w:val="2"/>
              <w:sz w:val="24"/>
              <w:szCs w:val="24"/>
              <w:lang w:eastAsia="en-GB"/>
              <w14:ligatures w14:val="standardContextual"/>
            </w:rPr>
          </w:pPr>
          <w:hyperlink w:anchor="_Toc200479536" w:history="1">
            <w:r w:rsidRPr="00307352">
              <w:rPr>
                <w:rStyle w:val="Hyperlink"/>
                <w:noProof/>
              </w:rPr>
              <w:t>7.5.</w:t>
            </w:r>
            <w:r>
              <w:rPr>
                <w:rFonts w:eastAsiaTheme="minorEastAsia"/>
                <w:noProof/>
                <w:kern w:val="2"/>
                <w:sz w:val="24"/>
                <w:szCs w:val="24"/>
                <w:lang w:eastAsia="en-GB"/>
                <w14:ligatures w14:val="standardContextual"/>
              </w:rPr>
              <w:tab/>
            </w:r>
            <w:r w:rsidRPr="00307352">
              <w:rPr>
                <w:rStyle w:val="Hyperlink"/>
                <w:noProof/>
              </w:rPr>
              <w:t>Qualitative - Summary Documents</w:t>
            </w:r>
            <w:r>
              <w:rPr>
                <w:noProof/>
                <w:webHidden/>
              </w:rPr>
              <w:tab/>
            </w:r>
            <w:r>
              <w:rPr>
                <w:noProof/>
                <w:webHidden/>
              </w:rPr>
              <w:fldChar w:fldCharType="begin"/>
            </w:r>
            <w:r>
              <w:rPr>
                <w:noProof/>
                <w:webHidden/>
              </w:rPr>
              <w:instrText xml:space="preserve"> PAGEREF _Toc200479536 \h </w:instrText>
            </w:r>
            <w:r>
              <w:rPr>
                <w:noProof/>
                <w:webHidden/>
              </w:rPr>
            </w:r>
            <w:r>
              <w:rPr>
                <w:noProof/>
                <w:webHidden/>
              </w:rPr>
              <w:fldChar w:fldCharType="separate"/>
            </w:r>
            <w:r>
              <w:rPr>
                <w:noProof/>
                <w:webHidden/>
              </w:rPr>
              <w:t>103</w:t>
            </w:r>
            <w:r>
              <w:rPr>
                <w:noProof/>
                <w:webHidden/>
              </w:rPr>
              <w:fldChar w:fldCharType="end"/>
            </w:r>
          </w:hyperlink>
        </w:p>
        <w:p w14:paraId="0F3C23AE" w14:textId="03700FF1" w:rsidR="00795268" w:rsidRDefault="00795268">
          <w:r>
            <w:rPr>
              <w:b/>
              <w:bCs/>
              <w:noProof/>
            </w:rPr>
            <w:fldChar w:fldCharType="end"/>
          </w:r>
        </w:p>
      </w:sdtContent>
    </w:sdt>
    <w:p w14:paraId="70A38BEE" w14:textId="77777777" w:rsidR="00795268" w:rsidRDefault="00795268">
      <w:pPr>
        <w:sectPr w:rsidR="00795268">
          <w:pgSz w:w="11906" w:h="16838"/>
          <w:pgMar w:top="1440" w:right="1440" w:bottom="1440" w:left="1440" w:header="708" w:footer="708" w:gutter="0"/>
          <w:cols w:space="708"/>
          <w:docGrid w:linePitch="360"/>
        </w:sectPr>
      </w:pPr>
    </w:p>
    <w:p w14:paraId="757F5DD7" w14:textId="1B541FB5" w:rsidR="00116E5D" w:rsidRDefault="00116E5D" w:rsidP="005404CD">
      <w:pPr>
        <w:pStyle w:val="Heading1"/>
      </w:pPr>
      <w:bookmarkStart w:id="2" w:name="_Toc200479442"/>
      <w:r>
        <w:lastRenderedPageBreak/>
        <w:t>Executive Summary</w:t>
      </w:r>
      <w:bookmarkEnd w:id="2"/>
    </w:p>
    <w:p w14:paraId="5C56AD8C" w14:textId="7D032028" w:rsidR="002150F1" w:rsidRDefault="00B606AD" w:rsidP="00D22789">
      <w:pPr>
        <w:pStyle w:val="Heading2"/>
      </w:pPr>
      <w:bookmarkStart w:id="3" w:name="_Toc200479443"/>
      <w:r>
        <w:t>Introduction</w:t>
      </w:r>
      <w:bookmarkEnd w:id="3"/>
    </w:p>
    <w:p w14:paraId="773FF38F" w14:textId="709DBA83" w:rsidR="004A45CE" w:rsidRDefault="00B606AD" w:rsidP="004A45CE">
      <w:r>
        <w:t xml:space="preserve">This needs assessment builds on the findings of the 2022-23 report to inform the recommissioning of drug and alcohol </w:t>
      </w:r>
      <w:r w:rsidR="002F017C">
        <w:t xml:space="preserve">(DA) </w:t>
      </w:r>
      <w:r>
        <w:t xml:space="preserve">services in Peterborough </w:t>
      </w:r>
      <w:r w:rsidR="136B8307">
        <w:t xml:space="preserve">for April </w:t>
      </w:r>
      <w:r>
        <w:t>2026. It provides an updated picture of substance use trends</w:t>
      </w:r>
      <w:r w:rsidR="003F15F7">
        <w:t xml:space="preserve"> </w:t>
      </w:r>
      <w:r>
        <w:t xml:space="preserve">and emerging needs in the local population. The assessment highlights key challenges, opportunities for improvement, </w:t>
      </w:r>
      <w:r w:rsidR="001438FA">
        <w:t>and how investment can support broader public health and social outcomes</w:t>
      </w:r>
      <w:r>
        <w:t xml:space="preserve"> to guide future commissioning decisions.</w:t>
      </w:r>
    </w:p>
    <w:p w14:paraId="20FA04EA" w14:textId="77777777" w:rsidR="00D32601" w:rsidRDefault="00D32601" w:rsidP="004A45CE"/>
    <w:p w14:paraId="7F32DA5E" w14:textId="453AAE5D" w:rsidR="004A45CE" w:rsidRDefault="004A45CE" w:rsidP="00D22789">
      <w:pPr>
        <w:pStyle w:val="Heading2"/>
      </w:pPr>
      <w:bookmarkStart w:id="4" w:name="_Toc200479444"/>
      <w:r>
        <w:t>Known Issues</w:t>
      </w:r>
      <w:bookmarkEnd w:id="4"/>
    </w:p>
    <w:p w14:paraId="6D5742DD" w14:textId="660EF0DD" w:rsidR="004A45CE" w:rsidRPr="00374797" w:rsidRDefault="004A45CE" w:rsidP="004A45CE">
      <w:r w:rsidRPr="00374797">
        <w:t xml:space="preserve">Building on 2022-23 findings, the following issues </w:t>
      </w:r>
      <w:r w:rsidR="00A16902">
        <w:t>pose</w:t>
      </w:r>
      <w:r w:rsidRPr="00374797">
        <w:t xml:space="preserve"> significant</w:t>
      </w:r>
      <w:r w:rsidR="00A16902">
        <w:t xml:space="preserve"> challenges</w:t>
      </w:r>
      <w:r w:rsidR="00284FBA">
        <w:t xml:space="preserve"> for treatment services and system partners</w:t>
      </w:r>
      <w:r>
        <w:t>:</w:t>
      </w:r>
    </w:p>
    <w:p w14:paraId="4B765686" w14:textId="77777777" w:rsidR="00284FBA" w:rsidRPr="00314CC1" w:rsidRDefault="00284FBA" w:rsidP="00B80EAF">
      <w:pPr>
        <w:pStyle w:val="ListParagraph"/>
        <w:numPr>
          <w:ilvl w:val="0"/>
          <w:numId w:val="10"/>
        </w:numPr>
        <w:rPr>
          <w:b/>
          <w:bCs/>
        </w:rPr>
      </w:pPr>
      <w:r w:rsidRPr="00314CC1">
        <w:rPr>
          <w:b/>
          <w:bCs/>
        </w:rPr>
        <w:t>Rising drug- and alcohol-related mortality</w:t>
      </w:r>
    </w:p>
    <w:p w14:paraId="15E22EC5" w14:textId="77777777" w:rsidR="00284FBA" w:rsidRDefault="00284FBA" w:rsidP="00B80EAF">
      <w:pPr>
        <w:pStyle w:val="ListParagraph"/>
        <w:numPr>
          <w:ilvl w:val="1"/>
          <w:numId w:val="10"/>
        </w:numPr>
      </w:pPr>
      <w:r w:rsidRPr="00314CC1">
        <w:t xml:space="preserve">Locally and nationally, drug- and alcohol-related deaths are increasing, </w:t>
      </w:r>
    </w:p>
    <w:p w14:paraId="2128F81C" w14:textId="77777777" w:rsidR="00284FBA" w:rsidRDefault="00284FBA" w:rsidP="00B80EAF">
      <w:pPr>
        <w:pStyle w:val="ListParagraph"/>
        <w:numPr>
          <w:ilvl w:val="1"/>
          <w:numId w:val="10"/>
        </w:numPr>
      </w:pPr>
      <w:r>
        <w:t xml:space="preserve">There has been </w:t>
      </w:r>
      <w:r w:rsidRPr="00314CC1">
        <w:t>a recent surge in deaths linked to cocaine use.</w:t>
      </w:r>
    </w:p>
    <w:p w14:paraId="3BC31B05" w14:textId="77777777" w:rsidR="00284FBA" w:rsidRPr="00314CC1" w:rsidRDefault="00284FBA" w:rsidP="00B80EAF">
      <w:pPr>
        <w:pStyle w:val="ListParagraph"/>
        <w:numPr>
          <w:ilvl w:val="0"/>
          <w:numId w:val="10"/>
        </w:numPr>
        <w:rPr>
          <w:b/>
          <w:bCs/>
        </w:rPr>
      </w:pPr>
      <w:r>
        <w:rPr>
          <w:b/>
          <w:bCs/>
        </w:rPr>
        <w:t>Shifting</w:t>
      </w:r>
      <w:r w:rsidRPr="00314CC1">
        <w:rPr>
          <w:b/>
          <w:bCs/>
        </w:rPr>
        <w:t xml:space="preserve"> substance use </w:t>
      </w:r>
      <w:r>
        <w:rPr>
          <w:b/>
          <w:bCs/>
        </w:rPr>
        <w:t>patterns</w:t>
      </w:r>
    </w:p>
    <w:p w14:paraId="46F06848" w14:textId="77777777" w:rsidR="00284FBA" w:rsidRDefault="00284FBA" w:rsidP="00B80EAF">
      <w:pPr>
        <w:pStyle w:val="ListParagraph"/>
        <w:numPr>
          <w:ilvl w:val="1"/>
          <w:numId w:val="10"/>
        </w:numPr>
      </w:pPr>
      <w:r>
        <w:t xml:space="preserve">While there appears to have been a decrease in use of opiates, issues with non-opiate substances, such as powdered cocaine appear to be increasing. </w:t>
      </w:r>
    </w:p>
    <w:p w14:paraId="0FDD675A" w14:textId="0D7005A9" w:rsidR="00284FBA" w:rsidRDefault="00284FBA" w:rsidP="00B80EAF">
      <w:pPr>
        <w:pStyle w:val="ListParagraph"/>
        <w:numPr>
          <w:ilvl w:val="1"/>
          <w:numId w:val="10"/>
        </w:numPr>
      </w:pPr>
      <w:r>
        <w:t>The emerging threat of synthetic opioids (</w:t>
      </w:r>
      <w:proofErr w:type="spellStart"/>
      <w:r>
        <w:t>nitazenes</w:t>
      </w:r>
      <w:proofErr w:type="spellEnd"/>
      <w:r>
        <w:t xml:space="preserve">) has not </w:t>
      </w:r>
      <w:proofErr w:type="gramStart"/>
      <w:r>
        <w:t>increased, but</w:t>
      </w:r>
      <w:proofErr w:type="gramEnd"/>
      <w:r>
        <w:t xml:space="preserve"> remains high-risk.</w:t>
      </w:r>
    </w:p>
    <w:p w14:paraId="47AD0EE6" w14:textId="166B3F81" w:rsidR="004A45CE" w:rsidRDefault="004A45CE" w:rsidP="00B80EAF">
      <w:pPr>
        <w:pStyle w:val="ListParagraph"/>
        <w:numPr>
          <w:ilvl w:val="0"/>
          <w:numId w:val="10"/>
        </w:numPr>
      </w:pPr>
      <w:r>
        <w:t xml:space="preserve">Many </w:t>
      </w:r>
      <w:r w:rsidR="00B126AA">
        <w:t xml:space="preserve">people with substance </w:t>
      </w:r>
      <w:r>
        <w:t>use</w:t>
      </w:r>
      <w:r w:rsidR="00B126AA">
        <w:t xml:space="preserve"> treatment needs</w:t>
      </w:r>
      <w:r>
        <w:t xml:space="preserve"> face </w:t>
      </w:r>
      <w:r w:rsidRPr="00314CC1">
        <w:rPr>
          <w:b/>
          <w:bCs/>
        </w:rPr>
        <w:t>overlapping challenges</w:t>
      </w:r>
    </w:p>
    <w:p w14:paraId="552155B6" w14:textId="280803C7" w:rsidR="004A45CE" w:rsidRDefault="00BD1BBD" w:rsidP="00B80EAF">
      <w:pPr>
        <w:pStyle w:val="ListParagraph"/>
        <w:numPr>
          <w:ilvl w:val="1"/>
          <w:numId w:val="10"/>
        </w:numPr>
      </w:pPr>
      <w:r>
        <w:t>A high proportion of service users have m</w:t>
      </w:r>
      <w:r w:rsidR="004A45CE">
        <w:t xml:space="preserve">ental health need </w:t>
      </w:r>
      <w:r>
        <w:t>(</w:t>
      </w:r>
      <w:r w:rsidR="004A45CE">
        <w:t>70-80%</w:t>
      </w:r>
      <w:r>
        <w:t>)</w:t>
      </w:r>
      <w:r w:rsidR="00FC4236">
        <w:t xml:space="preserve">, </w:t>
      </w:r>
      <w:r w:rsidR="00352DA3">
        <w:t xml:space="preserve">and around </w:t>
      </w:r>
      <w:r w:rsidR="00352DA3" w:rsidRPr="00BA4142">
        <w:t>one in five have unstable housing arrangements at the point of entering treatment.</w:t>
      </w:r>
      <w:r w:rsidR="00352DA3">
        <w:t xml:space="preserve"> M</w:t>
      </w:r>
      <w:r w:rsidR="00FC4236">
        <w:t xml:space="preserve">any </w:t>
      </w:r>
      <w:r w:rsidR="00851D34">
        <w:t xml:space="preserve">may </w:t>
      </w:r>
      <w:r w:rsidR="000E420A">
        <w:t>experience</w:t>
      </w:r>
      <w:r w:rsidR="00851D34">
        <w:t xml:space="preserve"> </w:t>
      </w:r>
      <w:r w:rsidR="00BA4142" w:rsidRPr="00BA4142">
        <w:t xml:space="preserve">economic difficulties </w:t>
      </w:r>
      <w:r w:rsidR="00B40189">
        <w:t xml:space="preserve">in the context of </w:t>
      </w:r>
      <w:r w:rsidR="00916807">
        <w:t>high levels of deprivation in Peterborough</w:t>
      </w:r>
      <w:r w:rsidR="00B40189">
        <w:t>,</w:t>
      </w:r>
      <w:r w:rsidR="00916807">
        <w:t xml:space="preserve"> </w:t>
      </w:r>
      <w:r w:rsidR="00BA4142" w:rsidRPr="00BA4142">
        <w:t xml:space="preserve">as indicated by </w:t>
      </w:r>
      <w:r w:rsidR="00916807">
        <w:t>a</w:t>
      </w:r>
      <w:r w:rsidR="00BA4142" w:rsidRPr="00BA4142">
        <w:t xml:space="preserve"> high proportion </w:t>
      </w:r>
      <w:r w:rsidR="00352DA3">
        <w:t xml:space="preserve">of those in treatment </w:t>
      </w:r>
      <w:r w:rsidR="00BA4142" w:rsidRPr="00BA4142">
        <w:t>who are not in employment or training (around 70%).</w:t>
      </w:r>
    </w:p>
    <w:p w14:paraId="74BBF60C" w14:textId="3F812E65" w:rsidR="005F3FE7" w:rsidRDefault="000839E1" w:rsidP="00B80EAF">
      <w:pPr>
        <w:pStyle w:val="ListParagraph"/>
        <w:numPr>
          <w:ilvl w:val="0"/>
          <w:numId w:val="10"/>
        </w:numPr>
      </w:pPr>
      <w:r w:rsidRPr="00314CC1">
        <w:rPr>
          <w:b/>
          <w:bCs/>
        </w:rPr>
        <w:t>Increasing numbers of v</w:t>
      </w:r>
      <w:r w:rsidR="003228A8" w:rsidRPr="00314CC1">
        <w:rPr>
          <w:b/>
          <w:bCs/>
        </w:rPr>
        <w:t>ulnerab</w:t>
      </w:r>
      <w:r w:rsidRPr="00314CC1">
        <w:rPr>
          <w:b/>
          <w:bCs/>
        </w:rPr>
        <w:t>le</w:t>
      </w:r>
      <w:r w:rsidR="003228A8" w:rsidRPr="00314CC1">
        <w:rPr>
          <w:b/>
          <w:bCs/>
        </w:rPr>
        <w:t xml:space="preserve"> children</w:t>
      </w:r>
      <w:r>
        <w:t xml:space="preserve"> in Peterborough</w:t>
      </w:r>
    </w:p>
    <w:p w14:paraId="5360A4D1" w14:textId="49386096" w:rsidR="005F3FE7" w:rsidRDefault="002F017C" w:rsidP="00B80EAF">
      <w:pPr>
        <w:pStyle w:val="ListParagraph"/>
        <w:numPr>
          <w:ilvl w:val="1"/>
          <w:numId w:val="10"/>
        </w:numPr>
      </w:pPr>
      <w:r>
        <w:t>O</w:t>
      </w:r>
      <w:r w:rsidR="005F3FE7">
        <w:t xml:space="preserve">ver one-third of </w:t>
      </w:r>
      <w:r w:rsidR="002A15C2">
        <w:t xml:space="preserve">DA </w:t>
      </w:r>
      <w:r w:rsidR="005F3FE7">
        <w:t>service users liv</w:t>
      </w:r>
      <w:r>
        <w:t>e</w:t>
      </w:r>
      <w:r w:rsidR="005F3FE7">
        <w:t xml:space="preserve"> with chi</w:t>
      </w:r>
      <w:r w:rsidR="00A14A09">
        <w:t>l</w:t>
      </w:r>
      <w:r w:rsidR="005F3FE7">
        <w:t>dren</w:t>
      </w:r>
      <w:r w:rsidR="00B165A1">
        <w:t xml:space="preserve">, </w:t>
      </w:r>
      <w:r w:rsidR="00E26CDD">
        <w:t>and whilst r</w:t>
      </w:r>
      <w:r w:rsidR="0013374A">
        <w:t xml:space="preserve">ates of referrals for </w:t>
      </w:r>
      <w:r w:rsidR="00F2490B">
        <w:t>children’s services are increasing in Peterborough</w:t>
      </w:r>
      <w:r w:rsidR="00E26CDD">
        <w:t xml:space="preserve">, addressing </w:t>
      </w:r>
      <w:r w:rsidR="00C64FFE">
        <w:t xml:space="preserve">substance use </w:t>
      </w:r>
      <w:r w:rsidR="00E26CDD">
        <w:t xml:space="preserve">will be a critical part </w:t>
      </w:r>
      <w:r w:rsidR="0050494C">
        <w:t>of support</w:t>
      </w:r>
      <w:r w:rsidR="00B165A1">
        <w:t xml:space="preserve">ing </w:t>
      </w:r>
      <w:r w:rsidR="0050494C">
        <w:t>need in the area.</w:t>
      </w:r>
    </w:p>
    <w:p w14:paraId="7AE1FDE2" w14:textId="3E995D60" w:rsidR="004A45CE" w:rsidRDefault="004A45CE" w:rsidP="00B80EAF">
      <w:pPr>
        <w:pStyle w:val="ListParagraph"/>
        <w:numPr>
          <w:ilvl w:val="0"/>
          <w:numId w:val="10"/>
        </w:numPr>
      </w:pPr>
      <w:r w:rsidRPr="00314CC1">
        <w:rPr>
          <w:b/>
          <w:bCs/>
        </w:rPr>
        <w:t>Inequalities</w:t>
      </w:r>
      <w:r w:rsidR="00C64FFE" w:rsidRPr="00314CC1">
        <w:rPr>
          <w:b/>
          <w:bCs/>
        </w:rPr>
        <w:t xml:space="preserve"> in access</w:t>
      </w:r>
      <w:r w:rsidR="00C64FFE">
        <w:t xml:space="preserve"> to treatment</w:t>
      </w:r>
    </w:p>
    <w:p w14:paraId="4AD5ADFA" w14:textId="1C4063EF" w:rsidR="004A45CE" w:rsidRDefault="004A45CE" w:rsidP="00B80EAF">
      <w:pPr>
        <w:pStyle w:val="ListParagraph"/>
        <w:numPr>
          <w:ilvl w:val="1"/>
          <w:numId w:val="10"/>
        </w:numPr>
      </w:pPr>
      <w:r>
        <w:t>Specific groups appear to face disproportionate barriers in accessing treatment</w:t>
      </w:r>
      <w:r w:rsidR="003F1455">
        <w:t>. U</w:t>
      </w:r>
      <w:r w:rsidR="00D44444">
        <w:t xml:space="preserve">nmet DA treatment need </w:t>
      </w:r>
      <w:r w:rsidR="007A1597">
        <w:t xml:space="preserve">is </w:t>
      </w:r>
      <w:r w:rsidR="00D44444">
        <w:t>80-90%</w:t>
      </w:r>
      <w:r w:rsidR="007A1597">
        <w:t xml:space="preserve"> for young adults</w:t>
      </w:r>
      <w:r w:rsidR="003F1455">
        <w:t xml:space="preserve"> and c</w:t>
      </w:r>
      <w:r w:rsidR="00644E33">
        <w:t xml:space="preserve">ertain </w:t>
      </w:r>
      <w:r w:rsidR="007A1597">
        <w:t>subgroups appear to be underrepresented</w:t>
      </w:r>
      <w:r w:rsidR="00644E33">
        <w:t xml:space="preserve"> in treatment numbers, such as </w:t>
      </w:r>
      <w:r w:rsidR="003163BC">
        <w:t>minorit</w:t>
      </w:r>
      <w:r w:rsidR="003F124B">
        <w:t>y ethnic groups</w:t>
      </w:r>
      <w:r w:rsidR="00AD7B4E">
        <w:t xml:space="preserve"> and </w:t>
      </w:r>
      <w:r w:rsidR="00D8253D">
        <w:t>LGBT+ individuals</w:t>
      </w:r>
      <w:r w:rsidR="00F41583">
        <w:t>.</w:t>
      </w:r>
    </w:p>
    <w:p w14:paraId="50DD957B" w14:textId="47649996" w:rsidR="004A45CE" w:rsidRPr="000E1549" w:rsidRDefault="004A45CE" w:rsidP="00B80EAF">
      <w:pPr>
        <w:pStyle w:val="ListParagraph"/>
        <w:numPr>
          <w:ilvl w:val="0"/>
          <w:numId w:val="10"/>
        </w:numPr>
        <w:rPr>
          <w:b/>
          <w:bCs/>
        </w:rPr>
      </w:pPr>
      <w:r w:rsidRPr="000E1549">
        <w:rPr>
          <w:b/>
          <w:bCs/>
        </w:rPr>
        <w:t xml:space="preserve">Funding </w:t>
      </w:r>
      <w:r w:rsidR="00F41583" w:rsidRPr="000E1549">
        <w:rPr>
          <w:b/>
          <w:bCs/>
        </w:rPr>
        <w:t>u</w:t>
      </w:r>
      <w:r w:rsidRPr="000E1549">
        <w:rPr>
          <w:b/>
          <w:bCs/>
        </w:rPr>
        <w:t xml:space="preserve">ncertainty and </w:t>
      </w:r>
      <w:r w:rsidR="000E1549" w:rsidRPr="000E1549">
        <w:rPr>
          <w:b/>
          <w:bCs/>
        </w:rPr>
        <w:t xml:space="preserve">system </w:t>
      </w:r>
      <w:r w:rsidR="00F41583" w:rsidRPr="000E1549">
        <w:rPr>
          <w:b/>
          <w:bCs/>
        </w:rPr>
        <w:t>c</w:t>
      </w:r>
      <w:r w:rsidRPr="000E1549">
        <w:rPr>
          <w:b/>
          <w:bCs/>
        </w:rPr>
        <w:t>hange</w:t>
      </w:r>
    </w:p>
    <w:p w14:paraId="5FBC73DA" w14:textId="678A492F" w:rsidR="004A45CE" w:rsidRDefault="00CD4BC4" w:rsidP="00B80EAF">
      <w:pPr>
        <w:pStyle w:val="ListParagraph"/>
        <w:numPr>
          <w:ilvl w:val="1"/>
          <w:numId w:val="10"/>
        </w:numPr>
      </w:pPr>
      <w:r>
        <w:t>Key parts of the service are</w:t>
      </w:r>
      <w:r w:rsidR="000E1549">
        <w:t xml:space="preserve"> currently</w:t>
      </w:r>
      <w:r>
        <w:t xml:space="preserve"> </w:t>
      </w:r>
      <w:r w:rsidR="004A45CE">
        <w:t>funded through supplementary funding</w:t>
      </w:r>
      <w:r w:rsidR="000E5617">
        <w:t xml:space="preserve"> from central government</w:t>
      </w:r>
      <w:r w:rsidR="39AC6CD6">
        <w:t>,</w:t>
      </w:r>
      <w:r w:rsidR="00BD6799">
        <w:t xml:space="preserve"> </w:t>
      </w:r>
      <w:r w:rsidR="000E5617">
        <w:t>which is currently short-term</w:t>
      </w:r>
      <w:r>
        <w:t xml:space="preserve">, </w:t>
      </w:r>
      <w:r w:rsidR="004A45CE">
        <w:t>creat</w:t>
      </w:r>
      <w:r>
        <w:t>ing</w:t>
      </w:r>
      <w:r w:rsidR="004A45CE">
        <w:t xml:space="preserve"> vulnerabilities for long-term planning</w:t>
      </w:r>
      <w:r w:rsidR="00EA3B2E">
        <w:t>.</w:t>
      </w:r>
    </w:p>
    <w:p w14:paraId="5BB55D7E" w14:textId="12071FE4" w:rsidR="004A45CE" w:rsidRDefault="00191E72" w:rsidP="00B80EAF">
      <w:pPr>
        <w:pStyle w:val="ListParagraph"/>
        <w:numPr>
          <w:ilvl w:val="1"/>
          <w:numId w:val="10"/>
        </w:numPr>
      </w:pPr>
      <w:r>
        <w:t xml:space="preserve">This </w:t>
      </w:r>
      <w:r w:rsidR="008C2878">
        <w:t xml:space="preserve">accounts for </w:t>
      </w:r>
      <w:r w:rsidR="00755BA6">
        <w:t xml:space="preserve">around 50% of local funding </w:t>
      </w:r>
      <w:r w:rsidR="008C2878">
        <w:t xml:space="preserve">each </w:t>
      </w:r>
      <w:r w:rsidR="00755BA6">
        <w:t>year</w:t>
      </w:r>
      <w:r w:rsidR="008C2878">
        <w:t>, while p</w:t>
      </w:r>
      <w:r w:rsidR="004A45CE">
        <w:t xml:space="preserve">ublic health </w:t>
      </w:r>
      <w:r w:rsidR="008C2878">
        <w:t xml:space="preserve">budgets </w:t>
      </w:r>
      <w:r w:rsidR="00EA3B2E">
        <w:t xml:space="preserve">remain </w:t>
      </w:r>
      <w:r w:rsidR="004A45CE">
        <w:t>stretched</w:t>
      </w:r>
      <w:r w:rsidR="00EA3B2E">
        <w:t>.</w:t>
      </w:r>
    </w:p>
    <w:p w14:paraId="75EBACF6" w14:textId="246135EC" w:rsidR="004A45CE" w:rsidRDefault="004A45CE" w:rsidP="00B80EAF">
      <w:pPr>
        <w:pStyle w:val="ListParagraph"/>
        <w:numPr>
          <w:ilvl w:val="1"/>
          <w:numId w:val="10"/>
        </w:numPr>
      </w:pPr>
      <w:r>
        <w:t>Peterborough and Cambridgeshire public health teams formally split in 202</w:t>
      </w:r>
      <w:r w:rsidR="00CD4BC4">
        <w:t>4. W</w:t>
      </w:r>
      <w:r w:rsidRPr="005C75E5">
        <w:t xml:space="preserve">hile this allows tailored approaches to </w:t>
      </w:r>
      <w:r>
        <w:t xml:space="preserve">continue to </w:t>
      </w:r>
      <w:r w:rsidRPr="005C75E5">
        <w:t>meet unique needs of Peterborough's population, it also presents challenges</w:t>
      </w:r>
      <w:r>
        <w:t xml:space="preserve"> with potential for more </w:t>
      </w:r>
      <w:r>
        <w:lastRenderedPageBreak/>
        <w:t>variability in service provision, reduced efficiency in some areas</w:t>
      </w:r>
      <w:r w:rsidR="00B454AF">
        <w:t>,</w:t>
      </w:r>
      <w:r>
        <w:t xml:space="preserve"> and a risk of losing cross</w:t>
      </w:r>
      <w:r w:rsidR="00B454AF">
        <w:t>-</w:t>
      </w:r>
      <w:r>
        <w:t xml:space="preserve">border </w:t>
      </w:r>
      <w:r w:rsidRPr="007B6DDF">
        <w:t>collaboration</w:t>
      </w:r>
      <w:r>
        <w:t xml:space="preserve"> and </w:t>
      </w:r>
      <w:r w:rsidRPr="007B6DDF">
        <w:t>shared learning</w:t>
      </w:r>
      <w:r>
        <w:t>.</w:t>
      </w:r>
    </w:p>
    <w:p w14:paraId="4DD9F3D1" w14:textId="77777777" w:rsidR="004A45CE" w:rsidRDefault="004A45CE" w:rsidP="004A45CE"/>
    <w:p w14:paraId="63DECDB7" w14:textId="0CE72AC7" w:rsidR="00B606AD" w:rsidRDefault="001A6737" w:rsidP="00D22789">
      <w:pPr>
        <w:pStyle w:val="Heading2"/>
      </w:pPr>
      <w:bookmarkStart w:id="5" w:name="_Toc200479445"/>
      <w:r>
        <w:t xml:space="preserve">Strengths of the </w:t>
      </w:r>
      <w:r w:rsidR="00624B8C">
        <w:t>C</w:t>
      </w:r>
      <w:r>
        <w:t xml:space="preserve">urrent </w:t>
      </w:r>
      <w:r w:rsidR="00624B8C">
        <w:t>S</w:t>
      </w:r>
      <w:r>
        <w:t>ystem</w:t>
      </w:r>
      <w:bookmarkEnd w:id="5"/>
    </w:p>
    <w:p w14:paraId="562BF053" w14:textId="77777777" w:rsidR="001A6737" w:rsidRDefault="001A6737" w:rsidP="001A6737">
      <w:r>
        <w:t>Peterborough’s drug and alcohol services demonstrate several strengths:</w:t>
      </w:r>
    </w:p>
    <w:p w14:paraId="6EAF914B" w14:textId="6D657D66" w:rsidR="001A6737" w:rsidRDefault="001A6737" w:rsidP="00B80EAF">
      <w:pPr>
        <w:pStyle w:val="ListParagraph"/>
        <w:numPr>
          <w:ilvl w:val="0"/>
          <w:numId w:val="9"/>
        </w:numPr>
      </w:pPr>
      <w:r w:rsidRPr="00A25463">
        <w:rPr>
          <w:b/>
          <w:bCs/>
        </w:rPr>
        <w:t xml:space="preserve">Increasing </w:t>
      </w:r>
      <w:r w:rsidR="00A25463" w:rsidRPr="00A25463">
        <w:rPr>
          <w:b/>
          <w:bCs/>
        </w:rPr>
        <w:t>t</w:t>
      </w:r>
      <w:r w:rsidRPr="00A25463">
        <w:rPr>
          <w:b/>
          <w:bCs/>
        </w:rPr>
        <w:t xml:space="preserve">reatment </w:t>
      </w:r>
      <w:r w:rsidR="00A25463" w:rsidRPr="00A25463">
        <w:rPr>
          <w:b/>
          <w:bCs/>
        </w:rPr>
        <w:t>u</w:t>
      </w:r>
      <w:r w:rsidRPr="00A25463">
        <w:rPr>
          <w:b/>
          <w:bCs/>
        </w:rPr>
        <w:t>ptake</w:t>
      </w:r>
      <w:r>
        <w:t>: A growing number of adults are entering treatment, with good engagement among children and young people.</w:t>
      </w:r>
    </w:p>
    <w:p w14:paraId="6065CEB9" w14:textId="65E8703C" w:rsidR="001A6737" w:rsidRDefault="001A6737" w:rsidP="00B80EAF">
      <w:pPr>
        <w:pStyle w:val="ListParagraph"/>
        <w:numPr>
          <w:ilvl w:val="0"/>
          <w:numId w:val="9"/>
        </w:numPr>
      </w:pPr>
      <w:r w:rsidRPr="00A25463">
        <w:rPr>
          <w:b/>
          <w:bCs/>
        </w:rPr>
        <w:t xml:space="preserve">Integrated </w:t>
      </w:r>
      <w:r w:rsidR="00A25463" w:rsidRPr="00A25463">
        <w:rPr>
          <w:b/>
          <w:bCs/>
        </w:rPr>
        <w:t>a</w:t>
      </w:r>
      <w:r w:rsidRPr="00A25463">
        <w:rPr>
          <w:b/>
          <w:bCs/>
        </w:rPr>
        <w:t>pproaches</w:t>
      </w:r>
      <w:r>
        <w:t xml:space="preserve">: </w:t>
      </w:r>
      <w:r w:rsidR="00A25463">
        <w:t>There is s</w:t>
      </w:r>
      <w:r>
        <w:t xml:space="preserve">trong collaboration between the criminal justice system and local </w:t>
      </w:r>
      <w:r w:rsidR="006E63DF">
        <w:t xml:space="preserve">treatment </w:t>
      </w:r>
      <w:r>
        <w:t>services</w:t>
      </w:r>
      <w:r w:rsidR="00A25463">
        <w:t xml:space="preserve"> which</w:t>
      </w:r>
      <w:r>
        <w:t xml:space="preserve"> ensures a robust foundation for addressing complex needs.</w:t>
      </w:r>
    </w:p>
    <w:p w14:paraId="4C821CAB" w14:textId="6CA12E8E" w:rsidR="004A45CE" w:rsidRDefault="001A6737" w:rsidP="00B80EAF">
      <w:pPr>
        <w:pStyle w:val="ListParagraph"/>
        <w:numPr>
          <w:ilvl w:val="0"/>
          <w:numId w:val="9"/>
        </w:numPr>
      </w:pPr>
      <w:r w:rsidRPr="00611A5F">
        <w:rPr>
          <w:b/>
          <w:bCs/>
        </w:rPr>
        <w:t xml:space="preserve">Innovative </w:t>
      </w:r>
      <w:r w:rsidR="00611A5F" w:rsidRPr="00611A5F">
        <w:rPr>
          <w:b/>
          <w:bCs/>
        </w:rPr>
        <w:t>p</w:t>
      </w:r>
      <w:r w:rsidRPr="00611A5F">
        <w:rPr>
          <w:b/>
          <w:bCs/>
        </w:rPr>
        <w:t>ractices</w:t>
      </w:r>
      <w:r>
        <w:t xml:space="preserve">: Supplemental grants have supported impactful initiatives, including Individual Placement and Support (IPS) for employment, the introduction of </w:t>
      </w:r>
      <w:proofErr w:type="spellStart"/>
      <w:r>
        <w:t>Buvidal</w:t>
      </w:r>
      <w:proofErr w:type="spellEnd"/>
      <w:r>
        <w:t xml:space="preserve"> for opioid dependency, and housing-related interventions</w:t>
      </w:r>
      <w:r w:rsidR="00C516C3">
        <w:t>.</w:t>
      </w:r>
    </w:p>
    <w:p w14:paraId="05AE984E" w14:textId="77777777" w:rsidR="00352AFE" w:rsidRDefault="00352AFE" w:rsidP="00352AFE"/>
    <w:p w14:paraId="617C1672" w14:textId="21405E62" w:rsidR="005803B0" w:rsidRDefault="005803B0" w:rsidP="00D22789">
      <w:pPr>
        <w:pStyle w:val="Heading2"/>
      </w:pPr>
      <w:bookmarkStart w:id="6" w:name="_Toc200479446"/>
      <w:r>
        <w:t xml:space="preserve">Weaknesses </w:t>
      </w:r>
      <w:r w:rsidR="00677FD9">
        <w:t>in</w:t>
      </w:r>
      <w:r>
        <w:t xml:space="preserve"> the </w:t>
      </w:r>
      <w:r w:rsidR="00624B8C">
        <w:t>C</w:t>
      </w:r>
      <w:r>
        <w:t xml:space="preserve">urrent </w:t>
      </w:r>
      <w:r w:rsidR="00624B8C">
        <w:t>S</w:t>
      </w:r>
      <w:r>
        <w:t>ystem</w:t>
      </w:r>
      <w:bookmarkEnd w:id="6"/>
    </w:p>
    <w:p w14:paraId="395B7500" w14:textId="77777777" w:rsidR="005803B0" w:rsidRDefault="005803B0" w:rsidP="005803B0">
      <w:r>
        <w:t>Key areas for improvement include:</w:t>
      </w:r>
    </w:p>
    <w:p w14:paraId="0081007F" w14:textId="292A7112" w:rsidR="00B45B78" w:rsidRDefault="00B45B78" w:rsidP="00B80EAF">
      <w:pPr>
        <w:pStyle w:val="ListParagraph"/>
        <w:numPr>
          <w:ilvl w:val="0"/>
          <w:numId w:val="11"/>
        </w:numPr>
      </w:pPr>
      <w:r w:rsidRPr="16F14F99">
        <w:rPr>
          <w:b/>
          <w:bCs/>
        </w:rPr>
        <w:t>Unmet treatment need</w:t>
      </w:r>
      <w:r>
        <w:t xml:space="preserve"> is particularly high across all substances for </w:t>
      </w:r>
      <w:r w:rsidRPr="16F14F99">
        <w:rPr>
          <w:b/>
          <w:bCs/>
        </w:rPr>
        <w:t>young adults</w:t>
      </w:r>
      <w:r w:rsidR="00E81C46" w:rsidRPr="16F14F99">
        <w:rPr>
          <w:b/>
          <w:bCs/>
        </w:rPr>
        <w:t xml:space="preserve">, </w:t>
      </w:r>
      <w:r w:rsidR="00E81C46">
        <w:t xml:space="preserve">although </w:t>
      </w:r>
      <w:r w:rsidR="095A7944">
        <w:t>better in Peterborough when compared to England</w:t>
      </w:r>
      <w:r w:rsidR="00F506CF">
        <w:t>.</w:t>
      </w:r>
      <w:r w:rsidR="004E21AB">
        <w:t xml:space="preserve"> </w:t>
      </w:r>
    </w:p>
    <w:p w14:paraId="2E1E7439" w14:textId="4D0776C3" w:rsidR="005803B0" w:rsidRDefault="005803B0" w:rsidP="00B80EAF">
      <w:pPr>
        <w:pStyle w:val="ListParagraph"/>
        <w:numPr>
          <w:ilvl w:val="0"/>
          <w:numId w:val="11"/>
        </w:numPr>
      </w:pPr>
      <w:r w:rsidRPr="16F14F99">
        <w:rPr>
          <w:b/>
          <w:bCs/>
        </w:rPr>
        <w:t>Limited access to residential rehabilitation</w:t>
      </w:r>
      <w:r>
        <w:t>.</w:t>
      </w:r>
    </w:p>
    <w:p w14:paraId="615D6D58" w14:textId="527D6B1B" w:rsidR="005803B0" w:rsidRDefault="00502EBA" w:rsidP="00B80EAF">
      <w:pPr>
        <w:pStyle w:val="ListParagraph"/>
        <w:numPr>
          <w:ilvl w:val="0"/>
          <w:numId w:val="11"/>
        </w:numPr>
      </w:pPr>
      <w:r w:rsidRPr="00611A5F">
        <w:rPr>
          <w:b/>
          <w:bCs/>
        </w:rPr>
        <w:t>Areas of f</w:t>
      </w:r>
      <w:r w:rsidR="005803B0" w:rsidRPr="00611A5F">
        <w:rPr>
          <w:b/>
          <w:bCs/>
        </w:rPr>
        <w:t>ragmentation</w:t>
      </w:r>
      <w:r w:rsidR="005803B0">
        <w:t xml:space="preserve"> between local drug and alcohol services, </w:t>
      </w:r>
      <w:r w:rsidR="00B23D6C">
        <w:t xml:space="preserve">some </w:t>
      </w:r>
      <w:r w:rsidR="005803B0">
        <w:t xml:space="preserve">NHS </w:t>
      </w:r>
      <w:r w:rsidR="00B23D6C">
        <w:t xml:space="preserve">and social care </w:t>
      </w:r>
      <w:r w:rsidR="005803B0">
        <w:t xml:space="preserve">services and other </w:t>
      </w:r>
      <w:r w:rsidR="00B23D6C">
        <w:t>partners</w:t>
      </w:r>
      <w:r w:rsidR="005803B0">
        <w:t>.</w:t>
      </w:r>
    </w:p>
    <w:p w14:paraId="7E866024" w14:textId="4B2B19E5" w:rsidR="00D14399" w:rsidRPr="00344C1A" w:rsidRDefault="00B23D6C" w:rsidP="00B80EAF">
      <w:pPr>
        <w:pStyle w:val="ListParagraph"/>
        <w:numPr>
          <w:ilvl w:val="1"/>
          <w:numId w:val="11"/>
        </w:numPr>
      </w:pPr>
      <w:r>
        <w:t>Th</w:t>
      </w:r>
      <w:r w:rsidRPr="00344C1A">
        <w:t xml:space="preserve">is </w:t>
      </w:r>
      <w:r w:rsidR="00B82BE4" w:rsidRPr="00344C1A">
        <w:t xml:space="preserve">may </w:t>
      </w:r>
      <w:r w:rsidR="00CB3436" w:rsidRPr="00344C1A">
        <w:t>lead to m</w:t>
      </w:r>
      <w:r w:rsidR="00747BE6" w:rsidRPr="00344C1A">
        <w:t xml:space="preserve">issed opportunities </w:t>
      </w:r>
      <w:r w:rsidR="00B82BE4" w:rsidRPr="00344C1A">
        <w:t xml:space="preserve">for </w:t>
      </w:r>
      <w:r w:rsidR="00747BE6" w:rsidRPr="00344C1A">
        <w:t xml:space="preserve">engagement </w:t>
      </w:r>
      <w:r w:rsidR="00CB3436" w:rsidRPr="00344C1A">
        <w:t xml:space="preserve">and joint care </w:t>
      </w:r>
      <w:r w:rsidR="00B82BE4" w:rsidRPr="00344C1A">
        <w:t xml:space="preserve">for those </w:t>
      </w:r>
      <w:r w:rsidR="00CB3436" w:rsidRPr="00344C1A">
        <w:t>with overlapping needs.</w:t>
      </w:r>
    </w:p>
    <w:p w14:paraId="6F0A73D1" w14:textId="3B62F4E2" w:rsidR="00DC3EFB" w:rsidRDefault="00DC3EFB" w:rsidP="00DC3EFB"/>
    <w:p w14:paraId="18195474" w14:textId="7D4D6D33" w:rsidR="00F274A4" w:rsidRDefault="00F274A4" w:rsidP="00D22789">
      <w:pPr>
        <w:pStyle w:val="Heading2"/>
      </w:pPr>
      <w:bookmarkStart w:id="7" w:name="_Toc200479447"/>
      <w:r>
        <w:t>Other Opportunities</w:t>
      </w:r>
      <w:bookmarkEnd w:id="7"/>
    </w:p>
    <w:p w14:paraId="607A125B" w14:textId="67B8EE31" w:rsidR="002F3FA2" w:rsidRPr="00D7256C" w:rsidRDefault="00C14F6A" w:rsidP="00B80EAF">
      <w:pPr>
        <w:pStyle w:val="ListParagraph"/>
        <w:numPr>
          <w:ilvl w:val="0"/>
          <w:numId w:val="11"/>
        </w:numPr>
      </w:pPr>
      <w:r w:rsidRPr="00861E39">
        <w:t xml:space="preserve">Opportunity to strengthen </w:t>
      </w:r>
      <w:r w:rsidRPr="00C14F6A">
        <w:rPr>
          <w:b/>
          <w:bCs/>
        </w:rPr>
        <w:t>assertive outreach for those at high risk of mortality</w:t>
      </w:r>
      <w:r w:rsidR="00034690" w:rsidRPr="00861E39">
        <w:t xml:space="preserve">, for </w:t>
      </w:r>
      <w:r w:rsidR="00034690" w:rsidRPr="00D7256C">
        <w:t xml:space="preserve">example by strengthening links and ensuring direct referral pathways exist from ambulance services and </w:t>
      </w:r>
      <w:r w:rsidR="00861E39" w:rsidRPr="00D7256C">
        <w:t xml:space="preserve">high-impact user services. </w:t>
      </w:r>
    </w:p>
    <w:p w14:paraId="6FB1B60A" w14:textId="3D712C88" w:rsidR="001756FF" w:rsidRPr="00D7256C" w:rsidRDefault="008914F5" w:rsidP="00B80EAF">
      <w:pPr>
        <w:pStyle w:val="ListParagraph"/>
        <w:numPr>
          <w:ilvl w:val="0"/>
          <w:numId w:val="11"/>
        </w:numPr>
      </w:pPr>
      <w:r w:rsidRPr="00D7256C">
        <w:t>There is scope to build a</w:t>
      </w:r>
      <w:r w:rsidRPr="00D7256C">
        <w:rPr>
          <w:b/>
          <w:bCs/>
        </w:rPr>
        <w:t xml:space="preserve"> stronger recovery community </w:t>
      </w:r>
      <w:r w:rsidRPr="00D7256C">
        <w:t>in Peterborough, supporting people in sustained recovery to address current gaps in services.</w:t>
      </w:r>
      <w:r w:rsidR="00D7256C" w:rsidRPr="00D7256C">
        <w:t xml:space="preserve"> </w:t>
      </w:r>
    </w:p>
    <w:p w14:paraId="53488B29" w14:textId="639535A3" w:rsidR="5281F4AC" w:rsidRDefault="5281F4AC" w:rsidP="00B80EAF">
      <w:pPr>
        <w:pStyle w:val="ListParagraph"/>
        <w:numPr>
          <w:ilvl w:val="0"/>
          <w:numId w:val="11"/>
        </w:numPr>
      </w:pPr>
      <w:r w:rsidRPr="00D7256C">
        <w:t xml:space="preserve">Qualitative feedback from stakeholders and service users </w:t>
      </w:r>
      <w:r w:rsidR="0043471C">
        <w:t>has highlighted</w:t>
      </w:r>
      <w:r w:rsidRPr="00D7256C">
        <w:t xml:space="preserve"> </w:t>
      </w:r>
      <w:r w:rsidRPr="00456466">
        <w:rPr>
          <w:b/>
        </w:rPr>
        <w:t xml:space="preserve">co-location </w:t>
      </w:r>
      <w:r w:rsidR="000AC9FF" w:rsidRPr="00456466">
        <w:rPr>
          <w:b/>
        </w:rPr>
        <w:t>opportunities</w:t>
      </w:r>
      <w:r w:rsidR="000AC9FF" w:rsidRPr="00D7256C">
        <w:t xml:space="preserve"> across the city</w:t>
      </w:r>
      <w:r w:rsidR="00456466">
        <w:t>,</w:t>
      </w:r>
      <w:r w:rsidR="000AC9FF" w:rsidRPr="00D7256C">
        <w:t xml:space="preserve"> to support accessibility </w:t>
      </w:r>
      <w:r w:rsidR="000AC9FF">
        <w:t xml:space="preserve">and partnership working. </w:t>
      </w:r>
    </w:p>
    <w:p w14:paraId="7AD714A8" w14:textId="77777777" w:rsidR="004B0AF4" w:rsidRDefault="004B0AF4" w:rsidP="002150F1"/>
    <w:p w14:paraId="715442E4" w14:textId="7AA1E616" w:rsidR="00A333B9" w:rsidRDefault="00A333B9" w:rsidP="00D22789">
      <w:pPr>
        <w:pStyle w:val="Heading2"/>
      </w:pPr>
      <w:bookmarkStart w:id="8" w:name="_Toc200479448"/>
      <w:r>
        <w:t xml:space="preserve">Co-benefits of </w:t>
      </w:r>
      <w:r w:rsidR="006A1712">
        <w:t>Investment</w:t>
      </w:r>
      <w:bookmarkEnd w:id="8"/>
    </w:p>
    <w:p w14:paraId="6764B257" w14:textId="77777777" w:rsidR="00D22789" w:rsidRDefault="00D22789" w:rsidP="00D22789">
      <w:r>
        <w:t>Investment in drug and alcohol services continue to yield significant public health and societal benefits, including:</w:t>
      </w:r>
    </w:p>
    <w:p w14:paraId="1D1AA294" w14:textId="77777777" w:rsidR="00D22789" w:rsidRDefault="00D22789" w:rsidP="00B80EAF">
      <w:pPr>
        <w:pStyle w:val="ListParagraph"/>
        <w:numPr>
          <w:ilvl w:val="0"/>
          <w:numId w:val="12"/>
        </w:numPr>
      </w:pPr>
      <w:r w:rsidRPr="00861E39">
        <w:rPr>
          <w:b/>
          <w:bCs/>
        </w:rPr>
        <w:t>Reductions in crime</w:t>
      </w:r>
      <w:r>
        <w:t xml:space="preserve"> and criminal justice costs.</w:t>
      </w:r>
    </w:p>
    <w:p w14:paraId="21DBBB9E" w14:textId="77777777" w:rsidR="00D22789" w:rsidRDefault="00D22789" w:rsidP="00B80EAF">
      <w:pPr>
        <w:pStyle w:val="ListParagraph"/>
        <w:numPr>
          <w:ilvl w:val="0"/>
          <w:numId w:val="12"/>
        </w:numPr>
      </w:pPr>
      <w:r w:rsidRPr="00861E39">
        <w:rPr>
          <w:b/>
          <w:bCs/>
        </w:rPr>
        <w:t>Improved health outcomes</w:t>
      </w:r>
      <w:r>
        <w:t xml:space="preserve"> and reduced healthcare costs.</w:t>
      </w:r>
    </w:p>
    <w:p w14:paraId="05B96A8D" w14:textId="77777777" w:rsidR="00D22789" w:rsidRDefault="00D22789" w:rsidP="00B80EAF">
      <w:pPr>
        <w:pStyle w:val="ListParagraph"/>
        <w:numPr>
          <w:ilvl w:val="0"/>
          <w:numId w:val="12"/>
        </w:numPr>
      </w:pPr>
      <w:r w:rsidRPr="00861E39">
        <w:rPr>
          <w:b/>
          <w:bCs/>
        </w:rPr>
        <w:t>Enhanced economic productivity</w:t>
      </w:r>
      <w:r>
        <w:t xml:space="preserve"> through employment.</w:t>
      </w:r>
    </w:p>
    <w:p w14:paraId="2277CADC" w14:textId="72D29581" w:rsidR="006A1712" w:rsidRDefault="00A138B7" w:rsidP="00D22789">
      <w:pPr>
        <w:pStyle w:val="Heading2"/>
      </w:pPr>
      <w:bookmarkStart w:id="9" w:name="_Toc200479449"/>
      <w:r>
        <w:lastRenderedPageBreak/>
        <w:t>Recommendations</w:t>
      </w:r>
      <w:bookmarkEnd w:id="9"/>
    </w:p>
    <w:p w14:paraId="3834012B" w14:textId="2A107A56" w:rsidR="00E22BF3" w:rsidRPr="00AF59F1" w:rsidRDefault="00931D83" w:rsidP="00E22BF3">
      <w:r>
        <w:t xml:space="preserve">This needs assessment has </w:t>
      </w:r>
      <w:r w:rsidRPr="0080071C">
        <w:t>3</w:t>
      </w:r>
      <w:r w:rsidR="007B47B1">
        <w:t>3</w:t>
      </w:r>
      <w:r w:rsidRPr="0080071C">
        <w:t xml:space="preserve"> recommendations </w:t>
      </w:r>
      <w:r>
        <w:t>from b</w:t>
      </w:r>
      <w:r w:rsidR="0080071C" w:rsidRPr="0080071C">
        <w:t>ringing together the literature review, quantitative analysis</w:t>
      </w:r>
      <w:r w:rsidR="001B1250">
        <w:t xml:space="preserve"> and insights from qualitative </w:t>
      </w:r>
      <w:r w:rsidR="00857F3D">
        <w:t>findings</w:t>
      </w:r>
      <w:r>
        <w:t xml:space="preserve">. </w:t>
      </w:r>
      <w:r w:rsidR="003B0A02">
        <w:t xml:space="preserve">They are presented here </w:t>
      </w:r>
      <w:r w:rsidR="001713C1">
        <w:t xml:space="preserve">as </w:t>
      </w:r>
      <w:r w:rsidR="00E63854">
        <w:t xml:space="preserve">25 </w:t>
      </w:r>
      <w:r w:rsidR="00072DAE">
        <w:t xml:space="preserve">quantitative </w:t>
      </w:r>
      <w:r w:rsidR="0088738C">
        <w:t xml:space="preserve">recommendations </w:t>
      </w:r>
      <w:r w:rsidR="000C7F5C">
        <w:t xml:space="preserve">and </w:t>
      </w:r>
      <w:r w:rsidR="007B47B1">
        <w:t>8</w:t>
      </w:r>
      <w:r w:rsidR="00E63854">
        <w:t xml:space="preserve"> </w:t>
      </w:r>
      <w:r w:rsidR="00072DAE">
        <w:t xml:space="preserve">qualitative </w:t>
      </w:r>
      <w:r w:rsidR="001713C1">
        <w:t>recommendations</w:t>
      </w:r>
      <w:r w:rsidR="00775E65">
        <w:t xml:space="preserve">; findings that informed each recommendation can be found in the </w:t>
      </w:r>
      <w:r w:rsidR="00B4429A">
        <w:t>relevant section of this needs assessment.</w:t>
      </w:r>
    </w:p>
    <w:p w14:paraId="4CB9818C" w14:textId="441C0148" w:rsidR="00276186" w:rsidRPr="00121C8B" w:rsidRDefault="00276186" w:rsidP="00276186">
      <w:pPr>
        <w:pStyle w:val="Heading3"/>
      </w:pPr>
      <w:bookmarkStart w:id="10" w:name="_Toc200479450"/>
      <w:r>
        <w:t xml:space="preserve">Quantitative </w:t>
      </w:r>
      <w:r w:rsidR="00B4429A">
        <w:t xml:space="preserve">(‘Quant’) </w:t>
      </w:r>
      <w:r>
        <w:t>Recommendations</w:t>
      </w:r>
      <w:bookmarkEnd w:id="10"/>
    </w:p>
    <w:p w14:paraId="355AE194" w14:textId="77777777" w:rsidR="00276186" w:rsidRPr="006C2B7C" w:rsidRDefault="00276186" w:rsidP="00276186">
      <w:pPr>
        <w:rPr>
          <w:b/>
          <w:bCs/>
        </w:rPr>
      </w:pPr>
      <w:r w:rsidRPr="006C2B7C">
        <w:rPr>
          <w:b/>
          <w:bCs/>
        </w:rPr>
        <w:t>Subsection 5.2 –</w:t>
      </w:r>
      <w:r>
        <w:rPr>
          <w:b/>
          <w:bCs/>
        </w:rPr>
        <w:t xml:space="preserve"> D</w:t>
      </w:r>
      <w:r w:rsidRPr="006C2B7C">
        <w:rPr>
          <w:b/>
          <w:bCs/>
        </w:rPr>
        <w:t>rug use prevalence, service user epidemiology and unmet need</w:t>
      </w:r>
      <w:r>
        <w:rPr>
          <w:b/>
          <w:bCs/>
        </w:rPr>
        <w:t xml:space="preserve"> in </w:t>
      </w:r>
      <w:r w:rsidRPr="006C2B7C">
        <w:rPr>
          <w:b/>
          <w:bCs/>
        </w:rPr>
        <w:t>Peterborough</w:t>
      </w:r>
    </w:p>
    <w:p w14:paraId="7A8CB5FE" w14:textId="77777777" w:rsidR="00276186" w:rsidRDefault="00276186" w:rsidP="00276186">
      <w:pPr>
        <w:pStyle w:val="Heading6"/>
      </w:pPr>
      <w:r>
        <w:t>Quant Recommendation 1</w:t>
      </w:r>
    </w:p>
    <w:p w14:paraId="032EB934" w14:textId="239B5615" w:rsidR="00276186" w:rsidRPr="000D6A9A" w:rsidRDefault="00276186" w:rsidP="00276186">
      <w:r w:rsidRPr="00F25A53">
        <w:t xml:space="preserve">Enhance preventative and harm reduction education for students around </w:t>
      </w:r>
      <w:r w:rsidR="006A0639">
        <w:t>age 14-15</w:t>
      </w:r>
      <w:r w:rsidRPr="00F25A53">
        <w:t xml:space="preserve">, ensuring approaches are evidence-informed and relevant to local needs. Programmes should aim to increase knowledge and awareness while supporting informed decision-making. </w:t>
      </w:r>
      <w:r>
        <w:t xml:space="preserve">Routes to support from </w:t>
      </w:r>
      <w:r w:rsidRPr="00F25A53">
        <w:t xml:space="preserve">local DA services should </w:t>
      </w:r>
      <w:r>
        <w:t xml:space="preserve">be </w:t>
      </w:r>
      <w:r w:rsidRPr="00F25A53">
        <w:t>visible and accessible.</w:t>
      </w:r>
    </w:p>
    <w:p w14:paraId="3283B0F8" w14:textId="7E4860CB" w:rsidR="00276186" w:rsidRPr="00246759" w:rsidRDefault="00A27FDD" w:rsidP="00A27FDD">
      <w:pPr>
        <w:pStyle w:val="Heading6"/>
      </w:pPr>
      <w:r>
        <w:t xml:space="preserve">Quant Recommendation </w:t>
      </w:r>
      <w:r w:rsidR="00276186">
        <w:t>2</w:t>
      </w:r>
    </w:p>
    <w:p w14:paraId="0128F2F7" w14:textId="733E0B39" w:rsidR="00276186" w:rsidRDefault="00276186" w:rsidP="00276186">
      <w:r w:rsidRPr="00B37ED2">
        <w:t xml:space="preserve">While treatment services in Peterborough are performing well in reducing unmet need for </w:t>
      </w:r>
      <w:r w:rsidR="00A5108D">
        <w:t>O</w:t>
      </w:r>
      <w:r w:rsidRPr="00B37ED2">
        <w:t xml:space="preserve">piate and </w:t>
      </w:r>
      <w:r w:rsidR="00A5108D">
        <w:t>C</w:t>
      </w:r>
      <w:r w:rsidRPr="00B37ED2">
        <w:t xml:space="preserve">rack </w:t>
      </w:r>
      <w:r w:rsidR="00A5108D">
        <w:t>U</w:t>
      </w:r>
      <w:r w:rsidRPr="00B37ED2">
        <w:t>sers (OCU) overall, targeted efforts are needed to address disparities among specific subgroups. Services should focus on increasing engagement with males, younger adults, and individuals who use crack only, as these groups have significantly higher unmet need. This may involve tailored outreach and strengthened partnerships with organisations that have contact with these subgroups.</w:t>
      </w:r>
    </w:p>
    <w:p w14:paraId="1AFDA22F" w14:textId="77777777" w:rsidR="00276186" w:rsidRDefault="00276186" w:rsidP="00276186">
      <w:r w:rsidRPr="00F36B77">
        <w:t xml:space="preserve">The potential for an extension of young people’s services to support those up to age 25 should be considered in addressing engagement and continuity of care. </w:t>
      </w:r>
      <w:r>
        <w:t xml:space="preserve">In addition, </w:t>
      </w:r>
      <w:r w:rsidRPr="00F36B77">
        <w:t>lower numbers of 16–17-year-olds in treatmen</w:t>
      </w:r>
      <w:r>
        <w:t>t</w:t>
      </w:r>
      <w:r w:rsidRPr="00F36B77">
        <w:t xml:space="preserve"> compared to 15-year-olds</w:t>
      </w:r>
      <w:r>
        <w:t xml:space="preserve"> </w:t>
      </w:r>
      <w:r w:rsidRPr="00F36B77">
        <w:t>suggest</w:t>
      </w:r>
      <w:r>
        <w:t>s</w:t>
      </w:r>
      <w:r w:rsidRPr="00F36B77">
        <w:t xml:space="preserve"> a potential gap that should be explored to ensure </w:t>
      </w:r>
      <w:r w:rsidRPr="00C74887">
        <w:t>appropriate access and support for this age group, where need is expected to be similar</w:t>
      </w:r>
      <w:r>
        <w:t xml:space="preserve"> or higher</w:t>
      </w:r>
      <w:r w:rsidRPr="00F36B77">
        <w:t>.</w:t>
      </w:r>
    </w:p>
    <w:p w14:paraId="0F439E40" w14:textId="77777777" w:rsidR="00276186" w:rsidRDefault="00276186" w:rsidP="00276186"/>
    <w:p w14:paraId="301AAC92" w14:textId="77777777" w:rsidR="00276186" w:rsidRPr="006C2B7C" w:rsidRDefault="00276186" w:rsidP="00276186">
      <w:pPr>
        <w:rPr>
          <w:b/>
          <w:bCs/>
        </w:rPr>
      </w:pPr>
      <w:r w:rsidRPr="006C2B7C">
        <w:rPr>
          <w:b/>
          <w:bCs/>
        </w:rPr>
        <w:t xml:space="preserve">Subsection 5.3 – </w:t>
      </w:r>
      <w:r>
        <w:rPr>
          <w:b/>
          <w:bCs/>
        </w:rPr>
        <w:t>A</w:t>
      </w:r>
      <w:r w:rsidRPr="006C2B7C">
        <w:rPr>
          <w:b/>
          <w:bCs/>
        </w:rPr>
        <w:t>lcohol use prevalence, service user epidemiology and unmet need</w:t>
      </w:r>
      <w:r>
        <w:rPr>
          <w:b/>
          <w:bCs/>
        </w:rPr>
        <w:t xml:space="preserve"> in </w:t>
      </w:r>
      <w:r w:rsidRPr="006C2B7C">
        <w:rPr>
          <w:b/>
          <w:bCs/>
        </w:rPr>
        <w:t>Peterborough</w:t>
      </w:r>
    </w:p>
    <w:p w14:paraId="0A5B186C" w14:textId="56E513A6" w:rsidR="00276186" w:rsidRDefault="00A27FDD" w:rsidP="00A27FDD">
      <w:pPr>
        <w:pStyle w:val="Heading6"/>
      </w:pPr>
      <w:r>
        <w:t xml:space="preserve">Quant Recommendation </w:t>
      </w:r>
      <w:r w:rsidR="00276186">
        <w:t>3</w:t>
      </w:r>
    </w:p>
    <w:p w14:paraId="63C4ABFB" w14:textId="77777777" w:rsidR="00276186" w:rsidRDefault="00276186" w:rsidP="00276186">
      <w:r w:rsidRPr="00516886">
        <w:t>Unmet need for alcohol treatment in Peterborough remains high, exceeding 60% across all adults and disproportionately affecting younger adults. To address this, services should enhance early identification and engagement efforts, particularly among younger adults. This may include targeted community engagement initiatives and collaborations with local youth organisations to raise awareness and encourage individuals to seek help.</w:t>
      </w:r>
    </w:p>
    <w:p w14:paraId="0B069BFC" w14:textId="77777777" w:rsidR="00276186" w:rsidRDefault="00276186" w:rsidP="00276186">
      <w:r w:rsidRPr="00BE78D6">
        <w:t xml:space="preserve">Improved pathways between healthcare, social services, and specialist treatment are </w:t>
      </w:r>
      <w:r>
        <w:t>essential, while e</w:t>
      </w:r>
      <w:r w:rsidRPr="00BE78D6">
        <w:t xml:space="preserve">xpanding access to flexible, low-threshold support options may also help reduce barriers to treatment. </w:t>
      </w:r>
    </w:p>
    <w:p w14:paraId="179ABB9C" w14:textId="77777777" w:rsidR="00276186" w:rsidRDefault="00276186" w:rsidP="00276186">
      <w:r w:rsidRPr="00F13AB8">
        <w:t>The service model should also explore whether alcohol treatment or aspects of the service could be structured separately from drug services within the existing system, which could help remove the barrier of stigma.</w:t>
      </w:r>
    </w:p>
    <w:p w14:paraId="261C17D4" w14:textId="77777777" w:rsidR="00276186" w:rsidRDefault="00276186" w:rsidP="00276186"/>
    <w:p w14:paraId="1ECAF6C9" w14:textId="6B91916C" w:rsidR="00276186" w:rsidRPr="006C2B7C" w:rsidRDefault="00276186" w:rsidP="00276186">
      <w:pPr>
        <w:rPr>
          <w:b/>
          <w:bCs/>
        </w:rPr>
      </w:pPr>
      <w:r w:rsidRPr="006C2B7C">
        <w:rPr>
          <w:b/>
          <w:bCs/>
        </w:rPr>
        <w:lastRenderedPageBreak/>
        <w:t xml:space="preserve">Subsection 5.4 – </w:t>
      </w:r>
      <w:r w:rsidR="005D0105">
        <w:rPr>
          <w:b/>
          <w:bCs/>
        </w:rPr>
        <w:t>S</w:t>
      </w:r>
      <w:r w:rsidRPr="006C2B7C">
        <w:rPr>
          <w:b/>
          <w:bCs/>
        </w:rPr>
        <w:t xml:space="preserve">ervice </w:t>
      </w:r>
      <w:r>
        <w:rPr>
          <w:b/>
          <w:bCs/>
        </w:rPr>
        <w:t>u</w:t>
      </w:r>
      <w:r w:rsidRPr="006C2B7C">
        <w:rPr>
          <w:b/>
          <w:bCs/>
        </w:rPr>
        <w:t xml:space="preserve">ser </w:t>
      </w:r>
      <w:r>
        <w:rPr>
          <w:b/>
          <w:bCs/>
        </w:rPr>
        <w:t>d</w:t>
      </w:r>
      <w:r w:rsidRPr="006C2B7C">
        <w:rPr>
          <w:b/>
          <w:bCs/>
        </w:rPr>
        <w:t>emographics</w:t>
      </w:r>
      <w:r w:rsidR="005D0105">
        <w:rPr>
          <w:b/>
          <w:bCs/>
        </w:rPr>
        <w:t xml:space="preserve"> in </w:t>
      </w:r>
      <w:r w:rsidR="005D0105" w:rsidRPr="006C2B7C">
        <w:rPr>
          <w:b/>
          <w:bCs/>
        </w:rPr>
        <w:t>Peterborough</w:t>
      </w:r>
    </w:p>
    <w:p w14:paraId="6B6A3D88" w14:textId="7CF83000" w:rsidR="00276186" w:rsidRDefault="00A27FDD" w:rsidP="00A27FDD">
      <w:pPr>
        <w:pStyle w:val="Heading6"/>
      </w:pPr>
      <w:r>
        <w:t xml:space="preserve">Quant Recommendation </w:t>
      </w:r>
      <w:r w:rsidR="00276186">
        <w:t>4</w:t>
      </w:r>
    </w:p>
    <w:p w14:paraId="65C7734E" w14:textId="77777777" w:rsidR="00276186" w:rsidRPr="00D15289" w:rsidRDefault="00276186" w:rsidP="00276186">
      <w:r w:rsidRPr="00406BE6">
        <w:t xml:space="preserve">Services should ensure that engagement strategies and treatment approaches are informed by the distinct substance use patterns observed across different age groups. Tailoring </w:t>
      </w:r>
      <w:r>
        <w:t xml:space="preserve">access initiatives and </w:t>
      </w:r>
      <w:r w:rsidRPr="00406BE6">
        <w:t xml:space="preserve">interventions to these variations </w:t>
      </w:r>
      <w:r>
        <w:t xml:space="preserve">can </w:t>
      </w:r>
      <w:r w:rsidRPr="00406BE6">
        <w:t>improve accessibility and effectiveness.</w:t>
      </w:r>
    </w:p>
    <w:p w14:paraId="2F9F5C91" w14:textId="6032782D" w:rsidR="00276186" w:rsidRDefault="00A27FDD" w:rsidP="00A27FDD">
      <w:pPr>
        <w:pStyle w:val="Heading6"/>
      </w:pPr>
      <w:r>
        <w:t xml:space="preserve">Quant Recommendation </w:t>
      </w:r>
      <w:r w:rsidR="00276186">
        <w:t>5</w:t>
      </w:r>
    </w:p>
    <w:p w14:paraId="0FAEE95E" w14:textId="3E11271C" w:rsidR="00276186" w:rsidRPr="00080197" w:rsidRDefault="00276186" w:rsidP="00276186">
      <w:r w:rsidRPr="002113EC">
        <w:t>Improved</w:t>
      </w:r>
      <w:r w:rsidRPr="00462661">
        <w:rPr>
          <w:b/>
          <w:bCs/>
        </w:rPr>
        <w:t xml:space="preserve"> </w:t>
      </w:r>
      <w:r w:rsidRPr="002113EC">
        <w:t>data</w:t>
      </w:r>
      <w:r w:rsidRPr="00462661">
        <w:rPr>
          <w:b/>
          <w:bCs/>
        </w:rPr>
        <w:t xml:space="preserve"> </w:t>
      </w:r>
      <w:r w:rsidRPr="002113EC">
        <w:t>collection</w:t>
      </w:r>
      <w:r w:rsidRPr="005F40DD">
        <w:t xml:space="preserve"> for religion</w:t>
      </w:r>
      <w:r>
        <w:t xml:space="preserve"> and</w:t>
      </w:r>
      <w:r w:rsidRPr="005F40DD">
        <w:t xml:space="preserve"> sexual orientation will provide a clearer understanding of the diverse needs of service users, helping to identify and address gaps in care.</w:t>
      </w:r>
      <w:r>
        <w:t xml:space="preserve"> In addition, there is a need to record gender (and not just sex) in service user data. Evidence suggests there could be high need and potentially high unmet need </w:t>
      </w:r>
      <w:r w:rsidR="00A1061E">
        <w:t xml:space="preserve">in </w:t>
      </w:r>
      <w:r>
        <w:t xml:space="preserve">genders </w:t>
      </w:r>
      <w:r w:rsidR="00A1061E">
        <w:t>other than</w:t>
      </w:r>
      <w:r>
        <w:t xml:space="preserve"> binary female and male</w:t>
      </w:r>
      <w:r w:rsidR="00A1061E">
        <w:t>,</w:t>
      </w:r>
      <w:r>
        <w:t xml:space="preserve"> and monitoring will ensure any gaps in access are identified and can be addressed. </w:t>
      </w:r>
    </w:p>
    <w:p w14:paraId="443B6196" w14:textId="38E4E17A" w:rsidR="00276186" w:rsidRDefault="00A27FDD" w:rsidP="00A27FDD">
      <w:pPr>
        <w:pStyle w:val="Heading6"/>
      </w:pPr>
      <w:r>
        <w:t xml:space="preserve">Quant Recommendation </w:t>
      </w:r>
      <w:r w:rsidR="00276186">
        <w:t>6</w:t>
      </w:r>
    </w:p>
    <w:p w14:paraId="351B984D" w14:textId="46A210A9" w:rsidR="00276186" w:rsidRDefault="00556DAF" w:rsidP="00276186">
      <w:r w:rsidRPr="009D7924">
        <w:t xml:space="preserve">Targeted equality work is needed to address the under-representation of key groups with protected characteristics, including Asian and Black communities, religious minorities, and </w:t>
      </w:r>
      <w:r>
        <w:t>LGBT+ communities</w:t>
      </w:r>
      <w:r w:rsidRPr="009D7924">
        <w:t xml:space="preserve">. This should involve building on culturally competent service models and considering the need for specialist interventions, such as </w:t>
      </w:r>
      <w:proofErr w:type="spellStart"/>
      <w:r w:rsidRPr="009D7924">
        <w:t>chemsex</w:t>
      </w:r>
      <w:proofErr w:type="spellEnd"/>
      <w:r w:rsidRPr="009D7924">
        <w:t>-related services.</w:t>
      </w:r>
      <w:r>
        <w:t xml:space="preserve"> </w:t>
      </w:r>
      <w:r w:rsidRPr="00217887">
        <w:t>Ensuring physical, sensory, and cognitive accessibility for disabled people is also essential to support equitable access to treatment and recovery services.</w:t>
      </w:r>
    </w:p>
    <w:p w14:paraId="7EAE8F85" w14:textId="77777777" w:rsidR="00276186" w:rsidRDefault="00276186" w:rsidP="00276186"/>
    <w:p w14:paraId="09C4E173" w14:textId="58FE2E99" w:rsidR="00276186" w:rsidRPr="006C2B7C" w:rsidRDefault="00276186" w:rsidP="00276186">
      <w:pPr>
        <w:rPr>
          <w:b/>
          <w:bCs/>
        </w:rPr>
      </w:pPr>
      <w:r w:rsidRPr="006C2B7C">
        <w:rPr>
          <w:b/>
          <w:bCs/>
        </w:rPr>
        <w:t xml:space="preserve">Subsection 5.5 – Mortality from </w:t>
      </w:r>
      <w:r w:rsidR="005D0105">
        <w:rPr>
          <w:b/>
          <w:bCs/>
        </w:rPr>
        <w:t>drug and alcohol</w:t>
      </w:r>
      <w:r w:rsidRPr="006C2B7C">
        <w:rPr>
          <w:b/>
          <w:bCs/>
        </w:rPr>
        <w:t xml:space="preserve"> use</w:t>
      </w:r>
    </w:p>
    <w:p w14:paraId="61099D44" w14:textId="77EA546E" w:rsidR="00276186" w:rsidRDefault="00A27FDD" w:rsidP="00A27FDD">
      <w:pPr>
        <w:pStyle w:val="Heading6"/>
      </w:pPr>
      <w:r>
        <w:t xml:space="preserve">Quant Recommendation </w:t>
      </w:r>
      <w:r w:rsidR="00276186">
        <w:t>7</w:t>
      </w:r>
    </w:p>
    <w:p w14:paraId="48E32526" w14:textId="77777777" w:rsidR="00276186" w:rsidRDefault="00276186" w:rsidP="00276186">
      <w:r>
        <w:t>A</w:t>
      </w:r>
      <w:r w:rsidRPr="00682687">
        <w:t xml:space="preserve"> </w:t>
      </w:r>
      <w:r>
        <w:t>D</w:t>
      </w:r>
      <w:r w:rsidRPr="00682687">
        <w:t xml:space="preserve">rug and Alcohol-Related Deaths (DARD) audit </w:t>
      </w:r>
      <w:r>
        <w:t xml:space="preserve">should be considered to help </w:t>
      </w:r>
      <w:r w:rsidRPr="00682687">
        <w:t xml:space="preserve">to identify trends, risk factors, and opportunities for intervention </w:t>
      </w:r>
      <w:r>
        <w:t xml:space="preserve">to </w:t>
      </w:r>
      <w:r w:rsidRPr="00682687">
        <w:t>provide valuable insights</w:t>
      </w:r>
      <w:r>
        <w:t xml:space="preserve"> into areas for action</w:t>
      </w:r>
      <w:r w:rsidRPr="00682687">
        <w:t>. The findings should inform local harm reduction strategies, service improvements, and targeted outreach for high-risk groups to help prevent future deaths.</w:t>
      </w:r>
    </w:p>
    <w:p w14:paraId="4D150EC7" w14:textId="086EBA8E" w:rsidR="00276186" w:rsidRDefault="00A27FDD" w:rsidP="00A27FDD">
      <w:pPr>
        <w:pStyle w:val="Heading6"/>
      </w:pPr>
      <w:r>
        <w:t xml:space="preserve">Quant Recommendation </w:t>
      </w:r>
      <w:r w:rsidR="00276186">
        <w:t>8</w:t>
      </w:r>
    </w:p>
    <w:p w14:paraId="3BE4B851" w14:textId="77777777" w:rsidR="00276186" w:rsidRDefault="00276186" w:rsidP="00276186">
      <w:r w:rsidRPr="002817BE">
        <w:t xml:space="preserve">Strengthen joint working between mental health and substance misuse services, including exploring joint commissioning, integrated assessments, and shared care records. This </w:t>
      </w:r>
      <w:r>
        <w:t>aims to</w:t>
      </w:r>
      <w:r w:rsidRPr="002817BE">
        <w:t xml:space="preserve"> reduce barriers to access, and support individuals with co-occurring conditions more effectively</w:t>
      </w:r>
      <w:r>
        <w:t>, with more care continuity</w:t>
      </w:r>
      <w:r w:rsidRPr="002817BE">
        <w:t>.</w:t>
      </w:r>
    </w:p>
    <w:p w14:paraId="507FD4F7" w14:textId="77777777" w:rsidR="00276186" w:rsidRDefault="00276186" w:rsidP="00276186"/>
    <w:p w14:paraId="5319E3E4" w14:textId="77777777" w:rsidR="00276186" w:rsidRPr="006C2B7C" w:rsidRDefault="00276186" w:rsidP="00276186">
      <w:pPr>
        <w:rPr>
          <w:b/>
          <w:bCs/>
        </w:rPr>
      </w:pPr>
      <w:r w:rsidRPr="006C2B7C">
        <w:rPr>
          <w:b/>
          <w:bCs/>
        </w:rPr>
        <w:t>Subsection 5.6 – Health harms from DA use</w:t>
      </w:r>
    </w:p>
    <w:p w14:paraId="23488BB4" w14:textId="3469062F" w:rsidR="00276186" w:rsidRDefault="00A27FDD" w:rsidP="00A27FDD">
      <w:pPr>
        <w:pStyle w:val="Heading6"/>
      </w:pPr>
      <w:r>
        <w:t xml:space="preserve">Quant Recommendation </w:t>
      </w:r>
      <w:r w:rsidR="00276186">
        <w:t>9</w:t>
      </w:r>
    </w:p>
    <w:p w14:paraId="3124451E" w14:textId="5ABA93B3" w:rsidR="00276186" w:rsidRDefault="00276186" w:rsidP="00276186">
      <w:r>
        <w:t xml:space="preserve">Further understanding of </w:t>
      </w:r>
      <w:r w:rsidRPr="00677A58">
        <w:t>Primary Care Networks (PCNs) with high hospital admissions related to substance use</w:t>
      </w:r>
      <w:r>
        <w:t xml:space="preserve"> may identify </w:t>
      </w:r>
      <w:r w:rsidRPr="00677A58">
        <w:t xml:space="preserve">opportunities for enhanced support in primary care settings. </w:t>
      </w:r>
    </w:p>
    <w:p w14:paraId="577C69BD" w14:textId="54D48411" w:rsidR="00276186" w:rsidRDefault="00A27FDD" w:rsidP="00A27FDD">
      <w:pPr>
        <w:pStyle w:val="Heading6"/>
      </w:pPr>
      <w:r>
        <w:t xml:space="preserve">Quant Recommendation </w:t>
      </w:r>
      <w:r w:rsidR="00276186">
        <w:t>10</w:t>
      </w:r>
    </w:p>
    <w:p w14:paraId="5AF14955" w14:textId="77777777" w:rsidR="00276186" w:rsidRDefault="00276186" w:rsidP="00276186">
      <w:r>
        <w:t>To s</w:t>
      </w:r>
      <w:r w:rsidRPr="000F0C6A">
        <w:t>ustain progress in blood-borne virus (BBV) testing and treatment</w:t>
      </w:r>
      <w:r>
        <w:t xml:space="preserve">, services should </w:t>
      </w:r>
      <w:r w:rsidRPr="000F0C6A">
        <w:t xml:space="preserve">address barriers faced by </w:t>
      </w:r>
      <w:r>
        <w:t xml:space="preserve">individuals who are </w:t>
      </w:r>
      <w:r w:rsidRPr="000F0C6A">
        <w:t>not engaging.</w:t>
      </w:r>
      <w:r>
        <w:t xml:space="preserve"> Key considerations for achieving this include:</w:t>
      </w:r>
    </w:p>
    <w:p w14:paraId="75971B44" w14:textId="77777777" w:rsidR="00276186" w:rsidRDefault="00276186" w:rsidP="00276186">
      <w:pPr>
        <w:pStyle w:val="ListParagraph"/>
        <w:numPr>
          <w:ilvl w:val="0"/>
          <w:numId w:val="1"/>
        </w:numPr>
      </w:pPr>
      <w:r>
        <w:lastRenderedPageBreak/>
        <w:t>A designated role of BBV champion and harm reduction lead within the service.</w:t>
      </w:r>
    </w:p>
    <w:p w14:paraId="40FDF44B" w14:textId="77777777" w:rsidR="00276186" w:rsidRDefault="00276186" w:rsidP="00276186">
      <w:pPr>
        <w:pStyle w:val="ListParagraph"/>
        <w:numPr>
          <w:ilvl w:val="0"/>
          <w:numId w:val="1"/>
        </w:numPr>
      </w:pPr>
      <w:r>
        <w:t xml:space="preserve">Ensuring that BBV testing and treatment </w:t>
      </w:r>
      <w:r w:rsidRPr="00C33489">
        <w:t>are considered the responsibility of all staff, supported by standardised training and learning.</w:t>
      </w:r>
      <w:r>
        <w:t xml:space="preserve"> </w:t>
      </w:r>
    </w:p>
    <w:p w14:paraId="6991ACFF" w14:textId="77777777" w:rsidR="00276186" w:rsidRDefault="00276186" w:rsidP="00276186">
      <w:pPr>
        <w:pStyle w:val="ListParagraph"/>
        <w:numPr>
          <w:ilvl w:val="0"/>
          <w:numId w:val="1"/>
        </w:numPr>
      </w:pPr>
      <w:r>
        <w:t xml:space="preserve">Ensuring that </w:t>
      </w:r>
      <w:r w:rsidRPr="004C1729">
        <w:t xml:space="preserve">routine screening at treatment entry </w:t>
      </w:r>
      <w:r>
        <w:t>is</w:t>
      </w:r>
      <w:r w:rsidRPr="004C1729">
        <w:t xml:space="preserve"> standard practice, along with opportunistic offers and, where appropriate, opt-out testing.</w:t>
      </w:r>
    </w:p>
    <w:p w14:paraId="14A6A4FB" w14:textId="77777777" w:rsidR="00276186" w:rsidRDefault="00276186" w:rsidP="00276186">
      <w:pPr>
        <w:pStyle w:val="ListParagraph"/>
        <w:numPr>
          <w:ilvl w:val="0"/>
          <w:numId w:val="1"/>
        </w:numPr>
      </w:pPr>
      <w:r>
        <w:t xml:space="preserve">Increasing promotional activities and test and treat events. </w:t>
      </w:r>
    </w:p>
    <w:p w14:paraId="5813EBB4" w14:textId="77777777" w:rsidR="00276186" w:rsidRDefault="00276186" w:rsidP="00276186">
      <w:pPr>
        <w:pStyle w:val="ListParagraph"/>
        <w:numPr>
          <w:ilvl w:val="0"/>
          <w:numId w:val="1"/>
        </w:numPr>
      </w:pPr>
      <w:r>
        <w:t xml:space="preserve">Maintaining a strong focus on harm reduction and needle exchange programmes. </w:t>
      </w:r>
    </w:p>
    <w:p w14:paraId="0F462CEA" w14:textId="14F2C54C" w:rsidR="00276186" w:rsidRDefault="00276186" w:rsidP="00276186">
      <w:pPr>
        <w:pStyle w:val="ListParagraph"/>
        <w:numPr>
          <w:ilvl w:val="0"/>
          <w:numId w:val="1"/>
        </w:numPr>
      </w:pPr>
      <w:r>
        <w:t xml:space="preserve">Ensuring reporting structures include </w:t>
      </w:r>
      <w:r w:rsidR="00184511">
        <w:t xml:space="preserve">Hepatitis C virus (HCV) </w:t>
      </w:r>
      <w:proofErr w:type="spellStart"/>
      <w:r>
        <w:t>microelimination</w:t>
      </w:r>
      <w:proofErr w:type="spellEnd"/>
      <w:r>
        <w:t xml:space="preserve"> criteria.</w:t>
      </w:r>
    </w:p>
    <w:p w14:paraId="1235BC4A" w14:textId="77777777" w:rsidR="00276186" w:rsidRDefault="00276186" w:rsidP="00276186">
      <w:pPr>
        <w:pStyle w:val="ListParagraph"/>
        <w:numPr>
          <w:ilvl w:val="0"/>
          <w:numId w:val="1"/>
        </w:numPr>
      </w:pPr>
      <w:r>
        <w:t>Strong links with NHS services (e.g. hepatology, infectious disease).</w:t>
      </w:r>
    </w:p>
    <w:p w14:paraId="32852DF6" w14:textId="77777777" w:rsidR="00276186" w:rsidRDefault="00276186" w:rsidP="00276186"/>
    <w:p w14:paraId="3A41105B" w14:textId="77777777" w:rsidR="00276186" w:rsidRPr="006C2B7C" w:rsidRDefault="00276186" w:rsidP="00276186">
      <w:pPr>
        <w:rPr>
          <w:b/>
          <w:bCs/>
        </w:rPr>
      </w:pPr>
      <w:r w:rsidRPr="006C2B7C">
        <w:rPr>
          <w:b/>
          <w:bCs/>
        </w:rPr>
        <w:t>Subsection 5.7 – Intersecting vulnerabilities</w:t>
      </w:r>
    </w:p>
    <w:p w14:paraId="6D1D52AA" w14:textId="622EA313" w:rsidR="00276186" w:rsidRDefault="00A27FDD" w:rsidP="00A27FDD">
      <w:pPr>
        <w:pStyle w:val="Heading6"/>
      </w:pPr>
      <w:r>
        <w:t xml:space="preserve">Quant Recommendation </w:t>
      </w:r>
      <w:r w:rsidR="00276186">
        <w:t>11</w:t>
      </w:r>
    </w:p>
    <w:p w14:paraId="18F93B45" w14:textId="0BB4FDC8" w:rsidR="00276186" w:rsidRDefault="00276186" w:rsidP="00276186">
      <w:r w:rsidRPr="00D2237F">
        <w:t xml:space="preserve">Drug and alcohol services should ensure that mental health support is embedded within care planning and delivery, with strong referral pathways and collaborative working to meet service users' needs. This includes strengthening links with mental health services and ensuring access to appropriate support. (See </w:t>
      </w:r>
      <w:r w:rsidR="0096313D">
        <w:t xml:space="preserve">Quant </w:t>
      </w:r>
      <w:r w:rsidRPr="00D2237F">
        <w:t>Recommendations 7 and 8 for related actions.)</w:t>
      </w:r>
    </w:p>
    <w:p w14:paraId="2C63951E" w14:textId="10F6B906" w:rsidR="00276186" w:rsidRDefault="00A27FDD" w:rsidP="00A27FDD">
      <w:pPr>
        <w:pStyle w:val="Heading6"/>
      </w:pPr>
      <w:r>
        <w:t xml:space="preserve">Quant Recommendation </w:t>
      </w:r>
      <w:r w:rsidR="00276186">
        <w:t>12</w:t>
      </w:r>
    </w:p>
    <w:p w14:paraId="035C6B94" w14:textId="77777777" w:rsidR="00276186" w:rsidRDefault="00276186" w:rsidP="00276186">
      <w:r>
        <w:t>Ensure that domestic violence (DV) support structures prioritise safety and effectiveness. Processes should be in place to prevent victims and perpetrators from being placed in the same support groups, safeguarding the well-being of those affected.</w:t>
      </w:r>
    </w:p>
    <w:p w14:paraId="0B97D1C7" w14:textId="77777777" w:rsidR="00276186" w:rsidRDefault="00276186" w:rsidP="00276186">
      <w:r>
        <w:t xml:space="preserve">The increase in DV referrals should be reviewed to determine whether this reflects changing demographics, rising deprivation, or improved engagement with services. </w:t>
      </w:r>
      <w:r w:rsidRPr="00D035C8">
        <w:t>Efforts to deliver trauma-informed care, strengthen referral pathways for victims, and provide specialised outreach for women engaged in sex work should continue and be further developed</w:t>
      </w:r>
      <w:r>
        <w:t>.</w:t>
      </w:r>
    </w:p>
    <w:p w14:paraId="5A577DEF" w14:textId="39D03010" w:rsidR="00276186" w:rsidRDefault="00A27FDD" w:rsidP="00A27FDD">
      <w:pPr>
        <w:pStyle w:val="Heading6"/>
      </w:pPr>
      <w:r>
        <w:t xml:space="preserve">Quant Recommendation </w:t>
      </w:r>
      <w:r w:rsidR="00276186">
        <w:t>13</w:t>
      </w:r>
    </w:p>
    <w:p w14:paraId="69870DF7" w14:textId="77777777" w:rsidR="00276186" w:rsidRDefault="00276186" w:rsidP="00276186">
      <w:r>
        <w:t xml:space="preserve">Continue working towards the national target of 75% continuity of care by strengthening links between substance misuse services and the criminal justice system. Services should maximise opportunities to increase attendance and co-location within probation settings and actively engage in prison and probation pre-release resettlement panels. Clinical practice should play a role in improving continuity, including a joined-up harm reduction approach between prison healthcare teams and drug and alcohol services. Measures such as integrating FP10 prescriptions on release into community treatment plans could further support engagement and ensure a smoother transition into ongoing care. </w:t>
      </w:r>
    </w:p>
    <w:p w14:paraId="7D2FBC41" w14:textId="452A0F61" w:rsidR="00276186" w:rsidRDefault="00A27FDD" w:rsidP="00A27FDD">
      <w:pPr>
        <w:pStyle w:val="Heading6"/>
      </w:pPr>
      <w:r>
        <w:t xml:space="preserve">Quant Recommendation </w:t>
      </w:r>
      <w:r w:rsidR="00276186">
        <w:t>14</w:t>
      </w:r>
    </w:p>
    <w:p w14:paraId="2B560FA9" w14:textId="77777777" w:rsidR="00276186" w:rsidRDefault="00276186" w:rsidP="00276186">
      <w:r w:rsidRPr="00335CBF">
        <w:t>The successes of the Rough Sleeper Drug and Alcohol Treatment (RSDAT) model should be retained and integrated into service planning</w:t>
      </w:r>
      <w:r>
        <w:t xml:space="preserve">. Services need to reflect that </w:t>
      </w:r>
      <w:r w:rsidRPr="00A32086">
        <w:t xml:space="preserve">housing instability </w:t>
      </w:r>
      <w:r>
        <w:t xml:space="preserve">is high in Peterborough, which </w:t>
      </w:r>
      <w:r w:rsidRPr="00A32086">
        <w:t>compounds other health and social vulnerabilities</w:t>
      </w:r>
      <w:r>
        <w:t xml:space="preserve"> and </w:t>
      </w:r>
      <w:r w:rsidRPr="00A32086">
        <w:t>reinforc</w:t>
      </w:r>
      <w:r>
        <w:t>es</w:t>
      </w:r>
      <w:r w:rsidRPr="00A32086">
        <w:t xml:space="preserve"> the need for a joined-up approach in service delivery.</w:t>
      </w:r>
    </w:p>
    <w:p w14:paraId="1FA39E96" w14:textId="28B731DC" w:rsidR="00276186" w:rsidRDefault="00A27FDD" w:rsidP="00A27FDD">
      <w:pPr>
        <w:pStyle w:val="Heading6"/>
      </w:pPr>
      <w:r>
        <w:t xml:space="preserve">Quant Recommendation </w:t>
      </w:r>
      <w:r w:rsidR="00276186">
        <w:t>15</w:t>
      </w:r>
    </w:p>
    <w:p w14:paraId="6307B250" w14:textId="77777777" w:rsidR="00276186" w:rsidRDefault="00276186" w:rsidP="00276186">
      <w:r>
        <w:t>R</w:t>
      </w:r>
      <w:r w:rsidRPr="00226701">
        <w:t>ising support needs for children and families in Peterborough are likely driven by multiple factors, requiring a system-wide approach that considers the wider determinants of health.</w:t>
      </w:r>
      <w:r>
        <w:t xml:space="preserve"> </w:t>
      </w:r>
      <w:r w:rsidRPr="00226701">
        <w:t xml:space="preserve">Drug and alcohol services should incorporate coordinated support for parents, ensuring that </w:t>
      </w:r>
      <w:r w:rsidRPr="00226701">
        <w:lastRenderedPageBreak/>
        <w:t>families receive proactive, integrated assistance to improve outcomes for children</w:t>
      </w:r>
      <w:r>
        <w:t xml:space="preserve"> in these families. </w:t>
      </w:r>
      <w:r w:rsidRPr="00E45698">
        <w:t>Strengthening cross-sector collaboration between DA services, social care, and early help teams will be critical in addressing intergenerational cycles of harm</w:t>
      </w:r>
      <w:r w:rsidRPr="00226701">
        <w:t>.</w:t>
      </w:r>
    </w:p>
    <w:p w14:paraId="39508E64" w14:textId="3334E08B" w:rsidR="00276186" w:rsidRDefault="00A27FDD" w:rsidP="00A27FDD">
      <w:pPr>
        <w:pStyle w:val="Heading6"/>
      </w:pPr>
      <w:r>
        <w:t xml:space="preserve">Quant Recommendation </w:t>
      </w:r>
      <w:r w:rsidR="00276186">
        <w:t>16</w:t>
      </w:r>
    </w:p>
    <w:p w14:paraId="6273584F" w14:textId="77777777" w:rsidR="00276186" w:rsidRDefault="00276186" w:rsidP="00276186">
      <w:r>
        <w:t>Employment plays a crucial role in recovery, improving stability, well-being, and social reintegration for those with substance use issues. Sustained employment support initiatives should be a priority, ensuring services are tailored to those facing barriers to work. Investing in specialist employment programmes will benefit both individuals and wider society, reducing long-term reliance on health and social services.</w:t>
      </w:r>
    </w:p>
    <w:p w14:paraId="7E0FC190" w14:textId="77777777" w:rsidR="00276186" w:rsidRDefault="00276186" w:rsidP="00276186"/>
    <w:p w14:paraId="3D819C9C" w14:textId="77777777" w:rsidR="00276186" w:rsidRPr="006C2B7C" w:rsidRDefault="00276186" w:rsidP="00276186">
      <w:pPr>
        <w:rPr>
          <w:b/>
          <w:bCs/>
        </w:rPr>
      </w:pPr>
      <w:r w:rsidRPr="006C2B7C">
        <w:rPr>
          <w:b/>
          <w:bCs/>
        </w:rPr>
        <w:t>Subsection 5.8 – DA services in Peterborough</w:t>
      </w:r>
    </w:p>
    <w:p w14:paraId="3061EAB5" w14:textId="01BF005F" w:rsidR="00276186" w:rsidRDefault="00A27FDD" w:rsidP="00A27FDD">
      <w:pPr>
        <w:pStyle w:val="Heading6"/>
      </w:pPr>
      <w:r>
        <w:t xml:space="preserve">Quant Recommendation </w:t>
      </w:r>
      <w:r w:rsidR="00276186">
        <w:t>17</w:t>
      </w:r>
    </w:p>
    <w:p w14:paraId="3775FA05" w14:textId="77777777" w:rsidR="00276186" w:rsidRDefault="00276186" w:rsidP="00276186">
      <w:r>
        <w:t xml:space="preserve">Recovery support should be embedded throughout DA services, with co-location, community-based support, and strong system-wide links. </w:t>
      </w:r>
      <w:r w:rsidRPr="006641B0">
        <w:t>Peer co-designed elements and Lived Experience Recovery Organisations (LEROs) should be integral, ensuring services are culturally competent and responsive to the needs of at-risk and minority groups.</w:t>
      </w:r>
    </w:p>
    <w:p w14:paraId="44056A9B" w14:textId="4921584E" w:rsidR="00276186" w:rsidRDefault="00A27FDD" w:rsidP="00A27FDD">
      <w:pPr>
        <w:pStyle w:val="Heading6"/>
      </w:pPr>
      <w:r>
        <w:t xml:space="preserve">Quant Recommendation </w:t>
      </w:r>
      <w:r w:rsidR="00276186">
        <w:t>18</w:t>
      </w:r>
    </w:p>
    <w:p w14:paraId="1ED79F84" w14:textId="77777777" w:rsidR="00276186" w:rsidRDefault="00276186" w:rsidP="00276186">
      <w:r>
        <w:t xml:space="preserve">Services should </w:t>
      </w:r>
      <w:r w:rsidRPr="004C7B35">
        <w:t xml:space="preserve">continue efforts to expand access to inpatient </w:t>
      </w:r>
      <w:r>
        <w:t xml:space="preserve">and residential </w:t>
      </w:r>
      <w:r w:rsidRPr="004C7B35">
        <w:t>treatment for those who need it, working towards the DHSC target of at least 2% of individuals in treatment accessing residential care.</w:t>
      </w:r>
      <w:r>
        <w:t xml:space="preserve"> In balance with cost-effectiveness, an exploration of options could include:</w:t>
      </w:r>
    </w:p>
    <w:p w14:paraId="510F514F" w14:textId="77777777" w:rsidR="00276186" w:rsidRDefault="00276186" w:rsidP="00276186">
      <w:pPr>
        <w:pStyle w:val="ListParagraph"/>
        <w:numPr>
          <w:ilvl w:val="0"/>
          <w:numId w:val="1"/>
        </w:numPr>
      </w:pPr>
      <w:r>
        <w:t>Strengthening partnerships with existing regional providers to secure additional capacity.</w:t>
      </w:r>
    </w:p>
    <w:p w14:paraId="53AF330B" w14:textId="77777777" w:rsidR="00276186" w:rsidRDefault="00276186" w:rsidP="00276186">
      <w:pPr>
        <w:pStyle w:val="ListParagraph"/>
        <w:numPr>
          <w:ilvl w:val="0"/>
          <w:numId w:val="1"/>
        </w:numPr>
      </w:pPr>
      <w:r>
        <w:t>Assessing the feasibility and cost implications of commissioning closer facilities.</w:t>
      </w:r>
    </w:p>
    <w:p w14:paraId="034603B1" w14:textId="77777777" w:rsidR="00276186" w:rsidRDefault="00276186" w:rsidP="00276186">
      <w:pPr>
        <w:pStyle w:val="ListParagraph"/>
        <w:numPr>
          <w:ilvl w:val="0"/>
          <w:numId w:val="1"/>
        </w:numPr>
      </w:pPr>
      <w:r>
        <w:t>Ensuring robust referral pathways and funding mechanisms to maximise use of available beds.</w:t>
      </w:r>
    </w:p>
    <w:p w14:paraId="300856D9" w14:textId="77777777" w:rsidR="00276186" w:rsidRDefault="00276186" w:rsidP="00276186">
      <w:pPr>
        <w:pStyle w:val="ListParagraph"/>
        <w:numPr>
          <w:ilvl w:val="0"/>
          <w:numId w:val="1"/>
        </w:numPr>
      </w:pPr>
      <w:r>
        <w:t>Exploring block-purchasing of inpatient beds as a potential approach to increase provision and improve access to detoxification services.</w:t>
      </w:r>
    </w:p>
    <w:p w14:paraId="4AF8897E" w14:textId="77777777" w:rsidR="00276186" w:rsidRDefault="00276186" w:rsidP="00276186">
      <w:r>
        <w:t>Funding allocated to residential rehabilitation should not be reduced. Any improvements or changes in rehabilitation service provision should proactively consider equity among vulnerable groups and include support for families of those receiving care.</w:t>
      </w:r>
    </w:p>
    <w:p w14:paraId="3BBF7C44" w14:textId="5F7E8E96" w:rsidR="00276186" w:rsidRDefault="00A27FDD" w:rsidP="00A27FDD">
      <w:pPr>
        <w:pStyle w:val="Heading6"/>
      </w:pPr>
      <w:r>
        <w:t xml:space="preserve">Quant Recommendation </w:t>
      </w:r>
      <w:r w:rsidR="00276186">
        <w:t>19</w:t>
      </w:r>
    </w:p>
    <w:p w14:paraId="3C0F2035" w14:textId="654AF3FC" w:rsidR="00276186" w:rsidRDefault="00276186" w:rsidP="00276186">
      <w:r>
        <w:t>L</w:t>
      </w:r>
      <w:r w:rsidRPr="000E24EC">
        <w:t xml:space="preserve">ong-acting </w:t>
      </w:r>
      <w:r>
        <w:t xml:space="preserve">Buprenorphine </w:t>
      </w:r>
      <w:r w:rsidRPr="000E24EC">
        <w:t xml:space="preserve">should </w:t>
      </w:r>
      <w:r>
        <w:t xml:space="preserve">be part of the </w:t>
      </w:r>
      <w:r w:rsidR="00026DCD" w:rsidRPr="00F35CF9">
        <w:t>Opioid Substitution Therapy</w:t>
      </w:r>
      <w:r w:rsidR="00026DCD">
        <w:t xml:space="preserve"> (</w:t>
      </w:r>
      <w:r>
        <w:t>OST</w:t>
      </w:r>
      <w:r w:rsidR="00026DCD">
        <w:t>)</w:t>
      </w:r>
      <w:r>
        <w:t xml:space="preserve"> offer </w:t>
      </w:r>
      <w:r w:rsidRPr="00202750">
        <w:t xml:space="preserve">but its use should be targeted, with patient selection strategies </w:t>
      </w:r>
      <w:r>
        <w:t xml:space="preserve">in </w:t>
      </w:r>
      <w:r w:rsidRPr="00202750">
        <w:t xml:space="preserve">balance </w:t>
      </w:r>
      <w:r>
        <w:t xml:space="preserve">with </w:t>
      </w:r>
      <w:r w:rsidRPr="00202750">
        <w:t>patient-centred care and shared decision-making.</w:t>
      </w:r>
    </w:p>
    <w:p w14:paraId="2B53737D" w14:textId="38F899B9" w:rsidR="00276186" w:rsidRPr="007B6F3A" w:rsidRDefault="00A27FDD" w:rsidP="00A27FDD">
      <w:pPr>
        <w:pStyle w:val="Heading6"/>
      </w:pPr>
      <w:r>
        <w:t xml:space="preserve">Quant Recommendation </w:t>
      </w:r>
      <w:r w:rsidR="00276186">
        <w:t>20</w:t>
      </w:r>
    </w:p>
    <w:p w14:paraId="3B823AE8" w14:textId="77777777" w:rsidR="00276186" w:rsidRDefault="00276186" w:rsidP="00276186">
      <w:r>
        <w:t xml:space="preserve">A targeted effort should be made to increase distribution of naloxone amongst older adults in treatment services for OCU. The implementation of updated legislation on naloxone distribution </w:t>
      </w:r>
      <w:r w:rsidRPr="00CE1137">
        <w:t>provid</w:t>
      </w:r>
      <w:r>
        <w:t>es</w:t>
      </w:r>
      <w:r w:rsidRPr="00CE1137">
        <w:t xml:space="preserve"> a</w:t>
      </w:r>
      <w:r>
        <w:t xml:space="preserve">n </w:t>
      </w:r>
      <w:r w:rsidRPr="00CE1137">
        <w:t>opportunity to</w:t>
      </w:r>
      <w:r>
        <w:t xml:space="preserve"> build partnerships with local services to expand the reach of harm reduction advice, which may include training of partners.</w:t>
      </w:r>
    </w:p>
    <w:p w14:paraId="0E1AAE7A" w14:textId="1F854E82" w:rsidR="00276186" w:rsidRDefault="00A27FDD" w:rsidP="00A27FDD">
      <w:pPr>
        <w:pStyle w:val="Heading6"/>
      </w:pPr>
      <w:r>
        <w:lastRenderedPageBreak/>
        <w:t xml:space="preserve">Quant Recommendation </w:t>
      </w:r>
      <w:r w:rsidR="00276186">
        <w:t>21</w:t>
      </w:r>
    </w:p>
    <w:p w14:paraId="30A429C8" w14:textId="77777777" w:rsidR="00276186" w:rsidRDefault="00276186" w:rsidP="00276186">
      <w:r w:rsidRPr="00731276">
        <w:t>Continue to monitor the rate of successful treatment completions, ensuring regular feedback from both service users and staff to identify barriers and areas for improvement.</w:t>
      </w:r>
      <w:r w:rsidRPr="006E7486">
        <w:t xml:space="preserve"> Use this insight to refine local treatment pathways and enhance support services, with a view to increasing completion rates. </w:t>
      </w:r>
      <w:r w:rsidRPr="0008243D">
        <w:t>Consider setting a specific target for successful completions if this is seen as a useful way to drive progress</w:t>
      </w:r>
      <w:r w:rsidRPr="006E7486">
        <w:t>.</w:t>
      </w:r>
    </w:p>
    <w:p w14:paraId="24E39E9F" w14:textId="77777777" w:rsidR="00276186" w:rsidRDefault="00276186" w:rsidP="00276186"/>
    <w:p w14:paraId="4B48FFBF" w14:textId="77777777" w:rsidR="00276186" w:rsidRPr="00094D2F" w:rsidRDefault="00276186" w:rsidP="00276186">
      <w:pPr>
        <w:rPr>
          <w:b/>
          <w:bCs/>
        </w:rPr>
      </w:pPr>
      <w:r w:rsidRPr="00094D2F">
        <w:rPr>
          <w:b/>
          <w:bCs/>
        </w:rPr>
        <w:t>Subsection 5.9 – Known challenges and opportunities</w:t>
      </w:r>
    </w:p>
    <w:p w14:paraId="4A880EE3" w14:textId="388C7DF1" w:rsidR="00276186" w:rsidRDefault="00A27FDD" w:rsidP="00A27FDD">
      <w:pPr>
        <w:pStyle w:val="Heading6"/>
      </w:pPr>
      <w:r>
        <w:t xml:space="preserve">Quant Recommendation </w:t>
      </w:r>
      <w:r w:rsidR="00276186">
        <w:t>22</w:t>
      </w:r>
    </w:p>
    <w:p w14:paraId="60B005C3" w14:textId="5AE37628" w:rsidR="00276186" w:rsidRPr="00BB734F" w:rsidRDefault="00276186" w:rsidP="00276186">
      <w:r>
        <w:t>Individuals receiving adult social care who have drug and alcohol (DA) needs may be particularly vulnerable. Enhancing data systems, staff training, and cross-sector collaboration will improve the identification of substance use treatment needs to ensure appropriate support is provided.</w:t>
      </w:r>
      <w:r w:rsidRPr="00931429">
        <w:t xml:space="preserve"> </w:t>
      </w:r>
      <w:r w:rsidR="00931429" w:rsidRPr="00931429">
        <w:t>These steps c</w:t>
      </w:r>
      <w:r w:rsidR="00276A0A">
        <w:t>ould</w:t>
      </w:r>
      <w:r w:rsidR="00931429" w:rsidRPr="00931429">
        <w:t xml:space="preserve"> be integrated into</w:t>
      </w:r>
      <w:r w:rsidR="00D71382" w:rsidRPr="00931429">
        <w:t xml:space="preserve"> ongoing transformation programmes </w:t>
      </w:r>
      <w:r w:rsidR="00931429" w:rsidRPr="00931429">
        <w:t>within PCC</w:t>
      </w:r>
      <w:r w:rsidR="00931429">
        <w:t>.</w:t>
      </w:r>
      <w:r w:rsidRPr="344B8197">
        <w:rPr>
          <w:color w:val="FF0000"/>
        </w:rPr>
        <w:t xml:space="preserve"> </w:t>
      </w:r>
    </w:p>
    <w:p w14:paraId="5BD9E7E0" w14:textId="1968087A" w:rsidR="00276186" w:rsidRDefault="00A27FDD" w:rsidP="00A27FDD">
      <w:pPr>
        <w:pStyle w:val="Heading6"/>
      </w:pPr>
      <w:r>
        <w:t xml:space="preserve">Quant Recommendation </w:t>
      </w:r>
      <w:r w:rsidR="00276186">
        <w:t>23</w:t>
      </w:r>
    </w:p>
    <w:p w14:paraId="51A154A4" w14:textId="77777777" w:rsidR="00276186" w:rsidRDefault="00276186" w:rsidP="00276186">
      <w:r>
        <w:t>I</w:t>
      </w:r>
      <w:r w:rsidRPr="00E45925">
        <w:t xml:space="preserve">nformation </w:t>
      </w:r>
      <w:r>
        <w:t>throughout DA services should be</w:t>
      </w:r>
      <w:r w:rsidRPr="00E45925">
        <w:t xml:space="preserve"> fully accessible</w:t>
      </w:r>
      <w:r>
        <w:t xml:space="preserve">, and this </w:t>
      </w:r>
      <w:r w:rsidRPr="00E45925">
        <w:t>should be standard practice. This includes meeting the communication, literacy, and accessibility needs of all service users</w:t>
      </w:r>
      <w:r w:rsidRPr="00E0517C">
        <w:t>, which should be identified and recorded by the service.</w:t>
      </w:r>
    </w:p>
    <w:p w14:paraId="3538F05E" w14:textId="12CB1111" w:rsidR="00276186" w:rsidRDefault="00A27FDD" w:rsidP="00A27FDD">
      <w:pPr>
        <w:pStyle w:val="Heading6"/>
      </w:pPr>
      <w:r>
        <w:t xml:space="preserve">Quant Recommendation </w:t>
      </w:r>
      <w:r w:rsidR="00276186">
        <w:t>24</w:t>
      </w:r>
    </w:p>
    <w:p w14:paraId="646A295A" w14:textId="77777777" w:rsidR="00276186" w:rsidRDefault="00276186" w:rsidP="00276186">
      <w:r w:rsidRPr="00E45925">
        <w:t>Strengthen links with the ambulance service and high impact user service to enhance assertive outreach and facilitate direct referrals for individuals at high risk of mortality.</w:t>
      </w:r>
    </w:p>
    <w:p w14:paraId="57C14E6A" w14:textId="72F2A1BA" w:rsidR="00276186" w:rsidRDefault="00A27FDD" w:rsidP="00A27FDD">
      <w:pPr>
        <w:pStyle w:val="Heading6"/>
      </w:pPr>
      <w:r>
        <w:t xml:space="preserve">Quant Recommendation </w:t>
      </w:r>
      <w:r w:rsidR="00276186">
        <w:t>25</w:t>
      </w:r>
    </w:p>
    <w:p w14:paraId="2DEA27DA" w14:textId="77777777" w:rsidR="00276186" w:rsidRDefault="00276186" w:rsidP="00276186">
      <w:r>
        <w:t>Improved data sharing between drug and alcohol services, healthcare, social care, and criminal justice partners should be prioritised to enhance care coordination and service user outcomes. Strengthening data-sharing agreements or a shared care record will:</w:t>
      </w:r>
    </w:p>
    <w:p w14:paraId="0B07ACE4" w14:textId="77777777" w:rsidR="00276186" w:rsidRDefault="00276186" w:rsidP="00B80EAF">
      <w:pPr>
        <w:pStyle w:val="ListParagraph"/>
        <w:numPr>
          <w:ilvl w:val="0"/>
          <w:numId w:val="3"/>
        </w:numPr>
      </w:pPr>
      <w:r>
        <w:t>Improve continuity of care across different services, reducing duplication and missed opportunities for intervention.</w:t>
      </w:r>
    </w:p>
    <w:p w14:paraId="40806060" w14:textId="77777777" w:rsidR="00276186" w:rsidRDefault="00276186" w:rsidP="00B80EAF">
      <w:pPr>
        <w:pStyle w:val="ListParagraph"/>
        <w:numPr>
          <w:ilvl w:val="0"/>
          <w:numId w:val="3"/>
        </w:numPr>
      </w:pPr>
      <w:r>
        <w:t>Support a more integrated approach to co-occurring conditions, ensuring individuals receive holistic, person-centred care.</w:t>
      </w:r>
    </w:p>
    <w:p w14:paraId="17FE0989" w14:textId="77777777" w:rsidR="00276186" w:rsidRDefault="00276186" w:rsidP="00B80EAF">
      <w:pPr>
        <w:pStyle w:val="ListParagraph"/>
        <w:numPr>
          <w:ilvl w:val="0"/>
          <w:numId w:val="3"/>
        </w:numPr>
      </w:pPr>
      <w:r>
        <w:t>Enable better identification of unmet need and service gaps through more comprehensive data.</w:t>
      </w:r>
    </w:p>
    <w:p w14:paraId="07C08B43" w14:textId="77777777" w:rsidR="00276186" w:rsidRPr="00D22789" w:rsidRDefault="00276186" w:rsidP="00276186"/>
    <w:p w14:paraId="00AB4F8D" w14:textId="77777777" w:rsidR="00276186" w:rsidRDefault="00276186" w:rsidP="00276186">
      <w:r>
        <w:br w:type="page"/>
      </w:r>
    </w:p>
    <w:p w14:paraId="723BDE41" w14:textId="7E780113" w:rsidR="7B356DB6" w:rsidRPr="00AF59F1" w:rsidRDefault="00165A9C" w:rsidP="00165A9C">
      <w:pPr>
        <w:pStyle w:val="Heading3"/>
      </w:pPr>
      <w:bookmarkStart w:id="11" w:name="_Toc200479451"/>
      <w:r w:rsidRPr="00AF59F1">
        <w:lastRenderedPageBreak/>
        <w:t xml:space="preserve">Qualitative </w:t>
      </w:r>
      <w:r w:rsidR="005952A1">
        <w:t xml:space="preserve">(‘Qual’) </w:t>
      </w:r>
      <w:r w:rsidRPr="00AF59F1">
        <w:t>Recommendations</w:t>
      </w:r>
      <w:bookmarkEnd w:id="11"/>
    </w:p>
    <w:p w14:paraId="7F1392CA" w14:textId="78217B64" w:rsidR="000D476B" w:rsidRDefault="0018421F" w:rsidP="00927A59">
      <w:pPr>
        <w:pStyle w:val="Heading6"/>
      </w:pPr>
      <w:r>
        <w:t>Q</w:t>
      </w:r>
      <w:r w:rsidR="00085BF1">
        <w:t>ual</w:t>
      </w:r>
      <w:r w:rsidR="00256705" w:rsidRPr="00256705">
        <w:t xml:space="preserve"> </w:t>
      </w:r>
      <w:r w:rsidR="00256705">
        <w:t>Recommendation</w:t>
      </w:r>
      <w:r w:rsidR="007C02EC" w:rsidRPr="00401FB5">
        <w:t xml:space="preserve"> </w:t>
      </w:r>
      <w:r w:rsidR="000D476B" w:rsidRPr="00401FB5">
        <w:t>1</w:t>
      </w:r>
    </w:p>
    <w:p w14:paraId="23654B0D" w14:textId="77777777" w:rsidR="000D476B" w:rsidRDefault="000D476B" w:rsidP="000D476B">
      <w:r>
        <w:t xml:space="preserve">Enhancing the outreach and home visiting offer across all service areas was referenced through staff feedback, stakeholder and service user feedback. Requests for an ‘open door policy’, transport issues, improved education offer, improved community activity offer were all mentioned, ensuring that all communities are supported, that support is provided at the most suitable location and accessibility to the service is not based on an office location. </w:t>
      </w:r>
    </w:p>
    <w:p w14:paraId="7FFCE62B" w14:textId="77777777" w:rsidR="000D476B" w:rsidRDefault="000D476B" w:rsidP="00B80EAF">
      <w:pPr>
        <w:pStyle w:val="ListParagraph"/>
        <w:numPr>
          <w:ilvl w:val="0"/>
          <w:numId w:val="19"/>
        </w:numPr>
        <w:spacing w:after="80" w:line="240" w:lineRule="auto"/>
      </w:pPr>
      <w:r>
        <w:t xml:space="preserve">Provide quality contacts that recognise starting points and engagement into and through treatment offer. </w:t>
      </w:r>
    </w:p>
    <w:p w14:paraId="24170585" w14:textId="77777777" w:rsidR="000D476B" w:rsidRDefault="000D476B" w:rsidP="00B80EAF">
      <w:pPr>
        <w:pStyle w:val="ListParagraph"/>
        <w:numPr>
          <w:ilvl w:val="0"/>
          <w:numId w:val="19"/>
        </w:numPr>
        <w:spacing w:after="80" w:line="240" w:lineRule="auto"/>
      </w:pPr>
      <w:r>
        <w:t xml:space="preserve">The current provider has 47% unplanned exits from treatment; by creating a flexible approach to delivery that is service user led could decrease this figure due to an increase in engagement. </w:t>
      </w:r>
    </w:p>
    <w:p w14:paraId="01A170AA" w14:textId="46F0EA9C" w:rsidR="000D476B" w:rsidRDefault="000D476B" w:rsidP="7B356DB6"/>
    <w:p w14:paraId="7D043E8D" w14:textId="69AFBEE1" w:rsidR="0DF86BD9" w:rsidRDefault="00085BF1" w:rsidP="00927A59">
      <w:pPr>
        <w:pStyle w:val="Heading6"/>
      </w:pPr>
      <w:r>
        <w:t>Qual</w:t>
      </w:r>
      <w:r w:rsidRPr="00256705">
        <w:t xml:space="preserve"> </w:t>
      </w:r>
      <w:r w:rsidR="00256705">
        <w:t>Recommendation</w:t>
      </w:r>
      <w:r w:rsidR="15252FF5">
        <w:t xml:space="preserve"> 2</w:t>
      </w:r>
    </w:p>
    <w:p w14:paraId="342A379F" w14:textId="12C5526C" w:rsidR="000D476B" w:rsidRDefault="000D476B" w:rsidP="000D476B">
      <w:r>
        <w:t xml:space="preserve">The stakeholder feedback presented a clear desire for co- location opportunities across </w:t>
      </w:r>
      <w:r w:rsidR="00124C6C" w:rsidRPr="00124C6C">
        <w:t xml:space="preserve">Voluntary, Community, and Social Enterprise </w:t>
      </w:r>
      <w:r w:rsidR="00124C6C">
        <w:t>(</w:t>
      </w:r>
      <w:r>
        <w:t>VCSE</w:t>
      </w:r>
      <w:r w:rsidR="00124C6C">
        <w:t>)</w:t>
      </w:r>
      <w:r>
        <w:t xml:space="preserve"> and statutory organisations within the </w:t>
      </w:r>
      <w:proofErr w:type="gramStart"/>
      <w:r>
        <w:t>City</w:t>
      </w:r>
      <w:proofErr w:type="gramEnd"/>
      <w:r>
        <w:t xml:space="preserve">. Stakeholders reported that 59% of individuals known to system partners were not engaging with the current treatment provider. Coupled with feedback from service users on desire for an increased outreach offer, co-location opportunities need to be embedded across multiple locations throughout Peterborough, including, but not exhaustive, the </w:t>
      </w:r>
      <w:proofErr w:type="gramStart"/>
      <w:r>
        <w:t>below;</w:t>
      </w:r>
      <w:proofErr w:type="gramEnd"/>
      <w:r>
        <w:t xml:space="preserve">  </w:t>
      </w:r>
    </w:p>
    <w:p w14:paraId="52A49F89" w14:textId="77777777" w:rsidR="000D476B" w:rsidRDefault="000D476B" w:rsidP="00B80EAF">
      <w:pPr>
        <w:pStyle w:val="ListParagraph"/>
        <w:numPr>
          <w:ilvl w:val="0"/>
          <w:numId w:val="20"/>
        </w:numPr>
        <w:spacing w:after="80" w:line="240" w:lineRule="auto"/>
      </w:pPr>
      <w:r w:rsidRPr="00A17819">
        <w:rPr>
          <w:b/>
          <w:bCs/>
        </w:rPr>
        <w:t>Primary care settings</w:t>
      </w:r>
      <w:r>
        <w:t xml:space="preserve">. Feeback strongly suggests GP surgeries would be beneficial for alcohol interventions. </w:t>
      </w:r>
    </w:p>
    <w:p w14:paraId="10893446" w14:textId="77777777" w:rsidR="000D476B" w:rsidRDefault="000D476B" w:rsidP="00B80EAF">
      <w:pPr>
        <w:pStyle w:val="ListParagraph"/>
        <w:numPr>
          <w:ilvl w:val="0"/>
          <w:numId w:val="20"/>
        </w:numPr>
        <w:spacing w:after="80" w:line="240" w:lineRule="auto"/>
      </w:pPr>
      <w:r w:rsidRPr="006E3A49">
        <w:rPr>
          <w:b/>
          <w:bCs/>
        </w:rPr>
        <w:t>Community based settings</w:t>
      </w:r>
      <w:r>
        <w:t xml:space="preserve">. Increasing a community-based offer would embed services in localised support networks and enhance chances of recovery, as well as access to treatment. Assumptions could be made that wider representation from community groups could be realised. </w:t>
      </w:r>
    </w:p>
    <w:p w14:paraId="7038DB4D" w14:textId="7AA70B50" w:rsidR="000D476B" w:rsidRDefault="000D476B" w:rsidP="00D71382">
      <w:pPr>
        <w:pStyle w:val="ListParagraph"/>
        <w:numPr>
          <w:ilvl w:val="0"/>
          <w:numId w:val="20"/>
        </w:numPr>
      </w:pPr>
      <w:r w:rsidRPr="00D71382">
        <w:rPr>
          <w:b/>
          <w:bCs/>
        </w:rPr>
        <w:t xml:space="preserve">Statutory partner </w:t>
      </w:r>
      <w:r w:rsidRPr="006A417D">
        <w:t>hot desking opportunities, as well as an information, advice and guidance offer could be hugely beneficial to not only seamless support but lend itself to being a wholly trauma informed service</w:t>
      </w:r>
      <w:r w:rsidRPr="00EA24A3">
        <w:t>.</w:t>
      </w:r>
    </w:p>
    <w:p w14:paraId="482D1721" w14:textId="77777777" w:rsidR="00927A59" w:rsidRDefault="00927A59" w:rsidP="00927A59"/>
    <w:p w14:paraId="1048DE71" w14:textId="646AD12E" w:rsidR="000D476B" w:rsidRDefault="00085BF1" w:rsidP="00927A59">
      <w:pPr>
        <w:pStyle w:val="Heading6"/>
      </w:pPr>
      <w:r>
        <w:t>Qual</w:t>
      </w:r>
      <w:r w:rsidRPr="00256705">
        <w:t xml:space="preserve"> </w:t>
      </w:r>
      <w:r w:rsidR="00256705">
        <w:t>Recommendation</w:t>
      </w:r>
      <w:r w:rsidR="000D476B">
        <w:t xml:space="preserve"> 3</w:t>
      </w:r>
    </w:p>
    <w:p w14:paraId="34C45A4F" w14:textId="4CABDD4B" w:rsidR="000D476B" w:rsidRDefault="000D476B" w:rsidP="000D476B">
      <w:r>
        <w:t xml:space="preserve">Review accessibility </w:t>
      </w:r>
      <w:proofErr w:type="gramStart"/>
      <w:r>
        <w:t>offer</w:t>
      </w:r>
      <w:proofErr w:type="gramEnd"/>
      <w:r>
        <w:t xml:space="preserve"> of the service, including location, language, community groups in line with the Equality Impact Assessment</w:t>
      </w:r>
      <w:r w:rsidR="006332CD">
        <w:t xml:space="preserve"> (</w:t>
      </w:r>
      <w:proofErr w:type="spellStart"/>
      <w:r w:rsidR="006332CD">
        <w:t>EqIA</w:t>
      </w:r>
      <w:proofErr w:type="spellEnd"/>
      <w:r w:rsidR="006332CD">
        <w:t>)</w:t>
      </w:r>
      <w:r>
        <w:t xml:space="preserve">, and associated action plan. </w:t>
      </w:r>
    </w:p>
    <w:p w14:paraId="6BC95B0B" w14:textId="77777777" w:rsidR="000D476B" w:rsidRDefault="000D476B" w:rsidP="00D90453">
      <w:pPr>
        <w:pStyle w:val="ListParagraph"/>
        <w:numPr>
          <w:ilvl w:val="0"/>
          <w:numId w:val="28"/>
        </w:numPr>
        <w:spacing w:after="80" w:line="240" w:lineRule="auto"/>
      </w:pPr>
      <w:r>
        <w:t xml:space="preserve">Improved reporting on protected characteristics could improve accessibility, ensuring communities are aware of the offer and opportunity to access is equitable. </w:t>
      </w:r>
    </w:p>
    <w:p w14:paraId="26B6A6BD" w14:textId="77777777" w:rsidR="000D476B" w:rsidRDefault="000D476B" w:rsidP="00D90453">
      <w:pPr>
        <w:pStyle w:val="ListParagraph"/>
        <w:numPr>
          <w:ilvl w:val="0"/>
          <w:numId w:val="28"/>
        </w:numPr>
        <w:spacing w:after="80" w:line="240" w:lineRule="auto"/>
      </w:pPr>
      <w:r>
        <w:t xml:space="preserve">Continue to provide a community outreach model and build upon it’s achievements by links to recommendation 4. </w:t>
      </w:r>
    </w:p>
    <w:p w14:paraId="63444050" w14:textId="51BDBAD3" w:rsidR="000D476B" w:rsidRDefault="000D476B" w:rsidP="00D90453">
      <w:pPr>
        <w:pStyle w:val="ListParagraph"/>
        <w:numPr>
          <w:ilvl w:val="0"/>
          <w:numId w:val="28"/>
        </w:numPr>
      </w:pPr>
      <w:r>
        <w:t>Review the current transport offer to service users, including a gap analysis.</w:t>
      </w:r>
    </w:p>
    <w:p w14:paraId="748F0388" w14:textId="77777777" w:rsidR="000D476B" w:rsidRDefault="000D476B" w:rsidP="000D476B"/>
    <w:p w14:paraId="1CA6F9BB" w14:textId="06D1C22D" w:rsidR="56D2BDCA" w:rsidRDefault="00085BF1" w:rsidP="00A075AB">
      <w:pPr>
        <w:pStyle w:val="Heading6"/>
      </w:pPr>
      <w:r>
        <w:t>Qual</w:t>
      </w:r>
      <w:r w:rsidRPr="00256705">
        <w:t xml:space="preserve"> </w:t>
      </w:r>
      <w:r w:rsidR="00256705">
        <w:t>Recommendation</w:t>
      </w:r>
      <w:r w:rsidR="00A075AB">
        <w:t xml:space="preserve"> </w:t>
      </w:r>
      <w:r w:rsidR="6FD281C6">
        <w:t>4</w:t>
      </w:r>
    </w:p>
    <w:p w14:paraId="7675D9B3" w14:textId="77777777" w:rsidR="000D476B" w:rsidRDefault="000D476B" w:rsidP="000D476B">
      <w:r>
        <w:t xml:space="preserve">Stakeholders reported that 83% of service user will engage when they are ready, coupled with a 53% of stakeholders reporting they were ‘somewhat confident’ in the substance use offer, improved pathways between services would benefit our partners. In addition, our service users </w:t>
      </w:r>
      <w:r>
        <w:lastRenderedPageBreak/>
        <w:t xml:space="preserve">reported the highest rates of change in wellbeing, support networks and motivation, evidencing that when working as a cohesive system to support substance use, improvements in rates of change are highest. Providing clearer pathways between services, allowing for information sharing and embedding trauma informed ways of working at a system level will empower service users and stakeholders to take a strength-based approach to sustainable outcomes.  </w:t>
      </w:r>
    </w:p>
    <w:p w14:paraId="64CE8D34" w14:textId="5E1F6BC2" w:rsidR="000D476B" w:rsidRDefault="000D476B" w:rsidP="000D476B"/>
    <w:p w14:paraId="0F490135" w14:textId="4AF3380C" w:rsidR="000D476B" w:rsidRDefault="00085BF1" w:rsidP="00256705">
      <w:pPr>
        <w:pStyle w:val="Heading6"/>
      </w:pPr>
      <w:r>
        <w:t>Qual</w:t>
      </w:r>
      <w:r w:rsidRPr="00256705">
        <w:t xml:space="preserve"> </w:t>
      </w:r>
      <w:r w:rsidR="00256705">
        <w:t>Recommendation</w:t>
      </w:r>
      <w:r w:rsidR="000D476B">
        <w:t xml:space="preserve"> 5</w:t>
      </w:r>
    </w:p>
    <w:p w14:paraId="5B2C6B00" w14:textId="77777777" w:rsidR="000D476B" w:rsidRDefault="000D476B" w:rsidP="000D476B">
      <w:r>
        <w:t xml:space="preserve">Service user interviews, questionnaires and interviews highlighted the need for activities ‘to keep them busy’ and a wraparound service that focuses outside structured treatment, service users reported this particularly in relation to alcohol use where traditional social activities such as going for lunch, to the pub are linked to alcohol. The qualitative summaries provide a list of activities Service Users would like to see. Improving the holistic offer will support wider skills to for maximising treatment, as well as recovery </w:t>
      </w:r>
    </w:p>
    <w:p w14:paraId="5211C37A" w14:textId="77777777" w:rsidR="000D476B" w:rsidRDefault="000D476B" w:rsidP="00B80EAF">
      <w:pPr>
        <w:pStyle w:val="ListParagraph"/>
        <w:numPr>
          <w:ilvl w:val="0"/>
          <w:numId w:val="21"/>
        </w:numPr>
        <w:spacing w:after="80" w:line="240" w:lineRule="auto"/>
      </w:pPr>
      <w:r>
        <w:t xml:space="preserve">Robust transitional recovery offer, with a clear end to end process, recovery plans and exit strategies that are co-produced to aid sustainment. </w:t>
      </w:r>
    </w:p>
    <w:p w14:paraId="0E850F6B" w14:textId="77777777" w:rsidR="000D476B" w:rsidRDefault="000D476B" w:rsidP="00B80EAF">
      <w:pPr>
        <w:pStyle w:val="ListParagraph"/>
        <w:numPr>
          <w:ilvl w:val="0"/>
          <w:numId w:val="21"/>
        </w:numPr>
        <w:spacing w:after="80" w:line="240" w:lineRule="auto"/>
      </w:pPr>
      <w:r>
        <w:t xml:space="preserve">Life skills offer that encompasses activities and skills needed for self-management, life beyond substances, housing, employment and much more. </w:t>
      </w:r>
    </w:p>
    <w:p w14:paraId="21AD2529" w14:textId="77777777" w:rsidR="000D476B" w:rsidRDefault="000D476B" w:rsidP="00B80EAF">
      <w:pPr>
        <w:pStyle w:val="ListParagraph"/>
        <w:numPr>
          <w:ilvl w:val="0"/>
          <w:numId w:val="21"/>
        </w:numPr>
        <w:spacing w:after="80" w:line="240" w:lineRule="auto"/>
      </w:pPr>
      <w:r>
        <w:t xml:space="preserve">Improved partnership working with co-occurring conditions, in particular mental health. </w:t>
      </w:r>
    </w:p>
    <w:p w14:paraId="0A774C99" w14:textId="77777777" w:rsidR="000D476B" w:rsidRDefault="000D476B" w:rsidP="00B80EAF">
      <w:pPr>
        <w:pStyle w:val="ListParagraph"/>
        <w:numPr>
          <w:ilvl w:val="0"/>
          <w:numId w:val="21"/>
        </w:numPr>
        <w:spacing w:after="80" w:line="240" w:lineRule="auto"/>
      </w:pPr>
      <w:r>
        <w:t>Improved working with Housing to provide suitable and stable accommodation</w:t>
      </w:r>
    </w:p>
    <w:p w14:paraId="754AE84B" w14:textId="4D629CF6" w:rsidR="000D476B" w:rsidRDefault="000D476B" w:rsidP="000D476B"/>
    <w:p w14:paraId="438EBE19" w14:textId="4B5A1338" w:rsidR="000D476B" w:rsidRDefault="00085BF1" w:rsidP="00256705">
      <w:pPr>
        <w:pStyle w:val="Heading6"/>
      </w:pPr>
      <w:r>
        <w:t>Qual</w:t>
      </w:r>
      <w:r w:rsidRPr="00256705">
        <w:t xml:space="preserve"> </w:t>
      </w:r>
      <w:r w:rsidR="00256705">
        <w:t>Recommendation</w:t>
      </w:r>
      <w:r w:rsidR="00ED02A9">
        <w:t xml:space="preserve"> </w:t>
      </w:r>
      <w:r w:rsidR="000D476B">
        <w:t>6</w:t>
      </w:r>
    </w:p>
    <w:p w14:paraId="5F5EBCE6" w14:textId="77777777" w:rsidR="000D476B" w:rsidRDefault="000D476B" w:rsidP="000D476B">
      <w:r>
        <w:t xml:space="preserve">Increase young people’s service from birth to 25 years with the following key </w:t>
      </w:r>
      <w:proofErr w:type="gramStart"/>
      <w:r>
        <w:t>priorities;</w:t>
      </w:r>
      <w:proofErr w:type="gramEnd"/>
      <w:r>
        <w:t xml:space="preserve">  </w:t>
      </w:r>
    </w:p>
    <w:p w14:paraId="5081B12D" w14:textId="77777777" w:rsidR="000D476B" w:rsidRDefault="000D476B" w:rsidP="00B80EAF">
      <w:pPr>
        <w:pStyle w:val="ListParagraph"/>
        <w:numPr>
          <w:ilvl w:val="0"/>
          <w:numId w:val="22"/>
        </w:numPr>
        <w:spacing w:after="80" w:line="240" w:lineRule="auto"/>
      </w:pPr>
      <w:r>
        <w:t xml:space="preserve">There was clear support across the consultation to raise the age of the young person’s provision to 25 years, with an offer from birth to 25 years as one service area, with a structured transition into adults. </w:t>
      </w:r>
    </w:p>
    <w:p w14:paraId="1A76DB39" w14:textId="77777777" w:rsidR="000D476B" w:rsidRDefault="000D476B" w:rsidP="00B80EAF">
      <w:pPr>
        <w:pStyle w:val="ListParagraph"/>
        <w:numPr>
          <w:ilvl w:val="0"/>
          <w:numId w:val="22"/>
        </w:numPr>
        <w:spacing w:after="80" w:line="240" w:lineRule="auto"/>
      </w:pPr>
      <w:r>
        <w:t xml:space="preserve">Include all educational settings (including homeschool and tertiary) within the offer and increase partnership working to ensure all young people can thrive in and out education. </w:t>
      </w:r>
    </w:p>
    <w:p w14:paraId="35C84413" w14:textId="76596AAF" w:rsidR="000D476B" w:rsidRDefault="000D476B"/>
    <w:p w14:paraId="6A41253A" w14:textId="70604680" w:rsidR="63B59EE9" w:rsidRDefault="00085BF1" w:rsidP="00256705">
      <w:pPr>
        <w:pStyle w:val="Heading6"/>
      </w:pPr>
      <w:r>
        <w:t>Qual</w:t>
      </w:r>
      <w:r w:rsidRPr="00256705">
        <w:t xml:space="preserve"> </w:t>
      </w:r>
      <w:r w:rsidR="00256705">
        <w:t>Recommendation</w:t>
      </w:r>
      <w:r w:rsidR="63B59EE9">
        <w:t xml:space="preserve"> 7</w:t>
      </w:r>
    </w:p>
    <w:p w14:paraId="4157DC48" w14:textId="77777777" w:rsidR="000D476B" w:rsidRDefault="000D476B" w:rsidP="000D476B">
      <w:r>
        <w:t xml:space="preserve">Undertaking the qualitative needs assessment has provided key insight into meaningful changes that can impact on service users’ treatment and recovery. Inclusion of co-production and lived experience into the service specification will result in continual consultation to ensure delivery meets demand. </w:t>
      </w:r>
    </w:p>
    <w:p w14:paraId="62AA86B4" w14:textId="77777777" w:rsidR="000D476B" w:rsidRDefault="000D476B" w:rsidP="00B80EAF">
      <w:pPr>
        <w:pStyle w:val="ListParagraph"/>
        <w:numPr>
          <w:ilvl w:val="0"/>
          <w:numId w:val="23"/>
        </w:numPr>
        <w:spacing w:after="80" w:line="240" w:lineRule="auto"/>
      </w:pPr>
      <w:r>
        <w:t xml:space="preserve">Consultation provided valuable insight into service users and delivery, and key themes have been collated, evidencing that co-production is invaluable in finding solutions for meaningful interventions. </w:t>
      </w:r>
    </w:p>
    <w:p w14:paraId="42FE8B58" w14:textId="73A348FB" w:rsidR="000D476B" w:rsidRDefault="000D476B" w:rsidP="00B80EAF">
      <w:pPr>
        <w:pStyle w:val="ListParagraph"/>
        <w:numPr>
          <w:ilvl w:val="0"/>
          <w:numId w:val="23"/>
        </w:numPr>
        <w:spacing w:after="80" w:line="240" w:lineRule="auto"/>
      </w:pPr>
      <w:r>
        <w:t>Developing lived experience is key to building a sustainable and recovery focused service offer, by supporting the development of a Lived Experience Recovery Organisation</w:t>
      </w:r>
      <w:r w:rsidR="00F9799E">
        <w:t xml:space="preserve"> (LERO)</w:t>
      </w:r>
      <w:r>
        <w:t xml:space="preserve"> the offer within the city will be enhanced.</w:t>
      </w:r>
    </w:p>
    <w:p w14:paraId="600F6B65" w14:textId="7C96D434" w:rsidR="63B59EE9" w:rsidRDefault="63B59EE9"/>
    <w:p w14:paraId="41833188" w14:textId="45C938F3" w:rsidR="791DCFE6" w:rsidRDefault="00085BF1" w:rsidP="00256705">
      <w:pPr>
        <w:pStyle w:val="Heading6"/>
      </w:pPr>
      <w:r>
        <w:lastRenderedPageBreak/>
        <w:t>Qual</w:t>
      </w:r>
      <w:r w:rsidRPr="00256705">
        <w:t xml:space="preserve"> </w:t>
      </w:r>
      <w:r w:rsidR="00256705">
        <w:t xml:space="preserve">Recommendation </w:t>
      </w:r>
      <w:r w:rsidR="63B59EE9">
        <w:t>8</w:t>
      </w:r>
    </w:p>
    <w:p w14:paraId="2FAA7C98" w14:textId="77777777" w:rsidR="000D476B" w:rsidRDefault="000D476B" w:rsidP="000D476B">
      <w:r>
        <w:t>A clear communication strategy within the service that leverages use of technology is required to maximise reach and accessibility for the service</w:t>
      </w:r>
    </w:p>
    <w:p w14:paraId="3A7A9083" w14:textId="77777777" w:rsidR="000D476B" w:rsidRDefault="000D476B" w:rsidP="00B80EAF">
      <w:pPr>
        <w:pStyle w:val="ListParagraph"/>
        <w:numPr>
          <w:ilvl w:val="0"/>
          <w:numId w:val="24"/>
        </w:numPr>
        <w:spacing w:after="80" w:line="240" w:lineRule="auto"/>
      </w:pPr>
      <w:r>
        <w:t xml:space="preserve">Currently there is reduced confidence on the substance use offer across partners (53% of partners are ‘somewhat confident in the offer’), by implementing a clear communications plan with partners with the recommissioning, an increase in confidence around substance use services will have tangible benefits such as reducing unmet need, increasing engagement and appropriate referrals. </w:t>
      </w:r>
    </w:p>
    <w:p w14:paraId="0B06BB66" w14:textId="77777777" w:rsidR="000D476B" w:rsidRDefault="000D476B" w:rsidP="00B80EAF">
      <w:pPr>
        <w:pStyle w:val="ListParagraph"/>
        <w:numPr>
          <w:ilvl w:val="0"/>
          <w:numId w:val="24"/>
        </w:numPr>
        <w:spacing w:after="80" w:line="240" w:lineRule="auto"/>
      </w:pPr>
      <w:r>
        <w:t xml:space="preserve">Improve communication across all channels to reach community groups with a strategy that ensures representation is equitable. </w:t>
      </w:r>
    </w:p>
    <w:p w14:paraId="409B76D3" w14:textId="77777777" w:rsidR="00D25F52" w:rsidRDefault="00D25F52" w:rsidP="00D25F52"/>
    <w:p w14:paraId="2432BF22" w14:textId="5378D65B" w:rsidR="00D25F52" w:rsidRDefault="00BD7831" w:rsidP="00D25F52">
      <w:r>
        <w:t>T</w:t>
      </w:r>
      <w:r w:rsidR="00D25F52">
        <w:t>he full qualitative report</w:t>
      </w:r>
      <w:r>
        <w:t xml:space="preserve"> is </w:t>
      </w:r>
      <w:r w:rsidR="00F50DA3">
        <w:t>included in Section 6.</w:t>
      </w:r>
    </w:p>
    <w:p w14:paraId="4C29D1A8" w14:textId="77777777" w:rsidR="00D25F52" w:rsidRPr="00E41A0F" w:rsidRDefault="00D25F52" w:rsidP="7B356DB6"/>
    <w:p w14:paraId="2331AAB8" w14:textId="77777777" w:rsidR="00D43BF2" w:rsidRDefault="00D43BF2" w:rsidP="005404CD">
      <w:pPr>
        <w:pStyle w:val="Heading1"/>
        <w:sectPr w:rsidR="00D43BF2">
          <w:footerReference w:type="default" r:id="rId14"/>
          <w:pgSz w:w="11906" w:h="16838"/>
          <w:pgMar w:top="1440" w:right="1440" w:bottom="1440" w:left="1440" w:header="708" w:footer="708" w:gutter="0"/>
          <w:cols w:space="708"/>
          <w:docGrid w:linePitch="360"/>
        </w:sectPr>
      </w:pPr>
    </w:p>
    <w:p w14:paraId="139D9DCC" w14:textId="39143265" w:rsidR="00116E5D" w:rsidRDefault="00116E5D" w:rsidP="005404CD">
      <w:pPr>
        <w:pStyle w:val="Heading1"/>
      </w:pPr>
      <w:bookmarkStart w:id="12" w:name="_Toc200479452"/>
      <w:r>
        <w:lastRenderedPageBreak/>
        <w:t>Introduction</w:t>
      </w:r>
      <w:bookmarkEnd w:id="12"/>
    </w:p>
    <w:p w14:paraId="569ADD00" w14:textId="0BDFA51C" w:rsidR="005404CD" w:rsidRDefault="005404CD" w:rsidP="000A0397">
      <w:pPr>
        <w:pStyle w:val="Heading2"/>
      </w:pPr>
      <w:bookmarkStart w:id="13" w:name="_Toc200479453"/>
      <w:r>
        <w:t>Why We Need a Needs Assessment</w:t>
      </w:r>
      <w:bookmarkEnd w:id="13"/>
    </w:p>
    <w:p w14:paraId="4011906A" w14:textId="47339300" w:rsidR="002829D2" w:rsidRDefault="002829D2" w:rsidP="002829D2">
      <w:r>
        <w:t xml:space="preserve">This needs assessment is essential for guiding the commissioning of community-based alcohol and drug misuse treatment services in Peterborough. </w:t>
      </w:r>
      <w:r w:rsidR="001D488C">
        <w:t xml:space="preserve">A </w:t>
      </w:r>
      <w:r>
        <w:t>recent decoupling of public health services</w:t>
      </w:r>
      <w:r w:rsidR="00FD2EF8">
        <w:t xml:space="preserve"> </w:t>
      </w:r>
      <w:r w:rsidR="3340781E">
        <w:t>between Peterborough and</w:t>
      </w:r>
      <w:r w:rsidR="00FD2EF8">
        <w:t xml:space="preserve"> Cambridgeshire in </w:t>
      </w:r>
      <w:r>
        <w:t>September 2024</w:t>
      </w:r>
      <w:r w:rsidR="001D488C">
        <w:t xml:space="preserve"> raises </w:t>
      </w:r>
      <w:r>
        <w:t xml:space="preserve">a need to reassess the landscape of substance misuse services </w:t>
      </w:r>
      <w:r w:rsidR="5D51377A">
        <w:t>in Peterborough</w:t>
      </w:r>
      <w:r>
        <w:t xml:space="preserve"> to ensure they are effectively meeting the distinct needs of each area, while also acknowledging the overlap in service provision across both regions. </w:t>
      </w:r>
    </w:p>
    <w:p w14:paraId="2F3EE414" w14:textId="2F85DACD" w:rsidR="00514763" w:rsidRDefault="00514763" w:rsidP="00BF0F17">
      <w:r>
        <w:t xml:space="preserve">As trends in drug and alcohol misuse evolve and financial pressures </w:t>
      </w:r>
      <w:r w:rsidR="589B7D49">
        <w:t>in the wider system</w:t>
      </w:r>
      <w:r>
        <w:t xml:space="preserve"> continue to strain service delivery, it is crucial to provide an evidence base that supports the development of responsive and effective treatment services. </w:t>
      </w:r>
      <w:r w:rsidR="00B767B8" w:rsidRPr="00B767B8">
        <w:t xml:space="preserve">A comprehensive needs assessment is crucial to understand local trends, identify service gaps, and address health inequalities. By identifying areas of unmet need and highlighting population-specific challenges, this process will support more equitable and effective service delivery. </w:t>
      </w:r>
    </w:p>
    <w:p w14:paraId="762715FA" w14:textId="2BCE9535" w:rsidR="00B767B8" w:rsidRDefault="00B767B8" w:rsidP="00BF0F17">
      <w:r w:rsidRPr="00B767B8">
        <w:t>This updated assessment builds on the findings of the 2023 needs assessment by incorporating the latest data and addressing emerging issues that were not previously explored.</w:t>
      </w:r>
    </w:p>
    <w:p w14:paraId="7BD19B9E" w14:textId="77777777" w:rsidR="00BF0F17" w:rsidRPr="002150F1" w:rsidRDefault="00BF0F17" w:rsidP="002150F1"/>
    <w:p w14:paraId="0E1D222B" w14:textId="7DDB6286" w:rsidR="005404CD" w:rsidRDefault="005404CD" w:rsidP="005404CD">
      <w:pPr>
        <w:pStyle w:val="Heading2"/>
      </w:pPr>
      <w:bookmarkStart w:id="14" w:name="_Toc200479454"/>
      <w:r>
        <w:t>Why Drug &amp; Alcohol Services Matter</w:t>
      </w:r>
      <w:bookmarkEnd w:id="14"/>
    </w:p>
    <w:p w14:paraId="2AF016BA" w14:textId="1A256F58" w:rsidR="002F1EAE" w:rsidRDefault="002F1EAE" w:rsidP="002F1EAE">
      <w:r>
        <w:t xml:space="preserve">Drug and alcohol use significantly impacts individual health, families, communities, and wider society. The cost of substance misuse is both financial and personal, affecting the lives and wellbeing of individuals, their loved ones, and public resources. Local authority public health teams are tasked with commissioning services that mitigate these </w:t>
      </w:r>
      <w:r w:rsidR="00D43BF2">
        <w:t>harms and</w:t>
      </w:r>
      <w:r>
        <w:t xml:space="preserve"> should emphasise evidence-based practice and aim to reduce health inequalities.</w:t>
      </w:r>
    </w:p>
    <w:p w14:paraId="66039CCF" w14:textId="2C989056" w:rsidR="00A63C26" w:rsidRDefault="002F1EAE" w:rsidP="00A63C26">
      <w:r>
        <w:t xml:space="preserve">Alcohol is a leading modifiable risk factor for non-communicable diseases, alongside smoking and obesity. </w:t>
      </w:r>
      <w:r w:rsidR="005A2B5F" w:rsidRPr="005A2B5F">
        <w:t>Services that support individuals with addiction play a critical role in mitigating these risks and in helping people make healthier choices. Beyond direct health consequences, drug and alcohol use are major drivers of crime and social issues</w:t>
      </w:r>
      <w:r w:rsidR="00247F06">
        <w:rPr>
          <w:rStyle w:val="FootnoteReference"/>
        </w:rPr>
        <w:footnoteReference w:id="2"/>
      </w:r>
      <w:r w:rsidR="00A63C26" w:rsidRPr="00812EE4">
        <w:t>. Nationally, over half of violent crimes involve alcohol</w:t>
      </w:r>
      <w:r w:rsidR="00A74DE2">
        <w:t xml:space="preserve"> or </w:t>
      </w:r>
      <w:r w:rsidR="00A63C26" w:rsidRPr="00812EE4">
        <w:t>drug-related offenses</w:t>
      </w:r>
      <w:r w:rsidR="00AA1E7B">
        <w:t xml:space="preserve"> and </w:t>
      </w:r>
      <w:r w:rsidR="00A63C26" w:rsidRPr="00812EE4">
        <w:t>societal costs go beyond criminal justice, permeating child welfare, housing, and employment sectors</w:t>
      </w:r>
      <w:r w:rsidR="00A63C26">
        <w:t>.</w:t>
      </w:r>
    </w:p>
    <w:p w14:paraId="17B054E3" w14:textId="00ADF851" w:rsidR="00551B9C" w:rsidRDefault="7DF573F6" w:rsidP="000434EE">
      <w:r w:rsidRPr="005A2B5F">
        <w:t xml:space="preserve">The economic </w:t>
      </w:r>
      <w:r w:rsidR="703C3A28">
        <w:t xml:space="preserve">argument </w:t>
      </w:r>
      <w:r w:rsidRPr="005A2B5F">
        <w:t xml:space="preserve">is compelling: </w:t>
      </w:r>
      <w:r w:rsidR="704EE62A" w:rsidRPr="00DE44B6">
        <w:rPr>
          <w:b/>
          <w:bCs/>
        </w:rPr>
        <w:t>o</w:t>
      </w:r>
      <w:r w:rsidR="3DA44F87" w:rsidRPr="00DE44B6">
        <w:rPr>
          <w:b/>
          <w:bCs/>
        </w:rPr>
        <w:t xml:space="preserve">ver </w:t>
      </w:r>
      <w:r w:rsidR="703C3A28" w:rsidRPr="00DE44B6">
        <w:rPr>
          <w:b/>
          <w:bCs/>
        </w:rPr>
        <w:t xml:space="preserve">a </w:t>
      </w:r>
      <w:r w:rsidR="3DA44F87" w:rsidRPr="00DE44B6">
        <w:rPr>
          <w:b/>
          <w:bCs/>
        </w:rPr>
        <w:t>ten</w:t>
      </w:r>
      <w:r w:rsidR="703C3A28" w:rsidRPr="00DE44B6">
        <w:rPr>
          <w:b/>
          <w:bCs/>
        </w:rPr>
        <w:t>-</w:t>
      </w:r>
      <w:r w:rsidR="3DA44F87" w:rsidRPr="00DE44B6">
        <w:rPr>
          <w:b/>
          <w:bCs/>
        </w:rPr>
        <w:t>year</w:t>
      </w:r>
      <w:r w:rsidR="703C3A28" w:rsidRPr="00DE44B6">
        <w:rPr>
          <w:b/>
          <w:bCs/>
        </w:rPr>
        <w:t xml:space="preserve"> period</w:t>
      </w:r>
      <w:r w:rsidR="3DA44F87" w:rsidRPr="00157D97">
        <w:rPr>
          <w:b/>
          <w:bCs/>
        </w:rPr>
        <w:t>, every pound</w:t>
      </w:r>
      <w:r w:rsidR="3DA44F87" w:rsidRPr="00041503">
        <w:t xml:space="preserve"> </w:t>
      </w:r>
      <w:r w:rsidR="4D67A212">
        <w:t xml:space="preserve">invested in </w:t>
      </w:r>
      <w:r w:rsidR="3DA44F87" w:rsidRPr="00041503">
        <w:t xml:space="preserve">drug treatment is estimated to </w:t>
      </w:r>
      <w:r w:rsidR="3DA44F87" w:rsidRPr="00157D97">
        <w:rPr>
          <w:b/>
          <w:bCs/>
        </w:rPr>
        <w:t>save £21</w:t>
      </w:r>
      <w:r w:rsidR="3DA44F87">
        <w:t xml:space="preserve">, whilst alcohol </w:t>
      </w:r>
      <w:r w:rsidR="4D67A212">
        <w:t xml:space="preserve">treatment </w:t>
      </w:r>
      <w:r w:rsidR="4D67A212" w:rsidRPr="00157D97">
        <w:rPr>
          <w:b/>
          <w:bCs/>
        </w:rPr>
        <w:t xml:space="preserve">saves </w:t>
      </w:r>
      <w:r w:rsidR="3DA44F87" w:rsidRPr="00157D97">
        <w:rPr>
          <w:b/>
          <w:bCs/>
        </w:rPr>
        <w:t>£26</w:t>
      </w:r>
      <w:r w:rsidR="00247F06">
        <w:rPr>
          <w:rStyle w:val="FootnoteReference"/>
        </w:rPr>
        <w:footnoteReference w:id="3"/>
      </w:r>
      <w:r w:rsidR="3DA44F87">
        <w:t>. Th</w:t>
      </w:r>
      <w:r w:rsidR="7E362C59">
        <w:t xml:space="preserve">ese substantial savings are realised </w:t>
      </w:r>
      <w:r w:rsidR="4BC82162">
        <w:t xml:space="preserve">across </w:t>
      </w:r>
      <w:r w:rsidR="3DA44F87">
        <w:t xml:space="preserve">the </w:t>
      </w:r>
      <w:r w:rsidR="3DA44F87" w:rsidRPr="00041503">
        <w:t>NHS, criminal justice system, and social services.</w:t>
      </w:r>
    </w:p>
    <w:p w14:paraId="5B50D7B0" w14:textId="77777777" w:rsidR="002150F1" w:rsidRPr="002150F1" w:rsidRDefault="002150F1" w:rsidP="002150F1"/>
    <w:p w14:paraId="0EB484F2" w14:textId="44B6B201" w:rsidR="005404CD" w:rsidRDefault="005404CD" w:rsidP="005404CD">
      <w:pPr>
        <w:pStyle w:val="Heading2"/>
      </w:pPr>
      <w:bookmarkStart w:id="15" w:name="_Toc200479455"/>
      <w:r>
        <w:lastRenderedPageBreak/>
        <w:t>Aims/ Objectives</w:t>
      </w:r>
      <w:bookmarkEnd w:id="15"/>
    </w:p>
    <w:p w14:paraId="4744E602" w14:textId="77777777" w:rsidR="00105510" w:rsidRDefault="00105510" w:rsidP="00105510">
      <w:r>
        <w:t>The key objectives of this needs assessment are:</w:t>
      </w:r>
    </w:p>
    <w:p w14:paraId="2A479CE0" w14:textId="77777777" w:rsidR="00105510" w:rsidRDefault="00105510" w:rsidP="00B80EAF">
      <w:pPr>
        <w:pStyle w:val="ListParagraph"/>
        <w:numPr>
          <w:ilvl w:val="0"/>
          <w:numId w:val="13"/>
        </w:numPr>
      </w:pPr>
      <w:r>
        <w:t xml:space="preserve">To introduce </w:t>
      </w:r>
      <w:r w:rsidRPr="00105510">
        <w:rPr>
          <w:b/>
          <w:bCs/>
        </w:rPr>
        <w:t>national trends</w:t>
      </w:r>
      <w:r>
        <w:t xml:space="preserve"> in drug and alcohol misuse and related harms, providing contextual background.</w:t>
      </w:r>
    </w:p>
    <w:p w14:paraId="2E5007E8" w14:textId="77777777" w:rsidR="00105510" w:rsidRDefault="00105510" w:rsidP="00B80EAF">
      <w:pPr>
        <w:pStyle w:val="ListParagraph"/>
        <w:numPr>
          <w:ilvl w:val="0"/>
          <w:numId w:val="13"/>
        </w:numPr>
      </w:pPr>
      <w:r>
        <w:t xml:space="preserve">To outline the </w:t>
      </w:r>
      <w:r w:rsidRPr="00105510">
        <w:rPr>
          <w:b/>
          <w:bCs/>
        </w:rPr>
        <w:t>demographic profile and specific needs of the Peterborough</w:t>
      </w:r>
      <w:r>
        <w:t xml:space="preserve"> population, with a focus on identifying at-risk groups.</w:t>
      </w:r>
    </w:p>
    <w:p w14:paraId="31B3A8DC" w14:textId="77777777" w:rsidR="00105510" w:rsidRDefault="00105510" w:rsidP="00B80EAF">
      <w:pPr>
        <w:pStyle w:val="ListParagraph"/>
        <w:numPr>
          <w:ilvl w:val="0"/>
          <w:numId w:val="13"/>
        </w:numPr>
      </w:pPr>
      <w:r>
        <w:t xml:space="preserve">To </w:t>
      </w:r>
      <w:r w:rsidRPr="00105510">
        <w:rPr>
          <w:b/>
          <w:bCs/>
        </w:rPr>
        <w:t>review current services</w:t>
      </w:r>
      <w:r>
        <w:t>, identifying gaps, strengths, and areas for improvement, to ensure future service delivery is effective and responsive.</w:t>
      </w:r>
    </w:p>
    <w:p w14:paraId="76A21EF7" w14:textId="77777777" w:rsidR="00E66F71" w:rsidRDefault="00105510" w:rsidP="00B80EAF">
      <w:pPr>
        <w:pStyle w:val="ListParagraph"/>
        <w:numPr>
          <w:ilvl w:val="0"/>
          <w:numId w:val="13"/>
        </w:numPr>
      </w:pPr>
      <w:r>
        <w:t xml:space="preserve">To describe </w:t>
      </w:r>
      <w:r w:rsidRPr="00E66F71">
        <w:rPr>
          <w:b/>
          <w:bCs/>
        </w:rPr>
        <w:t>at-risk groups and explore wider determinants</w:t>
      </w:r>
      <w:r>
        <w:t xml:space="preserve"> that influence substance misuse outcomes.</w:t>
      </w:r>
    </w:p>
    <w:p w14:paraId="305FD5BD" w14:textId="77777777" w:rsidR="00DD4F50" w:rsidRDefault="00105510" w:rsidP="00B80EAF">
      <w:pPr>
        <w:pStyle w:val="ListParagraph"/>
        <w:numPr>
          <w:ilvl w:val="0"/>
          <w:numId w:val="13"/>
        </w:numPr>
      </w:pPr>
      <w:r>
        <w:t xml:space="preserve">To </w:t>
      </w:r>
      <w:r w:rsidRPr="00DD4F50">
        <w:rPr>
          <w:b/>
          <w:bCs/>
        </w:rPr>
        <w:t>generate insights</w:t>
      </w:r>
      <w:r>
        <w:t xml:space="preserve"> that will inform evidence-based commissioning and the development of future services.</w:t>
      </w:r>
    </w:p>
    <w:p w14:paraId="2225B1BE" w14:textId="08A155A8" w:rsidR="00105510" w:rsidRDefault="00105510" w:rsidP="00B80EAF">
      <w:pPr>
        <w:pStyle w:val="ListParagraph"/>
        <w:numPr>
          <w:ilvl w:val="0"/>
          <w:numId w:val="13"/>
        </w:numPr>
      </w:pPr>
      <w:r>
        <w:t xml:space="preserve">To review </w:t>
      </w:r>
      <w:r w:rsidRPr="00DD4F50">
        <w:rPr>
          <w:b/>
          <w:bCs/>
        </w:rPr>
        <w:t>national policy and strategies</w:t>
      </w:r>
      <w:r>
        <w:t xml:space="preserve"> that impact local drug and alcohol service delivery.</w:t>
      </w:r>
    </w:p>
    <w:p w14:paraId="19C5B1E9" w14:textId="26ED1725" w:rsidR="002150F1" w:rsidRDefault="44197101" w:rsidP="00B80EAF">
      <w:pPr>
        <w:pStyle w:val="ListParagraph"/>
        <w:numPr>
          <w:ilvl w:val="0"/>
          <w:numId w:val="13"/>
        </w:numPr>
      </w:pPr>
      <w:r>
        <w:t xml:space="preserve">To </w:t>
      </w:r>
      <w:r w:rsidR="00B54E63">
        <w:t>engage with</w:t>
      </w:r>
      <w:r>
        <w:t xml:space="preserve"> </w:t>
      </w:r>
      <w:r w:rsidRPr="00933D42">
        <w:rPr>
          <w:b/>
          <w:bCs/>
        </w:rPr>
        <w:t>service users</w:t>
      </w:r>
      <w:r w:rsidR="00B65A1E">
        <w:rPr>
          <w:b/>
          <w:bCs/>
        </w:rPr>
        <w:t xml:space="preserve"> and </w:t>
      </w:r>
      <w:r w:rsidRPr="00933D42">
        <w:rPr>
          <w:b/>
          <w:bCs/>
        </w:rPr>
        <w:t>stakeholders</w:t>
      </w:r>
      <w:r>
        <w:t xml:space="preserve"> </w:t>
      </w:r>
      <w:r w:rsidR="00B65A1E">
        <w:t>to understand</w:t>
      </w:r>
      <w:r>
        <w:t xml:space="preserve"> the </w:t>
      </w:r>
      <w:r w:rsidR="2EC83A77">
        <w:t>current</w:t>
      </w:r>
      <w:r>
        <w:t xml:space="preserve"> landscape within the </w:t>
      </w:r>
      <w:proofErr w:type="gramStart"/>
      <w:r>
        <w:t>city, and</w:t>
      </w:r>
      <w:proofErr w:type="gramEnd"/>
      <w:r>
        <w:t xml:space="preserve"> </w:t>
      </w:r>
      <w:r w:rsidR="3F16FBF2">
        <w:t xml:space="preserve">provide </w:t>
      </w:r>
      <w:r w:rsidRPr="00933D42">
        <w:rPr>
          <w:b/>
          <w:bCs/>
        </w:rPr>
        <w:t xml:space="preserve">opportunities to </w:t>
      </w:r>
      <w:r w:rsidR="00B65A1E">
        <w:rPr>
          <w:b/>
          <w:bCs/>
        </w:rPr>
        <w:t>shape</w:t>
      </w:r>
      <w:r>
        <w:rPr>
          <w:b/>
        </w:rPr>
        <w:t xml:space="preserve"> </w:t>
      </w:r>
      <w:r>
        <w:t xml:space="preserve">service design and </w:t>
      </w:r>
      <w:r w:rsidR="21DA19DF">
        <w:t>delivery</w:t>
      </w:r>
      <w:r>
        <w:t xml:space="preserve">. </w:t>
      </w:r>
    </w:p>
    <w:p w14:paraId="02462E3F" w14:textId="77777777" w:rsidR="00997083" w:rsidRPr="002150F1" w:rsidRDefault="00997083" w:rsidP="00997083"/>
    <w:p w14:paraId="3E5CE9AB" w14:textId="02762311" w:rsidR="005404CD" w:rsidRDefault="005404CD" w:rsidP="005404CD">
      <w:pPr>
        <w:pStyle w:val="Heading2"/>
      </w:pPr>
      <w:bookmarkStart w:id="16" w:name="_Toc200479456"/>
      <w:r>
        <w:t>Legal Context</w:t>
      </w:r>
      <w:bookmarkEnd w:id="16"/>
    </w:p>
    <w:p w14:paraId="4C35503E" w14:textId="0325D310" w:rsidR="002150F1" w:rsidRDefault="00047AD6" w:rsidP="002150F1">
      <w:r w:rsidRPr="00047AD6">
        <w:t>Key legislation, such as the Health and Social Care Act, the Care Act, and relevant provisions within the Crime and Disorder Act, mandates the provision of effective, accessible, and integrated services for those affected by substance misuse.</w:t>
      </w:r>
    </w:p>
    <w:p w14:paraId="63309F70" w14:textId="77777777" w:rsidR="00047AD6" w:rsidRPr="002150F1" w:rsidRDefault="00047AD6" w:rsidP="002150F1"/>
    <w:p w14:paraId="1E04FFCE" w14:textId="2CCDC171" w:rsidR="00022169" w:rsidRDefault="005404CD" w:rsidP="005404CD">
      <w:pPr>
        <w:pStyle w:val="Heading2"/>
      </w:pPr>
      <w:bookmarkStart w:id="17" w:name="_Toc200479457"/>
      <w:r>
        <w:t>Strategic Context – Local and National Policy</w:t>
      </w:r>
      <w:bookmarkEnd w:id="17"/>
    </w:p>
    <w:p w14:paraId="372D7A99" w14:textId="6928962C" w:rsidR="00ED431A" w:rsidRPr="00AE5603" w:rsidRDefault="00C03A6B" w:rsidP="00ED431A">
      <w:r w:rsidRPr="00C03A6B">
        <w:t xml:space="preserve">The strategic context for drug and alcohol service provision is informed by both local and national policies. Nationally, documents such as the ‘From Harm to Hope’ Drug Strategy and NICE guidance on substance misuse outline a comprehensive framework for prevention, treatment, and recovery. Locally, our strategic planning must align with these national frameworks while also addressing the unique challenges faced by our communities. Although there is a clear national strategy for drugs, the absence of a dedicated alcohol strategy means that local </w:t>
      </w:r>
      <w:r>
        <w:t xml:space="preserve">practice </w:t>
      </w:r>
      <w:r w:rsidR="00B133B4">
        <w:t>will</w:t>
      </w:r>
      <w:r w:rsidR="00D461A8" w:rsidRPr="00D461A8">
        <w:t xml:space="preserve"> apply existing guidance and evidence to design and deliver effective alcohol services.</w:t>
      </w:r>
    </w:p>
    <w:p w14:paraId="1EEAD421" w14:textId="680AE37B" w:rsidR="002150F1" w:rsidRPr="002150F1" w:rsidRDefault="002150F1" w:rsidP="002150F1"/>
    <w:p w14:paraId="53B170EB" w14:textId="77777777" w:rsidR="00D450AF" w:rsidRPr="00D450AF" w:rsidRDefault="00D450AF" w:rsidP="00D450AF"/>
    <w:p w14:paraId="049E242D" w14:textId="77777777" w:rsidR="002150F1" w:rsidRDefault="002150F1" w:rsidP="00070A00">
      <w:pPr>
        <w:pStyle w:val="Heading1"/>
        <w:sectPr w:rsidR="002150F1">
          <w:pgSz w:w="11906" w:h="16838"/>
          <w:pgMar w:top="1440" w:right="1440" w:bottom="1440" w:left="1440" w:header="708" w:footer="708" w:gutter="0"/>
          <w:cols w:space="708"/>
          <w:docGrid w:linePitch="360"/>
        </w:sectPr>
      </w:pPr>
    </w:p>
    <w:p w14:paraId="4E8F31FA" w14:textId="7C612A2D" w:rsidR="00FE49CE" w:rsidRDefault="00FE49CE" w:rsidP="00070A00">
      <w:pPr>
        <w:pStyle w:val="Heading1"/>
      </w:pPr>
      <w:bookmarkStart w:id="18" w:name="_Toc200479458"/>
      <w:r>
        <w:lastRenderedPageBreak/>
        <w:t>Literature Review</w:t>
      </w:r>
      <w:r w:rsidR="00290C71">
        <w:t>: Summary</w:t>
      </w:r>
      <w:bookmarkEnd w:id="18"/>
    </w:p>
    <w:p w14:paraId="1F091BA6" w14:textId="17FB3E26" w:rsidR="00FC23D4" w:rsidRDefault="00FC23D4" w:rsidP="00FC23D4">
      <w:r>
        <w:t>An evidence review was conducted to support the Drug and Alcohol Needs Assessment</w:t>
      </w:r>
      <w:r w:rsidR="00837FAC">
        <w:t xml:space="preserve"> </w:t>
      </w:r>
      <w:r>
        <w:t xml:space="preserve">and is available in </w:t>
      </w:r>
      <w:r w:rsidR="00940B08">
        <w:t xml:space="preserve">full in </w:t>
      </w:r>
      <w:r w:rsidR="00340BB1">
        <w:t>the appendix.</w:t>
      </w:r>
      <w:r>
        <w:t xml:space="preserve"> Th</w:t>
      </w:r>
      <w:r w:rsidR="00837FAC">
        <w:t>e</w:t>
      </w:r>
      <w:r>
        <w:t xml:space="preserve"> review summarises key national guidance, research findings, and best practice recommendations. </w:t>
      </w:r>
      <w:r w:rsidR="0027231F" w:rsidRPr="0027231F">
        <w:t>It combines rapid reviews, in-depth analyses, national guidelines, and examples from the National Drug Treatment Monitoring System (NDTMS), rather than a fully systematic review.</w:t>
      </w:r>
    </w:p>
    <w:p w14:paraId="5E657E95" w14:textId="5951774F" w:rsidR="00715770" w:rsidRDefault="00B84777" w:rsidP="00FC23D4">
      <w:r>
        <w:t xml:space="preserve">Topics covered </w:t>
      </w:r>
      <w:r w:rsidR="00FC23D4">
        <w:t>includ</w:t>
      </w:r>
      <w:r>
        <w:t>e</w:t>
      </w:r>
      <w:r w:rsidR="00FC23D4">
        <w:t xml:space="preserve"> drug and alcohol treatment models, recovery services, early intervention, and integrated care for co-occurring mental health conditions. It also examines specific interventions such as opioid substitution therapy and inpatient treatment, alongside guidance on service provision for children and young people.</w:t>
      </w:r>
    </w:p>
    <w:p w14:paraId="447C4DE9" w14:textId="332B010F" w:rsidR="00372152" w:rsidRDefault="00B84777" w:rsidP="00FC23D4">
      <w:r>
        <w:t xml:space="preserve">The </w:t>
      </w:r>
      <w:r w:rsidR="00FC23D4">
        <w:t>synthesis aims to inform local decision-making and service development, ensuring that provision aligns with best practice and meets the needs of the population.</w:t>
      </w:r>
      <w:r w:rsidR="0017699F">
        <w:t xml:space="preserve"> </w:t>
      </w:r>
      <w:r w:rsidR="007F490B" w:rsidRPr="007F490B">
        <w:t xml:space="preserve">Key </w:t>
      </w:r>
      <w:r w:rsidR="004313AB">
        <w:t xml:space="preserve">themes </w:t>
      </w:r>
      <w:r w:rsidR="007F490B" w:rsidRPr="007F490B">
        <w:t xml:space="preserve">are summarised </w:t>
      </w:r>
      <w:r w:rsidR="004313AB">
        <w:t>below</w:t>
      </w:r>
      <w:r w:rsidR="00102E83">
        <w:t>:</w:t>
      </w:r>
    </w:p>
    <w:p w14:paraId="1BF5F0A4" w14:textId="77777777" w:rsidR="009A4C2D" w:rsidRPr="00845DF9" w:rsidRDefault="009A4C2D" w:rsidP="009A4C2D">
      <w:pPr>
        <w:pStyle w:val="ListParagraph"/>
        <w:numPr>
          <w:ilvl w:val="0"/>
          <w:numId w:val="15"/>
        </w:numPr>
        <w:rPr>
          <w:b/>
          <w:bCs/>
        </w:rPr>
      </w:pPr>
      <w:r w:rsidRPr="00845DF9">
        <w:rPr>
          <w:b/>
          <w:bCs/>
        </w:rPr>
        <w:t>System-wide Working</w:t>
      </w:r>
    </w:p>
    <w:p w14:paraId="5A7F9F3B" w14:textId="23301275" w:rsidR="009A4C2D" w:rsidRDefault="009A4C2D" w:rsidP="00FC23D4">
      <w:pPr>
        <w:pStyle w:val="ListParagraph"/>
        <w:numPr>
          <w:ilvl w:val="1"/>
          <w:numId w:val="15"/>
        </w:numPr>
      </w:pPr>
      <w:r w:rsidRPr="00845DF9">
        <w:t xml:space="preserve">Effective responses to drug and alcohol-related harm require strong collaboration across services, including </w:t>
      </w:r>
      <w:r>
        <w:t xml:space="preserve">health care, </w:t>
      </w:r>
      <w:r w:rsidRPr="00845DF9">
        <w:t xml:space="preserve">criminal justice, housing, social care, ambulance and emergency services. </w:t>
      </w:r>
      <w:r w:rsidR="008646DB">
        <w:t xml:space="preserve">National guidance </w:t>
      </w:r>
      <w:r w:rsidR="008646DB" w:rsidRPr="00845DF9">
        <w:t>(e.g. OHID, NICE</w:t>
      </w:r>
      <w:r w:rsidR="008646DB">
        <w:t>, ACMD</w:t>
      </w:r>
      <w:r w:rsidR="008646DB" w:rsidRPr="00845DF9">
        <w:t>)</w:t>
      </w:r>
      <w:r w:rsidR="008646DB">
        <w:t xml:space="preserve"> and e</w:t>
      </w:r>
      <w:r w:rsidRPr="00845DF9">
        <w:t xml:space="preserve">vidence from </w:t>
      </w:r>
      <w:r w:rsidR="00C053B7">
        <w:t>‘</w:t>
      </w:r>
      <w:r w:rsidRPr="00845DF9">
        <w:t>Project ADDER</w:t>
      </w:r>
      <w:r w:rsidR="00C053B7">
        <w:t>’</w:t>
      </w:r>
      <w:r w:rsidRPr="00845DF9">
        <w:t xml:space="preserve"> highlights the importance of integrated, multi-agency approaches that are trauma-informed, person-centred, and assertive in reaching underserved populations.</w:t>
      </w:r>
    </w:p>
    <w:p w14:paraId="24156252" w14:textId="640E8E50" w:rsidR="00B228C5" w:rsidRPr="00EF5980" w:rsidRDefault="00B228C5" w:rsidP="00B80EAF">
      <w:pPr>
        <w:pStyle w:val="ListParagraph"/>
        <w:numPr>
          <w:ilvl w:val="0"/>
          <w:numId w:val="15"/>
        </w:numPr>
        <w:rPr>
          <w:b/>
          <w:bCs/>
        </w:rPr>
      </w:pPr>
      <w:r w:rsidRPr="00EF5980">
        <w:rPr>
          <w:b/>
          <w:bCs/>
        </w:rPr>
        <w:t>Recovery</w:t>
      </w:r>
      <w:r w:rsidR="00B73F80" w:rsidRPr="00EF5980">
        <w:rPr>
          <w:b/>
          <w:bCs/>
        </w:rPr>
        <w:t xml:space="preserve"> Services</w:t>
      </w:r>
    </w:p>
    <w:p w14:paraId="159E7D8C" w14:textId="01DB5374" w:rsidR="00471974" w:rsidRDefault="00B545C9" w:rsidP="00B80EAF">
      <w:pPr>
        <w:pStyle w:val="ListParagraph"/>
        <w:numPr>
          <w:ilvl w:val="1"/>
          <w:numId w:val="15"/>
        </w:numPr>
      </w:pPr>
      <w:r>
        <w:t>A visible recovery offer should be embedded throughout services, with co-location, community-based support, and strong system-wide links.</w:t>
      </w:r>
      <w:r w:rsidR="00471974">
        <w:t xml:space="preserve"> </w:t>
      </w:r>
      <w:r>
        <w:t>Recovery services should incorporate peer co-designed elements and Lived Experience Recovery Organisations (LEROs).</w:t>
      </w:r>
      <w:r w:rsidR="00471974">
        <w:t xml:space="preserve"> Services should </w:t>
      </w:r>
      <w:r w:rsidR="00133E81">
        <w:t>emphasise </w:t>
      </w:r>
      <w:r w:rsidR="00471974">
        <w:t>cultural</w:t>
      </w:r>
      <w:r>
        <w:t xml:space="preserve"> competence, particularly </w:t>
      </w:r>
      <w:r w:rsidR="00471974">
        <w:t xml:space="preserve">for </w:t>
      </w:r>
      <w:r>
        <w:t>at-risk and minority groups.</w:t>
      </w:r>
    </w:p>
    <w:p w14:paraId="58B76E4E" w14:textId="78A3CDCF" w:rsidR="00104938" w:rsidRPr="00EF5980" w:rsidRDefault="00104938" w:rsidP="00B80EAF">
      <w:pPr>
        <w:pStyle w:val="ListParagraph"/>
        <w:numPr>
          <w:ilvl w:val="0"/>
          <w:numId w:val="15"/>
        </w:numPr>
        <w:rPr>
          <w:b/>
          <w:bCs/>
        </w:rPr>
      </w:pPr>
      <w:r w:rsidRPr="00EF5980">
        <w:rPr>
          <w:b/>
          <w:bCs/>
        </w:rPr>
        <w:t xml:space="preserve">Inpatient and </w:t>
      </w:r>
      <w:r w:rsidR="00B73F80" w:rsidRPr="00EF5980">
        <w:rPr>
          <w:b/>
          <w:bCs/>
        </w:rPr>
        <w:t>R</w:t>
      </w:r>
      <w:r w:rsidRPr="00EF5980">
        <w:rPr>
          <w:b/>
          <w:bCs/>
        </w:rPr>
        <w:t xml:space="preserve">esidential </w:t>
      </w:r>
      <w:r w:rsidR="00B73F80" w:rsidRPr="00EF5980">
        <w:rPr>
          <w:b/>
          <w:bCs/>
        </w:rPr>
        <w:t>Rehabilitation Services</w:t>
      </w:r>
    </w:p>
    <w:p w14:paraId="03BC321A" w14:textId="4E1E0B02" w:rsidR="00C67FFA" w:rsidRDefault="003B5462" w:rsidP="00B80EAF">
      <w:pPr>
        <w:pStyle w:val="ListParagraph"/>
        <w:numPr>
          <w:ilvl w:val="1"/>
          <w:numId w:val="15"/>
        </w:numPr>
      </w:pPr>
      <w:r>
        <w:t>F</w:t>
      </w:r>
      <w:r w:rsidR="00C67FFA">
        <w:t>unding allocated to residential rehabilitation should not be reduced.</w:t>
      </w:r>
      <w:r w:rsidR="00034AFE">
        <w:t xml:space="preserve"> </w:t>
      </w:r>
      <w:r w:rsidR="001609A4">
        <w:t xml:space="preserve">Improvements or changes in rehabilitation service offer should proactively consider equity amongst vulnerable groups and include support for families of those receiving care. </w:t>
      </w:r>
      <w:r w:rsidR="00034AFE">
        <w:t xml:space="preserve">Block-purchasing inpatient beds </w:t>
      </w:r>
      <w:r w:rsidR="00303718">
        <w:t xml:space="preserve">is </w:t>
      </w:r>
      <w:r w:rsidR="00034AFE">
        <w:t xml:space="preserve">identified as a potential </w:t>
      </w:r>
      <w:r w:rsidR="00303718">
        <w:t>option</w:t>
      </w:r>
      <w:r w:rsidR="00034AFE">
        <w:t xml:space="preserve"> to </w:t>
      </w:r>
      <w:r w:rsidR="00303718">
        <w:t xml:space="preserve">increase </w:t>
      </w:r>
      <w:r w:rsidR="00034AFE">
        <w:t>provision and improve access to inpatient detoxification services.</w:t>
      </w:r>
    </w:p>
    <w:p w14:paraId="1E8236A6" w14:textId="6C8F4E22" w:rsidR="00C97C96" w:rsidRPr="00EF5980" w:rsidRDefault="00C97C96" w:rsidP="00B80EAF">
      <w:pPr>
        <w:pStyle w:val="ListParagraph"/>
        <w:numPr>
          <w:ilvl w:val="0"/>
          <w:numId w:val="15"/>
        </w:numPr>
        <w:rPr>
          <w:b/>
          <w:bCs/>
        </w:rPr>
      </w:pPr>
      <w:r w:rsidRPr="00EF5980">
        <w:rPr>
          <w:b/>
          <w:bCs/>
        </w:rPr>
        <w:t>M</w:t>
      </w:r>
      <w:r w:rsidR="00B73F80" w:rsidRPr="00EF5980">
        <w:rPr>
          <w:b/>
          <w:bCs/>
        </w:rPr>
        <w:t>ental Health</w:t>
      </w:r>
    </w:p>
    <w:p w14:paraId="7BB70D45" w14:textId="77777777" w:rsidR="00C90641" w:rsidRDefault="00C90641" w:rsidP="00B80EAF">
      <w:pPr>
        <w:pStyle w:val="ListParagraph"/>
        <w:numPr>
          <w:ilvl w:val="1"/>
          <w:numId w:val="15"/>
        </w:numPr>
      </w:pPr>
      <w:r w:rsidRPr="00C90641">
        <w:t>Closer joint working with mental health services, including coordinated care, shared training, and joint assessments, where feasible.</w:t>
      </w:r>
    </w:p>
    <w:p w14:paraId="30A7266E" w14:textId="2E113B7B" w:rsidR="007F490B" w:rsidRPr="00EF5980" w:rsidRDefault="007F490B" w:rsidP="00B80EAF">
      <w:pPr>
        <w:pStyle w:val="ListParagraph"/>
        <w:numPr>
          <w:ilvl w:val="0"/>
          <w:numId w:val="15"/>
        </w:numPr>
        <w:rPr>
          <w:b/>
          <w:bCs/>
        </w:rPr>
      </w:pPr>
      <w:r w:rsidRPr="00EF5980">
        <w:rPr>
          <w:b/>
          <w:bCs/>
        </w:rPr>
        <w:t>O</w:t>
      </w:r>
      <w:r w:rsidR="00B73F80" w:rsidRPr="00EF5980">
        <w:rPr>
          <w:b/>
          <w:bCs/>
        </w:rPr>
        <w:t>pioid Substitution Therapy (O</w:t>
      </w:r>
      <w:r w:rsidRPr="00EF5980">
        <w:rPr>
          <w:b/>
          <w:bCs/>
        </w:rPr>
        <w:t>ST</w:t>
      </w:r>
      <w:r w:rsidR="00B73F80" w:rsidRPr="00EF5980">
        <w:rPr>
          <w:b/>
          <w:bCs/>
        </w:rPr>
        <w:t>)</w:t>
      </w:r>
    </w:p>
    <w:p w14:paraId="550604C8" w14:textId="3CD511A9" w:rsidR="009A7E33" w:rsidRDefault="005F5DEC" w:rsidP="00B80EAF">
      <w:pPr>
        <w:pStyle w:val="ListParagraph"/>
        <w:numPr>
          <w:ilvl w:val="1"/>
          <w:numId w:val="15"/>
        </w:numPr>
      </w:pPr>
      <w:r>
        <w:t>OST options</w:t>
      </w:r>
      <w:r w:rsidR="00512F1D">
        <w:t xml:space="preserve"> </w:t>
      </w:r>
      <w:r w:rsidR="00202750">
        <w:t>should include l</w:t>
      </w:r>
      <w:r>
        <w:t>ong-acting Buprenorphine</w:t>
      </w:r>
      <w:r w:rsidR="00202750">
        <w:t xml:space="preserve">, </w:t>
      </w:r>
      <w:r w:rsidR="00202750" w:rsidRPr="00202750">
        <w:t xml:space="preserve">but its use should be targeted, with patient selection strategies </w:t>
      </w:r>
      <w:r w:rsidR="00EB7ECB">
        <w:t xml:space="preserve">in </w:t>
      </w:r>
      <w:r w:rsidR="00202750" w:rsidRPr="00202750">
        <w:t xml:space="preserve">balance </w:t>
      </w:r>
      <w:r w:rsidR="00EB7ECB">
        <w:t xml:space="preserve">with </w:t>
      </w:r>
      <w:r w:rsidR="00202750" w:rsidRPr="00202750">
        <w:t>patient-centred care and shared decision-making.</w:t>
      </w:r>
    </w:p>
    <w:p w14:paraId="2E18E724" w14:textId="4096C6B9" w:rsidR="00715770" w:rsidRPr="00EF5980" w:rsidRDefault="00CA250D" w:rsidP="00B80EAF">
      <w:pPr>
        <w:pStyle w:val="ListParagraph"/>
        <w:numPr>
          <w:ilvl w:val="0"/>
          <w:numId w:val="15"/>
        </w:numPr>
        <w:rPr>
          <w:b/>
          <w:bCs/>
        </w:rPr>
      </w:pPr>
      <w:r>
        <w:rPr>
          <w:b/>
          <w:bCs/>
        </w:rPr>
        <w:t>Children &amp; Young People (</w:t>
      </w:r>
      <w:r w:rsidR="007F490B" w:rsidRPr="00EF5980">
        <w:rPr>
          <w:b/>
          <w:bCs/>
        </w:rPr>
        <w:t>CYP</w:t>
      </w:r>
      <w:r>
        <w:rPr>
          <w:b/>
          <w:bCs/>
        </w:rPr>
        <w:t>)</w:t>
      </w:r>
      <w:r w:rsidR="007F490B" w:rsidRPr="00EF5980">
        <w:rPr>
          <w:b/>
          <w:bCs/>
        </w:rPr>
        <w:t xml:space="preserve"> </w:t>
      </w:r>
      <w:r w:rsidR="00102330">
        <w:rPr>
          <w:b/>
          <w:bCs/>
        </w:rPr>
        <w:t>M</w:t>
      </w:r>
      <w:r w:rsidR="007F490B" w:rsidRPr="00EF5980">
        <w:rPr>
          <w:b/>
          <w:bCs/>
        </w:rPr>
        <w:t>odels</w:t>
      </w:r>
    </w:p>
    <w:p w14:paraId="6B560216" w14:textId="49E58AE4" w:rsidR="00307E7F" w:rsidRDefault="00EB7ECB" w:rsidP="00B80EAF">
      <w:pPr>
        <w:pStyle w:val="ListParagraph"/>
        <w:numPr>
          <w:ilvl w:val="1"/>
          <w:numId w:val="15"/>
        </w:numPr>
      </w:pPr>
      <w:r>
        <w:t>A multi-agency approach is essential, with particular focus on a gradual, coordinated, and well-supported transition to adult services. Consideration should be given to extending service provision up to age 25 where</w:t>
      </w:r>
      <w:r w:rsidR="00102E83">
        <w:t xml:space="preserve"> it </w:t>
      </w:r>
      <w:r w:rsidR="002F5468">
        <w:t>c</w:t>
      </w:r>
      <w:r w:rsidR="00102E83">
        <w:t>ould be beneficial for the service user</w:t>
      </w:r>
      <w:r>
        <w:t>.</w:t>
      </w:r>
    </w:p>
    <w:p w14:paraId="3E785F48" w14:textId="77777777" w:rsidR="00102330" w:rsidRPr="00102330" w:rsidRDefault="00102330" w:rsidP="00102330">
      <w:pPr>
        <w:pStyle w:val="ListParagraph"/>
        <w:numPr>
          <w:ilvl w:val="0"/>
          <w:numId w:val="15"/>
        </w:numPr>
        <w:rPr>
          <w:b/>
          <w:bCs/>
        </w:rPr>
      </w:pPr>
      <w:r w:rsidRPr="00102330">
        <w:rPr>
          <w:b/>
          <w:bCs/>
        </w:rPr>
        <w:lastRenderedPageBreak/>
        <w:t>Reducing Unmet Need</w:t>
      </w:r>
    </w:p>
    <w:p w14:paraId="192E79DA" w14:textId="0B8D1557" w:rsidR="00102330" w:rsidRDefault="00102330" w:rsidP="00102330">
      <w:pPr>
        <w:pStyle w:val="ListParagraph"/>
        <w:numPr>
          <w:ilvl w:val="1"/>
          <w:numId w:val="15"/>
        </w:numPr>
      </w:pPr>
      <w:r w:rsidRPr="00102330">
        <w:t>Guidance highlights the use of NDTMS data to identify gaps in treatment, improve outreach and engagement (especially for underserved groups), and promote multi-agency, trauma-informed approaches.</w:t>
      </w:r>
    </w:p>
    <w:p w14:paraId="1030F28D" w14:textId="77777777" w:rsidR="001F3FCA" w:rsidRDefault="001F3FCA" w:rsidP="001F3FCA">
      <w:pPr>
        <w:pStyle w:val="ListParagraph"/>
        <w:numPr>
          <w:ilvl w:val="0"/>
          <w:numId w:val="15"/>
        </w:numPr>
      </w:pPr>
      <w:r w:rsidRPr="001F3FCA">
        <w:rPr>
          <w:b/>
          <w:bCs/>
        </w:rPr>
        <w:t>Criminal Justice Pathways</w:t>
      </w:r>
      <w:r>
        <w:t xml:space="preserve"> </w:t>
      </w:r>
    </w:p>
    <w:p w14:paraId="0BB42A7A" w14:textId="3C07B4A9" w:rsidR="001F3FCA" w:rsidRDefault="001F3FCA" w:rsidP="007856C6">
      <w:pPr>
        <w:pStyle w:val="ListParagraph"/>
        <w:numPr>
          <w:ilvl w:val="1"/>
          <w:numId w:val="15"/>
        </w:numPr>
      </w:pPr>
      <w:r>
        <w:t>National strategy requires improved access to treatment across all points in the justice system, supported by</w:t>
      </w:r>
      <w:r w:rsidR="00096DE3">
        <w:t>;</w:t>
      </w:r>
      <w:r>
        <w:t xml:space="preserve"> </w:t>
      </w:r>
      <w:r w:rsidR="00096DE3">
        <w:t>d</w:t>
      </w:r>
      <w:r>
        <w:t>edicated criminal justice drug workers, drug testing on arrest (</w:t>
      </w:r>
      <w:proofErr w:type="spellStart"/>
      <w:r>
        <w:t>DToA</w:t>
      </w:r>
      <w:proofErr w:type="spellEnd"/>
      <w:r>
        <w:t>), conditional cautions and diversion schemes, Community Sentence Treatment Requirements (CSTRs) and improved continuity of care from custody to community.</w:t>
      </w:r>
    </w:p>
    <w:p w14:paraId="41E8936B" w14:textId="071FCC30" w:rsidR="007856C6" w:rsidRPr="007856C6" w:rsidRDefault="007856C6" w:rsidP="007856C6">
      <w:pPr>
        <w:pStyle w:val="ListParagraph"/>
        <w:numPr>
          <w:ilvl w:val="0"/>
          <w:numId w:val="15"/>
        </w:numPr>
        <w:rPr>
          <w:b/>
          <w:bCs/>
        </w:rPr>
      </w:pPr>
      <w:r w:rsidRPr="007856C6">
        <w:rPr>
          <w:b/>
          <w:bCs/>
        </w:rPr>
        <w:t>Parents with Problem Substance Use</w:t>
      </w:r>
    </w:p>
    <w:p w14:paraId="2C58F139" w14:textId="0F1EB830" w:rsidR="007856C6" w:rsidRDefault="007856C6" w:rsidP="007856C6">
      <w:pPr>
        <w:pStyle w:val="ListParagraph"/>
        <w:numPr>
          <w:ilvl w:val="1"/>
          <w:numId w:val="15"/>
        </w:numPr>
      </w:pPr>
      <w:r w:rsidRPr="007856C6">
        <w:t>Addressing parental substance misuse is key to safeguarding and improving outcomes for children. A whole-family, trauma-informed approach is needed, with strong links between adult treatment, children’s services, and local safeguarding partnerships.</w:t>
      </w:r>
    </w:p>
    <w:p w14:paraId="5637D9FF" w14:textId="0FFC9A1E" w:rsidR="000E2B99" w:rsidRDefault="00EF5980" w:rsidP="00FE49CE">
      <w:r w:rsidRPr="0016581E">
        <w:t xml:space="preserve">Insights from this review are </w:t>
      </w:r>
      <w:r w:rsidR="00A50DC6" w:rsidRPr="0016581E">
        <w:t xml:space="preserve">incorporated in recommendations </w:t>
      </w:r>
      <w:r w:rsidRPr="0016581E">
        <w:t xml:space="preserve">throughout </w:t>
      </w:r>
      <w:r w:rsidR="009937CB" w:rsidRPr="0016581E">
        <w:t>th</w:t>
      </w:r>
      <w:r w:rsidR="00BD5739">
        <w:t>is needs assessment</w:t>
      </w:r>
      <w:r w:rsidR="009937CB" w:rsidRPr="0016581E">
        <w:t>.</w:t>
      </w:r>
      <w:r w:rsidR="009937CB">
        <w:t xml:space="preserve"> </w:t>
      </w:r>
      <w:r w:rsidR="00096DE3">
        <w:t>The f</w:t>
      </w:r>
      <w:r w:rsidR="005256E6">
        <w:t xml:space="preserve">ull </w:t>
      </w:r>
      <w:r w:rsidR="00096DE3">
        <w:t xml:space="preserve">review </w:t>
      </w:r>
      <w:r w:rsidR="005256E6">
        <w:t>with supporting ev</w:t>
      </w:r>
      <w:r w:rsidR="00A5524D">
        <w:t xml:space="preserve">idence and guidance </w:t>
      </w:r>
      <w:r w:rsidR="00096DE3">
        <w:t xml:space="preserve">is </w:t>
      </w:r>
      <w:r w:rsidR="00070AB3">
        <w:t xml:space="preserve">available </w:t>
      </w:r>
      <w:r w:rsidR="005F05E8">
        <w:t xml:space="preserve">via this link: </w:t>
      </w:r>
      <w:r w:rsidR="00675685">
        <w:t xml:space="preserve"> </w:t>
      </w:r>
    </w:p>
    <w:p w14:paraId="1F2A08A8" w14:textId="479D6B28" w:rsidR="001D356B" w:rsidRDefault="001D356B" w:rsidP="00FE49CE">
      <w:pPr>
        <w:rPr>
          <w:rFonts w:ascii="Aptos" w:eastAsia="Aptos" w:hAnsi="Aptos" w:cs="Aptos"/>
        </w:rPr>
        <w:sectPr w:rsidR="001D356B">
          <w:pgSz w:w="11906" w:h="16838"/>
          <w:pgMar w:top="1440" w:right="1440" w:bottom="1440" w:left="1440" w:header="708" w:footer="708" w:gutter="0"/>
          <w:cols w:space="708"/>
          <w:docGrid w:linePitch="360"/>
        </w:sectPr>
      </w:pPr>
      <w:r w:rsidRPr="001D356B">
        <w:t>https://cambridgeshireinsight.org.uk/wp-content/uploads/2025/06/DA-NA-Evidence-Review_PB_FINAL.docx</w:t>
      </w:r>
    </w:p>
    <w:p w14:paraId="260206D8" w14:textId="56D54399" w:rsidR="005404CD" w:rsidRDefault="00070A00" w:rsidP="00070A00">
      <w:pPr>
        <w:pStyle w:val="Heading1"/>
      </w:pPr>
      <w:bookmarkStart w:id="19" w:name="_Toc200479459"/>
      <w:r>
        <w:lastRenderedPageBreak/>
        <w:t>National Epidemiology</w:t>
      </w:r>
      <w:bookmarkEnd w:id="19"/>
    </w:p>
    <w:p w14:paraId="7D6B391B" w14:textId="3C836CB4" w:rsidR="0068192E" w:rsidRDefault="0068192E" w:rsidP="0068192E">
      <w:r>
        <w:t xml:space="preserve">This </w:t>
      </w:r>
      <w:r w:rsidR="00CA6EE3">
        <w:t xml:space="preserve">epidemiology (‘epi’) </w:t>
      </w:r>
      <w:r>
        <w:t xml:space="preserve">section provides an overview of drug and alcohol use at the national level to establish a context for understanding local patterns in Peterborough. </w:t>
      </w:r>
      <w:r w:rsidR="009844DB" w:rsidRPr="009844DB">
        <w:t>Local data is explored in subsequent sections, where further comparisons are made.</w:t>
      </w:r>
    </w:p>
    <w:p w14:paraId="4B05B752" w14:textId="09FAB179" w:rsidR="0068192E" w:rsidRDefault="0068192E" w:rsidP="0068192E">
      <w:r>
        <w:t xml:space="preserve">The analysis first explores drug use trends </w:t>
      </w:r>
      <w:r w:rsidR="009844DB">
        <w:t xml:space="preserve">in adults, </w:t>
      </w:r>
      <w:r w:rsidR="00B81BBE">
        <w:t xml:space="preserve">including patterns by </w:t>
      </w:r>
      <w:r w:rsidR="009844DB">
        <w:t xml:space="preserve">key demographic factors that influence substance use patterns, followed by levels </w:t>
      </w:r>
      <w:r w:rsidR="00293FAC">
        <w:t xml:space="preserve">of use </w:t>
      </w:r>
      <w:r w:rsidR="009844DB">
        <w:t>in children</w:t>
      </w:r>
      <w:r>
        <w:t>. The same approach is then applied to alcohol.</w:t>
      </w:r>
    </w:p>
    <w:p w14:paraId="46F85904" w14:textId="35364BFE" w:rsidR="008B3E35" w:rsidRDefault="00EE0BAD" w:rsidP="008B3E35">
      <w:pPr>
        <w:pStyle w:val="Heading2"/>
      </w:pPr>
      <w:bookmarkStart w:id="20" w:name="_Toc200479460"/>
      <w:r>
        <w:t xml:space="preserve">National Epi; </w:t>
      </w:r>
      <w:r w:rsidR="00B679AB">
        <w:t>Drugs</w:t>
      </w:r>
      <w:bookmarkEnd w:id="20"/>
    </w:p>
    <w:p w14:paraId="1E3DF351" w14:textId="77777777" w:rsidR="00A74048" w:rsidRDefault="00A74048" w:rsidP="005C4BD2">
      <w:pPr>
        <w:pStyle w:val="Heading3"/>
      </w:pPr>
      <w:bookmarkStart w:id="21" w:name="_Toc200479461"/>
      <w:r>
        <w:t>General Trends in Drug Use</w:t>
      </w:r>
      <w:bookmarkEnd w:id="21"/>
    </w:p>
    <w:p w14:paraId="71596F8E" w14:textId="3C79D572" w:rsidR="009844DB" w:rsidRPr="009844DB" w:rsidRDefault="009844DB" w:rsidP="00A74048">
      <w:pPr>
        <w:rPr>
          <w:b/>
          <w:bCs/>
        </w:rPr>
      </w:pPr>
      <w:r w:rsidRPr="009844DB">
        <w:rPr>
          <w:b/>
          <w:bCs/>
        </w:rPr>
        <w:t>Use of drugs in the last year</w:t>
      </w:r>
    </w:p>
    <w:p w14:paraId="74C6B98D" w14:textId="125F2CE4" w:rsidR="009844DB" w:rsidRDefault="00A74048" w:rsidP="00A74048">
      <w:r>
        <w:t xml:space="preserve">The Crime Survey for England and Wales (CSEW) 2023 reveals that 9.5% of individuals aged 16 to 59 reported using drugs in the past year, equating to approximately 3.1 million people. </w:t>
      </w:r>
      <w:r w:rsidR="009844DB">
        <w:t xml:space="preserve">This level has remained relatively stable since 2020, showing only minor fluctuations since the all-time low of 8.1% in 2013. </w:t>
      </w:r>
      <w:r>
        <w:t xml:space="preserve">Among younger adults (16 to 24 years), prevalence is notably higher at 17.6%, though this represents a decline from 21% in 2020. </w:t>
      </w:r>
    </w:p>
    <w:p w14:paraId="52252236" w14:textId="17AB341D" w:rsidR="009844DB" w:rsidRPr="009844DB" w:rsidRDefault="009844DB" w:rsidP="00A74048">
      <w:pPr>
        <w:rPr>
          <w:b/>
          <w:bCs/>
        </w:rPr>
      </w:pPr>
      <w:r>
        <w:rPr>
          <w:b/>
          <w:bCs/>
        </w:rPr>
        <w:t>More frequent use</w:t>
      </w:r>
    </w:p>
    <w:p w14:paraId="31CBBC20" w14:textId="25694267" w:rsidR="00A74048" w:rsidRDefault="003B46D7" w:rsidP="00A74048">
      <w:r>
        <w:t xml:space="preserve">Frequent use of drugs (more than once a month) is </w:t>
      </w:r>
      <w:r w:rsidR="00E15FB9">
        <w:t>less common</w:t>
      </w:r>
      <w:r w:rsidR="00F70AFC">
        <w:t xml:space="preserve"> and CSEW demonstrated that levels </w:t>
      </w:r>
      <w:r w:rsidR="00CD09DD">
        <w:t xml:space="preserve">in </w:t>
      </w:r>
      <w:r w:rsidR="00F70AFC">
        <w:t>2023</w:t>
      </w:r>
      <w:r w:rsidR="00CD09DD">
        <w:t xml:space="preserve"> were </w:t>
      </w:r>
      <w:proofErr w:type="gramStart"/>
      <w:r w:rsidR="00CD09DD">
        <w:t>similar to</w:t>
      </w:r>
      <w:proofErr w:type="gramEnd"/>
      <w:r w:rsidR="00CD09DD">
        <w:t xml:space="preserve"> 2020</w:t>
      </w:r>
      <w:r>
        <w:t>; 2.3% of adults aged 16 to 59 and 4.7% of young adults (16 to 24) report</w:t>
      </w:r>
      <w:r w:rsidR="00CD09DD">
        <w:t>ed</w:t>
      </w:r>
      <w:r>
        <w:t xml:space="preserve"> frequent drug use.</w:t>
      </w:r>
    </w:p>
    <w:p w14:paraId="6FFCD48A" w14:textId="77777777" w:rsidR="00A74048" w:rsidRDefault="00A74048" w:rsidP="00405F8A">
      <w:pPr>
        <w:pStyle w:val="Heading3"/>
      </w:pPr>
      <w:bookmarkStart w:id="22" w:name="_Toc200479462"/>
      <w:r>
        <w:t>Substance-Specific Trends and Frequency of Use</w:t>
      </w:r>
      <w:bookmarkEnd w:id="22"/>
    </w:p>
    <w:p w14:paraId="42C6FCA8" w14:textId="22FE561B" w:rsidR="00A74048" w:rsidRDefault="00F56870" w:rsidP="00A74048">
      <w:r w:rsidRPr="00F56870">
        <w:t>Understanding the different types of drugs and their associated harms is crucial for developing effective interventions.</w:t>
      </w:r>
      <w:r w:rsidR="00405F8A">
        <w:t xml:space="preserve"> </w:t>
      </w:r>
      <w:r w:rsidR="00981AED">
        <w:br/>
      </w:r>
      <w:r w:rsidR="00405F8A">
        <w:t xml:space="preserve">CSEW 2023 revealed </w:t>
      </w:r>
      <w:r w:rsidR="003754EA">
        <w:t>the following</w:t>
      </w:r>
      <w:r w:rsidR="00A74048">
        <w:t xml:space="preserve"> </w:t>
      </w:r>
      <w:r w:rsidR="003754EA">
        <w:t xml:space="preserve">prevalence and trends in </w:t>
      </w:r>
      <w:r w:rsidR="00405F8A" w:rsidRPr="00405F8A">
        <w:t>different substances</w:t>
      </w:r>
      <w:r w:rsidR="00A74048">
        <w:t>:</w:t>
      </w:r>
    </w:p>
    <w:p w14:paraId="66D7956A" w14:textId="3C3E6685" w:rsidR="00A74048" w:rsidRDefault="00A74048" w:rsidP="00B80EAF">
      <w:pPr>
        <w:pStyle w:val="ListParagraph"/>
        <w:numPr>
          <w:ilvl w:val="0"/>
          <w:numId w:val="5"/>
        </w:numPr>
      </w:pPr>
      <w:r w:rsidRPr="001E7242">
        <w:rPr>
          <w:b/>
          <w:bCs/>
        </w:rPr>
        <w:t>Cannabis</w:t>
      </w:r>
      <w:r>
        <w:t>: T</w:t>
      </w:r>
      <w:r w:rsidR="003F363A">
        <w:t xml:space="preserve">his </w:t>
      </w:r>
      <w:r w:rsidR="005E226C">
        <w:t>remain</w:t>
      </w:r>
      <w:r w:rsidR="003F363A">
        <w:t>s t</w:t>
      </w:r>
      <w:r>
        <w:t xml:space="preserve">he </w:t>
      </w:r>
      <w:proofErr w:type="gramStart"/>
      <w:r>
        <w:t>most commonly used</w:t>
      </w:r>
      <w:proofErr w:type="gramEnd"/>
      <w:r>
        <w:t xml:space="preserve"> drug</w:t>
      </w:r>
      <w:r w:rsidR="005E226C">
        <w:t xml:space="preserve">. </w:t>
      </w:r>
      <w:r w:rsidR="005E226C" w:rsidRPr="005E226C">
        <w:t>Among adults aged 16 to 59, 7.6% reported using it in 2023. Among young adults aged 16 to 24, prevalence was 15.4%, a decrease from 18.7% in 2020.</w:t>
      </w:r>
    </w:p>
    <w:p w14:paraId="67349504" w14:textId="77777777" w:rsidR="005E226C" w:rsidRDefault="00A74048" w:rsidP="00B80EAF">
      <w:pPr>
        <w:pStyle w:val="ListParagraph"/>
        <w:numPr>
          <w:ilvl w:val="0"/>
          <w:numId w:val="5"/>
        </w:numPr>
      </w:pPr>
      <w:r w:rsidRPr="005E226C">
        <w:rPr>
          <w:b/>
          <w:bCs/>
        </w:rPr>
        <w:t>Class A Drugs</w:t>
      </w:r>
      <w:r>
        <w:t xml:space="preserve">: </w:t>
      </w:r>
      <w:r w:rsidR="005E226C" w:rsidRPr="005E226C">
        <w:t>Overall prevalence of Class A drug use in 2023 was 3.3% among adults aged 16 to 59 and 6.4% among young adults aged 16 to 24, figures that have remained consistent since 2020.</w:t>
      </w:r>
    </w:p>
    <w:p w14:paraId="7B0D5886" w14:textId="2B00B540" w:rsidR="003754EA" w:rsidRDefault="003754EA" w:rsidP="00B80EAF">
      <w:pPr>
        <w:pStyle w:val="ListParagraph"/>
        <w:numPr>
          <w:ilvl w:val="1"/>
          <w:numId w:val="5"/>
        </w:numPr>
      </w:pPr>
      <w:r w:rsidRPr="005E226C">
        <w:rPr>
          <w:b/>
          <w:bCs/>
        </w:rPr>
        <w:t>Powder Cocaine</w:t>
      </w:r>
      <w:r>
        <w:t xml:space="preserve"> </w:t>
      </w:r>
      <w:r w:rsidR="005E226C" w:rsidRPr="005E226C">
        <w:t xml:space="preserve">was the </w:t>
      </w:r>
      <w:proofErr w:type="gramStart"/>
      <w:r w:rsidR="005E226C" w:rsidRPr="005E226C">
        <w:t>most commonly used</w:t>
      </w:r>
      <w:proofErr w:type="gramEnd"/>
      <w:r w:rsidR="005E226C" w:rsidRPr="005E226C">
        <w:t xml:space="preserve"> Class A drug, with prevalence at 2.4% for adults aged 16 to 59 and 5.1% for young adults aged 16 to 24.</w:t>
      </w:r>
    </w:p>
    <w:p w14:paraId="6D81D863" w14:textId="27CDD907" w:rsidR="00426D06" w:rsidRDefault="00A74048" w:rsidP="00B80EAF">
      <w:pPr>
        <w:pStyle w:val="ListParagraph"/>
        <w:numPr>
          <w:ilvl w:val="0"/>
          <w:numId w:val="5"/>
        </w:numPr>
      </w:pPr>
      <w:r w:rsidRPr="001E7242">
        <w:rPr>
          <w:b/>
          <w:bCs/>
        </w:rPr>
        <w:t>Nitrous Oxide</w:t>
      </w:r>
      <w:r>
        <w:t xml:space="preserve">: </w:t>
      </w:r>
      <w:r w:rsidR="005E226C" w:rsidRPr="005E226C">
        <w:t>Use of nitrous oxide has declined since 2020. In 2023, 1.3% of adults aged 16 to 59 reported using it, compared with 2.4% in 2020. Among young adults aged 16 to 24, prevalence dropped significantly from 8.7% in 2020 to 4.2% in 2023.</w:t>
      </w:r>
    </w:p>
    <w:p w14:paraId="7527D973" w14:textId="48E597F2" w:rsidR="00A74048" w:rsidRDefault="00013043" w:rsidP="00B80EAF">
      <w:pPr>
        <w:pStyle w:val="ListParagraph"/>
        <w:numPr>
          <w:ilvl w:val="0"/>
          <w:numId w:val="5"/>
        </w:numPr>
      </w:pPr>
      <w:r w:rsidRPr="001E7242">
        <w:rPr>
          <w:b/>
          <w:bCs/>
        </w:rPr>
        <w:t>Hallucinogens</w:t>
      </w:r>
      <w:r>
        <w:t xml:space="preserve"> (Class A, lysergic acid diethylamide (LSD) and magic mushrooms)</w:t>
      </w:r>
      <w:r w:rsidR="00A74048">
        <w:t xml:space="preserve">: </w:t>
      </w:r>
      <w:r w:rsidR="005E226C" w:rsidRPr="005E226C">
        <w:t xml:space="preserve">Unlike other substances, hallucinogens showed an increase in use among adults from 2020 to 2023, with prevalence </w:t>
      </w:r>
      <w:r w:rsidR="005E226C">
        <w:t>now at</w:t>
      </w:r>
      <w:r w:rsidR="005E226C" w:rsidRPr="005E226C">
        <w:t xml:space="preserve"> 1%.</w:t>
      </w:r>
    </w:p>
    <w:p w14:paraId="48C7742D" w14:textId="77777777" w:rsidR="00A74048" w:rsidRDefault="00A74048" w:rsidP="002710DE">
      <w:pPr>
        <w:pStyle w:val="Heading3"/>
      </w:pPr>
      <w:bookmarkStart w:id="23" w:name="_Toc200479463"/>
      <w:r>
        <w:t>Demographic Patterns in Drug Use</w:t>
      </w:r>
      <w:bookmarkEnd w:id="23"/>
    </w:p>
    <w:p w14:paraId="48A5B2F6" w14:textId="0F6F06DF" w:rsidR="00A74048" w:rsidRDefault="00A74048" w:rsidP="00A74048">
      <w:r>
        <w:t>The CSEW highlights differences in drug use across demographic groups</w:t>
      </w:r>
      <w:r w:rsidR="000D4730">
        <w:t xml:space="preserve"> (prevalence is reported use </w:t>
      </w:r>
      <w:r w:rsidR="001F2512">
        <w:t xml:space="preserve">of any illicit drug </w:t>
      </w:r>
      <w:r w:rsidR="000D4730">
        <w:t>in the past year)</w:t>
      </w:r>
      <w:r>
        <w:t>:</w:t>
      </w:r>
    </w:p>
    <w:p w14:paraId="0007FCC5" w14:textId="77777777" w:rsidR="002710DE" w:rsidRDefault="00A74048" w:rsidP="00B80EAF">
      <w:pPr>
        <w:pStyle w:val="ListParagraph"/>
        <w:numPr>
          <w:ilvl w:val="0"/>
          <w:numId w:val="5"/>
        </w:numPr>
      </w:pPr>
      <w:r w:rsidRPr="00CB7BC8">
        <w:rPr>
          <w:b/>
          <w:bCs/>
        </w:rPr>
        <w:lastRenderedPageBreak/>
        <w:t>Age</w:t>
      </w:r>
      <w:r>
        <w:t>: Drug use is highest among younger adults (16 to 24) and decreases with age.</w:t>
      </w:r>
    </w:p>
    <w:p w14:paraId="28BEC9B5" w14:textId="27B7EE4B" w:rsidR="00CD443F" w:rsidRDefault="00CD443F" w:rsidP="00B80EAF">
      <w:pPr>
        <w:pStyle w:val="ListParagraph"/>
        <w:numPr>
          <w:ilvl w:val="0"/>
          <w:numId w:val="5"/>
        </w:numPr>
      </w:pPr>
      <w:r>
        <w:rPr>
          <w:b/>
          <w:bCs/>
        </w:rPr>
        <w:t>Sex</w:t>
      </w:r>
      <w:r>
        <w:t xml:space="preserve">: </w:t>
      </w:r>
      <w:r w:rsidR="00D62B80" w:rsidRPr="00D62B80">
        <w:t>Men consistently report higher use of illicit drugs compared to women</w:t>
      </w:r>
      <w:r w:rsidR="00605A87">
        <w:t xml:space="preserve"> (11.6% and 7.3% respectively)</w:t>
      </w:r>
      <w:r w:rsidR="005B0F3E" w:rsidRPr="005B0F3E">
        <w:t>.</w:t>
      </w:r>
    </w:p>
    <w:p w14:paraId="30D176B1" w14:textId="63EE01F7" w:rsidR="000D13FD" w:rsidRDefault="00A74048" w:rsidP="00B80EAF">
      <w:pPr>
        <w:pStyle w:val="ListParagraph"/>
        <w:numPr>
          <w:ilvl w:val="0"/>
          <w:numId w:val="5"/>
        </w:numPr>
      </w:pPr>
      <w:r w:rsidRPr="16F14F99">
        <w:rPr>
          <w:b/>
          <w:bCs/>
        </w:rPr>
        <w:t>Ethnicity</w:t>
      </w:r>
      <w:r>
        <w:t>: Mixed/</w:t>
      </w:r>
      <w:r w:rsidR="009624B2">
        <w:t xml:space="preserve"> m</w:t>
      </w:r>
      <w:r>
        <w:t>ultiple ethnic groups report the highest prevalence (14.2%), followed by White groups (10.7%). Asian and Black ethnic groups report significantly lower prevalence (2.8% and 5.1%, respectively).</w:t>
      </w:r>
    </w:p>
    <w:p w14:paraId="5EA03BD4" w14:textId="77777777" w:rsidR="000D13FD" w:rsidRDefault="00744A0B" w:rsidP="00B80EAF">
      <w:pPr>
        <w:pStyle w:val="ListParagraph"/>
        <w:numPr>
          <w:ilvl w:val="0"/>
          <w:numId w:val="5"/>
        </w:numPr>
      </w:pPr>
      <w:r w:rsidRPr="16F14F99">
        <w:rPr>
          <w:b/>
          <w:bCs/>
        </w:rPr>
        <w:t>Disability</w:t>
      </w:r>
      <w:r>
        <w:t>: Prevalence of drug use is higher among individuals with disabilities (14.1%) compared to those without (8.8%).</w:t>
      </w:r>
      <w:r w:rsidR="000D13FD">
        <w:t xml:space="preserve"> </w:t>
      </w:r>
    </w:p>
    <w:p w14:paraId="744802E5" w14:textId="77F53385" w:rsidR="00744A0B" w:rsidRDefault="000D13FD" w:rsidP="00B80EAF">
      <w:pPr>
        <w:pStyle w:val="ListParagraph"/>
        <w:numPr>
          <w:ilvl w:val="1"/>
          <w:numId w:val="5"/>
        </w:numPr>
      </w:pPr>
      <w:r>
        <w:t>Although there is no breakdown of disabilities, i</w:t>
      </w:r>
      <w:r w:rsidRPr="0078033C">
        <w:t>t has been recognised that individuals with learning disabilities can be considered a ‘doubly disadvantaged group’, with both substance misuse and disability often being under-recognised by mainstream services</w:t>
      </w:r>
      <w:r w:rsidR="00324A8D">
        <w:rPr>
          <w:rStyle w:val="FootnoteReference"/>
        </w:rPr>
        <w:footnoteReference w:id="4"/>
      </w:r>
      <w:r w:rsidRPr="0078033C">
        <w:t>.</w:t>
      </w:r>
    </w:p>
    <w:p w14:paraId="27A8BFC4" w14:textId="0FCFC177" w:rsidR="00FE444C" w:rsidRDefault="00A74048" w:rsidP="00B80EAF">
      <w:pPr>
        <w:pStyle w:val="ListParagraph"/>
        <w:numPr>
          <w:ilvl w:val="0"/>
          <w:numId w:val="5"/>
        </w:numPr>
      </w:pPr>
      <w:r w:rsidRPr="00CB7BC8">
        <w:rPr>
          <w:b/>
          <w:bCs/>
        </w:rPr>
        <w:t>Marital Status</w:t>
      </w:r>
      <w:r>
        <w:t xml:space="preserve">: Single individuals report higher </w:t>
      </w:r>
      <w:r w:rsidR="00AB752C">
        <w:t xml:space="preserve">prevalence of </w:t>
      </w:r>
      <w:r>
        <w:t>drug use (15.5%) compared to married or civil-partnership individuals (4.2%).</w:t>
      </w:r>
    </w:p>
    <w:p w14:paraId="5D602588" w14:textId="77F6B9EF" w:rsidR="00782141" w:rsidRDefault="00782141" w:rsidP="00B80EAF">
      <w:pPr>
        <w:pStyle w:val="ListParagraph"/>
        <w:numPr>
          <w:ilvl w:val="1"/>
          <w:numId w:val="5"/>
        </w:numPr>
      </w:pPr>
      <w:r>
        <w:t>Note that</w:t>
      </w:r>
      <w:r w:rsidRPr="00EB1A92">
        <w:t xml:space="preserve"> direct comparison does not account for variation with other demographics which may influence this pattern</w:t>
      </w:r>
      <w:r>
        <w:t>, such as age</w:t>
      </w:r>
      <w:r w:rsidRPr="00EB1A92">
        <w:t>.</w:t>
      </w:r>
    </w:p>
    <w:p w14:paraId="179B7827" w14:textId="02E40107" w:rsidR="00FE444C" w:rsidRDefault="00A74048" w:rsidP="00B80EAF">
      <w:pPr>
        <w:pStyle w:val="ListParagraph"/>
        <w:numPr>
          <w:ilvl w:val="0"/>
          <w:numId w:val="5"/>
        </w:numPr>
      </w:pPr>
      <w:r w:rsidRPr="00AB752C">
        <w:rPr>
          <w:b/>
          <w:bCs/>
        </w:rPr>
        <w:t>Socioeconomic Status</w:t>
      </w:r>
      <w:r>
        <w:t>: Drug use is most prevalent in households earning less than £10,400 annually (13.6%)</w:t>
      </w:r>
      <w:r w:rsidR="00782141">
        <w:t xml:space="preserve">, </w:t>
      </w:r>
      <w:r w:rsidR="00782141" w:rsidRPr="00782141">
        <w:t>but the trend is not linear</w:t>
      </w:r>
      <w:r w:rsidR="00782141">
        <w:t xml:space="preserve"> </w:t>
      </w:r>
      <w:r w:rsidR="00782141" w:rsidRPr="00782141">
        <w:t xml:space="preserve">with some increases in the higher income groups (e.g., </w:t>
      </w:r>
      <w:r w:rsidR="00782141">
        <w:t>Class A drug use was most prevalent</w:t>
      </w:r>
      <w:r w:rsidR="00782141" w:rsidRPr="00782141">
        <w:t xml:space="preserve"> households earning £52,000 or more </w:t>
      </w:r>
      <w:r w:rsidR="00782141">
        <w:t>at 4.3%).</w:t>
      </w:r>
    </w:p>
    <w:p w14:paraId="4F0513F8" w14:textId="77777777" w:rsidR="00B45E04" w:rsidRDefault="00A74048" w:rsidP="00B80EAF">
      <w:pPr>
        <w:pStyle w:val="ListParagraph"/>
        <w:numPr>
          <w:ilvl w:val="0"/>
          <w:numId w:val="5"/>
        </w:numPr>
      </w:pPr>
      <w:r w:rsidRPr="00CB7BC8">
        <w:rPr>
          <w:b/>
          <w:bCs/>
        </w:rPr>
        <w:t>Religion</w:t>
      </w:r>
      <w:r>
        <w:t>: Those with no religion report the highest prevalence (13.9%), while individuals identifying as Muslim (2.3%) or Hindu (1.9%) report the lowest.</w:t>
      </w:r>
    </w:p>
    <w:p w14:paraId="3D333614" w14:textId="2A6E2657" w:rsidR="00A74048" w:rsidRDefault="00A74048" w:rsidP="00B80EAF">
      <w:pPr>
        <w:pStyle w:val="ListParagraph"/>
        <w:numPr>
          <w:ilvl w:val="0"/>
          <w:numId w:val="5"/>
        </w:numPr>
      </w:pPr>
      <w:r w:rsidRPr="00CB7BC8">
        <w:rPr>
          <w:b/>
          <w:bCs/>
        </w:rPr>
        <w:t>Sexual Orientation</w:t>
      </w:r>
      <w:r>
        <w:t xml:space="preserve">: </w:t>
      </w:r>
      <w:r w:rsidR="00782141">
        <w:t xml:space="preserve">Prevalence of drug use is 8.7-22.5% higher for individuals with gay, bisexual or other sexual orientation than prevalence among </w:t>
      </w:r>
      <w:r>
        <w:t>heterosexual individuals</w:t>
      </w:r>
      <w:r w:rsidR="00782141">
        <w:t>.</w:t>
      </w:r>
    </w:p>
    <w:p w14:paraId="1F502B80" w14:textId="1043E943" w:rsidR="000738FD" w:rsidRDefault="000738FD" w:rsidP="00B80EAF">
      <w:pPr>
        <w:pStyle w:val="ListParagraph"/>
        <w:numPr>
          <w:ilvl w:val="0"/>
          <w:numId w:val="5"/>
        </w:numPr>
      </w:pPr>
      <w:r>
        <w:rPr>
          <w:b/>
          <w:bCs/>
        </w:rPr>
        <w:t>Gender</w:t>
      </w:r>
      <w:r>
        <w:t xml:space="preserve">: </w:t>
      </w:r>
      <w:r w:rsidR="00C2703A" w:rsidRPr="00C2703A">
        <w:t>those whose gender identity is different from the sex they were registered at birth were more likely to report drug use in the last year (22.4%) compared with those who identified as the same sex they were registered at birth (9.6%).</w:t>
      </w:r>
    </w:p>
    <w:p w14:paraId="2FEA415B" w14:textId="77777777" w:rsidR="00572AFE" w:rsidRDefault="00782141" w:rsidP="00E36D59">
      <w:r>
        <w:t>Note that these differences are in drug use and may not translate</w:t>
      </w:r>
      <w:r w:rsidR="00E57C1D">
        <w:t xml:space="preserve"> or correlate with </w:t>
      </w:r>
      <w:r>
        <w:t xml:space="preserve">drug dependency. </w:t>
      </w:r>
      <w:r w:rsidR="00E36D59" w:rsidRPr="00E36D59">
        <w:t xml:space="preserve">Evidence shows some </w:t>
      </w:r>
      <w:r w:rsidR="00572AFE">
        <w:t xml:space="preserve">differences </w:t>
      </w:r>
      <w:r w:rsidR="00E36D59" w:rsidRPr="00E36D59">
        <w:t>with the above patterns</w:t>
      </w:r>
      <w:r w:rsidR="00572AFE">
        <w:t>:</w:t>
      </w:r>
    </w:p>
    <w:p w14:paraId="5B6213F4" w14:textId="67453BA3" w:rsidR="00E36D59" w:rsidRDefault="00E36D59" w:rsidP="00B80EAF">
      <w:pPr>
        <w:pStyle w:val="ListParagraph"/>
        <w:numPr>
          <w:ilvl w:val="0"/>
          <w:numId w:val="5"/>
        </w:numPr>
      </w:pPr>
      <w:r w:rsidRPr="00E36D59">
        <w:t xml:space="preserve">The </w:t>
      </w:r>
      <w:r w:rsidR="00FC6FA5" w:rsidRPr="00FC6FA5">
        <w:t xml:space="preserve">Adult Psychiatric Morbidity Survey </w:t>
      </w:r>
      <w:r w:rsidR="00FC6FA5">
        <w:t>(</w:t>
      </w:r>
      <w:r w:rsidRPr="00E36D59">
        <w:t>APM</w:t>
      </w:r>
      <w:r w:rsidR="00A604CC">
        <w:t>S</w:t>
      </w:r>
      <w:r w:rsidR="00FC6FA5">
        <w:t>)</w:t>
      </w:r>
      <w:r w:rsidR="00125137">
        <w:t xml:space="preserve"> in England </w:t>
      </w:r>
      <w:r w:rsidRPr="00E36D59">
        <w:t>highlight</w:t>
      </w:r>
      <w:r>
        <w:t>ed</w:t>
      </w:r>
      <w:r w:rsidRPr="00E36D59">
        <w:t xml:space="preserve"> that</w:t>
      </w:r>
      <w:r w:rsidR="008A7FF4">
        <w:t xml:space="preserve"> White ethnic groups had the highest rates of drug dependency.</w:t>
      </w:r>
      <w:r w:rsidR="00572AFE">
        <w:t xml:space="preserve"> </w:t>
      </w:r>
      <w:r w:rsidR="008A7FF4">
        <w:t>Black and mixed/multiple ethnic groups had higher rates of drug use and dependency compared to Asian groups</w:t>
      </w:r>
      <w:r w:rsidR="00572AFE">
        <w:t>,</w:t>
      </w:r>
      <w:r w:rsidR="008A7FF4">
        <w:t xml:space="preserve"> but lower than White groups.</w:t>
      </w:r>
      <w:r w:rsidR="00572AFE">
        <w:t xml:space="preserve"> However, </w:t>
      </w:r>
      <w:r w:rsidRPr="00E36D59">
        <w:t xml:space="preserve">the most recent version of this report </w:t>
      </w:r>
      <w:r w:rsidR="000D3FA6">
        <w:t>was published 10 years ago (</w:t>
      </w:r>
      <w:r w:rsidRPr="00E36D59">
        <w:t>2014)</w:t>
      </w:r>
      <w:r>
        <w:t>.</w:t>
      </w:r>
    </w:p>
    <w:p w14:paraId="48DA16C0" w14:textId="63A09AF5" w:rsidR="00572AFE" w:rsidRDefault="002C6774" w:rsidP="00572AFE">
      <w:r>
        <w:t>Whilst o</w:t>
      </w:r>
      <w:r w:rsidR="00572AFE" w:rsidRPr="00E36D59">
        <w:t xml:space="preserve">ther </w:t>
      </w:r>
      <w:r w:rsidR="00572AFE">
        <w:t>research</w:t>
      </w:r>
      <w:r w:rsidR="009E6BF1">
        <w:t xml:space="preserve"> around </w:t>
      </w:r>
      <w:r w:rsidR="00432F40">
        <w:t>substance use</w:t>
      </w:r>
      <w:r>
        <w:t xml:space="preserve"> aligns with CSEW</w:t>
      </w:r>
      <w:r w:rsidR="00572AFE" w:rsidRPr="00E36D59">
        <w:t>:</w:t>
      </w:r>
    </w:p>
    <w:p w14:paraId="3CD26BE1" w14:textId="048ED0B4" w:rsidR="00E36D59" w:rsidRDefault="00E36D59" w:rsidP="00B80EAF">
      <w:pPr>
        <w:pStyle w:val="ListParagraph"/>
        <w:numPr>
          <w:ilvl w:val="0"/>
          <w:numId w:val="5"/>
        </w:numPr>
      </w:pPr>
      <w:r>
        <w:t xml:space="preserve">Studies show higher rates of substance use disorders among sexual minority adults. A US study found that for females, </w:t>
      </w:r>
      <w:r w:rsidR="00EF450B">
        <w:t xml:space="preserve">26.5% of lesbian and 32.2% of </w:t>
      </w:r>
      <w:r>
        <w:t xml:space="preserve">bisexual individuals are affected by substance use disorders, compared to 13.8% of straight females. For males, 32.2% of gay and 32.4% of bisexual individuals report disorders, compared to 20.7% of straight males. </w:t>
      </w:r>
    </w:p>
    <w:p w14:paraId="1C2BE065" w14:textId="740238E4" w:rsidR="00E36D59" w:rsidRDefault="00E36D59" w:rsidP="00E36D59">
      <w:r w:rsidRPr="00E36D59">
        <w:lastRenderedPageBreak/>
        <w:t xml:space="preserve">Reliable data on drug dependency for all subgroups in the UK is limited, making it challenging to fully understand the extent of </w:t>
      </w:r>
      <w:r>
        <w:t>misuse and treatment need</w:t>
      </w:r>
      <w:r w:rsidRPr="00E36D59">
        <w:t xml:space="preserve"> across different groups</w:t>
      </w:r>
      <w:r w:rsidR="00EF450B">
        <w:t xml:space="preserve">. However, </w:t>
      </w:r>
      <w:r w:rsidR="00DF1B18">
        <w:t xml:space="preserve">these </w:t>
      </w:r>
      <w:r w:rsidR="00EF450B">
        <w:t xml:space="preserve">differences demonstrate </w:t>
      </w:r>
      <w:r w:rsidR="00EF450B" w:rsidRPr="00EF450B">
        <w:t xml:space="preserve">that services must be tailored to address the diverse needs of </w:t>
      </w:r>
      <w:r w:rsidR="00EF450B">
        <w:t>all</w:t>
      </w:r>
      <w:r w:rsidR="00EF450B" w:rsidRPr="00EF450B">
        <w:t xml:space="preserve"> groups effectively.</w:t>
      </w:r>
    </w:p>
    <w:p w14:paraId="39A738AD" w14:textId="77777777" w:rsidR="000738FD" w:rsidRDefault="000738FD" w:rsidP="00744A0B"/>
    <w:p w14:paraId="5BA90CF9" w14:textId="23B94B68" w:rsidR="00A74048" w:rsidRDefault="00A74048" w:rsidP="00EF450B">
      <w:pPr>
        <w:pStyle w:val="Heading3"/>
      </w:pPr>
      <w:bookmarkStart w:id="24" w:name="_Toc200479464"/>
      <w:r>
        <w:t>Children and Young People</w:t>
      </w:r>
      <w:bookmarkEnd w:id="24"/>
    </w:p>
    <w:p w14:paraId="7F6382FF" w14:textId="249BDF6C" w:rsidR="00A74048" w:rsidRDefault="00A74048" w:rsidP="00A74048">
      <w:r>
        <w:t>Drug use among children</w:t>
      </w:r>
      <w:r w:rsidR="009B1DD8">
        <w:t xml:space="preserve"> and young people (CYP)</w:t>
      </w:r>
      <w:r>
        <w:t xml:space="preserve"> remains a public health concern, with early exposure increasing the likelihood of long-term dependency and associated harms.</w:t>
      </w:r>
    </w:p>
    <w:p w14:paraId="4AE7ADF2" w14:textId="14C67599" w:rsidR="006E5D24" w:rsidRPr="00D07802" w:rsidRDefault="006E5D24" w:rsidP="006E5D24">
      <w:r w:rsidRPr="00D07802">
        <w:t xml:space="preserve">A national survey of </w:t>
      </w:r>
      <w:r w:rsidRPr="0080221D">
        <w:rPr>
          <w:b/>
          <w:bCs/>
        </w:rPr>
        <w:t xml:space="preserve">Smoking, Drinking and Drug Use </w:t>
      </w:r>
      <w:r w:rsidR="00AB7FA7" w:rsidRPr="0080221D">
        <w:rPr>
          <w:b/>
          <w:bCs/>
        </w:rPr>
        <w:t>(SDD)</w:t>
      </w:r>
      <w:r w:rsidR="00324A8D">
        <w:rPr>
          <w:rStyle w:val="FootnoteReference"/>
          <w:b/>
          <w:bCs/>
        </w:rPr>
        <w:footnoteReference w:id="5"/>
      </w:r>
      <w:r w:rsidR="00AB7FA7">
        <w:t xml:space="preserve"> A</w:t>
      </w:r>
      <w:r w:rsidRPr="00D07802">
        <w:t xml:space="preserve">mong Young People in England was last carried out in 2023, which surveyed secondary school pupils in England in years 7 to 11 (mostly aged 11 to 15), focusing on smoking, drinking and drug use. </w:t>
      </w:r>
    </w:p>
    <w:p w14:paraId="3508F1CF" w14:textId="09E42844" w:rsidR="006E5D24" w:rsidRPr="00D07802" w:rsidRDefault="006E5D24" w:rsidP="006E5D24">
      <w:r w:rsidRPr="00D07802">
        <w:t>For drugs, the survey found that:</w:t>
      </w:r>
    </w:p>
    <w:p w14:paraId="08E27AA1" w14:textId="4606B0CD" w:rsidR="006E5D24" w:rsidRPr="00D07802" w:rsidRDefault="006E5D24" w:rsidP="00B80EAF">
      <w:pPr>
        <w:numPr>
          <w:ilvl w:val="0"/>
          <w:numId w:val="4"/>
        </w:numPr>
        <w:contextualSpacing/>
      </w:pPr>
      <w:r w:rsidRPr="00D07802">
        <w:t xml:space="preserve">12.6% of pupils reported they had </w:t>
      </w:r>
      <w:r w:rsidRPr="006511D5">
        <w:rPr>
          <w:b/>
          <w:bCs/>
        </w:rPr>
        <w:t>ever taken illicit drugs</w:t>
      </w:r>
      <w:r w:rsidR="00B1378B">
        <w:t xml:space="preserve">. </w:t>
      </w:r>
      <w:r w:rsidRPr="00D07802">
        <w:t xml:space="preserve">In the East of England this was higher, at </w:t>
      </w:r>
      <w:r w:rsidRPr="006511D5">
        <w:rPr>
          <w:b/>
          <w:bCs/>
        </w:rPr>
        <w:t>15.2%</w:t>
      </w:r>
      <w:r w:rsidR="00B1378B" w:rsidRPr="006511D5">
        <w:rPr>
          <w:b/>
          <w:bCs/>
        </w:rPr>
        <w:t>.</w:t>
      </w:r>
    </w:p>
    <w:p w14:paraId="0DA11C52" w14:textId="09B9957F" w:rsidR="003A5E6C" w:rsidRDefault="003A5E6C" w:rsidP="00B80EAF">
      <w:pPr>
        <w:numPr>
          <w:ilvl w:val="0"/>
          <w:numId w:val="4"/>
        </w:numPr>
        <w:contextualSpacing/>
      </w:pPr>
      <w:r w:rsidRPr="00D07802">
        <w:t xml:space="preserve">This was a </w:t>
      </w:r>
      <w:r w:rsidRPr="006511D5">
        <w:rPr>
          <w:b/>
          <w:bCs/>
        </w:rPr>
        <w:t>fall in prevalence</w:t>
      </w:r>
      <w:r w:rsidR="00B1378B">
        <w:t xml:space="preserve"> of around 5 percentage points since 2021.</w:t>
      </w:r>
    </w:p>
    <w:p w14:paraId="78C81EC6" w14:textId="13CC15BB" w:rsidR="003A5E6C" w:rsidRDefault="003A5E6C" w:rsidP="00B80EAF">
      <w:pPr>
        <w:numPr>
          <w:ilvl w:val="0"/>
          <w:numId w:val="4"/>
        </w:numPr>
        <w:contextualSpacing/>
      </w:pPr>
      <w:r w:rsidRPr="006511D5">
        <w:rPr>
          <w:b/>
          <w:bCs/>
        </w:rPr>
        <w:t>Cannabis</w:t>
      </w:r>
      <w:r>
        <w:t xml:space="preserve"> remains the </w:t>
      </w:r>
      <w:proofErr w:type="gramStart"/>
      <w:r>
        <w:t>most commonly used</w:t>
      </w:r>
      <w:proofErr w:type="gramEnd"/>
      <w:r>
        <w:t xml:space="preserve"> drug, with 3.0% of pupils reporting use in the last month. </w:t>
      </w:r>
      <w:r w:rsidR="00B1378B">
        <w:t xml:space="preserve">This represents a small </w:t>
      </w:r>
      <w:r>
        <w:t>fal</w:t>
      </w:r>
      <w:r w:rsidR="00B1378B">
        <w:t xml:space="preserve">l in </w:t>
      </w:r>
      <w:proofErr w:type="gramStart"/>
      <w:r w:rsidR="00B1378B">
        <w:t>prevalence, but</w:t>
      </w:r>
      <w:proofErr w:type="gramEnd"/>
      <w:r w:rsidR="00B1378B">
        <w:t xml:space="preserve"> </w:t>
      </w:r>
      <w:r>
        <w:t>remains a likely key focus for intervention.</w:t>
      </w:r>
    </w:p>
    <w:p w14:paraId="3051797B" w14:textId="7F85AB39" w:rsidR="003A5E6C" w:rsidRDefault="003A5E6C" w:rsidP="00B80EAF">
      <w:pPr>
        <w:numPr>
          <w:ilvl w:val="0"/>
          <w:numId w:val="4"/>
        </w:numPr>
        <w:contextualSpacing/>
      </w:pPr>
      <w:r w:rsidRPr="006511D5">
        <w:rPr>
          <w:b/>
          <w:bCs/>
        </w:rPr>
        <w:t>Class A drugs</w:t>
      </w:r>
      <w:r>
        <w:t>, including cocaine, ecstasy and LSD</w:t>
      </w:r>
      <w:r w:rsidR="00B1378B">
        <w:t xml:space="preserve">, had low prevalence of use in the last month at </w:t>
      </w:r>
      <w:r>
        <w:t>0.9%</w:t>
      </w:r>
      <w:r w:rsidR="00B1378B">
        <w:t xml:space="preserve">, </w:t>
      </w:r>
      <w:proofErr w:type="gramStart"/>
      <w:r w:rsidR="00B1378B">
        <w:t>similar to</w:t>
      </w:r>
      <w:proofErr w:type="gramEnd"/>
      <w:r w:rsidR="00B1378B">
        <w:t xml:space="preserve"> previous levels.</w:t>
      </w:r>
    </w:p>
    <w:p w14:paraId="40AE3EB9" w14:textId="6121E999" w:rsidR="003A5E6C" w:rsidRDefault="003A5E6C" w:rsidP="00B80EAF">
      <w:pPr>
        <w:numPr>
          <w:ilvl w:val="0"/>
          <w:numId w:val="4"/>
        </w:numPr>
        <w:contextualSpacing/>
      </w:pPr>
      <w:r w:rsidRPr="006511D5">
        <w:rPr>
          <w:b/>
          <w:bCs/>
        </w:rPr>
        <w:t>Nitrous oxide</w:t>
      </w:r>
      <w:r>
        <w:t xml:space="preserve"> </w:t>
      </w:r>
      <w:r w:rsidR="00B1378B">
        <w:t xml:space="preserve">saw </w:t>
      </w:r>
      <w:r>
        <w:t xml:space="preserve">a notable decline from 1.4% in 2018 to 0.5% in 2023. Similarly, </w:t>
      </w:r>
      <w:r w:rsidRPr="006511D5">
        <w:rPr>
          <w:b/>
          <w:bCs/>
        </w:rPr>
        <w:t>new</w:t>
      </w:r>
      <w:r>
        <w:t xml:space="preserve"> </w:t>
      </w:r>
      <w:r w:rsidRPr="006511D5">
        <w:rPr>
          <w:b/>
          <w:bCs/>
        </w:rPr>
        <w:t>psychoactive substances</w:t>
      </w:r>
      <w:r>
        <w:t xml:space="preserve"> ("legal highs") have reduced dramatically, from 0.9% in 2021 to 0.2% in 2023.</w:t>
      </w:r>
    </w:p>
    <w:p w14:paraId="77A90D47" w14:textId="2D6EEC42" w:rsidR="003A5E6C" w:rsidRDefault="741C5DDB" w:rsidP="00B80EAF">
      <w:pPr>
        <w:numPr>
          <w:ilvl w:val="0"/>
          <w:numId w:val="4"/>
        </w:numPr>
        <w:contextualSpacing/>
      </w:pPr>
      <w:r>
        <w:t xml:space="preserve">Use of </w:t>
      </w:r>
      <w:r w:rsidRPr="344B8197">
        <w:rPr>
          <w:b/>
          <w:bCs/>
        </w:rPr>
        <w:t>volatile substances</w:t>
      </w:r>
      <w:r>
        <w:t xml:space="preserve"> (e.g., glue, gas, aerosols, or solvents) has shown some fluctuation, with 1.4% of pupils reporting use in the last month, down from a peak of 2.1% in 2016.</w:t>
      </w:r>
      <w:r w:rsidR="0E7E7424">
        <w:t xml:space="preserve">  </w:t>
      </w:r>
    </w:p>
    <w:p w14:paraId="540D465C" w14:textId="77777777" w:rsidR="00B1378B" w:rsidRDefault="00B1378B" w:rsidP="00B1378B">
      <w:pPr>
        <w:contextualSpacing/>
      </w:pPr>
    </w:p>
    <w:p w14:paraId="0BCC39E4" w14:textId="21012C5D" w:rsidR="00A74048" w:rsidRDefault="00B1378B" w:rsidP="00A74048">
      <w:r w:rsidRPr="00B1378B">
        <w:t xml:space="preserve">While overall prevalence of drug use among </w:t>
      </w:r>
      <w:r w:rsidR="009B1DD8">
        <w:t>CYP</w:t>
      </w:r>
      <w:r w:rsidRPr="00B1378B">
        <w:t xml:space="preserve"> has declined in recent years, the continued use of cannabis and the rise and fall of other substances, such as nitrous oxide and volatile substances, highlight the need for ongoing vigilance. Targeted interventions focusing on education, early prevention, and support for vulnerable </w:t>
      </w:r>
      <w:r>
        <w:t>young people</w:t>
      </w:r>
      <w:r w:rsidRPr="00B1378B">
        <w:t xml:space="preserve"> are essential to sustain progress and address emerging trends.</w:t>
      </w:r>
    </w:p>
    <w:p w14:paraId="683537DE" w14:textId="77777777" w:rsidR="00B1378B" w:rsidRDefault="00B1378B" w:rsidP="00A74048"/>
    <w:p w14:paraId="25AAB484" w14:textId="5B13CA74" w:rsidR="005C4BF4" w:rsidRDefault="00EE0BAD" w:rsidP="005C4BF4">
      <w:pPr>
        <w:pStyle w:val="Heading2"/>
      </w:pPr>
      <w:bookmarkStart w:id="25" w:name="_Toc200479465"/>
      <w:r>
        <w:t xml:space="preserve">National Epi; </w:t>
      </w:r>
      <w:r w:rsidR="005C4BF4">
        <w:t>Alcohol</w:t>
      </w:r>
      <w:bookmarkEnd w:id="25"/>
    </w:p>
    <w:p w14:paraId="1FA51D2F" w14:textId="77777777" w:rsidR="005C4BF4" w:rsidRPr="00D07802" w:rsidRDefault="005C4BF4" w:rsidP="005C4BF4">
      <w:p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Alcohol misuse is the biggest risk factor for death, ill-health, and disability among 15–49-year-olds in the UK. It’s also the fifth biggest risk factor across all ages and is a causal factor in more than 60 medical conditions, including:</w:t>
      </w:r>
    </w:p>
    <w:p w14:paraId="1C5D6393" w14:textId="77777777" w:rsidR="005C4BF4" w:rsidRPr="00D07802" w:rsidRDefault="005C4BF4" w:rsidP="00B80EAF">
      <w:pPr>
        <w:numPr>
          <w:ilvl w:val="0"/>
          <w:numId w:val="4"/>
        </w:num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Cancers (mouth, throat, stomach, liver and breast)</w:t>
      </w:r>
    </w:p>
    <w:p w14:paraId="45C1CD87" w14:textId="77777777" w:rsidR="005C4BF4" w:rsidRPr="00D07802" w:rsidRDefault="005C4BF4" w:rsidP="00B80EAF">
      <w:pPr>
        <w:numPr>
          <w:ilvl w:val="0"/>
          <w:numId w:val="4"/>
        </w:numPr>
        <w:spacing w:before="100" w:beforeAutospacing="1" w:after="0" w:afterAutospacing="1"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lastRenderedPageBreak/>
        <w:t>High blood pressure</w:t>
      </w:r>
    </w:p>
    <w:p w14:paraId="36F686B1" w14:textId="77777777" w:rsidR="005C4BF4" w:rsidRPr="00D07802" w:rsidRDefault="005C4BF4" w:rsidP="00B80EAF">
      <w:pPr>
        <w:numPr>
          <w:ilvl w:val="0"/>
          <w:numId w:val="4"/>
        </w:numPr>
        <w:spacing w:after="0"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Cirrhosis of the liver</w:t>
      </w:r>
    </w:p>
    <w:p w14:paraId="2A99F531" w14:textId="77777777" w:rsidR="005C4BF4" w:rsidRPr="00D07802" w:rsidRDefault="005C4BF4" w:rsidP="00B80EAF">
      <w:pPr>
        <w:numPr>
          <w:ilvl w:val="0"/>
          <w:numId w:val="4"/>
        </w:numPr>
        <w:spacing w:after="0" w:line="240" w:lineRule="auto"/>
        <w:textAlignment w:val="baseline"/>
        <w:rPr>
          <w:rFonts w:ascii="Aptos" w:eastAsiaTheme="majorEastAsia" w:hAnsi="Aptos" w:cs="Times New Roman"/>
          <w:lang w:eastAsia="en-GB"/>
        </w:rPr>
      </w:pPr>
      <w:r w:rsidRPr="00D07802">
        <w:rPr>
          <w:rFonts w:ascii="Aptos" w:eastAsiaTheme="majorEastAsia" w:hAnsi="Aptos" w:cs="Times New Roman"/>
          <w:lang w:eastAsia="en-GB"/>
        </w:rPr>
        <w:t>Depression</w:t>
      </w:r>
    </w:p>
    <w:p w14:paraId="6F6017D0" w14:textId="77777777" w:rsidR="005C4BF4" w:rsidRPr="00D07802" w:rsidRDefault="005C4BF4" w:rsidP="005C4BF4">
      <w:pPr>
        <w:spacing w:after="0" w:line="240" w:lineRule="auto"/>
        <w:textAlignment w:val="baseline"/>
        <w:rPr>
          <w:rFonts w:ascii="Aptos" w:eastAsiaTheme="majorEastAsia" w:hAnsi="Aptos" w:cs="Times New Roman"/>
          <w:lang w:eastAsia="en-GB"/>
        </w:rPr>
      </w:pPr>
    </w:p>
    <w:p w14:paraId="547E7D8C" w14:textId="0757A798" w:rsidR="005C4BF4" w:rsidRDefault="005C4BF4" w:rsidP="005C4BF4">
      <w:pPr>
        <w:rPr>
          <w:lang w:eastAsia="en-GB"/>
        </w:rPr>
      </w:pPr>
      <w:r w:rsidRPr="00D07802">
        <w:rPr>
          <w:lang w:eastAsia="en-GB"/>
        </w:rPr>
        <w:t>Current national guidance on alcohol consumption from England’s Chief Medical Officer</w:t>
      </w:r>
      <w:r w:rsidR="006E6EBA">
        <w:rPr>
          <w:lang w:eastAsia="en-GB"/>
        </w:rPr>
        <w:t xml:space="preserve"> (CMO)</w:t>
      </w:r>
      <w:bookmarkStart w:id="26" w:name="_Ref196734200"/>
      <w:r w:rsidR="00324A8D">
        <w:rPr>
          <w:rStyle w:val="FootnoteReference"/>
          <w:lang w:eastAsia="en-GB"/>
        </w:rPr>
        <w:footnoteReference w:id="6"/>
      </w:r>
      <w:bookmarkEnd w:id="26"/>
      <w:r w:rsidRPr="00D07802">
        <w:rPr>
          <w:lang w:eastAsia="en-GB"/>
        </w:rPr>
        <w:t xml:space="preserve"> is that adults should not drink more than 14 units of alcohol per week, to keep health risks from alcohol to a low level.</w:t>
      </w:r>
    </w:p>
    <w:p w14:paraId="310E2E7E" w14:textId="77777777" w:rsidR="005C4BF4" w:rsidRPr="00A74048" w:rsidRDefault="005C4BF4" w:rsidP="005C4BF4"/>
    <w:p w14:paraId="2F905B6D" w14:textId="77777777" w:rsidR="00A74048" w:rsidRDefault="00A74048" w:rsidP="0059075D">
      <w:pPr>
        <w:pStyle w:val="Heading3"/>
      </w:pPr>
      <w:bookmarkStart w:id="27" w:name="_Toc200479466"/>
      <w:r>
        <w:t>General Trends in Alcohol Use</w:t>
      </w:r>
      <w:bookmarkEnd w:id="27"/>
    </w:p>
    <w:p w14:paraId="66CA1BA2" w14:textId="77777777" w:rsidR="00B1378B" w:rsidRDefault="002204D8" w:rsidP="002204D8">
      <w:r w:rsidRPr="002F270A">
        <w:t xml:space="preserve">The Health Survey for England (HSE) monitors trends in the nation’s health and care and includes questions about alcohol. The most recent data available is from </w:t>
      </w:r>
      <w:r w:rsidR="00B1378B">
        <w:t>HSE</w:t>
      </w:r>
      <w:r w:rsidRPr="002F270A">
        <w:t xml:space="preserve"> 2022, which showed</w:t>
      </w:r>
      <w:r w:rsidR="00B1378B">
        <w:t>:</w:t>
      </w:r>
    </w:p>
    <w:p w14:paraId="6F0E20AA" w14:textId="77777777" w:rsidR="00B1378B" w:rsidRDefault="002204D8" w:rsidP="00B80EAF">
      <w:pPr>
        <w:pStyle w:val="ListParagraph"/>
        <w:numPr>
          <w:ilvl w:val="0"/>
          <w:numId w:val="4"/>
        </w:numPr>
      </w:pPr>
      <w:r w:rsidRPr="007B2B96">
        <w:rPr>
          <w:b/>
          <w:bCs/>
        </w:rPr>
        <w:t>81%</w:t>
      </w:r>
      <w:r w:rsidRPr="002F270A">
        <w:t xml:space="preserve"> of adults reported that they </w:t>
      </w:r>
      <w:r w:rsidRPr="007B2B96">
        <w:rPr>
          <w:b/>
          <w:bCs/>
        </w:rPr>
        <w:t>had drunk alcohol</w:t>
      </w:r>
      <w:r w:rsidRPr="002F270A">
        <w:t xml:space="preserve"> in the last 12 months.</w:t>
      </w:r>
      <w:r>
        <w:t xml:space="preserve"> </w:t>
      </w:r>
    </w:p>
    <w:p w14:paraId="1E6FDE80" w14:textId="77777777" w:rsidR="00B1378B" w:rsidRDefault="0012481B" w:rsidP="00B80EAF">
      <w:pPr>
        <w:pStyle w:val="ListParagraph"/>
        <w:numPr>
          <w:ilvl w:val="0"/>
          <w:numId w:val="4"/>
        </w:numPr>
      </w:pPr>
      <w:r w:rsidRPr="00D07802">
        <w:rPr>
          <w:lang w:eastAsia="en-GB"/>
        </w:rPr>
        <w:t xml:space="preserve">Data since 2011 suggest a </w:t>
      </w:r>
      <w:r w:rsidRPr="007B2B96">
        <w:rPr>
          <w:b/>
          <w:bCs/>
          <w:lang w:eastAsia="en-GB"/>
        </w:rPr>
        <w:t>gradual decrease</w:t>
      </w:r>
      <w:r w:rsidRPr="00D07802">
        <w:rPr>
          <w:lang w:eastAsia="en-GB"/>
        </w:rPr>
        <w:t xml:space="preserve"> </w:t>
      </w:r>
      <w:r w:rsidRPr="007B2B96">
        <w:rPr>
          <w:b/>
          <w:bCs/>
          <w:lang w:eastAsia="en-GB"/>
        </w:rPr>
        <w:t>in alcohol consumption</w:t>
      </w:r>
      <w:r w:rsidRPr="00D07802">
        <w:rPr>
          <w:lang w:eastAsia="en-GB"/>
        </w:rPr>
        <w:t xml:space="preserve"> among adults, alongside an increase in the proportion of non-drinkers. </w:t>
      </w:r>
    </w:p>
    <w:p w14:paraId="78F03017" w14:textId="3DB8BE28" w:rsidR="00B1378B" w:rsidRDefault="0012481B" w:rsidP="00B80EAF">
      <w:pPr>
        <w:pStyle w:val="ListParagraph"/>
        <w:numPr>
          <w:ilvl w:val="0"/>
          <w:numId w:val="4"/>
        </w:numPr>
      </w:pPr>
      <w:r w:rsidRPr="16F14F99">
        <w:rPr>
          <w:lang w:eastAsia="en-GB"/>
        </w:rPr>
        <w:t xml:space="preserve">The mean number of units of alcohol consumed by all adults </w:t>
      </w:r>
      <w:r w:rsidR="00EB6D06" w:rsidRPr="16F14F99">
        <w:rPr>
          <w:lang w:eastAsia="en-GB"/>
        </w:rPr>
        <w:t xml:space="preserve">per week </w:t>
      </w:r>
      <w:r w:rsidRPr="16F14F99">
        <w:rPr>
          <w:lang w:eastAsia="en-GB"/>
        </w:rPr>
        <w:t xml:space="preserve">has decreased from 13.4 in 2011 to 12.5 in 2022, reflecting a general decline in average alcohol intake. </w:t>
      </w:r>
    </w:p>
    <w:p w14:paraId="17215932" w14:textId="444DD4F9" w:rsidR="0012481B" w:rsidRPr="00D07802" w:rsidRDefault="0012481B" w:rsidP="00B80EAF">
      <w:pPr>
        <w:pStyle w:val="ListParagraph"/>
        <w:numPr>
          <w:ilvl w:val="0"/>
          <w:numId w:val="4"/>
        </w:numPr>
      </w:pPr>
      <w:r w:rsidRPr="16F14F99">
        <w:rPr>
          <w:lang w:eastAsia="en-GB"/>
        </w:rPr>
        <w:t>Similarly, the median number of units consumed has fallen from 6.8 in 2011 to less than 6 in 2022, indicating that more individuals are consuming lower amounts of alcohol.</w:t>
      </w:r>
    </w:p>
    <w:p w14:paraId="7AC1BD3E" w14:textId="77777777" w:rsidR="002F270A" w:rsidRDefault="002F270A" w:rsidP="00A74048"/>
    <w:p w14:paraId="04CD6B46" w14:textId="77777777" w:rsidR="002F270A" w:rsidRDefault="002F270A" w:rsidP="002F270A">
      <w:pPr>
        <w:pStyle w:val="Heading3"/>
      </w:pPr>
      <w:bookmarkStart w:id="28" w:name="_Toc200479467"/>
      <w:r>
        <w:t>Demographic Patterns in Alcohol Use</w:t>
      </w:r>
      <w:bookmarkEnd w:id="28"/>
    </w:p>
    <w:p w14:paraId="7AE3D62A" w14:textId="5F9BB334" w:rsidR="00A74048" w:rsidRDefault="0059075D" w:rsidP="00A74048">
      <w:r>
        <w:t>As seen in drug use, p</w:t>
      </w:r>
      <w:r w:rsidR="00A74048">
        <w:t>atterns of alcohol consumption also vary by demographic factors</w:t>
      </w:r>
      <w:r w:rsidR="001E50CE">
        <w:t xml:space="preserve">. This was demonstrated in findings </w:t>
      </w:r>
      <w:r w:rsidR="00C5097D">
        <w:t>in HSE 2022</w:t>
      </w:r>
      <w:r w:rsidR="00B1378B">
        <w:t>:</w:t>
      </w:r>
    </w:p>
    <w:p w14:paraId="3221D3E5" w14:textId="77777777" w:rsidR="00B1378B" w:rsidRDefault="00A74048" w:rsidP="00B80EAF">
      <w:pPr>
        <w:pStyle w:val="ListParagraph"/>
        <w:numPr>
          <w:ilvl w:val="0"/>
          <w:numId w:val="4"/>
        </w:numPr>
      </w:pPr>
      <w:r w:rsidRPr="00B55625">
        <w:rPr>
          <w:b/>
          <w:bCs/>
        </w:rPr>
        <w:t>Age</w:t>
      </w:r>
      <w:r>
        <w:t>:</w:t>
      </w:r>
      <w:r w:rsidR="00BC3E22">
        <w:t xml:space="preserve"> </w:t>
      </w:r>
      <w:r w:rsidR="00BC3E22" w:rsidRPr="00BC3E22">
        <w:t xml:space="preserve">Alcohol consumption varies by </w:t>
      </w:r>
      <w:proofErr w:type="gramStart"/>
      <w:r w:rsidR="00BC3E22" w:rsidRPr="00BC3E22">
        <w:t>age;</w:t>
      </w:r>
      <w:proofErr w:type="gramEnd"/>
      <w:r w:rsidR="00BC3E22" w:rsidRPr="00BC3E22">
        <w:t xml:space="preserve"> </w:t>
      </w:r>
    </w:p>
    <w:p w14:paraId="3CB4BC6B" w14:textId="77777777" w:rsidR="00B1378B" w:rsidRDefault="00BC3E22" w:rsidP="00B80EAF">
      <w:pPr>
        <w:pStyle w:val="ListParagraph"/>
        <w:numPr>
          <w:ilvl w:val="1"/>
          <w:numId w:val="4"/>
        </w:numPr>
      </w:pPr>
      <w:r w:rsidRPr="00BC3E22">
        <w:t>30% of those aged 55 to 74 drank at least 14 units of alcohol per week, compared with 19-24% of other age groups.</w:t>
      </w:r>
      <w:r w:rsidR="00A74048">
        <w:t xml:space="preserve"> </w:t>
      </w:r>
    </w:p>
    <w:p w14:paraId="119C027F" w14:textId="7CAD1ADA" w:rsidR="00A74048" w:rsidRPr="00B55625" w:rsidRDefault="00A74048" w:rsidP="00B80EAF">
      <w:pPr>
        <w:pStyle w:val="ListParagraph"/>
        <w:numPr>
          <w:ilvl w:val="1"/>
          <w:numId w:val="4"/>
        </w:numPr>
      </w:pPr>
      <w:r>
        <w:t>Younger adults report lower levels of alcohol consumption compared to older age groups</w:t>
      </w:r>
      <w:r w:rsidR="00BC3E22">
        <w:t xml:space="preserve">, but </w:t>
      </w:r>
      <w:r w:rsidR="00D55036">
        <w:t>some patterns of drinking in younger age groups</w:t>
      </w:r>
      <w:r w:rsidR="00890EBC">
        <w:t xml:space="preserve"> are known to present more health risks.</w:t>
      </w:r>
    </w:p>
    <w:p w14:paraId="5630FAD2" w14:textId="30132F4B" w:rsidR="00B1378B" w:rsidRDefault="00D51C80" w:rsidP="00B80EAF">
      <w:pPr>
        <w:pStyle w:val="ListParagraph"/>
        <w:numPr>
          <w:ilvl w:val="0"/>
          <w:numId w:val="4"/>
        </w:numPr>
      </w:pPr>
      <w:r w:rsidRPr="00CD443F">
        <w:rPr>
          <w:b/>
          <w:bCs/>
        </w:rPr>
        <w:t>Sex</w:t>
      </w:r>
      <w:r>
        <w:t xml:space="preserve">: Men tend to drink more than women, although the gap has reduced over time. </w:t>
      </w:r>
    </w:p>
    <w:p w14:paraId="592B06BE" w14:textId="17EC1010" w:rsidR="00D51C80" w:rsidRDefault="00D51C80" w:rsidP="00B80EAF">
      <w:pPr>
        <w:pStyle w:val="ListParagraph"/>
        <w:numPr>
          <w:ilvl w:val="1"/>
          <w:numId w:val="4"/>
        </w:numPr>
      </w:pPr>
      <w:r w:rsidRPr="00CD443F">
        <w:t>32% of men and 15% of women drank at levels that put them at increasing or higher risk of alcohol-related harm (over 14 units in the last week).</w:t>
      </w:r>
    </w:p>
    <w:p w14:paraId="7F22E97D" w14:textId="77777777" w:rsidR="00B1378B" w:rsidRDefault="00D51C80" w:rsidP="00B80EAF">
      <w:pPr>
        <w:pStyle w:val="ListParagraph"/>
        <w:numPr>
          <w:ilvl w:val="0"/>
          <w:numId w:val="4"/>
        </w:numPr>
      </w:pPr>
      <w:r>
        <w:rPr>
          <w:b/>
          <w:bCs/>
        </w:rPr>
        <w:t>Ethnicity</w:t>
      </w:r>
      <w:r>
        <w:t xml:space="preserve">: </w:t>
      </w:r>
      <w:r w:rsidRPr="00874080">
        <w:t xml:space="preserve">Alcohol consumption varies significantly across ethnic groups. </w:t>
      </w:r>
    </w:p>
    <w:p w14:paraId="62AE94A4" w14:textId="6B0A2463" w:rsidR="00D51C80" w:rsidRDefault="00D51C80" w:rsidP="00B80EAF">
      <w:pPr>
        <w:pStyle w:val="ListParagraph"/>
        <w:numPr>
          <w:ilvl w:val="1"/>
          <w:numId w:val="4"/>
        </w:numPr>
      </w:pPr>
      <w:r w:rsidRPr="00874080">
        <w:t>Individuals from White backgrounds are more likely to consume alcohol compared to other ethnic groups. For instance, 91% of White British men and 86% of White British women reported drinking alcohol in the past year. In contrast, only 9% of Pakistani men and 2% of Pakistani women reported alcohol consumption in the same period.</w:t>
      </w:r>
    </w:p>
    <w:p w14:paraId="5E894DD0" w14:textId="77777777" w:rsidR="00D51C80" w:rsidRDefault="00D51C80" w:rsidP="00B80EAF">
      <w:pPr>
        <w:pStyle w:val="ListParagraph"/>
        <w:numPr>
          <w:ilvl w:val="0"/>
          <w:numId w:val="4"/>
        </w:numPr>
      </w:pPr>
      <w:r w:rsidRPr="16F14F99">
        <w:rPr>
          <w:b/>
          <w:bCs/>
        </w:rPr>
        <w:t>Socioeconomic Status</w:t>
      </w:r>
      <w:r>
        <w:t>: Those in higher income brackets tend to report higher alcohol use, but harmful drinking behaviours are more prevalent in lower-income groups.</w:t>
      </w:r>
    </w:p>
    <w:p w14:paraId="74DD9A31" w14:textId="77777777" w:rsidR="00B1378B" w:rsidRDefault="00D51C80" w:rsidP="00B80EAF">
      <w:pPr>
        <w:pStyle w:val="ListParagraph"/>
        <w:numPr>
          <w:ilvl w:val="0"/>
          <w:numId w:val="4"/>
        </w:numPr>
      </w:pPr>
      <w:r w:rsidRPr="0068103A">
        <w:rPr>
          <w:b/>
          <w:bCs/>
        </w:rPr>
        <w:lastRenderedPageBreak/>
        <w:t>Sexual Orientation</w:t>
      </w:r>
      <w:r>
        <w:t>: L</w:t>
      </w:r>
      <w:r w:rsidRPr="00DF1F30">
        <w:t>esbian, gay, and bisexual adults</w:t>
      </w:r>
      <w:r>
        <w:t xml:space="preserve"> are more likely to drink at levels which put them at increased or higher risk of alcohol-related harm</w:t>
      </w:r>
      <w:r w:rsidR="00B1378B">
        <w:t>.</w:t>
      </w:r>
    </w:p>
    <w:p w14:paraId="2CA24224" w14:textId="77777777" w:rsidR="00B1378B" w:rsidRDefault="00B1378B" w:rsidP="00B80EAF">
      <w:pPr>
        <w:pStyle w:val="ListParagraph"/>
        <w:numPr>
          <w:ilvl w:val="1"/>
          <w:numId w:val="4"/>
        </w:numPr>
      </w:pPr>
      <w:r w:rsidRPr="00AB7FA7">
        <w:t>32% reported drinking</w:t>
      </w:r>
      <w:r w:rsidR="00D51C80" w:rsidRPr="00AB7FA7">
        <w:t xml:space="preserve"> more than 14 units in the last week, compared with </w:t>
      </w:r>
      <w:r w:rsidRPr="00AB7FA7">
        <w:t xml:space="preserve">24% </w:t>
      </w:r>
      <w:r>
        <w:t xml:space="preserve">of </w:t>
      </w:r>
      <w:r w:rsidR="00D51C80">
        <w:t xml:space="preserve">heterosexual adults </w:t>
      </w:r>
    </w:p>
    <w:p w14:paraId="547B1687" w14:textId="23887540" w:rsidR="00D51C80" w:rsidRDefault="00AB7FA7" w:rsidP="00B80EAF">
      <w:pPr>
        <w:pStyle w:val="ListParagraph"/>
        <w:numPr>
          <w:ilvl w:val="1"/>
          <w:numId w:val="4"/>
        </w:numPr>
      </w:pPr>
      <w:r>
        <w:t>Lesbian, gay and bisexual adults estimated weekly alcohol intake was 17.7 units on average, compared with 12.7 units on average amongst</w:t>
      </w:r>
      <w:r w:rsidR="00D51C80" w:rsidRPr="00DF1F30">
        <w:t xml:space="preserve"> heterosexual </w:t>
      </w:r>
    </w:p>
    <w:p w14:paraId="111C1D73" w14:textId="459123AE" w:rsidR="00D51C80" w:rsidRPr="001618A5" w:rsidRDefault="00D51C80" w:rsidP="00B80EAF">
      <w:pPr>
        <w:pStyle w:val="ListParagraph"/>
        <w:numPr>
          <w:ilvl w:val="0"/>
          <w:numId w:val="4"/>
        </w:numPr>
      </w:pPr>
      <w:r w:rsidRPr="001618A5">
        <w:rPr>
          <w:b/>
          <w:bCs/>
        </w:rPr>
        <w:t>Disability</w:t>
      </w:r>
      <w:r w:rsidR="00CB2C47">
        <w:rPr>
          <w:b/>
          <w:bCs/>
        </w:rPr>
        <w:t>, gender</w:t>
      </w:r>
      <w:r w:rsidR="001E50CE">
        <w:rPr>
          <w:b/>
          <w:bCs/>
        </w:rPr>
        <w:t>, religion</w:t>
      </w:r>
      <w:r>
        <w:t>: No breakdown in HSE</w:t>
      </w:r>
    </w:p>
    <w:p w14:paraId="6612BFAF" w14:textId="040F281F" w:rsidR="00A74048" w:rsidRDefault="00AB7FA7" w:rsidP="00A74048">
      <w:r w:rsidRPr="00AB7FA7">
        <w:t xml:space="preserve">The notable variation across demographic groups highlights the importance of </w:t>
      </w:r>
      <w:r>
        <w:t>understanding</w:t>
      </w:r>
      <w:r w:rsidRPr="00AB7FA7">
        <w:t xml:space="preserve"> alcohol consumption </w:t>
      </w:r>
      <w:r>
        <w:t xml:space="preserve">patterns </w:t>
      </w:r>
      <w:r w:rsidRPr="00AB7FA7">
        <w:t xml:space="preserve">within our </w:t>
      </w:r>
      <w:proofErr w:type="gramStart"/>
      <w:r w:rsidRPr="00AB7FA7">
        <w:t>population</w:t>
      </w:r>
      <w:r>
        <w:t>,</w:t>
      </w:r>
      <w:r w:rsidRPr="00AB7FA7">
        <w:t xml:space="preserve"> and</w:t>
      </w:r>
      <w:proofErr w:type="gramEnd"/>
      <w:r w:rsidRPr="00AB7FA7">
        <w:t xml:space="preserve"> </w:t>
      </w:r>
      <w:r>
        <w:t xml:space="preserve">again </w:t>
      </w:r>
      <w:r w:rsidRPr="00AB7FA7">
        <w:t>tailoring interventions to meet the diverse needs of different groups effectively.</w:t>
      </w:r>
    </w:p>
    <w:p w14:paraId="149B1C2F" w14:textId="77777777" w:rsidR="00220045" w:rsidRDefault="00220045" w:rsidP="00A74048"/>
    <w:p w14:paraId="17BCD721" w14:textId="003DC216" w:rsidR="0079362E" w:rsidRDefault="0079362E" w:rsidP="0079362E">
      <w:pPr>
        <w:pStyle w:val="Heading3"/>
      </w:pPr>
      <w:bookmarkStart w:id="29" w:name="_Toc200479468"/>
      <w:r>
        <w:t>Children and Young People</w:t>
      </w:r>
      <w:bookmarkEnd w:id="29"/>
    </w:p>
    <w:p w14:paraId="7AA9FA6B" w14:textId="7CBBB55A" w:rsidR="00771837" w:rsidRPr="00D07802" w:rsidRDefault="00C356D7" w:rsidP="00771837">
      <w:r>
        <w:t>In addition to drug use, t</w:t>
      </w:r>
      <w:r w:rsidRPr="00D07802">
        <w:t xml:space="preserve">he </w:t>
      </w:r>
      <w:r w:rsidR="00771837" w:rsidRPr="00576BFE">
        <w:rPr>
          <w:b/>
          <w:bCs/>
        </w:rPr>
        <w:t xml:space="preserve">national survey </w:t>
      </w:r>
      <w:r w:rsidR="00576BFE" w:rsidRPr="00A201D2">
        <w:t>(</w:t>
      </w:r>
      <w:r w:rsidR="00A201D2" w:rsidRPr="00A201D2">
        <w:t xml:space="preserve">SDD </w:t>
      </w:r>
      <w:r w:rsidR="00771837" w:rsidRPr="00D07802">
        <w:t xml:space="preserve">2023) </w:t>
      </w:r>
      <w:r w:rsidR="00576BFE">
        <w:t xml:space="preserve">also </w:t>
      </w:r>
      <w:r w:rsidR="00771837" w:rsidRPr="00D07802">
        <w:t>collected information about alcohol among secondary school pupils in England in years 7 to 11 (mostly aged 11 to 15)</w:t>
      </w:r>
      <w:r w:rsidR="0089110D">
        <w:t xml:space="preserve">. This revealed that </w:t>
      </w:r>
      <w:r w:rsidR="00FA3F5F">
        <w:t xml:space="preserve">prevalence of </w:t>
      </w:r>
      <w:r w:rsidR="00FA3F5F" w:rsidRPr="00576BFE">
        <w:rPr>
          <w:b/>
          <w:bCs/>
        </w:rPr>
        <w:t xml:space="preserve">alcohol use </w:t>
      </w:r>
      <w:r w:rsidR="00C87093" w:rsidRPr="00576BFE">
        <w:rPr>
          <w:b/>
          <w:bCs/>
        </w:rPr>
        <w:t>rises with age in children</w:t>
      </w:r>
      <w:r w:rsidR="00C87093">
        <w:t xml:space="preserve">, and levels </w:t>
      </w:r>
      <w:r w:rsidR="00D62EAF">
        <w:t>we</w:t>
      </w:r>
      <w:r w:rsidR="00C87093">
        <w:t xml:space="preserve">re </w:t>
      </w:r>
      <w:r w:rsidR="00FA3F5F">
        <w:t>similar or lower than previous</w:t>
      </w:r>
      <w:r w:rsidR="00C87093">
        <w:t xml:space="preserve"> years</w:t>
      </w:r>
      <w:r w:rsidR="00771837" w:rsidRPr="00D07802">
        <w:t>:</w:t>
      </w:r>
    </w:p>
    <w:p w14:paraId="3F9AD2FF" w14:textId="77777777" w:rsidR="00696AD0" w:rsidRDefault="005A43EC" w:rsidP="00B80EAF">
      <w:pPr>
        <w:pStyle w:val="ListParagraph"/>
        <w:numPr>
          <w:ilvl w:val="0"/>
          <w:numId w:val="4"/>
        </w:numPr>
      </w:pPr>
      <w:r w:rsidRPr="16F14F99">
        <w:rPr>
          <w:b/>
          <w:bCs/>
        </w:rPr>
        <w:t>37%</w:t>
      </w:r>
      <w:r>
        <w:t xml:space="preserve"> of pupils said they had </w:t>
      </w:r>
      <w:r w:rsidRPr="16F14F99">
        <w:rPr>
          <w:b/>
          <w:bCs/>
        </w:rPr>
        <w:t>ever had an alcoholic drink</w:t>
      </w:r>
      <w:r>
        <w:t xml:space="preserve">. </w:t>
      </w:r>
    </w:p>
    <w:p w14:paraId="32532772" w14:textId="77777777" w:rsidR="00696AD0" w:rsidRDefault="00696AD0" w:rsidP="00B80EAF">
      <w:pPr>
        <w:pStyle w:val="ListParagraph"/>
        <w:numPr>
          <w:ilvl w:val="0"/>
          <w:numId w:val="4"/>
        </w:numPr>
      </w:pPr>
      <w:r w:rsidRPr="00576BFE">
        <w:rPr>
          <w:b/>
          <w:bCs/>
        </w:rPr>
        <w:t>5%</w:t>
      </w:r>
      <w:r w:rsidRPr="00D07802">
        <w:t xml:space="preserve"> of all pupils said they usually drank alcohol </w:t>
      </w:r>
      <w:r w:rsidRPr="00576BFE">
        <w:rPr>
          <w:b/>
          <w:bCs/>
        </w:rPr>
        <w:t>at least once per week</w:t>
      </w:r>
    </w:p>
    <w:p w14:paraId="5891AB6A" w14:textId="6E1FF30C" w:rsidR="005073E2" w:rsidRDefault="00696AD0" w:rsidP="00B80EAF">
      <w:pPr>
        <w:pStyle w:val="ListParagraph"/>
        <w:numPr>
          <w:ilvl w:val="1"/>
          <w:numId w:val="4"/>
        </w:numPr>
      </w:pPr>
      <w:r w:rsidRPr="00D07802">
        <w:t xml:space="preserve">This was </w:t>
      </w:r>
      <w:proofErr w:type="gramStart"/>
      <w:r w:rsidRPr="00D07802">
        <w:t>similar to</w:t>
      </w:r>
      <w:proofErr w:type="gramEnd"/>
      <w:r w:rsidRPr="00D07802">
        <w:t xml:space="preserve"> 2021 (6%)</w:t>
      </w:r>
    </w:p>
    <w:p w14:paraId="4D51DD1B" w14:textId="1D8A2A9E" w:rsidR="00771837" w:rsidRDefault="00771837" w:rsidP="00B80EAF">
      <w:pPr>
        <w:pStyle w:val="ListParagraph"/>
        <w:numPr>
          <w:ilvl w:val="0"/>
          <w:numId w:val="4"/>
        </w:numPr>
      </w:pPr>
      <w:r w:rsidRPr="00D07802">
        <w:t xml:space="preserve">The proportion of those who drink alcohol once at least a week </w:t>
      </w:r>
      <w:r w:rsidRPr="00576BFE">
        <w:rPr>
          <w:b/>
          <w:bCs/>
        </w:rPr>
        <w:t>increases with age</w:t>
      </w:r>
      <w:r w:rsidRPr="00D07802">
        <w:t>, from 1% of 11- and 12-year-olds to 11% of 15-year-olds</w:t>
      </w:r>
    </w:p>
    <w:p w14:paraId="69ED60C2" w14:textId="64570429" w:rsidR="008153C3" w:rsidRDefault="006E2B25" w:rsidP="00B80EAF">
      <w:pPr>
        <w:pStyle w:val="ListParagraph"/>
        <w:numPr>
          <w:ilvl w:val="0"/>
          <w:numId w:val="4"/>
        </w:numPr>
      </w:pPr>
      <w:r w:rsidRPr="00F62E73">
        <w:t>Overall</w:t>
      </w:r>
      <w:r w:rsidR="00B125E8">
        <w:t>,</w:t>
      </w:r>
      <w:r w:rsidRPr="00F62E73">
        <w:t xml:space="preserve"> </w:t>
      </w:r>
      <w:r w:rsidRPr="00B34D4C">
        <w:rPr>
          <w:b/>
          <w:bCs/>
        </w:rPr>
        <w:t>6.8%</w:t>
      </w:r>
      <w:r w:rsidRPr="00F62E73">
        <w:t xml:space="preserve"> of those aged 11-15 were found to </w:t>
      </w:r>
      <w:r w:rsidRPr="00B34D4C">
        <w:rPr>
          <w:b/>
          <w:bCs/>
        </w:rPr>
        <w:t>have been drunk in the last four weeks</w:t>
      </w:r>
      <w:r w:rsidRPr="00F62E73">
        <w:t>,</w:t>
      </w:r>
      <w:r w:rsidR="00094B9D">
        <w:t xml:space="preserve"> lower than 8.2% found in 2021.</w:t>
      </w:r>
    </w:p>
    <w:p w14:paraId="1E4B3354" w14:textId="1CC4224E" w:rsidR="00D03C32" w:rsidRDefault="008153C3" w:rsidP="00B80EAF">
      <w:pPr>
        <w:pStyle w:val="ListParagraph"/>
        <w:numPr>
          <w:ilvl w:val="1"/>
          <w:numId w:val="4"/>
        </w:numPr>
      </w:pPr>
      <w:r>
        <w:t xml:space="preserve">This </w:t>
      </w:r>
      <w:r w:rsidR="00EE303A">
        <w:t xml:space="preserve">also </w:t>
      </w:r>
      <w:r w:rsidR="00EE303A" w:rsidRPr="00B34D4C">
        <w:rPr>
          <w:b/>
          <w:bCs/>
        </w:rPr>
        <w:t xml:space="preserve">increased with </w:t>
      </w:r>
      <w:r w:rsidRPr="00B34D4C">
        <w:rPr>
          <w:b/>
          <w:bCs/>
        </w:rPr>
        <w:t>age</w:t>
      </w:r>
      <w:r>
        <w:t xml:space="preserve">; at </w:t>
      </w:r>
      <w:r w:rsidR="006E2B25" w:rsidRPr="00F62E73">
        <w:t xml:space="preserve">0.8% for those aged 11 </w:t>
      </w:r>
      <w:r w:rsidR="00A80AD3">
        <w:t xml:space="preserve">and </w:t>
      </w:r>
      <w:r w:rsidR="006E2B25" w:rsidRPr="00F62E73">
        <w:t xml:space="preserve">18.7% for those aged 15. </w:t>
      </w:r>
    </w:p>
    <w:p w14:paraId="3302623F" w14:textId="21006019" w:rsidR="006E2B25" w:rsidRDefault="006E2B25" w:rsidP="00B80EAF">
      <w:pPr>
        <w:pStyle w:val="ListParagraph"/>
        <w:numPr>
          <w:ilvl w:val="1"/>
          <w:numId w:val="4"/>
        </w:numPr>
      </w:pPr>
      <w:r w:rsidRPr="00F62E73">
        <w:t xml:space="preserve">The proportion was lowest amongst </w:t>
      </w:r>
      <w:r w:rsidRPr="00B34D4C">
        <w:rPr>
          <w:b/>
          <w:bCs/>
        </w:rPr>
        <w:t>boys</w:t>
      </w:r>
      <w:r w:rsidR="00AA5AF6">
        <w:t xml:space="preserve"> </w:t>
      </w:r>
      <w:r w:rsidR="00AA5AF6" w:rsidRPr="00B34D4C">
        <w:rPr>
          <w:b/>
          <w:bCs/>
        </w:rPr>
        <w:t>at</w:t>
      </w:r>
      <w:r w:rsidRPr="00B34D4C">
        <w:rPr>
          <w:b/>
          <w:bCs/>
        </w:rPr>
        <w:t xml:space="preserve"> 5.7%,</w:t>
      </w:r>
      <w:r w:rsidRPr="00F62E73">
        <w:t xml:space="preserve"> then </w:t>
      </w:r>
      <w:r w:rsidRPr="00B34D4C">
        <w:rPr>
          <w:b/>
          <w:bCs/>
        </w:rPr>
        <w:t>girls</w:t>
      </w:r>
      <w:r w:rsidR="00AA5AF6">
        <w:t xml:space="preserve"> </w:t>
      </w:r>
      <w:r w:rsidR="00AA5AF6" w:rsidRPr="00B34D4C">
        <w:rPr>
          <w:b/>
          <w:bCs/>
        </w:rPr>
        <w:t>at</w:t>
      </w:r>
      <w:r w:rsidRPr="00B34D4C">
        <w:rPr>
          <w:b/>
          <w:bCs/>
        </w:rPr>
        <w:t xml:space="preserve"> 7.7%,</w:t>
      </w:r>
      <w:r w:rsidRPr="00F62E73">
        <w:t xml:space="preserve"> and </w:t>
      </w:r>
      <w:r w:rsidRPr="00B34D4C">
        <w:rPr>
          <w:b/>
          <w:bCs/>
        </w:rPr>
        <w:t>highest in those with another gender identity</w:t>
      </w:r>
      <w:r w:rsidR="00326DFF">
        <w:t xml:space="preserve"> </w:t>
      </w:r>
      <w:r w:rsidR="00326DFF" w:rsidRPr="00B34D4C">
        <w:rPr>
          <w:b/>
          <w:bCs/>
        </w:rPr>
        <w:t>at</w:t>
      </w:r>
      <w:r w:rsidRPr="00B34D4C">
        <w:rPr>
          <w:b/>
          <w:bCs/>
        </w:rPr>
        <w:t xml:space="preserve"> 8.3%.</w:t>
      </w:r>
      <w:r w:rsidRPr="00F62E73">
        <w:t xml:space="preserve"> </w:t>
      </w:r>
      <w:r w:rsidR="00AB7FA7">
        <w:tab/>
      </w:r>
    </w:p>
    <w:p w14:paraId="113F72C2" w14:textId="77777777" w:rsidR="00771837" w:rsidRPr="00D07802" w:rsidRDefault="00771837" w:rsidP="00771837">
      <w:pPr>
        <w:contextualSpacing/>
      </w:pPr>
    </w:p>
    <w:p w14:paraId="589C39E3" w14:textId="614370CA" w:rsidR="00771837" w:rsidRPr="00D07802" w:rsidRDefault="00771837" w:rsidP="00771837">
      <w:r w:rsidRPr="00D07802">
        <w:t xml:space="preserve">The responses from the survey were also analysed by </w:t>
      </w:r>
      <w:r w:rsidRPr="00380C40">
        <w:rPr>
          <w:b/>
          <w:bCs/>
        </w:rPr>
        <w:t>individual measures</w:t>
      </w:r>
      <w:r w:rsidRPr="00D07802">
        <w:t xml:space="preserve">, to explore associations with drinking. This revealed that pupil likelihood of having drunk alcohol in the last week </w:t>
      </w:r>
      <w:r w:rsidRPr="00380C40">
        <w:rPr>
          <w:b/>
          <w:bCs/>
        </w:rPr>
        <w:t>varied according to age, gender, ethnicity, family affluence</w:t>
      </w:r>
      <w:r w:rsidR="00AB7FA7" w:rsidRPr="00380C40">
        <w:rPr>
          <w:b/>
          <w:bCs/>
        </w:rPr>
        <w:t>,</w:t>
      </w:r>
      <w:r w:rsidRPr="00380C40">
        <w:rPr>
          <w:b/>
          <w:bCs/>
        </w:rPr>
        <w:t xml:space="preserve"> and whether they had used illicit drugs or used e-cigarettes</w:t>
      </w:r>
      <w:r w:rsidRPr="00D07802">
        <w:t xml:space="preserve">. This </w:t>
      </w:r>
      <w:r>
        <w:t xml:space="preserve">indicates </w:t>
      </w:r>
      <w:r w:rsidRPr="00D07802">
        <w:t xml:space="preserve">that further information according to these characteristics should be explored within our local areas, and targeted prevention and intervention efforts may need to consider these demographic and behavioural factors to effectively address alcohol use among </w:t>
      </w:r>
      <w:r w:rsidR="00CB1FA3">
        <w:t>CYP</w:t>
      </w:r>
      <w:r w:rsidRPr="00D07802">
        <w:t>.</w:t>
      </w:r>
    </w:p>
    <w:p w14:paraId="627D2849" w14:textId="77777777" w:rsidR="00AB7FA7" w:rsidRPr="008B3E35" w:rsidRDefault="00AB7FA7" w:rsidP="008B3E35"/>
    <w:p w14:paraId="1A16CBA3" w14:textId="31E42FAD" w:rsidR="00B679AB" w:rsidRDefault="00EE0BAD" w:rsidP="00D450AF">
      <w:pPr>
        <w:pStyle w:val="Heading2"/>
      </w:pPr>
      <w:bookmarkStart w:id="30" w:name="_Toc200479469"/>
      <w:r>
        <w:t xml:space="preserve">National Epi; </w:t>
      </w:r>
      <w:r w:rsidR="00B679AB">
        <w:t>Mortality</w:t>
      </w:r>
      <w:bookmarkEnd w:id="30"/>
    </w:p>
    <w:p w14:paraId="1A6B9E72" w14:textId="655FA7C7" w:rsidR="0032701F" w:rsidRDefault="0032701F" w:rsidP="005C4BF4">
      <w:r w:rsidRPr="003403A4">
        <w:rPr>
          <w:b/>
          <w:bCs/>
        </w:rPr>
        <w:t>Mortality</w:t>
      </w:r>
      <w:r w:rsidR="00796A48" w:rsidRPr="003403A4">
        <w:rPr>
          <w:b/>
          <w:bCs/>
        </w:rPr>
        <w:t xml:space="preserve"> rates</w:t>
      </w:r>
      <w:r w:rsidRPr="003403A4">
        <w:rPr>
          <w:b/>
          <w:bCs/>
        </w:rPr>
        <w:t xml:space="preserve"> from both drugs and alcohol ha</w:t>
      </w:r>
      <w:r w:rsidR="00301AA5">
        <w:rPr>
          <w:b/>
          <w:bCs/>
        </w:rPr>
        <w:t>ve</w:t>
      </w:r>
      <w:r w:rsidRPr="003403A4">
        <w:rPr>
          <w:b/>
          <w:bCs/>
        </w:rPr>
        <w:t xml:space="preserve"> </w:t>
      </w:r>
      <w:r w:rsidR="00EA6886" w:rsidRPr="003403A4">
        <w:rPr>
          <w:b/>
          <w:bCs/>
        </w:rPr>
        <w:t xml:space="preserve">risen </w:t>
      </w:r>
      <w:r w:rsidRPr="003403A4">
        <w:rPr>
          <w:b/>
          <w:bCs/>
        </w:rPr>
        <w:t>in recent years</w:t>
      </w:r>
      <w:r>
        <w:t>.</w:t>
      </w:r>
    </w:p>
    <w:p w14:paraId="48E8558A" w14:textId="0D5EB31B" w:rsidR="00796A48" w:rsidRDefault="00796A48" w:rsidP="00796A48">
      <w:pPr>
        <w:pStyle w:val="Heading3"/>
      </w:pPr>
      <w:bookmarkStart w:id="31" w:name="_Toc200479470"/>
      <w:r>
        <w:t>Drugs</w:t>
      </w:r>
      <w:bookmarkEnd w:id="31"/>
    </w:p>
    <w:p w14:paraId="6816E4E3" w14:textId="742B4E41" w:rsidR="00113B2D" w:rsidRDefault="00F54EED" w:rsidP="005C4BF4">
      <w:r w:rsidRPr="003E0939">
        <w:t xml:space="preserve">Deaths related to drug misuse have been </w:t>
      </w:r>
      <w:r w:rsidRPr="003403A4">
        <w:rPr>
          <w:b/>
          <w:bCs/>
        </w:rPr>
        <w:t>increasing</w:t>
      </w:r>
      <w:r w:rsidR="00774611" w:rsidRPr="003403A4">
        <w:rPr>
          <w:b/>
          <w:bCs/>
        </w:rPr>
        <w:t xml:space="preserve"> over the last 30 years</w:t>
      </w:r>
      <w:r w:rsidR="003E0939" w:rsidRPr="003E0939">
        <w:t xml:space="preserve"> and </w:t>
      </w:r>
      <w:r w:rsidR="003E0939" w:rsidRPr="003403A4">
        <w:rPr>
          <w:b/>
          <w:bCs/>
        </w:rPr>
        <w:t>m</w:t>
      </w:r>
      <w:r w:rsidR="00AF63DE" w:rsidRPr="003403A4">
        <w:rPr>
          <w:b/>
          <w:bCs/>
        </w:rPr>
        <w:t>ales</w:t>
      </w:r>
      <w:r w:rsidR="00AF63DE" w:rsidRPr="003E0939">
        <w:t xml:space="preserve"> have consistently </w:t>
      </w:r>
      <w:r w:rsidR="00773D0F" w:rsidRPr="003403A4">
        <w:rPr>
          <w:b/>
          <w:bCs/>
        </w:rPr>
        <w:t>had a higher mortality rate</w:t>
      </w:r>
      <w:r w:rsidR="00773D0F" w:rsidRPr="003E0939">
        <w:t xml:space="preserve"> from drug misuse compared with females, as shown in </w:t>
      </w:r>
      <w:r w:rsidR="002058E9">
        <w:t>F</w:t>
      </w:r>
      <w:r w:rsidR="00113B2D">
        <w:t xml:space="preserve">igure </w:t>
      </w:r>
      <w:r w:rsidR="00D62EAF">
        <w:t>4</w:t>
      </w:r>
      <w:r w:rsidR="00AB7FA7">
        <w:t>.3a</w:t>
      </w:r>
      <w:r w:rsidR="00113B2D">
        <w:t>.</w:t>
      </w:r>
    </w:p>
    <w:p w14:paraId="159979A6" w14:textId="32D3CD85" w:rsidR="00113B2D" w:rsidRPr="00DE540F" w:rsidRDefault="00113B2D" w:rsidP="00276AA2">
      <w:pPr>
        <w:pStyle w:val="Heading6"/>
      </w:pPr>
      <w:r w:rsidRPr="00DE540F">
        <w:lastRenderedPageBreak/>
        <w:t xml:space="preserve">Figure </w:t>
      </w:r>
      <w:r w:rsidR="00D62EAF">
        <w:t>4</w:t>
      </w:r>
      <w:r w:rsidR="00AB7FA7" w:rsidRPr="00DE540F">
        <w:t>.3a</w:t>
      </w:r>
      <w:r w:rsidRPr="00DE540F">
        <w:t>.</w:t>
      </w:r>
      <w:r w:rsidR="00AB7FA7" w:rsidRPr="00DE540F">
        <w:t xml:space="preserve"> Age-standardised mortality rate for death related to drug misuse, by sex, England and Wales, </w:t>
      </w:r>
      <w:r w:rsidR="00DE540F" w:rsidRPr="00DE540F">
        <w:t>registered between 1993 and 2023</w:t>
      </w:r>
    </w:p>
    <w:p w14:paraId="492F59FB" w14:textId="1AE779FB" w:rsidR="00EA6886" w:rsidRDefault="00DE540F" w:rsidP="005C4BF4">
      <w:r w:rsidRPr="00DE540F">
        <w:rPr>
          <w:noProof/>
        </w:rPr>
        <w:drawing>
          <wp:inline distT="0" distB="0" distL="0" distR="0" wp14:anchorId="3D3F5DB6" wp14:editId="47ADFB4E">
            <wp:extent cx="5731510" cy="3238500"/>
            <wp:effectExtent l="0" t="0" r="2540" b="0"/>
            <wp:docPr id="21" name="Picture 20" descr="A graph of people with numbers and a black background&#10;&#10;Description automatically generated with medium confidence">
              <a:extLst xmlns:a="http://schemas.openxmlformats.org/drawingml/2006/main">
                <a:ext uri="{FF2B5EF4-FFF2-40B4-BE49-F238E27FC236}">
                  <a16:creationId xmlns:a16="http://schemas.microsoft.com/office/drawing/2014/main" id="{622D78C0-466A-69D2-7295-5A605C9AC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graph of people with numbers and a black background&#10;&#10;Description automatically generated with medium confidence">
                      <a:extLst>
                        <a:ext uri="{FF2B5EF4-FFF2-40B4-BE49-F238E27FC236}">
                          <a16:creationId xmlns:a16="http://schemas.microsoft.com/office/drawing/2014/main" id="{622D78C0-466A-69D2-7295-5A605C9AC922}"/>
                        </a:ext>
                      </a:extLst>
                    </pic:cNvPr>
                    <pic:cNvPicPr>
                      <a:picLocks noChangeAspect="1"/>
                    </pic:cNvPicPr>
                  </pic:nvPicPr>
                  <pic:blipFill>
                    <a:blip r:embed="rId15"/>
                    <a:stretch>
                      <a:fillRect/>
                    </a:stretch>
                  </pic:blipFill>
                  <pic:spPr>
                    <a:xfrm>
                      <a:off x="0" y="0"/>
                      <a:ext cx="5731510" cy="3238500"/>
                    </a:xfrm>
                    <a:prstGeom prst="rect">
                      <a:avLst/>
                    </a:prstGeom>
                  </pic:spPr>
                </pic:pic>
              </a:graphicData>
            </a:graphic>
          </wp:inline>
        </w:drawing>
      </w:r>
    </w:p>
    <w:p w14:paraId="421F03E3" w14:textId="76ABE7C9" w:rsidR="00DE540F" w:rsidRPr="00DE540F" w:rsidRDefault="00DE540F" w:rsidP="005C4BF4">
      <w:pPr>
        <w:rPr>
          <w:sz w:val="20"/>
          <w:szCs w:val="20"/>
        </w:rPr>
      </w:pPr>
      <w:r w:rsidRPr="00DE540F">
        <w:rPr>
          <w:sz w:val="20"/>
          <w:szCs w:val="20"/>
        </w:rPr>
        <w:t>Source: Drug poisoning in England and Wales from the Office for National Statistics</w:t>
      </w:r>
      <w:r w:rsidR="00075AB1">
        <w:rPr>
          <w:sz w:val="20"/>
          <w:szCs w:val="20"/>
        </w:rPr>
        <w:t xml:space="preserve"> (ONS)</w:t>
      </w:r>
      <w:r w:rsidR="00A201D2">
        <w:rPr>
          <w:rStyle w:val="FootnoteReference"/>
          <w:sz w:val="20"/>
          <w:szCs w:val="20"/>
        </w:rPr>
        <w:footnoteReference w:id="7"/>
      </w:r>
    </w:p>
    <w:p w14:paraId="19B72553" w14:textId="703CBE84" w:rsidR="003E7243" w:rsidRDefault="003E7243" w:rsidP="005C4BF4">
      <w:r w:rsidRPr="003E7243">
        <w:t xml:space="preserve">The highest rates of drug misuse deaths are currently observed among individuals aged </w:t>
      </w:r>
      <w:r w:rsidRPr="003403A4">
        <w:rPr>
          <w:b/>
          <w:bCs/>
        </w:rPr>
        <w:t>40 to 49 years</w:t>
      </w:r>
      <w:r w:rsidR="000F3C34">
        <w:t>. T</w:t>
      </w:r>
      <w:r w:rsidR="00D07206" w:rsidRPr="00D07206">
        <w:t>he average age at death for drug misuse deaths in 2023 was 44.5 years for males and 47.5 for females</w:t>
      </w:r>
      <w:r w:rsidR="00276AA2">
        <w:t xml:space="preserve">, which is over </w:t>
      </w:r>
      <w:r w:rsidR="00276AA2" w:rsidRPr="00A27019">
        <w:rPr>
          <w:b/>
          <w:bCs/>
        </w:rPr>
        <w:t>30 years younger than the average age of death</w:t>
      </w:r>
      <w:r w:rsidR="00276AA2" w:rsidRPr="00D12E38">
        <w:t xml:space="preserve"> </w:t>
      </w:r>
      <w:r w:rsidR="00276AA2">
        <w:t xml:space="preserve">from </w:t>
      </w:r>
      <w:r w:rsidR="00276AA2" w:rsidRPr="00D12E38">
        <w:t xml:space="preserve">all causes in England </w:t>
      </w:r>
      <w:r w:rsidR="00276AA2">
        <w:t>(</w:t>
      </w:r>
      <w:r w:rsidR="00276AA2" w:rsidRPr="00D12E38">
        <w:t>78.0 years</w:t>
      </w:r>
      <w:r w:rsidR="00276AA2">
        <w:t>)</w:t>
      </w:r>
      <w:r w:rsidR="00276AA2" w:rsidRPr="00D12E38">
        <w:t>.</w:t>
      </w:r>
    </w:p>
    <w:p w14:paraId="3AB75814" w14:textId="359AB5B2" w:rsidR="00EA6886" w:rsidRDefault="00113B2D" w:rsidP="005C4BF4">
      <w:r w:rsidRPr="00113B2D">
        <w:t xml:space="preserve">The </w:t>
      </w:r>
      <w:r w:rsidRPr="00A27019">
        <w:rPr>
          <w:b/>
          <w:bCs/>
        </w:rPr>
        <w:t>biggest rises</w:t>
      </w:r>
      <w:r w:rsidRPr="00113B2D">
        <w:t xml:space="preserve"> </w:t>
      </w:r>
      <w:r w:rsidR="00A774ED">
        <w:t xml:space="preserve">in mortality </w:t>
      </w:r>
      <w:r w:rsidRPr="00113B2D">
        <w:t xml:space="preserve">have been observed since 2012, with the most significant increase in </w:t>
      </w:r>
      <w:r w:rsidRPr="00A27019">
        <w:rPr>
          <w:b/>
          <w:bCs/>
        </w:rPr>
        <w:t>opioid-related deaths</w:t>
      </w:r>
      <w:r w:rsidRPr="00113B2D">
        <w:t xml:space="preserve">. Deaths involving </w:t>
      </w:r>
      <w:r w:rsidRPr="00A27019">
        <w:rPr>
          <w:b/>
          <w:bCs/>
        </w:rPr>
        <w:t>new psychoactive substances</w:t>
      </w:r>
      <w:r w:rsidRPr="00113B2D">
        <w:t xml:space="preserve"> have also surged in recent years, although the numbers remain much lower than for traditional substances like heroin or methadone.</w:t>
      </w:r>
    </w:p>
    <w:p w14:paraId="4FB8BC95" w14:textId="1AB907FF" w:rsidR="00B259E1" w:rsidRDefault="00B259E1" w:rsidP="00B259E1">
      <w:r>
        <w:t xml:space="preserve">Drug-related deaths show a </w:t>
      </w:r>
      <w:r w:rsidRPr="16F14F99">
        <w:rPr>
          <w:b/>
          <w:bCs/>
        </w:rPr>
        <w:t>stark disparity based on deprivation</w:t>
      </w:r>
      <w:r>
        <w:t>, with individuals in the most deprived areas facing significantly higher risks of fatal overdoses. Mortality rates in these areas are approximately 2.5 times higher than in the least deprived areas</w:t>
      </w:r>
      <w:r w:rsidR="00276AA2">
        <w:t xml:space="preserve">; the mortality rate in for the period 2020-2022 </w:t>
      </w:r>
      <w:r w:rsidR="00DE540F">
        <w:t xml:space="preserve">in the most deprived decile </w:t>
      </w:r>
      <w:r w:rsidR="00276AA2">
        <w:t xml:space="preserve">was </w:t>
      </w:r>
      <w:r w:rsidR="00DE540F">
        <w:t>8.5 per 100,000</w:t>
      </w:r>
      <w:r w:rsidR="00276AA2">
        <w:t xml:space="preserve">, compared with </w:t>
      </w:r>
      <w:r w:rsidR="00DE540F">
        <w:t>2.9 per 100,000</w:t>
      </w:r>
      <w:r w:rsidR="00276AA2">
        <w:t xml:space="preserve"> in the least deprived decile</w:t>
      </w:r>
      <w:r>
        <w:t>.</w:t>
      </w:r>
    </w:p>
    <w:p w14:paraId="132B664A" w14:textId="380EEBB6" w:rsidR="00971A96" w:rsidRDefault="00971A96" w:rsidP="00B259E1">
      <w:r w:rsidRPr="00971A96">
        <w:t xml:space="preserve">Awareness of substance-specific mortality trends is crucial, especially given the overall rise in drug-related deaths. </w:t>
      </w:r>
      <w:r w:rsidRPr="00A01097">
        <w:rPr>
          <w:b/>
          <w:bCs/>
        </w:rPr>
        <w:t>Opiates</w:t>
      </w:r>
      <w:r w:rsidRPr="00971A96">
        <w:t xml:space="preserve"> remain the </w:t>
      </w:r>
      <w:r w:rsidRPr="00A01097">
        <w:rPr>
          <w:b/>
          <w:bCs/>
        </w:rPr>
        <w:t>most frequently implicated substances</w:t>
      </w:r>
      <w:r w:rsidRPr="00971A96">
        <w:t xml:space="preserve">, involved in nearly half of drug-poisoning deaths, with heroin and morphine being prominent contributors. </w:t>
      </w:r>
      <w:r w:rsidR="002940C5" w:rsidRPr="00A01097">
        <w:rPr>
          <w:b/>
          <w:bCs/>
        </w:rPr>
        <w:t>D</w:t>
      </w:r>
      <w:r w:rsidRPr="00A01097">
        <w:rPr>
          <w:b/>
          <w:bCs/>
        </w:rPr>
        <w:t>eaths involving cocaine have surged by over 30% in a year</w:t>
      </w:r>
      <w:r w:rsidRPr="00971A96">
        <w:t>,</w:t>
      </w:r>
      <w:r w:rsidR="002940C5">
        <w:t xml:space="preserve"> </w:t>
      </w:r>
      <w:r w:rsidR="002940C5" w:rsidRPr="002940C5">
        <w:t xml:space="preserve">while </w:t>
      </w:r>
      <w:r w:rsidR="002940C5" w:rsidRPr="00A01097">
        <w:rPr>
          <w:b/>
          <w:bCs/>
        </w:rPr>
        <w:t>synthetic opioids</w:t>
      </w:r>
      <w:r w:rsidR="002940C5" w:rsidRPr="002940C5">
        <w:t xml:space="preserve"> such as </w:t>
      </w:r>
      <w:proofErr w:type="spellStart"/>
      <w:r w:rsidR="002940C5" w:rsidRPr="002940C5">
        <w:t>nitazenes</w:t>
      </w:r>
      <w:proofErr w:type="spellEnd"/>
      <w:r w:rsidR="002940C5" w:rsidRPr="002940C5">
        <w:t xml:space="preserve"> and </w:t>
      </w:r>
      <w:proofErr w:type="spellStart"/>
      <w:r w:rsidR="002940C5" w:rsidRPr="002940C5">
        <w:t>fentanyls</w:t>
      </w:r>
      <w:proofErr w:type="spellEnd"/>
      <w:r w:rsidR="002940C5" w:rsidRPr="002940C5">
        <w:t xml:space="preserve"> </w:t>
      </w:r>
      <w:r w:rsidR="00EE234D" w:rsidRPr="00EE234D">
        <w:t xml:space="preserve">are an </w:t>
      </w:r>
      <w:r w:rsidR="00EE234D" w:rsidRPr="00A01097">
        <w:rPr>
          <w:b/>
          <w:bCs/>
        </w:rPr>
        <w:t>emerging</w:t>
      </w:r>
      <w:r w:rsidR="00EE234D" w:rsidRPr="00EE234D">
        <w:t xml:space="preserve"> </w:t>
      </w:r>
      <w:r w:rsidR="00EE234D" w:rsidRPr="00A01097">
        <w:rPr>
          <w:b/>
          <w:bCs/>
        </w:rPr>
        <w:t>threat</w:t>
      </w:r>
      <w:r w:rsidR="00EE234D" w:rsidRPr="00EE234D">
        <w:t xml:space="preserve"> due to their potency and high overdose risk. In the year ending May 2024, there were 179 deaths involving synthetic opioids nationally, with </w:t>
      </w:r>
      <w:r w:rsidR="00EE234D" w:rsidRPr="00EE234D">
        <w:lastRenderedPageBreak/>
        <w:t>cases unevenly spread across nine regions of England. In the East of England, 33 deaths were recorded, accounting for a significant portion of the national total</w:t>
      </w:r>
      <w:r w:rsidR="00510ED0">
        <w:rPr>
          <w:rStyle w:val="FootnoteReference"/>
        </w:rPr>
        <w:footnoteReference w:id="8"/>
      </w:r>
      <w:r w:rsidR="00EE234D" w:rsidRPr="00EE234D">
        <w:t>.</w:t>
      </w:r>
    </w:p>
    <w:p w14:paraId="3900BB4C" w14:textId="77777777" w:rsidR="00D645FB" w:rsidRDefault="00D645FB" w:rsidP="00B259E1"/>
    <w:p w14:paraId="1B58D467" w14:textId="5D99A1A2" w:rsidR="005C4BF4" w:rsidRDefault="005C4BF4" w:rsidP="00796A48">
      <w:pPr>
        <w:pStyle w:val="Heading3"/>
      </w:pPr>
      <w:bookmarkStart w:id="32" w:name="_Toc200479471"/>
      <w:r>
        <w:t>Alcohol</w:t>
      </w:r>
      <w:bookmarkEnd w:id="32"/>
    </w:p>
    <w:p w14:paraId="1EE6D81D" w14:textId="154EF7EB" w:rsidR="00A74048" w:rsidRDefault="00796A48" w:rsidP="00A74048">
      <w:r w:rsidRPr="00796A48">
        <w:t xml:space="preserve">In England in 2023, there were 8,274 </w:t>
      </w:r>
      <w:r w:rsidRPr="00A01097">
        <w:rPr>
          <w:b/>
          <w:bCs/>
        </w:rPr>
        <w:t>alcohol-specific deaths</w:t>
      </w:r>
      <w:r w:rsidRPr="00796A48">
        <w:t xml:space="preserve"> (wholly due to alcohol)</w:t>
      </w:r>
      <w:r w:rsidR="008F54F5">
        <w:t xml:space="preserve">, which is a rate of </w:t>
      </w:r>
      <w:r w:rsidR="00534709" w:rsidRPr="00A01097">
        <w:rPr>
          <w:b/>
          <w:bCs/>
        </w:rPr>
        <w:t>15.0 per 100,000 population in 2023</w:t>
      </w:r>
      <w:r w:rsidR="00534709" w:rsidRPr="001D01D6">
        <w:t>.</w:t>
      </w:r>
      <w:r w:rsidR="00534709" w:rsidRPr="00534709">
        <w:t xml:space="preserve"> This was the </w:t>
      </w:r>
      <w:r w:rsidR="00534709" w:rsidRPr="00A01097">
        <w:rPr>
          <w:b/>
          <w:bCs/>
        </w:rPr>
        <w:t>highest rate</w:t>
      </w:r>
      <w:r w:rsidR="00534709" w:rsidRPr="00534709">
        <w:t xml:space="preserve"> for alcohol-specific mortality since the start of the data series in 2006 (</w:t>
      </w:r>
      <w:r w:rsidR="00316570">
        <w:t xml:space="preserve">5,050 deaths, </w:t>
      </w:r>
      <w:r w:rsidR="00534709" w:rsidRPr="00534709">
        <w:t>10.7 per 100,000)</w:t>
      </w:r>
      <w:r w:rsidR="00276AA2">
        <w:t xml:space="preserve">, as shown in </w:t>
      </w:r>
      <w:r w:rsidR="00A01097">
        <w:t>F</w:t>
      </w:r>
      <w:r w:rsidR="00276AA2">
        <w:t xml:space="preserve">igure </w:t>
      </w:r>
      <w:r w:rsidR="00D62EAF">
        <w:t>4</w:t>
      </w:r>
      <w:r w:rsidR="00276AA2">
        <w:t>.3b.</w:t>
      </w:r>
    </w:p>
    <w:p w14:paraId="7E14A397" w14:textId="0AA16C1E" w:rsidR="00276AA2" w:rsidRPr="00276AA2" w:rsidRDefault="00276AA2" w:rsidP="00276AA2">
      <w:pPr>
        <w:pStyle w:val="Heading6"/>
      </w:pPr>
      <w:r w:rsidRPr="00276AA2">
        <w:t xml:space="preserve">Figure </w:t>
      </w:r>
      <w:r w:rsidR="00D62EAF">
        <w:t>4</w:t>
      </w:r>
      <w:r w:rsidRPr="00276AA2">
        <w:t>.3b. Age-standardised alcohol-specific mortality rate per 100,000 population (all ages): single year, England 2006 to 2023</w:t>
      </w:r>
    </w:p>
    <w:p w14:paraId="55AEFFDB" w14:textId="13E2FEDD" w:rsidR="00A74048" w:rsidRDefault="00A65F15" w:rsidP="00A74048">
      <w:r w:rsidRPr="00DE0DCE">
        <w:rPr>
          <w:noProof/>
        </w:rPr>
        <w:drawing>
          <wp:inline distT="0" distB="0" distL="0" distR="0" wp14:anchorId="0658294C" wp14:editId="2EE2040A">
            <wp:extent cx="5731433" cy="3505200"/>
            <wp:effectExtent l="0" t="0" r="3175" b="0"/>
            <wp:docPr id="210910561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70455" name="Picture 1" descr="A graph with a line&#10;&#10;Description automatically generated"/>
                    <pic:cNvPicPr/>
                  </pic:nvPicPr>
                  <pic:blipFill rotWithShape="1">
                    <a:blip r:embed="rId16"/>
                    <a:srcRect t="12490" b="16494"/>
                    <a:stretch/>
                  </pic:blipFill>
                  <pic:spPr bwMode="auto">
                    <a:xfrm>
                      <a:off x="0" y="0"/>
                      <a:ext cx="5731510" cy="3505247"/>
                    </a:xfrm>
                    <a:prstGeom prst="rect">
                      <a:avLst/>
                    </a:prstGeom>
                    <a:ln>
                      <a:noFill/>
                    </a:ln>
                    <a:extLst>
                      <a:ext uri="{53640926-AAD7-44D8-BBD7-CCE9431645EC}">
                        <a14:shadowObscured xmlns:a14="http://schemas.microsoft.com/office/drawing/2010/main"/>
                      </a:ext>
                    </a:extLst>
                  </pic:spPr>
                </pic:pic>
              </a:graphicData>
            </a:graphic>
          </wp:inline>
        </w:drawing>
      </w:r>
    </w:p>
    <w:p w14:paraId="3233D6CA" w14:textId="36879946" w:rsidR="00276AA2" w:rsidRPr="00276AA2" w:rsidRDefault="00276AA2" w:rsidP="00A74048">
      <w:pPr>
        <w:rPr>
          <w:sz w:val="20"/>
          <w:szCs w:val="20"/>
        </w:rPr>
      </w:pPr>
      <w:r w:rsidRPr="00276AA2">
        <w:rPr>
          <w:sz w:val="20"/>
          <w:szCs w:val="20"/>
        </w:rPr>
        <w:t>Source: calculated by</w:t>
      </w:r>
      <w:r w:rsidR="00D30421">
        <w:rPr>
          <w:sz w:val="20"/>
          <w:szCs w:val="20"/>
        </w:rPr>
        <w:t xml:space="preserve"> </w:t>
      </w:r>
      <w:r w:rsidR="00D30421" w:rsidRPr="00D30421">
        <w:rPr>
          <w:sz w:val="20"/>
          <w:szCs w:val="20"/>
        </w:rPr>
        <w:t>Office for Health Improvement and Disparities</w:t>
      </w:r>
      <w:r w:rsidRPr="00276AA2">
        <w:rPr>
          <w:sz w:val="20"/>
          <w:szCs w:val="20"/>
        </w:rPr>
        <w:t xml:space="preserve"> </w:t>
      </w:r>
      <w:r w:rsidR="00D30421">
        <w:rPr>
          <w:sz w:val="20"/>
          <w:szCs w:val="20"/>
        </w:rPr>
        <w:t>(</w:t>
      </w:r>
      <w:r w:rsidRPr="00276AA2">
        <w:rPr>
          <w:sz w:val="20"/>
          <w:szCs w:val="20"/>
        </w:rPr>
        <w:t>OHID</w:t>
      </w:r>
      <w:r w:rsidR="00D30421">
        <w:rPr>
          <w:sz w:val="20"/>
          <w:szCs w:val="20"/>
        </w:rPr>
        <w:t>)</w:t>
      </w:r>
      <w:r w:rsidRPr="00276AA2">
        <w:rPr>
          <w:sz w:val="20"/>
          <w:szCs w:val="20"/>
        </w:rPr>
        <w:t xml:space="preserve"> Population Health Analysis team from Office for National Statistics (ONS) death registration data and ONS mid-year population estimates</w:t>
      </w:r>
      <w:r w:rsidR="00510ED0">
        <w:rPr>
          <w:rStyle w:val="FootnoteReference"/>
          <w:sz w:val="20"/>
          <w:szCs w:val="20"/>
        </w:rPr>
        <w:footnoteReference w:id="9"/>
      </w:r>
      <w:r w:rsidRPr="00276AA2">
        <w:rPr>
          <w:sz w:val="20"/>
          <w:szCs w:val="20"/>
        </w:rPr>
        <w:t>.</w:t>
      </w:r>
    </w:p>
    <w:p w14:paraId="310E2BD3" w14:textId="3C8343A6" w:rsidR="00D12E38" w:rsidRDefault="00D12E38" w:rsidP="0037729E">
      <w:r w:rsidRPr="00D12E38">
        <w:t xml:space="preserve">The average (mean) age of death for alcohol-specific mortality in England in 2023 was </w:t>
      </w:r>
      <w:r w:rsidRPr="00A01097">
        <w:rPr>
          <w:b/>
          <w:bCs/>
        </w:rPr>
        <w:t>57.2 years</w:t>
      </w:r>
      <w:r w:rsidR="00F00FEB">
        <w:t xml:space="preserve">, which is around </w:t>
      </w:r>
      <w:r w:rsidR="00F00FEB" w:rsidRPr="00A01097">
        <w:rPr>
          <w:b/>
          <w:bCs/>
        </w:rPr>
        <w:t xml:space="preserve">20 years younger than </w:t>
      </w:r>
      <w:r w:rsidR="00D645FB" w:rsidRPr="00A01097">
        <w:rPr>
          <w:b/>
          <w:bCs/>
        </w:rPr>
        <w:t>t</w:t>
      </w:r>
      <w:r w:rsidRPr="00A01097">
        <w:rPr>
          <w:b/>
          <w:bCs/>
        </w:rPr>
        <w:t>he average age of death</w:t>
      </w:r>
      <w:r w:rsidRPr="00D12E38">
        <w:t xml:space="preserve"> </w:t>
      </w:r>
      <w:r w:rsidR="00D645FB">
        <w:t xml:space="preserve">from </w:t>
      </w:r>
      <w:r w:rsidRPr="00D12E38">
        <w:t xml:space="preserve">all causes in England </w:t>
      </w:r>
      <w:r w:rsidR="00D645FB">
        <w:t>(</w:t>
      </w:r>
      <w:r w:rsidRPr="00D12E38">
        <w:t>78.0 years</w:t>
      </w:r>
      <w:r w:rsidR="00D645FB">
        <w:t>)</w:t>
      </w:r>
      <w:r w:rsidRPr="00D12E38">
        <w:t>.</w:t>
      </w:r>
    </w:p>
    <w:p w14:paraId="24051188" w14:textId="2808F506" w:rsidR="0037729E" w:rsidRDefault="001E4B5D" w:rsidP="0037729E">
      <w:r>
        <w:t xml:space="preserve">National data shows that mortality rates </w:t>
      </w:r>
      <w:r>
        <w:rPr>
          <w:b/>
          <w:bCs/>
        </w:rPr>
        <w:t xml:space="preserve">are linked to levels of </w:t>
      </w:r>
      <w:r w:rsidRPr="00A01097">
        <w:rPr>
          <w:b/>
          <w:bCs/>
        </w:rPr>
        <w:t>deprivation</w:t>
      </w:r>
      <w:r>
        <w:t xml:space="preserve">, with the </w:t>
      </w:r>
      <w:r w:rsidRPr="003D1D66">
        <w:rPr>
          <w:b/>
          <w:bCs/>
        </w:rPr>
        <w:t xml:space="preserve">most deprived areas experiencing </w:t>
      </w:r>
      <w:r>
        <w:rPr>
          <w:b/>
          <w:bCs/>
        </w:rPr>
        <w:t>around</w:t>
      </w:r>
      <w:r w:rsidRPr="003D1D66">
        <w:rPr>
          <w:b/>
          <w:bCs/>
        </w:rPr>
        <w:t xml:space="preserve"> double</w:t>
      </w:r>
      <w:r>
        <w:t xml:space="preserve"> the mortality rate compared with the least </w:t>
      </w:r>
      <w:r>
        <w:lastRenderedPageBreak/>
        <w:t>deprived areas; alcohol-specific mortality in 2023 was 20.9 per 100,000 in the most-deprived decile of local authorities, and 9.8 in the least deprived</w:t>
      </w:r>
      <w:r w:rsidR="0037729E">
        <w:t>.</w:t>
      </w:r>
    </w:p>
    <w:p w14:paraId="7B36FB1C" w14:textId="77777777" w:rsidR="00D645FB" w:rsidRPr="00A74048" w:rsidRDefault="00D645FB" w:rsidP="0037729E"/>
    <w:p w14:paraId="4965FE98" w14:textId="126F6552" w:rsidR="00B679AB" w:rsidRDefault="00971A96" w:rsidP="00D450AF">
      <w:pPr>
        <w:pStyle w:val="Heading2"/>
      </w:pPr>
      <w:bookmarkStart w:id="33" w:name="_Toc200479472"/>
      <w:r>
        <w:t>Intersecting Vulnerabilities</w:t>
      </w:r>
      <w:bookmarkEnd w:id="33"/>
    </w:p>
    <w:p w14:paraId="050062AD" w14:textId="7165F393" w:rsidR="00EE234D" w:rsidRDefault="0061661D" w:rsidP="00EE234D">
      <w:r w:rsidRPr="00D07802">
        <w:t xml:space="preserve">This assessment will consider </w:t>
      </w:r>
      <w:r w:rsidR="00EE234D">
        <w:t xml:space="preserve">people within our </w:t>
      </w:r>
      <w:r w:rsidRPr="00D07802">
        <w:t xml:space="preserve">population </w:t>
      </w:r>
      <w:r w:rsidR="00971A96">
        <w:t xml:space="preserve">who are </w:t>
      </w:r>
      <w:r w:rsidR="00971A96" w:rsidRPr="00A01097">
        <w:rPr>
          <w:b/>
          <w:bCs/>
        </w:rPr>
        <w:t>disproportionately affected</w:t>
      </w:r>
      <w:r w:rsidR="00971A96" w:rsidRPr="00971A96">
        <w:t xml:space="preserve"> by drug/alcohol-related harms due to systemic inequalities and personal circumstances.</w:t>
      </w:r>
      <w:r w:rsidRPr="00D07802">
        <w:t xml:space="preserve"> In addition to the influence of individual </w:t>
      </w:r>
      <w:r w:rsidR="00EE234D">
        <w:t>demographics as</w:t>
      </w:r>
      <w:r w:rsidRPr="00D07802">
        <w:t xml:space="preserve"> highlighted above, </w:t>
      </w:r>
      <w:r w:rsidR="00EE234D">
        <w:t xml:space="preserve">certain groups are more vulnerable to substance misuse due to additional factors, including </w:t>
      </w:r>
      <w:r w:rsidR="00EE234D" w:rsidRPr="00A01097">
        <w:rPr>
          <w:b/>
          <w:bCs/>
        </w:rPr>
        <w:t>housing instability, social environment, and life experiences</w:t>
      </w:r>
      <w:r w:rsidR="00EE234D">
        <w:t>.</w:t>
      </w:r>
    </w:p>
    <w:p w14:paraId="7AD646D5" w14:textId="77777777" w:rsidR="00EE234D" w:rsidRDefault="00EE234D" w:rsidP="00EE234D"/>
    <w:p w14:paraId="03F3FD13" w14:textId="42795890" w:rsidR="0061661D" w:rsidRPr="00D07802" w:rsidRDefault="00EE234D" w:rsidP="0061661D">
      <w:r>
        <w:t>The following sub-groups have been identified as experiencing heightened vulnerability to substance misuse:</w:t>
      </w:r>
    </w:p>
    <w:p w14:paraId="15A39765" w14:textId="4B7722C5" w:rsidR="0058565F" w:rsidRDefault="0058565F" w:rsidP="00B80EAF">
      <w:pPr>
        <w:numPr>
          <w:ilvl w:val="0"/>
          <w:numId w:val="4"/>
        </w:numPr>
        <w:contextualSpacing/>
      </w:pPr>
      <w:r w:rsidRPr="00D07802">
        <w:rPr>
          <w:b/>
          <w:bCs/>
        </w:rPr>
        <w:t>People with mental health conditions</w:t>
      </w:r>
      <w:r w:rsidR="00B6434A">
        <w:t>:</w:t>
      </w:r>
      <w:r w:rsidRPr="00D07802">
        <w:t xml:space="preserve"> tend to have higher rates of substance use, </w:t>
      </w:r>
      <w:r w:rsidR="00EE234D">
        <w:t>with</w:t>
      </w:r>
      <w:r w:rsidR="00B6434A">
        <w:t xml:space="preserve"> </w:t>
      </w:r>
      <w:r w:rsidR="00EE234D">
        <w:t xml:space="preserve">use of </w:t>
      </w:r>
      <w:r w:rsidRPr="00D07802">
        <w:t>drugs or alcohol as a coping mechanism.</w:t>
      </w:r>
    </w:p>
    <w:p w14:paraId="65EA1D1E" w14:textId="5B08D7A4" w:rsidR="00EE234D" w:rsidRPr="00EE234D" w:rsidRDefault="00EE234D" w:rsidP="00B80EAF">
      <w:pPr>
        <w:numPr>
          <w:ilvl w:val="0"/>
          <w:numId w:val="4"/>
        </w:numPr>
        <w:contextualSpacing/>
      </w:pPr>
      <w:r w:rsidRPr="00EE234D">
        <w:rPr>
          <w:b/>
          <w:bCs/>
        </w:rPr>
        <w:t>Women</w:t>
      </w:r>
      <w:r w:rsidR="00B6434A">
        <w:t>:</w:t>
      </w:r>
      <w:r>
        <w:t xml:space="preserve"> some women face increased vulnerabilities due to </w:t>
      </w:r>
      <w:r w:rsidR="00EB6D06">
        <w:t>intersecting</w:t>
      </w:r>
      <w:r>
        <w:t xml:space="preserve"> factors such as a history of domestic violence, </w:t>
      </w:r>
      <w:r w:rsidRPr="00EE234D">
        <w:t>trauma, and experiences of sex work. These factors may exacerbate substance misuse risk.</w:t>
      </w:r>
    </w:p>
    <w:p w14:paraId="150435AF" w14:textId="3BC59A95" w:rsidR="0058565F" w:rsidRPr="00D07802" w:rsidRDefault="00EE234D" w:rsidP="00B80EAF">
      <w:pPr>
        <w:numPr>
          <w:ilvl w:val="0"/>
          <w:numId w:val="4"/>
        </w:numPr>
        <w:contextualSpacing/>
      </w:pPr>
      <w:r>
        <w:rPr>
          <w:b/>
          <w:bCs/>
        </w:rPr>
        <w:t>P</w:t>
      </w:r>
      <w:r w:rsidR="0058565F" w:rsidRPr="00D07802">
        <w:rPr>
          <w:b/>
          <w:bCs/>
        </w:rPr>
        <w:t xml:space="preserve">rison </w:t>
      </w:r>
      <w:r>
        <w:rPr>
          <w:b/>
          <w:bCs/>
        </w:rPr>
        <w:t>and prison leave</w:t>
      </w:r>
      <w:r w:rsidR="004F06D1">
        <w:rPr>
          <w:b/>
          <w:bCs/>
        </w:rPr>
        <w:t>rs</w:t>
      </w:r>
      <w:r w:rsidR="00B6434A">
        <w:t>:</w:t>
      </w:r>
      <w:r w:rsidR="0058565F" w:rsidRPr="00D07802">
        <w:t xml:space="preserve"> </w:t>
      </w:r>
      <w:r w:rsidR="006A33D9">
        <w:t>t</w:t>
      </w:r>
      <w:r w:rsidR="006A33D9" w:rsidRPr="006A33D9">
        <w:t>his group is at a higher risk of substance misuse, often linked to past trauma, mental health conditions, and the challenges of reintegrating into society post-release.</w:t>
      </w:r>
    </w:p>
    <w:p w14:paraId="4240692A" w14:textId="4111220D" w:rsidR="0061661D" w:rsidRPr="00D07802" w:rsidRDefault="0061661D" w:rsidP="00B80EAF">
      <w:pPr>
        <w:numPr>
          <w:ilvl w:val="0"/>
          <w:numId w:val="4"/>
        </w:numPr>
        <w:contextualSpacing/>
      </w:pPr>
      <w:r w:rsidRPr="00D07802">
        <w:rPr>
          <w:b/>
          <w:bCs/>
        </w:rPr>
        <w:t xml:space="preserve">Individuals experiencing </w:t>
      </w:r>
      <w:r w:rsidR="008631B5">
        <w:rPr>
          <w:b/>
          <w:bCs/>
        </w:rPr>
        <w:t xml:space="preserve">housing instability and </w:t>
      </w:r>
      <w:r w:rsidRPr="00D07802">
        <w:rPr>
          <w:b/>
          <w:bCs/>
        </w:rPr>
        <w:t>homelessness</w:t>
      </w:r>
      <w:r w:rsidR="00B6434A">
        <w:rPr>
          <w:b/>
          <w:bCs/>
        </w:rPr>
        <w:t>:</w:t>
      </w:r>
      <w:r w:rsidRPr="00D07802">
        <w:t xml:space="preserve"> who often face high levels of substance misuse due to social isolation, mental health issues, and limited access to support services.</w:t>
      </w:r>
    </w:p>
    <w:p w14:paraId="36EF11D7" w14:textId="565E3B08" w:rsidR="0061661D" w:rsidRPr="006A33D9" w:rsidRDefault="0061661D" w:rsidP="00B80EAF">
      <w:pPr>
        <w:numPr>
          <w:ilvl w:val="0"/>
          <w:numId w:val="4"/>
        </w:numPr>
        <w:contextualSpacing/>
      </w:pPr>
      <w:r w:rsidRPr="006A33D9">
        <w:rPr>
          <w:b/>
          <w:bCs/>
        </w:rPr>
        <w:t xml:space="preserve">Parents and </w:t>
      </w:r>
      <w:r w:rsidR="00EE234D" w:rsidRPr="006A33D9">
        <w:rPr>
          <w:b/>
          <w:bCs/>
        </w:rPr>
        <w:t>families</w:t>
      </w:r>
      <w:r w:rsidR="00B6434A">
        <w:t>:</w:t>
      </w:r>
      <w:r w:rsidR="006A33D9" w:rsidRPr="006A33D9">
        <w:t xml:space="preserve"> </w:t>
      </w:r>
      <w:r w:rsidR="00D75583">
        <w:t>p</w:t>
      </w:r>
      <w:r w:rsidR="006A33D9" w:rsidRPr="006A33D9">
        <w:t>arents in treatment services may be dealing with the pressures of caring for children while managing their own substance use</w:t>
      </w:r>
      <w:r w:rsidR="006A33D9">
        <w:t xml:space="preserve">, whilst </w:t>
      </w:r>
      <w:r w:rsidR="006A33D9" w:rsidRPr="006A33D9">
        <w:t>children living in families where substance misuse is a concern may face increased risks, such as neglect, abuse, or involvement with social services.</w:t>
      </w:r>
    </w:p>
    <w:p w14:paraId="4E339019" w14:textId="7F2CB54F" w:rsidR="0061661D" w:rsidRPr="006A33D9" w:rsidRDefault="006A33D9" w:rsidP="00B80EAF">
      <w:pPr>
        <w:numPr>
          <w:ilvl w:val="0"/>
          <w:numId w:val="4"/>
        </w:numPr>
        <w:contextualSpacing/>
      </w:pPr>
      <w:r w:rsidRPr="006A33D9">
        <w:rPr>
          <w:b/>
          <w:bCs/>
        </w:rPr>
        <w:t>People in unstable</w:t>
      </w:r>
      <w:r w:rsidR="00695156">
        <w:rPr>
          <w:b/>
          <w:bCs/>
        </w:rPr>
        <w:t xml:space="preserve"> employment</w:t>
      </w:r>
      <w:r w:rsidR="00B6434A">
        <w:rPr>
          <w:b/>
          <w:bCs/>
        </w:rPr>
        <w:t>:</w:t>
      </w:r>
      <w:r w:rsidRPr="006A33D9">
        <w:rPr>
          <w:b/>
          <w:bCs/>
        </w:rPr>
        <w:t xml:space="preserve"> </w:t>
      </w:r>
      <w:r w:rsidRPr="006A33D9">
        <w:t>Employment status can influence substance misuse, with individuals in precarious or low-income jobs facing higher stressors and limited access to support</w:t>
      </w:r>
      <w:r w:rsidR="00036A79">
        <w:t xml:space="preserve"> with additional barriers to accessing services</w:t>
      </w:r>
      <w:r w:rsidRPr="006A33D9">
        <w:t>.</w:t>
      </w:r>
    </w:p>
    <w:p w14:paraId="626508BE" w14:textId="77777777" w:rsidR="0061661D" w:rsidRPr="00D07802" w:rsidRDefault="0061661D" w:rsidP="0061661D">
      <w:pPr>
        <w:contextualSpacing/>
      </w:pPr>
    </w:p>
    <w:p w14:paraId="518716D8" w14:textId="1F1B4A94" w:rsidR="0061661D" w:rsidRPr="0061661D" w:rsidRDefault="006A33D9" w:rsidP="0061661D">
      <w:r>
        <w:t xml:space="preserve">The aim of exploring these groups is to </w:t>
      </w:r>
      <w:r w:rsidRPr="16F14F99">
        <w:rPr>
          <w:b/>
          <w:bCs/>
        </w:rPr>
        <w:t>better understand</w:t>
      </w:r>
      <w:r>
        <w:t xml:space="preserve"> how their </w:t>
      </w:r>
      <w:r w:rsidRPr="16F14F99">
        <w:rPr>
          <w:b/>
          <w:bCs/>
        </w:rPr>
        <w:t>specific needs and</w:t>
      </w:r>
      <w:r>
        <w:t xml:space="preserve"> </w:t>
      </w:r>
      <w:r w:rsidRPr="16F14F99">
        <w:rPr>
          <w:b/>
          <w:bCs/>
        </w:rPr>
        <w:t>vulnerabilities</w:t>
      </w:r>
      <w:r>
        <w:t xml:space="preserve"> contribute to substance use and associated harms. This analysis will help inform the development of targeted services and interventions. </w:t>
      </w:r>
      <w:r w:rsidR="0061661D">
        <w:t xml:space="preserve">It aligns with the </w:t>
      </w:r>
      <w:r w:rsidR="0061661D" w:rsidRPr="16F14F99">
        <w:rPr>
          <w:b/>
          <w:bCs/>
        </w:rPr>
        <w:t>objectives</w:t>
      </w:r>
      <w:r w:rsidR="0061661D">
        <w:t xml:space="preserve"> outlined in the</w:t>
      </w:r>
      <w:r w:rsidR="008117F1">
        <w:t xml:space="preserve"> overarching</w:t>
      </w:r>
      <w:r w:rsidR="0061661D">
        <w:t xml:space="preserve"> </w:t>
      </w:r>
      <w:r w:rsidR="0061661D" w:rsidRPr="16F14F99">
        <w:rPr>
          <w:b/>
          <w:bCs/>
        </w:rPr>
        <w:t>Joint Strategic Needs Assessment for Cambridgeshire</w:t>
      </w:r>
      <w:r w:rsidR="00153F4F" w:rsidRPr="16F14F99">
        <w:rPr>
          <w:b/>
          <w:bCs/>
        </w:rPr>
        <w:t xml:space="preserve"> and Peterborough</w:t>
      </w:r>
      <w:r w:rsidR="009336B7" w:rsidRPr="16F14F99">
        <w:rPr>
          <w:b/>
          <w:bCs/>
        </w:rPr>
        <w:t xml:space="preserve"> 2023</w:t>
      </w:r>
      <w:r w:rsidR="001C796C">
        <w:rPr>
          <w:rStyle w:val="FootnoteReference"/>
          <w:b/>
          <w:bCs/>
        </w:rPr>
        <w:footnoteReference w:id="10"/>
      </w:r>
      <w:r w:rsidR="0061661D">
        <w:t xml:space="preserve">, which emphasises the importance of public health initiatives in </w:t>
      </w:r>
      <w:r w:rsidR="0061661D" w:rsidRPr="16F14F99">
        <w:rPr>
          <w:b/>
          <w:bCs/>
        </w:rPr>
        <w:t>reducing unfair differences</w:t>
      </w:r>
      <w:r w:rsidR="0061661D">
        <w:t xml:space="preserve"> in health across our population.</w:t>
      </w:r>
    </w:p>
    <w:p w14:paraId="005E709F" w14:textId="77777777" w:rsidR="00631AD7" w:rsidRPr="00B679AB" w:rsidRDefault="00631AD7" w:rsidP="00B679AB"/>
    <w:p w14:paraId="41DE800E" w14:textId="77777777" w:rsidR="002150F1" w:rsidRDefault="002150F1" w:rsidP="00BC3C40">
      <w:pPr>
        <w:pStyle w:val="Heading1"/>
        <w:sectPr w:rsidR="002150F1">
          <w:pgSz w:w="11906" w:h="16838"/>
          <w:pgMar w:top="1440" w:right="1440" w:bottom="1440" w:left="1440" w:header="708" w:footer="708" w:gutter="0"/>
          <w:cols w:space="708"/>
          <w:docGrid w:linePitch="360"/>
        </w:sectPr>
      </w:pPr>
    </w:p>
    <w:p w14:paraId="033EA6F4" w14:textId="7F36336B" w:rsidR="00070A00" w:rsidRDefault="00693CED" w:rsidP="00BC3C40">
      <w:pPr>
        <w:pStyle w:val="Heading1"/>
      </w:pPr>
      <w:bookmarkStart w:id="34" w:name="_Toc200479473"/>
      <w:r>
        <w:lastRenderedPageBreak/>
        <w:t>Peterborough</w:t>
      </w:r>
      <w:bookmarkEnd w:id="34"/>
    </w:p>
    <w:p w14:paraId="6A5B56A3" w14:textId="366B7E82" w:rsidR="00BC3C40" w:rsidRDefault="00EE0BAD" w:rsidP="00BC3C40">
      <w:pPr>
        <w:pStyle w:val="Heading2"/>
      </w:pPr>
      <w:bookmarkStart w:id="35" w:name="_Toc200479474"/>
      <w:r>
        <w:t xml:space="preserve">Peterborough; </w:t>
      </w:r>
      <w:r w:rsidR="00BC3C40">
        <w:t>Demographics</w:t>
      </w:r>
      <w:bookmarkEnd w:id="35"/>
    </w:p>
    <w:p w14:paraId="4A732651" w14:textId="77777777" w:rsidR="00225056" w:rsidRDefault="00225056" w:rsidP="00225056">
      <w:pPr>
        <w:pStyle w:val="Heading3"/>
      </w:pPr>
      <w:bookmarkStart w:id="36" w:name="_Toc200479475"/>
      <w:r>
        <w:t>Population</w:t>
      </w:r>
      <w:bookmarkEnd w:id="36"/>
    </w:p>
    <w:p w14:paraId="2CD29FEA" w14:textId="4FB34BB3" w:rsidR="006F6718" w:rsidRDefault="006F6718" w:rsidP="006F6718">
      <w:r w:rsidRPr="00F77733">
        <w:t xml:space="preserve">As of the most recent census in 2021, </w:t>
      </w:r>
      <w:r w:rsidRPr="00153F4F">
        <w:rPr>
          <w:b/>
          <w:bCs/>
        </w:rPr>
        <w:t>Peterborough’s population was 215,669</w:t>
      </w:r>
      <w:r w:rsidRPr="00F77733">
        <w:t xml:space="preserve">. </w:t>
      </w:r>
      <w:r w:rsidRPr="00E65D1C">
        <w:t xml:space="preserve">Peterborough is one of the </w:t>
      </w:r>
      <w:r w:rsidRPr="00153F4F">
        <w:rPr>
          <w:b/>
          <w:bCs/>
        </w:rPr>
        <w:t>fastest-growing cities</w:t>
      </w:r>
      <w:r w:rsidRPr="00E65D1C">
        <w:t xml:space="preserve"> in the East of England</w:t>
      </w:r>
      <w:r>
        <w:t xml:space="preserve"> as shown in </w:t>
      </w:r>
      <w:r w:rsidR="005C34DD">
        <w:t>F</w:t>
      </w:r>
      <w:r>
        <w:t xml:space="preserve">igure </w:t>
      </w:r>
      <w:r w:rsidR="005C34DD">
        <w:t>5</w:t>
      </w:r>
      <w:r w:rsidR="006A33D9">
        <w:t>.1a</w:t>
      </w:r>
      <w:r w:rsidRPr="00E65D1C">
        <w:t>, with a population marked by significant diversity and rapid change</w:t>
      </w:r>
      <w:r>
        <w:t>.</w:t>
      </w:r>
    </w:p>
    <w:p w14:paraId="274D9679" w14:textId="45042CEF" w:rsidR="006F6718" w:rsidRDefault="006F6718" w:rsidP="006A33D9">
      <w:pPr>
        <w:pStyle w:val="Heading6"/>
      </w:pPr>
      <w:r>
        <w:t xml:space="preserve">Figure </w:t>
      </w:r>
      <w:r w:rsidR="005C34DD">
        <w:t>5</w:t>
      </w:r>
      <w:r w:rsidR="006A33D9">
        <w:t>.1a</w:t>
      </w:r>
      <w:r>
        <w:t>. Population change heatmap, East of England.</w:t>
      </w:r>
    </w:p>
    <w:p w14:paraId="669257DA" w14:textId="77777777" w:rsidR="006F6718" w:rsidRDefault="006F6718" w:rsidP="006A33D9">
      <w:pPr>
        <w:jc w:val="center"/>
      </w:pPr>
      <w:r w:rsidRPr="00F77733">
        <w:rPr>
          <w:noProof/>
        </w:rPr>
        <w:drawing>
          <wp:inline distT="0" distB="0" distL="0" distR="0" wp14:anchorId="5C1C223F" wp14:editId="389DF698">
            <wp:extent cx="4492101" cy="3294733"/>
            <wp:effectExtent l="0" t="0" r="3810" b="1270"/>
            <wp:docPr id="1724232621" name="Picture 1" descr="A map of england with orange and black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32621" name="Picture 1" descr="A map of england with orange and black areas&#10;&#10;Description automatically generated"/>
                    <pic:cNvPicPr/>
                  </pic:nvPicPr>
                  <pic:blipFill rotWithShape="1">
                    <a:blip r:embed="rId17"/>
                    <a:srcRect t="13183" b="6710"/>
                    <a:stretch/>
                  </pic:blipFill>
                  <pic:spPr bwMode="auto">
                    <a:xfrm>
                      <a:off x="0" y="0"/>
                      <a:ext cx="4519168" cy="3314585"/>
                    </a:xfrm>
                    <a:prstGeom prst="rect">
                      <a:avLst/>
                    </a:prstGeom>
                    <a:ln>
                      <a:noFill/>
                    </a:ln>
                    <a:extLst>
                      <a:ext uri="{53640926-AAD7-44D8-BBD7-CCE9431645EC}">
                        <a14:shadowObscured xmlns:a14="http://schemas.microsoft.com/office/drawing/2010/main"/>
                      </a:ext>
                    </a:extLst>
                  </pic:spPr>
                </pic:pic>
              </a:graphicData>
            </a:graphic>
          </wp:inline>
        </w:drawing>
      </w:r>
    </w:p>
    <w:p w14:paraId="30E593CE" w14:textId="5914C363" w:rsidR="006A33D9" w:rsidRPr="005C34DD" w:rsidRDefault="006A33D9" w:rsidP="006F6718">
      <w:pPr>
        <w:rPr>
          <w:sz w:val="20"/>
          <w:szCs w:val="20"/>
        </w:rPr>
      </w:pPr>
      <w:r w:rsidRPr="005C34DD">
        <w:rPr>
          <w:sz w:val="20"/>
          <w:szCs w:val="20"/>
        </w:rPr>
        <w:t xml:space="preserve">Source: </w:t>
      </w:r>
      <w:r w:rsidR="00137F9A">
        <w:rPr>
          <w:sz w:val="20"/>
          <w:szCs w:val="20"/>
        </w:rPr>
        <w:t>ONS</w:t>
      </w:r>
      <w:r w:rsidRPr="005C34DD">
        <w:rPr>
          <w:sz w:val="20"/>
          <w:szCs w:val="20"/>
        </w:rPr>
        <w:t xml:space="preserve"> – 2011 Census and Census 2021</w:t>
      </w:r>
      <w:r w:rsidR="00510ED0">
        <w:rPr>
          <w:rStyle w:val="FootnoteReference"/>
          <w:sz w:val="20"/>
          <w:szCs w:val="20"/>
        </w:rPr>
        <w:footnoteReference w:id="11"/>
      </w:r>
      <w:r w:rsidRPr="005C34DD">
        <w:rPr>
          <w:sz w:val="20"/>
          <w:szCs w:val="20"/>
        </w:rPr>
        <w:t xml:space="preserve"> </w:t>
      </w:r>
    </w:p>
    <w:p w14:paraId="4D0334D4" w14:textId="7BCFC91D" w:rsidR="006A33D9" w:rsidRDefault="006F6718" w:rsidP="005C34DD">
      <w:r w:rsidRPr="00E65D1C">
        <w:t>Peterborough</w:t>
      </w:r>
      <w:r>
        <w:t xml:space="preserve"> has</w:t>
      </w:r>
      <w:r w:rsidRPr="00E65D1C">
        <w:t xml:space="preserve"> </w:t>
      </w:r>
      <w:r w:rsidRPr="00153F4F">
        <w:rPr>
          <w:b/>
          <w:bCs/>
        </w:rPr>
        <w:t>relatively young</w:t>
      </w:r>
      <w:r w:rsidRPr="00E65D1C">
        <w:t xml:space="preserve"> population, with a higher proportion of children and young adults compared to national averages</w:t>
      </w:r>
      <w:r w:rsidR="005C34DD">
        <w:t xml:space="preserve">. </w:t>
      </w:r>
      <w:r w:rsidRPr="00E65D1C">
        <w:t xml:space="preserve">This age distribution can contribute to differing patterns </w:t>
      </w:r>
      <w:r w:rsidRPr="00F876F4">
        <w:t>of drug and alcohol use</w:t>
      </w:r>
      <w:r>
        <w:t>.</w:t>
      </w:r>
    </w:p>
    <w:p w14:paraId="61A40DC7" w14:textId="7B22A4EB" w:rsidR="006F6718" w:rsidRDefault="006F6718" w:rsidP="006F6718">
      <w:r w:rsidRPr="00FD04BE">
        <w:t xml:space="preserve">In Peterborough, the population is 49.5% male and 50.5% female, closely matching England’s overall balance of 49% male and 51% female. This is </w:t>
      </w:r>
      <w:r>
        <w:t xml:space="preserve">also </w:t>
      </w:r>
      <w:r w:rsidRPr="00FD04BE">
        <w:t>consistent with the broader East of England region</w:t>
      </w:r>
      <w:r>
        <w:t>.</w:t>
      </w:r>
    </w:p>
    <w:p w14:paraId="79041695" w14:textId="4FDD2B0F" w:rsidR="00A54F2E" w:rsidRDefault="00A54F2E" w:rsidP="00225056">
      <w:pPr>
        <w:pStyle w:val="Heading3"/>
      </w:pPr>
      <w:bookmarkStart w:id="37" w:name="_Toc200479476"/>
      <w:r>
        <w:t xml:space="preserve">Geographic </w:t>
      </w:r>
      <w:r w:rsidR="00B73941">
        <w:t>D</w:t>
      </w:r>
      <w:r>
        <w:t>istribution</w:t>
      </w:r>
      <w:bookmarkEnd w:id="37"/>
    </w:p>
    <w:p w14:paraId="6B6C58F1" w14:textId="77777777" w:rsidR="00743E36" w:rsidRDefault="2BF73F48" w:rsidP="006A33D9">
      <w:r>
        <w:t xml:space="preserve">Peterborough's population is </w:t>
      </w:r>
      <w:r w:rsidRPr="00E603D3">
        <w:rPr>
          <w:b/>
          <w:bCs/>
        </w:rPr>
        <w:t>distributed unevenly</w:t>
      </w:r>
      <w:r>
        <w:t xml:space="preserve"> across urban and rural areas, with significant implications for access to services and support for substance misuse. </w:t>
      </w:r>
    </w:p>
    <w:p w14:paraId="71F781A0" w14:textId="0C2B125E" w:rsidR="006A33D9" w:rsidRDefault="2BF73F48" w:rsidP="006A33D9">
      <w:r>
        <w:t>The city itself is a major urban centre, with the highest population density found in central and eastern districts such as Central Peterborough and East Peterborough (over 5000 residents per km</w:t>
      </w:r>
      <w:r w:rsidRPr="654757EF">
        <w:rPr>
          <w:vertAlign w:val="superscript"/>
        </w:rPr>
        <w:t>2</w:t>
      </w:r>
      <w:r>
        <w:t xml:space="preserve">). These areas experience more concentrated demand for services due to higher population density and more complex social dynamics. Conversely, the suburban and rural fringes </w:t>
      </w:r>
      <w:r>
        <w:lastRenderedPageBreak/>
        <w:t>including areas like North Peterborough and parts of the rural outskirts, have lower population densities (less than 100 residents per km</w:t>
      </w:r>
      <w:r w:rsidRPr="654757EF">
        <w:rPr>
          <w:vertAlign w:val="superscript"/>
        </w:rPr>
        <w:t>2</w:t>
      </w:r>
      <w:r>
        <w:t xml:space="preserve">), and more dispersed communities. </w:t>
      </w:r>
    </w:p>
    <w:p w14:paraId="51D1A915" w14:textId="0E80E2B4" w:rsidR="006F6718" w:rsidRDefault="0008455D" w:rsidP="00A54F2E">
      <w:r w:rsidRPr="00E65D1C">
        <w:t xml:space="preserve">This geographic distribution can affect the </w:t>
      </w:r>
      <w:r w:rsidRPr="008F0FB2">
        <w:rPr>
          <w:b/>
          <w:bCs/>
        </w:rPr>
        <w:t>accessibility of services</w:t>
      </w:r>
      <w:r w:rsidRPr="00E65D1C">
        <w:t>, with residents in more remote or rural areas potentially facing greater challenges in accessing support for drug and alcohol issues.</w:t>
      </w:r>
    </w:p>
    <w:p w14:paraId="14EAD977" w14:textId="034D5F5F" w:rsidR="00C5143F" w:rsidRDefault="00C5143F" w:rsidP="00C5143F">
      <w:pPr>
        <w:pStyle w:val="Heading3"/>
      </w:pPr>
      <w:bookmarkStart w:id="38" w:name="_Toc200479477"/>
      <w:r>
        <w:t>W</w:t>
      </w:r>
      <w:r w:rsidRPr="00C5143F">
        <w:t xml:space="preserve">ider </w:t>
      </w:r>
      <w:r>
        <w:t>D</w:t>
      </w:r>
      <w:r w:rsidRPr="00C5143F">
        <w:t>eterminants</w:t>
      </w:r>
      <w:r>
        <w:t xml:space="preserve"> and </w:t>
      </w:r>
      <w:r w:rsidR="00206B4E">
        <w:t>Further Demographics</w:t>
      </w:r>
      <w:bookmarkEnd w:id="38"/>
    </w:p>
    <w:p w14:paraId="69B5E587" w14:textId="0D92C3B8" w:rsidR="00DC095C" w:rsidRPr="00DC095C" w:rsidRDefault="00DC095C" w:rsidP="00DC095C">
      <w:pPr>
        <w:pStyle w:val="Heading4"/>
      </w:pPr>
      <w:r>
        <w:t>Nationality, Ethnicity and Religion</w:t>
      </w:r>
    </w:p>
    <w:p w14:paraId="5195DF6E" w14:textId="3854EE23" w:rsidR="00032EB5" w:rsidRDefault="00032EB5" w:rsidP="008D36EC">
      <w:r>
        <w:t xml:space="preserve">Population </w:t>
      </w:r>
      <w:r w:rsidRPr="008F0FB2">
        <w:rPr>
          <w:b/>
          <w:bCs/>
        </w:rPr>
        <w:t>growth</w:t>
      </w:r>
      <w:r>
        <w:t xml:space="preserve"> in Peterborough is driven by both </w:t>
      </w:r>
      <w:r w:rsidRPr="008F0FB2">
        <w:rPr>
          <w:b/>
          <w:bCs/>
        </w:rPr>
        <w:t>domestic migration and a high rate of international immigration</w:t>
      </w:r>
      <w:r>
        <w:t xml:space="preserve">. </w:t>
      </w:r>
      <w:r w:rsidR="00CE0033">
        <w:t xml:space="preserve">The proportion of the population </w:t>
      </w:r>
      <w:r w:rsidR="001D2D82">
        <w:t xml:space="preserve">identifying with non-UK national identities rose </w:t>
      </w:r>
      <w:r w:rsidR="00CE0033">
        <w:t>between the 2011 and 2021 census</w:t>
      </w:r>
      <w:r w:rsidR="001D2D82">
        <w:t xml:space="preserve"> and </w:t>
      </w:r>
      <w:r w:rsidR="00E00DBA">
        <w:t>69.8% of</w:t>
      </w:r>
      <w:r>
        <w:t xml:space="preserve"> residents in Peterborough reported their country of birth as England</w:t>
      </w:r>
      <w:r w:rsidR="007601DB">
        <w:t xml:space="preserve"> in the 2021 census,</w:t>
      </w:r>
      <w:r w:rsidR="00E00DBA">
        <w:t xml:space="preserve"> </w:t>
      </w:r>
      <w:r w:rsidR="006272C0">
        <w:t xml:space="preserve">this is </w:t>
      </w:r>
      <w:r w:rsidR="00DE4C7C">
        <w:t>6.7</w:t>
      </w:r>
      <w:r w:rsidR="006272C0">
        <w:t xml:space="preserve"> percentage points</w:t>
      </w:r>
      <w:r w:rsidR="00DE4C7C">
        <w:t xml:space="preserve"> lower proportion than </w:t>
      </w:r>
      <w:r>
        <w:t>national</w:t>
      </w:r>
      <w:r w:rsidR="006272C0">
        <w:t>ly (</w:t>
      </w:r>
      <w:r w:rsidR="00466519">
        <w:t>76.5%</w:t>
      </w:r>
      <w:r w:rsidR="006272C0">
        <w:t>)</w:t>
      </w:r>
      <w:r w:rsidR="008D36EC">
        <w:t>.</w:t>
      </w:r>
    </w:p>
    <w:p w14:paraId="095F32CB" w14:textId="1C671CD1" w:rsidR="009E39BE" w:rsidRDefault="00032EB5" w:rsidP="00032EB5">
      <w:r w:rsidRPr="00466519">
        <w:rPr>
          <w:b/>
          <w:bCs/>
        </w:rPr>
        <w:t>Demographic diversity</w:t>
      </w:r>
      <w:r>
        <w:t xml:space="preserve"> is also reflected in a wide range of ethnic, cultural, and linguistic backgrounds</w:t>
      </w:r>
      <w:r w:rsidR="00335F20">
        <w:rPr>
          <w:rStyle w:val="FootnoteReference"/>
        </w:rPr>
        <w:footnoteReference w:id="12"/>
      </w:r>
      <w:r w:rsidR="00335F20">
        <w:t>:</w:t>
      </w:r>
    </w:p>
    <w:p w14:paraId="186698FA" w14:textId="77777777" w:rsidR="00090627" w:rsidRDefault="00032EB5" w:rsidP="00B80EAF">
      <w:pPr>
        <w:pStyle w:val="ListParagraph"/>
        <w:numPr>
          <w:ilvl w:val="0"/>
          <w:numId w:val="4"/>
        </w:numPr>
      </w:pPr>
      <w:r>
        <w:t xml:space="preserve">Peterborough’s </w:t>
      </w:r>
      <w:r w:rsidRPr="00466519">
        <w:rPr>
          <w:b/>
          <w:bCs/>
        </w:rPr>
        <w:t>ethnic distribution</w:t>
      </w:r>
      <w:r>
        <w:t xml:space="preserve"> features a smaller proportion of White residents </w:t>
      </w:r>
      <w:r w:rsidR="00CD2C4E">
        <w:t xml:space="preserve">in 2021 </w:t>
      </w:r>
      <w:r w:rsidR="009E39BE">
        <w:t xml:space="preserve">(75.4%) </w:t>
      </w:r>
      <w:r>
        <w:t xml:space="preserve">compared to </w:t>
      </w:r>
      <w:r w:rsidR="00CD2C4E">
        <w:t xml:space="preserve">2011 </w:t>
      </w:r>
      <w:r w:rsidR="00F116DE">
        <w:t xml:space="preserve">(82.5%) </w:t>
      </w:r>
      <w:r w:rsidR="00CD2C4E">
        <w:t xml:space="preserve">and compared to </w:t>
      </w:r>
      <w:r>
        <w:t>England overall</w:t>
      </w:r>
      <w:r w:rsidR="00F116DE">
        <w:t xml:space="preserve"> (81%)</w:t>
      </w:r>
      <w:r>
        <w:t xml:space="preserve">, with a higher representation of Asian, Mixed, and other ethnic groups. </w:t>
      </w:r>
    </w:p>
    <w:p w14:paraId="08D6ACD6" w14:textId="77777777" w:rsidR="00FC5D50" w:rsidRDefault="000C58D6" w:rsidP="00B80EAF">
      <w:pPr>
        <w:pStyle w:val="ListParagraph"/>
        <w:numPr>
          <w:ilvl w:val="0"/>
          <w:numId w:val="4"/>
        </w:numPr>
      </w:pPr>
      <w:r>
        <w:t xml:space="preserve">Peterborough's </w:t>
      </w:r>
      <w:r w:rsidRPr="00466519">
        <w:rPr>
          <w:b/>
          <w:bCs/>
        </w:rPr>
        <w:t>religious landscape</w:t>
      </w:r>
      <w:r>
        <w:t xml:space="preserve"> change</w:t>
      </w:r>
      <w:r w:rsidR="00FC5D50">
        <w:t>d</w:t>
      </w:r>
      <w:r>
        <w:t xml:space="preserve"> between 2011 and 2021, reflecting shifts in cultural and demographic patterns</w:t>
      </w:r>
      <w:r w:rsidR="00FC5D50">
        <w:t>:</w:t>
      </w:r>
    </w:p>
    <w:p w14:paraId="39A6C250" w14:textId="7F56FBE6" w:rsidR="00FC5D50" w:rsidRDefault="000C58D6" w:rsidP="00B80EAF">
      <w:pPr>
        <w:pStyle w:val="ListParagraph"/>
        <w:numPr>
          <w:ilvl w:val="1"/>
          <w:numId w:val="4"/>
        </w:numPr>
      </w:pPr>
      <w:r>
        <w:t>The proportion of residents reporting "</w:t>
      </w:r>
      <w:r w:rsidR="00DA12B4">
        <w:t>n</w:t>
      </w:r>
      <w:r>
        <w:t xml:space="preserve">o religion" rose significantly from 24.6% to 32.5%, though this remains lower than the national average of 36.7%. </w:t>
      </w:r>
    </w:p>
    <w:p w14:paraId="561AB243" w14:textId="12B4B595" w:rsidR="00090627" w:rsidRDefault="000C58D6" w:rsidP="00B80EAF">
      <w:pPr>
        <w:pStyle w:val="ListParagraph"/>
        <w:numPr>
          <w:ilvl w:val="1"/>
          <w:numId w:val="4"/>
        </w:numPr>
      </w:pPr>
      <w:r>
        <w:t xml:space="preserve">Christianity remains the most reported religion, with 46.3% identifying as Christian in 2021, a decrease from 56.7% in 2011. </w:t>
      </w:r>
    </w:p>
    <w:p w14:paraId="7D52AFDD" w14:textId="77777777" w:rsidR="00D97444" w:rsidRDefault="000C58D6" w:rsidP="00B80EAF">
      <w:pPr>
        <w:pStyle w:val="ListParagraph"/>
        <w:numPr>
          <w:ilvl w:val="1"/>
          <w:numId w:val="4"/>
        </w:numPr>
      </w:pPr>
      <w:r>
        <w:t xml:space="preserve">The Muslim population </w:t>
      </w:r>
      <w:r w:rsidR="008D36EC">
        <w:t>is above national averages</w:t>
      </w:r>
      <w:r w:rsidR="00586C18">
        <w:t xml:space="preserve"> (6.7%)</w:t>
      </w:r>
      <w:r w:rsidR="008D36EC">
        <w:t xml:space="preserve"> and </w:t>
      </w:r>
      <w:r>
        <w:t xml:space="preserve">increased from 9.4% </w:t>
      </w:r>
      <w:r w:rsidR="00586C18">
        <w:t xml:space="preserve">in 2011 </w:t>
      </w:r>
      <w:r>
        <w:t>to 12.2%</w:t>
      </w:r>
      <w:r w:rsidR="00586C18">
        <w:t xml:space="preserve"> in 2021</w:t>
      </w:r>
      <w:r w:rsidR="00090627">
        <w:t>.</w:t>
      </w:r>
      <w:r>
        <w:t xml:space="preserve"> </w:t>
      </w:r>
    </w:p>
    <w:p w14:paraId="0F25F559" w14:textId="59960A75" w:rsidR="00D97444" w:rsidRDefault="00D97444" w:rsidP="00B80EAF">
      <w:pPr>
        <w:pStyle w:val="ListParagraph"/>
        <w:numPr>
          <w:ilvl w:val="0"/>
          <w:numId w:val="4"/>
        </w:numPr>
      </w:pPr>
      <w:r>
        <w:t xml:space="preserve">Peterborough's </w:t>
      </w:r>
      <w:r w:rsidRPr="00A3630F">
        <w:rPr>
          <w:b/>
          <w:bCs/>
        </w:rPr>
        <w:t>linguistic diversity</w:t>
      </w:r>
      <w:r>
        <w:t xml:space="preserve"> reflects </w:t>
      </w:r>
      <w:r w:rsidR="00C122A7">
        <w:t>a</w:t>
      </w:r>
      <w:r>
        <w:t xml:space="preserve"> multicultural population. While English remains the primary language for 80.05% of residents aged three and over, a significant proportion speak other languages</w:t>
      </w:r>
      <w:r w:rsidR="00C122A7">
        <w:t>:</w:t>
      </w:r>
    </w:p>
    <w:p w14:paraId="3266E36E" w14:textId="77777777" w:rsidR="00C122A7" w:rsidRDefault="00D97444" w:rsidP="00B80EAF">
      <w:pPr>
        <w:pStyle w:val="ListParagraph"/>
        <w:numPr>
          <w:ilvl w:val="1"/>
          <w:numId w:val="4"/>
        </w:numPr>
      </w:pPr>
      <w:r>
        <w:t>Polish (3.62%) and Lithuanian (3.24%) are the most common non-English languages, followed by Portuguese (1.79%), Romanian (1.72%), and Urdu (1.19%).</w:t>
      </w:r>
    </w:p>
    <w:p w14:paraId="759CCF28" w14:textId="35B66C56" w:rsidR="00D97444" w:rsidRDefault="00D97444" w:rsidP="00B80EAF">
      <w:pPr>
        <w:pStyle w:val="ListParagraph"/>
        <w:numPr>
          <w:ilvl w:val="1"/>
          <w:numId w:val="4"/>
        </w:numPr>
      </w:pPr>
      <w:r>
        <w:t xml:space="preserve">A notable proportion of </w:t>
      </w:r>
      <w:proofErr w:type="gramStart"/>
      <w:r>
        <w:t>residents</w:t>
      </w:r>
      <w:proofErr w:type="gramEnd"/>
      <w:r>
        <w:t xml:space="preserve"> experience language barriers, with 19.4% reporting that they cannot speak English well and 3.3% unable to speak English at all.</w:t>
      </w:r>
    </w:p>
    <w:p w14:paraId="07F87426" w14:textId="0A03B561" w:rsidR="009247BE" w:rsidRDefault="00E16174" w:rsidP="00D97444">
      <w:r w:rsidRPr="00E16174">
        <w:t>Th</w:t>
      </w:r>
      <w:r w:rsidR="001403AE">
        <w:t xml:space="preserve">is </w:t>
      </w:r>
      <w:r w:rsidRPr="00E16174">
        <w:t>highlight</w:t>
      </w:r>
      <w:r w:rsidR="001403AE">
        <w:t>s</w:t>
      </w:r>
      <w:r w:rsidRPr="00E16174">
        <w:t xml:space="preserve"> the importance of tailoring support services to meet the needs of Peterborough's increasingly diverse population.</w:t>
      </w:r>
    </w:p>
    <w:p w14:paraId="41F00B68" w14:textId="77777777" w:rsidR="008D36EC" w:rsidRDefault="008D36EC" w:rsidP="00032EB5"/>
    <w:p w14:paraId="285917C5" w14:textId="4C966527" w:rsidR="00533264" w:rsidRDefault="00533264" w:rsidP="00533264">
      <w:pPr>
        <w:pStyle w:val="Heading4"/>
      </w:pPr>
      <w:r>
        <w:t>Socioeconomic Status</w:t>
      </w:r>
    </w:p>
    <w:p w14:paraId="378514D6" w14:textId="26AA3117" w:rsidR="00E16174" w:rsidRDefault="00DE4C9B" w:rsidP="00032EB5">
      <w:r>
        <w:t>The Index of Multiple Deprivation ranks areas in England b</w:t>
      </w:r>
      <w:r w:rsidR="00E26DFE">
        <w:t>y measure</w:t>
      </w:r>
      <w:r>
        <w:t>s</w:t>
      </w:r>
      <w:r w:rsidR="00E26DFE">
        <w:t xml:space="preserve"> of relative deprivation</w:t>
      </w:r>
      <w:r w:rsidR="004D73C3">
        <w:t>, local authorities are ranked</w:t>
      </w:r>
      <w:r>
        <w:t xml:space="preserve"> from 1 (most deprived) to </w:t>
      </w:r>
      <w:r w:rsidR="001164C0">
        <w:t>317</w:t>
      </w:r>
      <w:r>
        <w:t xml:space="preserve"> (</w:t>
      </w:r>
      <w:r w:rsidR="004D73C3">
        <w:t>least deprived) and</w:t>
      </w:r>
      <w:r w:rsidR="00E26DFE">
        <w:t xml:space="preserve"> </w:t>
      </w:r>
      <w:r w:rsidR="002836CB">
        <w:t xml:space="preserve">Peterborough ranks 53rd, placing it in the </w:t>
      </w:r>
      <w:r w:rsidR="002836CB" w:rsidRPr="16F14F99">
        <w:rPr>
          <w:b/>
          <w:bCs/>
        </w:rPr>
        <w:t>second most deprived decile</w:t>
      </w:r>
      <w:r w:rsidR="002836CB">
        <w:t xml:space="preserve">. Certain communities in </w:t>
      </w:r>
      <w:r w:rsidR="002836CB">
        <w:lastRenderedPageBreak/>
        <w:t xml:space="preserve">Peterborough experience concentrated areas of deprivation, as shown in </w:t>
      </w:r>
      <w:r w:rsidR="008D36EC">
        <w:t>F</w:t>
      </w:r>
      <w:r w:rsidR="002836CB">
        <w:t xml:space="preserve">igure </w:t>
      </w:r>
      <w:r w:rsidR="00CB5240">
        <w:t>5</w:t>
      </w:r>
      <w:r w:rsidR="008D36EC">
        <w:t>.1</w:t>
      </w:r>
      <w:r w:rsidR="00CB5240">
        <w:t>b</w:t>
      </w:r>
      <w:r w:rsidR="002836CB">
        <w:t>. Deprivation can impact employment and education, which in turn can increase the likelihood of risk factors associated with substance misuse, such as heightened stress, mental health issues, and limited access to social support networks.</w:t>
      </w:r>
    </w:p>
    <w:p w14:paraId="5BA504F9" w14:textId="0E832D0F" w:rsidR="00514265" w:rsidRDefault="00D6018B" w:rsidP="008D36EC">
      <w:pPr>
        <w:pStyle w:val="Heading6"/>
      </w:pPr>
      <w:r w:rsidRPr="00D6018B">
        <w:t xml:space="preserve">Figure </w:t>
      </w:r>
      <w:r w:rsidR="00CB5240">
        <w:t>5.1b</w:t>
      </w:r>
      <w:r w:rsidRPr="00D6018B">
        <w:t>. Overall authority rank and small measure heatmap of Peterborough by deprivation.</w:t>
      </w:r>
    </w:p>
    <w:p w14:paraId="0F4ED28B" w14:textId="5E030F30" w:rsidR="00D6018B" w:rsidRDefault="009A4F80" w:rsidP="00032EB5">
      <w:r w:rsidRPr="00E65D1C">
        <w:rPr>
          <w:noProof/>
        </w:rPr>
        <w:drawing>
          <wp:inline distT="0" distB="0" distL="0" distR="0" wp14:anchorId="366A99ED" wp14:editId="11A2DB83">
            <wp:extent cx="5731510" cy="2811145"/>
            <wp:effectExtent l="0" t="0" r="2540" b="8255"/>
            <wp:docPr id="1658842692" name="Picture 1"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42692" name="Picture 1" descr="A map of different colored areas&#10;&#10;Description automatically generated"/>
                    <pic:cNvPicPr/>
                  </pic:nvPicPr>
                  <pic:blipFill>
                    <a:blip r:embed="rId18"/>
                    <a:stretch>
                      <a:fillRect/>
                    </a:stretch>
                  </pic:blipFill>
                  <pic:spPr>
                    <a:xfrm>
                      <a:off x="0" y="0"/>
                      <a:ext cx="5731510" cy="2811145"/>
                    </a:xfrm>
                    <a:prstGeom prst="rect">
                      <a:avLst/>
                    </a:prstGeom>
                  </pic:spPr>
                </pic:pic>
              </a:graphicData>
            </a:graphic>
          </wp:inline>
        </w:drawing>
      </w:r>
    </w:p>
    <w:p w14:paraId="2F792432" w14:textId="5A666587" w:rsidR="008D36EC" w:rsidRPr="008D36EC" w:rsidRDefault="008D36EC" w:rsidP="00032EB5">
      <w:pPr>
        <w:rPr>
          <w:sz w:val="20"/>
          <w:szCs w:val="20"/>
        </w:rPr>
      </w:pPr>
      <w:r w:rsidRPr="008D36EC">
        <w:rPr>
          <w:sz w:val="20"/>
          <w:szCs w:val="20"/>
        </w:rPr>
        <w:t xml:space="preserve">Source: </w:t>
      </w:r>
      <w:r w:rsidR="00C06468">
        <w:rPr>
          <w:sz w:val="20"/>
          <w:szCs w:val="20"/>
        </w:rPr>
        <w:t>Consumer Data Research Centre</w:t>
      </w:r>
      <w:r w:rsidR="00E06B50">
        <w:rPr>
          <w:rStyle w:val="FootnoteReference"/>
          <w:sz w:val="20"/>
          <w:szCs w:val="20"/>
        </w:rPr>
        <w:footnoteReference w:id="13"/>
      </w:r>
      <w:r w:rsidR="00C06468">
        <w:rPr>
          <w:sz w:val="20"/>
          <w:szCs w:val="20"/>
        </w:rPr>
        <w:t xml:space="preserve"> </w:t>
      </w:r>
    </w:p>
    <w:p w14:paraId="410C828E" w14:textId="3F0BD24D" w:rsidR="00C06468" w:rsidRDefault="00C06468" w:rsidP="00C06468">
      <w:pPr>
        <w:pStyle w:val="Heading4"/>
      </w:pPr>
      <w:r>
        <w:t>Other Demographics</w:t>
      </w:r>
    </w:p>
    <w:p w14:paraId="58542C83" w14:textId="6C8AD8CC" w:rsidR="00B6758A" w:rsidRDefault="00B6758A" w:rsidP="00032EB5">
      <w:r w:rsidRPr="00B6758A">
        <w:t xml:space="preserve">Awareness of Peterborough’s demographic profile by </w:t>
      </w:r>
      <w:r w:rsidR="00C06468">
        <w:t xml:space="preserve">other </w:t>
      </w:r>
      <w:r w:rsidRPr="00B6758A">
        <w:t>characteristics enables targeted, equitable interventions tailored to the diverse needs within Peterborough.</w:t>
      </w:r>
    </w:p>
    <w:p w14:paraId="3AC15391" w14:textId="77777777" w:rsidR="00533264" w:rsidRPr="00C06468" w:rsidRDefault="00533264" w:rsidP="00C06468">
      <w:pPr>
        <w:rPr>
          <w:b/>
          <w:bCs/>
        </w:rPr>
      </w:pPr>
      <w:r w:rsidRPr="00C06468">
        <w:rPr>
          <w:b/>
          <w:bCs/>
        </w:rPr>
        <w:t>Disability</w:t>
      </w:r>
    </w:p>
    <w:p w14:paraId="25AFB90B" w14:textId="23700186" w:rsidR="00533264" w:rsidRPr="00533264" w:rsidRDefault="00533264" w:rsidP="00533264">
      <w:r w:rsidRPr="00533264">
        <w:t>In the 2021 Census</w:t>
      </w:r>
      <w:r w:rsidR="00C66C0F">
        <w:t xml:space="preserve">, </w:t>
      </w:r>
      <w:r w:rsidR="00C66C0F" w:rsidRPr="00533264">
        <w:t xml:space="preserve">81.7% of Peterborough residents were </w:t>
      </w:r>
      <w:r w:rsidR="00CF636E">
        <w:t xml:space="preserve">identified as </w:t>
      </w:r>
      <w:r w:rsidR="00C66C0F" w:rsidRPr="00533264">
        <w:t>not disabled</w:t>
      </w:r>
      <w:r w:rsidR="00C66C0F">
        <w:t xml:space="preserve">, </w:t>
      </w:r>
      <w:r w:rsidR="00C66C0F" w:rsidRPr="00533264">
        <w:t>10.4%</w:t>
      </w:r>
      <w:r w:rsidR="00CF636E">
        <w:t xml:space="preserve"> of people </w:t>
      </w:r>
      <w:r w:rsidR="00C66C0F" w:rsidRPr="00533264">
        <w:t xml:space="preserve">were identified as being </w:t>
      </w:r>
      <w:r w:rsidR="00802AA4">
        <w:t>‘</w:t>
      </w:r>
      <w:r w:rsidR="00C66C0F" w:rsidRPr="00533264">
        <w:t>disabled and limited a little</w:t>
      </w:r>
      <w:r w:rsidR="00802AA4">
        <w:t>’</w:t>
      </w:r>
      <w:r w:rsidR="00CF636E">
        <w:t xml:space="preserve"> and </w:t>
      </w:r>
      <w:r w:rsidRPr="00533264">
        <w:t xml:space="preserve">7.9% of Peterborough residents were identified as being </w:t>
      </w:r>
      <w:r w:rsidR="00802AA4">
        <w:t>‘</w:t>
      </w:r>
      <w:r w:rsidRPr="00533264">
        <w:t>disabled and limited a lot</w:t>
      </w:r>
      <w:r w:rsidR="00802AA4">
        <w:t>’</w:t>
      </w:r>
      <w:r w:rsidRPr="00533264">
        <w:t>. Across England, this proportion is similar, at 7.5%.</w:t>
      </w:r>
    </w:p>
    <w:p w14:paraId="615AACE4" w14:textId="279E0467" w:rsidR="00533264" w:rsidRPr="00C06468" w:rsidRDefault="00533264" w:rsidP="00C06468">
      <w:pPr>
        <w:rPr>
          <w:b/>
          <w:bCs/>
        </w:rPr>
      </w:pPr>
      <w:r w:rsidRPr="00C06468">
        <w:rPr>
          <w:b/>
          <w:bCs/>
        </w:rPr>
        <w:t xml:space="preserve">Sexual </w:t>
      </w:r>
      <w:r w:rsidR="00C06468" w:rsidRPr="00C06468">
        <w:rPr>
          <w:b/>
          <w:bCs/>
        </w:rPr>
        <w:t>O</w:t>
      </w:r>
      <w:r w:rsidRPr="00C06468">
        <w:rPr>
          <w:b/>
          <w:bCs/>
        </w:rPr>
        <w:t>rientation</w:t>
      </w:r>
    </w:p>
    <w:p w14:paraId="28718FEA" w14:textId="6560BD35" w:rsidR="00C06468" w:rsidRDefault="00533264" w:rsidP="00C06468">
      <w:r w:rsidRPr="00533264">
        <w:t xml:space="preserve">In Peterborough, </w:t>
      </w:r>
      <w:proofErr w:type="gramStart"/>
      <w:r w:rsidRPr="00533264">
        <w:t>the majority of</w:t>
      </w:r>
      <w:proofErr w:type="gramEnd"/>
      <w:r w:rsidRPr="00533264">
        <w:t xml:space="preserve"> residents, </w:t>
      </w:r>
      <w:r w:rsidRPr="00F025DC">
        <w:rPr>
          <w:b/>
          <w:bCs/>
        </w:rPr>
        <w:t xml:space="preserve">89.18%, identified as straight or heterosexual </w:t>
      </w:r>
      <w:r w:rsidRPr="00533264">
        <w:t xml:space="preserve">in the 2021 Census. </w:t>
      </w:r>
      <w:r w:rsidR="00DF48E9">
        <w:t xml:space="preserve">People identifying with other </w:t>
      </w:r>
      <w:r w:rsidR="00DF48E9" w:rsidRPr="00997650">
        <w:rPr>
          <w:b/>
          <w:bCs/>
        </w:rPr>
        <w:t>sexual orientations</w:t>
      </w:r>
      <w:r w:rsidR="00DF48E9">
        <w:t xml:space="preserve"> </w:t>
      </w:r>
      <w:r w:rsidR="0019310B">
        <w:t>are a diverse group</w:t>
      </w:r>
      <w:r w:rsidR="00040B3C">
        <w:t xml:space="preserve">, but </w:t>
      </w:r>
      <w:r w:rsidR="00C06468" w:rsidRPr="00533264">
        <w:t xml:space="preserve">some data sources aggregate </w:t>
      </w:r>
      <w:proofErr w:type="gramStart"/>
      <w:r w:rsidR="00A339FA">
        <w:t>th</w:t>
      </w:r>
      <w:r w:rsidR="00997650">
        <w:t>is</w:t>
      </w:r>
      <w:r w:rsidR="00A339FA">
        <w:rPr>
          <w:b/>
          <w:bCs/>
        </w:rPr>
        <w:t xml:space="preserve"> </w:t>
      </w:r>
      <w:r w:rsidR="00C06468" w:rsidRPr="00A339FA">
        <w:t>categories</w:t>
      </w:r>
      <w:proofErr w:type="gramEnd"/>
      <w:r w:rsidR="00C06468" w:rsidRPr="00533264">
        <w:t xml:space="preserve"> without further breakdown</w:t>
      </w:r>
      <w:r w:rsidR="00040B3C">
        <w:t xml:space="preserve">, so the overall proportion </w:t>
      </w:r>
      <w:r w:rsidR="00040B3C" w:rsidRPr="00533264">
        <w:t>can be a useful reference point</w:t>
      </w:r>
      <w:r w:rsidR="00040B3C">
        <w:t>, which was</w:t>
      </w:r>
      <w:r w:rsidR="00040B3C" w:rsidRPr="00533264">
        <w:t xml:space="preserve"> </w:t>
      </w:r>
      <w:r w:rsidR="00C06468" w:rsidRPr="00F025DC">
        <w:rPr>
          <w:b/>
          <w:bCs/>
        </w:rPr>
        <w:t>2.72%.</w:t>
      </w:r>
      <w:r w:rsidR="00C06468" w:rsidRPr="00533264">
        <w:t xml:space="preserve"> </w:t>
      </w:r>
      <w:r w:rsidR="00C06468">
        <w:t>Th</w:t>
      </w:r>
      <w:r w:rsidR="00040B3C">
        <w:t xml:space="preserve">is includes </w:t>
      </w:r>
      <w:r w:rsidRPr="00533264">
        <w:t>1.13% identify</w:t>
      </w:r>
      <w:r w:rsidR="00040B3C">
        <w:t>ing</w:t>
      </w:r>
      <w:r w:rsidRPr="00533264">
        <w:t xml:space="preserve"> as gay or lesbian, 1.17% as bisexual, 0.32% as pansexual, 0.06% as asexual, and 0.01% as queer. An additional 0.03% identify with other sexual orientations, while 8.09% of respondents chose not to disclose their sexual orientation</w:t>
      </w:r>
      <w:r w:rsidR="00C06468">
        <w:t>.</w:t>
      </w:r>
    </w:p>
    <w:p w14:paraId="62ED7562" w14:textId="1BE69735" w:rsidR="00A630F3" w:rsidRDefault="00A630F3" w:rsidP="00C06468">
      <w:r>
        <w:lastRenderedPageBreak/>
        <w:t xml:space="preserve">A survey of over 2000 </w:t>
      </w:r>
      <w:r w:rsidRPr="00F025DC">
        <w:rPr>
          <w:b/>
          <w:bCs/>
        </w:rPr>
        <w:t>children</w:t>
      </w:r>
      <w:r>
        <w:t xml:space="preserve"> aged 12-15 </w:t>
      </w:r>
      <w:r w:rsidR="0070042B">
        <w:t xml:space="preserve">was conducted through schools in Peterborough, which found that a </w:t>
      </w:r>
      <w:r w:rsidR="0070042B" w:rsidRPr="00F025DC">
        <w:rPr>
          <w:b/>
          <w:bCs/>
        </w:rPr>
        <w:t>higher proportion</w:t>
      </w:r>
      <w:r w:rsidR="00503731" w:rsidRPr="00503731">
        <w:t xml:space="preserve"> </w:t>
      </w:r>
      <w:r w:rsidR="00503731">
        <w:t xml:space="preserve">of young people surveyed </w:t>
      </w:r>
      <w:r w:rsidR="0070042B">
        <w:t xml:space="preserve">described their sexual orientation </w:t>
      </w:r>
      <w:r>
        <w:t>as gay, lesbian, bisexual or other</w:t>
      </w:r>
      <w:r w:rsidR="0070042B">
        <w:t xml:space="preserve"> </w:t>
      </w:r>
      <w:r w:rsidR="00503731">
        <w:t xml:space="preserve">at </w:t>
      </w:r>
      <w:r w:rsidR="00503731" w:rsidRPr="00F025DC">
        <w:rPr>
          <w:b/>
          <w:bCs/>
        </w:rPr>
        <w:t>7.8%</w:t>
      </w:r>
      <w:r w:rsidR="00503731">
        <w:t xml:space="preserve"> in 2024</w:t>
      </w:r>
      <w:bookmarkStart w:id="39" w:name="_Ref196744295"/>
      <w:r w:rsidR="00EE1B47">
        <w:rPr>
          <w:rStyle w:val="FootnoteReference"/>
        </w:rPr>
        <w:footnoteReference w:id="14"/>
      </w:r>
      <w:bookmarkEnd w:id="39"/>
      <w:r>
        <w:t>.</w:t>
      </w:r>
    </w:p>
    <w:p w14:paraId="6EA7951F" w14:textId="7AE21040" w:rsidR="00533264" w:rsidRPr="00533264" w:rsidRDefault="00533264" w:rsidP="00533264">
      <w:r w:rsidRPr="00533264">
        <w:t xml:space="preserve">It is important to note that that self-reported data may under-represent </w:t>
      </w:r>
      <w:r w:rsidR="00620381">
        <w:t xml:space="preserve">minority </w:t>
      </w:r>
      <w:r w:rsidR="008247B0">
        <w:t xml:space="preserve">sexual </w:t>
      </w:r>
      <w:r w:rsidR="00620381">
        <w:t xml:space="preserve">orientations </w:t>
      </w:r>
      <w:r w:rsidRPr="00533264">
        <w:t>due to social and privacy concerns, as well as potential methodological limitations in survey design and response accuracy</w:t>
      </w:r>
      <w:r w:rsidR="00E06B50">
        <w:rPr>
          <w:rStyle w:val="FootnoteReference"/>
        </w:rPr>
        <w:footnoteReference w:id="15"/>
      </w:r>
      <w:r w:rsidR="00E06B50">
        <w:t>.</w:t>
      </w:r>
    </w:p>
    <w:p w14:paraId="2E10AE7D" w14:textId="77777777" w:rsidR="00533264" w:rsidRPr="00C06468" w:rsidRDefault="00533264" w:rsidP="00C06468">
      <w:r w:rsidRPr="00C06468">
        <w:rPr>
          <w:b/>
          <w:bCs/>
        </w:rPr>
        <w:t>Gender</w:t>
      </w:r>
    </w:p>
    <w:p w14:paraId="04632636" w14:textId="3FED92A3" w:rsidR="00040B3C" w:rsidRDefault="00533264" w:rsidP="00533264">
      <w:r w:rsidRPr="00533264">
        <w:t xml:space="preserve">Census data from 2021 on </w:t>
      </w:r>
      <w:r w:rsidRPr="00EB6540">
        <w:rPr>
          <w:b/>
          <w:bCs/>
        </w:rPr>
        <w:t>gender identity</w:t>
      </w:r>
      <w:r w:rsidRPr="00533264">
        <w:t xml:space="preserve"> indicates that in Peterborough </w:t>
      </w:r>
      <w:proofErr w:type="gramStart"/>
      <w:r w:rsidRPr="00533264">
        <w:t>the majority of</w:t>
      </w:r>
      <w:proofErr w:type="gramEnd"/>
      <w:r w:rsidRPr="00533264">
        <w:t xml:space="preserve"> residents, 9</w:t>
      </w:r>
      <w:r w:rsidR="00A5004E">
        <w:t>2.0</w:t>
      </w:r>
      <w:r w:rsidRPr="00533264">
        <w:t>%, identify with the same gender as their sex registered at birth. Approximately 0.9% of the population identifies differently (including trans woman, trans man, all other gender identities and not specified). 7</w:t>
      </w:r>
      <w:r w:rsidR="00A5004E">
        <w:t>.0</w:t>
      </w:r>
      <w:r w:rsidRPr="00533264">
        <w:t>% chose not to answer this question</w:t>
      </w:r>
      <w:r w:rsidR="00E06B50">
        <w:rPr>
          <w:rStyle w:val="FootnoteReference"/>
        </w:rPr>
        <w:footnoteReference w:id="16"/>
      </w:r>
      <w:r w:rsidRPr="00533264">
        <w:t xml:space="preserve">. </w:t>
      </w:r>
    </w:p>
    <w:p w14:paraId="7A8165F4" w14:textId="3C963BE9" w:rsidR="00A630F3" w:rsidRDefault="0070042B" w:rsidP="00533264">
      <w:r>
        <w:t xml:space="preserve">The local school survey mentioned above also </w:t>
      </w:r>
      <w:r w:rsidR="00A630F3">
        <w:t xml:space="preserve">found </w:t>
      </w:r>
      <w:r w:rsidR="00A630F3" w:rsidRPr="00EB6540">
        <w:rPr>
          <w:b/>
          <w:bCs/>
        </w:rPr>
        <w:t>higher numbers of gender diversity</w:t>
      </w:r>
      <w:r w:rsidR="00A630F3">
        <w:t xml:space="preserve"> in 2024 for </w:t>
      </w:r>
      <w:r w:rsidR="00A630F3" w:rsidRPr="00EB6540">
        <w:rPr>
          <w:b/>
          <w:bCs/>
        </w:rPr>
        <w:t>young people</w:t>
      </w:r>
      <w:r w:rsidR="00A630F3">
        <w:t>, with 2.4% describing themselves as trans/transgender or gender diverse</w:t>
      </w:r>
      <w:r w:rsidR="00EE118C">
        <w:fldChar w:fldCharType="begin"/>
      </w:r>
      <w:r w:rsidR="00EE118C">
        <w:instrText xml:space="preserve"> NOTEREF  _Ref196744295 \f \h </w:instrText>
      </w:r>
      <w:r w:rsidR="00EE118C">
        <w:fldChar w:fldCharType="separate"/>
      </w:r>
      <w:r w:rsidR="00EE118C" w:rsidRPr="00EE118C">
        <w:rPr>
          <w:rStyle w:val="FootnoteReference"/>
        </w:rPr>
        <w:t>12</w:t>
      </w:r>
      <w:r w:rsidR="00EE118C">
        <w:fldChar w:fldCharType="end"/>
      </w:r>
      <w:r w:rsidR="00A630F3">
        <w:t>.</w:t>
      </w:r>
    </w:p>
    <w:p w14:paraId="5102BE5C" w14:textId="4BD6A41F" w:rsidR="00533264" w:rsidRDefault="00533264" w:rsidP="00533264">
      <w:r w:rsidRPr="00533264">
        <w:t>It is important to recognise that self-reported data on gender identity is also subject to similar methodological concerns as those observed with sexuality. Factors such as stigma, societal pressures, and the sensitivity surrounding gender identity can influence individuals' willingness to disclose their information, potentially leading to an underestimation of the diverse gender identities within the population.</w:t>
      </w:r>
    </w:p>
    <w:p w14:paraId="6020C7AC" w14:textId="77777777" w:rsidR="00DC095C" w:rsidRPr="00533264" w:rsidRDefault="00DC095C" w:rsidP="00533264"/>
    <w:p w14:paraId="7855E784" w14:textId="0E549DEC" w:rsidR="004908FD" w:rsidRPr="004908FD" w:rsidRDefault="00EE0BAD" w:rsidP="00200B24">
      <w:pPr>
        <w:pStyle w:val="Heading2"/>
      </w:pPr>
      <w:bookmarkStart w:id="40" w:name="_Toc200479478"/>
      <w:r>
        <w:t xml:space="preserve">Peterborough; </w:t>
      </w:r>
      <w:r w:rsidR="00B844AF">
        <w:t>Drugs</w:t>
      </w:r>
      <w:bookmarkEnd w:id="40"/>
    </w:p>
    <w:p w14:paraId="55B4E369" w14:textId="77777777" w:rsidR="002150F1" w:rsidRDefault="002150F1" w:rsidP="00EE708D">
      <w:pPr>
        <w:pStyle w:val="Heading3"/>
      </w:pPr>
      <w:bookmarkStart w:id="41" w:name="_Toc200479479"/>
      <w:r w:rsidRPr="002150F1">
        <w:t>Prevalence</w:t>
      </w:r>
      <w:bookmarkEnd w:id="41"/>
    </w:p>
    <w:tbl>
      <w:tblPr>
        <w:tblStyle w:val="TableGrid"/>
        <w:tblW w:w="9037" w:type="dxa"/>
        <w:tblLook w:val="04A0" w:firstRow="1" w:lastRow="0" w:firstColumn="1" w:lastColumn="0" w:noHBand="0" w:noVBand="1"/>
      </w:tblPr>
      <w:tblGrid>
        <w:gridCol w:w="9037"/>
      </w:tblGrid>
      <w:tr w:rsidR="00777E93" w14:paraId="3E681F11" w14:textId="77777777" w:rsidTr="16F14F99">
        <w:trPr>
          <w:trHeight w:val="1319"/>
        </w:trPr>
        <w:tc>
          <w:tcPr>
            <w:tcW w:w="9037" w:type="dxa"/>
            <w:vAlign w:val="center"/>
          </w:tcPr>
          <w:p w14:paraId="72BFAD4C" w14:textId="0FE82A38" w:rsidR="00777E93" w:rsidRDefault="2789BDFA" w:rsidP="003307A7">
            <w:bookmarkStart w:id="42" w:name="_Hlk190358155"/>
            <w:r>
              <w:rPr>
                <w:b/>
                <w:bCs/>
              </w:rPr>
              <w:t>Key</w:t>
            </w:r>
            <w:r w:rsidRPr="002554DD">
              <w:rPr>
                <w:b/>
                <w:bCs/>
              </w:rPr>
              <w:t xml:space="preserve"> National Figure:</w:t>
            </w:r>
            <w:r>
              <w:t xml:space="preserve"> </w:t>
            </w:r>
            <w:r w:rsidRPr="004E32A7">
              <w:t xml:space="preserve">The most recent comprehensive data on drug dependence </w:t>
            </w:r>
            <w:r>
              <w:t xml:space="preserve">is over 10 years old (2014) but </w:t>
            </w:r>
            <w:r w:rsidRPr="004E32A7">
              <w:t xml:space="preserve">reported </w:t>
            </w:r>
            <w:r w:rsidRPr="00EB6540">
              <w:rPr>
                <w:b/>
                <w:bCs/>
              </w:rPr>
              <w:t>that 3.1% of people aged 16 years or over showed signs of drug dependence</w:t>
            </w:r>
            <w:r w:rsidRPr="004E32A7">
              <w:t>. This included 2.3% who were dependent on cannabis only, and 0.8% who were dependent on other drugs</w:t>
            </w:r>
            <w:r w:rsidR="00E06B50">
              <w:rPr>
                <w:rStyle w:val="FootnoteReference"/>
              </w:rPr>
              <w:footnoteReference w:id="17"/>
            </w:r>
            <w:r w:rsidRPr="004E32A7">
              <w:t xml:space="preserve">. </w:t>
            </w:r>
          </w:p>
        </w:tc>
      </w:tr>
      <w:bookmarkEnd w:id="42"/>
    </w:tbl>
    <w:p w14:paraId="7EDFEFE4" w14:textId="77777777" w:rsidR="00DA12B4" w:rsidRPr="00DA12B4" w:rsidRDefault="00DA12B4" w:rsidP="00DA12B4"/>
    <w:p w14:paraId="63B32C62" w14:textId="0985A77B" w:rsidR="00C11F9B" w:rsidRDefault="00C93A62" w:rsidP="00C93A62">
      <w:r w:rsidRPr="00C93A62">
        <w:t xml:space="preserve">This section </w:t>
      </w:r>
      <w:r w:rsidR="00040B3C">
        <w:t xml:space="preserve">presents prevalence estimates of drug misuse for substances </w:t>
      </w:r>
      <w:r w:rsidRPr="00C93A62">
        <w:t xml:space="preserve">with available national and local monitoring data, </w:t>
      </w:r>
      <w:r w:rsidR="00040B3C">
        <w:t xml:space="preserve">including data </w:t>
      </w:r>
      <w:r w:rsidRPr="00C93A62">
        <w:t>for adults</w:t>
      </w:r>
      <w:r w:rsidR="00040B3C">
        <w:t xml:space="preserve">, </w:t>
      </w:r>
      <w:r w:rsidRPr="00C93A62">
        <w:t>young people</w:t>
      </w:r>
      <w:r w:rsidR="00040B3C">
        <w:t xml:space="preserve"> and by </w:t>
      </w:r>
      <w:r w:rsidRPr="00C93A62">
        <w:t>demographic characteristics</w:t>
      </w:r>
      <w:r w:rsidR="00040B3C">
        <w:t xml:space="preserve"> where available.</w:t>
      </w:r>
      <w:r w:rsidRPr="00C93A62">
        <w:t xml:space="preserve"> </w:t>
      </w:r>
      <w:r w:rsidR="00C11F9B" w:rsidRPr="00C11F9B">
        <w:t>A significant portion of this data is sourced from the National Drug Treatment Monitoring System (NDTMS), which tracks individuals in treatment for drug misuse</w:t>
      </w:r>
      <w:r w:rsidR="00C11F9B">
        <w:t xml:space="preserve">. </w:t>
      </w:r>
    </w:p>
    <w:p w14:paraId="51D1B6CF" w14:textId="514874BC" w:rsidR="00040B3C" w:rsidRDefault="00040B3C" w:rsidP="00C93A62">
      <w:r>
        <w:lastRenderedPageBreak/>
        <w:t>D</w:t>
      </w:r>
      <w:r w:rsidR="00C93A62" w:rsidRPr="00C93A62">
        <w:t xml:space="preserve">ata over time </w:t>
      </w:r>
      <w:r>
        <w:t xml:space="preserve">provides insights into </w:t>
      </w:r>
      <w:r w:rsidR="00C93A62" w:rsidRPr="00C93A62">
        <w:t xml:space="preserve">changes in prevalence, and comparison with national figures </w:t>
      </w:r>
      <w:r>
        <w:t xml:space="preserve">are </w:t>
      </w:r>
      <w:r w:rsidR="00C93A62" w:rsidRPr="00C93A62">
        <w:t>made</w:t>
      </w:r>
      <w:r>
        <w:t xml:space="preserve"> to </w:t>
      </w:r>
      <w:r w:rsidR="00C93A62" w:rsidRPr="00C93A62">
        <w:t xml:space="preserve">offer a clearer picture of substance use patterns within our local context in </w:t>
      </w:r>
      <w:r w:rsidR="001305EB">
        <w:t>Peterborough</w:t>
      </w:r>
      <w:r w:rsidR="00C93A62" w:rsidRPr="00C93A62">
        <w:t>.</w:t>
      </w:r>
      <w:r>
        <w:t xml:space="preserve"> </w:t>
      </w:r>
    </w:p>
    <w:p w14:paraId="0FA6CEB2" w14:textId="546FBEDA" w:rsidR="00C93A62" w:rsidRDefault="00040B3C" w:rsidP="00C93A62">
      <w:r>
        <w:t xml:space="preserve">Many </w:t>
      </w:r>
      <w:r w:rsidRPr="00C93A62">
        <w:t xml:space="preserve">illicit substances </w:t>
      </w:r>
      <w:r>
        <w:t xml:space="preserve">lack </w:t>
      </w:r>
      <w:r w:rsidRPr="00C93A62">
        <w:t>reliable prevalence estimates</w:t>
      </w:r>
      <w:r>
        <w:t xml:space="preserve"> so cannot be included here.</w:t>
      </w:r>
    </w:p>
    <w:p w14:paraId="22449ECF" w14:textId="5DF9A4BC" w:rsidR="00AB7951" w:rsidRDefault="00AB7951" w:rsidP="00AB7951">
      <w:pPr>
        <w:pStyle w:val="Heading4"/>
      </w:pPr>
      <w:r>
        <w:t>Adults</w:t>
      </w:r>
    </w:p>
    <w:p w14:paraId="353722FA" w14:textId="05433CEC" w:rsidR="00AB7951" w:rsidRPr="00AB7951" w:rsidRDefault="009D0755" w:rsidP="00AB7951">
      <w:r>
        <w:t xml:space="preserve">Unless otherwise stated, </w:t>
      </w:r>
      <w:r w:rsidR="00E325F7">
        <w:t xml:space="preserve">the following data refers to </w:t>
      </w:r>
      <w:r>
        <w:t>adults</w:t>
      </w:r>
      <w:r w:rsidR="00E325F7">
        <w:t xml:space="preserve"> </w:t>
      </w:r>
      <w:r>
        <w:t>aged 18 or older</w:t>
      </w:r>
      <w:r w:rsidR="00E325F7">
        <w:t>.</w:t>
      </w:r>
    </w:p>
    <w:p w14:paraId="7A83E3B1" w14:textId="0513EFD0" w:rsidR="00000210" w:rsidRPr="00040B3C" w:rsidRDefault="00000210" w:rsidP="00040B3C">
      <w:pPr>
        <w:rPr>
          <w:b/>
          <w:bCs/>
        </w:rPr>
      </w:pPr>
      <w:r w:rsidRPr="00040B3C">
        <w:rPr>
          <w:b/>
          <w:bCs/>
        </w:rPr>
        <w:t>Opiates and Crack Cocaine</w:t>
      </w:r>
    </w:p>
    <w:p w14:paraId="6D77AD6B" w14:textId="366C039B" w:rsidR="00595B60" w:rsidRDefault="00000210" w:rsidP="00000210">
      <w:r>
        <w:t>Opiate and crack cocaine use</w:t>
      </w:r>
      <w:r w:rsidR="00C21865">
        <w:t xml:space="preserve"> (OCU)</w:t>
      </w:r>
      <w:r>
        <w:t xml:space="preserve"> is closely monitored due to the significant public health and societal impacts of the</w:t>
      </w:r>
      <w:r w:rsidR="007B3A3C">
        <w:t>ir</w:t>
      </w:r>
      <w:r>
        <w:t xml:space="preserve"> use.</w:t>
      </w:r>
      <w:r w:rsidR="00AF4863">
        <w:t xml:space="preserve"> </w:t>
      </w:r>
      <w:r w:rsidR="00490101">
        <w:t xml:space="preserve">Key data sources in England include </w:t>
      </w:r>
      <w:r w:rsidR="00C63176">
        <w:t xml:space="preserve">DA </w:t>
      </w:r>
      <w:r w:rsidR="00490101">
        <w:t>treatment services, hospital episode statistics, and criminal justice records.</w:t>
      </w:r>
      <w:r w:rsidR="00A74988">
        <w:t xml:space="preserve"> </w:t>
      </w:r>
      <w:r w:rsidR="00E4588E">
        <w:t xml:space="preserve">NDTMS </w:t>
      </w:r>
      <w:r w:rsidR="00A17CB5">
        <w:t xml:space="preserve">use </w:t>
      </w:r>
      <w:r w:rsidR="0077696F">
        <w:t>this data to derive</w:t>
      </w:r>
      <w:r w:rsidR="00E4588E">
        <w:t xml:space="preserve"> prevalence estimates</w:t>
      </w:r>
      <w:r w:rsidR="00CA18A5">
        <w:t>; t</w:t>
      </w:r>
      <w:r w:rsidR="00FF3F74">
        <w:t>he most recent estimates</w:t>
      </w:r>
      <w:r>
        <w:t xml:space="preserve"> are </w:t>
      </w:r>
      <w:r w:rsidR="00FF3F74">
        <w:t xml:space="preserve">from </w:t>
      </w:r>
      <w:proofErr w:type="gramStart"/>
      <w:r w:rsidR="00FF3F74">
        <w:t>2019-20, and</w:t>
      </w:r>
      <w:proofErr w:type="gramEnd"/>
      <w:r w:rsidR="00FF3F74">
        <w:t xml:space="preserve"> are </w:t>
      </w:r>
      <w:r w:rsidR="00E457D9">
        <w:t>presented</w:t>
      </w:r>
      <w:r w:rsidR="00E469EA">
        <w:t xml:space="preserve"> as</w:t>
      </w:r>
      <w:r w:rsidR="00E457D9">
        <w:t xml:space="preserve"> a total (OCU) </w:t>
      </w:r>
      <w:proofErr w:type="gramStart"/>
      <w:r w:rsidR="00E457D9">
        <w:t>and also</w:t>
      </w:r>
      <w:proofErr w:type="gramEnd"/>
      <w:r w:rsidR="00E457D9">
        <w:t xml:space="preserve"> </w:t>
      </w:r>
      <w:r>
        <w:t xml:space="preserve">categorised </w:t>
      </w:r>
      <w:r w:rsidR="00E457D9">
        <w:t xml:space="preserve">in three groups; </w:t>
      </w:r>
      <w:r w:rsidR="00564DFA">
        <w:t xml:space="preserve">users of </w:t>
      </w:r>
      <w:r w:rsidR="00C21865">
        <w:t>both substances</w:t>
      </w:r>
      <w:r w:rsidR="00564DFA">
        <w:t xml:space="preserve">, </w:t>
      </w:r>
      <w:r w:rsidR="00E457D9">
        <w:t xml:space="preserve">users </w:t>
      </w:r>
      <w:r w:rsidR="00564DFA">
        <w:t xml:space="preserve">of </w:t>
      </w:r>
      <w:r>
        <w:t>opiate-only</w:t>
      </w:r>
      <w:r w:rsidR="00564DFA">
        <w:t xml:space="preserve"> and </w:t>
      </w:r>
      <w:r w:rsidR="00E457D9">
        <w:t xml:space="preserve">users </w:t>
      </w:r>
      <w:r w:rsidR="00564DFA">
        <w:t>of</w:t>
      </w:r>
      <w:r>
        <w:t xml:space="preserve"> crack-only. </w:t>
      </w:r>
    </w:p>
    <w:p w14:paraId="61159B03" w14:textId="1A207D80" w:rsidR="004F349D" w:rsidRDefault="004F349D" w:rsidP="00000210">
      <w:r w:rsidRPr="004F349D">
        <w:t xml:space="preserve">Peterborough </w:t>
      </w:r>
      <w:r w:rsidR="00051A99">
        <w:t xml:space="preserve">is estimated to </w:t>
      </w:r>
      <w:r w:rsidRPr="004F349D">
        <w:t>ha</w:t>
      </w:r>
      <w:r w:rsidR="00051A99">
        <w:t>ve</w:t>
      </w:r>
      <w:r w:rsidRPr="004F349D">
        <w:t xml:space="preserve"> higher </w:t>
      </w:r>
      <w:r w:rsidRPr="005C192E">
        <w:rPr>
          <w:b/>
          <w:bCs/>
        </w:rPr>
        <w:t xml:space="preserve">overall </w:t>
      </w:r>
      <w:r w:rsidR="002F64C6" w:rsidRPr="005C192E">
        <w:rPr>
          <w:b/>
          <w:bCs/>
        </w:rPr>
        <w:t xml:space="preserve">OCU </w:t>
      </w:r>
      <w:r w:rsidRPr="005C192E">
        <w:rPr>
          <w:b/>
          <w:bCs/>
        </w:rPr>
        <w:t>(12.0 users per 1,000 people) compared to England (9.5 per 1,000)</w:t>
      </w:r>
      <w:r w:rsidRPr="004F349D">
        <w:t xml:space="preserve">. </w:t>
      </w:r>
      <w:r w:rsidR="006A7867">
        <w:t>P</w:t>
      </w:r>
      <w:r w:rsidR="00FB343E" w:rsidRPr="00FB343E">
        <w:t xml:space="preserve">revalence rates were highest for </w:t>
      </w:r>
      <w:r w:rsidR="00B85BF8">
        <w:t xml:space="preserve">use of </w:t>
      </w:r>
      <w:r w:rsidRPr="004F349D">
        <w:t>opiates-only and both opiates and crack (5.1 and 5.2 per 1000 respectively), with fewer</w:t>
      </w:r>
      <w:r w:rsidR="00B85BF8">
        <w:t xml:space="preserve"> estimated to be</w:t>
      </w:r>
      <w:r w:rsidRPr="004F349D">
        <w:t xml:space="preserve"> using crack-only (1.6 per 1000). The </w:t>
      </w:r>
      <w:r w:rsidR="00595B60" w:rsidRPr="004F349D">
        <w:t xml:space="preserve">biggest relative difference </w:t>
      </w:r>
      <w:r w:rsidR="00595B60">
        <w:t xml:space="preserve">in prevalence rates </w:t>
      </w:r>
      <w:r w:rsidR="00595B60" w:rsidRPr="004F349D">
        <w:t>compared to national averages</w:t>
      </w:r>
      <w:r w:rsidR="00595B60">
        <w:t xml:space="preserve"> was </w:t>
      </w:r>
      <w:r w:rsidR="00BD74AE">
        <w:t xml:space="preserve">for </w:t>
      </w:r>
      <w:r w:rsidR="00BD74AE" w:rsidRPr="00BD74AE">
        <w:t>use of both opiates and crack</w:t>
      </w:r>
      <w:r w:rsidRPr="004F349D">
        <w:t xml:space="preserve">, as shown in </w:t>
      </w:r>
      <w:r w:rsidR="00A03FC4">
        <w:t>F</w:t>
      </w:r>
      <w:r w:rsidRPr="004F349D">
        <w:t xml:space="preserve">igure </w:t>
      </w:r>
      <w:r w:rsidR="00A03FC4">
        <w:t>5</w:t>
      </w:r>
      <w:r w:rsidR="00595B60">
        <w:t>.2a</w:t>
      </w:r>
      <w:r w:rsidRPr="004F349D">
        <w:t>.</w:t>
      </w:r>
    </w:p>
    <w:p w14:paraId="21826C86" w14:textId="3B007457" w:rsidR="009F0B53" w:rsidRDefault="009F0B53" w:rsidP="00595B60">
      <w:pPr>
        <w:pStyle w:val="Heading6"/>
      </w:pPr>
      <w:r>
        <w:t xml:space="preserve">Figure </w:t>
      </w:r>
      <w:r w:rsidR="00A03FC4">
        <w:t>5</w:t>
      </w:r>
      <w:r w:rsidR="00595B60">
        <w:t>.2a</w:t>
      </w:r>
      <w:r>
        <w:t xml:space="preserve">. </w:t>
      </w:r>
      <w:r w:rsidRPr="00A8089E">
        <w:t>OCU prevalence rate per 1000 population</w:t>
      </w:r>
      <w:r>
        <w:t xml:space="preserve">, by substance type in </w:t>
      </w:r>
      <w:r w:rsidRPr="00817D18">
        <w:t xml:space="preserve">Peterborough </w:t>
      </w:r>
      <w:r>
        <w:t xml:space="preserve">and England </w:t>
      </w:r>
      <w:r w:rsidRPr="00C06CD9">
        <w:t>2016-17 to 2019-20</w:t>
      </w:r>
    </w:p>
    <w:p w14:paraId="238A14B7" w14:textId="2D11C99A" w:rsidR="009F0B53" w:rsidRDefault="00595B60" w:rsidP="009F0B53">
      <w:r w:rsidRPr="00595B60">
        <w:rPr>
          <w:noProof/>
        </w:rPr>
        <w:drawing>
          <wp:inline distT="0" distB="0" distL="0" distR="0" wp14:anchorId="1E6FD604" wp14:editId="5AA8B2ED">
            <wp:extent cx="5731510" cy="3528060"/>
            <wp:effectExtent l="0" t="0" r="2540" b="0"/>
            <wp:docPr id="530730427" name="Picture 33" descr="A screenshot of a graph&#10;&#10;Description automatically generated">
              <a:extLst xmlns:a="http://schemas.openxmlformats.org/drawingml/2006/main">
                <a:ext uri="{FF2B5EF4-FFF2-40B4-BE49-F238E27FC236}">
                  <a16:creationId xmlns:a16="http://schemas.microsoft.com/office/drawing/2014/main" id="{B346385A-95D4-699A-6AF8-01242F928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0427" name="Picture 33" descr="A screenshot of a graph&#10;&#10;Description automatically generated">
                      <a:extLst>
                        <a:ext uri="{FF2B5EF4-FFF2-40B4-BE49-F238E27FC236}">
                          <a16:creationId xmlns:a16="http://schemas.microsoft.com/office/drawing/2014/main" id="{B346385A-95D4-699A-6AF8-01242F92806C}"/>
                        </a:ext>
                      </a:extLst>
                    </pic:cNvPr>
                    <pic:cNvPicPr>
                      <a:picLocks noChangeAspect="1"/>
                    </pic:cNvPicPr>
                  </pic:nvPicPr>
                  <pic:blipFill>
                    <a:blip r:embed="rId19"/>
                    <a:stretch>
                      <a:fillRect/>
                    </a:stretch>
                  </pic:blipFill>
                  <pic:spPr>
                    <a:xfrm>
                      <a:off x="0" y="0"/>
                      <a:ext cx="5731510" cy="3528060"/>
                    </a:xfrm>
                    <a:prstGeom prst="rect">
                      <a:avLst/>
                    </a:prstGeom>
                  </pic:spPr>
                </pic:pic>
              </a:graphicData>
            </a:graphic>
          </wp:inline>
        </w:drawing>
      </w:r>
    </w:p>
    <w:p w14:paraId="32E6E2EB" w14:textId="1964AA89" w:rsidR="00595B60" w:rsidRPr="002012C0" w:rsidRDefault="00595B60" w:rsidP="009F0B53">
      <w:pPr>
        <w:rPr>
          <w:sz w:val="20"/>
          <w:szCs w:val="20"/>
        </w:rPr>
      </w:pPr>
      <w:r w:rsidRPr="002012C0">
        <w:rPr>
          <w:sz w:val="20"/>
          <w:szCs w:val="20"/>
        </w:rPr>
        <w:t>Source: NDTMS</w:t>
      </w:r>
      <w:r w:rsidR="00F95A26">
        <w:rPr>
          <w:sz w:val="20"/>
          <w:szCs w:val="20"/>
        </w:rPr>
        <w:t>.</w:t>
      </w:r>
    </w:p>
    <w:p w14:paraId="36E4C21E" w14:textId="7EACFBA1" w:rsidR="009F0B53" w:rsidRDefault="009F0B53" w:rsidP="009F0B53">
      <w:r w:rsidRPr="003D10DB">
        <w:t xml:space="preserve">Applying </w:t>
      </w:r>
      <w:r w:rsidR="002012C0">
        <w:t xml:space="preserve">this data </w:t>
      </w:r>
      <w:r w:rsidRPr="003D10DB">
        <w:t xml:space="preserve">to 2023 population estimates suggests </w:t>
      </w:r>
      <w:r w:rsidR="002012C0">
        <w:t xml:space="preserve">that there are </w:t>
      </w:r>
      <w:r w:rsidR="002012C0" w:rsidRPr="005C192E">
        <w:rPr>
          <w:b/>
          <w:bCs/>
        </w:rPr>
        <w:t>over 1500 adults</w:t>
      </w:r>
      <w:r w:rsidR="002012C0">
        <w:t xml:space="preserve"> using opiate and crack in Peterborough. This represents a</w:t>
      </w:r>
      <w:r w:rsidRPr="003D10DB">
        <w:t xml:space="preserve">n </w:t>
      </w:r>
      <w:r>
        <w:t>11</w:t>
      </w:r>
      <w:r w:rsidR="002012C0">
        <w:t>%</w:t>
      </w:r>
      <w:r w:rsidRPr="003D10DB">
        <w:t xml:space="preserve"> rise in service demand</w:t>
      </w:r>
      <w:r>
        <w:t xml:space="preserve"> </w:t>
      </w:r>
      <w:r w:rsidR="002012C0">
        <w:t xml:space="preserve">since 2020 </w:t>
      </w:r>
      <w:r>
        <w:t xml:space="preserve">due to population growth, as shown in </w:t>
      </w:r>
      <w:r w:rsidR="002012C0">
        <w:t>F</w:t>
      </w:r>
      <w:r>
        <w:t xml:space="preserve">igure </w:t>
      </w:r>
      <w:r w:rsidR="008A5852">
        <w:t>5</w:t>
      </w:r>
      <w:r w:rsidR="002012C0">
        <w:t>.2b</w:t>
      </w:r>
      <w:r>
        <w:t>.</w:t>
      </w:r>
    </w:p>
    <w:p w14:paraId="07954E78" w14:textId="6C3057B3" w:rsidR="00B534B6" w:rsidRPr="00654274" w:rsidRDefault="00B534B6" w:rsidP="002012C0">
      <w:pPr>
        <w:pStyle w:val="Heading6"/>
      </w:pPr>
      <w:r w:rsidRPr="007D2C98">
        <w:lastRenderedPageBreak/>
        <w:t xml:space="preserve">Figure </w:t>
      </w:r>
      <w:r w:rsidR="008A5852">
        <w:t>5</w:t>
      </w:r>
      <w:r w:rsidR="002012C0">
        <w:t>.2b</w:t>
      </w:r>
      <w:r w:rsidRPr="007D2C98">
        <w:t xml:space="preserve">. Predicted increase in OCU due to population growth in </w:t>
      </w:r>
      <w:r>
        <w:t>Peterborough</w:t>
      </w:r>
      <w:r w:rsidRPr="007D2C98">
        <w:t>.</w:t>
      </w:r>
    </w:p>
    <w:p w14:paraId="05F0134F" w14:textId="77777777" w:rsidR="00B534B6" w:rsidRDefault="00B534B6" w:rsidP="00B534B6">
      <w:r>
        <w:rPr>
          <w:noProof/>
        </w:rPr>
        <w:drawing>
          <wp:inline distT="0" distB="0" distL="0" distR="0" wp14:anchorId="425C1850" wp14:editId="6E768276">
            <wp:extent cx="5798820" cy="3193892"/>
            <wp:effectExtent l="0" t="0" r="0" b="6985"/>
            <wp:docPr id="1146590183"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90183" name="Picture 1" descr="A graph of numbers and a number of peopl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9880" cy="3199984"/>
                    </a:xfrm>
                    <a:prstGeom prst="rect">
                      <a:avLst/>
                    </a:prstGeom>
                    <a:noFill/>
                  </pic:spPr>
                </pic:pic>
              </a:graphicData>
            </a:graphic>
          </wp:inline>
        </w:drawing>
      </w:r>
    </w:p>
    <w:p w14:paraId="66217CA3" w14:textId="31043308" w:rsidR="00B534B6" w:rsidRPr="00904F0D" w:rsidRDefault="002012C0" w:rsidP="00B534B6">
      <w:pPr>
        <w:rPr>
          <w:sz w:val="20"/>
          <w:szCs w:val="20"/>
        </w:rPr>
      </w:pPr>
      <w:r>
        <w:rPr>
          <w:sz w:val="20"/>
          <w:szCs w:val="20"/>
        </w:rPr>
        <w:t>Source: NDTMS</w:t>
      </w:r>
      <w:r w:rsidR="00F95A26">
        <w:rPr>
          <w:sz w:val="20"/>
          <w:szCs w:val="20"/>
        </w:rPr>
        <w:t xml:space="preserve"> data</w:t>
      </w:r>
      <w:r>
        <w:rPr>
          <w:sz w:val="20"/>
          <w:szCs w:val="20"/>
        </w:rPr>
        <w:t>, population estimates from ONS.</w:t>
      </w:r>
    </w:p>
    <w:p w14:paraId="2DB7693C" w14:textId="77777777" w:rsidR="00B534B6" w:rsidRDefault="00B534B6" w:rsidP="00B534B6">
      <w:r>
        <w:t xml:space="preserve">This modelling should be considered with caution, as it does not account for any change in prevalence. </w:t>
      </w:r>
    </w:p>
    <w:p w14:paraId="704CEB7A" w14:textId="3D6A3972" w:rsidR="00B534B6" w:rsidRDefault="00B534B6" w:rsidP="00B534B6">
      <w:r>
        <w:t xml:space="preserve">Injecting drug use poses risks like blood-borne viruses and overdose. In 2019-20, Peterborough had a </w:t>
      </w:r>
      <w:r w:rsidRPr="16F14F99">
        <w:rPr>
          <w:b/>
          <w:bCs/>
        </w:rPr>
        <w:t xml:space="preserve">higher </w:t>
      </w:r>
      <w:r w:rsidR="00C80199" w:rsidRPr="16F14F99">
        <w:rPr>
          <w:b/>
          <w:bCs/>
        </w:rPr>
        <w:t xml:space="preserve">estimated </w:t>
      </w:r>
      <w:r w:rsidRPr="16F14F99">
        <w:rPr>
          <w:b/>
          <w:bCs/>
        </w:rPr>
        <w:t>proportion of current injectors</w:t>
      </w:r>
      <w:r>
        <w:t xml:space="preserve"> (25</w:t>
      </w:r>
      <w:r w:rsidR="00D76D52">
        <w:t>.2</w:t>
      </w:r>
      <w:r>
        <w:t>%</w:t>
      </w:r>
      <w:r w:rsidR="00F47D09">
        <w:t xml:space="preserve"> of </w:t>
      </w:r>
      <w:r w:rsidR="00E65684">
        <w:t xml:space="preserve">all </w:t>
      </w:r>
      <w:r w:rsidR="00F47D09">
        <w:t>OCU</w:t>
      </w:r>
      <w:r>
        <w:t xml:space="preserve">) compared to England (18.9%), with </w:t>
      </w:r>
      <w:r w:rsidR="00E65684">
        <w:t>a lower proportion</w:t>
      </w:r>
      <w:r>
        <w:t xml:space="preserve"> who had never injected (50</w:t>
      </w:r>
      <w:r w:rsidR="00E65684">
        <w:t>.4</w:t>
      </w:r>
      <w:r>
        <w:t>% vs. 56.8%)</w:t>
      </w:r>
      <w:r w:rsidR="002012C0">
        <w:t>.</w:t>
      </w:r>
      <w:r>
        <w:t xml:space="preserve"> </w:t>
      </w:r>
      <w:r w:rsidR="002012C0">
        <w:t xml:space="preserve">This </w:t>
      </w:r>
      <w:r>
        <w:t>suggest</w:t>
      </w:r>
      <w:r w:rsidR="002012C0">
        <w:t xml:space="preserve">s that there were </w:t>
      </w:r>
      <w:r w:rsidR="002012C0" w:rsidRPr="16F14F99">
        <w:rPr>
          <w:b/>
          <w:bCs/>
        </w:rPr>
        <w:t xml:space="preserve">over 400 injecting </w:t>
      </w:r>
      <w:r w:rsidR="000063DF" w:rsidRPr="16F14F99">
        <w:rPr>
          <w:b/>
          <w:bCs/>
        </w:rPr>
        <w:t>OCU</w:t>
      </w:r>
      <w:r w:rsidR="000063DF">
        <w:t xml:space="preserve"> in Peterborough in </w:t>
      </w:r>
      <w:r>
        <w:t xml:space="preserve">2023, underscoring the need for harm-reduction services like needle exchange and naloxone </w:t>
      </w:r>
      <w:r w:rsidR="00293DFA">
        <w:t xml:space="preserve">(overdose reversal) </w:t>
      </w:r>
      <w:r>
        <w:t>provision.</w:t>
      </w:r>
    </w:p>
    <w:p w14:paraId="11752CF8" w14:textId="77777777" w:rsidR="00B534B6" w:rsidRDefault="00B534B6" w:rsidP="00E06777"/>
    <w:p w14:paraId="395F122A" w14:textId="74C69FFE" w:rsidR="00322CCB" w:rsidRPr="002012C0" w:rsidRDefault="00FB0D4E" w:rsidP="002012C0">
      <w:pPr>
        <w:rPr>
          <w:b/>
          <w:bCs/>
        </w:rPr>
      </w:pPr>
      <w:r w:rsidRPr="002012C0">
        <w:rPr>
          <w:b/>
          <w:bCs/>
        </w:rPr>
        <w:t>Demographic Breakdown</w:t>
      </w:r>
    </w:p>
    <w:p w14:paraId="71444256" w14:textId="3BE87114" w:rsidR="00FB0D4E" w:rsidRPr="002012C0" w:rsidRDefault="00FB0D4E" w:rsidP="002012C0">
      <w:pPr>
        <w:rPr>
          <w:b/>
          <w:bCs/>
        </w:rPr>
      </w:pPr>
      <w:r w:rsidRPr="002012C0">
        <w:rPr>
          <w:b/>
          <w:bCs/>
        </w:rPr>
        <w:t>Age</w:t>
      </w:r>
    </w:p>
    <w:p w14:paraId="18B4F293" w14:textId="594B091A" w:rsidR="00C347B0" w:rsidRDefault="00C347B0" w:rsidP="00C347B0">
      <w:r w:rsidRPr="004A155A">
        <w:t>In Peterborough, the highest prevalence of opiate and crack use is</w:t>
      </w:r>
      <w:r>
        <w:t xml:space="preserve"> estimated to be</w:t>
      </w:r>
      <w:r w:rsidRPr="004A155A">
        <w:t xml:space="preserve"> in people aged 25–34, differing from the national trend where 35–64 is the age group</w:t>
      </w:r>
      <w:r w:rsidR="0043465C">
        <w:t xml:space="preserve"> with the highest prevalence</w:t>
      </w:r>
      <w:r>
        <w:t xml:space="preserve">, as shown in </w:t>
      </w:r>
      <w:r w:rsidR="00783F65">
        <w:t>Table</w:t>
      </w:r>
      <w:r>
        <w:t xml:space="preserve"> </w:t>
      </w:r>
      <w:r w:rsidR="00293DFA">
        <w:t>5</w:t>
      </w:r>
      <w:r w:rsidR="002012C0">
        <w:t>.2</w:t>
      </w:r>
      <w:r w:rsidR="00783F65">
        <w:t>a</w:t>
      </w:r>
      <w:r w:rsidRPr="004A155A">
        <w:t>.</w:t>
      </w:r>
      <w:r w:rsidR="0043465C">
        <w:t xml:space="preserve"> </w:t>
      </w:r>
    </w:p>
    <w:p w14:paraId="70CAAADF" w14:textId="19B47807" w:rsidR="00C347B0" w:rsidRDefault="00783F65" w:rsidP="002012C0">
      <w:pPr>
        <w:pStyle w:val="Heading6"/>
      </w:pPr>
      <w:r>
        <w:t>Table</w:t>
      </w:r>
      <w:r w:rsidR="00C347B0">
        <w:t xml:space="preserve"> </w:t>
      </w:r>
      <w:r w:rsidR="00293DFA">
        <w:t>5</w:t>
      </w:r>
      <w:r w:rsidR="002012C0">
        <w:t>.2</w:t>
      </w:r>
      <w:r>
        <w:t>a</w:t>
      </w:r>
      <w:r w:rsidR="00C347B0">
        <w:t>. OCU prevalence by age groups in Peterborough and England.</w:t>
      </w:r>
    </w:p>
    <w:tbl>
      <w:tblPr>
        <w:tblStyle w:val="TableGrid"/>
        <w:tblW w:w="0" w:type="auto"/>
        <w:tblLook w:val="04A0" w:firstRow="1" w:lastRow="0" w:firstColumn="1" w:lastColumn="0" w:noHBand="0" w:noVBand="1"/>
      </w:tblPr>
      <w:tblGrid>
        <w:gridCol w:w="993"/>
        <w:gridCol w:w="1337"/>
        <w:gridCol w:w="1337"/>
        <w:gridCol w:w="1337"/>
        <w:gridCol w:w="1337"/>
        <w:gridCol w:w="1337"/>
        <w:gridCol w:w="1338"/>
      </w:tblGrid>
      <w:tr w:rsidR="00960899" w14:paraId="02799516" w14:textId="77777777" w:rsidTr="00960899">
        <w:tc>
          <w:tcPr>
            <w:tcW w:w="993" w:type="dxa"/>
            <w:tcBorders>
              <w:top w:val="nil"/>
              <w:left w:val="nil"/>
              <w:bottom w:val="single" w:sz="4" w:space="0" w:color="auto"/>
              <w:right w:val="nil"/>
            </w:tcBorders>
          </w:tcPr>
          <w:p w14:paraId="77C98398" w14:textId="3045E60E" w:rsidR="00960899" w:rsidRDefault="00960899" w:rsidP="00960899"/>
        </w:tc>
        <w:tc>
          <w:tcPr>
            <w:tcW w:w="6685" w:type="dxa"/>
            <w:gridSpan w:val="5"/>
            <w:tcBorders>
              <w:top w:val="nil"/>
              <w:left w:val="nil"/>
              <w:bottom w:val="single" w:sz="8" w:space="0" w:color="auto"/>
              <w:right w:val="single" w:sz="8" w:space="0" w:color="808080" w:themeColor="background1" w:themeShade="80"/>
            </w:tcBorders>
          </w:tcPr>
          <w:p w14:paraId="093AC373" w14:textId="6D39209E" w:rsidR="00960899" w:rsidRDefault="00960899" w:rsidP="00960899">
            <w:r>
              <w:rPr>
                <w:b/>
                <w:bCs/>
                <w:color w:val="00826E"/>
                <w:sz w:val="24"/>
                <w:szCs w:val="24"/>
              </w:rPr>
              <w:t xml:space="preserve">    </w:t>
            </w:r>
            <w:r w:rsidRPr="006D307A">
              <w:rPr>
                <w:b/>
                <w:bCs/>
                <w:color w:val="00826E"/>
                <w:sz w:val="24"/>
                <w:szCs w:val="24"/>
              </w:rPr>
              <w:t>Peterborough</w:t>
            </w:r>
          </w:p>
        </w:tc>
        <w:tc>
          <w:tcPr>
            <w:tcW w:w="1338" w:type="dxa"/>
            <w:tcBorders>
              <w:top w:val="nil"/>
              <w:left w:val="single" w:sz="8" w:space="0" w:color="808080" w:themeColor="background1" w:themeShade="80"/>
              <w:bottom w:val="single" w:sz="8" w:space="0" w:color="auto"/>
              <w:right w:val="nil"/>
            </w:tcBorders>
          </w:tcPr>
          <w:p w14:paraId="2E68B878" w14:textId="3477231C" w:rsidR="00960899" w:rsidRDefault="00960899" w:rsidP="00960899">
            <w:r w:rsidRPr="00E17E4B">
              <w:rPr>
                <w:b/>
                <w:bCs/>
                <w:color w:val="3D1D72"/>
                <w:sz w:val="24"/>
                <w:szCs w:val="24"/>
              </w:rPr>
              <w:t>England</w:t>
            </w:r>
          </w:p>
        </w:tc>
      </w:tr>
      <w:tr w:rsidR="002F070B" w14:paraId="58D2180B" w14:textId="77777777" w:rsidTr="00960899">
        <w:tc>
          <w:tcPr>
            <w:tcW w:w="993" w:type="dxa"/>
            <w:tcBorders>
              <w:top w:val="single" w:sz="4" w:space="0" w:color="auto"/>
            </w:tcBorders>
            <w:vAlign w:val="bottom"/>
          </w:tcPr>
          <w:p w14:paraId="41CF82AF" w14:textId="594FA4A0" w:rsidR="00564692" w:rsidRDefault="00926F54" w:rsidP="000D449D">
            <w:r>
              <w:t>Group (years)</w:t>
            </w:r>
            <w:r w:rsidR="00212EE6">
              <w:t>*</w:t>
            </w:r>
          </w:p>
        </w:tc>
        <w:tc>
          <w:tcPr>
            <w:tcW w:w="1337" w:type="dxa"/>
            <w:tcBorders>
              <w:top w:val="single" w:sz="8" w:space="0" w:color="auto"/>
            </w:tcBorders>
            <w:vAlign w:val="bottom"/>
          </w:tcPr>
          <w:p w14:paraId="50D5538F" w14:textId="17E0DC93" w:rsidR="00564692" w:rsidRDefault="00564692" w:rsidP="000D449D">
            <w:r>
              <w:t>Rate per 1000</w:t>
            </w:r>
            <w:r w:rsidR="00A22E9E">
              <w:t xml:space="preserve"> (RPT)</w:t>
            </w:r>
            <w:r>
              <w:t xml:space="preserve"> population</w:t>
            </w:r>
          </w:p>
        </w:tc>
        <w:tc>
          <w:tcPr>
            <w:tcW w:w="1337" w:type="dxa"/>
            <w:tcBorders>
              <w:top w:val="single" w:sz="8" w:space="0" w:color="auto"/>
            </w:tcBorders>
            <w:vAlign w:val="bottom"/>
          </w:tcPr>
          <w:p w14:paraId="22F36294" w14:textId="0E882F54" w:rsidR="00564692" w:rsidRDefault="00A22E9E" w:rsidP="000D449D">
            <w:r>
              <w:t>RPT lower bound</w:t>
            </w:r>
          </w:p>
        </w:tc>
        <w:tc>
          <w:tcPr>
            <w:tcW w:w="1337" w:type="dxa"/>
            <w:tcBorders>
              <w:top w:val="single" w:sz="8" w:space="0" w:color="auto"/>
            </w:tcBorders>
            <w:vAlign w:val="bottom"/>
          </w:tcPr>
          <w:p w14:paraId="6E198222" w14:textId="202C7D34" w:rsidR="00564692" w:rsidRDefault="00A22E9E" w:rsidP="000D449D">
            <w:r>
              <w:t>RPT upper bound</w:t>
            </w:r>
          </w:p>
        </w:tc>
        <w:tc>
          <w:tcPr>
            <w:tcW w:w="1337" w:type="dxa"/>
            <w:tcBorders>
              <w:top w:val="single" w:sz="8" w:space="0" w:color="auto"/>
            </w:tcBorders>
            <w:vAlign w:val="bottom"/>
          </w:tcPr>
          <w:p w14:paraId="63A23F4C" w14:textId="5683C664" w:rsidR="00564692" w:rsidRDefault="00A22E9E" w:rsidP="000D449D">
            <w:r>
              <w:t>Population estimate</w:t>
            </w:r>
          </w:p>
        </w:tc>
        <w:tc>
          <w:tcPr>
            <w:tcW w:w="1337" w:type="dxa"/>
            <w:tcBorders>
              <w:top w:val="single" w:sz="8" w:space="0" w:color="auto"/>
              <w:right w:val="single" w:sz="12" w:space="0" w:color="auto"/>
            </w:tcBorders>
            <w:vAlign w:val="bottom"/>
          </w:tcPr>
          <w:p w14:paraId="626324A5" w14:textId="28F3829A" w:rsidR="00564692" w:rsidRDefault="002F070B" w:rsidP="000D449D">
            <w:r>
              <w:t>E</w:t>
            </w:r>
            <w:r w:rsidR="00BE0527">
              <w:t>stimate</w:t>
            </w:r>
            <w:r>
              <w:t>d users (OCU)</w:t>
            </w:r>
          </w:p>
        </w:tc>
        <w:tc>
          <w:tcPr>
            <w:tcW w:w="1338" w:type="dxa"/>
            <w:tcBorders>
              <w:top w:val="single" w:sz="8" w:space="0" w:color="auto"/>
              <w:left w:val="single" w:sz="12" w:space="0" w:color="auto"/>
            </w:tcBorders>
            <w:vAlign w:val="bottom"/>
          </w:tcPr>
          <w:p w14:paraId="1081A636" w14:textId="002A7130" w:rsidR="00564692" w:rsidRDefault="00BE0527" w:rsidP="000D449D">
            <w:r>
              <w:t>Rate per 1000 (RPT) population</w:t>
            </w:r>
          </w:p>
        </w:tc>
      </w:tr>
      <w:tr w:rsidR="00BE0527" w14:paraId="49F0524A" w14:textId="77777777" w:rsidTr="00960899">
        <w:tc>
          <w:tcPr>
            <w:tcW w:w="993" w:type="dxa"/>
          </w:tcPr>
          <w:p w14:paraId="113A9798" w14:textId="2E08FE9B" w:rsidR="00564692" w:rsidRDefault="00564692" w:rsidP="00564692">
            <w:r>
              <w:t>15-24</w:t>
            </w:r>
          </w:p>
        </w:tc>
        <w:tc>
          <w:tcPr>
            <w:tcW w:w="1337" w:type="dxa"/>
          </w:tcPr>
          <w:p w14:paraId="0FD65B51" w14:textId="4559DE1F" w:rsidR="00564692" w:rsidRDefault="00BE0527" w:rsidP="00564692">
            <w:r>
              <w:t>5.6</w:t>
            </w:r>
          </w:p>
        </w:tc>
        <w:tc>
          <w:tcPr>
            <w:tcW w:w="1337" w:type="dxa"/>
          </w:tcPr>
          <w:p w14:paraId="2D79F5A3" w14:textId="234FA9A5" w:rsidR="00564692" w:rsidRDefault="00BE0527" w:rsidP="00564692">
            <w:r>
              <w:t>4.6</w:t>
            </w:r>
          </w:p>
        </w:tc>
        <w:tc>
          <w:tcPr>
            <w:tcW w:w="1337" w:type="dxa"/>
          </w:tcPr>
          <w:p w14:paraId="3AD1456F" w14:textId="550423A2" w:rsidR="00564692" w:rsidRDefault="00BE0527" w:rsidP="00564692">
            <w:r>
              <w:t>7.0</w:t>
            </w:r>
          </w:p>
        </w:tc>
        <w:tc>
          <w:tcPr>
            <w:tcW w:w="1337" w:type="dxa"/>
          </w:tcPr>
          <w:p w14:paraId="0961774A" w14:textId="1B8BE4D3" w:rsidR="00564692" w:rsidRDefault="00BE0527" w:rsidP="00564692">
            <w:r>
              <w:t>21,038</w:t>
            </w:r>
          </w:p>
        </w:tc>
        <w:tc>
          <w:tcPr>
            <w:tcW w:w="1337" w:type="dxa"/>
            <w:tcBorders>
              <w:right w:val="single" w:sz="12" w:space="0" w:color="auto"/>
            </w:tcBorders>
          </w:tcPr>
          <w:p w14:paraId="7B29FBB1" w14:textId="19F441E1" w:rsidR="00564692" w:rsidRDefault="00783F65" w:rsidP="00564692">
            <w:r>
              <w:t>~</w:t>
            </w:r>
            <w:r w:rsidR="00DA3008">
              <w:t>118</w:t>
            </w:r>
          </w:p>
        </w:tc>
        <w:tc>
          <w:tcPr>
            <w:tcW w:w="1338" w:type="dxa"/>
            <w:tcBorders>
              <w:left w:val="single" w:sz="12" w:space="0" w:color="auto"/>
            </w:tcBorders>
          </w:tcPr>
          <w:p w14:paraId="14A99CC8" w14:textId="3C75401C" w:rsidR="00564692" w:rsidRDefault="00BE0527" w:rsidP="00564692">
            <w:r>
              <w:t>3.8</w:t>
            </w:r>
          </w:p>
        </w:tc>
      </w:tr>
      <w:tr w:rsidR="002F070B" w14:paraId="06F6EA78" w14:textId="77777777" w:rsidTr="00960899">
        <w:tc>
          <w:tcPr>
            <w:tcW w:w="993" w:type="dxa"/>
          </w:tcPr>
          <w:p w14:paraId="3677DAAB" w14:textId="5A0A34D2" w:rsidR="00564692" w:rsidRDefault="00564692" w:rsidP="00564692">
            <w:r>
              <w:t>25-34</w:t>
            </w:r>
          </w:p>
        </w:tc>
        <w:tc>
          <w:tcPr>
            <w:tcW w:w="1337" w:type="dxa"/>
          </w:tcPr>
          <w:p w14:paraId="2F0CA7B1" w14:textId="4FD6A0E9" w:rsidR="00564692" w:rsidRDefault="00BE0527" w:rsidP="00564692">
            <w:r>
              <w:t>16.6</w:t>
            </w:r>
          </w:p>
        </w:tc>
        <w:tc>
          <w:tcPr>
            <w:tcW w:w="1337" w:type="dxa"/>
          </w:tcPr>
          <w:p w14:paraId="1389F56A" w14:textId="5ADCB09E" w:rsidR="00564692" w:rsidRDefault="00BE0527" w:rsidP="00564692">
            <w:r>
              <w:t>14.5</w:t>
            </w:r>
          </w:p>
        </w:tc>
        <w:tc>
          <w:tcPr>
            <w:tcW w:w="1337" w:type="dxa"/>
          </w:tcPr>
          <w:p w14:paraId="2E989B41" w14:textId="269CF70F" w:rsidR="00564692" w:rsidRDefault="00BE0527" w:rsidP="00564692">
            <w:r>
              <w:t>19.2</w:t>
            </w:r>
          </w:p>
        </w:tc>
        <w:tc>
          <w:tcPr>
            <w:tcW w:w="1337" w:type="dxa"/>
          </w:tcPr>
          <w:p w14:paraId="2F88EBD9" w14:textId="18EAA6F2" w:rsidR="00564692" w:rsidRDefault="00BE0527" w:rsidP="00564692">
            <w:r>
              <w:t>29,578</w:t>
            </w:r>
          </w:p>
        </w:tc>
        <w:tc>
          <w:tcPr>
            <w:tcW w:w="1337" w:type="dxa"/>
            <w:tcBorders>
              <w:right w:val="single" w:sz="12" w:space="0" w:color="auto"/>
            </w:tcBorders>
          </w:tcPr>
          <w:p w14:paraId="32CCB881" w14:textId="4A901BFF" w:rsidR="00564692" w:rsidRDefault="00783F65" w:rsidP="00564692">
            <w:r>
              <w:t>~</w:t>
            </w:r>
            <w:r w:rsidR="0006359F">
              <w:t>491</w:t>
            </w:r>
          </w:p>
        </w:tc>
        <w:tc>
          <w:tcPr>
            <w:tcW w:w="1338" w:type="dxa"/>
            <w:tcBorders>
              <w:left w:val="single" w:sz="12" w:space="0" w:color="auto"/>
            </w:tcBorders>
          </w:tcPr>
          <w:p w14:paraId="72CEEA14" w14:textId="73139B5B" w:rsidR="00564692" w:rsidRDefault="00DA3008" w:rsidP="00564692">
            <w:r>
              <w:t>10.3</w:t>
            </w:r>
          </w:p>
        </w:tc>
      </w:tr>
      <w:tr w:rsidR="002F070B" w14:paraId="7997E980" w14:textId="77777777" w:rsidTr="00960899">
        <w:tc>
          <w:tcPr>
            <w:tcW w:w="993" w:type="dxa"/>
          </w:tcPr>
          <w:p w14:paraId="72C5AC7F" w14:textId="2F694835" w:rsidR="00564692" w:rsidRDefault="00564692" w:rsidP="00564692">
            <w:r>
              <w:t>35-64</w:t>
            </w:r>
          </w:p>
        </w:tc>
        <w:tc>
          <w:tcPr>
            <w:tcW w:w="1337" w:type="dxa"/>
          </w:tcPr>
          <w:p w14:paraId="2477853D" w14:textId="076F9A2C" w:rsidR="00564692" w:rsidRDefault="00BE0527" w:rsidP="00564692">
            <w:r>
              <w:t>12.0</w:t>
            </w:r>
          </w:p>
        </w:tc>
        <w:tc>
          <w:tcPr>
            <w:tcW w:w="1337" w:type="dxa"/>
          </w:tcPr>
          <w:p w14:paraId="183F4DCE" w14:textId="5E9D20B5" w:rsidR="00564692" w:rsidRDefault="00BE0527" w:rsidP="00564692">
            <w:r>
              <w:t>10.9</w:t>
            </w:r>
          </w:p>
        </w:tc>
        <w:tc>
          <w:tcPr>
            <w:tcW w:w="1337" w:type="dxa"/>
          </w:tcPr>
          <w:p w14:paraId="4F9886BE" w14:textId="1BFCC627" w:rsidR="00564692" w:rsidRDefault="00BE0527" w:rsidP="00564692">
            <w:r>
              <w:t>13.6</w:t>
            </w:r>
          </w:p>
        </w:tc>
        <w:tc>
          <w:tcPr>
            <w:tcW w:w="1337" w:type="dxa"/>
          </w:tcPr>
          <w:p w14:paraId="2975F5A0" w14:textId="4E7D4FBB" w:rsidR="00564692" w:rsidRDefault="00BE0527" w:rsidP="00564692">
            <w:r>
              <w:t>76,613</w:t>
            </w:r>
          </w:p>
        </w:tc>
        <w:tc>
          <w:tcPr>
            <w:tcW w:w="1337" w:type="dxa"/>
            <w:tcBorders>
              <w:right w:val="single" w:sz="12" w:space="0" w:color="auto"/>
            </w:tcBorders>
          </w:tcPr>
          <w:p w14:paraId="2D5CC35B" w14:textId="158ED583" w:rsidR="00564692" w:rsidRDefault="00783F65" w:rsidP="00564692">
            <w:r>
              <w:t>~</w:t>
            </w:r>
            <w:r w:rsidR="0006359F">
              <w:t>919</w:t>
            </w:r>
          </w:p>
        </w:tc>
        <w:tc>
          <w:tcPr>
            <w:tcW w:w="1338" w:type="dxa"/>
            <w:tcBorders>
              <w:left w:val="single" w:sz="12" w:space="0" w:color="auto"/>
            </w:tcBorders>
          </w:tcPr>
          <w:p w14:paraId="5ABF57CB" w14:textId="10F852A5" w:rsidR="00564692" w:rsidRDefault="00DA3008" w:rsidP="00564692">
            <w:r>
              <w:t>11.0</w:t>
            </w:r>
          </w:p>
        </w:tc>
      </w:tr>
    </w:tbl>
    <w:p w14:paraId="2F03CB7B" w14:textId="155F215D" w:rsidR="002012C0" w:rsidRPr="002012C0" w:rsidRDefault="002012C0" w:rsidP="00C347B0">
      <w:pPr>
        <w:rPr>
          <w:sz w:val="20"/>
          <w:szCs w:val="20"/>
        </w:rPr>
      </w:pPr>
      <w:r w:rsidRPr="002012C0">
        <w:rPr>
          <w:sz w:val="20"/>
          <w:szCs w:val="20"/>
        </w:rPr>
        <w:t>Source: NDTMS</w:t>
      </w:r>
      <w:r w:rsidR="00F95A26">
        <w:rPr>
          <w:sz w:val="20"/>
          <w:szCs w:val="20"/>
        </w:rPr>
        <w:t>.</w:t>
      </w:r>
      <w:r w:rsidR="00212EE6">
        <w:rPr>
          <w:sz w:val="20"/>
          <w:szCs w:val="20"/>
        </w:rPr>
        <w:t xml:space="preserve"> * Note that the</w:t>
      </w:r>
      <w:r w:rsidR="0023650C">
        <w:rPr>
          <w:sz w:val="20"/>
          <w:szCs w:val="20"/>
        </w:rPr>
        <w:t xml:space="preserve"> oldest age band </w:t>
      </w:r>
      <w:r w:rsidR="00455393">
        <w:rPr>
          <w:sz w:val="20"/>
          <w:szCs w:val="20"/>
        </w:rPr>
        <w:t xml:space="preserve">is a wider </w:t>
      </w:r>
      <w:r w:rsidR="00941A5F">
        <w:rPr>
          <w:sz w:val="20"/>
          <w:szCs w:val="20"/>
        </w:rPr>
        <w:t>range</w:t>
      </w:r>
      <w:r w:rsidR="008D7577">
        <w:rPr>
          <w:sz w:val="20"/>
          <w:szCs w:val="20"/>
        </w:rPr>
        <w:t>. There is</w:t>
      </w:r>
      <w:r w:rsidR="00941A5F">
        <w:rPr>
          <w:sz w:val="20"/>
          <w:szCs w:val="20"/>
        </w:rPr>
        <w:t xml:space="preserve"> no further breakdown available</w:t>
      </w:r>
      <w:r w:rsidR="004821B2">
        <w:rPr>
          <w:sz w:val="20"/>
          <w:szCs w:val="20"/>
        </w:rPr>
        <w:t xml:space="preserve"> to examine prevalence </w:t>
      </w:r>
      <w:r w:rsidR="008222BB">
        <w:rPr>
          <w:sz w:val="20"/>
          <w:szCs w:val="20"/>
        </w:rPr>
        <w:t>for</w:t>
      </w:r>
      <w:r w:rsidR="004821B2">
        <w:rPr>
          <w:sz w:val="20"/>
          <w:szCs w:val="20"/>
        </w:rPr>
        <w:t xml:space="preserve"> </w:t>
      </w:r>
      <w:r w:rsidR="00E1274A">
        <w:rPr>
          <w:sz w:val="20"/>
          <w:szCs w:val="20"/>
        </w:rPr>
        <w:t>subgroups within this range</w:t>
      </w:r>
      <w:r w:rsidR="00941A5F">
        <w:rPr>
          <w:sz w:val="20"/>
          <w:szCs w:val="20"/>
        </w:rPr>
        <w:t>.</w:t>
      </w:r>
    </w:p>
    <w:p w14:paraId="5F8A35EF" w14:textId="579D52C5" w:rsidR="00C347B0" w:rsidRDefault="00C347B0" w:rsidP="00C347B0">
      <w:r>
        <w:lastRenderedPageBreak/>
        <w:t xml:space="preserve">Among young users (15–24), opiates are the </w:t>
      </w:r>
      <w:proofErr w:type="gramStart"/>
      <w:r>
        <w:t>most commonly used</w:t>
      </w:r>
      <w:proofErr w:type="gramEnd"/>
      <w:r>
        <w:t xml:space="preserve"> substance </w:t>
      </w:r>
      <w:r w:rsidR="008931D0">
        <w:t>(</w:t>
      </w:r>
      <w:r>
        <w:t>as seen in other age groups</w:t>
      </w:r>
      <w:r w:rsidR="008931D0">
        <w:t>)</w:t>
      </w:r>
      <w:r>
        <w:t>, but users of crack-only represents a larger proportional share compared to other age groups.</w:t>
      </w:r>
    </w:p>
    <w:p w14:paraId="088125C8" w14:textId="64B90E43" w:rsidR="00FB0D4E" w:rsidRPr="001F1D58" w:rsidRDefault="00FB0D4E" w:rsidP="001F1D58">
      <w:pPr>
        <w:rPr>
          <w:b/>
          <w:bCs/>
        </w:rPr>
      </w:pPr>
      <w:r w:rsidRPr="001F1D58">
        <w:rPr>
          <w:b/>
          <w:bCs/>
        </w:rPr>
        <w:t>Sex</w:t>
      </w:r>
    </w:p>
    <w:p w14:paraId="3FC3FCD2" w14:textId="058ADB0D" w:rsidR="00760480" w:rsidRPr="001F1D58" w:rsidRDefault="001F1D58" w:rsidP="00760480">
      <w:r w:rsidRPr="001F1D58">
        <w:t xml:space="preserve">Note that data presented here as ‘sex’ is from NDTMS and is self-reported, it may reflect ‘gender’ for some, but there </w:t>
      </w:r>
      <w:r w:rsidR="00280384">
        <w:t xml:space="preserve">are only options for male and female </w:t>
      </w:r>
      <w:r w:rsidR="005765CF">
        <w:t xml:space="preserve">which are </w:t>
      </w:r>
      <w:r w:rsidRPr="001F1D58">
        <w:t>referred to as ‘sex’ in national data.</w:t>
      </w:r>
    </w:p>
    <w:p w14:paraId="5CC6CE3E" w14:textId="28212199" w:rsidR="00760480" w:rsidRPr="00984F0C" w:rsidRDefault="00760480" w:rsidP="00760480">
      <w:r w:rsidRPr="00984F0C">
        <w:t xml:space="preserve">Rates of opiate and crack use are consistently over </w:t>
      </w:r>
      <w:r w:rsidRPr="004915F1">
        <w:rPr>
          <w:b/>
          <w:bCs/>
        </w:rPr>
        <w:t>3.5 times higher in males than females</w:t>
      </w:r>
      <w:r w:rsidRPr="00984F0C">
        <w:t>, both locally and nationally, with minimal variation over time</w:t>
      </w:r>
      <w:r>
        <w:t xml:space="preserve">, as shown in </w:t>
      </w:r>
      <w:r w:rsidR="001F1D58">
        <w:t>F</w:t>
      </w:r>
      <w:r>
        <w:t xml:space="preserve">igure </w:t>
      </w:r>
      <w:r w:rsidR="005765CF">
        <w:t>5</w:t>
      </w:r>
      <w:r w:rsidR="001F1D58">
        <w:t>.2</w:t>
      </w:r>
      <w:r w:rsidR="005765CF">
        <w:t>c</w:t>
      </w:r>
      <w:r>
        <w:t>.</w:t>
      </w:r>
    </w:p>
    <w:p w14:paraId="51E30514" w14:textId="4230AFB6" w:rsidR="00760480" w:rsidRDefault="00760480" w:rsidP="001F1D58">
      <w:pPr>
        <w:pStyle w:val="Heading6"/>
      </w:pPr>
      <w:r>
        <w:t xml:space="preserve">Figure </w:t>
      </w:r>
      <w:r w:rsidR="005765CF">
        <w:t>5</w:t>
      </w:r>
      <w:r w:rsidR="001F1D58">
        <w:t>.2</w:t>
      </w:r>
      <w:r w:rsidR="005765CF">
        <w:t>c</w:t>
      </w:r>
      <w:r>
        <w:t>. OCU prevalence by sex in Peterborough and England.</w:t>
      </w:r>
    </w:p>
    <w:tbl>
      <w:tblPr>
        <w:tblStyle w:val="TableGrid"/>
        <w:tblW w:w="0" w:type="auto"/>
        <w:tblLook w:val="04A0" w:firstRow="1" w:lastRow="0" w:firstColumn="1" w:lastColumn="0" w:noHBand="0" w:noVBand="1"/>
      </w:tblPr>
      <w:tblGrid>
        <w:gridCol w:w="993"/>
        <w:gridCol w:w="1337"/>
        <w:gridCol w:w="1337"/>
        <w:gridCol w:w="1337"/>
        <w:gridCol w:w="1337"/>
        <w:gridCol w:w="1337"/>
        <w:gridCol w:w="1338"/>
      </w:tblGrid>
      <w:tr w:rsidR="00405303" w14:paraId="4238068F" w14:textId="77777777" w:rsidTr="00960899">
        <w:trPr>
          <w:trHeight w:val="338"/>
        </w:trPr>
        <w:tc>
          <w:tcPr>
            <w:tcW w:w="993" w:type="dxa"/>
            <w:tcBorders>
              <w:top w:val="nil"/>
              <w:left w:val="nil"/>
              <w:bottom w:val="single" w:sz="4" w:space="0" w:color="auto"/>
              <w:right w:val="nil"/>
            </w:tcBorders>
          </w:tcPr>
          <w:p w14:paraId="24CD79FF" w14:textId="77777777" w:rsidR="00405303" w:rsidRDefault="00405303"/>
        </w:tc>
        <w:tc>
          <w:tcPr>
            <w:tcW w:w="6685" w:type="dxa"/>
            <w:gridSpan w:val="5"/>
            <w:tcBorders>
              <w:top w:val="nil"/>
              <w:left w:val="nil"/>
              <w:bottom w:val="single" w:sz="4" w:space="0" w:color="auto"/>
              <w:right w:val="single" w:sz="8" w:space="0" w:color="808080" w:themeColor="background1" w:themeShade="80"/>
            </w:tcBorders>
          </w:tcPr>
          <w:p w14:paraId="79CDF477" w14:textId="1F58D3B9" w:rsidR="00405303" w:rsidRPr="006D307A" w:rsidRDefault="00960899">
            <w:pPr>
              <w:rPr>
                <w:b/>
                <w:bCs/>
                <w:color w:val="00826E"/>
                <w:sz w:val="24"/>
                <w:szCs w:val="24"/>
              </w:rPr>
            </w:pPr>
            <w:r>
              <w:rPr>
                <w:b/>
                <w:bCs/>
                <w:color w:val="00826E"/>
                <w:sz w:val="24"/>
                <w:szCs w:val="24"/>
              </w:rPr>
              <w:t xml:space="preserve">    </w:t>
            </w:r>
            <w:r w:rsidR="00405303" w:rsidRPr="006D307A">
              <w:rPr>
                <w:b/>
                <w:bCs/>
                <w:color w:val="00826E"/>
                <w:sz w:val="24"/>
                <w:szCs w:val="24"/>
              </w:rPr>
              <w:t>Peterborough</w:t>
            </w:r>
          </w:p>
        </w:tc>
        <w:tc>
          <w:tcPr>
            <w:tcW w:w="1338" w:type="dxa"/>
            <w:tcBorders>
              <w:top w:val="nil"/>
              <w:left w:val="single" w:sz="8" w:space="0" w:color="808080" w:themeColor="background1" w:themeShade="80"/>
              <w:bottom w:val="single" w:sz="4" w:space="0" w:color="auto"/>
              <w:right w:val="nil"/>
            </w:tcBorders>
          </w:tcPr>
          <w:p w14:paraId="6D286859" w14:textId="77777777" w:rsidR="00405303" w:rsidRPr="00E17E4B" w:rsidRDefault="00405303">
            <w:pPr>
              <w:rPr>
                <w:b/>
                <w:bCs/>
                <w:color w:val="3D1D72"/>
                <w:sz w:val="24"/>
                <w:szCs w:val="24"/>
              </w:rPr>
            </w:pPr>
            <w:r w:rsidRPr="00E17E4B">
              <w:rPr>
                <w:b/>
                <w:bCs/>
                <w:color w:val="3D1D72"/>
                <w:sz w:val="24"/>
                <w:szCs w:val="24"/>
              </w:rPr>
              <w:t>England</w:t>
            </w:r>
          </w:p>
        </w:tc>
      </w:tr>
      <w:tr w:rsidR="00405303" w14:paraId="77BDEDE7" w14:textId="77777777" w:rsidTr="00960899">
        <w:tc>
          <w:tcPr>
            <w:tcW w:w="993" w:type="dxa"/>
            <w:tcBorders>
              <w:top w:val="single" w:sz="4" w:space="0" w:color="auto"/>
            </w:tcBorders>
            <w:vAlign w:val="bottom"/>
          </w:tcPr>
          <w:p w14:paraId="7A6068E6" w14:textId="70E19139" w:rsidR="00405303" w:rsidRDefault="00405303" w:rsidP="000D449D">
            <w:r>
              <w:t>Sex</w:t>
            </w:r>
          </w:p>
        </w:tc>
        <w:tc>
          <w:tcPr>
            <w:tcW w:w="1337" w:type="dxa"/>
            <w:tcBorders>
              <w:top w:val="single" w:sz="4" w:space="0" w:color="auto"/>
            </w:tcBorders>
            <w:tcMar>
              <w:right w:w="57" w:type="dxa"/>
            </w:tcMar>
            <w:vAlign w:val="bottom"/>
          </w:tcPr>
          <w:p w14:paraId="5FA52E4C" w14:textId="77777777" w:rsidR="00405303" w:rsidRDefault="00405303" w:rsidP="000D449D">
            <w:r>
              <w:t>Rate per 1000 (RPT) population</w:t>
            </w:r>
          </w:p>
        </w:tc>
        <w:tc>
          <w:tcPr>
            <w:tcW w:w="1337" w:type="dxa"/>
            <w:tcBorders>
              <w:top w:val="single" w:sz="4" w:space="0" w:color="auto"/>
            </w:tcBorders>
            <w:tcMar>
              <w:right w:w="57" w:type="dxa"/>
            </w:tcMar>
            <w:vAlign w:val="bottom"/>
          </w:tcPr>
          <w:p w14:paraId="5EEE056E" w14:textId="77777777" w:rsidR="00405303" w:rsidRDefault="00405303" w:rsidP="000D449D">
            <w:r>
              <w:t>RPT lower bound</w:t>
            </w:r>
          </w:p>
        </w:tc>
        <w:tc>
          <w:tcPr>
            <w:tcW w:w="1337" w:type="dxa"/>
            <w:tcBorders>
              <w:top w:val="single" w:sz="4" w:space="0" w:color="auto"/>
            </w:tcBorders>
            <w:tcMar>
              <w:right w:w="57" w:type="dxa"/>
            </w:tcMar>
            <w:vAlign w:val="bottom"/>
          </w:tcPr>
          <w:p w14:paraId="6C533569" w14:textId="77777777" w:rsidR="00405303" w:rsidRDefault="00405303" w:rsidP="000D449D">
            <w:r>
              <w:t>RPT upper bound</w:t>
            </w:r>
          </w:p>
        </w:tc>
        <w:tc>
          <w:tcPr>
            <w:tcW w:w="1337" w:type="dxa"/>
            <w:tcBorders>
              <w:top w:val="single" w:sz="4" w:space="0" w:color="auto"/>
            </w:tcBorders>
            <w:tcMar>
              <w:right w:w="57" w:type="dxa"/>
            </w:tcMar>
            <w:vAlign w:val="bottom"/>
          </w:tcPr>
          <w:p w14:paraId="4F34DEED" w14:textId="77777777" w:rsidR="00405303" w:rsidRDefault="00405303" w:rsidP="000D449D">
            <w:r>
              <w:t>Population estimate</w:t>
            </w:r>
          </w:p>
        </w:tc>
        <w:tc>
          <w:tcPr>
            <w:tcW w:w="1337" w:type="dxa"/>
            <w:tcBorders>
              <w:top w:val="single" w:sz="4" w:space="0" w:color="auto"/>
              <w:right w:val="single" w:sz="12" w:space="0" w:color="auto"/>
            </w:tcBorders>
            <w:tcMar>
              <w:right w:w="57" w:type="dxa"/>
            </w:tcMar>
            <w:vAlign w:val="bottom"/>
          </w:tcPr>
          <w:p w14:paraId="3A590596" w14:textId="1AFD7D3A" w:rsidR="00405303" w:rsidRDefault="00405303" w:rsidP="000D449D">
            <w:r>
              <w:t>Estimated users</w:t>
            </w:r>
            <w:r w:rsidR="00960899">
              <w:t xml:space="preserve"> </w:t>
            </w:r>
            <w:r>
              <w:t>(OCU)</w:t>
            </w:r>
          </w:p>
        </w:tc>
        <w:tc>
          <w:tcPr>
            <w:tcW w:w="1338" w:type="dxa"/>
            <w:tcBorders>
              <w:top w:val="single" w:sz="4" w:space="0" w:color="auto"/>
              <w:left w:val="single" w:sz="12" w:space="0" w:color="auto"/>
            </w:tcBorders>
            <w:tcMar>
              <w:right w:w="57" w:type="dxa"/>
            </w:tcMar>
            <w:vAlign w:val="bottom"/>
          </w:tcPr>
          <w:p w14:paraId="04381D05" w14:textId="77777777" w:rsidR="00405303" w:rsidRDefault="00405303" w:rsidP="000D449D">
            <w:r>
              <w:t>Rate per 1000 (RPT) population</w:t>
            </w:r>
          </w:p>
        </w:tc>
      </w:tr>
      <w:tr w:rsidR="00405303" w14:paraId="04F8BE98" w14:textId="77777777" w:rsidTr="00960899">
        <w:tc>
          <w:tcPr>
            <w:tcW w:w="993" w:type="dxa"/>
          </w:tcPr>
          <w:p w14:paraId="4C5CB3C0" w14:textId="31FA91E9" w:rsidR="00405303" w:rsidRDefault="00405303">
            <w:r>
              <w:t>Female</w:t>
            </w:r>
          </w:p>
        </w:tc>
        <w:tc>
          <w:tcPr>
            <w:tcW w:w="1337" w:type="dxa"/>
            <w:tcMar>
              <w:right w:w="57" w:type="dxa"/>
            </w:tcMar>
          </w:tcPr>
          <w:p w14:paraId="1B6897E8" w14:textId="0650D0B3" w:rsidR="00405303" w:rsidRDefault="00405303">
            <w:r>
              <w:t>5.3</w:t>
            </w:r>
          </w:p>
        </w:tc>
        <w:tc>
          <w:tcPr>
            <w:tcW w:w="1337" w:type="dxa"/>
            <w:tcMar>
              <w:right w:w="57" w:type="dxa"/>
            </w:tcMar>
          </w:tcPr>
          <w:p w14:paraId="169859E1" w14:textId="4FE35C94" w:rsidR="00405303" w:rsidRDefault="00405303">
            <w:r>
              <w:t>4.9</w:t>
            </w:r>
          </w:p>
        </w:tc>
        <w:tc>
          <w:tcPr>
            <w:tcW w:w="1337" w:type="dxa"/>
            <w:tcMar>
              <w:right w:w="57" w:type="dxa"/>
            </w:tcMar>
          </w:tcPr>
          <w:p w14:paraId="6DBCC1DC" w14:textId="7B921CFB" w:rsidR="00405303" w:rsidRDefault="00405303">
            <w:r>
              <w:t>6.0</w:t>
            </w:r>
          </w:p>
        </w:tc>
        <w:tc>
          <w:tcPr>
            <w:tcW w:w="1337" w:type="dxa"/>
            <w:tcMar>
              <w:right w:w="57" w:type="dxa"/>
            </w:tcMar>
          </w:tcPr>
          <w:p w14:paraId="7D660CCE" w14:textId="1563A2E7" w:rsidR="00405303" w:rsidRDefault="00307F0A">
            <w:r>
              <w:t>62,618</w:t>
            </w:r>
          </w:p>
        </w:tc>
        <w:tc>
          <w:tcPr>
            <w:tcW w:w="1337" w:type="dxa"/>
            <w:tcBorders>
              <w:right w:val="single" w:sz="12" w:space="0" w:color="auto"/>
            </w:tcBorders>
            <w:tcMar>
              <w:right w:w="57" w:type="dxa"/>
            </w:tcMar>
          </w:tcPr>
          <w:p w14:paraId="4F062CA7" w14:textId="2C461DE5" w:rsidR="00405303" w:rsidRDefault="00405303">
            <w:r>
              <w:t>~</w:t>
            </w:r>
            <w:r w:rsidR="000D449D">
              <w:t>332</w:t>
            </w:r>
          </w:p>
        </w:tc>
        <w:tc>
          <w:tcPr>
            <w:tcW w:w="1338" w:type="dxa"/>
            <w:tcBorders>
              <w:left w:val="single" w:sz="12" w:space="0" w:color="auto"/>
            </w:tcBorders>
            <w:tcMar>
              <w:right w:w="57" w:type="dxa"/>
            </w:tcMar>
          </w:tcPr>
          <w:p w14:paraId="3AEBD936" w14:textId="18BC6ECE" w:rsidR="00405303" w:rsidRDefault="00307F0A">
            <w:r>
              <w:t>4.0</w:t>
            </w:r>
          </w:p>
        </w:tc>
      </w:tr>
      <w:tr w:rsidR="00405303" w14:paraId="281DABA4" w14:textId="77777777" w:rsidTr="00960899">
        <w:tc>
          <w:tcPr>
            <w:tcW w:w="993" w:type="dxa"/>
          </w:tcPr>
          <w:p w14:paraId="55B475C1" w14:textId="74A1F09A" w:rsidR="00405303" w:rsidRDefault="00405303">
            <w:r>
              <w:t>Male</w:t>
            </w:r>
          </w:p>
        </w:tc>
        <w:tc>
          <w:tcPr>
            <w:tcW w:w="1337" w:type="dxa"/>
            <w:tcMar>
              <w:right w:w="57" w:type="dxa"/>
            </w:tcMar>
          </w:tcPr>
          <w:p w14:paraId="07165139" w14:textId="2878A1FF" w:rsidR="00405303" w:rsidRDefault="00307F0A">
            <w:r>
              <w:t>18.4</w:t>
            </w:r>
          </w:p>
        </w:tc>
        <w:tc>
          <w:tcPr>
            <w:tcW w:w="1337" w:type="dxa"/>
            <w:tcMar>
              <w:right w:w="57" w:type="dxa"/>
            </w:tcMar>
          </w:tcPr>
          <w:p w14:paraId="7E369E97" w14:textId="0274ADB8" w:rsidR="00405303" w:rsidRDefault="00307F0A">
            <w:r>
              <w:t>16.7</w:t>
            </w:r>
          </w:p>
        </w:tc>
        <w:tc>
          <w:tcPr>
            <w:tcW w:w="1337" w:type="dxa"/>
            <w:tcMar>
              <w:right w:w="57" w:type="dxa"/>
            </w:tcMar>
          </w:tcPr>
          <w:p w14:paraId="106F117A" w14:textId="4DE7C681" w:rsidR="00405303" w:rsidRDefault="00307F0A">
            <w:r>
              <w:t>21.0</w:t>
            </w:r>
          </w:p>
        </w:tc>
        <w:tc>
          <w:tcPr>
            <w:tcW w:w="1337" w:type="dxa"/>
            <w:tcMar>
              <w:right w:w="57" w:type="dxa"/>
            </w:tcMar>
          </w:tcPr>
          <w:p w14:paraId="0FFE2A4C" w14:textId="07FE8B20" w:rsidR="00405303" w:rsidRDefault="00307F0A">
            <w:r>
              <w:t>64,611</w:t>
            </w:r>
          </w:p>
        </w:tc>
        <w:tc>
          <w:tcPr>
            <w:tcW w:w="1337" w:type="dxa"/>
            <w:tcBorders>
              <w:right w:val="single" w:sz="12" w:space="0" w:color="auto"/>
            </w:tcBorders>
            <w:tcMar>
              <w:right w:w="57" w:type="dxa"/>
            </w:tcMar>
          </w:tcPr>
          <w:p w14:paraId="24A96932" w14:textId="6927A8E7" w:rsidR="00405303" w:rsidRDefault="00405303">
            <w:r>
              <w:t>~</w:t>
            </w:r>
            <w:r w:rsidR="00090641">
              <w:t>1189</w:t>
            </w:r>
          </w:p>
        </w:tc>
        <w:tc>
          <w:tcPr>
            <w:tcW w:w="1338" w:type="dxa"/>
            <w:tcBorders>
              <w:left w:val="single" w:sz="12" w:space="0" w:color="auto"/>
            </w:tcBorders>
            <w:tcMar>
              <w:right w:w="57" w:type="dxa"/>
            </w:tcMar>
          </w:tcPr>
          <w:p w14:paraId="123576DD" w14:textId="166B26B9" w:rsidR="00405303" w:rsidRDefault="00307F0A">
            <w:r>
              <w:t>15.1</w:t>
            </w:r>
          </w:p>
        </w:tc>
      </w:tr>
    </w:tbl>
    <w:p w14:paraId="256EC021" w14:textId="77777777" w:rsidR="00405303" w:rsidRPr="00E17E4B" w:rsidRDefault="00405303" w:rsidP="00405303">
      <w:pPr>
        <w:rPr>
          <w:sz w:val="2"/>
          <w:szCs w:val="2"/>
        </w:rPr>
      </w:pPr>
    </w:p>
    <w:p w14:paraId="0D46A0F8" w14:textId="77777777" w:rsidR="00760480" w:rsidRDefault="00760480" w:rsidP="00760480">
      <w:pPr>
        <w:rPr>
          <w:sz w:val="20"/>
          <w:szCs w:val="20"/>
        </w:rPr>
      </w:pPr>
      <w:r w:rsidRPr="00BA2EF4">
        <w:rPr>
          <w:noProof/>
          <w:sz w:val="20"/>
          <w:szCs w:val="20"/>
        </w:rPr>
        <w:drawing>
          <wp:inline distT="0" distB="0" distL="0" distR="0" wp14:anchorId="517C9469" wp14:editId="4B7FF5B5">
            <wp:extent cx="5731510" cy="2393674"/>
            <wp:effectExtent l="0" t="0" r="2540" b="6985"/>
            <wp:docPr id="56593223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2237" name="Picture 1" descr="A screenshot of a graph&#10;&#10;Description automatically generated"/>
                    <pic:cNvPicPr/>
                  </pic:nvPicPr>
                  <pic:blipFill rotWithShape="1">
                    <a:blip r:embed="rId21"/>
                    <a:srcRect t="30960"/>
                    <a:stretch/>
                  </pic:blipFill>
                  <pic:spPr bwMode="auto">
                    <a:xfrm>
                      <a:off x="0" y="0"/>
                      <a:ext cx="5731510" cy="2393674"/>
                    </a:xfrm>
                    <a:prstGeom prst="rect">
                      <a:avLst/>
                    </a:prstGeom>
                    <a:ln>
                      <a:noFill/>
                    </a:ln>
                    <a:extLst>
                      <a:ext uri="{53640926-AAD7-44D8-BBD7-CCE9431645EC}">
                        <a14:shadowObscured xmlns:a14="http://schemas.microsoft.com/office/drawing/2010/main"/>
                      </a:ext>
                    </a:extLst>
                  </pic:spPr>
                </pic:pic>
              </a:graphicData>
            </a:graphic>
          </wp:inline>
        </w:drawing>
      </w:r>
    </w:p>
    <w:p w14:paraId="6999EF42" w14:textId="73843902" w:rsidR="00760480" w:rsidRPr="001F1D58" w:rsidRDefault="001F1D58" w:rsidP="00760480">
      <w:pPr>
        <w:rPr>
          <w:sz w:val="18"/>
          <w:szCs w:val="18"/>
        </w:rPr>
      </w:pPr>
      <w:r w:rsidRPr="001F1D58">
        <w:rPr>
          <w:sz w:val="18"/>
          <w:szCs w:val="18"/>
        </w:rPr>
        <w:t>Source: NDTMS</w:t>
      </w:r>
      <w:r w:rsidR="00F95A26">
        <w:rPr>
          <w:sz w:val="18"/>
          <w:szCs w:val="18"/>
        </w:rPr>
        <w:t>.</w:t>
      </w:r>
    </w:p>
    <w:p w14:paraId="65F01976" w14:textId="746082D6" w:rsidR="00FB0D4E" w:rsidRDefault="00FB0D4E" w:rsidP="00FB0D4E">
      <w:pPr>
        <w:rPr>
          <w:sz w:val="20"/>
          <w:szCs w:val="20"/>
        </w:rPr>
      </w:pPr>
    </w:p>
    <w:p w14:paraId="18EAD09B" w14:textId="43B355FE" w:rsidR="00AB7951" w:rsidRPr="001F1D58" w:rsidRDefault="00AB7951" w:rsidP="001F1D58">
      <w:pPr>
        <w:rPr>
          <w:b/>
          <w:bCs/>
        </w:rPr>
      </w:pPr>
      <w:r w:rsidRPr="001F1D58">
        <w:rPr>
          <w:b/>
          <w:bCs/>
        </w:rPr>
        <w:t xml:space="preserve">Other </w:t>
      </w:r>
      <w:r w:rsidR="001F1D58">
        <w:rPr>
          <w:b/>
          <w:bCs/>
        </w:rPr>
        <w:t>Substances</w:t>
      </w:r>
    </w:p>
    <w:p w14:paraId="1E1D1FF3" w14:textId="5FF18953" w:rsidR="006F3AC6" w:rsidRDefault="00C11F9B" w:rsidP="006F3AC6">
      <w:r w:rsidRPr="00C11F9B">
        <w:t xml:space="preserve">Prevalence estimates for other substances are not available, so patterns of use and trends are monitored through service user reports, national surveys, and routine data. </w:t>
      </w:r>
      <w:r w:rsidR="00D35834">
        <w:t>S</w:t>
      </w:r>
      <w:r w:rsidR="00D35834" w:rsidRPr="00D35834">
        <w:t>ubstances reported by adult service users to NDTMS as their ‘top three’ problem substances</w:t>
      </w:r>
      <w:r w:rsidR="00D35834">
        <w:t xml:space="preserve"> </w:t>
      </w:r>
      <w:r w:rsidRPr="00C11F9B">
        <w:t>provide some insight into local trends, though it's important to note that this data reflects only those in treatment and doesn't represent the wider population.</w:t>
      </w:r>
      <w:r w:rsidR="006F3AC6">
        <w:t xml:space="preserve"> </w:t>
      </w:r>
      <w:r w:rsidR="00815DC2">
        <w:t>Note that s</w:t>
      </w:r>
      <w:r w:rsidR="00815DC2" w:rsidRPr="00815DC2">
        <w:t xml:space="preserve">ubstances used in combination may be underrepresented due to the </w:t>
      </w:r>
      <w:r w:rsidR="00960899">
        <w:t>‘</w:t>
      </w:r>
      <w:proofErr w:type="gramStart"/>
      <w:r w:rsidR="00815DC2" w:rsidRPr="00815DC2">
        <w:t>top-three</w:t>
      </w:r>
      <w:proofErr w:type="gramEnd"/>
      <w:r w:rsidR="00960899">
        <w:t>’</w:t>
      </w:r>
      <w:r w:rsidR="00815DC2" w:rsidRPr="00815DC2">
        <w:t xml:space="preserve"> rule, and the percentages should not be interpreted as prevalence rates.</w:t>
      </w:r>
    </w:p>
    <w:p w14:paraId="5E5F7C2D" w14:textId="66B4F302" w:rsidR="006F3AC6" w:rsidRDefault="006F3AC6" w:rsidP="006F3AC6">
      <w:r>
        <w:t xml:space="preserve">The </w:t>
      </w:r>
      <w:proofErr w:type="gramStart"/>
      <w:r w:rsidRPr="003A6E71">
        <w:rPr>
          <w:b/>
          <w:bCs/>
        </w:rPr>
        <w:t>most commonly cited</w:t>
      </w:r>
      <w:proofErr w:type="gramEnd"/>
      <w:r w:rsidRPr="003A6E71">
        <w:rPr>
          <w:b/>
          <w:bCs/>
        </w:rPr>
        <w:t xml:space="preserve"> substances are cannabis</w:t>
      </w:r>
      <w:r w:rsidR="001F1D58" w:rsidRPr="003A6E71">
        <w:rPr>
          <w:b/>
          <w:bCs/>
        </w:rPr>
        <w:t xml:space="preserve"> (</w:t>
      </w:r>
      <w:r w:rsidR="00C11F9B" w:rsidRPr="003A6E71">
        <w:rPr>
          <w:b/>
          <w:bCs/>
        </w:rPr>
        <w:t xml:space="preserve">around 60% </w:t>
      </w:r>
      <w:r w:rsidR="001F1D58" w:rsidRPr="003A6E71">
        <w:rPr>
          <w:b/>
          <w:bCs/>
        </w:rPr>
        <w:t>of citations)</w:t>
      </w:r>
      <w:r w:rsidRPr="003A6E71">
        <w:rPr>
          <w:b/>
          <w:bCs/>
        </w:rPr>
        <w:t>, powdered cocaine</w:t>
      </w:r>
      <w:r w:rsidR="001F1D58" w:rsidRPr="003A6E71">
        <w:rPr>
          <w:b/>
          <w:bCs/>
        </w:rPr>
        <w:t xml:space="preserve"> (around </w:t>
      </w:r>
      <w:r w:rsidR="00C11F9B" w:rsidRPr="003A6E71">
        <w:rPr>
          <w:b/>
          <w:bCs/>
        </w:rPr>
        <w:t>34%</w:t>
      </w:r>
      <w:r w:rsidR="001F1D58" w:rsidRPr="003A6E71">
        <w:rPr>
          <w:b/>
          <w:bCs/>
        </w:rPr>
        <w:t>)</w:t>
      </w:r>
      <w:r w:rsidRPr="003A6E71">
        <w:rPr>
          <w:b/>
          <w:bCs/>
        </w:rPr>
        <w:t>, and crack</w:t>
      </w:r>
      <w:r w:rsidR="001F1D58" w:rsidRPr="003A6E71">
        <w:rPr>
          <w:b/>
          <w:bCs/>
        </w:rPr>
        <w:t xml:space="preserve"> (</w:t>
      </w:r>
      <w:r w:rsidR="00C11F9B" w:rsidRPr="003A6E71">
        <w:rPr>
          <w:b/>
          <w:bCs/>
        </w:rPr>
        <w:t xml:space="preserve">around </w:t>
      </w:r>
      <w:r w:rsidR="001F1D58" w:rsidRPr="003A6E71">
        <w:rPr>
          <w:b/>
          <w:bCs/>
        </w:rPr>
        <w:t>15%)</w:t>
      </w:r>
      <w:r>
        <w:t xml:space="preserve">. Notable trends in </w:t>
      </w:r>
      <w:r w:rsidR="001F1D58">
        <w:t xml:space="preserve">other substances in </w:t>
      </w:r>
      <w:r>
        <w:t xml:space="preserve">Peterborough </w:t>
      </w:r>
      <w:r w:rsidR="001F1D58">
        <w:t xml:space="preserve">compared with England </w:t>
      </w:r>
      <w:r>
        <w:t>include:</w:t>
      </w:r>
    </w:p>
    <w:p w14:paraId="102BAE75" w14:textId="5FABA39F" w:rsidR="006F3AC6" w:rsidRDefault="006F3AC6" w:rsidP="00B80EAF">
      <w:pPr>
        <w:pStyle w:val="ListParagraph"/>
        <w:numPr>
          <w:ilvl w:val="0"/>
          <w:numId w:val="6"/>
        </w:numPr>
      </w:pPr>
      <w:r w:rsidRPr="003A6E71">
        <w:rPr>
          <w:b/>
          <w:bCs/>
        </w:rPr>
        <w:lastRenderedPageBreak/>
        <w:t>Amphetamines</w:t>
      </w:r>
      <w:r>
        <w:t xml:space="preserve"> are more commonly cited in Peterborough than in England</w:t>
      </w:r>
      <w:r w:rsidR="00C11F9B">
        <w:t xml:space="preserve"> (7.3% compared with 3.6%)</w:t>
      </w:r>
      <w:r>
        <w:t xml:space="preserve">, </w:t>
      </w:r>
    </w:p>
    <w:p w14:paraId="76D06564" w14:textId="56684CDC" w:rsidR="006F3AC6" w:rsidRDefault="006F3AC6" w:rsidP="00B80EAF">
      <w:pPr>
        <w:pStyle w:val="ListParagraph"/>
        <w:numPr>
          <w:ilvl w:val="0"/>
          <w:numId w:val="6"/>
        </w:numPr>
      </w:pPr>
      <w:r w:rsidRPr="003A6E71">
        <w:rPr>
          <w:b/>
          <w:bCs/>
        </w:rPr>
        <w:t>Ketamine and Benzodiazepines</w:t>
      </w:r>
      <w:r>
        <w:t xml:space="preserve"> are less commonly cited in Peterborough than in England</w:t>
      </w:r>
      <w:r w:rsidR="00C11F9B">
        <w:t xml:space="preserve"> (3.9% and 3.9% in Peterborough, compared with 8.0% and 4.9% in England respectively)</w:t>
      </w:r>
      <w:r w:rsidR="001F1D58">
        <w:t>,</w:t>
      </w:r>
    </w:p>
    <w:p w14:paraId="33CE9195" w14:textId="7B69E4BF" w:rsidR="006F3AC6" w:rsidRDefault="006F3AC6" w:rsidP="00B80EAF">
      <w:pPr>
        <w:pStyle w:val="ListParagraph"/>
        <w:numPr>
          <w:ilvl w:val="0"/>
          <w:numId w:val="6"/>
        </w:numPr>
      </w:pPr>
      <w:r w:rsidRPr="004D332E">
        <w:t xml:space="preserve">A narrower range of substances </w:t>
      </w:r>
      <w:r w:rsidR="001F1D58">
        <w:t xml:space="preserve">were </w:t>
      </w:r>
      <w:r w:rsidRPr="004D332E">
        <w:t>reported locally (1</w:t>
      </w:r>
      <w:r>
        <w:t>7</w:t>
      </w:r>
      <w:r w:rsidRPr="004D332E">
        <w:t xml:space="preserve"> substances</w:t>
      </w:r>
      <w:r w:rsidR="001F1D58">
        <w:t xml:space="preserve"> in 2023-24</w:t>
      </w:r>
      <w:r w:rsidRPr="004D332E">
        <w:t>) compared to England (29 substances</w:t>
      </w:r>
      <w:r w:rsidR="001F1D58">
        <w:t xml:space="preserve"> in 2023-24</w:t>
      </w:r>
      <w:r w:rsidRPr="004D332E">
        <w:t>).</w:t>
      </w:r>
    </w:p>
    <w:p w14:paraId="5B084E29" w14:textId="464F0BFD" w:rsidR="0082580D" w:rsidRDefault="0082580D" w:rsidP="0082580D">
      <w:r>
        <w:t>S</w:t>
      </w:r>
      <w:r w:rsidR="00E75AA3">
        <w:t>ee s</w:t>
      </w:r>
      <w:r>
        <w:t xml:space="preserve">ection 5.4 </w:t>
      </w:r>
      <w:r w:rsidR="00E75AA3">
        <w:t xml:space="preserve">for </w:t>
      </w:r>
      <w:r>
        <w:t>additional detail regarding substance use trends</w:t>
      </w:r>
      <w:r w:rsidR="00E75AA3">
        <w:t>.</w:t>
      </w:r>
    </w:p>
    <w:p w14:paraId="002EF861" w14:textId="77777777" w:rsidR="00AB7951" w:rsidRDefault="00AB7951" w:rsidP="00AB7951"/>
    <w:p w14:paraId="24FB420F" w14:textId="04A1223F" w:rsidR="00AB7951" w:rsidRDefault="009B5041" w:rsidP="009B5041">
      <w:pPr>
        <w:pStyle w:val="Heading4"/>
      </w:pPr>
      <w:r>
        <w:t>Children</w:t>
      </w:r>
    </w:p>
    <w:p w14:paraId="36BBDF64" w14:textId="4E1A2EDB" w:rsidR="00351FB1" w:rsidRDefault="00351FB1" w:rsidP="00351FB1">
      <w:r w:rsidRPr="00381B74">
        <w:t>The</w:t>
      </w:r>
      <w:r>
        <w:t xml:space="preserve">re are no </w:t>
      </w:r>
      <w:r w:rsidRPr="00381B74">
        <w:t>prevalence estimate</w:t>
      </w:r>
      <w:r>
        <w:t xml:space="preserve">s for all those aged under 18 on NDTMS, although the </w:t>
      </w:r>
      <w:r w:rsidR="00EC4F56">
        <w:t xml:space="preserve">data above </w:t>
      </w:r>
      <w:r>
        <w:t>includes some children in groups</w:t>
      </w:r>
      <w:r w:rsidR="00EC4F56">
        <w:t xml:space="preserve"> that start at </w:t>
      </w:r>
      <w:r>
        <w:t xml:space="preserve">age </w:t>
      </w:r>
      <w:r w:rsidRPr="00381B74">
        <w:t xml:space="preserve">15. </w:t>
      </w:r>
    </w:p>
    <w:p w14:paraId="5B13C122" w14:textId="785F5961" w:rsidR="00A66EF4" w:rsidRDefault="00A66EF4" w:rsidP="00A66EF4">
      <w:r w:rsidRPr="008650B0">
        <w:t xml:space="preserve">A </w:t>
      </w:r>
      <w:r w:rsidRPr="002512C9">
        <w:rPr>
          <w:b/>
          <w:bCs/>
        </w:rPr>
        <w:t>local survey</w:t>
      </w:r>
      <w:r w:rsidRPr="008650B0">
        <w:t xml:space="preserve">, the </w:t>
      </w:r>
      <w:proofErr w:type="gramStart"/>
      <w:r w:rsidRPr="008650B0">
        <w:t>Health</w:t>
      </w:r>
      <w:proofErr w:type="gramEnd"/>
      <w:r w:rsidRPr="008650B0">
        <w:t>-Related Behaviours Survey (HRBS), is conducted biennially in</w:t>
      </w:r>
      <w:r>
        <w:t xml:space="preserve"> </w:t>
      </w:r>
      <w:r w:rsidRPr="00381B74">
        <w:t>Peterborough</w:t>
      </w:r>
      <w:r>
        <w:t xml:space="preserve"> </w:t>
      </w:r>
      <w:r w:rsidR="00E75AA3">
        <w:t>for students in</w:t>
      </w:r>
      <w:r w:rsidRPr="0014766F">
        <w:t xml:space="preserve"> </w:t>
      </w:r>
      <w:r w:rsidR="000D5023">
        <w:t>y</w:t>
      </w:r>
      <w:r w:rsidRPr="0014766F">
        <w:t xml:space="preserve">ear 8 and </w:t>
      </w:r>
      <w:r w:rsidR="000D5023">
        <w:t>y</w:t>
      </w:r>
      <w:r w:rsidRPr="0014766F">
        <w:t xml:space="preserve">ear 10 (aged 12-15) and provides valuable additional insights about substance use in this area. </w:t>
      </w:r>
      <w:r w:rsidRPr="00381B74">
        <w:t>This data can be utili</w:t>
      </w:r>
      <w:r>
        <w:t>s</w:t>
      </w:r>
      <w:r w:rsidRPr="00381B74">
        <w:t>ed to understand current behavio</w:t>
      </w:r>
      <w:r>
        <w:t>u</w:t>
      </w:r>
      <w:r w:rsidRPr="00381B74">
        <w:t>rs, identify trends over time, and inform targeted health interventions for the youth in the community.</w:t>
      </w:r>
    </w:p>
    <w:p w14:paraId="34C649BB" w14:textId="7CF4DF56" w:rsidR="00C11F9B" w:rsidRDefault="00A66EF4" w:rsidP="00C11F9B">
      <w:r>
        <w:t xml:space="preserve">The most recent HRBS </w:t>
      </w:r>
      <w:r w:rsidR="00C11F9B" w:rsidRPr="00C11F9B">
        <w:t>was conducted in 2024 among students in Peterborough</w:t>
      </w:r>
      <w:r w:rsidR="00EA1180">
        <w:fldChar w:fldCharType="begin"/>
      </w:r>
      <w:r w:rsidR="00EA1180">
        <w:instrText xml:space="preserve"> NOTEREF  _Ref196744295 \f \h </w:instrText>
      </w:r>
      <w:r w:rsidR="00EA1180">
        <w:fldChar w:fldCharType="separate"/>
      </w:r>
      <w:r w:rsidR="00EA1180" w:rsidRPr="00EA1180">
        <w:rPr>
          <w:rStyle w:val="FootnoteReference"/>
        </w:rPr>
        <w:t>12</w:t>
      </w:r>
      <w:r w:rsidR="00EA1180">
        <w:fldChar w:fldCharType="end"/>
      </w:r>
      <w:r w:rsidR="00C11F9B" w:rsidRPr="00C11F9B">
        <w:t>. It should be noted that this survey included 2,114 students and was conducted through schools. As such, the findings may not be fully representative of all young people in the area</w:t>
      </w:r>
      <w:r w:rsidR="00CB11E6">
        <w:t xml:space="preserve">; </w:t>
      </w:r>
      <w:r w:rsidR="00C11F9B" w:rsidRPr="00C11F9B">
        <w:t>it excludes those not attending school and may not capture the diversity of experiences across different communities.</w:t>
      </w:r>
      <w:r w:rsidR="008266D7">
        <w:t xml:space="preserve"> Data by gender here is only broken down into male and female </w:t>
      </w:r>
      <w:r w:rsidR="002A5B2D">
        <w:t xml:space="preserve">as </w:t>
      </w:r>
      <w:r w:rsidR="00FD3C41">
        <w:t xml:space="preserve">lower numbers in other genders </w:t>
      </w:r>
      <w:r w:rsidR="002A5B2D" w:rsidRPr="002A5B2D">
        <w:t>have been suppressed to maintain confidentiality</w:t>
      </w:r>
      <w:r w:rsidR="002A5B2D">
        <w:t>.</w:t>
      </w:r>
    </w:p>
    <w:p w14:paraId="1B2D1D59" w14:textId="2FC2F8E4" w:rsidR="00A66EF4" w:rsidRDefault="00A66EF4" w:rsidP="00C11F9B">
      <w:r w:rsidRPr="00D3330B">
        <w:t xml:space="preserve">Among </w:t>
      </w:r>
      <w:r w:rsidR="000D5023">
        <w:t>y</w:t>
      </w:r>
      <w:r w:rsidRPr="00D3330B">
        <w:t xml:space="preserve">ear 8 and </w:t>
      </w:r>
      <w:r w:rsidR="000D5023">
        <w:t>y</w:t>
      </w:r>
      <w:r w:rsidRPr="00D3330B">
        <w:t xml:space="preserve">ear 10 students surveyed, the </w:t>
      </w:r>
      <w:r w:rsidRPr="00F86B43">
        <w:rPr>
          <w:b/>
          <w:bCs/>
        </w:rPr>
        <w:t>likelihood of being offered drugs</w:t>
      </w:r>
      <w:r w:rsidRPr="00D3330B">
        <w:t xml:space="preserve"> </w:t>
      </w:r>
      <w:r w:rsidRPr="003703CD">
        <w:rPr>
          <w:b/>
          <w:bCs/>
        </w:rPr>
        <w:t>increased significantly with age</w:t>
      </w:r>
      <w:r w:rsidRPr="00D3330B">
        <w:t xml:space="preserve">. While </w:t>
      </w:r>
      <w:r>
        <w:t>9.5</w:t>
      </w:r>
      <w:r w:rsidRPr="00D3330B">
        <w:t xml:space="preserve">% of </w:t>
      </w:r>
      <w:r w:rsidR="000D5023">
        <w:t>y</w:t>
      </w:r>
      <w:r w:rsidRPr="00D3330B">
        <w:t>ear 8 students reported being offered cannabis or other drugs to get high, this rose to 2</w:t>
      </w:r>
      <w:r>
        <w:t>1.6%</w:t>
      </w:r>
      <w:r w:rsidRPr="00D3330B">
        <w:t xml:space="preserve"> </w:t>
      </w:r>
      <w:r w:rsidR="00CB11E6">
        <w:t xml:space="preserve">of </w:t>
      </w:r>
      <w:r w:rsidR="000D5023">
        <w:t>y</w:t>
      </w:r>
      <w:r w:rsidRPr="00D3330B">
        <w:t xml:space="preserve">ear 10 students. </w:t>
      </w:r>
      <w:r w:rsidR="0013746C">
        <w:t>A slightly higher proportion of females reported being offered drugs, but this was not statistically significant.</w:t>
      </w:r>
    </w:p>
    <w:p w14:paraId="296A9C25" w14:textId="77777777" w:rsidR="00496705" w:rsidRDefault="00A66EF4" w:rsidP="00A66EF4">
      <w:r w:rsidRPr="00F86B43">
        <w:rPr>
          <w:b/>
          <w:bCs/>
        </w:rPr>
        <w:t>Actual drug use was</w:t>
      </w:r>
      <w:r w:rsidRPr="002D6319">
        <w:t xml:space="preserve"> lower than the figures for being offered drugs, with </w:t>
      </w:r>
      <w:r w:rsidRPr="00563D08">
        <w:rPr>
          <w:b/>
          <w:bCs/>
        </w:rPr>
        <w:t>5.5% of students</w:t>
      </w:r>
      <w:r w:rsidRPr="002D6319">
        <w:t xml:space="preserve"> across both year groups and </w:t>
      </w:r>
      <w:r w:rsidR="00C81430">
        <w:t xml:space="preserve">all </w:t>
      </w:r>
      <w:r w:rsidRPr="002D6319">
        <w:t xml:space="preserve">genders </w:t>
      </w:r>
      <w:r>
        <w:t xml:space="preserve">stating that they </w:t>
      </w:r>
      <w:r w:rsidRPr="00563D08">
        <w:rPr>
          <w:b/>
          <w:bCs/>
        </w:rPr>
        <w:t>had taken any drugs to get high</w:t>
      </w:r>
      <w:r w:rsidRPr="002D6319">
        <w:t xml:space="preserve">. </w:t>
      </w:r>
    </w:p>
    <w:p w14:paraId="724E3EE5" w14:textId="7271B48B" w:rsidR="00D922CC" w:rsidRDefault="00A66EF4" w:rsidP="00B80EAF">
      <w:pPr>
        <w:pStyle w:val="ListParagraph"/>
        <w:numPr>
          <w:ilvl w:val="0"/>
          <w:numId w:val="6"/>
        </w:numPr>
      </w:pPr>
      <w:r w:rsidRPr="16F14F99">
        <w:rPr>
          <w:b/>
          <w:bCs/>
        </w:rPr>
        <w:t>Year 10</w:t>
      </w:r>
      <w:r>
        <w:t xml:space="preserve"> students reported </w:t>
      </w:r>
      <w:r w:rsidRPr="16F14F99">
        <w:rPr>
          <w:b/>
          <w:bCs/>
        </w:rPr>
        <w:t>higher</w:t>
      </w:r>
      <w:r>
        <w:t xml:space="preserve"> levels of use compared to their </w:t>
      </w:r>
      <w:r w:rsidR="000D5023">
        <w:t>y</w:t>
      </w:r>
      <w:r>
        <w:t xml:space="preserve">ear 8 counterparts (8.7% versus 2.6%). </w:t>
      </w:r>
    </w:p>
    <w:p w14:paraId="45DC4271" w14:textId="23AB66A6" w:rsidR="00577C16" w:rsidRDefault="00D922CC" w:rsidP="00B80EAF">
      <w:pPr>
        <w:pStyle w:val="ListParagraph"/>
        <w:numPr>
          <w:ilvl w:val="0"/>
          <w:numId w:val="6"/>
        </w:numPr>
      </w:pPr>
      <w:r>
        <w:t xml:space="preserve">There was a </w:t>
      </w:r>
      <w:r w:rsidRPr="16F14F99">
        <w:rPr>
          <w:b/>
          <w:bCs/>
        </w:rPr>
        <w:t>gender difference</w:t>
      </w:r>
      <w:r w:rsidR="00A66EF4">
        <w:t xml:space="preserve">, with 7.2% of </w:t>
      </w:r>
      <w:r w:rsidR="00A4536C">
        <w:t xml:space="preserve">all </w:t>
      </w:r>
      <w:r w:rsidR="00A66EF4">
        <w:t xml:space="preserve">females and 3.9% of </w:t>
      </w:r>
      <w:r w:rsidR="00A4536C">
        <w:t xml:space="preserve">all </w:t>
      </w:r>
      <w:r w:rsidR="00A66EF4">
        <w:t xml:space="preserve">males </w:t>
      </w:r>
      <w:r w:rsidR="00A4536C">
        <w:t xml:space="preserve">surveyed </w:t>
      </w:r>
      <w:r w:rsidR="00A66EF4">
        <w:t xml:space="preserve">reporting having taken drugs. </w:t>
      </w:r>
    </w:p>
    <w:p w14:paraId="7A8E10DB" w14:textId="7B63C353" w:rsidR="00DA7DAC" w:rsidRDefault="00A66EF4" w:rsidP="00B80EAF">
      <w:pPr>
        <w:pStyle w:val="ListParagraph"/>
        <w:numPr>
          <w:ilvl w:val="0"/>
          <w:numId w:val="6"/>
        </w:numPr>
      </w:pPr>
      <w:r>
        <w:t xml:space="preserve">The </w:t>
      </w:r>
      <w:proofErr w:type="gramStart"/>
      <w:r w:rsidRPr="00D24DF6">
        <w:rPr>
          <w:b/>
          <w:bCs/>
        </w:rPr>
        <w:t>most commonly</w:t>
      </w:r>
      <w:r>
        <w:t xml:space="preserve"> used</w:t>
      </w:r>
      <w:proofErr w:type="gramEnd"/>
      <w:r>
        <w:t xml:space="preserve"> substance was </w:t>
      </w:r>
      <w:r w:rsidRPr="00D24DF6">
        <w:rPr>
          <w:b/>
          <w:bCs/>
        </w:rPr>
        <w:t>cannabis</w:t>
      </w:r>
      <w:r>
        <w:t>, with 2</w:t>
      </w:r>
      <w:r w:rsidRPr="00E728E0">
        <w:t>% of all students report</w:t>
      </w:r>
      <w:r w:rsidR="00A4536C">
        <w:t>ing</w:t>
      </w:r>
      <w:r w:rsidRPr="00E728E0">
        <w:t xml:space="preserve"> us</w:t>
      </w:r>
      <w:r w:rsidR="00A4536C">
        <w:t>e</w:t>
      </w:r>
      <w:r w:rsidRPr="00E728E0">
        <w:t xml:space="preserve"> it in the last month</w:t>
      </w:r>
      <w:r>
        <w:t xml:space="preserve">. </w:t>
      </w:r>
    </w:p>
    <w:p w14:paraId="2CCBA1CC" w14:textId="7BA8172D" w:rsidR="00A66EF4" w:rsidRDefault="00A66EF4" w:rsidP="00B80EAF">
      <w:pPr>
        <w:pStyle w:val="ListParagraph"/>
        <w:numPr>
          <w:ilvl w:val="0"/>
          <w:numId w:val="6"/>
        </w:numPr>
      </w:pPr>
      <w:r>
        <w:t>When analysing by subgroup, y</w:t>
      </w:r>
      <w:r w:rsidRPr="00E728E0">
        <w:t xml:space="preserve">ear 10 females </w:t>
      </w:r>
      <w:r>
        <w:t xml:space="preserve">were the most likely to report cannabis use in the last month (4.5%) with a lower proportion in year 10 </w:t>
      </w:r>
      <w:r w:rsidRPr="00E728E0">
        <w:t>male</w:t>
      </w:r>
      <w:r>
        <w:t xml:space="preserve">s </w:t>
      </w:r>
      <w:r w:rsidRPr="00E728E0">
        <w:t>(</w:t>
      </w:r>
      <w:r>
        <w:t>2.5</w:t>
      </w:r>
      <w:r w:rsidRPr="00E728E0">
        <w:t>%).</w:t>
      </w:r>
    </w:p>
    <w:p w14:paraId="07815E8A" w14:textId="1BFB8A50" w:rsidR="00A66EF4" w:rsidRDefault="00A66EF4" w:rsidP="00A66EF4">
      <w:r>
        <w:t>Other substances were less likely to have been taken</w:t>
      </w:r>
      <w:r w:rsidR="00B116CF">
        <w:t>;</w:t>
      </w:r>
      <w:r>
        <w:t xml:space="preserve"> synthetic cannabinoids, hallucinogens, solvents and ecstasy, were each reported by 0.6-0.7% of respondents, nitrous by 0.5% and cocaine by 0.4%.</w:t>
      </w:r>
    </w:p>
    <w:p w14:paraId="23E3F397" w14:textId="69A5B6E7" w:rsidR="009F4F3A" w:rsidRDefault="00736257" w:rsidP="00DD51EE">
      <w:r>
        <w:lastRenderedPageBreak/>
        <w:t xml:space="preserve">Most students denied knowing </w:t>
      </w:r>
      <w:r w:rsidR="00533041">
        <w:t xml:space="preserve">anyone </w:t>
      </w:r>
      <w:r w:rsidR="00A66EF4">
        <w:t>who they believed took drugs to get high</w:t>
      </w:r>
      <w:r w:rsidR="00533041">
        <w:t>,</w:t>
      </w:r>
      <w:r w:rsidR="00A66EF4">
        <w:t xml:space="preserve"> </w:t>
      </w:r>
      <w:r w:rsidR="00533041">
        <w:t>but</w:t>
      </w:r>
      <w:r w:rsidR="00623437">
        <w:t xml:space="preserve"> </w:t>
      </w:r>
      <w:r w:rsidR="00A66EF4">
        <w:t xml:space="preserve">the proportion of students in </w:t>
      </w:r>
      <w:r w:rsidR="000D5023">
        <w:t>y</w:t>
      </w:r>
      <w:r w:rsidR="00A66EF4">
        <w:t xml:space="preserve">ear 10, particularly females, who are </w:t>
      </w:r>
      <w:r w:rsidR="00A66EF4" w:rsidRPr="00A342A3">
        <w:rPr>
          <w:b/>
          <w:bCs/>
        </w:rPr>
        <w:t>aware of drug use</w:t>
      </w:r>
      <w:r w:rsidR="00A66EF4">
        <w:t xml:space="preserve"> is significant</w:t>
      </w:r>
      <w:r w:rsidR="009F4F3A">
        <w:t>,</w:t>
      </w:r>
      <w:r w:rsidR="00AB62C6">
        <w:t xml:space="preserve"> </w:t>
      </w:r>
      <w:r w:rsidR="009F4F3A">
        <w:t>specifically:</w:t>
      </w:r>
    </w:p>
    <w:p w14:paraId="3394A514" w14:textId="77777777" w:rsidR="00930132" w:rsidRDefault="00930132" w:rsidP="00B80EAF">
      <w:pPr>
        <w:pStyle w:val="ListParagraph"/>
        <w:numPr>
          <w:ilvl w:val="0"/>
          <w:numId w:val="6"/>
        </w:numPr>
      </w:pPr>
      <w:r>
        <w:t xml:space="preserve">13.1% of year 10 females and 8.8% of year 10 males were certain that they knew someone who used drugs. </w:t>
      </w:r>
    </w:p>
    <w:p w14:paraId="1BF8AB43" w14:textId="1FB24076" w:rsidR="00930132" w:rsidRDefault="00930132" w:rsidP="00B80EAF">
      <w:pPr>
        <w:pStyle w:val="ListParagraph"/>
        <w:numPr>
          <w:ilvl w:val="0"/>
          <w:numId w:val="6"/>
        </w:numPr>
      </w:pPr>
      <w:r>
        <w:t>In year 8, 6.3% of females and 4.5% of males were certain they knew someone who used drugs.</w:t>
      </w:r>
    </w:p>
    <w:p w14:paraId="660BA9E9" w14:textId="77777777" w:rsidR="00DE72DB" w:rsidRDefault="00DE72DB" w:rsidP="00DE72DB">
      <w:r w:rsidRPr="00C63517">
        <w:t xml:space="preserve">A </w:t>
      </w:r>
      <w:r w:rsidRPr="00A52535">
        <w:rPr>
          <w:b/>
          <w:bCs/>
        </w:rPr>
        <w:t xml:space="preserve">significant level of uncertainty </w:t>
      </w:r>
      <w:r w:rsidRPr="00C63517">
        <w:t>about drug use among students (12-14% reported ‘not sure’) may point to the need for initiatives that reduce stigma and encourage open conversations, enabling young people to seek help and make informed decisions about drug-related risks.</w:t>
      </w:r>
    </w:p>
    <w:p w14:paraId="79023DD9" w14:textId="5D1E811C" w:rsidR="00DE72DB" w:rsidRDefault="00843A5B" w:rsidP="00A66EF4">
      <w:r>
        <w:t>Exposure and use p</w:t>
      </w:r>
      <w:r w:rsidR="00DE72DB">
        <w:t>attern</w:t>
      </w:r>
      <w:r>
        <w:t>s</w:t>
      </w:r>
      <w:r w:rsidR="00DE72DB">
        <w:t xml:space="preserve"> </w:t>
      </w:r>
      <w:r w:rsidR="001868C1">
        <w:t xml:space="preserve">identified in this data </w:t>
      </w:r>
      <w:r w:rsidR="00DE72DB">
        <w:t xml:space="preserve">can </w:t>
      </w:r>
      <w:r w:rsidR="00885F56" w:rsidRPr="00C63517">
        <w:t>inform timing and targeting of prevention programs</w:t>
      </w:r>
      <w:r w:rsidR="00885F56">
        <w:t>,</w:t>
      </w:r>
      <w:r w:rsidR="00885F56" w:rsidRPr="00C63517">
        <w:t xml:space="preserve"> </w:t>
      </w:r>
      <w:r w:rsidR="00AA187C">
        <w:t xml:space="preserve">which </w:t>
      </w:r>
      <w:r w:rsidR="00E10AED" w:rsidRPr="00E10AED">
        <w:t>should consider the increasing exposure in older students and tailor interventions to address gender-specific risks and peer dynamics.</w:t>
      </w:r>
    </w:p>
    <w:p w14:paraId="0B826A07" w14:textId="77777777" w:rsidR="00C63517" w:rsidRPr="00C63517" w:rsidRDefault="00C63517" w:rsidP="00A66EF4"/>
    <w:p w14:paraId="4E7A1F8D" w14:textId="53EAB6A8" w:rsidR="002150F1" w:rsidRDefault="002150F1" w:rsidP="00EE708D">
      <w:pPr>
        <w:pStyle w:val="Heading3"/>
      </w:pPr>
      <w:bookmarkStart w:id="43" w:name="_Toc200479480"/>
      <w:r>
        <w:t>Service User Epidemiology</w:t>
      </w:r>
      <w:bookmarkEnd w:id="43"/>
    </w:p>
    <w:p w14:paraId="5BA28959" w14:textId="783BDBDB" w:rsidR="00930249" w:rsidRDefault="0030499B" w:rsidP="00930249">
      <w:r>
        <w:t>This section presents a</w:t>
      </w:r>
      <w:r w:rsidR="00930249">
        <w:t xml:space="preserve">nalysis of </w:t>
      </w:r>
      <w:r w:rsidR="00057259">
        <w:t xml:space="preserve">people in community-based treatment </w:t>
      </w:r>
      <w:r w:rsidR="00344A75">
        <w:t xml:space="preserve">for </w:t>
      </w:r>
      <w:r w:rsidR="00930249">
        <w:t>drugs</w:t>
      </w:r>
      <w:r>
        <w:t xml:space="preserve">, </w:t>
      </w:r>
      <w:r w:rsidR="00930249">
        <w:t>includ</w:t>
      </w:r>
      <w:r>
        <w:t>ing</w:t>
      </w:r>
      <w:r w:rsidR="00930249">
        <w:t xml:space="preserve"> those in treatment for opiates and non-opiates</w:t>
      </w:r>
      <w:r w:rsidR="00654D6D">
        <w:t xml:space="preserve"> both </w:t>
      </w:r>
      <w:r w:rsidR="00930249">
        <w:t xml:space="preserve">with </w:t>
      </w:r>
      <w:r w:rsidR="00654D6D">
        <w:t xml:space="preserve">and </w:t>
      </w:r>
      <w:r w:rsidR="00930249">
        <w:t>without additional use of alcohol. Those in treatment for alcohol-only are discussed later.</w:t>
      </w:r>
    </w:p>
    <w:p w14:paraId="0C24D980" w14:textId="17DF9912" w:rsidR="00BC0FE0" w:rsidRDefault="00930249" w:rsidP="00BC0FE0">
      <w:r>
        <w:t xml:space="preserve">In the year ending March 2024, there were </w:t>
      </w:r>
      <w:r w:rsidRPr="00383F18">
        <w:rPr>
          <w:b/>
          <w:bCs/>
        </w:rPr>
        <w:t>1</w:t>
      </w:r>
      <w:r w:rsidR="008D1790" w:rsidRPr="00383F18">
        <w:rPr>
          <w:b/>
          <w:bCs/>
        </w:rPr>
        <w:t>,</w:t>
      </w:r>
      <w:r w:rsidRPr="00383F18">
        <w:rPr>
          <w:b/>
          <w:bCs/>
        </w:rPr>
        <w:t>281 adults</w:t>
      </w:r>
      <w:r>
        <w:t xml:space="preserve"> (18 years and above) in treatment for drugs in Peterborough. This marks </w:t>
      </w:r>
      <w:r w:rsidRPr="0098780D">
        <w:rPr>
          <w:b/>
          <w:bCs/>
        </w:rPr>
        <w:t>an increase of 7.3</w:t>
      </w:r>
      <w:r w:rsidR="00124530">
        <w:rPr>
          <w:b/>
          <w:bCs/>
        </w:rPr>
        <w:t xml:space="preserve">% </w:t>
      </w:r>
      <w:r>
        <w:t xml:space="preserve">from 1194 in the year ending March 2023. This rise is in the context of uncertain prevalence </w:t>
      </w:r>
      <w:r w:rsidR="005B03E1">
        <w:t>trends but</w:t>
      </w:r>
      <w:r>
        <w:t xml:space="preserve"> suggest</w:t>
      </w:r>
      <w:r w:rsidR="005B03E1">
        <w:t>s</w:t>
      </w:r>
      <w:r>
        <w:t xml:space="preserve"> that </w:t>
      </w:r>
      <w:r w:rsidR="00E1115D" w:rsidRPr="0098780D">
        <w:rPr>
          <w:b/>
          <w:bCs/>
        </w:rPr>
        <w:t xml:space="preserve">additional </w:t>
      </w:r>
      <w:r w:rsidR="00654D6D" w:rsidRPr="0098780D">
        <w:rPr>
          <w:b/>
          <w:bCs/>
        </w:rPr>
        <w:t xml:space="preserve">funding and </w:t>
      </w:r>
      <w:r w:rsidRPr="0098780D">
        <w:rPr>
          <w:b/>
          <w:bCs/>
        </w:rPr>
        <w:t>concerted local efforts to engage more individuals</w:t>
      </w:r>
      <w:r>
        <w:t xml:space="preserve"> in need of support </w:t>
      </w:r>
      <w:r w:rsidRPr="0098780D">
        <w:rPr>
          <w:b/>
          <w:bCs/>
        </w:rPr>
        <w:t xml:space="preserve">have had an </w:t>
      </w:r>
      <w:r w:rsidR="00654D6D" w:rsidRPr="0098780D">
        <w:rPr>
          <w:b/>
          <w:bCs/>
        </w:rPr>
        <w:t>impact</w:t>
      </w:r>
      <w:r>
        <w:t xml:space="preserve">. Nationally, treatment numbers have increased by a smaller amount over the same </w:t>
      </w:r>
      <w:proofErr w:type="gramStart"/>
      <w:r>
        <w:t>time period</w:t>
      </w:r>
      <w:proofErr w:type="gramEnd"/>
      <w:r w:rsidR="0065092B">
        <w:t xml:space="preserve"> (6.4</w:t>
      </w:r>
      <w:r w:rsidR="00124530">
        <w:t>%</w:t>
      </w:r>
      <w:r w:rsidR="0065092B">
        <w:t>)</w:t>
      </w:r>
      <w:r w:rsidR="0004528D">
        <w:t xml:space="preserve">. </w:t>
      </w:r>
      <w:r w:rsidR="00EB5242">
        <w:t>The proportion of new presentations for treatment was higher</w:t>
      </w:r>
      <w:r w:rsidR="00AD5E21">
        <w:t xml:space="preserve"> in Peterborough than nationally, 47.8% compared with 42.9%, </w:t>
      </w:r>
      <w:r w:rsidR="00652EDA" w:rsidRPr="00652EDA">
        <w:t xml:space="preserve">reflecting an </w:t>
      </w:r>
      <w:r w:rsidR="00652EDA" w:rsidRPr="0090497B">
        <w:rPr>
          <w:b/>
          <w:bCs/>
        </w:rPr>
        <w:t>increase in new individuals</w:t>
      </w:r>
      <w:r w:rsidR="00652EDA" w:rsidRPr="00652EDA">
        <w:t xml:space="preserve"> coming forward for support, rather than just extended </w:t>
      </w:r>
      <w:r w:rsidR="00324896">
        <w:t>care</w:t>
      </w:r>
      <w:r w:rsidR="00652EDA" w:rsidRPr="00652EDA">
        <w:t xml:space="preserve"> for those already in </w:t>
      </w:r>
      <w:r w:rsidR="00324896">
        <w:t>treatment</w:t>
      </w:r>
      <w:r w:rsidR="00652EDA" w:rsidRPr="00652EDA">
        <w:t>.</w:t>
      </w:r>
    </w:p>
    <w:p w14:paraId="3F25F3E3" w14:textId="163EDBD8" w:rsidR="00756321" w:rsidRDefault="00471B6C" w:rsidP="00471B6C">
      <w:r>
        <w:t xml:space="preserve">Analysis of treatment </w:t>
      </w:r>
      <w:r w:rsidRPr="00777C28">
        <w:t xml:space="preserve">numbers by substance type reveals </w:t>
      </w:r>
      <w:r>
        <w:t>that the</w:t>
      </w:r>
      <w:r w:rsidRPr="00777C28">
        <w:t xml:space="preserve"> </w:t>
      </w:r>
      <w:r>
        <w:t xml:space="preserve">increase in the </w:t>
      </w:r>
      <w:r w:rsidRPr="00777C28">
        <w:t xml:space="preserve">number </w:t>
      </w:r>
      <w:r>
        <w:t xml:space="preserve">of people </w:t>
      </w:r>
      <w:r w:rsidRPr="00777C28">
        <w:t xml:space="preserve">in treatment </w:t>
      </w:r>
      <w:r>
        <w:t xml:space="preserve">is </w:t>
      </w:r>
      <w:r w:rsidRPr="00DC648A">
        <w:rPr>
          <w:b/>
          <w:bCs/>
        </w:rPr>
        <w:t>not equally spread across all substances</w:t>
      </w:r>
      <w:r>
        <w:t xml:space="preserve">. </w:t>
      </w:r>
      <w:r w:rsidR="00EC1786">
        <w:t xml:space="preserve">This is analysed and </w:t>
      </w:r>
      <w:r w:rsidR="00756321">
        <w:t>presented here in substance groups</w:t>
      </w:r>
      <w:r w:rsidR="00BC01C0">
        <w:t xml:space="preserve"> as </w:t>
      </w:r>
      <w:r w:rsidR="00A5464B">
        <w:t>categorised by NDTMS</w:t>
      </w:r>
      <w:r w:rsidR="00A5464B">
        <w:rPr>
          <w:rStyle w:val="FootnoteReference"/>
        </w:rPr>
        <w:footnoteReference w:id="18"/>
      </w:r>
      <w:r w:rsidR="00756321">
        <w:t>.</w:t>
      </w:r>
    </w:p>
    <w:p w14:paraId="05911C77" w14:textId="36A61F78" w:rsidR="005154ED" w:rsidRDefault="00471B6C" w:rsidP="005154ED">
      <w:r>
        <w:t xml:space="preserve">The number of people in treatment for </w:t>
      </w:r>
      <w:r w:rsidR="00C83D55">
        <w:t>opiates ha</w:t>
      </w:r>
      <w:r w:rsidR="00734A52">
        <w:t>s</w:t>
      </w:r>
      <w:r w:rsidR="00C83D55">
        <w:t xml:space="preserve"> reduced (in groups </w:t>
      </w:r>
      <w:r>
        <w:t>‘opiates-only’ and ‘opiates and crack’</w:t>
      </w:r>
      <w:r w:rsidR="00D032A5">
        <w:t>)</w:t>
      </w:r>
      <w:r>
        <w:t xml:space="preserve"> </w:t>
      </w:r>
      <w:r w:rsidR="00D032A5">
        <w:t xml:space="preserve">since </w:t>
      </w:r>
      <w:r>
        <w:t>2020, whilst treatment numbers across the other groups have increased</w:t>
      </w:r>
      <w:r w:rsidR="005154ED">
        <w:t xml:space="preserve">. Numbers of new presentations to treatment services by substance type is shown in Figure </w:t>
      </w:r>
      <w:r w:rsidR="00650D82">
        <w:t>5</w:t>
      </w:r>
      <w:r w:rsidR="005154ED">
        <w:t>.2</w:t>
      </w:r>
      <w:r w:rsidR="00650D82">
        <w:t>d</w:t>
      </w:r>
      <w:r w:rsidR="005154ED">
        <w:t>.</w:t>
      </w:r>
    </w:p>
    <w:p w14:paraId="55963D78" w14:textId="77777777" w:rsidR="003D1040" w:rsidRDefault="003D1040" w:rsidP="00385544">
      <w:pPr>
        <w:pStyle w:val="Heading6"/>
        <w:sectPr w:rsidR="003D1040">
          <w:pgSz w:w="11906" w:h="16838"/>
          <w:pgMar w:top="1440" w:right="1440" w:bottom="1440" w:left="1440" w:header="708" w:footer="708" w:gutter="0"/>
          <w:cols w:space="708"/>
          <w:docGrid w:linePitch="360"/>
        </w:sectPr>
      </w:pPr>
    </w:p>
    <w:p w14:paraId="36329B7E" w14:textId="1EE54106" w:rsidR="00905D19" w:rsidRDefault="00905D19" w:rsidP="00905D19"/>
    <w:p w14:paraId="1CA7E2CC" w14:textId="46A8B51D" w:rsidR="00471B6C" w:rsidRDefault="00471B6C" w:rsidP="00385544">
      <w:pPr>
        <w:pStyle w:val="Heading6"/>
      </w:pPr>
      <w:r>
        <w:t xml:space="preserve">Figure </w:t>
      </w:r>
      <w:r w:rsidR="00650D82">
        <w:t>5</w:t>
      </w:r>
      <w:r w:rsidR="005154ED">
        <w:t>.2</w:t>
      </w:r>
      <w:r w:rsidR="00650D82">
        <w:t>d</w:t>
      </w:r>
      <w:r>
        <w:t>. Number of adults (18 years</w:t>
      </w:r>
      <w:r w:rsidR="00045107">
        <w:t xml:space="preserve"> and older) </w:t>
      </w:r>
      <w:r>
        <w:t>newly presenting for treatment for drugs in Peterborough between March 2020 and March 2024, by substance type:</w:t>
      </w:r>
    </w:p>
    <w:p w14:paraId="53E0F036" w14:textId="5B2DFB58" w:rsidR="00CE2389" w:rsidRDefault="00CE2389" w:rsidP="00CE2389">
      <w:r w:rsidRPr="00CE2389">
        <w:rPr>
          <w:noProof/>
        </w:rPr>
        <w:drawing>
          <wp:inline distT="0" distB="0" distL="0" distR="0" wp14:anchorId="0E104CD1" wp14:editId="16336812">
            <wp:extent cx="8889834" cy="4037163"/>
            <wp:effectExtent l="0" t="0" r="6985" b="1905"/>
            <wp:docPr id="114" name="Picture 113" descr="A graph of green lines&#10;&#10;AI-generated content may be incorrect.">
              <a:extLst xmlns:a="http://schemas.openxmlformats.org/drawingml/2006/main">
                <a:ext uri="{FF2B5EF4-FFF2-40B4-BE49-F238E27FC236}">
                  <a16:creationId xmlns:a16="http://schemas.microsoft.com/office/drawing/2014/main" id="{8F1FE691-F550-6CF6-1597-48BCFD18D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descr="A graph of green lines&#10;&#10;AI-generated content may be incorrect.">
                      <a:extLst>
                        <a:ext uri="{FF2B5EF4-FFF2-40B4-BE49-F238E27FC236}">
                          <a16:creationId xmlns:a16="http://schemas.microsoft.com/office/drawing/2014/main" id="{8F1FE691-F550-6CF6-1597-48BCFD18D509}"/>
                        </a:ext>
                      </a:extLst>
                    </pic:cNvPr>
                    <pic:cNvPicPr>
                      <a:picLocks noChangeAspect="1"/>
                    </pic:cNvPicPr>
                  </pic:nvPicPr>
                  <pic:blipFill>
                    <a:blip r:embed="rId22"/>
                    <a:stretch>
                      <a:fillRect/>
                    </a:stretch>
                  </pic:blipFill>
                  <pic:spPr>
                    <a:xfrm>
                      <a:off x="0" y="0"/>
                      <a:ext cx="8917686" cy="4049811"/>
                    </a:xfrm>
                    <a:prstGeom prst="rect">
                      <a:avLst/>
                    </a:prstGeom>
                  </pic:spPr>
                </pic:pic>
              </a:graphicData>
            </a:graphic>
          </wp:inline>
        </w:drawing>
      </w:r>
    </w:p>
    <w:p w14:paraId="7AB1B663" w14:textId="73DF56F0" w:rsidR="00471B6C" w:rsidRPr="00AF061F" w:rsidRDefault="00C5303E" w:rsidP="00471B6C">
      <w:pPr>
        <w:rPr>
          <w:sz w:val="18"/>
          <w:szCs w:val="18"/>
        </w:rPr>
      </w:pPr>
      <w:r w:rsidRPr="00AF061F">
        <w:rPr>
          <w:sz w:val="18"/>
          <w:szCs w:val="18"/>
        </w:rPr>
        <w:t xml:space="preserve">Source: </w:t>
      </w:r>
      <w:r w:rsidR="00A77F6D">
        <w:rPr>
          <w:sz w:val="18"/>
          <w:szCs w:val="18"/>
        </w:rPr>
        <w:t xml:space="preserve">Adapted from </w:t>
      </w:r>
      <w:r w:rsidRPr="00AF061F">
        <w:rPr>
          <w:sz w:val="18"/>
          <w:szCs w:val="18"/>
        </w:rPr>
        <w:t>NDTMS</w:t>
      </w:r>
      <w:r w:rsidR="00F95A26" w:rsidRPr="00AF061F">
        <w:rPr>
          <w:sz w:val="18"/>
          <w:szCs w:val="18"/>
        </w:rPr>
        <w:t>.</w:t>
      </w:r>
    </w:p>
    <w:p w14:paraId="1B636946" w14:textId="7EE7B5FC" w:rsidR="31421868" w:rsidRDefault="31421868" w:rsidP="31421868">
      <w:pPr>
        <w:rPr>
          <w:sz w:val="18"/>
          <w:szCs w:val="18"/>
        </w:rPr>
      </w:pPr>
    </w:p>
    <w:p w14:paraId="210428F6" w14:textId="406075A9" w:rsidR="001367AE" w:rsidRDefault="001367AE" w:rsidP="31421868">
      <w:pPr>
        <w:rPr>
          <w:sz w:val="18"/>
          <w:szCs w:val="18"/>
        </w:rPr>
      </w:pPr>
    </w:p>
    <w:p w14:paraId="27BA522B" w14:textId="49621867" w:rsidR="00905D19" w:rsidRDefault="00905D19" w:rsidP="31421868">
      <w:pPr>
        <w:rPr>
          <w:sz w:val="18"/>
          <w:szCs w:val="18"/>
        </w:rPr>
      </w:pPr>
    </w:p>
    <w:p w14:paraId="22A06A90" w14:textId="1C48D09D" w:rsidR="0030514B" w:rsidRPr="0035481F" w:rsidRDefault="00320782" w:rsidP="00471B6C">
      <w:r>
        <w:t>The change in the number of people in treatment from opiates to non-opiates is also shown in</w:t>
      </w:r>
      <w:r w:rsidR="00A56E19">
        <w:t xml:space="preserve"> </w:t>
      </w:r>
      <w:r w:rsidR="003209BF">
        <w:t>Figure 5.2e</w:t>
      </w:r>
      <w:r w:rsidR="00685CC8">
        <w:t>.</w:t>
      </w:r>
      <w:r w:rsidR="00B86B0B">
        <w:t xml:space="preserve"> </w:t>
      </w:r>
      <w:r>
        <w:br/>
      </w:r>
      <w:r w:rsidR="00685CC8">
        <w:t>A 3.3 percentage point change represents just over 40 people over the year</w:t>
      </w:r>
      <w:r w:rsidR="00096C09">
        <w:t>.</w:t>
      </w:r>
    </w:p>
    <w:p w14:paraId="50A62213" w14:textId="3DD1AABE" w:rsidR="0030514B" w:rsidRDefault="0030514B" w:rsidP="002349AE">
      <w:pPr>
        <w:pStyle w:val="Heading6"/>
      </w:pPr>
      <w:r>
        <w:t xml:space="preserve">Figure </w:t>
      </w:r>
      <w:r w:rsidR="00A77F6D">
        <w:t>5</w:t>
      </w:r>
      <w:r w:rsidR="00096C09">
        <w:t>.2</w:t>
      </w:r>
      <w:r w:rsidR="00A77F6D">
        <w:t>e</w:t>
      </w:r>
      <w:r w:rsidR="00096C09">
        <w:t>. Proportion</w:t>
      </w:r>
      <w:r w:rsidR="002349AE">
        <w:t xml:space="preserve"> of adults in treatment by substance group</w:t>
      </w:r>
    </w:p>
    <w:p w14:paraId="41A8D8B1" w14:textId="083F00D6" w:rsidR="0030514B" w:rsidRPr="0030514B" w:rsidRDefault="00B07C44" w:rsidP="00471B6C">
      <w:pPr>
        <w:rPr>
          <w:sz w:val="20"/>
          <w:szCs w:val="20"/>
        </w:rPr>
      </w:pPr>
      <w:r w:rsidRPr="00B07C44">
        <w:rPr>
          <w:noProof/>
          <w:sz w:val="20"/>
          <w:szCs w:val="20"/>
        </w:rPr>
        <w:drawing>
          <wp:inline distT="0" distB="0" distL="0" distR="0" wp14:anchorId="740FC2AB" wp14:editId="77396EF6">
            <wp:extent cx="8715495" cy="4166559"/>
            <wp:effectExtent l="0" t="0" r="0" b="5715"/>
            <wp:docPr id="59" name="Picture 58" descr="A graph with different colored bars&#10;&#10;Description automatically generated with medium confidence">
              <a:extLst xmlns:a="http://schemas.openxmlformats.org/drawingml/2006/main">
                <a:ext uri="{FF2B5EF4-FFF2-40B4-BE49-F238E27FC236}">
                  <a16:creationId xmlns:a16="http://schemas.microsoft.com/office/drawing/2014/main" id="{B7C3C8EB-8B2C-2AEC-B472-7C6D0AD4CA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A graph with different colored bars&#10;&#10;Description automatically generated with medium confidence">
                      <a:extLst>
                        <a:ext uri="{FF2B5EF4-FFF2-40B4-BE49-F238E27FC236}">
                          <a16:creationId xmlns:a16="http://schemas.microsoft.com/office/drawing/2014/main" id="{B7C3C8EB-8B2C-2AEC-B472-7C6D0AD4CA35}"/>
                        </a:ext>
                      </a:extLst>
                    </pic:cNvPr>
                    <pic:cNvPicPr>
                      <a:picLocks noChangeAspect="1"/>
                    </pic:cNvPicPr>
                  </pic:nvPicPr>
                  <pic:blipFill>
                    <a:blip r:embed="rId23"/>
                    <a:stretch>
                      <a:fillRect/>
                    </a:stretch>
                  </pic:blipFill>
                  <pic:spPr>
                    <a:xfrm>
                      <a:off x="0" y="0"/>
                      <a:ext cx="8735197" cy="4175978"/>
                    </a:xfrm>
                    <a:prstGeom prst="rect">
                      <a:avLst/>
                    </a:prstGeom>
                  </pic:spPr>
                </pic:pic>
              </a:graphicData>
            </a:graphic>
          </wp:inline>
        </w:drawing>
      </w:r>
    </w:p>
    <w:p w14:paraId="3D3A150B" w14:textId="0FAB4D40" w:rsidR="00AB25E5" w:rsidRPr="00235E12" w:rsidRDefault="002349AE" w:rsidP="00235E12">
      <w:r w:rsidRPr="002349AE">
        <w:rPr>
          <w:sz w:val="20"/>
          <w:szCs w:val="20"/>
        </w:rPr>
        <w:t>Source: NDTMS</w:t>
      </w:r>
      <w:r w:rsidR="00053BCC">
        <w:rPr>
          <w:sz w:val="20"/>
          <w:szCs w:val="20"/>
        </w:rPr>
        <w:t xml:space="preserve"> data</w:t>
      </w:r>
      <w:r w:rsidR="00F95A26">
        <w:rPr>
          <w:sz w:val="20"/>
          <w:szCs w:val="20"/>
        </w:rPr>
        <w:t>.</w:t>
      </w:r>
    </w:p>
    <w:p w14:paraId="4E015FB5" w14:textId="77777777" w:rsidR="0010372F" w:rsidRDefault="0010372F" w:rsidP="006749F4">
      <w:pPr>
        <w:rPr>
          <w:b/>
          <w:bCs/>
        </w:rPr>
        <w:sectPr w:rsidR="0010372F" w:rsidSect="0010372F">
          <w:pgSz w:w="16838" w:h="11906" w:orient="landscape"/>
          <w:pgMar w:top="1440" w:right="1440" w:bottom="1440" w:left="1440" w:header="708" w:footer="708" w:gutter="0"/>
          <w:cols w:space="708"/>
          <w:docGrid w:linePitch="360"/>
        </w:sectPr>
      </w:pPr>
    </w:p>
    <w:p w14:paraId="28029198" w14:textId="2FCE50F5" w:rsidR="0072732C" w:rsidRDefault="0072732C" w:rsidP="006749F4">
      <w:pPr>
        <w:rPr>
          <w:b/>
          <w:bCs/>
        </w:rPr>
      </w:pPr>
      <w:r w:rsidRPr="0072732C">
        <w:rPr>
          <w:b/>
          <w:bCs/>
        </w:rPr>
        <w:lastRenderedPageBreak/>
        <w:t>Service User Demographics: Age</w:t>
      </w:r>
    </w:p>
    <w:p w14:paraId="3E3E0DEF" w14:textId="0850028E" w:rsidR="006749F4" w:rsidRDefault="006749F4" w:rsidP="006749F4">
      <w:proofErr w:type="gramStart"/>
      <w:r>
        <w:t>The majority of</w:t>
      </w:r>
      <w:proofErr w:type="gramEnd"/>
      <w:r>
        <w:t xml:space="preserve"> service users in</w:t>
      </w:r>
      <w:r w:rsidR="00915FF7">
        <w:t xml:space="preserve"> treatment for drugs</w:t>
      </w:r>
      <w:r>
        <w:t xml:space="preserve"> Peterborough are aged 30-49, accounting for 823 individuals</w:t>
      </w:r>
      <w:r w:rsidR="00110E67">
        <w:t xml:space="preserve"> in the year ending March 2024</w:t>
      </w:r>
      <w:r>
        <w:t>. 210 were younger adults aged 18–29, and 248 were aged over 50.</w:t>
      </w:r>
    </w:p>
    <w:p w14:paraId="1CDB25EB" w14:textId="56F93469" w:rsidR="003B096A" w:rsidRDefault="006749F4" w:rsidP="006749F4">
      <w:r>
        <w:t xml:space="preserve">The overall increase in number of service users described above was not in all age groups, for all substance types, as shown in </w:t>
      </w:r>
      <w:r w:rsidR="00513088">
        <w:t>T</w:t>
      </w:r>
      <w:r>
        <w:t xml:space="preserve">able </w:t>
      </w:r>
      <w:r w:rsidR="0032038C">
        <w:t>5</w:t>
      </w:r>
      <w:r w:rsidR="00513088">
        <w:t>.2</w:t>
      </w:r>
      <w:r w:rsidR="00A34539">
        <w:t>b</w:t>
      </w:r>
      <w:r w:rsidR="003B096A">
        <w:t>, which shows:</w:t>
      </w:r>
    </w:p>
    <w:p w14:paraId="151C3D3D" w14:textId="636D3F80" w:rsidR="003B096A" w:rsidRDefault="006749F4" w:rsidP="00B80EAF">
      <w:pPr>
        <w:pStyle w:val="ListParagraph"/>
        <w:numPr>
          <w:ilvl w:val="0"/>
          <w:numId w:val="6"/>
        </w:numPr>
      </w:pPr>
      <w:r w:rsidRPr="16F14F99">
        <w:rPr>
          <w:b/>
          <w:bCs/>
        </w:rPr>
        <w:t xml:space="preserve">Treatment numbers declined among </w:t>
      </w:r>
      <w:r w:rsidR="0090629A" w:rsidRPr="16F14F99">
        <w:rPr>
          <w:b/>
          <w:bCs/>
        </w:rPr>
        <w:t xml:space="preserve">younger </w:t>
      </w:r>
      <w:r w:rsidRPr="16F14F99">
        <w:rPr>
          <w:b/>
          <w:bCs/>
        </w:rPr>
        <w:t>adults</w:t>
      </w:r>
      <w:r>
        <w:t xml:space="preserve"> aged 18–29 overall, with the only notable increase in numbers for those using crack-only. </w:t>
      </w:r>
    </w:p>
    <w:p w14:paraId="22639A29" w14:textId="77777777" w:rsidR="003B096A" w:rsidRDefault="006749F4" w:rsidP="00B80EAF">
      <w:pPr>
        <w:pStyle w:val="ListParagraph"/>
        <w:numPr>
          <w:ilvl w:val="0"/>
          <w:numId w:val="6"/>
        </w:numPr>
      </w:pPr>
      <w:r>
        <w:t xml:space="preserve">Among </w:t>
      </w:r>
      <w:r w:rsidRPr="0090629A">
        <w:rPr>
          <w:b/>
          <w:bCs/>
        </w:rPr>
        <w:t>adults aged 30–49, overall numbers rose</w:t>
      </w:r>
      <w:r>
        <w:t xml:space="preserve">, driven mostly by growth in numbers for those in treatment for non-opiates with and without alcohol (no crack). </w:t>
      </w:r>
    </w:p>
    <w:p w14:paraId="266F9F10" w14:textId="3ED9203C" w:rsidR="00FD1402" w:rsidRDefault="006749F4" w:rsidP="00B80EAF">
      <w:pPr>
        <w:pStyle w:val="ListParagraph"/>
        <w:numPr>
          <w:ilvl w:val="0"/>
          <w:numId w:val="6"/>
        </w:numPr>
      </w:pPr>
      <w:r>
        <w:t xml:space="preserve">Adults </w:t>
      </w:r>
      <w:r w:rsidRPr="0090629A">
        <w:rPr>
          <w:b/>
          <w:bCs/>
        </w:rPr>
        <w:t>aged 50+ saw the largest increase</w:t>
      </w:r>
      <w:r>
        <w:t>, with numbers rising across all substance groups, from smaller initial treatment numbers.</w:t>
      </w:r>
    </w:p>
    <w:p w14:paraId="13F9B4A8" w14:textId="389F2662" w:rsidR="00415DEF" w:rsidRDefault="00FD1402" w:rsidP="009265EA">
      <w:pPr>
        <w:pStyle w:val="Heading6"/>
      </w:pPr>
      <w:r>
        <w:t xml:space="preserve">Table </w:t>
      </w:r>
      <w:r w:rsidR="0032038C">
        <w:t>5</w:t>
      </w:r>
      <w:r w:rsidR="003B096A">
        <w:t>.2</w:t>
      </w:r>
      <w:r w:rsidR="00CB1E24">
        <w:t>b</w:t>
      </w:r>
      <w:r>
        <w:t xml:space="preserve">. </w:t>
      </w:r>
      <w:r w:rsidRPr="00625E16">
        <w:t>Adult Drug Treatment Numbers by Substance Type Group and Age Band</w:t>
      </w:r>
    </w:p>
    <w:p w14:paraId="2335DDB7" w14:textId="443C2BF3" w:rsidR="00FD1402" w:rsidRPr="00415DEF" w:rsidRDefault="00FD1402" w:rsidP="00415DEF">
      <w:pPr>
        <w:rPr>
          <w:color w:val="595959" w:themeColor="text1" w:themeTint="A6"/>
        </w:rPr>
      </w:pPr>
      <w:r w:rsidRPr="00415DEF">
        <w:rPr>
          <w:color w:val="595959" w:themeColor="text1" w:themeTint="A6"/>
        </w:rPr>
        <w:t>12-Month Rolling Total</w:t>
      </w:r>
      <w:r w:rsidR="000733D2" w:rsidRPr="00415DEF">
        <w:rPr>
          <w:color w:val="595959" w:themeColor="text1" w:themeTint="A6"/>
        </w:rPr>
        <w:t xml:space="preserve"> for years ending March</w:t>
      </w:r>
      <w:r w:rsidRPr="00415DEF">
        <w:rPr>
          <w:color w:val="595959" w:themeColor="text1" w:themeTint="A6"/>
        </w:rPr>
        <w:t xml:space="preserve"> 2021-2024. </w:t>
      </w:r>
      <w:r w:rsidR="00174243">
        <w:rPr>
          <w:color w:val="595959" w:themeColor="text1" w:themeTint="A6"/>
        </w:rPr>
        <w:t>‘</w:t>
      </w:r>
      <w:r w:rsidR="00EA47FB" w:rsidRPr="00415DEF">
        <w:rPr>
          <w:color w:val="595959" w:themeColor="text1" w:themeTint="A6"/>
        </w:rPr>
        <w:t>Change</w:t>
      </w:r>
      <w:r w:rsidR="00174243">
        <w:rPr>
          <w:color w:val="595959" w:themeColor="text1" w:themeTint="A6"/>
        </w:rPr>
        <w:t>’</w:t>
      </w:r>
      <w:r w:rsidR="00EA47FB" w:rsidRPr="00415DEF">
        <w:rPr>
          <w:color w:val="595959" w:themeColor="text1" w:themeTint="A6"/>
        </w:rPr>
        <w:t xml:space="preserve"> </w:t>
      </w:r>
      <w:r w:rsidR="00977DE4" w:rsidRPr="00415DEF">
        <w:rPr>
          <w:color w:val="595959" w:themeColor="text1" w:themeTint="A6"/>
        </w:rPr>
        <w:t>is from</w:t>
      </w:r>
      <w:r w:rsidR="00DB3C0E" w:rsidRPr="00415DEF">
        <w:rPr>
          <w:color w:val="595959" w:themeColor="text1" w:themeTint="A6"/>
        </w:rPr>
        <w:t xml:space="preserve"> 2-year periods 2021-23 to 2023-24</w:t>
      </w:r>
    </w:p>
    <w:tbl>
      <w:tblPr>
        <w:tblW w:w="9498" w:type="dxa"/>
        <w:tblLayout w:type="fixed"/>
        <w:tblLook w:val="04A0" w:firstRow="1" w:lastRow="0" w:firstColumn="1" w:lastColumn="0" w:noHBand="0" w:noVBand="1"/>
      </w:tblPr>
      <w:tblGrid>
        <w:gridCol w:w="3402"/>
        <w:gridCol w:w="973"/>
        <w:gridCol w:w="974"/>
        <w:gridCol w:w="973"/>
        <w:gridCol w:w="974"/>
        <w:gridCol w:w="974"/>
        <w:gridCol w:w="1228"/>
      </w:tblGrid>
      <w:tr w:rsidR="00E46632" w:rsidRPr="008C7914" w14:paraId="3298B84F" w14:textId="77777777">
        <w:trPr>
          <w:trHeight w:val="300"/>
        </w:trPr>
        <w:tc>
          <w:tcPr>
            <w:tcW w:w="3402" w:type="dxa"/>
            <w:tcBorders>
              <w:top w:val="nil"/>
              <w:left w:val="nil"/>
              <w:bottom w:val="nil"/>
              <w:right w:val="nil"/>
            </w:tcBorders>
            <w:vAlign w:val="bottom"/>
            <w:hideMark/>
          </w:tcPr>
          <w:p w14:paraId="5649F677" w14:textId="071D386B" w:rsidR="00E46632" w:rsidRPr="008C7914" w:rsidRDefault="00E4663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18-29</w:t>
            </w:r>
            <w:r w:rsidR="003D5ADA">
              <w:rPr>
                <w:rFonts w:ascii="Aptos Narrow" w:eastAsia="Times New Roman" w:hAnsi="Aptos Narrow" w:cs="Times New Roman"/>
                <w:b/>
                <w:bCs/>
                <w:color w:val="000000"/>
                <w:lang w:eastAsia="en-GB"/>
              </w:rPr>
              <w:t xml:space="preserve"> years</w:t>
            </w:r>
          </w:p>
        </w:tc>
        <w:tc>
          <w:tcPr>
            <w:tcW w:w="973" w:type="dxa"/>
            <w:tcBorders>
              <w:top w:val="nil"/>
              <w:left w:val="nil"/>
              <w:bottom w:val="nil"/>
              <w:right w:val="nil"/>
            </w:tcBorders>
            <w:noWrap/>
            <w:vAlign w:val="bottom"/>
            <w:hideMark/>
          </w:tcPr>
          <w:p w14:paraId="6E8119F4" w14:textId="77777777" w:rsidR="00E46632" w:rsidRPr="008C7914" w:rsidRDefault="00E4663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noWrap/>
            <w:vAlign w:val="bottom"/>
            <w:hideMark/>
          </w:tcPr>
          <w:p w14:paraId="69CDA6F7"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noWrap/>
            <w:vAlign w:val="bottom"/>
            <w:hideMark/>
          </w:tcPr>
          <w:p w14:paraId="118B3F5B"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260A2F92"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6FCFBFA4"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noWrap/>
            <w:vAlign w:val="bottom"/>
            <w:hideMark/>
          </w:tcPr>
          <w:p w14:paraId="0FF7DAFC"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r>
      <w:tr w:rsidR="00963F06" w:rsidRPr="008C7914" w14:paraId="75C73FF4" w14:textId="77777777" w:rsidTr="008C2705">
        <w:trPr>
          <w:trHeight w:val="300"/>
        </w:trPr>
        <w:tc>
          <w:tcPr>
            <w:tcW w:w="3402" w:type="dxa"/>
            <w:tcBorders>
              <w:top w:val="nil"/>
              <w:left w:val="nil"/>
              <w:bottom w:val="nil"/>
              <w:right w:val="nil"/>
            </w:tcBorders>
            <w:shd w:val="clear" w:color="C0E6F5" w:fill="C0E6F5"/>
            <w:noWrap/>
            <w:vAlign w:val="bottom"/>
            <w:hideMark/>
          </w:tcPr>
          <w:p w14:paraId="27E38279" w14:textId="77777777" w:rsidR="00963F06" w:rsidRPr="008C7914" w:rsidRDefault="00963F06">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5E111247" w14:textId="77777777" w:rsidR="00963F06" w:rsidRPr="008C7914" w:rsidRDefault="00963F06">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4FF72215" w14:textId="77777777" w:rsidR="00963F06" w:rsidRPr="008C7914" w:rsidRDefault="00963F06">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56E355DF" w14:textId="77777777" w:rsidR="00963F06" w:rsidRPr="008C7914" w:rsidRDefault="00963F06">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6A622879" w14:textId="77777777" w:rsidR="00963F06" w:rsidRPr="008C7914" w:rsidRDefault="00963F06">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hideMark/>
          </w:tcPr>
          <w:p w14:paraId="661CB136" w14:textId="5B8764DB" w:rsidR="00963F06" w:rsidRPr="008C7914" w:rsidRDefault="00963F06" w:rsidP="00251DF5">
            <w:pPr>
              <w:spacing w:after="0" w:line="240" w:lineRule="auto"/>
              <w:jc w:val="center"/>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Change</w:t>
            </w:r>
            <w:r>
              <w:rPr>
                <w:rFonts w:ascii="Aptos Narrow" w:eastAsia="Times New Roman" w:hAnsi="Aptos Narrow" w:cs="Times New Roman"/>
                <w:b/>
                <w:bCs/>
                <w:color w:val="000000"/>
                <w:lang w:eastAsia="en-GB"/>
              </w:rPr>
              <w:t xml:space="preserve"> </w:t>
            </w:r>
            <w:r w:rsidR="00282114">
              <w:rPr>
                <w:rFonts w:ascii="Aptos Narrow" w:eastAsia="Times New Roman" w:hAnsi="Aptos Narrow" w:cs="Times New Roman"/>
                <w:b/>
                <w:bCs/>
                <w:color w:val="000000"/>
                <w:lang w:eastAsia="en-GB"/>
              </w:rPr>
              <w:t xml:space="preserve">20-22 </w:t>
            </w:r>
            <w:r w:rsidR="00282114">
              <w:rPr>
                <w:rFonts w:ascii="Aptos Narrow" w:eastAsia="Times New Roman" w:hAnsi="Aptos Narrow" w:cs="Times New Roman"/>
                <w:b/>
                <w:bCs/>
                <w:color w:val="000000"/>
                <w:lang w:eastAsia="en-GB"/>
              </w:rPr>
              <w:br/>
              <w:t xml:space="preserve">to 22-24 </w:t>
            </w:r>
            <w:r w:rsidR="00D2566A" w:rsidRPr="00D2566A">
              <w:rPr>
                <w:rFonts w:ascii="Aptos Narrow" w:eastAsia="Times New Roman" w:hAnsi="Aptos Narrow" w:cs="Times New Roman"/>
                <w:b/>
                <w:bCs/>
                <w:color w:val="000000"/>
                <w:vertAlign w:val="superscript"/>
                <w:lang w:eastAsia="en-GB"/>
              </w:rPr>
              <w:t>†</w:t>
            </w:r>
          </w:p>
        </w:tc>
      </w:tr>
      <w:tr w:rsidR="00251DF5" w:rsidRPr="008C7914" w14:paraId="248A7B41" w14:textId="77777777">
        <w:trPr>
          <w:trHeight w:val="300"/>
        </w:trPr>
        <w:tc>
          <w:tcPr>
            <w:tcW w:w="3402" w:type="dxa"/>
            <w:tcBorders>
              <w:top w:val="nil"/>
              <w:left w:val="nil"/>
              <w:bottom w:val="nil"/>
              <w:right w:val="nil"/>
            </w:tcBorders>
            <w:noWrap/>
            <w:vAlign w:val="bottom"/>
            <w:hideMark/>
          </w:tcPr>
          <w:p w14:paraId="77ED5D96" w14:textId="77777777" w:rsidR="00251DF5" w:rsidRPr="008C7914" w:rsidRDefault="00251DF5" w:rsidP="00251DF5">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noWrap/>
            <w:vAlign w:val="bottom"/>
            <w:hideMark/>
          </w:tcPr>
          <w:p w14:paraId="682C3DB3"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10</w:t>
            </w:r>
          </w:p>
        </w:tc>
        <w:tc>
          <w:tcPr>
            <w:tcW w:w="974" w:type="dxa"/>
            <w:tcBorders>
              <w:top w:val="nil"/>
              <w:left w:val="nil"/>
              <w:bottom w:val="nil"/>
              <w:right w:val="nil"/>
            </w:tcBorders>
            <w:noWrap/>
            <w:vAlign w:val="bottom"/>
            <w:hideMark/>
          </w:tcPr>
          <w:p w14:paraId="0447DFC3"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11</w:t>
            </w:r>
          </w:p>
        </w:tc>
        <w:tc>
          <w:tcPr>
            <w:tcW w:w="973" w:type="dxa"/>
            <w:tcBorders>
              <w:top w:val="nil"/>
              <w:left w:val="nil"/>
              <w:bottom w:val="nil"/>
              <w:right w:val="nil"/>
            </w:tcBorders>
            <w:noWrap/>
            <w:vAlign w:val="bottom"/>
            <w:hideMark/>
          </w:tcPr>
          <w:p w14:paraId="545FE640"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11</w:t>
            </w:r>
          </w:p>
        </w:tc>
        <w:tc>
          <w:tcPr>
            <w:tcW w:w="974" w:type="dxa"/>
            <w:tcBorders>
              <w:top w:val="nil"/>
              <w:left w:val="nil"/>
              <w:bottom w:val="nil"/>
              <w:right w:val="single" w:sz="6" w:space="0" w:color="595959" w:themeColor="text1" w:themeTint="A6"/>
            </w:tcBorders>
            <w:noWrap/>
            <w:vAlign w:val="bottom"/>
            <w:hideMark/>
          </w:tcPr>
          <w:p w14:paraId="7E10F7BE"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22</w:t>
            </w:r>
          </w:p>
        </w:tc>
        <w:tc>
          <w:tcPr>
            <w:tcW w:w="974" w:type="dxa"/>
            <w:tcBorders>
              <w:top w:val="nil"/>
              <w:left w:val="single" w:sz="6" w:space="0" w:color="595959" w:themeColor="text1" w:themeTint="A6"/>
              <w:bottom w:val="nil"/>
              <w:right w:val="nil"/>
            </w:tcBorders>
            <w:noWrap/>
            <w:vAlign w:val="bottom"/>
            <w:hideMark/>
          </w:tcPr>
          <w:p w14:paraId="6BFD33B3" w14:textId="3C7D613F" w:rsidR="00251DF5" w:rsidRPr="008C7914" w:rsidRDefault="000E16DC"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251DF5">
              <w:rPr>
                <w:rFonts w:ascii="Aptos Narrow" w:hAnsi="Aptos Narrow"/>
                <w:color w:val="000000"/>
              </w:rPr>
              <w:t>6</w:t>
            </w:r>
          </w:p>
        </w:tc>
        <w:tc>
          <w:tcPr>
            <w:tcW w:w="1228" w:type="dxa"/>
            <w:tcBorders>
              <w:top w:val="nil"/>
              <w:left w:val="nil"/>
              <w:bottom w:val="nil"/>
              <w:right w:val="nil"/>
            </w:tcBorders>
            <w:noWrap/>
            <w:vAlign w:val="bottom"/>
            <w:hideMark/>
          </w:tcPr>
          <w:p w14:paraId="6BB547A5" w14:textId="4E47380C"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+57.1%</w:t>
            </w:r>
          </w:p>
        </w:tc>
      </w:tr>
      <w:tr w:rsidR="00251DF5" w:rsidRPr="008C7914" w14:paraId="5285FF94" w14:textId="77777777">
        <w:trPr>
          <w:trHeight w:val="300"/>
        </w:trPr>
        <w:tc>
          <w:tcPr>
            <w:tcW w:w="3402" w:type="dxa"/>
            <w:tcBorders>
              <w:top w:val="nil"/>
              <w:left w:val="nil"/>
              <w:bottom w:val="nil"/>
              <w:right w:val="nil"/>
            </w:tcBorders>
            <w:noWrap/>
            <w:vAlign w:val="bottom"/>
            <w:hideMark/>
          </w:tcPr>
          <w:p w14:paraId="6FA73F42" w14:textId="77777777" w:rsidR="00251DF5" w:rsidRPr="008C7914" w:rsidRDefault="00251DF5" w:rsidP="00251DF5">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noWrap/>
            <w:vAlign w:val="bottom"/>
            <w:hideMark/>
          </w:tcPr>
          <w:p w14:paraId="7E32AE39"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66</w:t>
            </w:r>
          </w:p>
        </w:tc>
        <w:tc>
          <w:tcPr>
            <w:tcW w:w="974" w:type="dxa"/>
            <w:tcBorders>
              <w:top w:val="nil"/>
              <w:left w:val="nil"/>
              <w:bottom w:val="nil"/>
              <w:right w:val="nil"/>
            </w:tcBorders>
            <w:noWrap/>
            <w:vAlign w:val="bottom"/>
            <w:hideMark/>
          </w:tcPr>
          <w:p w14:paraId="7952CC98"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44</w:t>
            </w:r>
          </w:p>
        </w:tc>
        <w:tc>
          <w:tcPr>
            <w:tcW w:w="973" w:type="dxa"/>
            <w:tcBorders>
              <w:top w:val="nil"/>
              <w:left w:val="nil"/>
              <w:bottom w:val="nil"/>
              <w:right w:val="nil"/>
            </w:tcBorders>
            <w:noWrap/>
            <w:vAlign w:val="bottom"/>
            <w:hideMark/>
          </w:tcPr>
          <w:p w14:paraId="787FE837"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56</w:t>
            </w:r>
          </w:p>
        </w:tc>
        <w:tc>
          <w:tcPr>
            <w:tcW w:w="974" w:type="dxa"/>
            <w:tcBorders>
              <w:top w:val="nil"/>
              <w:left w:val="nil"/>
              <w:bottom w:val="nil"/>
              <w:right w:val="single" w:sz="6" w:space="0" w:color="595959" w:themeColor="text1" w:themeTint="A6"/>
            </w:tcBorders>
            <w:noWrap/>
            <w:vAlign w:val="bottom"/>
            <w:hideMark/>
          </w:tcPr>
          <w:p w14:paraId="5DFC6FB4"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55</w:t>
            </w:r>
          </w:p>
        </w:tc>
        <w:tc>
          <w:tcPr>
            <w:tcW w:w="974" w:type="dxa"/>
            <w:tcBorders>
              <w:top w:val="nil"/>
              <w:left w:val="single" w:sz="6" w:space="0" w:color="595959" w:themeColor="text1" w:themeTint="A6"/>
              <w:bottom w:val="nil"/>
              <w:right w:val="nil"/>
            </w:tcBorders>
            <w:noWrap/>
            <w:vAlign w:val="bottom"/>
            <w:hideMark/>
          </w:tcPr>
          <w:p w14:paraId="3856319F" w14:textId="31087E96" w:rsidR="00251DF5" w:rsidRPr="008C7914" w:rsidRDefault="000E16DC"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251DF5">
              <w:rPr>
                <w:rFonts w:ascii="Aptos Narrow" w:hAnsi="Aptos Narrow"/>
                <w:color w:val="000000"/>
              </w:rPr>
              <w:t>0.5</w:t>
            </w:r>
          </w:p>
        </w:tc>
        <w:tc>
          <w:tcPr>
            <w:tcW w:w="1228" w:type="dxa"/>
            <w:tcBorders>
              <w:top w:val="nil"/>
              <w:left w:val="nil"/>
              <w:bottom w:val="nil"/>
              <w:right w:val="nil"/>
            </w:tcBorders>
            <w:noWrap/>
            <w:vAlign w:val="bottom"/>
            <w:hideMark/>
          </w:tcPr>
          <w:p w14:paraId="5DBA6372" w14:textId="06C77EA4"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+0.9%</w:t>
            </w:r>
          </w:p>
        </w:tc>
      </w:tr>
      <w:tr w:rsidR="00251DF5" w:rsidRPr="008C7914" w14:paraId="2D2E15F4" w14:textId="77777777">
        <w:trPr>
          <w:trHeight w:val="300"/>
        </w:trPr>
        <w:tc>
          <w:tcPr>
            <w:tcW w:w="3402" w:type="dxa"/>
            <w:tcBorders>
              <w:top w:val="nil"/>
              <w:left w:val="nil"/>
              <w:bottom w:val="nil"/>
              <w:right w:val="nil"/>
            </w:tcBorders>
            <w:noWrap/>
            <w:vAlign w:val="bottom"/>
            <w:hideMark/>
          </w:tcPr>
          <w:p w14:paraId="79AAB192" w14:textId="77777777" w:rsidR="00251DF5" w:rsidRPr="008C7914" w:rsidRDefault="00251DF5" w:rsidP="00251DF5">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noWrap/>
            <w:vAlign w:val="bottom"/>
            <w:hideMark/>
          </w:tcPr>
          <w:p w14:paraId="246B21F5"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79</w:t>
            </w:r>
          </w:p>
        </w:tc>
        <w:tc>
          <w:tcPr>
            <w:tcW w:w="974" w:type="dxa"/>
            <w:tcBorders>
              <w:top w:val="nil"/>
              <w:left w:val="nil"/>
              <w:bottom w:val="nil"/>
              <w:right w:val="nil"/>
            </w:tcBorders>
            <w:noWrap/>
            <w:vAlign w:val="bottom"/>
            <w:hideMark/>
          </w:tcPr>
          <w:p w14:paraId="3D02677B"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78</w:t>
            </w:r>
          </w:p>
        </w:tc>
        <w:tc>
          <w:tcPr>
            <w:tcW w:w="973" w:type="dxa"/>
            <w:tcBorders>
              <w:top w:val="nil"/>
              <w:left w:val="nil"/>
              <w:bottom w:val="nil"/>
              <w:right w:val="nil"/>
            </w:tcBorders>
            <w:noWrap/>
            <w:vAlign w:val="bottom"/>
            <w:hideMark/>
          </w:tcPr>
          <w:p w14:paraId="2048AB5C"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67</w:t>
            </w:r>
          </w:p>
        </w:tc>
        <w:tc>
          <w:tcPr>
            <w:tcW w:w="974" w:type="dxa"/>
            <w:tcBorders>
              <w:top w:val="nil"/>
              <w:left w:val="nil"/>
              <w:bottom w:val="nil"/>
              <w:right w:val="single" w:sz="6" w:space="0" w:color="595959" w:themeColor="text1" w:themeTint="A6"/>
            </w:tcBorders>
            <w:noWrap/>
            <w:vAlign w:val="bottom"/>
            <w:hideMark/>
          </w:tcPr>
          <w:p w14:paraId="1EE29B73"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81</w:t>
            </w:r>
          </w:p>
        </w:tc>
        <w:tc>
          <w:tcPr>
            <w:tcW w:w="974" w:type="dxa"/>
            <w:tcBorders>
              <w:top w:val="nil"/>
              <w:left w:val="single" w:sz="6" w:space="0" w:color="595959" w:themeColor="text1" w:themeTint="A6"/>
              <w:bottom w:val="nil"/>
              <w:right w:val="nil"/>
            </w:tcBorders>
            <w:noWrap/>
            <w:vAlign w:val="bottom"/>
            <w:hideMark/>
          </w:tcPr>
          <w:p w14:paraId="76725900" w14:textId="1B5BB450"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-4.5</w:t>
            </w:r>
          </w:p>
        </w:tc>
        <w:tc>
          <w:tcPr>
            <w:tcW w:w="1228" w:type="dxa"/>
            <w:tcBorders>
              <w:top w:val="nil"/>
              <w:left w:val="nil"/>
              <w:bottom w:val="nil"/>
              <w:right w:val="nil"/>
            </w:tcBorders>
            <w:noWrap/>
            <w:vAlign w:val="bottom"/>
            <w:hideMark/>
          </w:tcPr>
          <w:p w14:paraId="1BCD471E" w14:textId="1C5C52EC"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-5.7%</w:t>
            </w:r>
          </w:p>
        </w:tc>
      </w:tr>
      <w:tr w:rsidR="00251DF5" w:rsidRPr="008C7914" w14:paraId="13268B7D" w14:textId="77777777">
        <w:trPr>
          <w:trHeight w:val="300"/>
        </w:trPr>
        <w:tc>
          <w:tcPr>
            <w:tcW w:w="3402" w:type="dxa"/>
            <w:tcBorders>
              <w:top w:val="nil"/>
              <w:left w:val="nil"/>
              <w:bottom w:val="nil"/>
              <w:right w:val="nil"/>
            </w:tcBorders>
            <w:noWrap/>
            <w:vAlign w:val="bottom"/>
            <w:hideMark/>
          </w:tcPr>
          <w:p w14:paraId="5C0CF320" w14:textId="77777777" w:rsidR="00251DF5" w:rsidRPr="008C7914" w:rsidRDefault="00251DF5" w:rsidP="00251DF5">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noWrap/>
            <w:vAlign w:val="bottom"/>
            <w:hideMark/>
          </w:tcPr>
          <w:p w14:paraId="77D80962"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44</w:t>
            </w:r>
          </w:p>
        </w:tc>
        <w:tc>
          <w:tcPr>
            <w:tcW w:w="974" w:type="dxa"/>
            <w:tcBorders>
              <w:top w:val="nil"/>
              <w:left w:val="nil"/>
              <w:bottom w:val="nil"/>
              <w:right w:val="nil"/>
            </w:tcBorders>
            <w:noWrap/>
            <w:vAlign w:val="bottom"/>
            <w:hideMark/>
          </w:tcPr>
          <w:p w14:paraId="35ECF0FC"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34</w:t>
            </w:r>
          </w:p>
        </w:tc>
        <w:tc>
          <w:tcPr>
            <w:tcW w:w="973" w:type="dxa"/>
            <w:tcBorders>
              <w:top w:val="nil"/>
              <w:left w:val="nil"/>
              <w:bottom w:val="nil"/>
              <w:right w:val="nil"/>
            </w:tcBorders>
            <w:noWrap/>
            <w:vAlign w:val="bottom"/>
            <w:hideMark/>
          </w:tcPr>
          <w:p w14:paraId="5DE5BB1A"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42</w:t>
            </w:r>
          </w:p>
        </w:tc>
        <w:tc>
          <w:tcPr>
            <w:tcW w:w="974" w:type="dxa"/>
            <w:tcBorders>
              <w:top w:val="nil"/>
              <w:left w:val="nil"/>
              <w:bottom w:val="nil"/>
              <w:right w:val="single" w:sz="6" w:space="0" w:color="595959" w:themeColor="text1" w:themeTint="A6"/>
            </w:tcBorders>
            <w:noWrap/>
            <w:vAlign w:val="bottom"/>
            <w:hideMark/>
          </w:tcPr>
          <w:p w14:paraId="5147C031"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35</w:t>
            </w:r>
          </w:p>
        </w:tc>
        <w:tc>
          <w:tcPr>
            <w:tcW w:w="974" w:type="dxa"/>
            <w:tcBorders>
              <w:top w:val="nil"/>
              <w:left w:val="single" w:sz="6" w:space="0" w:color="595959" w:themeColor="text1" w:themeTint="A6"/>
              <w:bottom w:val="nil"/>
              <w:right w:val="nil"/>
            </w:tcBorders>
            <w:noWrap/>
            <w:vAlign w:val="bottom"/>
            <w:hideMark/>
          </w:tcPr>
          <w:p w14:paraId="48A4F948" w14:textId="3B4ADEF1"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-0.5</w:t>
            </w:r>
          </w:p>
        </w:tc>
        <w:tc>
          <w:tcPr>
            <w:tcW w:w="1228" w:type="dxa"/>
            <w:tcBorders>
              <w:top w:val="nil"/>
              <w:left w:val="nil"/>
              <w:bottom w:val="nil"/>
              <w:right w:val="nil"/>
            </w:tcBorders>
            <w:noWrap/>
            <w:vAlign w:val="bottom"/>
            <w:hideMark/>
          </w:tcPr>
          <w:p w14:paraId="7BFC250E" w14:textId="35DC1B66"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-1.3%</w:t>
            </w:r>
          </w:p>
        </w:tc>
      </w:tr>
      <w:tr w:rsidR="00251DF5" w:rsidRPr="008C7914" w14:paraId="588E36A7" w14:textId="77777777">
        <w:trPr>
          <w:trHeight w:val="300"/>
        </w:trPr>
        <w:tc>
          <w:tcPr>
            <w:tcW w:w="3402" w:type="dxa"/>
            <w:tcBorders>
              <w:top w:val="nil"/>
              <w:left w:val="nil"/>
              <w:bottom w:val="nil"/>
              <w:right w:val="nil"/>
            </w:tcBorders>
            <w:noWrap/>
            <w:vAlign w:val="bottom"/>
            <w:hideMark/>
          </w:tcPr>
          <w:p w14:paraId="48C2088F" w14:textId="77777777" w:rsidR="00251DF5" w:rsidRPr="008C7914" w:rsidRDefault="00251DF5" w:rsidP="00251DF5">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noWrap/>
            <w:vAlign w:val="bottom"/>
            <w:hideMark/>
          </w:tcPr>
          <w:p w14:paraId="56CF4118"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30</w:t>
            </w:r>
          </w:p>
        </w:tc>
        <w:tc>
          <w:tcPr>
            <w:tcW w:w="974" w:type="dxa"/>
            <w:tcBorders>
              <w:top w:val="nil"/>
              <w:left w:val="nil"/>
              <w:bottom w:val="nil"/>
              <w:right w:val="nil"/>
            </w:tcBorders>
            <w:noWrap/>
            <w:vAlign w:val="bottom"/>
            <w:hideMark/>
          </w:tcPr>
          <w:p w14:paraId="68012C2E"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25</w:t>
            </w:r>
          </w:p>
        </w:tc>
        <w:tc>
          <w:tcPr>
            <w:tcW w:w="973" w:type="dxa"/>
            <w:tcBorders>
              <w:top w:val="nil"/>
              <w:left w:val="nil"/>
              <w:bottom w:val="nil"/>
              <w:right w:val="nil"/>
            </w:tcBorders>
            <w:noWrap/>
            <w:vAlign w:val="bottom"/>
            <w:hideMark/>
          </w:tcPr>
          <w:p w14:paraId="1008C139"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24</w:t>
            </w:r>
          </w:p>
        </w:tc>
        <w:tc>
          <w:tcPr>
            <w:tcW w:w="974" w:type="dxa"/>
            <w:tcBorders>
              <w:top w:val="nil"/>
              <w:left w:val="nil"/>
              <w:bottom w:val="single" w:sz="4" w:space="0" w:color="000000"/>
              <w:right w:val="single" w:sz="6" w:space="0" w:color="595959" w:themeColor="text1" w:themeTint="A6"/>
            </w:tcBorders>
            <w:noWrap/>
            <w:vAlign w:val="bottom"/>
            <w:hideMark/>
          </w:tcPr>
          <w:p w14:paraId="3AE95963" w14:textId="77777777" w:rsidR="00251DF5" w:rsidRPr="008C7914" w:rsidRDefault="00251DF5" w:rsidP="00251DF5">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17</w:t>
            </w:r>
          </w:p>
        </w:tc>
        <w:tc>
          <w:tcPr>
            <w:tcW w:w="974" w:type="dxa"/>
            <w:tcBorders>
              <w:top w:val="nil"/>
              <w:left w:val="single" w:sz="6" w:space="0" w:color="595959" w:themeColor="text1" w:themeTint="A6"/>
              <w:bottom w:val="nil"/>
              <w:right w:val="nil"/>
            </w:tcBorders>
            <w:noWrap/>
            <w:vAlign w:val="bottom"/>
            <w:hideMark/>
          </w:tcPr>
          <w:p w14:paraId="2516EEDA" w14:textId="0E22C7AA"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-7</w:t>
            </w:r>
          </w:p>
        </w:tc>
        <w:tc>
          <w:tcPr>
            <w:tcW w:w="1228" w:type="dxa"/>
            <w:tcBorders>
              <w:top w:val="nil"/>
              <w:left w:val="nil"/>
              <w:bottom w:val="nil"/>
              <w:right w:val="nil"/>
            </w:tcBorders>
            <w:noWrap/>
            <w:vAlign w:val="bottom"/>
            <w:hideMark/>
          </w:tcPr>
          <w:p w14:paraId="7BD5EA66" w14:textId="607137C3" w:rsidR="00251DF5" w:rsidRPr="008C7914" w:rsidRDefault="00251DF5" w:rsidP="00251DF5">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-25.5%</w:t>
            </w:r>
          </w:p>
        </w:tc>
      </w:tr>
      <w:tr w:rsidR="00251DF5" w:rsidRPr="008C7914" w14:paraId="2B34AE46"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62D37836" w14:textId="77777777" w:rsidR="00251DF5" w:rsidRPr="008C7914" w:rsidRDefault="00251DF5" w:rsidP="00251DF5">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65B79DC3" w14:textId="77777777" w:rsidR="00251DF5" w:rsidRPr="008C7914" w:rsidRDefault="00251DF5" w:rsidP="00251DF5">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229</w:t>
            </w:r>
          </w:p>
        </w:tc>
        <w:tc>
          <w:tcPr>
            <w:tcW w:w="974" w:type="dxa"/>
            <w:tcBorders>
              <w:top w:val="single" w:sz="4" w:space="0" w:color="44B3E1"/>
              <w:left w:val="nil"/>
              <w:bottom w:val="nil"/>
              <w:right w:val="nil"/>
            </w:tcBorders>
            <w:shd w:val="clear" w:color="C0E6F5" w:fill="C0E6F5"/>
            <w:noWrap/>
            <w:vAlign w:val="bottom"/>
            <w:hideMark/>
          </w:tcPr>
          <w:p w14:paraId="502C1C21" w14:textId="77777777" w:rsidR="00251DF5" w:rsidRPr="008C7914" w:rsidRDefault="00251DF5" w:rsidP="00251DF5">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192</w:t>
            </w:r>
          </w:p>
        </w:tc>
        <w:tc>
          <w:tcPr>
            <w:tcW w:w="973" w:type="dxa"/>
            <w:tcBorders>
              <w:top w:val="single" w:sz="4" w:space="0" w:color="44B3E1"/>
              <w:left w:val="nil"/>
              <w:bottom w:val="nil"/>
              <w:right w:val="single" w:sz="4" w:space="0" w:color="000000"/>
            </w:tcBorders>
            <w:shd w:val="clear" w:color="C0E6F5" w:fill="C0E6F5"/>
            <w:noWrap/>
            <w:vAlign w:val="bottom"/>
            <w:hideMark/>
          </w:tcPr>
          <w:p w14:paraId="473FF31B" w14:textId="77777777" w:rsidR="00251DF5" w:rsidRPr="008C7914" w:rsidRDefault="00251DF5" w:rsidP="00251DF5">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200</w:t>
            </w:r>
          </w:p>
        </w:tc>
        <w:tc>
          <w:tcPr>
            <w:tcW w:w="974" w:type="dxa"/>
            <w:tcBorders>
              <w:top w:val="single" w:sz="4" w:space="0" w:color="000000"/>
              <w:left w:val="single" w:sz="4" w:space="0" w:color="000000"/>
              <w:bottom w:val="single" w:sz="4" w:space="0" w:color="000000"/>
              <w:right w:val="single" w:sz="4" w:space="0" w:color="000000"/>
            </w:tcBorders>
            <w:shd w:val="clear" w:color="C0E6F5" w:fill="C0E6F5"/>
            <w:noWrap/>
            <w:vAlign w:val="bottom"/>
            <w:hideMark/>
          </w:tcPr>
          <w:p w14:paraId="7B5E39D5" w14:textId="77777777" w:rsidR="00251DF5" w:rsidRPr="005E42FE" w:rsidRDefault="00251DF5" w:rsidP="00251DF5">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210</w:t>
            </w:r>
          </w:p>
        </w:tc>
        <w:tc>
          <w:tcPr>
            <w:tcW w:w="974" w:type="dxa"/>
            <w:tcBorders>
              <w:top w:val="single" w:sz="4" w:space="0" w:color="44B3E1"/>
              <w:left w:val="single" w:sz="4" w:space="0" w:color="000000"/>
              <w:bottom w:val="nil"/>
              <w:right w:val="nil"/>
            </w:tcBorders>
            <w:shd w:val="clear" w:color="C0E6F5" w:fill="C0E6F5"/>
            <w:noWrap/>
            <w:vAlign w:val="bottom"/>
            <w:hideMark/>
          </w:tcPr>
          <w:p w14:paraId="68DD9737" w14:textId="129CFB3A" w:rsidR="00251DF5" w:rsidRPr="00251DF5" w:rsidRDefault="00251DF5" w:rsidP="00251DF5">
            <w:pPr>
              <w:spacing w:after="0" w:line="240" w:lineRule="auto"/>
              <w:jc w:val="right"/>
              <w:rPr>
                <w:rFonts w:ascii="Aptos Narrow" w:eastAsia="Times New Roman" w:hAnsi="Aptos Narrow" w:cs="Times New Roman"/>
                <w:b/>
                <w:bCs/>
                <w:color w:val="000000"/>
                <w:lang w:eastAsia="en-GB"/>
              </w:rPr>
            </w:pPr>
            <w:r w:rsidRPr="00251DF5">
              <w:rPr>
                <w:rFonts w:ascii="Aptos Narrow" w:hAnsi="Aptos Narrow"/>
                <w:b/>
                <w:bCs/>
                <w:color w:val="000000"/>
              </w:rPr>
              <w:t>-5.5</w:t>
            </w:r>
          </w:p>
        </w:tc>
        <w:tc>
          <w:tcPr>
            <w:tcW w:w="1228" w:type="dxa"/>
            <w:tcBorders>
              <w:top w:val="single" w:sz="4" w:space="0" w:color="44B3E1"/>
              <w:left w:val="nil"/>
              <w:bottom w:val="nil"/>
              <w:right w:val="nil"/>
            </w:tcBorders>
            <w:shd w:val="clear" w:color="C0E6F5" w:fill="C0E6F5"/>
            <w:noWrap/>
            <w:vAlign w:val="bottom"/>
            <w:hideMark/>
          </w:tcPr>
          <w:p w14:paraId="17FEF61E" w14:textId="677A2614" w:rsidR="00251DF5" w:rsidRPr="00251DF5" w:rsidRDefault="00251DF5" w:rsidP="00251DF5">
            <w:pPr>
              <w:spacing w:after="0" w:line="240" w:lineRule="auto"/>
              <w:jc w:val="right"/>
              <w:rPr>
                <w:rFonts w:ascii="Aptos Narrow" w:eastAsia="Times New Roman" w:hAnsi="Aptos Narrow" w:cs="Times New Roman"/>
                <w:b/>
                <w:bCs/>
                <w:color w:val="000000"/>
                <w:lang w:eastAsia="en-GB"/>
              </w:rPr>
            </w:pPr>
            <w:r w:rsidRPr="00251DF5">
              <w:rPr>
                <w:rFonts w:ascii="Aptos Narrow" w:hAnsi="Aptos Narrow"/>
                <w:b/>
                <w:bCs/>
                <w:color w:val="000000"/>
              </w:rPr>
              <w:t>-2.6%</w:t>
            </w:r>
          </w:p>
        </w:tc>
      </w:tr>
      <w:tr w:rsidR="00E46632" w:rsidRPr="008C7914" w14:paraId="3E14BA35" w14:textId="77777777" w:rsidTr="00DD1E9B">
        <w:trPr>
          <w:trHeight w:val="189"/>
        </w:trPr>
        <w:tc>
          <w:tcPr>
            <w:tcW w:w="3402" w:type="dxa"/>
            <w:tcBorders>
              <w:top w:val="nil"/>
              <w:left w:val="nil"/>
              <w:bottom w:val="nil"/>
              <w:right w:val="nil"/>
            </w:tcBorders>
            <w:noWrap/>
            <w:vAlign w:val="bottom"/>
            <w:hideMark/>
          </w:tcPr>
          <w:p w14:paraId="1F0E70F3" w14:textId="77777777" w:rsidR="00E46632" w:rsidRPr="008C7914" w:rsidRDefault="00E46632">
            <w:pPr>
              <w:spacing w:after="0" w:line="240" w:lineRule="auto"/>
              <w:jc w:val="right"/>
              <w:rPr>
                <w:rFonts w:ascii="Aptos Narrow" w:eastAsia="Times New Roman" w:hAnsi="Aptos Narrow" w:cs="Times New Roman"/>
                <w:b/>
                <w:bCs/>
                <w:color w:val="000000"/>
                <w:lang w:eastAsia="en-GB"/>
              </w:rPr>
            </w:pPr>
          </w:p>
        </w:tc>
        <w:tc>
          <w:tcPr>
            <w:tcW w:w="973" w:type="dxa"/>
            <w:tcBorders>
              <w:top w:val="nil"/>
              <w:left w:val="nil"/>
              <w:bottom w:val="nil"/>
              <w:right w:val="nil"/>
            </w:tcBorders>
            <w:noWrap/>
            <w:vAlign w:val="bottom"/>
            <w:hideMark/>
          </w:tcPr>
          <w:p w14:paraId="080FD2A1"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62100E61"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noWrap/>
            <w:vAlign w:val="bottom"/>
            <w:hideMark/>
          </w:tcPr>
          <w:p w14:paraId="1D04794E"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single" w:sz="4" w:space="0" w:color="000000"/>
              <w:left w:val="nil"/>
              <w:bottom w:val="nil"/>
              <w:right w:val="nil"/>
            </w:tcBorders>
            <w:noWrap/>
            <w:vAlign w:val="bottom"/>
            <w:hideMark/>
          </w:tcPr>
          <w:p w14:paraId="4FAE658D"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707A9F3F"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noWrap/>
            <w:vAlign w:val="bottom"/>
            <w:hideMark/>
          </w:tcPr>
          <w:p w14:paraId="2B3C299A"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r>
      <w:tr w:rsidR="00E46632" w:rsidRPr="008C7914" w14:paraId="72D77F25" w14:textId="77777777">
        <w:trPr>
          <w:trHeight w:val="300"/>
        </w:trPr>
        <w:tc>
          <w:tcPr>
            <w:tcW w:w="3402" w:type="dxa"/>
            <w:tcBorders>
              <w:top w:val="nil"/>
              <w:left w:val="nil"/>
              <w:bottom w:val="nil"/>
              <w:right w:val="nil"/>
            </w:tcBorders>
            <w:noWrap/>
            <w:vAlign w:val="bottom"/>
            <w:hideMark/>
          </w:tcPr>
          <w:p w14:paraId="3C38651C" w14:textId="42E89B69" w:rsidR="00E46632" w:rsidRPr="008C7914" w:rsidRDefault="00E4663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30-49</w:t>
            </w:r>
            <w:r w:rsidR="003D5ADA">
              <w:rPr>
                <w:rFonts w:ascii="Aptos Narrow" w:eastAsia="Times New Roman" w:hAnsi="Aptos Narrow" w:cs="Times New Roman"/>
                <w:b/>
                <w:bCs/>
                <w:color w:val="000000"/>
                <w:lang w:eastAsia="en-GB"/>
              </w:rPr>
              <w:t xml:space="preserve"> years</w:t>
            </w:r>
          </w:p>
        </w:tc>
        <w:tc>
          <w:tcPr>
            <w:tcW w:w="973" w:type="dxa"/>
            <w:tcBorders>
              <w:top w:val="nil"/>
              <w:left w:val="nil"/>
              <w:bottom w:val="nil"/>
              <w:right w:val="nil"/>
            </w:tcBorders>
            <w:noWrap/>
            <w:vAlign w:val="bottom"/>
            <w:hideMark/>
          </w:tcPr>
          <w:p w14:paraId="5A8BC58D" w14:textId="77777777" w:rsidR="00E46632" w:rsidRPr="008C7914" w:rsidRDefault="00E4663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noWrap/>
            <w:vAlign w:val="bottom"/>
            <w:hideMark/>
          </w:tcPr>
          <w:p w14:paraId="3F269F05"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noWrap/>
            <w:vAlign w:val="bottom"/>
            <w:hideMark/>
          </w:tcPr>
          <w:p w14:paraId="47AF52C4"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2C06FBC7"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22F5BB37"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noWrap/>
            <w:vAlign w:val="bottom"/>
            <w:hideMark/>
          </w:tcPr>
          <w:p w14:paraId="481BF01E"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r>
      <w:tr w:rsidR="003D5ADA" w:rsidRPr="008C7914" w14:paraId="3762D57A" w14:textId="77777777" w:rsidTr="008C2705">
        <w:trPr>
          <w:trHeight w:val="300"/>
        </w:trPr>
        <w:tc>
          <w:tcPr>
            <w:tcW w:w="3402" w:type="dxa"/>
            <w:tcBorders>
              <w:top w:val="nil"/>
              <w:left w:val="nil"/>
              <w:bottom w:val="nil"/>
              <w:right w:val="nil"/>
            </w:tcBorders>
            <w:shd w:val="clear" w:color="C0E6F5" w:fill="C0E6F5"/>
            <w:noWrap/>
            <w:vAlign w:val="bottom"/>
            <w:hideMark/>
          </w:tcPr>
          <w:p w14:paraId="50359CE3"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33D0806A"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60DB3514"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5490208C"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383D845C"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hideMark/>
          </w:tcPr>
          <w:p w14:paraId="7546C790" w14:textId="7CCD87B6" w:rsidR="003D5ADA" w:rsidRPr="008C7914" w:rsidRDefault="003D5ADA" w:rsidP="003D5ADA">
            <w:pPr>
              <w:spacing w:after="0" w:line="240" w:lineRule="auto"/>
              <w:jc w:val="center"/>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Change</w:t>
            </w:r>
            <w:r>
              <w:rPr>
                <w:rFonts w:ascii="Aptos Narrow" w:eastAsia="Times New Roman" w:hAnsi="Aptos Narrow" w:cs="Times New Roman"/>
                <w:b/>
                <w:bCs/>
                <w:color w:val="000000"/>
                <w:lang w:eastAsia="en-GB"/>
              </w:rPr>
              <w:t xml:space="preserve"> </w:t>
            </w:r>
            <w:r w:rsidR="00282114">
              <w:rPr>
                <w:rFonts w:ascii="Aptos Narrow" w:eastAsia="Times New Roman" w:hAnsi="Aptos Narrow" w:cs="Times New Roman"/>
                <w:b/>
                <w:bCs/>
                <w:color w:val="000000"/>
                <w:lang w:eastAsia="en-GB"/>
              </w:rPr>
              <w:t xml:space="preserve">20-22 </w:t>
            </w:r>
            <w:r w:rsidR="00282114">
              <w:rPr>
                <w:rFonts w:ascii="Aptos Narrow" w:eastAsia="Times New Roman" w:hAnsi="Aptos Narrow" w:cs="Times New Roman"/>
                <w:b/>
                <w:bCs/>
                <w:color w:val="000000"/>
                <w:lang w:eastAsia="en-GB"/>
              </w:rPr>
              <w:br/>
              <w:t>to 22-24</w:t>
            </w:r>
            <w:r>
              <w:rPr>
                <w:rFonts w:ascii="Aptos Narrow" w:eastAsia="Times New Roman" w:hAnsi="Aptos Narrow" w:cs="Times New Roman"/>
                <w:b/>
                <w:bCs/>
                <w:color w:val="000000"/>
                <w:lang w:eastAsia="en-GB"/>
              </w:rPr>
              <w:t xml:space="preserve"> (</w:t>
            </w:r>
            <w:proofErr w:type="gramStart"/>
            <w:r>
              <w:rPr>
                <w:rFonts w:ascii="Aptos Narrow" w:eastAsia="Times New Roman" w:hAnsi="Aptos Narrow" w:cs="Times New Roman"/>
                <w:b/>
                <w:bCs/>
                <w:color w:val="000000"/>
                <w:lang w:eastAsia="en-GB"/>
              </w:rPr>
              <w:t>%</w:t>
            </w:r>
            <w:r w:rsidR="00D2566A">
              <w:rPr>
                <w:rFonts w:ascii="Aptos Narrow" w:eastAsia="Times New Roman" w:hAnsi="Aptos Narrow" w:cs="Times New Roman"/>
                <w:b/>
                <w:bCs/>
                <w:color w:val="000000"/>
                <w:lang w:eastAsia="en-GB"/>
              </w:rPr>
              <w:t>)</w:t>
            </w:r>
            <w:r w:rsidR="00D2566A" w:rsidRPr="00D2566A">
              <w:rPr>
                <w:rFonts w:ascii="Aptos Narrow" w:eastAsia="Times New Roman" w:hAnsi="Aptos Narrow" w:cs="Times New Roman"/>
                <w:b/>
                <w:bCs/>
                <w:color w:val="000000"/>
                <w:vertAlign w:val="superscript"/>
                <w:lang w:eastAsia="en-GB"/>
              </w:rPr>
              <w:t>†</w:t>
            </w:r>
            <w:proofErr w:type="gramEnd"/>
          </w:p>
        </w:tc>
      </w:tr>
      <w:tr w:rsidR="007E6E42" w:rsidRPr="008C7914" w14:paraId="71C4F1D2" w14:textId="77777777">
        <w:trPr>
          <w:trHeight w:val="300"/>
        </w:trPr>
        <w:tc>
          <w:tcPr>
            <w:tcW w:w="3402" w:type="dxa"/>
            <w:tcBorders>
              <w:top w:val="nil"/>
              <w:left w:val="nil"/>
              <w:bottom w:val="nil"/>
              <w:right w:val="nil"/>
            </w:tcBorders>
            <w:noWrap/>
            <w:vAlign w:val="bottom"/>
            <w:hideMark/>
          </w:tcPr>
          <w:p w14:paraId="65A46E07"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noWrap/>
            <w:vAlign w:val="bottom"/>
            <w:hideMark/>
          </w:tcPr>
          <w:p w14:paraId="701DF209"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29</w:t>
            </w:r>
          </w:p>
        </w:tc>
        <w:tc>
          <w:tcPr>
            <w:tcW w:w="974" w:type="dxa"/>
            <w:tcBorders>
              <w:top w:val="nil"/>
              <w:left w:val="nil"/>
              <w:bottom w:val="nil"/>
              <w:right w:val="nil"/>
            </w:tcBorders>
            <w:noWrap/>
            <w:vAlign w:val="bottom"/>
            <w:hideMark/>
          </w:tcPr>
          <w:p w14:paraId="47DB27E6"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34</w:t>
            </w:r>
          </w:p>
        </w:tc>
        <w:tc>
          <w:tcPr>
            <w:tcW w:w="973" w:type="dxa"/>
            <w:tcBorders>
              <w:top w:val="nil"/>
              <w:left w:val="nil"/>
              <w:bottom w:val="nil"/>
              <w:right w:val="nil"/>
            </w:tcBorders>
            <w:noWrap/>
            <w:vAlign w:val="bottom"/>
            <w:hideMark/>
          </w:tcPr>
          <w:p w14:paraId="3D967A4C"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31</w:t>
            </w:r>
          </w:p>
        </w:tc>
        <w:tc>
          <w:tcPr>
            <w:tcW w:w="974" w:type="dxa"/>
            <w:tcBorders>
              <w:top w:val="nil"/>
              <w:left w:val="nil"/>
              <w:bottom w:val="nil"/>
              <w:right w:val="single" w:sz="6" w:space="0" w:color="595959" w:themeColor="text1" w:themeTint="A6"/>
            </w:tcBorders>
            <w:noWrap/>
            <w:vAlign w:val="bottom"/>
            <w:hideMark/>
          </w:tcPr>
          <w:p w14:paraId="50DE83FC"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30</w:t>
            </w:r>
          </w:p>
        </w:tc>
        <w:tc>
          <w:tcPr>
            <w:tcW w:w="974" w:type="dxa"/>
            <w:tcBorders>
              <w:top w:val="nil"/>
              <w:left w:val="single" w:sz="6" w:space="0" w:color="595959" w:themeColor="text1" w:themeTint="A6"/>
              <w:bottom w:val="nil"/>
              <w:right w:val="nil"/>
            </w:tcBorders>
            <w:noWrap/>
            <w:vAlign w:val="bottom"/>
            <w:hideMark/>
          </w:tcPr>
          <w:p w14:paraId="037A343D" w14:textId="7469B642"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w:t>
            </w:r>
          </w:p>
        </w:tc>
        <w:tc>
          <w:tcPr>
            <w:tcW w:w="1228" w:type="dxa"/>
            <w:tcBorders>
              <w:top w:val="nil"/>
              <w:left w:val="nil"/>
              <w:bottom w:val="nil"/>
              <w:right w:val="nil"/>
            </w:tcBorders>
            <w:noWrap/>
            <w:vAlign w:val="bottom"/>
            <w:hideMark/>
          </w:tcPr>
          <w:p w14:paraId="0232CBE6" w14:textId="117594AC"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-3.2%</w:t>
            </w:r>
          </w:p>
        </w:tc>
      </w:tr>
      <w:tr w:rsidR="007E6E42" w:rsidRPr="008C7914" w14:paraId="6FD53E00" w14:textId="77777777">
        <w:trPr>
          <w:trHeight w:val="300"/>
        </w:trPr>
        <w:tc>
          <w:tcPr>
            <w:tcW w:w="3402" w:type="dxa"/>
            <w:tcBorders>
              <w:top w:val="nil"/>
              <w:left w:val="nil"/>
              <w:bottom w:val="nil"/>
              <w:right w:val="nil"/>
            </w:tcBorders>
            <w:noWrap/>
            <w:vAlign w:val="bottom"/>
            <w:hideMark/>
          </w:tcPr>
          <w:p w14:paraId="2B7DF922"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noWrap/>
            <w:vAlign w:val="bottom"/>
            <w:hideMark/>
          </w:tcPr>
          <w:p w14:paraId="1ACB50DD"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74</w:t>
            </w:r>
          </w:p>
        </w:tc>
        <w:tc>
          <w:tcPr>
            <w:tcW w:w="974" w:type="dxa"/>
            <w:tcBorders>
              <w:top w:val="nil"/>
              <w:left w:val="nil"/>
              <w:bottom w:val="nil"/>
              <w:right w:val="nil"/>
            </w:tcBorders>
            <w:noWrap/>
            <w:vAlign w:val="bottom"/>
            <w:hideMark/>
          </w:tcPr>
          <w:p w14:paraId="04E9FB04"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87</w:t>
            </w:r>
          </w:p>
        </w:tc>
        <w:tc>
          <w:tcPr>
            <w:tcW w:w="973" w:type="dxa"/>
            <w:tcBorders>
              <w:top w:val="nil"/>
              <w:left w:val="nil"/>
              <w:bottom w:val="nil"/>
              <w:right w:val="nil"/>
            </w:tcBorders>
            <w:noWrap/>
            <w:vAlign w:val="bottom"/>
            <w:hideMark/>
          </w:tcPr>
          <w:p w14:paraId="1F4F7BEE"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69</w:t>
            </w:r>
          </w:p>
        </w:tc>
        <w:tc>
          <w:tcPr>
            <w:tcW w:w="974" w:type="dxa"/>
            <w:tcBorders>
              <w:top w:val="nil"/>
              <w:left w:val="nil"/>
              <w:bottom w:val="nil"/>
              <w:right w:val="single" w:sz="6" w:space="0" w:color="595959" w:themeColor="text1" w:themeTint="A6"/>
            </w:tcBorders>
            <w:noWrap/>
            <w:vAlign w:val="bottom"/>
            <w:hideMark/>
          </w:tcPr>
          <w:p w14:paraId="47522B22"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108</w:t>
            </w:r>
          </w:p>
        </w:tc>
        <w:tc>
          <w:tcPr>
            <w:tcW w:w="974" w:type="dxa"/>
            <w:tcBorders>
              <w:top w:val="nil"/>
              <w:left w:val="single" w:sz="6" w:space="0" w:color="595959" w:themeColor="text1" w:themeTint="A6"/>
              <w:bottom w:val="nil"/>
              <w:right w:val="nil"/>
            </w:tcBorders>
            <w:noWrap/>
            <w:vAlign w:val="bottom"/>
            <w:hideMark/>
          </w:tcPr>
          <w:p w14:paraId="364D90BE" w14:textId="7434FC06"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8</w:t>
            </w:r>
          </w:p>
        </w:tc>
        <w:tc>
          <w:tcPr>
            <w:tcW w:w="1228" w:type="dxa"/>
            <w:tcBorders>
              <w:top w:val="nil"/>
              <w:left w:val="nil"/>
              <w:bottom w:val="nil"/>
              <w:right w:val="nil"/>
            </w:tcBorders>
            <w:noWrap/>
            <w:vAlign w:val="bottom"/>
            <w:hideMark/>
          </w:tcPr>
          <w:p w14:paraId="58B6973F" w14:textId="2D5D6B28"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+9.9%</w:t>
            </w:r>
          </w:p>
        </w:tc>
      </w:tr>
      <w:tr w:rsidR="007E6E42" w:rsidRPr="008C7914" w14:paraId="0A55A528" w14:textId="77777777">
        <w:trPr>
          <w:trHeight w:val="300"/>
        </w:trPr>
        <w:tc>
          <w:tcPr>
            <w:tcW w:w="3402" w:type="dxa"/>
            <w:tcBorders>
              <w:top w:val="nil"/>
              <w:left w:val="nil"/>
              <w:bottom w:val="nil"/>
              <w:right w:val="nil"/>
            </w:tcBorders>
            <w:noWrap/>
            <w:vAlign w:val="bottom"/>
            <w:hideMark/>
          </w:tcPr>
          <w:p w14:paraId="62B87857"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noWrap/>
            <w:vAlign w:val="bottom"/>
            <w:hideMark/>
          </w:tcPr>
          <w:p w14:paraId="59ED82A3"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66</w:t>
            </w:r>
          </w:p>
        </w:tc>
        <w:tc>
          <w:tcPr>
            <w:tcW w:w="974" w:type="dxa"/>
            <w:tcBorders>
              <w:top w:val="nil"/>
              <w:left w:val="nil"/>
              <w:bottom w:val="nil"/>
              <w:right w:val="nil"/>
            </w:tcBorders>
            <w:noWrap/>
            <w:vAlign w:val="bottom"/>
            <w:hideMark/>
          </w:tcPr>
          <w:p w14:paraId="07B989AD"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79</w:t>
            </w:r>
          </w:p>
        </w:tc>
        <w:tc>
          <w:tcPr>
            <w:tcW w:w="973" w:type="dxa"/>
            <w:tcBorders>
              <w:top w:val="nil"/>
              <w:left w:val="nil"/>
              <w:bottom w:val="nil"/>
              <w:right w:val="nil"/>
            </w:tcBorders>
            <w:noWrap/>
            <w:vAlign w:val="bottom"/>
            <w:hideMark/>
          </w:tcPr>
          <w:p w14:paraId="73E358E2"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71</w:t>
            </w:r>
          </w:p>
        </w:tc>
        <w:tc>
          <w:tcPr>
            <w:tcW w:w="974" w:type="dxa"/>
            <w:tcBorders>
              <w:top w:val="nil"/>
              <w:left w:val="nil"/>
              <w:bottom w:val="nil"/>
              <w:right w:val="single" w:sz="6" w:space="0" w:color="595959" w:themeColor="text1" w:themeTint="A6"/>
            </w:tcBorders>
            <w:noWrap/>
            <w:vAlign w:val="bottom"/>
            <w:hideMark/>
          </w:tcPr>
          <w:p w14:paraId="73D5C84A"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96</w:t>
            </w:r>
          </w:p>
        </w:tc>
        <w:tc>
          <w:tcPr>
            <w:tcW w:w="974" w:type="dxa"/>
            <w:tcBorders>
              <w:top w:val="nil"/>
              <w:left w:val="single" w:sz="6" w:space="0" w:color="595959" w:themeColor="text1" w:themeTint="A6"/>
              <w:bottom w:val="nil"/>
              <w:right w:val="nil"/>
            </w:tcBorders>
            <w:noWrap/>
            <w:vAlign w:val="bottom"/>
            <w:hideMark/>
          </w:tcPr>
          <w:p w14:paraId="6B71B830" w14:textId="2FB5638C"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11</w:t>
            </w:r>
          </w:p>
        </w:tc>
        <w:tc>
          <w:tcPr>
            <w:tcW w:w="1228" w:type="dxa"/>
            <w:tcBorders>
              <w:top w:val="nil"/>
              <w:left w:val="nil"/>
              <w:bottom w:val="nil"/>
              <w:right w:val="nil"/>
            </w:tcBorders>
            <w:noWrap/>
            <w:vAlign w:val="bottom"/>
            <w:hideMark/>
          </w:tcPr>
          <w:p w14:paraId="04B40CA4" w14:textId="3556D5B1"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+15.2%</w:t>
            </w:r>
          </w:p>
        </w:tc>
      </w:tr>
      <w:tr w:rsidR="007E6E42" w:rsidRPr="008C7914" w14:paraId="180E165A" w14:textId="77777777">
        <w:trPr>
          <w:trHeight w:val="300"/>
        </w:trPr>
        <w:tc>
          <w:tcPr>
            <w:tcW w:w="3402" w:type="dxa"/>
            <w:tcBorders>
              <w:top w:val="nil"/>
              <w:left w:val="nil"/>
              <w:bottom w:val="nil"/>
              <w:right w:val="nil"/>
            </w:tcBorders>
            <w:noWrap/>
            <w:vAlign w:val="bottom"/>
            <w:hideMark/>
          </w:tcPr>
          <w:p w14:paraId="12AD9E24"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noWrap/>
            <w:vAlign w:val="bottom"/>
            <w:hideMark/>
          </w:tcPr>
          <w:p w14:paraId="29987DCE"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325</w:t>
            </w:r>
          </w:p>
        </w:tc>
        <w:tc>
          <w:tcPr>
            <w:tcW w:w="974" w:type="dxa"/>
            <w:tcBorders>
              <w:top w:val="nil"/>
              <w:left w:val="nil"/>
              <w:bottom w:val="nil"/>
              <w:right w:val="nil"/>
            </w:tcBorders>
            <w:noWrap/>
            <w:vAlign w:val="bottom"/>
            <w:hideMark/>
          </w:tcPr>
          <w:p w14:paraId="5A1F208D"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325</w:t>
            </w:r>
          </w:p>
        </w:tc>
        <w:tc>
          <w:tcPr>
            <w:tcW w:w="973" w:type="dxa"/>
            <w:tcBorders>
              <w:top w:val="nil"/>
              <w:left w:val="nil"/>
              <w:bottom w:val="nil"/>
              <w:right w:val="nil"/>
            </w:tcBorders>
            <w:noWrap/>
            <w:vAlign w:val="bottom"/>
            <w:hideMark/>
          </w:tcPr>
          <w:p w14:paraId="77309D75"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339</w:t>
            </w:r>
          </w:p>
        </w:tc>
        <w:tc>
          <w:tcPr>
            <w:tcW w:w="974" w:type="dxa"/>
            <w:tcBorders>
              <w:top w:val="nil"/>
              <w:left w:val="nil"/>
              <w:bottom w:val="nil"/>
              <w:right w:val="single" w:sz="6" w:space="0" w:color="595959" w:themeColor="text1" w:themeTint="A6"/>
            </w:tcBorders>
            <w:noWrap/>
            <w:vAlign w:val="bottom"/>
            <w:hideMark/>
          </w:tcPr>
          <w:p w14:paraId="1F158259"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348</w:t>
            </w:r>
          </w:p>
        </w:tc>
        <w:tc>
          <w:tcPr>
            <w:tcW w:w="974" w:type="dxa"/>
            <w:tcBorders>
              <w:top w:val="nil"/>
              <w:left w:val="single" w:sz="6" w:space="0" w:color="595959" w:themeColor="text1" w:themeTint="A6"/>
              <w:bottom w:val="nil"/>
              <w:right w:val="nil"/>
            </w:tcBorders>
            <w:noWrap/>
            <w:vAlign w:val="bottom"/>
            <w:hideMark/>
          </w:tcPr>
          <w:p w14:paraId="17365917" w14:textId="5CB8C4F4"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18.5</w:t>
            </w:r>
          </w:p>
        </w:tc>
        <w:tc>
          <w:tcPr>
            <w:tcW w:w="1228" w:type="dxa"/>
            <w:tcBorders>
              <w:top w:val="nil"/>
              <w:left w:val="nil"/>
              <w:bottom w:val="nil"/>
              <w:right w:val="nil"/>
            </w:tcBorders>
            <w:noWrap/>
            <w:vAlign w:val="bottom"/>
            <w:hideMark/>
          </w:tcPr>
          <w:p w14:paraId="1B048925" w14:textId="4F64041B"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+5.7%</w:t>
            </w:r>
          </w:p>
        </w:tc>
      </w:tr>
      <w:tr w:rsidR="007E6E42" w:rsidRPr="008C7914" w14:paraId="65879876" w14:textId="77777777">
        <w:trPr>
          <w:trHeight w:val="300"/>
        </w:trPr>
        <w:tc>
          <w:tcPr>
            <w:tcW w:w="3402" w:type="dxa"/>
            <w:tcBorders>
              <w:top w:val="nil"/>
              <w:left w:val="nil"/>
              <w:bottom w:val="nil"/>
              <w:right w:val="nil"/>
            </w:tcBorders>
            <w:noWrap/>
            <w:vAlign w:val="bottom"/>
            <w:hideMark/>
          </w:tcPr>
          <w:p w14:paraId="6F7C403A"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noWrap/>
            <w:vAlign w:val="bottom"/>
            <w:hideMark/>
          </w:tcPr>
          <w:p w14:paraId="0CB8E07E"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243</w:t>
            </w:r>
          </w:p>
        </w:tc>
        <w:tc>
          <w:tcPr>
            <w:tcW w:w="974" w:type="dxa"/>
            <w:tcBorders>
              <w:top w:val="nil"/>
              <w:left w:val="nil"/>
              <w:bottom w:val="nil"/>
              <w:right w:val="nil"/>
            </w:tcBorders>
            <w:noWrap/>
            <w:vAlign w:val="bottom"/>
            <w:hideMark/>
          </w:tcPr>
          <w:p w14:paraId="2B88F926"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262</w:t>
            </w:r>
          </w:p>
        </w:tc>
        <w:tc>
          <w:tcPr>
            <w:tcW w:w="973" w:type="dxa"/>
            <w:tcBorders>
              <w:top w:val="nil"/>
              <w:left w:val="nil"/>
              <w:bottom w:val="nil"/>
              <w:right w:val="nil"/>
            </w:tcBorders>
            <w:noWrap/>
            <w:vAlign w:val="bottom"/>
            <w:hideMark/>
          </w:tcPr>
          <w:p w14:paraId="40CAE332"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258</w:t>
            </w:r>
          </w:p>
        </w:tc>
        <w:tc>
          <w:tcPr>
            <w:tcW w:w="974" w:type="dxa"/>
            <w:tcBorders>
              <w:top w:val="nil"/>
              <w:left w:val="nil"/>
              <w:bottom w:val="single" w:sz="4" w:space="0" w:color="000000"/>
              <w:right w:val="single" w:sz="6" w:space="0" w:color="595959" w:themeColor="text1" w:themeTint="A6"/>
            </w:tcBorders>
            <w:noWrap/>
            <w:vAlign w:val="bottom"/>
            <w:hideMark/>
          </w:tcPr>
          <w:p w14:paraId="427ADE70"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241</w:t>
            </w:r>
          </w:p>
        </w:tc>
        <w:tc>
          <w:tcPr>
            <w:tcW w:w="974" w:type="dxa"/>
            <w:tcBorders>
              <w:top w:val="nil"/>
              <w:left w:val="single" w:sz="6" w:space="0" w:color="595959" w:themeColor="text1" w:themeTint="A6"/>
              <w:bottom w:val="nil"/>
              <w:right w:val="nil"/>
            </w:tcBorders>
            <w:noWrap/>
            <w:vAlign w:val="bottom"/>
            <w:hideMark/>
          </w:tcPr>
          <w:p w14:paraId="7EB45064" w14:textId="19E790CF"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-3</w:t>
            </w:r>
          </w:p>
        </w:tc>
        <w:tc>
          <w:tcPr>
            <w:tcW w:w="1228" w:type="dxa"/>
            <w:tcBorders>
              <w:top w:val="nil"/>
              <w:left w:val="nil"/>
              <w:bottom w:val="nil"/>
              <w:right w:val="nil"/>
            </w:tcBorders>
            <w:noWrap/>
            <w:vAlign w:val="bottom"/>
            <w:hideMark/>
          </w:tcPr>
          <w:p w14:paraId="667D0722" w14:textId="3458DC6F"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-1.2%</w:t>
            </w:r>
          </w:p>
        </w:tc>
      </w:tr>
      <w:tr w:rsidR="007E6E42" w:rsidRPr="008C7914" w14:paraId="330196A7"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1DF0E367"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3D50958C"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737</w:t>
            </w:r>
          </w:p>
        </w:tc>
        <w:tc>
          <w:tcPr>
            <w:tcW w:w="974" w:type="dxa"/>
            <w:tcBorders>
              <w:top w:val="single" w:sz="4" w:space="0" w:color="44B3E1"/>
              <w:left w:val="nil"/>
              <w:bottom w:val="nil"/>
              <w:right w:val="nil"/>
            </w:tcBorders>
            <w:shd w:val="clear" w:color="C0E6F5" w:fill="C0E6F5"/>
            <w:noWrap/>
            <w:vAlign w:val="bottom"/>
            <w:hideMark/>
          </w:tcPr>
          <w:p w14:paraId="5785FF5D"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787</w:t>
            </w:r>
          </w:p>
        </w:tc>
        <w:tc>
          <w:tcPr>
            <w:tcW w:w="973" w:type="dxa"/>
            <w:tcBorders>
              <w:top w:val="single" w:sz="4" w:space="0" w:color="44B3E1"/>
              <w:left w:val="nil"/>
              <w:bottom w:val="nil"/>
              <w:right w:val="single" w:sz="4" w:space="0" w:color="000000"/>
            </w:tcBorders>
            <w:shd w:val="clear" w:color="C0E6F5" w:fill="C0E6F5"/>
            <w:noWrap/>
            <w:vAlign w:val="bottom"/>
            <w:hideMark/>
          </w:tcPr>
          <w:p w14:paraId="4AA27504"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768</w:t>
            </w:r>
          </w:p>
        </w:tc>
        <w:tc>
          <w:tcPr>
            <w:tcW w:w="974" w:type="dxa"/>
            <w:tcBorders>
              <w:top w:val="single" w:sz="4" w:space="0" w:color="000000"/>
              <w:left w:val="single" w:sz="4" w:space="0" w:color="000000"/>
              <w:bottom w:val="single" w:sz="4" w:space="0" w:color="000000"/>
              <w:right w:val="single" w:sz="4" w:space="0" w:color="000000"/>
            </w:tcBorders>
            <w:shd w:val="clear" w:color="C0E6F5" w:fill="C0E6F5"/>
            <w:noWrap/>
            <w:vAlign w:val="bottom"/>
            <w:hideMark/>
          </w:tcPr>
          <w:p w14:paraId="556FF950"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823</w:t>
            </w:r>
          </w:p>
        </w:tc>
        <w:tc>
          <w:tcPr>
            <w:tcW w:w="974" w:type="dxa"/>
            <w:tcBorders>
              <w:top w:val="single" w:sz="4" w:space="0" w:color="44B3E1"/>
              <w:left w:val="single" w:sz="4" w:space="0" w:color="000000"/>
              <w:right w:val="nil"/>
            </w:tcBorders>
            <w:shd w:val="clear" w:color="C0E6F5" w:fill="C0E6F5"/>
            <w:noWrap/>
            <w:vAlign w:val="bottom"/>
            <w:hideMark/>
          </w:tcPr>
          <w:p w14:paraId="43BC4A41" w14:textId="3768AF57" w:rsidR="007E6E42" w:rsidRPr="007E6E42" w:rsidRDefault="009A65E9" w:rsidP="007E6E42">
            <w:pPr>
              <w:spacing w:after="0" w:line="240" w:lineRule="auto"/>
              <w:jc w:val="right"/>
              <w:rPr>
                <w:rFonts w:ascii="Aptos Narrow" w:eastAsia="Times New Roman" w:hAnsi="Aptos Narrow" w:cs="Times New Roman"/>
                <w:b/>
                <w:bCs/>
                <w:color w:val="000000"/>
                <w:lang w:eastAsia="en-GB"/>
              </w:rPr>
            </w:pPr>
            <w:r>
              <w:rPr>
                <w:rFonts w:ascii="Aptos Narrow" w:hAnsi="Aptos Narrow"/>
                <w:b/>
                <w:bCs/>
                <w:color w:val="000000"/>
              </w:rPr>
              <w:t>+</w:t>
            </w:r>
            <w:r w:rsidR="007E6E42" w:rsidRPr="007E6E42">
              <w:rPr>
                <w:rFonts w:ascii="Aptos Narrow" w:hAnsi="Aptos Narrow"/>
                <w:b/>
                <w:bCs/>
                <w:color w:val="000000"/>
              </w:rPr>
              <w:t>33.5</w:t>
            </w:r>
          </w:p>
        </w:tc>
        <w:tc>
          <w:tcPr>
            <w:tcW w:w="1228" w:type="dxa"/>
            <w:tcBorders>
              <w:top w:val="single" w:sz="4" w:space="0" w:color="44B3E1"/>
              <w:left w:val="nil"/>
              <w:bottom w:val="nil"/>
              <w:right w:val="nil"/>
            </w:tcBorders>
            <w:shd w:val="clear" w:color="C0E6F5" w:fill="C0E6F5"/>
            <w:noWrap/>
            <w:vAlign w:val="bottom"/>
            <w:hideMark/>
          </w:tcPr>
          <w:p w14:paraId="29797170" w14:textId="1ED06BDF" w:rsidR="007E6E42" w:rsidRPr="007E6E42" w:rsidRDefault="007E6E42" w:rsidP="007E6E42">
            <w:pPr>
              <w:spacing w:after="0" w:line="240" w:lineRule="auto"/>
              <w:jc w:val="right"/>
              <w:rPr>
                <w:rFonts w:ascii="Aptos Narrow" w:eastAsia="Times New Roman" w:hAnsi="Aptos Narrow" w:cs="Times New Roman"/>
                <w:b/>
                <w:bCs/>
                <w:color w:val="000000"/>
                <w:lang w:eastAsia="en-GB"/>
              </w:rPr>
            </w:pPr>
            <w:r w:rsidRPr="007E6E42">
              <w:rPr>
                <w:rFonts w:ascii="Aptos Narrow" w:hAnsi="Aptos Narrow"/>
                <w:b/>
                <w:bCs/>
                <w:color w:val="000000"/>
              </w:rPr>
              <w:t>+4.4%</w:t>
            </w:r>
          </w:p>
        </w:tc>
      </w:tr>
      <w:tr w:rsidR="00E46632" w:rsidRPr="008C7914" w14:paraId="34A92274" w14:textId="77777777" w:rsidTr="00DD1E9B">
        <w:trPr>
          <w:trHeight w:val="189"/>
        </w:trPr>
        <w:tc>
          <w:tcPr>
            <w:tcW w:w="3402" w:type="dxa"/>
            <w:tcBorders>
              <w:top w:val="nil"/>
              <w:left w:val="nil"/>
              <w:bottom w:val="nil"/>
              <w:right w:val="nil"/>
            </w:tcBorders>
            <w:noWrap/>
            <w:vAlign w:val="bottom"/>
            <w:hideMark/>
          </w:tcPr>
          <w:p w14:paraId="5EFD4AA6" w14:textId="77777777" w:rsidR="00E46632" w:rsidRPr="008C7914" w:rsidRDefault="00E46632">
            <w:pPr>
              <w:spacing w:after="0" w:line="240" w:lineRule="auto"/>
              <w:jc w:val="right"/>
              <w:rPr>
                <w:rFonts w:ascii="Aptos Narrow" w:eastAsia="Times New Roman" w:hAnsi="Aptos Narrow" w:cs="Times New Roman"/>
                <w:b/>
                <w:bCs/>
                <w:color w:val="000000"/>
                <w:lang w:eastAsia="en-GB"/>
              </w:rPr>
            </w:pPr>
          </w:p>
        </w:tc>
        <w:tc>
          <w:tcPr>
            <w:tcW w:w="973" w:type="dxa"/>
            <w:tcBorders>
              <w:top w:val="nil"/>
              <w:left w:val="nil"/>
              <w:bottom w:val="nil"/>
              <w:right w:val="nil"/>
            </w:tcBorders>
            <w:noWrap/>
            <w:vAlign w:val="bottom"/>
            <w:hideMark/>
          </w:tcPr>
          <w:p w14:paraId="3625B52C"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5FA41DEB"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noWrap/>
            <w:vAlign w:val="bottom"/>
            <w:hideMark/>
          </w:tcPr>
          <w:p w14:paraId="361C9E68"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single" w:sz="4" w:space="0" w:color="000000"/>
              <w:left w:val="nil"/>
              <w:bottom w:val="nil"/>
            </w:tcBorders>
            <w:noWrap/>
            <w:vAlign w:val="bottom"/>
            <w:hideMark/>
          </w:tcPr>
          <w:p w14:paraId="02F5D40D"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bottom w:val="nil"/>
              <w:right w:val="nil"/>
            </w:tcBorders>
            <w:noWrap/>
            <w:vAlign w:val="bottom"/>
            <w:hideMark/>
          </w:tcPr>
          <w:p w14:paraId="2BD4A927"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noWrap/>
            <w:vAlign w:val="bottom"/>
            <w:hideMark/>
          </w:tcPr>
          <w:p w14:paraId="1869FA04"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r>
      <w:tr w:rsidR="00E46632" w:rsidRPr="008C7914" w14:paraId="3ED066DA" w14:textId="77777777">
        <w:trPr>
          <w:trHeight w:val="300"/>
        </w:trPr>
        <w:tc>
          <w:tcPr>
            <w:tcW w:w="3402" w:type="dxa"/>
            <w:tcBorders>
              <w:top w:val="nil"/>
              <w:left w:val="nil"/>
              <w:bottom w:val="nil"/>
              <w:right w:val="nil"/>
            </w:tcBorders>
            <w:noWrap/>
            <w:vAlign w:val="bottom"/>
            <w:hideMark/>
          </w:tcPr>
          <w:p w14:paraId="579B7C0E" w14:textId="7C10D17F" w:rsidR="00E46632" w:rsidRPr="008C7914" w:rsidRDefault="00E46632">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50+</w:t>
            </w:r>
            <w:r w:rsidR="003D5ADA">
              <w:rPr>
                <w:rFonts w:ascii="Aptos Narrow" w:eastAsia="Times New Roman" w:hAnsi="Aptos Narrow" w:cs="Times New Roman"/>
                <w:b/>
                <w:bCs/>
                <w:color w:val="000000"/>
                <w:lang w:eastAsia="en-GB"/>
              </w:rPr>
              <w:t xml:space="preserve"> years</w:t>
            </w:r>
          </w:p>
        </w:tc>
        <w:tc>
          <w:tcPr>
            <w:tcW w:w="973" w:type="dxa"/>
            <w:tcBorders>
              <w:top w:val="nil"/>
              <w:left w:val="nil"/>
              <w:bottom w:val="nil"/>
              <w:right w:val="nil"/>
            </w:tcBorders>
            <w:noWrap/>
            <w:vAlign w:val="bottom"/>
            <w:hideMark/>
          </w:tcPr>
          <w:p w14:paraId="02F2FC9B" w14:textId="77777777" w:rsidR="00E46632" w:rsidRPr="008C7914" w:rsidRDefault="00E46632">
            <w:pPr>
              <w:spacing w:after="0" w:line="240" w:lineRule="auto"/>
              <w:rPr>
                <w:rFonts w:ascii="Aptos Narrow" w:eastAsia="Times New Roman" w:hAnsi="Aptos Narrow" w:cs="Times New Roman"/>
                <w:b/>
                <w:bCs/>
                <w:color w:val="000000"/>
                <w:lang w:eastAsia="en-GB"/>
              </w:rPr>
            </w:pPr>
          </w:p>
        </w:tc>
        <w:tc>
          <w:tcPr>
            <w:tcW w:w="974" w:type="dxa"/>
            <w:tcBorders>
              <w:top w:val="nil"/>
              <w:left w:val="nil"/>
              <w:bottom w:val="nil"/>
              <w:right w:val="nil"/>
            </w:tcBorders>
            <w:noWrap/>
            <w:vAlign w:val="bottom"/>
            <w:hideMark/>
          </w:tcPr>
          <w:p w14:paraId="3ED17FC7"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3" w:type="dxa"/>
            <w:tcBorders>
              <w:top w:val="nil"/>
              <w:left w:val="nil"/>
              <w:bottom w:val="nil"/>
              <w:right w:val="nil"/>
            </w:tcBorders>
            <w:noWrap/>
            <w:vAlign w:val="bottom"/>
            <w:hideMark/>
          </w:tcPr>
          <w:p w14:paraId="061FDB5A"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0F2EBEF3"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974" w:type="dxa"/>
            <w:tcBorders>
              <w:top w:val="nil"/>
              <w:left w:val="nil"/>
              <w:bottom w:val="nil"/>
              <w:right w:val="nil"/>
            </w:tcBorders>
            <w:noWrap/>
            <w:vAlign w:val="bottom"/>
            <w:hideMark/>
          </w:tcPr>
          <w:p w14:paraId="0F602D0C"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noWrap/>
            <w:vAlign w:val="bottom"/>
            <w:hideMark/>
          </w:tcPr>
          <w:p w14:paraId="77ACE4BF" w14:textId="77777777" w:rsidR="00E46632" w:rsidRPr="008C7914" w:rsidRDefault="00E46632">
            <w:pPr>
              <w:spacing w:after="0" w:line="240" w:lineRule="auto"/>
              <w:rPr>
                <w:rFonts w:ascii="Times New Roman" w:eastAsia="Times New Roman" w:hAnsi="Times New Roman" w:cs="Times New Roman"/>
                <w:sz w:val="20"/>
                <w:szCs w:val="20"/>
                <w:lang w:eastAsia="en-GB"/>
              </w:rPr>
            </w:pPr>
          </w:p>
        </w:tc>
      </w:tr>
      <w:tr w:rsidR="003D5ADA" w:rsidRPr="008C7914" w14:paraId="7615DDCA" w14:textId="77777777" w:rsidTr="008C2705">
        <w:trPr>
          <w:trHeight w:val="300"/>
        </w:trPr>
        <w:tc>
          <w:tcPr>
            <w:tcW w:w="3402" w:type="dxa"/>
            <w:tcBorders>
              <w:top w:val="nil"/>
              <w:left w:val="nil"/>
              <w:bottom w:val="nil"/>
              <w:right w:val="nil"/>
            </w:tcBorders>
            <w:shd w:val="clear" w:color="C0E6F5" w:fill="C0E6F5"/>
            <w:noWrap/>
            <w:vAlign w:val="bottom"/>
            <w:hideMark/>
          </w:tcPr>
          <w:p w14:paraId="5C068F96"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 </w:t>
            </w:r>
          </w:p>
        </w:tc>
        <w:tc>
          <w:tcPr>
            <w:tcW w:w="973" w:type="dxa"/>
            <w:tcBorders>
              <w:top w:val="nil"/>
              <w:left w:val="nil"/>
              <w:bottom w:val="nil"/>
              <w:right w:val="nil"/>
            </w:tcBorders>
            <w:shd w:val="clear" w:color="C0E6F5" w:fill="C0E6F5"/>
            <w:noWrap/>
            <w:vAlign w:val="bottom"/>
            <w:hideMark/>
          </w:tcPr>
          <w:p w14:paraId="02BF57E5"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2021</w:t>
            </w:r>
          </w:p>
        </w:tc>
        <w:tc>
          <w:tcPr>
            <w:tcW w:w="974" w:type="dxa"/>
            <w:tcBorders>
              <w:top w:val="nil"/>
              <w:left w:val="nil"/>
              <w:bottom w:val="nil"/>
              <w:right w:val="nil"/>
            </w:tcBorders>
            <w:shd w:val="clear" w:color="C0E6F5" w:fill="C0E6F5"/>
            <w:noWrap/>
            <w:vAlign w:val="bottom"/>
            <w:hideMark/>
          </w:tcPr>
          <w:p w14:paraId="019B9CF9"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2022</w:t>
            </w:r>
          </w:p>
        </w:tc>
        <w:tc>
          <w:tcPr>
            <w:tcW w:w="973" w:type="dxa"/>
            <w:tcBorders>
              <w:top w:val="nil"/>
              <w:left w:val="nil"/>
              <w:bottom w:val="nil"/>
              <w:right w:val="nil"/>
            </w:tcBorders>
            <w:shd w:val="clear" w:color="C0E6F5" w:fill="C0E6F5"/>
            <w:noWrap/>
            <w:vAlign w:val="bottom"/>
            <w:hideMark/>
          </w:tcPr>
          <w:p w14:paraId="49E1B973"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2023</w:t>
            </w:r>
          </w:p>
        </w:tc>
        <w:tc>
          <w:tcPr>
            <w:tcW w:w="974" w:type="dxa"/>
            <w:tcBorders>
              <w:top w:val="nil"/>
              <w:left w:val="nil"/>
              <w:bottom w:val="nil"/>
              <w:right w:val="single" w:sz="6" w:space="0" w:color="595959" w:themeColor="text1" w:themeTint="A6"/>
            </w:tcBorders>
            <w:shd w:val="clear" w:color="C0E6F5" w:fill="C0E6F5"/>
            <w:noWrap/>
            <w:vAlign w:val="bottom"/>
            <w:hideMark/>
          </w:tcPr>
          <w:p w14:paraId="73945C11" w14:textId="77777777" w:rsidR="003D5ADA" w:rsidRPr="008C7914" w:rsidRDefault="003D5ADA">
            <w:pPr>
              <w:spacing w:after="0" w:line="240" w:lineRule="auto"/>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2024</w:t>
            </w:r>
          </w:p>
        </w:tc>
        <w:tc>
          <w:tcPr>
            <w:tcW w:w="2202" w:type="dxa"/>
            <w:gridSpan w:val="2"/>
            <w:tcBorders>
              <w:top w:val="nil"/>
              <w:left w:val="single" w:sz="6" w:space="0" w:color="595959" w:themeColor="text1" w:themeTint="A6"/>
              <w:bottom w:val="nil"/>
              <w:right w:val="nil"/>
            </w:tcBorders>
            <w:shd w:val="clear" w:color="C0E6F5" w:fill="C0E6F5"/>
            <w:noWrap/>
            <w:vAlign w:val="bottom"/>
            <w:hideMark/>
          </w:tcPr>
          <w:p w14:paraId="27B56CA6" w14:textId="32891F10" w:rsidR="003D5ADA" w:rsidRPr="008C7914" w:rsidRDefault="003D5ADA" w:rsidP="003D5ADA">
            <w:pPr>
              <w:spacing w:after="0" w:line="240" w:lineRule="auto"/>
              <w:jc w:val="center"/>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Change</w:t>
            </w:r>
            <w:r>
              <w:rPr>
                <w:rFonts w:ascii="Aptos Narrow" w:eastAsia="Times New Roman" w:hAnsi="Aptos Narrow" w:cs="Times New Roman"/>
                <w:b/>
                <w:bCs/>
                <w:color w:val="000000"/>
                <w:lang w:eastAsia="en-GB"/>
              </w:rPr>
              <w:t xml:space="preserve"> 2</w:t>
            </w:r>
            <w:r w:rsidR="00282114">
              <w:rPr>
                <w:rFonts w:ascii="Aptos Narrow" w:eastAsia="Times New Roman" w:hAnsi="Aptos Narrow" w:cs="Times New Roman"/>
                <w:b/>
                <w:bCs/>
                <w:color w:val="000000"/>
                <w:lang w:eastAsia="en-GB"/>
              </w:rPr>
              <w:t>0</w:t>
            </w:r>
            <w:r>
              <w:rPr>
                <w:rFonts w:ascii="Aptos Narrow" w:eastAsia="Times New Roman" w:hAnsi="Aptos Narrow" w:cs="Times New Roman"/>
                <w:b/>
                <w:bCs/>
                <w:color w:val="000000"/>
                <w:lang w:eastAsia="en-GB"/>
              </w:rPr>
              <w:t xml:space="preserve">-22 </w:t>
            </w:r>
            <w:r>
              <w:rPr>
                <w:rFonts w:ascii="Aptos Narrow" w:eastAsia="Times New Roman" w:hAnsi="Aptos Narrow" w:cs="Times New Roman"/>
                <w:b/>
                <w:bCs/>
                <w:color w:val="000000"/>
                <w:lang w:eastAsia="en-GB"/>
              </w:rPr>
              <w:br/>
              <w:t>to 2</w:t>
            </w:r>
            <w:r w:rsidR="00282114">
              <w:rPr>
                <w:rFonts w:ascii="Aptos Narrow" w:eastAsia="Times New Roman" w:hAnsi="Aptos Narrow" w:cs="Times New Roman"/>
                <w:b/>
                <w:bCs/>
                <w:color w:val="000000"/>
                <w:lang w:eastAsia="en-GB"/>
              </w:rPr>
              <w:t>2</w:t>
            </w:r>
            <w:r>
              <w:rPr>
                <w:rFonts w:ascii="Aptos Narrow" w:eastAsia="Times New Roman" w:hAnsi="Aptos Narrow" w:cs="Times New Roman"/>
                <w:b/>
                <w:bCs/>
                <w:color w:val="000000"/>
                <w:lang w:eastAsia="en-GB"/>
              </w:rPr>
              <w:t>-24 (</w:t>
            </w:r>
            <w:proofErr w:type="gramStart"/>
            <w:r>
              <w:rPr>
                <w:rFonts w:ascii="Aptos Narrow" w:eastAsia="Times New Roman" w:hAnsi="Aptos Narrow" w:cs="Times New Roman"/>
                <w:b/>
                <w:bCs/>
                <w:color w:val="000000"/>
                <w:lang w:eastAsia="en-GB"/>
              </w:rPr>
              <w:t>%)</w:t>
            </w:r>
            <w:r w:rsidR="00D2566A" w:rsidRPr="00D2566A">
              <w:rPr>
                <w:rFonts w:ascii="Aptos Narrow" w:eastAsia="Times New Roman" w:hAnsi="Aptos Narrow" w:cs="Times New Roman"/>
                <w:b/>
                <w:bCs/>
                <w:color w:val="000000"/>
                <w:vertAlign w:val="superscript"/>
                <w:lang w:eastAsia="en-GB"/>
              </w:rPr>
              <w:t>†</w:t>
            </w:r>
            <w:proofErr w:type="gramEnd"/>
          </w:p>
        </w:tc>
      </w:tr>
      <w:tr w:rsidR="007E6E42" w:rsidRPr="008C7914" w14:paraId="548BCD8E" w14:textId="77777777">
        <w:trPr>
          <w:trHeight w:val="300"/>
        </w:trPr>
        <w:tc>
          <w:tcPr>
            <w:tcW w:w="3402" w:type="dxa"/>
            <w:tcBorders>
              <w:top w:val="nil"/>
              <w:left w:val="nil"/>
              <w:bottom w:val="nil"/>
              <w:right w:val="nil"/>
            </w:tcBorders>
            <w:noWrap/>
            <w:vAlign w:val="bottom"/>
            <w:hideMark/>
          </w:tcPr>
          <w:p w14:paraId="3FEA8525"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Crack (no opiates)</w:t>
            </w:r>
          </w:p>
        </w:tc>
        <w:tc>
          <w:tcPr>
            <w:tcW w:w="973" w:type="dxa"/>
            <w:tcBorders>
              <w:top w:val="nil"/>
              <w:left w:val="nil"/>
              <w:bottom w:val="nil"/>
              <w:right w:val="nil"/>
            </w:tcBorders>
            <w:noWrap/>
            <w:vAlign w:val="bottom"/>
            <w:hideMark/>
          </w:tcPr>
          <w:p w14:paraId="2302B289"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w:t>
            </w:r>
          </w:p>
        </w:tc>
        <w:tc>
          <w:tcPr>
            <w:tcW w:w="974" w:type="dxa"/>
            <w:tcBorders>
              <w:top w:val="nil"/>
              <w:left w:val="nil"/>
              <w:bottom w:val="nil"/>
              <w:right w:val="nil"/>
            </w:tcBorders>
            <w:noWrap/>
            <w:vAlign w:val="bottom"/>
            <w:hideMark/>
          </w:tcPr>
          <w:p w14:paraId="3988004C"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w:t>
            </w:r>
          </w:p>
        </w:tc>
        <w:tc>
          <w:tcPr>
            <w:tcW w:w="973" w:type="dxa"/>
            <w:tcBorders>
              <w:top w:val="nil"/>
              <w:left w:val="nil"/>
              <w:bottom w:val="nil"/>
              <w:right w:val="nil"/>
            </w:tcBorders>
            <w:noWrap/>
            <w:vAlign w:val="bottom"/>
            <w:hideMark/>
          </w:tcPr>
          <w:p w14:paraId="318024E0"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10</w:t>
            </w:r>
          </w:p>
        </w:tc>
        <w:tc>
          <w:tcPr>
            <w:tcW w:w="974" w:type="dxa"/>
            <w:tcBorders>
              <w:top w:val="nil"/>
              <w:left w:val="nil"/>
              <w:bottom w:val="nil"/>
              <w:right w:val="single" w:sz="6" w:space="0" w:color="595959" w:themeColor="text1" w:themeTint="A6"/>
            </w:tcBorders>
            <w:noWrap/>
            <w:vAlign w:val="bottom"/>
            <w:hideMark/>
          </w:tcPr>
          <w:p w14:paraId="1C1360DF"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12</w:t>
            </w:r>
          </w:p>
        </w:tc>
        <w:tc>
          <w:tcPr>
            <w:tcW w:w="974" w:type="dxa"/>
            <w:tcBorders>
              <w:top w:val="nil"/>
              <w:left w:val="single" w:sz="6" w:space="0" w:color="595959" w:themeColor="text1" w:themeTint="A6"/>
              <w:bottom w:val="nil"/>
              <w:right w:val="nil"/>
            </w:tcBorders>
            <w:noWrap/>
            <w:vAlign w:val="bottom"/>
            <w:hideMark/>
          </w:tcPr>
          <w:p w14:paraId="2E780708" w14:textId="1CF25503"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5</w:t>
            </w:r>
          </w:p>
        </w:tc>
        <w:tc>
          <w:tcPr>
            <w:tcW w:w="1228" w:type="dxa"/>
            <w:tcBorders>
              <w:top w:val="nil"/>
              <w:left w:val="nil"/>
              <w:bottom w:val="nil"/>
              <w:right w:val="nil"/>
            </w:tcBorders>
            <w:noWrap/>
            <w:vAlign w:val="bottom"/>
            <w:hideMark/>
          </w:tcPr>
          <w:p w14:paraId="4DB28457" w14:textId="44C86161"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+83.3%</w:t>
            </w:r>
          </w:p>
        </w:tc>
      </w:tr>
      <w:tr w:rsidR="007E6E42" w:rsidRPr="008C7914" w14:paraId="3FCD4602" w14:textId="77777777">
        <w:trPr>
          <w:trHeight w:val="300"/>
        </w:trPr>
        <w:tc>
          <w:tcPr>
            <w:tcW w:w="3402" w:type="dxa"/>
            <w:tcBorders>
              <w:top w:val="nil"/>
              <w:left w:val="nil"/>
              <w:bottom w:val="nil"/>
              <w:right w:val="nil"/>
            </w:tcBorders>
            <w:noWrap/>
            <w:vAlign w:val="bottom"/>
            <w:hideMark/>
          </w:tcPr>
          <w:p w14:paraId="12599329"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and alcohol (no crack)</w:t>
            </w:r>
          </w:p>
        </w:tc>
        <w:tc>
          <w:tcPr>
            <w:tcW w:w="973" w:type="dxa"/>
            <w:tcBorders>
              <w:top w:val="nil"/>
              <w:left w:val="nil"/>
              <w:bottom w:val="nil"/>
              <w:right w:val="nil"/>
            </w:tcBorders>
            <w:noWrap/>
            <w:vAlign w:val="bottom"/>
            <w:hideMark/>
          </w:tcPr>
          <w:p w14:paraId="116F45D1"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9</w:t>
            </w:r>
          </w:p>
        </w:tc>
        <w:tc>
          <w:tcPr>
            <w:tcW w:w="974" w:type="dxa"/>
            <w:tcBorders>
              <w:top w:val="nil"/>
              <w:left w:val="nil"/>
              <w:bottom w:val="nil"/>
              <w:right w:val="nil"/>
            </w:tcBorders>
            <w:noWrap/>
            <w:vAlign w:val="bottom"/>
            <w:hideMark/>
          </w:tcPr>
          <w:p w14:paraId="74D6260F"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13</w:t>
            </w:r>
          </w:p>
        </w:tc>
        <w:tc>
          <w:tcPr>
            <w:tcW w:w="973" w:type="dxa"/>
            <w:tcBorders>
              <w:top w:val="nil"/>
              <w:left w:val="nil"/>
              <w:bottom w:val="nil"/>
              <w:right w:val="nil"/>
            </w:tcBorders>
            <w:noWrap/>
            <w:vAlign w:val="bottom"/>
            <w:hideMark/>
          </w:tcPr>
          <w:p w14:paraId="567F040F"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12</w:t>
            </w:r>
          </w:p>
        </w:tc>
        <w:tc>
          <w:tcPr>
            <w:tcW w:w="974" w:type="dxa"/>
            <w:tcBorders>
              <w:top w:val="nil"/>
              <w:left w:val="nil"/>
              <w:bottom w:val="nil"/>
              <w:right w:val="single" w:sz="6" w:space="0" w:color="595959" w:themeColor="text1" w:themeTint="A6"/>
            </w:tcBorders>
            <w:noWrap/>
            <w:vAlign w:val="bottom"/>
            <w:hideMark/>
          </w:tcPr>
          <w:p w14:paraId="61CBA1F7"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24</w:t>
            </w:r>
          </w:p>
        </w:tc>
        <w:tc>
          <w:tcPr>
            <w:tcW w:w="974" w:type="dxa"/>
            <w:tcBorders>
              <w:top w:val="nil"/>
              <w:left w:val="single" w:sz="6" w:space="0" w:color="595959" w:themeColor="text1" w:themeTint="A6"/>
              <w:bottom w:val="nil"/>
              <w:right w:val="nil"/>
            </w:tcBorders>
            <w:noWrap/>
            <w:vAlign w:val="bottom"/>
            <w:hideMark/>
          </w:tcPr>
          <w:p w14:paraId="5C117DDC" w14:textId="1213CED4"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7</w:t>
            </w:r>
          </w:p>
        </w:tc>
        <w:tc>
          <w:tcPr>
            <w:tcW w:w="1228" w:type="dxa"/>
            <w:tcBorders>
              <w:top w:val="nil"/>
              <w:left w:val="nil"/>
              <w:bottom w:val="nil"/>
              <w:right w:val="nil"/>
            </w:tcBorders>
            <w:noWrap/>
            <w:vAlign w:val="bottom"/>
            <w:hideMark/>
          </w:tcPr>
          <w:p w14:paraId="261647CD" w14:textId="5455C4E9"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+63.6%</w:t>
            </w:r>
          </w:p>
        </w:tc>
      </w:tr>
      <w:tr w:rsidR="007E6E42" w:rsidRPr="008C7914" w14:paraId="5CE2C8B0" w14:textId="77777777">
        <w:trPr>
          <w:trHeight w:val="300"/>
        </w:trPr>
        <w:tc>
          <w:tcPr>
            <w:tcW w:w="3402" w:type="dxa"/>
            <w:tcBorders>
              <w:top w:val="nil"/>
              <w:left w:val="nil"/>
              <w:bottom w:val="nil"/>
              <w:right w:val="nil"/>
            </w:tcBorders>
            <w:noWrap/>
            <w:vAlign w:val="bottom"/>
            <w:hideMark/>
          </w:tcPr>
          <w:p w14:paraId="41039FF4"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Non-opiates only (no crack)</w:t>
            </w:r>
          </w:p>
        </w:tc>
        <w:tc>
          <w:tcPr>
            <w:tcW w:w="973" w:type="dxa"/>
            <w:tcBorders>
              <w:top w:val="nil"/>
              <w:left w:val="nil"/>
              <w:bottom w:val="nil"/>
              <w:right w:val="nil"/>
            </w:tcBorders>
            <w:noWrap/>
            <w:vAlign w:val="bottom"/>
            <w:hideMark/>
          </w:tcPr>
          <w:p w14:paraId="431C3CB1" w14:textId="68EFDB9B" w:rsidR="007E6E42" w:rsidRPr="008C7914" w:rsidRDefault="00D2566A" w:rsidP="007E6E42">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w:t>
            </w:r>
          </w:p>
        </w:tc>
        <w:tc>
          <w:tcPr>
            <w:tcW w:w="974" w:type="dxa"/>
            <w:tcBorders>
              <w:top w:val="nil"/>
              <w:left w:val="nil"/>
              <w:bottom w:val="nil"/>
              <w:right w:val="nil"/>
            </w:tcBorders>
            <w:noWrap/>
            <w:vAlign w:val="bottom"/>
            <w:hideMark/>
          </w:tcPr>
          <w:p w14:paraId="2D511F1B"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9</w:t>
            </w:r>
          </w:p>
        </w:tc>
        <w:tc>
          <w:tcPr>
            <w:tcW w:w="973" w:type="dxa"/>
            <w:tcBorders>
              <w:top w:val="nil"/>
              <w:left w:val="nil"/>
              <w:bottom w:val="nil"/>
              <w:right w:val="nil"/>
            </w:tcBorders>
            <w:noWrap/>
            <w:vAlign w:val="bottom"/>
            <w:hideMark/>
          </w:tcPr>
          <w:p w14:paraId="1C230941"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17</w:t>
            </w:r>
          </w:p>
        </w:tc>
        <w:tc>
          <w:tcPr>
            <w:tcW w:w="974" w:type="dxa"/>
            <w:tcBorders>
              <w:top w:val="nil"/>
              <w:left w:val="nil"/>
              <w:bottom w:val="nil"/>
              <w:right w:val="single" w:sz="6" w:space="0" w:color="595959" w:themeColor="text1" w:themeTint="A6"/>
            </w:tcBorders>
            <w:noWrap/>
            <w:vAlign w:val="bottom"/>
            <w:hideMark/>
          </w:tcPr>
          <w:p w14:paraId="0726D02B"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18</w:t>
            </w:r>
          </w:p>
        </w:tc>
        <w:tc>
          <w:tcPr>
            <w:tcW w:w="974" w:type="dxa"/>
            <w:tcBorders>
              <w:top w:val="nil"/>
              <w:left w:val="single" w:sz="6" w:space="0" w:color="595959" w:themeColor="text1" w:themeTint="A6"/>
              <w:bottom w:val="nil"/>
              <w:right w:val="nil"/>
            </w:tcBorders>
            <w:noWrap/>
            <w:vAlign w:val="bottom"/>
            <w:hideMark/>
          </w:tcPr>
          <w:p w14:paraId="770CB505" w14:textId="5CBE7823"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10.5</w:t>
            </w:r>
          </w:p>
        </w:tc>
        <w:tc>
          <w:tcPr>
            <w:tcW w:w="1228" w:type="dxa"/>
            <w:tcBorders>
              <w:top w:val="nil"/>
              <w:left w:val="nil"/>
              <w:bottom w:val="nil"/>
              <w:right w:val="nil"/>
            </w:tcBorders>
            <w:noWrap/>
            <w:vAlign w:val="bottom"/>
            <w:hideMark/>
          </w:tcPr>
          <w:p w14:paraId="3D8971E2" w14:textId="3856F368"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+150.0%</w:t>
            </w:r>
          </w:p>
        </w:tc>
      </w:tr>
      <w:tr w:rsidR="007E6E42" w:rsidRPr="008C7914" w14:paraId="0AA4202B" w14:textId="77777777">
        <w:trPr>
          <w:trHeight w:val="300"/>
        </w:trPr>
        <w:tc>
          <w:tcPr>
            <w:tcW w:w="3402" w:type="dxa"/>
            <w:tcBorders>
              <w:top w:val="nil"/>
              <w:left w:val="nil"/>
              <w:bottom w:val="nil"/>
              <w:right w:val="nil"/>
            </w:tcBorders>
            <w:noWrap/>
            <w:vAlign w:val="bottom"/>
            <w:hideMark/>
          </w:tcPr>
          <w:p w14:paraId="0339DCC3"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and crack</w:t>
            </w:r>
          </w:p>
        </w:tc>
        <w:tc>
          <w:tcPr>
            <w:tcW w:w="973" w:type="dxa"/>
            <w:tcBorders>
              <w:top w:val="nil"/>
              <w:left w:val="nil"/>
              <w:bottom w:val="nil"/>
              <w:right w:val="nil"/>
            </w:tcBorders>
            <w:noWrap/>
            <w:vAlign w:val="bottom"/>
            <w:hideMark/>
          </w:tcPr>
          <w:p w14:paraId="5DD6C9A1"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51</w:t>
            </w:r>
          </w:p>
        </w:tc>
        <w:tc>
          <w:tcPr>
            <w:tcW w:w="974" w:type="dxa"/>
            <w:tcBorders>
              <w:top w:val="nil"/>
              <w:left w:val="nil"/>
              <w:bottom w:val="nil"/>
              <w:right w:val="nil"/>
            </w:tcBorders>
            <w:noWrap/>
            <w:vAlign w:val="bottom"/>
            <w:hideMark/>
          </w:tcPr>
          <w:p w14:paraId="14020673"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58</w:t>
            </w:r>
          </w:p>
        </w:tc>
        <w:tc>
          <w:tcPr>
            <w:tcW w:w="973" w:type="dxa"/>
            <w:tcBorders>
              <w:top w:val="nil"/>
              <w:left w:val="nil"/>
              <w:bottom w:val="nil"/>
              <w:right w:val="nil"/>
            </w:tcBorders>
            <w:noWrap/>
            <w:vAlign w:val="bottom"/>
            <w:hideMark/>
          </w:tcPr>
          <w:p w14:paraId="2CBE35E8"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66</w:t>
            </w:r>
          </w:p>
        </w:tc>
        <w:tc>
          <w:tcPr>
            <w:tcW w:w="974" w:type="dxa"/>
            <w:tcBorders>
              <w:top w:val="nil"/>
              <w:left w:val="nil"/>
              <w:bottom w:val="nil"/>
              <w:right w:val="single" w:sz="6" w:space="0" w:color="595959" w:themeColor="text1" w:themeTint="A6"/>
            </w:tcBorders>
            <w:noWrap/>
            <w:vAlign w:val="bottom"/>
            <w:hideMark/>
          </w:tcPr>
          <w:p w14:paraId="1826CDBD"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66</w:t>
            </w:r>
          </w:p>
        </w:tc>
        <w:tc>
          <w:tcPr>
            <w:tcW w:w="974" w:type="dxa"/>
            <w:tcBorders>
              <w:top w:val="nil"/>
              <w:left w:val="single" w:sz="6" w:space="0" w:color="595959" w:themeColor="text1" w:themeTint="A6"/>
              <w:bottom w:val="nil"/>
              <w:right w:val="nil"/>
            </w:tcBorders>
            <w:noWrap/>
            <w:vAlign w:val="bottom"/>
            <w:hideMark/>
          </w:tcPr>
          <w:p w14:paraId="23AF97F0" w14:textId="707BE99F"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11.5</w:t>
            </w:r>
          </w:p>
        </w:tc>
        <w:tc>
          <w:tcPr>
            <w:tcW w:w="1228" w:type="dxa"/>
            <w:tcBorders>
              <w:top w:val="nil"/>
              <w:left w:val="nil"/>
              <w:bottom w:val="nil"/>
              <w:right w:val="nil"/>
            </w:tcBorders>
            <w:noWrap/>
            <w:vAlign w:val="bottom"/>
            <w:hideMark/>
          </w:tcPr>
          <w:p w14:paraId="2264A895" w14:textId="2B37B204"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+21.1%</w:t>
            </w:r>
          </w:p>
        </w:tc>
      </w:tr>
      <w:tr w:rsidR="007E6E42" w:rsidRPr="008C7914" w14:paraId="4678BE3A" w14:textId="77777777">
        <w:trPr>
          <w:trHeight w:val="300"/>
        </w:trPr>
        <w:tc>
          <w:tcPr>
            <w:tcW w:w="3402" w:type="dxa"/>
            <w:tcBorders>
              <w:top w:val="nil"/>
              <w:left w:val="nil"/>
              <w:bottom w:val="nil"/>
              <w:right w:val="nil"/>
            </w:tcBorders>
            <w:noWrap/>
            <w:vAlign w:val="bottom"/>
            <w:hideMark/>
          </w:tcPr>
          <w:p w14:paraId="5572C266" w14:textId="77777777" w:rsidR="007E6E42" w:rsidRPr="008C7914" w:rsidRDefault="007E6E42" w:rsidP="007E6E42">
            <w:pPr>
              <w:spacing w:after="0" w:line="240" w:lineRule="auto"/>
              <w:rPr>
                <w:rFonts w:ascii="Aptos Narrow" w:eastAsia="Times New Roman" w:hAnsi="Aptos Narrow" w:cs="Times New Roman"/>
                <w:color w:val="000000"/>
                <w:lang w:eastAsia="en-GB"/>
              </w:rPr>
            </w:pPr>
            <w:r w:rsidRPr="008C7914">
              <w:rPr>
                <w:rFonts w:ascii="Aptos Narrow" w:eastAsia="Times New Roman" w:hAnsi="Aptos Narrow" w:cs="Times New Roman"/>
                <w:color w:val="000000"/>
                <w:lang w:eastAsia="en-GB"/>
              </w:rPr>
              <w:t>Opiates only</w:t>
            </w:r>
          </w:p>
        </w:tc>
        <w:tc>
          <w:tcPr>
            <w:tcW w:w="973" w:type="dxa"/>
            <w:tcBorders>
              <w:top w:val="nil"/>
              <w:left w:val="nil"/>
              <w:bottom w:val="nil"/>
              <w:right w:val="nil"/>
            </w:tcBorders>
            <w:noWrap/>
            <w:vAlign w:val="bottom"/>
            <w:hideMark/>
          </w:tcPr>
          <w:p w14:paraId="2E98A669"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87</w:t>
            </w:r>
          </w:p>
        </w:tc>
        <w:tc>
          <w:tcPr>
            <w:tcW w:w="974" w:type="dxa"/>
            <w:tcBorders>
              <w:top w:val="nil"/>
              <w:left w:val="nil"/>
              <w:bottom w:val="nil"/>
              <w:right w:val="nil"/>
            </w:tcBorders>
            <w:noWrap/>
            <w:vAlign w:val="bottom"/>
            <w:hideMark/>
          </w:tcPr>
          <w:p w14:paraId="3134DE71"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81</w:t>
            </w:r>
          </w:p>
        </w:tc>
        <w:tc>
          <w:tcPr>
            <w:tcW w:w="973" w:type="dxa"/>
            <w:tcBorders>
              <w:top w:val="nil"/>
              <w:left w:val="nil"/>
              <w:bottom w:val="nil"/>
              <w:right w:val="nil"/>
            </w:tcBorders>
            <w:noWrap/>
            <w:vAlign w:val="bottom"/>
            <w:hideMark/>
          </w:tcPr>
          <w:p w14:paraId="544655CA"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121</w:t>
            </w:r>
          </w:p>
        </w:tc>
        <w:tc>
          <w:tcPr>
            <w:tcW w:w="974" w:type="dxa"/>
            <w:tcBorders>
              <w:top w:val="nil"/>
              <w:left w:val="nil"/>
              <w:bottom w:val="single" w:sz="4" w:space="0" w:color="000000"/>
              <w:right w:val="single" w:sz="6" w:space="0" w:color="595959" w:themeColor="text1" w:themeTint="A6"/>
            </w:tcBorders>
            <w:noWrap/>
            <w:vAlign w:val="bottom"/>
            <w:hideMark/>
          </w:tcPr>
          <w:p w14:paraId="2955FDD3" w14:textId="77777777" w:rsidR="007E6E42" w:rsidRPr="008C7914" w:rsidRDefault="007E6E42" w:rsidP="007E6E42">
            <w:pPr>
              <w:spacing w:after="0" w:line="240" w:lineRule="auto"/>
              <w:jc w:val="right"/>
              <w:rPr>
                <w:rFonts w:ascii="Aptos Narrow" w:eastAsia="Times New Roman" w:hAnsi="Aptos Narrow" w:cs="Times New Roman"/>
                <w:color w:val="000000"/>
                <w:lang w:eastAsia="en-GB"/>
              </w:rPr>
            </w:pPr>
            <w:r w:rsidRPr="009E1753">
              <w:rPr>
                <w:rFonts w:ascii="Aptos Narrow" w:eastAsia="Times New Roman" w:hAnsi="Aptos Narrow" w:cs="Times New Roman"/>
                <w:color w:val="000000"/>
                <w:lang w:eastAsia="en-GB"/>
              </w:rPr>
              <w:t>128</w:t>
            </w:r>
          </w:p>
        </w:tc>
        <w:tc>
          <w:tcPr>
            <w:tcW w:w="974" w:type="dxa"/>
            <w:tcBorders>
              <w:top w:val="nil"/>
              <w:left w:val="single" w:sz="6" w:space="0" w:color="595959" w:themeColor="text1" w:themeTint="A6"/>
              <w:bottom w:val="nil"/>
              <w:right w:val="nil"/>
            </w:tcBorders>
            <w:noWrap/>
            <w:vAlign w:val="bottom"/>
            <w:hideMark/>
          </w:tcPr>
          <w:p w14:paraId="62F76084" w14:textId="24A1DBD9" w:rsidR="007E6E42" w:rsidRPr="008C7914" w:rsidRDefault="009A65E9"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w:t>
            </w:r>
            <w:r w:rsidR="007E6E42">
              <w:rPr>
                <w:rFonts w:ascii="Aptos Narrow" w:hAnsi="Aptos Narrow"/>
                <w:color w:val="000000"/>
              </w:rPr>
              <w:t>40.5</w:t>
            </w:r>
          </w:p>
        </w:tc>
        <w:tc>
          <w:tcPr>
            <w:tcW w:w="1228" w:type="dxa"/>
            <w:tcBorders>
              <w:top w:val="nil"/>
              <w:left w:val="nil"/>
              <w:bottom w:val="nil"/>
              <w:right w:val="nil"/>
            </w:tcBorders>
            <w:noWrap/>
            <w:vAlign w:val="bottom"/>
            <w:hideMark/>
          </w:tcPr>
          <w:p w14:paraId="473E9220" w14:textId="199F5AAD" w:rsidR="007E6E42" w:rsidRPr="008C7914" w:rsidRDefault="007E6E42" w:rsidP="007E6E42">
            <w:pPr>
              <w:spacing w:after="0" w:line="240" w:lineRule="auto"/>
              <w:jc w:val="right"/>
              <w:rPr>
                <w:rFonts w:ascii="Aptos Narrow" w:eastAsia="Times New Roman" w:hAnsi="Aptos Narrow" w:cs="Times New Roman"/>
                <w:color w:val="000000"/>
                <w:lang w:eastAsia="en-GB"/>
              </w:rPr>
            </w:pPr>
            <w:r>
              <w:rPr>
                <w:rFonts w:ascii="Aptos Narrow" w:hAnsi="Aptos Narrow"/>
                <w:color w:val="000000"/>
              </w:rPr>
              <w:t>+48.2%</w:t>
            </w:r>
          </w:p>
        </w:tc>
      </w:tr>
      <w:tr w:rsidR="007E6E42" w:rsidRPr="008C7914" w14:paraId="3CDF1C2E" w14:textId="77777777">
        <w:trPr>
          <w:trHeight w:val="300"/>
        </w:trPr>
        <w:tc>
          <w:tcPr>
            <w:tcW w:w="3402" w:type="dxa"/>
            <w:tcBorders>
              <w:top w:val="single" w:sz="4" w:space="0" w:color="44B3E1"/>
              <w:left w:val="nil"/>
              <w:bottom w:val="nil"/>
              <w:right w:val="nil"/>
            </w:tcBorders>
            <w:shd w:val="clear" w:color="C0E6F5" w:fill="C0E6F5"/>
            <w:noWrap/>
            <w:vAlign w:val="bottom"/>
            <w:hideMark/>
          </w:tcPr>
          <w:p w14:paraId="2126806D"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8C7914">
              <w:rPr>
                <w:rFonts w:ascii="Aptos Narrow" w:eastAsia="Times New Roman" w:hAnsi="Aptos Narrow" w:cs="Times New Roman"/>
                <w:b/>
                <w:bCs/>
                <w:color w:val="000000"/>
                <w:lang w:eastAsia="en-GB"/>
              </w:rPr>
              <w:t>Total</w:t>
            </w:r>
          </w:p>
        </w:tc>
        <w:tc>
          <w:tcPr>
            <w:tcW w:w="973" w:type="dxa"/>
            <w:tcBorders>
              <w:top w:val="single" w:sz="4" w:space="0" w:color="44B3E1"/>
              <w:left w:val="nil"/>
              <w:bottom w:val="nil"/>
              <w:right w:val="nil"/>
            </w:tcBorders>
            <w:shd w:val="clear" w:color="C0E6F5" w:fill="C0E6F5"/>
            <w:noWrap/>
            <w:vAlign w:val="bottom"/>
            <w:hideMark/>
          </w:tcPr>
          <w:p w14:paraId="5D19A8C4"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158</w:t>
            </w:r>
          </w:p>
        </w:tc>
        <w:tc>
          <w:tcPr>
            <w:tcW w:w="974" w:type="dxa"/>
            <w:tcBorders>
              <w:top w:val="single" w:sz="4" w:space="0" w:color="44B3E1"/>
              <w:left w:val="nil"/>
              <w:bottom w:val="nil"/>
              <w:right w:val="nil"/>
            </w:tcBorders>
            <w:shd w:val="clear" w:color="C0E6F5" w:fill="C0E6F5"/>
            <w:noWrap/>
            <w:vAlign w:val="bottom"/>
            <w:hideMark/>
          </w:tcPr>
          <w:p w14:paraId="3C6C58DF"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167</w:t>
            </w:r>
          </w:p>
        </w:tc>
        <w:tc>
          <w:tcPr>
            <w:tcW w:w="973" w:type="dxa"/>
            <w:tcBorders>
              <w:top w:val="single" w:sz="4" w:space="0" w:color="44B3E1"/>
              <w:left w:val="nil"/>
              <w:bottom w:val="nil"/>
              <w:right w:val="single" w:sz="4" w:space="0" w:color="000000"/>
            </w:tcBorders>
            <w:shd w:val="clear" w:color="C0E6F5" w:fill="C0E6F5"/>
            <w:noWrap/>
            <w:vAlign w:val="bottom"/>
            <w:hideMark/>
          </w:tcPr>
          <w:p w14:paraId="239A2B8B"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226</w:t>
            </w:r>
          </w:p>
        </w:tc>
        <w:tc>
          <w:tcPr>
            <w:tcW w:w="974" w:type="dxa"/>
            <w:tcBorders>
              <w:top w:val="single" w:sz="4" w:space="0" w:color="000000"/>
              <w:left w:val="single" w:sz="4" w:space="0" w:color="000000"/>
              <w:bottom w:val="single" w:sz="4" w:space="0" w:color="000000"/>
              <w:right w:val="single" w:sz="4" w:space="0" w:color="000000"/>
            </w:tcBorders>
            <w:shd w:val="clear" w:color="C0E6F5" w:fill="C0E6F5"/>
            <w:noWrap/>
            <w:vAlign w:val="bottom"/>
            <w:hideMark/>
          </w:tcPr>
          <w:p w14:paraId="6C8546BD" w14:textId="77777777" w:rsidR="007E6E42" w:rsidRPr="008C7914" w:rsidRDefault="007E6E42" w:rsidP="007E6E42">
            <w:pPr>
              <w:spacing w:after="0" w:line="240" w:lineRule="auto"/>
              <w:jc w:val="right"/>
              <w:rPr>
                <w:rFonts w:ascii="Aptos Narrow" w:eastAsia="Times New Roman" w:hAnsi="Aptos Narrow" w:cs="Times New Roman"/>
                <w:b/>
                <w:bCs/>
                <w:color w:val="000000"/>
                <w:lang w:eastAsia="en-GB"/>
              </w:rPr>
            </w:pPr>
            <w:r w:rsidRPr="009E1753">
              <w:rPr>
                <w:rFonts w:ascii="Aptos Narrow" w:eastAsia="Times New Roman" w:hAnsi="Aptos Narrow" w:cs="Times New Roman"/>
                <w:b/>
                <w:bCs/>
                <w:color w:val="000000"/>
                <w:lang w:eastAsia="en-GB"/>
              </w:rPr>
              <w:t>248</w:t>
            </w:r>
          </w:p>
        </w:tc>
        <w:tc>
          <w:tcPr>
            <w:tcW w:w="974" w:type="dxa"/>
            <w:tcBorders>
              <w:top w:val="single" w:sz="4" w:space="0" w:color="44B3E1"/>
              <w:left w:val="single" w:sz="4" w:space="0" w:color="000000"/>
              <w:bottom w:val="nil"/>
              <w:right w:val="nil"/>
            </w:tcBorders>
            <w:shd w:val="clear" w:color="C0E6F5" w:fill="C0E6F5"/>
            <w:noWrap/>
            <w:vAlign w:val="bottom"/>
            <w:hideMark/>
          </w:tcPr>
          <w:p w14:paraId="4FF7B94B" w14:textId="461B6942" w:rsidR="007E6E42" w:rsidRPr="007E6E42" w:rsidRDefault="009A65E9" w:rsidP="007E6E42">
            <w:pPr>
              <w:spacing w:after="0" w:line="240" w:lineRule="auto"/>
              <w:jc w:val="right"/>
              <w:rPr>
                <w:rFonts w:ascii="Aptos Narrow" w:eastAsia="Times New Roman" w:hAnsi="Aptos Narrow" w:cs="Times New Roman"/>
                <w:b/>
                <w:bCs/>
                <w:color w:val="000000"/>
                <w:lang w:eastAsia="en-GB"/>
              </w:rPr>
            </w:pPr>
            <w:r>
              <w:rPr>
                <w:rFonts w:ascii="Aptos Narrow" w:hAnsi="Aptos Narrow"/>
                <w:b/>
                <w:bCs/>
                <w:color w:val="000000"/>
              </w:rPr>
              <w:t>+</w:t>
            </w:r>
            <w:r w:rsidR="007E6E42" w:rsidRPr="007E6E42">
              <w:rPr>
                <w:rFonts w:ascii="Aptos Narrow" w:hAnsi="Aptos Narrow"/>
                <w:b/>
                <w:bCs/>
                <w:color w:val="000000"/>
              </w:rPr>
              <w:t>74.5</w:t>
            </w:r>
          </w:p>
        </w:tc>
        <w:tc>
          <w:tcPr>
            <w:tcW w:w="1228" w:type="dxa"/>
            <w:tcBorders>
              <w:top w:val="single" w:sz="4" w:space="0" w:color="44B3E1"/>
              <w:left w:val="nil"/>
              <w:bottom w:val="nil"/>
              <w:right w:val="nil"/>
            </w:tcBorders>
            <w:shd w:val="clear" w:color="C0E6F5" w:fill="C0E6F5"/>
            <w:noWrap/>
            <w:vAlign w:val="bottom"/>
            <w:hideMark/>
          </w:tcPr>
          <w:p w14:paraId="6D8C5D2B" w14:textId="303B2C04" w:rsidR="007E6E42" w:rsidRPr="007E6E42" w:rsidRDefault="007E6E42" w:rsidP="007E6E42">
            <w:pPr>
              <w:spacing w:after="0" w:line="240" w:lineRule="auto"/>
              <w:jc w:val="right"/>
              <w:rPr>
                <w:rFonts w:ascii="Aptos Narrow" w:eastAsia="Times New Roman" w:hAnsi="Aptos Narrow" w:cs="Times New Roman"/>
                <w:b/>
                <w:bCs/>
                <w:color w:val="000000"/>
                <w:lang w:eastAsia="en-GB"/>
              </w:rPr>
            </w:pPr>
            <w:r w:rsidRPr="007E6E42">
              <w:rPr>
                <w:rFonts w:ascii="Aptos Narrow" w:hAnsi="Aptos Narrow"/>
                <w:b/>
                <w:bCs/>
                <w:color w:val="000000"/>
              </w:rPr>
              <w:t>+45.8%</w:t>
            </w:r>
          </w:p>
        </w:tc>
      </w:tr>
    </w:tbl>
    <w:p w14:paraId="6DEA535F" w14:textId="3F2C9AC3" w:rsidR="00915806" w:rsidRPr="00B73E7B" w:rsidRDefault="00DD1E9B" w:rsidP="00FD1402">
      <w:pPr>
        <w:rPr>
          <w:sz w:val="18"/>
          <w:szCs w:val="18"/>
        </w:rPr>
      </w:pPr>
      <w:r w:rsidRPr="14B03219">
        <w:rPr>
          <w:sz w:val="18"/>
          <w:szCs w:val="18"/>
        </w:rPr>
        <w:lastRenderedPageBreak/>
        <w:t>Source: NDTMS</w:t>
      </w:r>
      <w:r w:rsidR="00761F4D">
        <w:rPr>
          <w:sz w:val="18"/>
          <w:szCs w:val="18"/>
        </w:rPr>
        <w:t xml:space="preserve"> data.</w:t>
      </w:r>
      <w:r w:rsidR="00D2566A">
        <w:rPr>
          <w:sz w:val="18"/>
          <w:szCs w:val="18"/>
        </w:rPr>
        <w:t xml:space="preserve"> </w:t>
      </w:r>
      <w:r w:rsidR="00D2566A" w:rsidRPr="00D2566A">
        <w:rPr>
          <w:sz w:val="18"/>
          <w:szCs w:val="18"/>
        </w:rPr>
        <w:t>*</w:t>
      </w:r>
      <w:r w:rsidR="00D2566A">
        <w:rPr>
          <w:sz w:val="18"/>
          <w:szCs w:val="18"/>
        </w:rPr>
        <w:t xml:space="preserve"> </w:t>
      </w:r>
      <w:proofErr w:type="gramStart"/>
      <w:r w:rsidR="00D2566A">
        <w:rPr>
          <w:sz w:val="18"/>
          <w:szCs w:val="18"/>
        </w:rPr>
        <w:t>suppressed</w:t>
      </w:r>
      <w:proofErr w:type="gramEnd"/>
      <w:r w:rsidR="00D2566A">
        <w:rPr>
          <w:sz w:val="18"/>
          <w:szCs w:val="18"/>
        </w:rPr>
        <w:t xml:space="preserve"> due to small numbers. </w:t>
      </w:r>
      <w:r w:rsidR="00D2566A" w:rsidRPr="00D2566A">
        <w:rPr>
          <w:rFonts w:ascii="Aptos Narrow" w:eastAsia="Times New Roman" w:hAnsi="Aptos Narrow" w:cs="Times New Roman"/>
          <w:b/>
          <w:bCs/>
          <w:color w:val="000000"/>
          <w:vertAlign w:val="superscript"/>
          <w:lang w:eastAsia="en-GB"/>
        </w:rPr>
        <w:t>†</w:t>
      </w:r>
      <w:r w:rsidR="00761F4D">
        <w:rPr>
          <w:sz w:val="18"/>
          <w:szCs w:val="18"/>
        </w:rPr>
        <w:t xml:space="preserve"> </w:t>
      </w:r>
      <w:proofErr w:type="gramStart"/>
      <w:r w:rsidR="00761F4D">
        <w:rPr>
          <w:sz w:val="18"/>
          <w:szCs w:val="18"/>
        </w:rPr>
        <w:t>average</w:t>
      </w:r>
      <w:proofErr w:type="gramEnd"/>
      <w:r w:rsidR="00761F4D">
        <w:rPr>
          <w:sz w:val="18"/>
          <w:szCs w:val="18"/>
        </w:rPr>
        <w:t xml:space="preserve"> yearly numbers </w:t>
      </w:r>
      <w:r w:rsidR="00C722F6">
        <w:rPr>
          <w:sz w:val="18"/>
          <w:szCs w:val="18"/>
        </w:rPr>
        <w:t xml:space="preserve">taken over two-year periods </w:t>
      </w:r>
      <w:r w:rsidR="001465D8">
        <w:rPr>
          <w:sz w:val="18"/>
          <w:szCs w:val="18"/>
        </w:rPr>
        <w:t xml:space="preserve">April </w:t>
      </w:r>
      <w:r w:rsidR="00C722F6">
        <w:rPr>
          <w:sz w:val="18"/>
          <w:szCs w:val="18"/>
        </w:rPr>
        <w:t>202</w:t>
      </w:r>
      <w:r w:rsidR="00282114">
        <w:rPr>
          <w:sz w:val="18"/>
          <w:szCs w:val="18"/>
        </w:rPr>
        <w:t>0</w:t>
      </w:r>
      <w:r w:rsidR="001465D8">
        <w:rPr>
          <w:sz w:val="18"/>
          <w:szCs w:val="18"/>
        </w:rPr>
        <w:t xml:space="preserve"> to March 20</w:t>
      </w:r>
      <w:r w:rsidR="00C722F6">
        <w:rPr>
          <w:sz w:val="18"/>
          <w:szCs w:val="18"/>
        </w:rPr>
        <w:t xml:space="preserve">22 and </w:t>
      </w:r>
      <w:r w:rsidR="001465D8">
        <w:rPr>
          <w:sz w:val="18"/>
          <w:szCs w:val="18"/>
        </w:rPr>
        <w:t>April 2022 to March 2024 to reduce</w:t>
      </w:r>
      <w:r w:rsidR="00AF712D">
        <w:rPr>
          <w:sz w:val="18"/>
          <w:szCs w:val="18"/>
        </w:rPr>
        <w:t xml:space="preserve"> the effect of</w:t>
      </w:r>
      <w:r w:rsidR="001465D8">
        <w:rPr>
          <w:sz w:val="18"/>
          <w:szCs w:val="18"/>
        </w:rPr>
        <w:t xml:space="preserve"> fluctuations due to small numbers.</w:t>
      </w:r>
    </w:p>
    <w:p w14:paraId="3CB7F7B9" w14:textId="3C750110" w:rsidR="14B03219" w:rsidRDefault="14B03219" w:rsidP="14B03219">
      <w:pPr>
        <w:rPr>
          <w:sz w:val="18"/>
          <w:szCs w:val="18"/>
        </w:rPr>
      </w:pPr>
    </w:p>
    <w:p w14:paraId="2A0425E6" w14:textId="4DE83382" w:rsidR="004A3DA3" w:rsidRPr="004A3DA3" w:rsidRDefault="004A3DA3" w:rsidP="004A3DA3">
      <w:pPr>
        <w:rPr>
          <w:b/>
          <w:bCs/>
        </w:rPr>
      </w:pPr>
      <w:r w:rsidRPr="0072732C">
        <w:rPr>
          <w:b/>
          <w:bCs/>
        </w:rPr>
        <w:t xml:space="preserve">Service User Demographics: </w:t>
      </w:r>
      <w:r>
        <w:rPr>
          <w:b/>
          <w:bCs/>
        </w:rPr>
        <w:t>Sex</w:t>
      </w:r>
    </w:p>
    <w:p w14:paraId="0266693A" w14:textId="0CEFA5BB" w:rsidR="0053337F" w:rsidRDefault="00E372BC" w:rsidP="00212678">
      <w:r>
        <w:t xml:space="preserve">In the year ending March 2024, there were more males in treatment </w:t>
      </w:r>
      <w:r w:rsidR="003E7DDC">
        <w:t xml:space="preserve">services </w:t>
      </w:r>
      <w:r>
        <w:t xml:space="preserve">for drug </w:t>
      </w:r>
      <w:r w:rsidR="003E7DDC">
        <w:t xml:space="preserve">use </w:t>
      </w:r>
      <w:r>
        <w:t>than females across all substance types</w:t>
      </w:r>
      <w:r w:rsidR="005E5F05">
        <w:t xml:space="preserve"> in Peterborough</w:t>
      </w:r>
      <w:r>
        <w:t>. On average, the number of females in treatment is around one-third of the number of males</w:t>
      </w:r>
      <w:r w:rsidR="00012BE1">
        <w:t xml:space="preserve"> and proportional </w:t>
      </w:r>
      <w:r w:rsidR="00551D56">
        <w:t>numbers by substance type are similar</w:t>
      </w:r>
      <w:r>
        <w:t>.</w:t>
      </w:r>
      <w:r w:rsidR="00BC28F6">
        <w:t xml:space="preserve"> This has been consistent over time and is in line with national patterns.</w:t>
      </w:r>
    </w:p>
    <w:p w14:paraId="6E1D161C" w14:textId="05BB249F" w:rsidR="00EC7753" w:rsidRDefault="00EC7753" w:rsidP="00212678">
      <w:r w:rsidRPr="00EC7753">
        <w:t xml:space="preserve">Further exploration of demographic breakdowns for both drugs and alcohol </w:t>
      </w:r>
      <w:r w:rsidR="00940DCA">
        <w:t xml:space="preserve">including </w:t>
      </w:r>
      <w:r w:rsidR="00B63872">
        <w:t>protected</w:t>
      </w:r>
      <w:r w:rsidR="00940DCA">
        <w:t xml:space="preserve"> </w:t>
      </w:r>
      <w:r w:rsidR="00940DCA" w:rsidRPr="006E4EA6">
        <w:t xml:space="preserve">characteristics </w:t>
      </w:r>
      <w:r w:rsidRPr="006E4EA6">
        <w:t xml:space="preserve">is provided later (see </w:t>
      </w:r>
      <w:r w:rsidR="00825EA3">
        <w:t>S</w:t>
      </w:r>
      <w:r w:rsidR="00B51602" w:rsidRPr="006E4EA6">
        <w:t xml:space="preserve">ection </w:t>
      </w:r>
      <w:r w:rsidR="006E4EA6" w:rsidRPr="006E4EA6">
        <w:t>5.4</w:t>
      </w:r>
      <w:r w:rsidRPr="00EC7753">
        <w:t>).</w:t>
      </w:r>
    </w:p>
    <w:p w14:paraId="12536689" w14:textId="4385978B" w:rsidR="00C223F2" w:rsidRPr="00BC28F6" w:rsidRDefault="00C223F2" w:rsidP="00212678"/>
    <w:p w14:paraId="187B7AA7" w14:textId="13BA36DA" w:rsidR="00E91403" w:rsidRDefault="00E91403" w:rsidP="00B80EAF">
      <w:pPr>
        <w:pStyle w:val="Heading4"/>
        <w:numPr>
          <w:ilvl w:val="3"/>
          <w:numId w:val="8"/>
        </w:numPr>
      </w:pPr>
      <w:r>
        <w:t>Children</w:t>
      </w:r>
      <w:r w:rsidR="00776C36">
        <w:t xml:space="preserve"> &amp; Young People </w:t>
      </w:r>
    </w:p>
    <w:p w14:paraId="541D0B65" w14:textId="63D668E2" w:rsidR="00E91403" w:rsidRPr="00DD5440" w:rsidRDefault="00E91403" w:rsidP="00E91403">
      <w:r>
        <w:t xml:space="preserve">NDTMS </w:t>
      </w:r>
      <w:r w:rsidRPr="00DD5440">
        <w:t xml:space="preserve">data </w:t>
      </w:r>
      <w:r>
        <w:t xml:space="preserve">for service users </w:t>
      </w:r>
      <w:r w:rsidRPr="00DD5440">
        <w:t xml:space="preserve">aged under 18 is </w:t>
      </w:r>
      <w:r>
        <w:t xml:space="preserve">recorded as all substances, so this section includes </w:t>
      </w:r>
      <w:r w:rsidRPr="00DB659D">
        <w:rPr>
          <w:b/>
          <w:bCs/>
        </w:rPr>
        <w:t xml:space="preserve">numbers for </w:t>
      </w:r>
      <w:r w:rsidR="00306CD6" w:rsidRPr="00DB659D">
        <w:rPr>
          <w:b/>
          <w:bCs/>
        </w:rPr>
        <w:t>children and young people (CYP)</w:t>
      </w:r>
      <w:r w:rsidRPr="00DB659D">
        <w:rPr>
          <w:b/>
          <w:bCs/>
        </w:rPr>
        <w:t xml:space="preserve"> in treatment for alcohol, as well as drugs</w:t>
      </w:r>
      <w:r>
        <w:t>.</w:t>
      </w:r>
    </w:p>
    <w:p w14:paraId="794AFA67" w14:textId="13A5D576" w:rsidR="00E91403" w:rsidRDefault="00E91403" w:rsidP="00E91403">
      <w:r>
        <w:t xml:space="preserve">In Peterborough, in the year ending March 2024, there were </w:t>
      </w:r>
      <w:r w:rsidRPr="16F14F99">
        <w:rPr>
          <w:b/>
          <w:bCs/>
        </w:rPr>
        <w:t xml:space="preserve">152 </w:t>
      </w:r>
      <w:r w:rsidR="00306CD6" w:rsidRPr="16F14F99">
        <w:rPr>
          <w:b/>
          <w:bCs/>
        </w:rPr>
        <w:t xml:space="preserve">CYP </w:t>
      </w:r>
      <w:r w:rsidRPr="16F14F99">
        <w:rPr>
          <w:b/>
          <w:bCs/>
        </w:rPr>
        <w:t>aged 0-17</w:t>
      </w:r>
      <w:r>
        <w:t xml:space="preserve"> receiving treatment for substance misuse. This represents </w:t>
      </w:r>
      <w:r w:rsidRPr="16F14F99">
        <w:rPr>
          <w:b/>
          <w:bCs/>
        </w:rPr>
        <w:t xml:space="preserve">0.59% of the population </w:t>
      </w:r>
      <w:r>
        <w:t xml:space="preserve">aged 10-17 in this area. </w:t>
      </w:r>
      <w:r w:rsidR="00A67FF1">
        <w:t xml:space="preserve">This is </w:t>
      </w:r>
      <w:r w:rsidR="00A67FF1" w:rsidRPr="16F14F99">
        <w:rPr>
          <w:b/>
          <w:bCs/>
        </w:rPr>
        <w:t>higher than the n</w:t>
      </w:r>
      <w:r w:rsidRPr="16F14F99">
        <w:rPr>
          <w:b/>
          <w:bCs/>
        </w:rPr>
        <w:t>ational</w:t>
      </w:r>
      <w:r>
        <w:t xml:space="preserve"> proportion </w:t>
      </w:r>
      <w:r w:rsidR="00A67FF1">
        <w:t xml:space="preserve">which was </w:t>
      </w:r>
      <w:r>
        <w:t>0.24%. Without prevalence estimates for this age group, it is difficult to understand how th</w:t>
      </w:r>
      <w:r w:rsidR="0038318B">
        <w:t>ese</w:t>
      </w:r>
      <w:r>
        <w:t xml:space="preserve"> proportion</w:t>
      </w:r>
      <w:r w:rsidR="0038318B">
        <w:t>s</w:t>
      </w:r>
      <w:r>
        <w:t xml:space="preserve"> compare to the level of need in this population.</w:t>
      </w:r>
    </w:p>
    <w:p w14:paraId="2597D4AA" w14:textId="0CE5C784" w:rsidR="00FC1F99" w:rsidRDefault="00FC1F99" w:rsidP="00B80EAF">
      <w:pPr>
        <w:pStyle w:val="ListParagraph"/>
        <w:numPr>
          <w:ilvl w:val="0"/>
          <w:numId w:val="6"/>
        </w:numPr>
      </w:pPr>
      <w:r>
        <w:t xml:space="preserve">This number </w:t>
      </w:r>
      <w:r w:rsidR="006A4A0C">
        <w:t xml:space="preserve">in treatment </w:t>
      </w:r>
      <w:r w:rsidR="00E91403" w:rsidRPr="0027476E">
        <w:t>demonstrates a</w:t>
      </w:r>
      <w:r w:rsidR="001D7E92">
        <w:t xml:space="preserve"> slight </w:t>
      </w:r>
      <w:r w:rsidR="00E91403" w:rsidRPr="0027476E">
        <w:t xml:space="preserve">increase </w:t>
      </w:r>
      <w:r w:rsidR="00E91403">
        <w:t xml:space="preserve">since </w:t>
      </w:r>
      <w:r w:rsidR="006A4A0C">
        <w:t xml:space="preserve">the </w:t>
      </w:r>
      <w:r w:rsidR="00E91403">
        <w:t>lowe</w:t>
      </w:r>
      <w:r w:rsidR="006A4A0C">
        <w:t>st</w:t>
      </w:r>
      <w:r w:rsidR="00E91403">
        <w:t xml:space="preserve"> numbers between December 2022 and May 2023, where treatment figures ranged between 120-130. </w:t>
      </w:r>
    </w:p>
    <w:p w14:paraId="4F09EF25" w14:textId="77777777" w:rsidR="00FC1F99" w:rsidRDefault="00E91403" w:rsidP="00B80EAF">
      <w:pPr>
        <w:pStyle w:val="ListParagraph"/>
        <w:numPr>
          <w:ilvl w:val="0"/>
          <w:numId w:val="6"/>
        </w:numPr>
      </w:pPr>
      <w:r w:rsidRPr="00DE2F4D">
        <w:rPr>
          <w:b/>
          <w:bCs/>
        </w:rPr>
        <w:t>There were higher numbers of service users previously</w:t>
      </w:r>
      <w:r>
        <w:t xml:space="preserve">; in May 2020 there were 171 </w:t>
      </w:r>
      <w:r w:rsidR="00FC1F99">
        <w:t xml:space="preserve">CYP </w:t>
      </w:r>
      <w:r w:rsidRPr="006D5407">
        <w:t>in treatment</w:t>
      </w:r>
      <w:r>
        <w:t>, a number which has not been matched since.</w:t>
      </w:r>
      <w:r w:rsidRPr="008E47DC">
        <w:t xml:space="preserve"> </w:t>
      </w:r>
    </w:p>
    <w:p w14:paraId="75E7EFD4" w14:textId="77777777" w:rsidR="008770A6" w:rsidRDefault="00FC1F99" w:rsidP="00B80EAF">
      <w:pPr>
        <w:pStyle w:val="ListParagraph"/>
        <w:numPr>
          <w:ilvl w:val="0"/>
          <w:numId w:val="6"/>
        </w:numPr>
      </w:pPr>
      <w:r>
        <w:t xml:space="preserve">This </w:t>
      </w:r>
      <w:r w:rsidR="00E91403" w:rsidRPr="008E47DC">
        <w:t xml:space="preserve">suggests </w:t>
      </w:r>
      <w:r w:rsidR="00E91403" w:rsidRPr="00DE2F4D">
        <w:rPr>
          <w:b/>
          <w:bCs/>
        </w:rPr>
        <w:t>either lower need or higher unmet need</w:t>
      </w:r>
      <w:r w:rsidR="00E91403" w:rsidRPr="008E47DC">
        <w:t xml:space="preserve">, </w:t>
      </w:r>
      <w:r w:rsidR="00E91403">
        <w:t xml:space="preserve">especially in the context of </w:t>
      </w:r>
      <w:r w:rsidR="00E91403" w:rsidRPr="008E47DC">
        <w:t>population increase</w:t>
      </w:r>
      <w:r w:rsidR="00E91403">
        <w:t>s</w:t>
      </w:r>
      <w:r w:rsidR="00E91403" w:rsidRPr="008E47DC">
        <w:t xml:space="preserve"> </w:t>
      </w:r>
      <w:r w:rsidR="00E91403">
        <w:t>(</w:t>
      </w:r>
      <w:r w:rsidR="00E91403" w:rsidRPr="008E47DC">
        <w:t>by an average 1% a year from 2020 to 2023</w:t>
      </w:r>
      <w:r w:rsidR="00E91403">
        <w:t xml:space="preserve">). </w:t>
      </w:r>
    </w:p>
    <w:p w14:paraId="49BF3E5F" w14:textId="71E37CAC" w:rsidR="00E91403" w:rsidRDefault="00E91403" w:rsidP="00B80EAF">
      <w:pPr>
        <w:pStyle w:val="ListParagraph"/>
        <w:numPr>
          <w:ilvl w:val="0"/>
          <w:numId w:val="6"/>
        </w:numPr>
      </w:pPr>
      <w:r>
        <w:t xml:space="preserve">Nationally, </w:t>
      </w:r>
      <w:r w:rsidR="00162FAB">
        <w:t>numbers</w:t>
      </w:r>
      <w:r>
        <w:t xml:space="preserve"> </w:t>
      </w:r>
      <w:r w:rsidRPr="00B85CBE">
        <w:t xml:space="preserve">have </w:t>
      </w:r>
      <w:r>
        <w:t xml:space="preserve">recently </w:t>
      </w:r>
      <w:r w:rsidRPr="00B85CBE">
        <w:t xml:space="preserve">rebounded to nearly match </w:t>
      </w:r>
      <w:r w:rsidR="00162FAB">
        <w:t xml:space="preserve">highest </w:t>
      </w:r>
      <w:r w:rsidRPr="00B85CBE">
        <w:t>levels</w:t>
      </w:r>
      <w:r w:rsidR="00162FAB">
        <w:t xml:space="preserve"> at a similar time</w:t>
      </w:r>
      <w:r w:rsidRPr="00B85CBE">
        <w:t xml:space="preserve">, as shown in </w:t>
      </w:r>
      <w:r w:rsidR="008770A6">
        <w:t>F</w:t>
      </w:r>
      <w:r w:rsidRPr="00B85CBE">
        <w:t xml:space="preserve">igure </w:t>
      </w:r>
      <w:r w:rsidR="00162FAB">
        <w:t>5</w:t>
      </w:r>
      <w:r w:rsidR="008770A6">
        <w:t>.2</w:t>
      </w:r>
      <w:r w:rsidR="00162FAB">
        <w:t>f</w:t>
      </w:r>
      <w:r w:rsidRPr="00B85CBE">
        <w:t>.</w:t>
      </w:r>
    </w:p>
    <w:p w14:paraId="4E1B70FE" w14:textId="340709F7" w:rsidR="00752FF5" w:rsidRDefault="00E91403" w:rsidP="00FF589D">
      <w:pPr>
        <w:pStyle w:val="Heading6"/>
      </w:pPr>
      <w:r w:rsidRPr="00F92321">
        <w:lastRenderedPageBreak/>
        <w:t xml:space="preserve">Figure </w:t>
      </w:r>
      <w:r w:rsidR="008C7907">
        <w:t>5</w:t>
      </w:r>
      <w:r w:rsidR="008770A6">
        <w:t>.2</w:t>
      </w:r>
      <w:r w:rsidR="00162FAB">
        <w:t>f</w:t>
      </w:r>
      <w:r w:rsidRPr="00F92321">
        <w:t xml:space="preserve">. Total number of under 18-year-olds in treatment for any substance, </w:t>
      </w:r>
      <w:r w:rsidR="00752FF5" w:rsidRPr="00F92321">
        <w:t>rolling 12</w:t>
      </w:r>
      <w:r w:rsidR="00752FF5">
        <w:t>-</w:t>
      </w:r>
      <w:r w:rsidR="00752FF5" w:rsidRPr="00F92321">
        <w:t>m</w:t>
      </w:r>
      <w:r w:rsidR="00752FF5">
        <w:t xml:space="preserve">onth totals from year ending March 2020 to March 2024, in </w:t>
      </w:r>
      <w:r>
        <w:t xml:space="preserve">Peterborough </w:t>
      </w:r>
      <w:r w:rsidRPr="00F92321">
        <w:t>and England</w:t>
      </w:r>
    </w:p>
    <w:p w14:paraId="48C89216" w14:textId="5032F630" w:rsidR="00E91403" w:rsidRDefault="00E91403" w:rsidP="00621AD9">
      <w:pPr>
        <w:jc w:val="center"/>
      </w:pPr>
      <w:r w:rsidRPr="00BD31B2">
        <w:rPr>
          <w:noProof/>
        </w:rPr>
        <w:drawing>
          <wp:inline distT="0" distB="0" distL="0" distR="0" wp14:anchorId="496101C4" wp14:editId="62A4EC1F">
            <wp:extent cx="5666278" cy="3124200"/>
            <wp:effectExtent l="0" t="0" r="0" b="0"/>
            <wp:docPr id="120033105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31050" name="Picture 1" descr="A graph of a number of people&#10;&#10;Description automatically generated with medium confidence"/>
                    <pic:cNvPicPr/>
                  </pic:nvPicPr>
                  <pic:blipFill rotWithShape="1">
                    <a:blip r:embed="rId24"/>
                    <a:srcRect b="3348"/>
                    <a:stretch/>
                  </pic:blipFill>
                  <pic:spPr bwMode="auto">
                    <a:xfrm>
                      <a:off x="0" y="0"/>
                      <a:ext cx="5689613" cy="3137066"/>
                    </a:xfrm>
                    <a:prstGeom prst="rect">
                      <a:avLst/>
                    </a:prstGeom>
                    <a:ln>
                      <a:noFill/>
                    </a:ln>
                    <a:extLst>
                      <a:ext uri="{53640926-AAD7-44D8-BBD7-CCE9431645EC}">
                        <a14:shadowObscured xmlns:a14="http://schemas.microsoft.com/office/drawing/2010/main"/>
                      </a:ext>
                    </a:extLst>
                  </pic:spPr>
                </pic:pic>
              </a:graphicData>
            </a:graphic>
          </wp:inline>
        </w:drawing>
      </w:r>
    </w:p>
    <w:p w14:paraId="51992C16" w14:textId="0F21C91E" w:rsidR="00E91403" w:rsidRPr="00CC5DEC" w:rsidRDefault="00FF589D" w:rsidP="00E91403">
      <w:pPr>
        <w:rPr>
          <w:sz w:val="20"/>
          <w:szCs w:val="20"/>
        </w:rPr>
      </w:pPr>
      <w:r w:rsidRPr="00CC5DEC">
        <w:rPr>
          <w:sz w:val="20"/>
          <w:szCs w:val="20"/>
        </w:rPr>
        <w:t>Source: NDTMS</w:t>
      </w:r>
      <w:r w:rsidR="00F95A26">
        <w:rPr>
          <w:sz w:val="20"/>
          <w:szCs w:val="20"/>
        </w:rPr>
        <w:t>.</w:t>
      </w:r>
    </w:p>
    <w:p w14:paraId="4445BB20" w14:textId="0C88F176" w:rsidR="004B5EAF" w:rsidRDefault="00E91403" w:rsidP="00E91403">
      <w:r w:rsidRPr="00497279">
        <w:t xml:space="preserve">Of 152 young people in treatment in </w:t>
      </w:r>
      <w:r w:rsidR="005C0A87">
        <w:t xml:space="preserve">Peterborough in </w:t>
      </w:r>
      <w:r w:rsidRPr="00497279">
        <w:t xml:space="preserve">the year ending March 2024, 66 (43.4%) were female and 86 (56.6%) were male. </w:t>
      </w:r>
    </w:p>
    <w:p w14:paraId="6133309E" w14:textId="77777777" w:rsidR="005C0A87" w:rsidRDefault="004B5EAF" w:rsidP="00B80EAF">
      <w:pPr>
        <w:pStyle w:val="ListParagraph"/>
        <w:numPr>
          <w:ilvl w:val="0"/>
          <w:numId w:val="6"/>
        </w:numPr>
      </w:pPr>
      <w:r>
        <w:t>T</w:t>
      </w:r>
      <w:r w:rsidR="00E91403" w:rsidRPr="00497279">
        <w:t xml:space="preserve">his </w:t>
      </w:r>
      <w:r>
        <w:t xml:space="preserve">is </w:t>
      </w:r>
      <w:r w:rsidR="00E91403" w:rsidRPr="00497279">
        <w:t xml:space="preserve">0.54% </w:t>
      </w:r>
      <w:r>
        <w:t xml:space="preserve">of the </w:t>
      </w:r>
      <w:r w:rsidR="00E91403" w:rsidRPr="00497279">
        <w:t>female</w:t>
      </w:r>
      <w:r>
        <w:t xml:space="preserve"> population aged 10-17</w:t>
      </w:r>
      <w:r w:rsidR="00E91403" w:rsidRPr="00497279">
        <w:t xml:space="preserve"> and 0.65% </w:t>
      </w:r>
      <w:r w:rsidR="005C0A87">
        <w:t xml:space="preserve">of </w:t>
      </w:r>
      <w:r w:rsidR="00E91403" w:rsidRPr="00497279">
        <w:t xml:space="preserve">male. </w:t>
      </w:r>
    </w:p>
    <w:p w14:paraId="0C58175F" w14:textId="77777777" w:rsidR="006910A1" w:rsidRDefault="00E91403" w:rsidP="00B80EAF">
      <w:pPr>
        <w:pStyle w:val="ListParagraph"/>
        <w:numPr>
          <w:ilvl w:val="0"/>
          <w:numId w:val="6"/>
        </w:numPr>
      </w:pPr>
      <w:r w:rsidRPr="005C0A87">
        <w:t xml:space="preserve">This sex distribution of males than females in treatment has been consistent over time </w:t>
      </w:r>
      <w:r w:rsidRPr="00497279">
        <w:t>and is consistent with national averages</w:t>
      </w:r>
      <w:r w:rsidR="006910A1">
        <w:t>.</w:t>
      </w:r>
    </w:p>
    <w:p w14:paraId="5F30E8B2" w14:textId="6C833F09" w:rsidR="00E91403" w:rsidRDefault="00E91403" w:rsidP="00E91403">
      <w:r>
        <w:t xml:space="preserve">The age distribution </w:t>
      </w:r>
      <w:r w:rsidR="00DB108E">
        <w:t>amongst</w:t>
      </w:r>
      <w:r>
        <w:t xml:space="preserve"> under-18s in treatment shows some fluctuation, with a recent trend of higher numbers of younger under-18s</w:t>
      </w:r>
      <w:r w:rsidR="00DB108E">
        <w:t xml:space="preserve"> (i.e. those aged under 15 or 16 years old)</w:t>
      </w:r>
      <w:r>
        <w:t xml:space="preserve">. This should be interpreted with caution due to small </w:t>
      </w:r>
      <w:proofErr w:type="gramStart"/>
      <w:r>
        <w:t>numbers, but</w:t>
      </w:r>
      <w:proofErr w:type="gramEnd"/>
      <w:r>
        <w:t xml:space="preserve"> is also a pattern seen nationally</w:t>
      </w:r>
      <w:r w:rsidR="006E2F33">
        <w:t xml:space="preserve">. Given that prevalence data indicates increasing drug use with age, this </w:t>
      </w:r>
      <w:r>
        <w:t>indicate</w:t>
      </w:r>
      <w:r w:rsidR="008C7907">
        <w:t>s</w:t>
      </w:r>
      <w:r>
        <w:t xml:space="preserve"> </w:t>
      </w:r>
      <w:r w:rsidRPr="00214992">
        <w:rPr>
          <w:b/>
          <w:bCs/>
        </w:rPr>
        <w:t xml:space="preserve">a need </w:t>
      </w:r>
      <w:r w:rsidR="00AE5584" w:rsidRPr="00214992">
        <w:rPr>
          <w:b/>
          <w:bCs/>
        </w:rPr>
        <w:t>for</w:t>
      </w:r>
      <w:r w:rsidRPr="00214992">
        <w:rPr>
          <w:b/>
          <w:bCs/>
        </w:rPr>
        <w:t xml:space="preserve"> concerted efforts to engage 16 and 17</w:t>
      </w:r>
      <w:r w:rsidR="00214992">
        <w:rPr>
          <w:b/>
          <w:bCs/>
        </w:rPr>
        <w:t>-</w:t>
      </w:r>
      <w:r w:rsidRPr="00214992">
        <w:rPr>
          <w:b/>
          <w:bCs/>
        </w:rPr>
        <w:t>year-olds in treatment</w:t>
      </w:r>
      <w:r>
        <w:t>.</w:t>
      </w:r>
    </w:p>
    <w:p w14:paraId="725BDE03" w14:textId="21EB91B9" w:rsidR="00E91403" w:rsidRDefault="00E91403" w:rsidP="00E91403"/>
    <w:p w14:paraId="21074B18" w14:textId="25F5F466" w:rsidR="002150F1" w:rsidRDefault="002150F1" w:rsidP="00EE708D">
      <w:pPr>
        <w:pStyle w:val="Heading3"/>
      </w:pPr>
      <w:bookmarkStart w:id="44" w:name="_Toc200479481"/>
      <w:r>
        <w:t>Unmet Need</w:t>
      </w:r>
      <w:bookmarkEnd w:id="44"/>
    </w:p>
    <w:p w14:paraId="24062B4D" w14:textId="7C5CA5DB" w:rsidR="00F63020" w:rsidRDefault="007A052D" w:rsidP="00F63020">
      <w:r>
        <w:t xml:space="preserve">Unmet refers </w:t>
      </w:r>
      <w:r w:rsidRPr="00826A85">
        <w:t xml:space="preserve">to </w:t>
      </w:r>
      <w:r w:rsidRPr="00B77FF3">
        <w:rPr>
          <w:b/>
          <w:bCs/>
        </w:rPr>
        <w:t>individuals who are not currently receiving treatment for drug and/or alcohol problems but could benefit from it</w:t>
      </w:r>
      <w:r w:rsidRPr="00826A85">
        <w:t>. They may have never accessed treatment</w:t>
      </w:r>
      <w:r>
        <w:t xml:space="preserve"> </w:t>
      </w:r>
      <w:r w:rsidRPr="00826A85">
        <w:t>or may have been in treatment before but are not currently.</w:t>
      </w:r>
      <w:r>
        <w:t xml:space="preserve"> </w:t>
      </w:r>
      <w:r w:rsidR="00EF44DA">
        <w:t xml:space="preserve">Formal estimates for unmet need on NDTMS </w:t>
      </w:r>
      <w:r w:rsidR="00DA676F">
        <w:t>are based on prevalence estimate</w:t>
      </w:r>
      <w:r w:rsidR="00D85C7A">
        <w:t>s, so are only available for opiate and crack users (OCU).</w:t>
      </w:r>
      <w:r w:rsidR="00DC30A4">
        <w:t xml:space="preserve"> </w:t>
      </w:r>
      <w:r w:rsidR="00453B5A" w:rsidRPr="00453B5A">
        <w:t>The</w:t>
      </w:r>
      <w:r w:rsidR="00453B5A">
        <w:t xml:space="preserve"> unmet need figure is established</w:t>
      </w:r>
      <w:r w:rsidR="00453B5A" w:rsidRPr="00453B5A">
        <w:t xml:space="preserve"> by subtracting the number of individuals receiving treatment from the estimated prevalence of substance use.</w:t>
      </w:r>
    </w:p>
    <w:p w14:paraId="3071ADF5" w14:textId="4A956C05" w:rsidR="00253E49" w:rsidRDefault="00253E49" w:rsidP="00F63020">
      <w:r>
        <w:t>Unmet need</w:t>
      </w:r>
      <w:r w:rsidR="002C6ED1">
        <w:t xml:space="preserve"> for </w:t>
      </w:r>
      <w:r w:rsidR="002C6ED1" w:rsidRPr="00B77FF3">
        <w:rPr>
          <w:b/>
          <w:bCs/>
        </w:rPr>
        <w:t>OCU</w:t>
      </w:r>
      <w:r w:rsidRPr="00B77FF3">
        <w:rPr>
          <w:b/>
          <w:bCs/>
        </w:rPr>
        <w:t xml:space="preserve"> in Peterborough in the year ending March 2024 was</w:t>
      </w:r>
      <w:r w:rsidR="002C6ED1" w:rsidRPr="00B77FF3">
        <w:rPr>
          <w:b/>
          <w:bCs/>
        </w:rPr>
        <w:t xml:space="preserve"> 42.6%</w:t>
      </w:r>
      <w:r w:rsidR="002C6ED1">
        <w:t xml:space="preserve">, 15.3 percentage points lower than the national average of 57.4%, as shown in Figure </w:t>
      </w:r>
      <w:r w:rsidR="008C7907">
        <w:t>5</w:t>
      </w:r>
      <w:r w:rsidR="002C6ED1">
        <w:t>.2</w:t>
      </w:r>
      <w:r w:rsidR="008C7907">
        <w:t>g</w:t>
      </w:r>
      <w:r w:rsidR="005771D9">
        <w:t>.</w:t>
      </w:r>
    </w:p>
    <w:p w14:paraId="7FE9AEFB" w14:textId="77B2196E" w:rsidR="005771D9" w:rsidRDefault="005771D9" w:rsidP="005771D9">
      <w:pPr>
        <w:pStyle w:val="Heading6"/>
      </w:pPr>
      <w:r>
        <w:lastRenderedPageBreak/>
        <w:t xml:space="preserve">Figure </w:t>
      </w:r>
      <w:r w:rsidR="008C7907">
        <w:t>5</w:t>
      </w:r>
      <w:r>
        <w:t>.2</w:t>
      </w:r>
      <w:r w:rsidR="008C7907">
        <w:t>g</w:t>
      </w:r>
      <w:r>
        <w:t>. OCU unmet need</w:t>
      </w:r>
    </w:p>
    <w:p w14:paraId="31668246" w14:textId="5759E749" w:rsidR="00253E49" w:rsidRDefault="00F92D29" w:rsidP="00F63020">
      <w:r w:rsidRPr="00F92D29">
        <w:rPr>
          <w:noProof/>
        </w:rPr>
        <w:drawing>
          <wp:inline distT="0" distB="0" distL="0" distR="0" wp14:anchorId="2F0ACADD" wp14:editId="55CB4F44">
            <wp:extent cx="5731510" cy="2193290"/>
            <wp:effectExtent l="0" t="0" r="0" b="0"/>
            <wp:docPr id="16" name="Picture 15" descr="A graph with green and pink bars&#10;&#10;Description automatically generated">
              <a:extLst xmlns:a="http://schemas.openxmlformats.org/drawingml/2006/main">
                <a:ext uri="{FF2B5EF4-FFF2-40B4-BE49-F238E27FC236}">
                  <a16:creationId xmlns:a16="http://schemas.microsoft.com/office/drawing/2014/main" id="{E7FAF0D2-5017-6E9C-5740-5380D589B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raph with green and pink bars&#10;&#10;Description automatically generated">
                      <a:extLst>
                        <a:ext uri="{FF2B5EF4-FFF2-40B4-BE49-F238E27FC236}">
                          <a16:creationId xmlns:a16="http://schemas.microsoft.com/office/drawing/2014/main" id="{E7FAF0D2-5017-6E9C-5740-5380D589B768}"/>
                        </a:ext>
                      </a:extLst>
                    </pic:cNvPr>
                    <pic:cNvPicPr>
                      <a:picLocks noChangeAspect="1"/>
                    </pic:cNvPicPr>
                  </pic:nvPicPr>
                  <pic:blipFill>
                    <a:blip r:embed="rId25"/>
                    <a:stretch>
                      <a:fillRect/>
                    </a:stretch>
                  </pic:blipFill>
                  <pic:spPr>
                    <a:xfrm>
                      <a:off x="0" y="0"/>
                      <a:ext cx="5731510" cy="2193290"/>
                    </a:xfrm>
                    <a:prstGeom prst="rect">
                      <a:avLst/>
                    </a:prstGeom>
                  </pic:spPr>
                </pic:pic>
              </a:graphicData>
            </a:graphic>
          </wp:inline>
        </w:drawing>
      </w:r>
    </w:p>
    <w:p w14:paraId="0EFD1E45" w14:textId="427AC1B6" w:rsidR="003E44BA" w:rsidRDefault="003E44BA" w:rsidP="003E44BA">
      <w:pPr>
        <w:spacing w:line="256" w:lineRule="auto"/>
        <w:contextualSpacing/>
        <w:rPr>
          <w:sz w:val="20"/>
          <w:szCs w:val="20"/>
        </w:rPr>
      </w:pPr>
      <w:r w:rsidRPr="003E44BA">
        <w:rPr>
          <w:sz w:val="20"/>
          <w:szCs w:val="20"/>
        </w:rPr>
        <w:t>Source: NDTMS</w:t>
      </w:r>
      <w:r w:rsidR="00F95A26">
        <w:rPr>
          <w:sz w:val="20"/>
          <w:szCs w:val="20"/>
        </w:rPr>
        <w:t xml:space="preserve"> data.</w:t>
      </w:r>
    </w:p>
    <w:p w14:paraId="504ADC2D" w14:textId="77777777" w:rsidR="003E44BA" w:rsidRPr="003E44BA" w:rsidRDefault="003E44BA" w:rsidP="003E44BA">
      <w:pPr>
        <w:spacing w:line="256" w:lineRule="auto"/>
        <w:contextualSpacing/>
        <w:rPr>
          <w:sz w:val="20"/>
          <w:szCs w:val="20"/>
        </w:rPr>
      </w:pPr>
    </w:p>
    <w:p w14:paraId="6F18EE87" w14:textId="61E85422" w:rsidR="00347521" w:rsidRDefault="005771D9" w:rsidP="00DA6BA1">
      <w:r>
        <w:t xml:space="preserve">This was </w:t>
      </w:r>
      <w:r w:rsidRPr="16F14F99">
        <w:rPr>
          <w:b/>
          <w:bCs/>
        </w:rPr>
        <w:t>not evenly spread across subgroups</w:t>
      </w:r>
      <w:r>
        <w:t xml:space="preserve"> within OCU</w:t>
      </w:r>
      <w:r w:rsidR="00AD7CAD">
        <w:t xml:space="preserve"> in Peterborough or nationally. In Peterborough, </w:t>
      </w:r>
      <w:r w:rsidR="00FF6B14">
        <w:t xml:space="preserve">the highest unmet need for those requiring treatment for crack only </w:t>
      </w:r>
      <w:r w:rsidR="00F0042E">
        <w:t xml:space="preserve">at </w:t>
      </w:r>
      <w:r w:rsidR="00536CCA">
        <w:t>69.1%</w:t>
      </w:r>
      <w:r w:rsidR="00EC713B">
        <w:t>,</w:t>
      </w:r>
      <w:r w:rsidR="00681413">
        <w:t xml:space="preserve"> followed by 42.9% unmet need for opiates only, and 32.9% unmet need for opiates and crack.</w:t>
      </w:r>
      <w:r w:rsidR="002774B8">
        <w:t xml:space="preserve"> </w:t>
      </w:r>
    </w:p>
    <w:p w14:paraId="1F242D8E" w14:textId="77777777" w:rsidR="0054249C" w:rsidRPr="003E44BA" w:rsidRDefault="0054249C" w:rsidP="00347521">
      <w:pPr>
        <w:spacing w:line="256" w:lineRule="auto"/>
        <w:contextualSpacing/>
        <w:rPr>
          <w:sz w:val="20"/>
          <w:szCs w:val="20"/>
        </w:rPr>
      </w:pPr>
    </w:p>
    <w:p w14:paraId="4A582312" w14:textId="108A1E0E" w:rsidR="00CA5DFE" w:rsidRPr="00CA5DFE" w:rsidRDefault="00CA5DFE" w:rsidP="00CA5DFE">
      <w:pPr>
        <w:spacing w:line="256" w:lineRule="auto"/>
        <w:rPr>
          <w:rFonts w:ascii="Aptos" w:eastAsia="Aptos" w:hAnsi="Aptos" w:cs="Times New Roman"/>
          <w:b/>
          <w:bCs/>
        </w:rPr>
      </w:pPr>
      <w:r w:rsidRPr="00CA5DFE">
        <w:rPr>
          <w:rFonts w:ascii="Aptos" w:eastAsia="Aptos" w:hAnsi="Aptos" w:cs="Times New Roman"/>
          <w:b/>
          <w:bCs/>
        </w:rPr>
        <w:t xml:space="preserve">Trend </w:t>
      </w:r>
      <w:r w:rsidR="00BE0429">
        <w:rPr>
          <w:rFonts w:ascii="Aptos" w:eastAsia="Aptos" w:hAnsi="Aptos" w:cs="Times New Roman"/>
          <w:b/>
          <w:bCs/>
        </w:rPr>
        <w:t>O</w:t>
      </w:r>
      <w:r w:rsidRPr="00CA5DFE">
        <w:rPr>
          <w:rFonts w:ascii="Aptos" w:eastAsia="Aptos" w:hAnsi="Aptos" w:cs="Times New Roman"/>
          <w:b/>
          <w:bCs/>
        </w:rPr>
        <w:t xml:space="preserve">ver </w:t>
      </w:r>
      <w:r w:rsidR="00BE0429">
        <w:rPr>
          <w:rFonts w:ascii="Aptos" w:eastAsia="Aptos" w:hAnsi="Aptos" w:cs="Times New Roman"/>
          <w:b/>
          <w:bCs/>
        </w:rPr>
        <w:t>T</w:t>
      </w:r>
      <w:r w:rsidRPr="00CA5DFE">
        <w:rPr>
          <w:rFonts w:ascii="Aptos" w:eastAsia="Aptos" w:hAnsi="Aptos" w:cs="Times New Roman"/>
          <w:b/>
          <w:bCs/>
        </w:rPr>
        <w:t>ime</w:t>
      </w:r>
    </w:p>
    <w:p w14:paraId="01395897" w14:textId="7AAC0E8E" w:rsidR="007B28FA" w:rsidRPr="00C4275B" w:rsidRDefault="005C76AA" w:rsidP="003E44BA">
      <w:pPr>
        <w:spacing w:line="256" w:lineRule="auto"/>
      </w:pPr>
      <w:r>
        <w:rPr>
          <w:rFonts w:ascii="Aptos" w:eastAsia="Aptos" w:hAnsi="Aptos" w:cs="Times New Roman"/>
        </w:rPr>
        <w:t xml:space="preserve">Unmet need </w:t>
      </w:r>
      <w:r w:rsidR="00263822">
        <w:rPr>
          <w:rFonts w:ascii="Aptos" w:eastAsia="Aptos" w:hAnsi="Aptos" w:cs="Times New Roman"/>
        </w:rPr>
        <w:t xml:space="preserve">for OCU </w:t>
      </w:r>
      <w:r>
        <w:rPr>
          <w:rFonts w:ascii="Aptos" w:eastAsia="Aptos" w:hAnsi="Aptos" w:cs="Times New Roman"/>
        </w:rPr>
        <w:t xml:space="preserve">in </w:t>
      </w:r>
      <w:r w:rsidR="005079B1">
        <w:rPr>
          <w:rFonts w:ascii="Aptos" w:eastAsia="Aptos" w:hAnsi="Aptos" w:cs="Times New Roman"/>
        </w:rPr>
        <w:t xml:space="preserve">Peterborough </w:t>
      </w:r>
      <w:r w:rsidR="00C473B2" w:rsidRPr="00900F85">
        <w:rPr>
          <w:rFonts w:ascii="Aptos" w:eastAsia="Aptos" w:hAnsi="Aptos" w:cs="Times New Roman"/>
          <w:b/>
          <w:bCs/>
        </w:rPr>
        <w:t>reduced</w:t>
      </w:r>
      <w:r>
        <w:rPr>
          <w:rFonts w:ascii="Aptos" w:eastAsia="Aptos" w:hAnsi="Aptos" w:cs="Times New Roman"/>
        </w:rPr>
        <w:t xml:space="preserve"> </w:t>
      </w:r>
      <w:r w:rsidR="00263822">
        <w:rPr>
          <w:rFonts w:ascii="Aptos" w:eastAsia="Aptos" w:hAnsi="Aptos" w:cs="Times New Roman"/>
        </w:rPr>
        <w:t>between years ending March 2022 to 2024</w:t>
      </w:r>
      <w:r w:rsidR="001F6269">
        <w:rPr>
          <w:rFonts w:ascii="Aptos" w:eastAsia="Aptos" w:hAnsi="Aptos" w:cs="Times New Roman"/>
        </w:rPr>
        <w:t xml:space="preserve"> by</w:t>
      </w:r>
      <w:r w:rsidR="00D94FDD">
        <w:rPr>
          <w:rFonts w:ascii="Aptos" w:eastAsia="Aptos" w:hAnsi="Aptos" w:cs="Times New Roman"/>
        </w:rPr>
        <w:t xml:space="preserve"> 3.2 percentage points,</w:t>
      </w:r>
      <w:r w:rsidR="002E198B">
        <w:rPr>
          <w:rFonts w:ascii="Aptos" w:eastAsia="Aptos" w:hAnsi="Aptos" w:cs="Times New Roman"/>
        </w:rPr>
        <w:t xml:space="preserve"> from 45.3% to 42.1%</w:t>
      </w:r>
      <w:r>
        <w:rPr>
          <w:rFonts w:ascii="Aptos" w:eastAsia="Aptos" w:hAnsi="Aptos" w:cs="Times New Roman"/>
        </w:rPr>
        <w:t>.</w:t>
      </w:r>
      <w:r w:rsidR="00C473B2">
        <w:rPr>
          <w:rFonts w:ascii="Aptos" w:eastAsia="Aptos" w:hAnsi="Aptos" w:cs="Times New Roman"/>
        </w:rPr>
        <w:t xml:space="preserve"> </w:t>
      </w:r>
      <w:r w:rsidR="001F6269">
        <w:rPr>
          <w:rFonts w:ascii="Aptos" w:eastAsia="Aptos" w:hAnsi="Aptos" w:cs="Times New Roman"/>
        </w:rPr>
        <w:t>T</w:t>
      </w:r>
      <w:r w:rsidR="00E2315D">
        <w:rPr>
          <w:rFonts w:ascii="Aptos" w:eastAsia="Aptos" w:hAnsi="Aptos" w:cs="Times New Roman"/>
        </w:rPr>
        <w:t>he biggest substance</w:t>
      </w:r>
      <w:r w:rsidR="001F6269">
        <w:rPr>
          <w:rFonts w:ascii="Aptos" w:eastAsia="Aptos" w:hAnsi="Aptos" w:cs="Times New Roman"/>
        </w:rPr>
        <w:t>-</w:t>
      </w:r>
      <w:r w:rsidR="00E2315D">
        <w:rPr>
          <w:rFonts w:ascii="Aptos" w:eastAsia="Aptos" w:hAnsi="Aptos" w:cs="Times New Roman"/>
        </w:rPr>
        <w:t xml:space="preserve">specific reduction in unmet need </w:t>
      </w:r>
      <w:r w:rsidR="001F6269">
        <w:rPr>
          <w:rFonts w:ascii="Aptos" w:eastAsia="Aptos" w:hAnsi="Aptos" w:cs="Times New Roman"/>
        </w:rPr>
        <w:t xml:space="preserve">was seen </w:t>
      </w:r>
      <w:r w:rsidR="00E2315D">
        <w:rPr>
          <w:rFonts w:ascii="Aptos" w:eastAsia="Aptos" w:hAnsi="Aptos" w:cs="Times New Roman"/>
        </w:rPr>
        <w:t xml:space="preserve">for </w:t>
      </w:r>
      <w:r w:rsidR="001F6269">
        <w:rPr>
          <w:rFonts w:ascii="Aptos" w:eastAsia="Aptos" w:hAnsi="Aptos" w:cs="Times New Roman"/>
        </w:rPr>
        <w:t xml:space="preserve">users of </w:t>
      </w:r>
      <w:r w:rsidR="00CA5BCE">
        <w:rPr>
          <w:rFonts w:ascii="Aptos" w:eastAsia="Aptos" w:hAnsi="Aptos" w:cs="Times New Roman"/>
        </w:rPr>
        <w:t>crack only (</w:t>
      </w:r>
      <w:r w:rsidR="00CA5BCE" w:rsidRPr="00C4275B">
        <w:t>by 6.8</w:t>
      </w:r>
      <w:r w:rsidR="00CA5BCE">
        <w:t xml:space="preserve"> percentage points</w:t>
      </w:r>
      <w:r w:rsidR="00CA5BCE" w:rsidRPr="00C4275B">
        <w:t xml:space="preserve"> </w:t>
      </w:r>
      <w:r w:rsidR="00CA5BCE">
        <w:t xml:space="preserve">from </w:t>
      </w:r>
      <w:r w:rsidR="00CA5BCE" w:rsidRPr="00C4275B">
        <w:t>75.9% to 69.1%</w:t>
      </w:r>
      <w:r w:rsidR="00CA5BCE">
        <w:rPr>
          <w:rFonts w:ascii="Aptos" w:eastAsia="Aptos" w:hAnsi="Aptos" w:cs="Times New Roman"/>
        </w:rPr>
        <w:t>).</w:t>
      </w:r>
    </w:p>
    <w:p w14:paraId="0359CE1B" w14:textId="7E95888C" w:rsidR="00CA5DFE" w:rsidRPr="007E2EC9" w:rsidRDefault="00886AF2" w:rsidP="007E2EC9">
      <w:pPr>
        <w:rPr>
          <w:b/>
          <w:bCs/>
        </w:rPr>
      </w:pPr>
      <w:r>
        <w:rPr>
          <w:b/>
          <w:bCs/>
        </w:rPr>
        <w:t xml:space="preserve">Unmet Need </w:t>
      </w:r>
      <w:r w:rsidR="007E2EC9" w:rsidRPr="0072732C">
        <w:rPr>
          <w:b/>
          <w:bCs/>
        </w:rPr>
        <w:t xml:space="preserve">Demographics: </w:t>
      </w:r>
      <w:r w:rsidR="00072361">
        <w:rPr>
          <w:b/>
          <w:bCs/>
        </w:rPr>
        <w:t>Sex</w:t>
      </w:r>
    </w:p>
    <w:p w14:paraId="702D946E" w14:textId="268E3907" w:rsidR="00CA5DFE" w:rsidRDefault="004C4830" w:rsidP="00CA5DFE">
      <w:pPr>
        <w:spacing w:line="256" w:lineRule="auto"/>
        <w:contextualSpacing/>
        <w:rPr>
          <w:rFonts w:ascii="Aptos" w:eastAsia="Aptos" w:hAnsi="Aptos" w:cs="Times New Roman"/>
        </w:rPr>
      </w:pPr>
      <w:r w:rsidRPr="004C4830">
        <w:rPr>
          <w:rFonts w:ascii="Aptos" w:eastAsia="Aptos" w:hAnsi="Aptos" w:cs="Times New Roman"/>
        </w:rPr>
        <w:t xml:space="preserve">Since 2020, unmet need has been consistently </w:t>
      </w:r>
      <w:r w:rsidRPr="00900F85">
        <w:rPr>
          <w:rFonts w:ascii="Aptos" w:eastAsia="Aptos" w:hAnsi="Aptos" w:cs="Times New Roman"/>
          <w:b/>
          <w:bCs/>
        </w:rPr>
        <w:t>10 to 15 percentage points higher for males than females</w:t>
      </w:r>
      <w:r w:rsidRPr="004C4830">
        <w:rPr>
          <w:rFonts w:ascii="Aptos" w:eastAsia="Aptos" w:hAnsi="Aptos" w:cs="Times New Roman"/>
        </w:rPr>
        <w:t>, both locally and nationally.</w:t>
      </w:r>
    </w:p>
    <w:p w14:paraId="656F360D" w14:textId="77777777" w:rsidR="004C4830" w:rsidRPr="00CA5DFE" w:rsidRDefault="004C4830" w:rsidP="00CA5DFE">
      <w:pPr>
        <w:spacing w:line="256" w:lineRule="auto"/>
        <w:contextualSpacing/>
        <w:rPr>
          <w:rFonts w:ascii="Aptos" w:eastAsia="Aptos" w:hAnsi="Aptos" w:cs="Times New Roman"/>
        </w:rPr>
      </w:pPr>
    </w:p>
    <w:p w14:paraId="22DF16FD" w14:textId="3EF16F2A" w:rsidR="00072361" w:rsidRPr="00072361" w:rsidRDefault="00072361" w:rsidP="00CA5DFE">
      <w:pPr>
        <w:rPr>
          <w:b/>
          <w:bCs/>
        </w:rPr>
      </w:pPr>
      <w:r>
        <w:rPr>
          <w:b/>
          <w:bCs/>
        </w:rPr>
        <w:t xml:space="preserve">Unmet Need </w:t>
      </w:r>
      <w:r w:rsidRPr="0072732C">
        <w:rPr>
          <w:b/>
          <w:bCs/>
        </w:rPr>
        <w:t xml:space="preserve">Demographics: </w:t>
      </w:r>
      <w:r>
        <w:rPr>
          <w:b/>
          <w:bCs/>
        </w:rPr>
        <w:t>Age</w:t>
      </w:r>
    </w:p>
    <w:p w14:paraId="4EAF8C17" w14:textId="2B141B48" w:rsidR="00701BDD" w:rsidRDefault="004075D9" w:rsidP="00CA5DFE">
      <w:pPr>
        <w:rPr>
          <w:rFonts w:ascii="Aptos" w:eastAsia="Aptos" w:hAnsi="Aptos" w:cs="Times New Roman"/>
        </w:rPr>
      </w:pPr>
      <w:r w:rsidRPr="004075D9">
        <w:rPr>
          <w:rFonts w:ascii="Aptos" w:eastAsia="Aptos" w:hAnsi="Aptos" w:cs="Times New Roman"/>
        </w:rPr>
        <w:t xml:space="preserve">Analysis by age group reveals that unmet OCU need is </w:t>
      </w:r>
      <w:r w:rsidRPr="00900F85">
        <w:rPr>
          <w:rFonts w:ascii="Aptos" w:eastAsia="Aptos" w:hAnsi="Aptos" w:cs="Times New Roman"/>
          <w:b/>
          <w:bCs/>
        </w:rPr>
        <w:t>significantly higher among young adults compared to older adults</w:t>
      </w:r>
      <w:r w:rsidRPr="004075D9">
        <w:rPr>
          <w:rFonts w:ascii="Aptos" w:eastAsia="Aptos" w:hAnsi="Aptos" w:cs="Times New Roman"/>
        </w:rPr>
        <w:t>, both in Peterborough and nationally. In Peterborough, unmet need is 81.2% for those aged 15–24, 67.9% for 25–34, and 23.3% for 35–64</w:t>
      </w:r>
      <w:r>
        <w:rPr>
          <w:rFonts w:ascii="Aptos" w:eastAsia="Aptos" w:hAnsi="Aptos" w:cs="Times New Roman"/>
        </w:rPr>
        <w:t>.</w:t>
      </w:r>
      <w:r w:rsidR="00252B4F">
        <w:rPr>
          <w:rFonts w:ascii="Aptos" w:eastAsia="Aptos" w:hAnsi="Aptos" w:cs="Times New Roman"/>
        </w:rPr>
        <w:t xml:space="preserve"> This</w:t>
      </w:r>
      <w:r w:rsidR="00701BDD" w:rsidRPr="00701BDD">
        <w:rPr>
          <w:rFonts w:ascii="Aptos" w:eastAsia="Aptos" w:hAnsi="Aptos" w:cs="Times New Roman"/>
        </w:rPr>
        <w:t xml:space="preserve"> gap in unmet need between age groups has widened over time</w:t>
      </w:r>
      <w:r w:rsidR="00252B4F">
        <w:rPr>
          <w:rFonts w:ascii="Aptos" w:eastAsia="Aptos" w:hAnsi="Aptos" w:cs="Times New Roman"/>
        </w:rPr>
        <w:t xml:space="preserve"> </w:t>
      </w:r>
      <w:r w:rsidR="00701BDD" w:rsidRPr="00701BDD">
        <w:rPr>
          <w:rFonts w:ascii="Aptos" w:eastAsia="Aptos" w:hAnsi="Aptos" w:cs="Times New Roman"/>
        </w:rPr>
        <w:t xml:space="preserve">as shown in Figure </w:t>
      </w:r>
      <w:r w:rsidR="00881EEF">
        <w:rPr>
          <w:rFonts w:ascii="Aptos" w:eastAsia="Aptos" w:hAnsi="Aptos" w:cs="Times New Roman"/>
        </w:rPr>
        <w:t>5</w:t>
      </w:r>
      <w:r w:rsidR="006A2D2C">
        <w:rPr>
          <w:rFonts w:ascii="Aptos" w:eastAsia="Aptos" w:hAnsi="Aptos" w:cs="Times New Roman"/>
        </w:rPr>
        <w:t>.</w:t>
      </w:r>
      <w:r w:rsidR="00D91249">
        <w:rPr>
          <w:rFonts w:ascii="Aptos" w:eastAsia="Aptos" w:hAnsi="Aptos" w:cs="Times New Roman"/>
        </w:rPr>
        <w:t>2h</w:t>
      </w:r>
      <w:r w:rsidR="006A2D2C">
        <w:rPr>
          <w:rFonts w:ascii="Aptos" w:eastAsia="Aptos" w:hAnsi="Aptos" w:cs="Times New Roman"/>
        </w:rPr>
        <w:t>.</w:t>
      </w:r>
    </w:p>
    <w:p w14:paraId="704B80CB" w14:textId="1279FCA0" w:rsidR="00B02676" w:rsidRDefault="00B02676" w:rsidP="00CA5DFE">
      <w:pPr>
        <w:rPr>
          <w:rFonts w:ascii="Aptos" w:eastAsia="Aptos" w:hAnsi="Aptos" w:cs="Times New Roman"/>
        </w:rPr>
      </w:pPr>
    </w:p>
    <w:p w14:paraId="6F4CB269" w14:textId="099FAF32" w:rsidR="00B02676" w:rsidRDefault="00B02676" w:rsidP="006A2D2C">
      <w:pPr>
        <w:pStyle w:val="Heading6"/>
      </w:pPr>
      <w:r>
        <w:lastRenderedPageBreak/>
        <w:t xml:space="preserve">Figure </w:t>
      </w:r>
      <w:r w:rsidR="001D1FEC">
        <w:t>5</w:t>
      </w:r>
      <w:r w:rsidR="006A2D2C">
        <w:t>.</w:t>
      </w:r>
      <w:r w:rsidR="00D91249">
        <w:t>2h</w:t>
      </w:r>
      <w:r>
        <w:t xml:space="preserve">. </w:t>
      </w:r>
      <w:r w:rsidRPr="00B312F0">
        <w:t xml:space="preserve">OCU unmet need in Peterborough and England by </w:t>
      </w:r>
      <w:r>
        <w:t>age group</w:t>
      </w:r>
      <w:r w:rsidRPr="00B312F0">
        <w:t>, over time.</w:t>
      </w:r>
    </w:p>
    <w:p w14:paraId="7B441CBE" w14:textId="1A0D4DB1" w:rsidR="00CA5DFE" w:rsidRDefault="00B02676" w:rsidP="00CA5DFE">
      <w:r w:rsidRPr="009C6846">
        <w:rPr>
          <w:noProof/>
        </w:rPr>
        <w:drawing>
          <wp:inline distT="0" distB="0" distL="0" distR="0" wp14:anchorId="2E51D623" wp14:editId="1490CC4B">
            <wp:extent cx="5731510" cy="3311525"/>
            <wp:effectExtent l="0" t="0" r="2540" b="3175"/>
            <wp:docPr id="19305968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96891" name="Picture 1" descr="A screenshot of a graph&#10;&#10;Description automatically generated"/>
                    <pic:cNvPicPr/>
                  </pic:nvPicPr>
                  <pic:blipFill>
                    <a:blip r:embed="rId26"/>
                    <a:stretch>
                      <a:fillRect/>
                    </a:stretch>
                  </pic:blipFill>
                  <pic:spPr>
                    <a:xfrm>
                      <a:off x="0" y="0"/>
                      <a:ext cx="5731510" cy="3311525"/>
                    </a:xfrm>
                    <a:prstGeom prst="rect">
                      <a:avLst/>
                    </a:prstGeom>
                  </pic:spPr>
                </pic:pic>
              </a:graphicData>
            </a:graphic>
          </wp:inline>
        </w:drawing>
      </w:r>
    </w:p>
    <w:p w14:paraId="0541A16D" w14:textId="16A7397D" w:rsidR="006A2D2C" w:rsidRPr="004121FA" w:rsidRDefault="004121FA" w:rsidP="00CA5DFE">
      <w:pPr>
        <w:rPr>
          <w:sz w:val="20"/>
          <w:szCs w:val="20"/>
        </w:rPr>
      </w:pPr>
      <w:r w:rsidRPr="004121FA">
        <w:rPr>
          <w:sz w:val="20"/>
          <w:szCs w:val="20"/>
        </w:rPr>
        <w:t>Source: NDTMS</w:t>
      </w:r>
      <w:r w:rsidR="00F95A26">
        <w:rPr>
          <w:sz w:val="20"/>
          <w:szCs w:val="20"/>
        </w:rPr>
        <w:t>.</w:t>
      </w:r>
    </w:p>
    <w:p w14:paraId="32BFA5CC" w14:textId="77777777" w:rsidR="004121FA" w:rsidRDefault="004121FA" w:rsidP="00CA5DFE"/>
    <w:p w14:paraId="023CB64D" w14:textId="71D1CFEC" w:rsidR="000D6A9A" w:rsidRDefault="000D6A9A" w:rsidP="000D6A9A">
      <w:pPr>
        <w:pStyle w:val="Heading3"/>
      </w:pPr>
      <w:bookmarkStart w:id="45" w:name="_Toc200479482"/>
      <w:r>
        <w:t>Recommendations</w:t>
      </w:r>
      <w:bookmarkEnd w:id="45"/>
    </w:p>
    <w:p w14:paraId="60C2AC32" w14:textId="55B2064E" w:rsidR="000D6A9A" w:rsidRDefault="000D6A9A" w:rsidP="0078235B">
      <w:pPr>
        <w:pStyle w:val="Heading7"/>
      </w:pPr>
      <w:r>
        <w:t xml:space="preserve">Recommendation </w:t>
      </w:r>
      <w:r w:rsidR="00B34FA4">
        <w:t>1</w:t>
      </w:r>
    </w:p>
    <w:p w14:paraId="5071844E" w14:textId="58F0C326" w:rsidR="000D6A9A" w:rsidRPr="000D6A9A" w:rsidRDefault="00F25A53" w:rsidP="000D6A9A">
      <w:r w:rsidRPr="00F25A53">
        <w:t xml:space="preserve">Enhance preventative and harm reduction education for students around </w:t>
      </w:r>
      <w:r w:rsidR="00557B38">
        <w:t>age 14-15</w:t>
      </w:r>
      <w:r w:rsidRPr="00F25A53">
        <w:t xml:space="preserve">, ensuring approaches are evidence-informed and relevant to local needs. Programmes should aim to increase knowledge and awareness while supporting informed decision-making. </w:t>
      </w:r>
      <w:r w:rsidR="00F97F33">
        <w:t xml:space="preserve">Routes to support from </w:t>
      </w:r>
      <w:r w:rsidRPr="00F25A53">
        <w:t xml:space="preserve">local </w:t>
      </w:r>
      <w:r w:rsidR="00D9619B">
        <w:t>drug &amp; alcohol (DA)</w:t>
      </w:r>
      <w:r w:rsidRPr="00F25A53">
        <w:t xml:space="preserve"> services should </w:t>
      </w:r>
      <w:r w:rsidR="00F97F33">
        <w:t xml:space="preserve">be </w:t>
      </w:r>
      <w:r w:rsidRPr="00F25A53">
        <w:t>visible and accessible.</w:t>
      </w:r>
    </w:p>
    <w:p w14:paraId="02EE6B91" w14:textId="4874EA9B" w:rsidR="0054249C" w:rsidRPr="00246759" w:rsidRDefault="0054249C" w:rsidP="0078235B">
      <w:pPr>
        <w:pStyle w:val="Heading7"/>
      </w:pPr>
      <w:r w:rsidRPr="00246759">
        <w:t>Recommendation</w:t>
      </w:r>
      <w:r w:rsidR="001C381D" w:rsidRPr="00246759">
        <w:t xml:space="preserve"> </w:t>
      </w:r>
      <w:r w:rsidR="00B34FA4">
        <w:t>2</w:t>
      </w:r>
    </w:p>
    <w:p w14:paraId="340795B5" w14:textId="77777777" w:rsidR="00B37ED2" w:rsidRDefault="00B37ED2" w:rsidP="00CA5DFE">
      <w:r w:rsidRPr="00B37ED2">
        <w:t>While treatment services in Peterborough are performing well in reducing unmet need for opiate and crack users (OCU) overall, targeted efforts are needed to address disparities among specific subgroups. Services should focus on increasing engagement with males, younger adults, and individuals who use crack only, as these groups have significantly higher unmet need. This may involve tailored outreach and strengthened partnerships with organisations that have contact with these subgroups.</w:t>
      </w:r>
    </w:p>
    <w:p w14:paraId="1158CB37" w14:textId="7872EE9E" w:rsidR="007D1526" w:rsidRPr="00986142" w:rsidRDefault="00F36B77" w:rsidP="007D1526">
      <w:r w:rsidRPr="00F36B77">
        <w:t xml:space="preserve">The potential for an extension of young people’s services to support those up to age 25 should be considered in addressing engagement and continuity of care. </w:t>
      </w:r>
      <w:r>
        <w:t xml:space="preserve">In addition, </w:t>
      </w:r>
      <w:r w:rsidRPr="00F36B77">
        <w:t>lower numbers of 16–17-year-olds in treatmen</w:t>
      </w:r>
      <w:r w:rsidR="00D834A9">
        <w:t>t</w:t>
      </w:r>
      <w:r w:rsidRPr="00F36B77">
        <w:t xml:space="preserve"> compared to 15-year-olds</w:t>
      </w:r>
      <w:r w:rsidR="00D834A9">
        <w:t xml:space="preserve"> </w:t>
      </w:r>
      <w:r w:rsidRPr="00F36B77">
        <w:t>suggest</w:t>
      </w:r>
      <w:r w:rsidR="00D834A9">
        <w:t>s</w:t>
      </w:r>
      <w:r w:rsidRPr="00F36B77">
        <w:t xml:space="preserve"> a potential gap that should be explored to ensure </w:t>
      </w:r>
      <w:r w:rsidR="00C74887" w:rsidRPr="00C74887">
        <w:t>appropriate access and support for this age group, where need is expected to be similar</w:t>
      </w:r>
      <w:r w:rsidR="00B34FA4">
        <w:t xml:space="preserve"> or higher</w:t>
      </w:r>
      <w:r w:rsidRPr="00F36B77">
        <w:t>.</w:t>
      </w:r>
    </w:p>
    <w:p w14:paraId="1D1A4E49" w14:textId="308E5E3A" w:rsidR="00DF2736" w:rsidRPr="00986142" w:rsidRDefault="00DF2736" w:rsidP="00CA5DFE"/>
    <w:p w14:paraId="570DDDB6" w14:textId="77777777" w:rsidR="00AE61A0" w:rsidRDefault="00AE61A0">
      <w:pPr>
        <w:rPr>
          <w:rFonts w:asciiTheme="majorHAnsi" w:eastAsiaTheme="majorEastAsia" w:hAnsiTheme="majorHAnsi" w:cstheme="majorBidi"/>
          <w:sz w:val="26"/>
          <w:szCs w:val="26"/>
        </w:rPr>
      </w:pPr>
      <w:r>
        <w:br w:type="page"/>
      </w:r>
    </w:p>
    <w:p w14:paraId="63DD1C56" w14:textId="0C5BCFBD" w:rsidR="00BC3C40" w:rsidRDefault="00EE0BAD" w:rsidP="00BC3C40">
      <w:pPr>
        <w:pStyle w:val="Heading2"/>
      </w:pPr>
      <w:bookmarkStart w:id="46" w:name="_Toc200479483"/>
      <w:r>
        <w:lastRenderedPageBreak/>
        <w:t xml:space="preserve">Peterborough; </w:t>
      </w:r>
      <w:r w:rsidR="003E58FD">
        <w:t>A</w:t>
      </w:r>
      <w:r w:rsidR="00B844AF">
        <w:t>lcohol</w:t>
      </w:r>
      <w:bookmarkEnd w:id="46"/>
    </w:p>
    <w:p w14:paraId="19D36DB5" w14:textId="08DD4C34" w:rsidR="008B6D7C" w:rsidRDefault="005A7ECD" w:rsidP="00F62E73">
      <w:r w:rsidRPr="005A7ECD">
        <w:t>This section presents prevalence estimates for alcohol use, followed by service user epidemiology and an analysis of unmet need.</w:t>
      </w:r>
    </w:p>
    <w:p w14:paraId="105A8C04" w14:textId="6CE89780" w:rsidR="00F62E73" w:rsidRPr="00F62E73" w:rsidRDefault="00F62E73" w:rsidP="00F62E73">
      <w:r w:rsidRPr="00F62E73">
        <w:t>Understanding alcohol consumption patterns is essential for assessing public health risks and identifying areas for intervention. Alcohol use i</w:t>
      </w:r>
      <w:r w:rsidR="009D3627">
        <w:t>n the UK i</w:t>
      </w:r>
      <w:r w:rsidRPr="00F62E73">
        <w:t xml:space="preserve">s categorised </w:t>
      </w:r>
      <w:r w:rsidR="009D3627">
        <w:t xml:space="preserve">by </w:t>
      </w:r>
      <w:r w:rsidRPr="00F62E73">
        <w:t>levels of risk:</w:t>
      </w:r>
    </w:p>
    <w:p w14:paraId="602BB83B" w14:textId="11159CE3" w:rsidR="009C65CF" w:rsidRDefault="00F62E73">
      <w:pPr>
        <w:numPr>
          <w:ilvl w:val="0"/>
          <w:numId w:val="1"/>
        </w:numPr>
        <w:contextualSpacing/>
      </w:pPr>
      <w:r w:rsidRPr="16F14F99">
        <w:rPr>
          <w:b/>
          <w:bCs/>
        </w:rPr>
        <w:t>Low risk</w:t>
      </w:r>
      <w:r>
        <w:t xml:space="preserve">: </w:t>
      </w:r>
      <w:r w:rsidR="009C65CF">
        <w:t>Drinking within recommended limits</w:t>
      </w:r>
      <w:r w:rsidR="0043555E">
        <w:t xml:space="preserve">; </w:t>
      </w:r>
      <w:r w:rsidR="009C65CF">
        <w:t>no more than 14 units per week for adults</w:t>
      </w:r>
      <w:r w:rsidR="0043555E">
        <w:t>, with consumption spread</w:t>
      </w:r>
      <w:r w:rsidR="00B956CA">
        <w:t xml:space="preserve"> over three or more days and several </w:t>
      </w:r>
      <w:r w:rsidR="006E6EBA">
        <w:t>alcohol-free</w:t>
      </w:r>
      <w:r w:rsidR="00B956CA">
        <w:t xml:space="preserve"> days each week</w:t>
      </w:r>
      <w:r w:rsidR="00433DC9">
        <w:t xml:space="preserve"> (CMO Guidelines</w:t>
      </w:r>
      <w:r>
        <w:fldChar w:fldCharType="begin"/>
      </w:r>
      <w:r>
        <w:instrText xml:space="preserve"> NOTEREF  _Ref196734200 \f \h </w:instrText>
      </w:r>
      <w:r>
        <w:fldChar w:fldCharType="separate"/>
      </w:r>
      <w:r w:rsidR="00E55029" w:rsidRPr="16F14F99">
        <w:rPr>
          <w:rStyle w:val="FootnoteReference"/>
        </w:rPr>
        <w:t>5</w:t>
      </w:r>
      <w:r>
        <w:fldChar w:fldCharType="end"/>
      </w:r>
      <w:r w:rsidR="00E55029">
        <w:t>)</w:t>
      </w:r>
      <w:r w:rsidR="00B956CA">
        <w:t>.</w:t>
      </w:r>
    </w:p>
    <w:p w14:paraId="34DCE7A1" w14:textId="1D72828D" w:rsidR="005472B3" w:rsidRDefault="00F62E73">
      <w:pPr>
        <w:numPr>
          <w:ilvl w:val="0"/>
          <w:numId w:val="1"/>
        </w:numPr>
        <w:contextualSpacing/>
      </w:pPr>
      <w:r w:rsidRPr="005472B3">
        <w:rPr>
          <w:b/>
          <w:bCs/>
        </w:rPr>
        <w:t>Increasing risk</w:t>
      </w:r>
      <w:r w:rsidRPr="00F62E73">
        <w:t xml:space="preserve">: </w:t>
      </w:r>
      <w:r w:rsidR="005472B3" w:rsidRPr="005472B3">
        <w:t>Regularly exceeding these limits, raising the likelihood of alcohol-related harm (</w:t>
      </w:r>
      <w:r w:rsidR="00433DC9">
        <w:t xml:space="preserve">defined by NICE as </w:t>
      </w:r>
      <w:r w:rsidR="005472B3" w:rsidRPr="005472B3">
        <w:t>15–34 units per week for women, 15–49 units per week for men).</w:t>
      </w:r>
    </w:p>
    <w:p w14:paraId="0EF63F66" w14:textId="27347598" w:rsidR="00F62E73" w:rsidRDefault="00F62E73">
      <w:pPr>
        <w:numPr>
          <w:ilvl w:val="0"/>
          <w:numId w:val="1"/>
        </w:numPr>
        <w:contextualSpacing/>
      </w:pPr>
      <w:r w:rsidRPr="005472B3">
        <w:rPr>
          <w:b/>
          <w:bCs/>
        </w:rPr>
        <w:t>High risk</w:t>
      </w:r>
      <w:r w:rsidRPr="00F62E73">
        <w:t>: Heavy drinking associated with serious health and social consequences</w:t>
      </w:r>
      <w:r w:rsidR="00433DC9">
        <w:t xml:space="preserve"> (NICE definitions 35+ units for women, 50+ units for men)</w:t>
      </w:r>
      <w:r w:rsidRPr="00F62E73">
        <w:t>.</w:t>
      </w:r>
    </w:p>
    <w:p w14:paraId="14BBA822" w14:textId="77777777" w:rsidR="001D6176" w:rsidRPr="00F62E73" w:rsidRDefault="001D6176" w:rsidP="001D6176">
      <w:pPr>
        <w:contextualSpacing/>
      </w:pPr>
    </w:p>
    <w:p w14:paraId="7CD45245" w14:textId="143180C1" w:rsidR="00F62E73" w:rsidRDefault="00F62E73" w:rsidP="00566C9D">
      <w:pPr>
        <w:pStyle w:val="Heading3"/>
      </w:pPr>
      <w:bookmarkStart w:id="47" w:name="_Toc200479484"/>
      <w:bookmarkStart w:id="48" w:name="_Toc181883440"/>
      <w:r>
        <w:t>Prevalence</w:t>
      </w:r>
      <w:bookmarkEnd w:id="47"/>
    </w:p>
    <w:tbl>
      <w:tblPr>
        <w:tblStyle w:val="TableGrid"/>
        <w:tblW w:w="9037" w:type="dxa"/>
        <w:tblLook w:val="04A0" w:firstRow="1" w:lastRow="0" w:firstColumn="1" w:lastColumn="0" w:noHBand="0" w:noVBand="1"/>
      </w:tblPr>
      <w:tblGrid>
        <w:gridCol w:w="9037"/>
      </w:tblGrid>
      <w:tr w:rsidR="002E44B2" w14:paraId="34479432" w14:textId="77777777" w:rsidTr="006425C0">
        <w:trPr>
          <w:trHeight w:val="770"/>
        </w:trPr>
        <w:tc>
          <w:tcPr>
            <w:tcW w:w="9037" w:type="dxa"/>
            <w:vAlign w:val="center"/>
          </w:tcPr>
          <w:p w14:paraId="0B4A1656" w14:textId="2AF009C2" w:rsidR="002E44B2" w:rsidRDefault="006425C0">
            <w:r>
              <w:rPr>
                <w:b/>
                <w:bCs/>
              </w:rPr>
              <w:t>Key</w:t>
            </w:r>
            <w:r w:rsidRPr="002554DD">
              <w:rPr>
                <w:b/>
                <w:bCs/>
              </w:rPr>
              <w:t xml:space="preserve"> National Figure:</w:t>
            </w:r>
            <w:r>
              <w:t xml:space="preserve"> Around </w:t>
            </w:r>
            <w:r w:rsidRPr="00892FB6">
              <w:rPr>
                <w:b/>
                <w:bCs/>
              </w:rPr>
              <w:t>1.4% of the adult population in England were estimated to be alcohol dependent in 2019/20</w:t>
            </w:r>
            <w:r>
              <w:rPr>
                <w:rStyle w:val="FootnoteReference"/>
                <w:b/>
                <w:bCs/>
              </w:rPr>
              <w:footnoteReference w:id="19"/>
            </w:r>
            <w:r w:rsidR="006351B3">
              <w:t xml:space="preserve">, defined </w:t>
            </w:r>
            <w:r w:rsidR="00922AE6">
              <w:t xml:space="preserve">as having </w:t>
            </w:r>
            <w:r w:rsidR="009372E1">
              <w:t>an AUDIT score</w:t>
            </w:r>
            <w:r w:rsidR="00922AE6">
              <w:rPr>
                <w:rStyle w:val="FootnoteReference"/>
              </w:rPr>
              <w:footnoteReference w:id="20"/>
            </w:r>
            <w:r w:rsidR="009372E1">
              <w:t xml:space="preserve"> of 20 or more.</w:t>
            </w:r>
          </w:p>
        </w:tc>
      </w:tr>
    </w:tbl>
    <w:p w14:paraId="2702DD15" w14:textId="3CB01F40" w:rsidR="002554DD" w:rsidRPr="00B704A7" w:rsidRDefault="002554DD" w:rsidP="00B704A7"/>
    <w:bookmarkEnd w:id="48"/>
    <w:p w14:paraId="0783D79E" w14:textId="5B50FD30" w:rsidR="00566C9D" w:rsidRPr="00566C9D" w:rsidRDefault="00566C9D" w:rsidP="00920153">
      <w:pPr>
        <w:pStyle w:val="Heading4"/>
      </w:pPr>
      <w:r>
        <w:t>Adults</w:t>
      </w:r>
    </w:p>
    <w:p w14:paraId="3D3AED07" w14:textId="52CE985C" w:rsidR="0073233C" w:rsidRDefault="0073233C" w:rsidP="0073233C">
      <w:r w:rsidRPr="0073233C">
        <w:t xml:space="preserve">Previous prevalence estimates from </w:t>
      </w:r>
      <w:r w:rsidR="00BF0AB0">
        <w:t>the</w:t>
      </w:r>
      <w:r w:rsidRPr="0073233C">
        <w:t xml:space="preserve"> Health Survey for England </w:t>
      </w:r>
      <w:r w:rsidR="00BF0AB0">
        <w:t xml:space="preserve">in 2019 </w:t>
      </w:r>
      <w:r w:rsidRPr="0073233C">
        <w:t xml:space="preserve">indicate that </w:t>
      </w:r>
      <w:r w:rsidRPr="00D04D58">
        <w:rPr>
          <w:b/>
          <w:bCs/>
        </w:rPr>
        <w:t>levels of drinking</w:t>
      </w:r>
      <w:r w:rsidRPr="0073233C">
        <w:t xml:space="preserve"> in </w:t>
      </w:r>
      <w:r>
        <w:t xml:space="preserve">Peterborough </w:t>
      </w:r>
      <w:r w:rsidRPr="00D22A49">
        <w:t xml:space="preserve">are </w:t>
      </w:r>
      <w:r w:rsidR="006475E9" w:rsidRPr="00533136">
        <w:rPr>
          <w:b/>
          <w:bCs/>
        </w:rPr>
        <w:t xml:space="preserve">similar or </w:t>
      </w:r>
      <w:r w:rsidRPr="00533136">
        <w:rPr>
          <w:b/>
          <w:bCs/>
        </w:rPr>
        <w:t>higher than national levels</w:t>
      </w:r>
      <w:r w:rsidRPr="00D22A49">
        <w:t>, with fewer people abstaining from alcohol</w:t>
      </w:r>
      <w:r>
        <w:t>:</w:t>
      </w:r>
    </w:p>
    <w:p w14:paraId="18A3EA41" w14:textId="02875642" w:rsidR="0073233C" w:rsidRDefault="0073233C" w:rsidP="00B80EAF">
      <w:pPr>
        <w:pStyle w:val="ListParagraph"/>
        <w:numPr>
          <w:ilvl w:val="0"/>
          <w:numId w:val="2"/>
        </w:numPr>
      </w:pPr>
      <w:r w:rsidRPr="00EA224A">
        <w:rPr>
          <w:b/>
          <w:bCs/>
        </w:rPr>
        <w:t>Abstain</w:t>
      </w:r>
      <w:r w:rsidR="005627FA">
        <w:rPr>
          <w:b/>
          <w:bCs/>
        </w:rPr>
        <w:t>ing from alcohol</w:t>
      </w:r>
      <w:r>
        <w:t xml:space="preserve">: Lower </w:t>
      </w:r>
      <w:r w:rsidR="00702AE5">
        <w:t xml:space="preserve">prevalence </w:t>
      </w:r>
      <w:r>
        <w:t>locally (13.2%) compared to England overall (16.2%).</w:t>
      </w:r>
    </w:p>
    <w:p w14:paraId="635E88BE" w14:textId="59CA192E" w:rsidR="0073233C" w:rsidRDefault="0073233C" w:rsidP="00B80EAF">
      <w:pPr>
        <w:pStyle w:val="ListParagraph"/>
        <w:numPr>
          <w:ilvl w:val="0"/>
          <w:numId w:val="2"/>
        </w:numPr>
      </w:pPr>
      <w:r w:rsidRPr="00795638">
        <w:rPr>
          <w:b/>
          <w:bCs/>
        </w:rPr>
        <w:t>Drinking above low-risk levels</w:t>
      </w:r>
      <w:r>
        <w:t xml:space="preserve">: </w:t>
      </w:r>
      <w:r w:rsidR="0084208E">
        <w:t xml:space="preserve">Similar </w:t>
      </w:r>
      <w:r>
        <w:t>locally (24.9%) compared to England (22.8%).</w:t>
      </w:r>
    </w:p>
    <w:p w14:paraId="3CB0C5A7" w14:textId="2A878F60" w:rsidR="0073233C" w:rsidRDefault="0073233C" w:rsidP="00B80EAF">
      <w:pPr>
        <w:pStyle w:val="ListParagraph"/>
        <w:numPr>
          <w:ilvl w:val="0"/>
          <w:numId w:val="2"/>
        </w:numPr>
      </w:pPr>
      <w:r w:rsidRPr="00795638">
        <w:rPr>
          <w:b/>
          <w:bCs/>
        </w:rPr>
        <w:t>Binge drinking</w:t>
      </w:r>
      <w:r>
        <w:t xml:space="preserve">: </w:t>
      </w:r>
      <w:r w:rsidR="0084208E">
        <w:t xml:space="preserve">Similar </w:t>
      </w:r>
      <w:r>
        <w:t>locally (17.0%) compared to the national average (15.4%).</w:t>
      </w:r>
    </w:p>
    <w:p w14:paraId="2DD3C68E" w14:textId="57BDF93F" w:rsidR="00353C39" w:rsidRDefault="00F62E73" w:rsidP="00F62E73">
      <w:r>
        <w:t>A more recent edition of the survey</w:t>
      </w:r>
      <w:r w:rsidR="00F94E7B">
        <w:t xml:space="preserve"> conducted </w:t>
      </w:r>
      <w:r>
        <w:t xml:space="preserve">in 2022 </w:t>
      </w:r>
      <w:r w:rsidR="00353C39">
        <w:t>does not provide local area breakdowns. For the overall population</w:t>
      </w:r>
      <w:r w:rsidR="000C40BB">
        <w:t xml:space="preserve"> there has </w:t>
      </w:r>
      <w:r w:rsidR="0096240A">
        <w:t xml:space="preserve">been a slight </w:t>
      </w:r>
      <w:r w:rsidR="000C40BB" w:rsidRPr="00BD1246">
        <w:rPr>
          <w:b/>
          <w:bCs/>
        </w:rPr>
        <w:t>trend toward more polarised drinking</w:t>
      </w:r>
      <w:r w:rsidR="001D73C7">
        <w:t xml:space="preserve"> over the last five years</w:t>
      </w:r>
      <w:r w:rsidR="003C00A7">
        <w:t xml:space="preserve">, with more people either abstaining or drinking at harmful levels. </w:t>
      </w:r>
      <w:r w:rsidR="00ED2844">
        <w:t xml:space="preserve">Overall, </w:t>
      </w:r>
      <w:r w:rsidR="00A6465B">
        <w:t xml:space="preserve">the proportion of </w:t>
      </w:r>
      <w:r w:rsidR="00ED2844">
        <w:t>people report</w:t>
      </w:r>
      <w:r w:rsidR="00A6465B">
        <w:t>ing</w:t>
      </w:r>
      <w:r w:rsidR="00ED2844">
        <w:t xml:space="preserve"> either increasing</w:t>
      </w:r>
      <w:r w:rsidR="00CC2805">
        <w:t xml:space="preserve"> or higher risk drinking in 2022 </w:t>
      </w:r>
      <w:r w:rsidR="00A6465B">
        <w:t>was around 2.4</w:t>
      </w:r>
      <w:r w:rsidR="00772199">
        <w:t xml:space="preserve"> percentage points </w:t>
      </w:r>
      <w:r w:rsidR="00A6465B">
        <w:t xml:space="preserve">higher than </w:t>
      </w:r>
      <w:r w:rsidR="008058BA">
        <w:t xml:space="preserve">in </w:t>
      </w:r>
      <w:r w:rsidR="00CC2805">
        <w:t>201</w:t>
      </w:r>
      <w:r w:rsidR="008058BA">
        <w:t>7</w:t>
      </w:r>
      <w:r w:rsidR="00D56827">
        <w:t>.</w:t>
      </w:r>
    </w:p>
    <w:p w14:paraId="7DD79582" w14:textId="77777777" w:rsidR="009F443A" w:rsidRDefault="009F443A" w:rsidP="00D73D57">
      <w:bookmarkStart w:id="49" w:name="_Toc185258859"/>
    </w:p>
    <w:p w14:paraId="2B00C47F" w14:textId="7722E450" w:rsidR="00D73D57" w:rsidRDefault="00D73D57" w:rsidP="00D73D57">
      <w:r>
        <w:t xml:space="preserve">Data on the </w:t>
      </w:r>
      <w:r w:rsidRPr="00533136">
        <w:rPr>
          <w:b/>
          <w:bCs/>
        </w:rPr>
        <w:t>prevalence of alcohol dependency</w:t>
      </w:r>
      <w:r>
        <w:t xml:space="preserve"> from NDTMS can provide further insight for assessing the need for targeted support services. </w:t>
      </w:r>
      <w:bookmarkEnd w:id="49"/>
      <w:r>
        <w:t>The most recent NDTMS prevalence estimates of alcohol dependency are from 2019-20</w:t>
      </w:r>
      <w:r w:rsidR="000D029C">
        <w:t xml:space="preserve"> and are </w:t>
      </w:r>
      <w:r>
        <w:t xml:space="preserve">applied to current population </w:t>
      </w:r>
      <w:r w:rsidR="000D029C">
        <w:t>figures here</w:t>
      </w:r>
      <w:r>
        <w:t xml:space="preserve"> to estimate need in Peterborough, however, this assumes that there has been no </w:t>
      </w:r>
      <w:r>
        <w:lastRenderedPageBreak/>
        <w:t xml:space="preserve">change in prevalence of alcohol use. </w:t>
      </w:r>
      <w:r w:rsidR="0023572C">
        <w:t>Alongside HSE findings above, r</w:t>
      </w:r>
      <w:r>
        <w:t>esearch indicates that the COVID-19 pandemic significantly altered alcohol consumption patterns, which necessitates caution in interpreting these estimates</w:t>
      </w:r>
      <w:bookmarkStart w:id="50" w:name="_Ref190355414"/>
      <w:r w:rsidR="003500F8">
        <w:rPr>
          <w:rStyle w:val="FootnoteReference"/>
        </w:rPr>
        <w:footnoteReference w:id="21"/>
      </w:r>
      <w:bookmarkEnd w:id="50"/>
      <w:r>
        <w:t xml:space="preserve">. </w:t>
      </w:r>
      <w:r w:rsidR="001B2F54">
        <w:t>Estimates</w:t>
      </w:r>
      <w:r>
        <w:t xml:space="preserve"> should be treated with caution, and there is a need for more up-to-date prevalence information.</w:t>
      </w:r>
    </w:p>
    <w:p w14:paraId="26658070" w14:textId="1E981B8C" w:rsidR="000D2846" w:rsidRDefault="000D2846" w:rsidP="000D2846">
      <w:r w:rsidRPr="00E15475">
        <w:t xml:space="preserve">The estimated </w:t>
      </w:r>
      <w:r w:rsidRPr="007C2400">
        <w:rPr>
          <w:b/>
          <w:bCs/>
        </w:rPr>
        <w:t>overall prevalence rate of alcohol dependence in Peterborough is 15.18 people per 1000 (adults aged 18 and over)</w:t>
      </w:r>
      <w:r>
        <w:t xml:space="preserve">. </w:t>
      </w:r>
      <w:r w:rsidR="008F35BB">
        <w:t xml:space="preserve">This is </w:t>
      </w:r>
      <w:r w:rsidR="008F35BB" w:rsidRPr="007C2400">
        <w:rPr>
          <w:b/>
          <w:bCs/>
        </w:rPr>
        <w:t>higher than the national rate</w:t>
      </w:r>
      <w:r w:rsidR="008F35BB">
        <w:t xml:space="preserve"> of 13.75 people per 1000 and </w:t>
      </w:r>
      <w:r>
        <w:t>equates to 2483 adults</w:t>
      </w:r>
      <w:r w:rsidR="008F35BB">
        <w:t xml:space="preserve"> in Peterborough</w:t>
      </w:r>
      <w:r>
        <w:t xml:space="preserve">, based on 2023 population estimates </w:t>
      </w:r>
      <w:r w:rsidR="00E15475">
        <w:t xml:space="preserve">from </w:t>
      </w:r>
      <w:r>
        <w:t xml:space="preserve">ONS. </w:t>
      </w:r>
    </w:p>
    <w:p w14:paraId="1EFD20BB" w14:textId="188E5FEB" w:rsidR="000D2846" w:rsidRDefault="000D2846" w:rsidP="000D2846">
      <w:r w:rsidRPr="00104D45">
        <w:t xml:space="preserve">The </w:t>
      </w:r>
      <w:r w:rsidRPr="00991375">
        <w:rPr>
          <w:b/>
          <w:bCs/>
        </w:rPr>
        <w:t>prevalence rate</w:t>
      </w:r>
      <w:r w:rsidRPr="00104D45">
        <w:t xml:space="preserve"> across the population </w:t>
      </w:r>
      <w:r w:rsidRPr="00991375">
        <w:rPr>
          <w:b/>
          <w:bCs/>
        </w:rPr>
        <w:t>differs when broken down by age and sex</w:t>
      </w:r>
      <w:r w:rsidRPr="00104D45">
        <w:t xml:space="preserve">. </w:t>
      </w:r>
      <w:r w:rsidRPr="008F35BB">
        <w:t>Males have a higher rate of alcohol dependence, and the highest rate of alcohol dependence is in those aged 25-34 years old</w:t>
      </w:r>
      <w:r w:rsidR="008F35BB">
        <w:t xml:space="preserve">, as shown in Figure </w:t>
      </w:r>
      <w:r w:rsidR="00725280">
        <w:t>5</w:t>
      </w:r>
      <w:r w:rsidR="00BD034B">
        <w:t>.3a</w:t>
      </w:r>
      <w:r w:rsidRPr="008F35BB">
        <w:t>.</w:t>
      </w:r>
    </w:p>
    <w:p w14:paraId="6C45625F" w14:textId="5E6AC1EC" w:rsidR="00BD034B" w:rsidRDefault="00BD034B" w:rsidP="00BD034B">
      <w:pPr>
        <w:pStyle w:val="Heading6"/>
      </w:pPr>
      <w:r>
        <w:t xml:space="preserve">Figure </w:t>
      </w:r>
      <w:r w:rsidR="00725280">
        <w:t>5</w:t>
      </w:r>
      <w:r>
        <w:t>.3a. Alcohol dependency prevalence in Peterborough</w:t>
      </w:r>
    </w:p>
    <w:p w14:paraId="6FDD69D1" w14:textId="6CE1C12D" w:rsidR="000D2846" w:rsidRDefault="00F32215" w:rsidP="00BD034B">
      <w:pPr>
        <w:jc w:val="center"/>
      </w:pPr>
      <w:r w:rsidRPr="00F32215">
        <w:rPr>
          <w:noProof/>
        </w:rPr>
        <w:drawing>
          <wp:inline distT="0" distB="0" distL="0" distR="0" wp14:anchorId="2BBCC380" wp14:editId="7535AAEB">
            <wp:extent cx="5731510" cy="3632200"/>
            <wp:effectExtent l="0" t="0" r="0" b="0"/>
            <wp:docPr id="11" name="Picture 10" descr="A graph of alcohol dependence&#10;&#10;Description automatically generated">
              <a:extLst xmlns:a="http://schemas.openxmlformats.org/drawingml/2006/main">
                <a:ext uri="{FF2B5EF4-FFF2-40B4-BE49-F238E27FC236}">
                  <a16:creationId xmlns:a16="http://schemas.microsoft.com/office/drawing/2014/main" id="{E46DDB57-8D75-AE08-4845-F95F18A85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lcohol dependence&#10;&#10;Description automatically generated">
                      <a:extLst>
                        <a:ext uri="{FF2B5EF4-FFF2-40B4-BE49-F238E27FC236}">
                          <a16:creationId xmlns:a16="http://schemas.microsoft.com/office/drawing/2014/main" id="{E46DDB57-8D75-AE08-4845-F95F18A858A9}"/>
                        </a:ext>
                      </a:extLst>
                    </pic:cNvPr>
                    <pic:cNvPicPr>
                      <a:picLocks noChangeAspect="1"/>
                    </pic:cNvPicPr>
                  </pic:nvPicPr>
                  <pic:blipFill>
                    <a:blip r:embed="rId27"/>
                    <a:stretch>
                      <a:fillRect/>
                    </a:stretch>
                  </pic:blipFill>
                  <pic:spPr>
                    <a:xfrm>
                      <a:off x="0" y="0"/>
                      <a:ext cx="5731510" cy="3632200"/>
                    </a:xfrm>
                    <a:prstGeom prst="rect">
                      <a:avLst/>
                    </a:prstGeom>
                  </pic:spPr>
                </pic:pic>
              </a:graphicData>
            </a:graphic>
          </wp:inline>
        </w:drawing>
      </w:r>
    </w:p>
    <w:p w14:paraId="3800B892" w14:textId="0EB59761" w:rsidR="00F95A26" w:rsidRDefault="00F95A26" w:rsidP="00F95A26">
      <w:r>
        <w:rPr>
          <w:sz w:val="20"/>
          <w:szCs w:val="20"/>
        </w:rPr>
        <w:t xml:space="preserve">Source: </w:t>
      </w:r>
      <w:r w:rsidRPr="00811E8B">
        <w:rPr>
          <w:sz w:val="20"/>
          <w:szCs w:val="20"/>
        </w:rPr>
        <w:t>NDTMS</w:t>
      </w:r>
      <w:r>
        <w:rPr>
          <w:sz w:val="20"/>
          <w:szCs w:val="20"/>
        </w:rPr>
        <w:t xml:space="preserve"> data.</w:t>
      </w:r>
    </w:p>
    <w:p w14:paraId="1C31667F" w14:textId="04075170" w:rsidR="000D2846" w:rsidRDefault="000D2846" w:rsidP="000D2846">
      <w:r w:rsidRPr="00AE01D4">
        <w:t xml:space="preserve">When </w:t>
      </w:r>
      <w:r w:rsidRPr="00991375">
        <w:rPr>
          <w:b/>
          <w:bCs/>
        </w:rPr>
        <w:t>applied to the recent population estimates</w:t>
      </w:r>
      <w:r w:rsidRPr="00AE01D4">
        <w:t xml:space="preserve">, this results in expected prevalence that is also unequally spread across demographic groups. </w:t>
      </w:r>
      <w:r w:rsidR="00754AA0">
        <w:t xml:space="preserve">It estimates that there are </w:t>
      </w:r>
      <w:r w:rsidRPr="00AE01D4">
        <w:t>three</w:t>
      </w:r>
      <w:r>
        <w:t xml:space="preserve"> (3.2)</w:t>
      </w:r>
      <w:r w:rsidRPr="00AE01D4">
        <w:t xml:space="preserve"> times </w:t>
      </w:r>
      <w:r w:rsidR="001A0E27">
        <w:t>more</w:t>
      </w:r>
      <w:r w:rsidRPr="00AE01D4">
        <w:t xml:space="preserve"> males than females </w:t>
      </w:r>
      <w:r w:rsidR="00754AA0">
        <w:t xml:space="preserve">with </w:t>
      </w:r>
      <w:r w:rsidRPr="00AE01D4">
        <w:t>alcohol dependence</w:t>
      </w:r>
      <w:r w:rsidR="00F756D4">
        <w:t xml:space="preserve">. </w:t>
      </w:r>
      <w:r w:rsidR="00B817CA">
        <w:t xml:space="preserve">The </w:t>
      </w:r>
      <w:r w:rsidR="00B817CA" w:rsidRPr="00B817CA">
        <w:t xml:space="preserve">age categories </w:t>
      </w:r>
      <w:r w:rsidR="00B817CA">
        <w:t xml:space="preserve">used here </w:t>
      </w:r>
      <w:r w:rsidR="00B817CA" w:rsidRPr="00B817CA">
        <w:t>vary in size, which, along with differing prevalence rates, results in the highest proportion of individuals with alcohol dependence being aged 35 to 54, followed by those aged 25 to 34. The smallest proportions are found among individuals aged 18 to 24 and those aged 55 and over</w:t>
      </w:r>
      <w:r w:rsidR="00082E51">
        <w:t xml:space="preserve"> as shown in Figure </w:t>
      </w:r>
      <w:r w:rsidR="00A73700">
        <w:t>5</w:t>
      </w:r>
      <w:r w:rsidR="00082E51">
        <w:t>.3b.</w:t>
      </w:r>
    </w:p>
    <w:p w14:paraId="630FEC0B" w14:textId="3896CF15" w:rsidR="00082E51" w:rsidRDefault="00082E51" w:rsidP="00082E51">
      <w:pPr>
        <w:pStyle w:val="Heading6"/>
      </w:pPr>
      <w:r>
        <w:lastRenderedPageBreak/>
        <w:t>Figure</w:t>
      </w:r>
      <w:r w:rsidR="0026182A">
        <w:t xml:space="preserve"> 5</w:t>
      </w:r>
      <w:r>
        <w:t>.3b. Estimated numbers of alcohol dependent adults in Peterborough</w:t>
      </w:r>
    </w:p>
    <w:p w14:paraId="2E35DB72" w14:textId="33E37C15" w:rsidR="000D2846" w:rsidRDefault="004B588F" w:rsidP="000D2846">
      <w:r w:rsidRPr="004B588F">
        <w:rPr>
          <w:noProof/>
        </w:rPr>
        <w:drawing>
          <wp:inline distT="0" distB="0" distL="0" distR="0" wp14:anchorId="391BFC42" wp14:editId="76161908">
            <wp:extent cx="5731510" cy="3147060"/>
            <wp:effectExtent l="0" t="0" r="0" b="0"/>
            <wp:docPr id="1361839277" name="Picture 5" descr="A graph of alcohol dependence&#10;&#10;Description automatically generated">
              <a:extLst xmlns:a="http://schemas.openxmlformats.org/drawingml/2006/main">
                <a:ext uri="{FF2B5EF4-FFF2-40B4-BE49-F238E27FC236}">
                  <a16:creationId xmlns:a16="http://schemas.microsoft.com/office/drawing/2014/main" id="{D728492B-A129-9B07-384D-91A24253D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39277" name="Picture 5" descr="A graph of alcohol dependence&#10;&#10;Description automatically generated">
                      <a:extLst>
                        <a:ext uri="{FF2B5EF4-FFF2-40B4-BE49-F238E27FC236}">
                          <a16:creationId xmlns:a16="http://schemas.microsoft.com/office/drawing/2014/main" id="{D728492B-A129-9B07-384D-91A24253D777}"/>
                        </a:ext>
                      </a:extLst>
                    </pic:cNvPr>
                    <pic:cNvPicPr>
                      <a:picLocks noChangeAspect="1"/>
                    </pic:cNvPicPr>
                  </pic:nvPicPr>
                  <pic:blipFill>
                    <a:blip r:embed="rId28"/>
                    <a:stretch>
                      <a:fillRect/>
                    </a:stretch>
                  </pic:blipFill>
                  <pic:spPr>
                    <a:xfrm>
                      <a:off x="0" y="0"/>
                      <a:ext cx="5731510" cy="3147060"/>
                    </a:xfrm>
                    <a:prstGeom prst="rect">
                      <a:avLst/>
                    </a:prstGeom>
                  </pic:spPr>
                </pic:pic>
              </a:graphicData>
            </a:graphic>
          </wp:inline>
        </w:drawing>
      </w:r>
    </w:p>
    <w:p w14:paraId="4E38AE39" w14:textId="2201F141" w:rsidR="00F62E73" w:rsidRDefault="0005324F" w:rsidP="000D2846">
      <w:pPr>
        <w:rPr>
          <w:sz w:val="20"/>
          <w:szCs w:val="20"/>
        </w:rPr>
      </w:pPr>
      <w:r>
        <w:rPr>
          <w:sz w:val="20"/>
          <w:szCs w:val="20"/>
        </w:rPr>
        <w:t xml:space="preserve">Source: </w:t>
      </w:r>
      <w:r w:rsidR="000D2846" w:rsidRPr="00811E8B">
        <w:rPr>
          <w:sz w:val="20"/>
          <w:szCs w:val="20"/>
        </w:rPr>
        <w:t>NDTMS</w:t>
      </w:r>
      <w:r w:rsidR="00F95A26">
        <w:rPr>
          <w:sz w:val="20"/>
          <w:szCs w:val="20"/>
        </w:rPr>
        <w:t xml:space="preserve"> data</w:t>
      </w:r>
      <w:r>
        <w:rPr>
          <w:sz w:val="20"/>
          <w:szCs w:val="20"/>
        </w:rPr>
        <w:t xml:space="preserve">. Prevalence rates applied to 2023 mid-year population estimates for </w:t>
      </w:r>
      <w:r w:rsidR="00A069D3">
        <w:rPr>
          <w:sz w:val="20"/>
          <w:szCs w:val="20"/>
        </w:rPr>
        <w:t xml:space="preserve">sex and </w:t>
      </w:r>
      <w:r>
        <w:rPr>
          <w:sz w:val="20"/>
          <w:szCs w:val="20"/>
        </w:rPr>
        <w:t>age brackets</w:t>
      </w:r>
      <w:r w:rsidR="00A069D3">
        <w:rPr>
          <w:sz w:val="20"/>
          <w:szCs w:val="20"/>
        </w:rPr>
        <w:t xml:space="preserve"> in Peterborough</w:t>
      </w:r>
      <w:r w:rsidR="00CB5034">
        <w:rPr>
          <w:sz w:val="20"/>
          <w:szCs w:val="20"/>
        </w:rPr>
        <w:t>.</w:t>
      </w:r>
    </w:p>
    <w:p w14:paraId="58EC3871" w14:textId="77777777" w:rsidR="00725799" w:rsidRPr="00F62E73" w:rsidRDefault="00725799" w:rsidP="00F62E73"/>
    <w:p w14:paraId="032581CA" w14:textId="70335759" w:rsidR="001710E3" w:rsidRPr="001710E3" w:rsidRDefault="001710E3" w:rsidP="00920153">
      <w:pPr>
        <w:pStyle w:val="Heading4"/>
      </w:pPr>
      <w:r w:rsidRPr="001710E3">
        <w:t>Children and Yo</w:t>
      </w:r>
      <w:r w:rsidR="00920153">
        <w:t>u</w:t>
      </w:r>
      <w:r w:rsidRPr="001710E3">
        <w:t xml:space="preserve">ng People </w:t>
      </w:r>
    </w:p>
    <w:p w14:paraId="614E17B8" w14:textId="1E34DE29" w:rsidR="002121D2" w:rsidRDefault="002121D2" w:rsidP="002121D2">
      <w:r w:rsidRPr="0029037B">
        <w:t xml:space="preserve">As in drug prevalence estimation, the </w:t>
      </w:r>
      <w:r w:rsidR="00C452E1">
        <w:t xml:space="preserve">local </w:t>
      </w:r>
      <w:r w:rsidR="001710E3" w:rsidRPr="0029037B">
        <w:t>Health-Related</w:t>
      </w:r>
      <w:r w:rsidRPr="0029037B">
        <w:t xml:space="preserve"> Behaviour </w:t>
      </w:r>
      <w:r w:rsidRPr="00AC1CC1">
        <w:rPr>
          <w:b/>
          <w:bCs/>
        </w:rPr>
        <w:t>Survey</w:t>
      </w:r>
      <w:r w:rsidRPr="0029037B">
        <w:t xml:space="preserve"> (HRBS) can provide additional local information regarding </w:t>
      </w:r>
      <w:r w:rsidRPr="00AC1CC1">
        <w:rPr>
          <w:b/>
          <w:bCs/>
        </w:rPr>
        <w:t>alcohol use</w:t>
      </w:r>
      <w:r w:rsidRPr="0029037B">
        <w:t xml:space="preserve"> amongst </w:t>
      </w:r>
      <w:r w:rsidR="002762C9">
        <w:t>CYP</w:t>
      </w:r>
      <w:r w:rsidRPr="0029037B">
        <w:t xml:space="preserve"> in </w:t>
      </w:r>
      <w:r>
        <w:t>Peterborough</w:t>
      </w:r>
      <w:r w:rsidR="00C452E1">
        <w:fldChar w:fldCharType="begin"/>
      </w:r>
      <w:r w:rsidR="00C452E1">
        <w:instrText xml:space="preserve"> NOTEREF  _Ref196744295 \f \h </w:instrText>
      </w:r>
      <w:r w:rsidR="00C452E1">
        <w:fldChar w:fldCharType="separate"/>
      </w:r>
      <w:r w:rsidR="00C452E1" w:rsidRPr="00C452E1">
        <w:rPr>
          <w:rStyle w:val="FootnoteReference"/>
        </w:rPr>
        <w:t>12</w:t>
      </w:r>
      <w:r w:rsidR="00C452E1">
        <w:fldChar w:fldCharType="end"/>
      </w:r>
      <w:r>
        <w:t>.</w:t>
      </w:r>
      <w:r w:rsidR="0086599E">
        <w:t xml:space="preserve"> This information is particularly useful as the youngest age that the NDTMS data for alcohol relates to is 18 years.</w:t>
      </w:r>
      <w:r w:rsidR="001309FD">
        <w:t xml:space="preserve"> Amongst those who answered HRBS in 2024:</w:t>
      </w:r>
    </w:p>
    <w:p w14:paraId="480BCE40" w14:textId="222562B5" w:rsidR="00442704" w:rsidRDefault="0083487B" w:rsidP="002121D2">
      <w:r>
        <w:t xml:space="preserve">Prevalence of alcohol use </w:t>
      </w:r>
      <w:r w:rsidRPr="00F65E1C">
        <w:rPr>
          <w:b/>
          <w:bCs/>
        </w:rPr>
        <w:t>increases with age</w:t>
      </w:r>
      <w:r w:rsidR="00F65E1C">
        <w:rPr>
          <w:b/>
          <w:bCs/>
        </w:rPr>
        <w:t>:</w:t>
      </w:r>
    </w:p>
    <w:p w14:paraId="160EF823" w14:textId="26B4BA59" w:rsidR="00442704" w:rsidRDefault="00A943FE" w:rsidP="00C72A62">
      <w:pPr>
        <w:pStyle w:val="ListParagraph"/>
        <w:numPr>
          <w:ilvl w:val="0"/>
          <w:numId w:val="1"/>
        </w:numPr>
      </w:pPr>
      <w:r w:rsidRPr="00A943FE">
        <w:t>In the past seven days, 8.4% of Year 8 pupils (aged 12–13) reported drinking, compared to 16% of Year 10 pupils (aged 14–15).</w:t>
      </w:r>
      <w:r w:rsidR="002121D2">
        <w:t xml:space="preserve"> </w:t>
      </w:r>
    </w:p>
    <w:p w14:paraId="19334C1B" w14:textId="59F4CCB1" w:rsidR="00447A77" w:rsidRDefault="002121D2" w:rsidP="00442704">
      <w:pPr>
        <w:pStyle w:val="ListParagraph"/>
        <w:numPr>
          <w:ilvl w:val="0"/>
          <w:numId w:val="1"/>
        </w:numPr>
      </w:pPr>
      <w:r>
        <w:t xml:space="preserve">Overall, </w:t>
      </w:r>
      <w:r w:rsidR="00C72A62">
        <w:t xml:space="preserve">this equated to </w:t>
      </w:r>
      <w:r>
        <w:t>12% of respondents consuming alcohol</w:t>
      </w:r>
      <w:r w:rsidR="00C72A62">
        <w:t xml:space="preserve"> in the past seven days</w:t>
      </w:r>
      <w:r>
        <w:t>, with minimal gender differences (11.4% of males and 12.4% of females)</w:t>
      </w:r>
      <w:r w:rsidR="00447A77">
        <w:t>.</w:t>
      </w:r>
    </w:p>
    <w:p w14:paraId="14CD8239" w14:textId="77777777" w:rsidR="00FB2164" w:rsidRPr="00FB2164" w:rsidRDefault="00FB2164" w:rsidP="00FB2164">
      <w:r w:rsidRPr="00FB2164">
        <w:rPr>
          <w:b/>
          <w:bCs/>
        </w:rPr>
        <w:t xml:space="preserve">Harmful patterns </w:t>
      </w:r>
      <w:r w:rsidRPr="00FB2164">
        <w:t>of alcohol use are generally less common but tend to increase with age and are more prevalent among girls than boys. Among the 12% of pupils who reported drinking in the past week:</w:t>
      </w:r>
    </w:p>
    <w:p w14:paraId="27DE1785" w14:textId="42189675" w:rsidR="00FB2164" w:rsidRPr="00FB2164" w:rsidRDefault="00FB2164" w:rsidP="00FB2164">
      <w:pPr>
        <w:pStyle w:val="ListParagraph"/>
        <w:numPr>
          <w:ilvl w:val="0"/>
          <w:numId w:val="1"/>
        </w:numPr>
      </w:pPr>
      <w:r w:rsidRPr="00FB2164">
        <w:rPr>
          <w:b/>
          <w:bCs/>
        </w:rPr>
        <w:t xml:space="preserve">Drinking frequency: </w:t>
      </w:r>
      <w:r w:rsidRPr="00FB2164">
        <w:t>70.5% drank on one day, 13.9% on two days, and 13.5% on three or more days.</w:t>
      </w:r>
    </w:p>
    <w:p w14:paraId="1278CDA5" w14:textId="39E99AC5" w:rsidR="00FB2164" w:rsidRPr="000F3FD4" w:rsidRDefault="00FB2164" w:rsidP="00FB2164">
      <w:pPr>
        <w:pStyle w:val="ListParagraph"/>
        <w:numPr>
          <w:ilvl w:val="0"/>
          <w:numId w:val="1"/>
        </w:numPr>
      </w:pPr>
      <w:r w:rsidRPr="00FB2164">
        <w:rPr>
          <w:b/>
          <w:bCs/>
        </w:rPr>
        <w:t xml:space="preserve">Episodes of intoxication: </w:t>
      </w:r>
      <w:r w:rsidR="000F3FD4">
        <w:rPr>
          <w:b/>
          <w:bCs/>
        </w:rPr>
        <w:br/>
      </w:r>
      <w:r w:rsidRPr="000F3FD4">
        <w:t>Among boys, 80.0% did not get drunk, 12.5% got drunk once, and 7.5% got drunk on multiple occasions</w:t>
      </w:r>
      <w:r w:rsidR="000F3FD4">
        <w:t>.</w:t>
      </w:r>
      <w:r w:rsidR="000F3FD4">
        <w:br/>
        <w:t>F</w:t>
      </w:r>
      <w:r w:rsidRPr="000F3FD4">
        <w:t>or girls, 59.3% did not get drunk, 27.6% got drunk once, and 13.0% got drunk on multiple occasions.</w:t>
      </w:r>
    </w:p>
    <w:p w14:paraId="31CB1F04" w14:textId="235B3E83" w:rsidR="002121D2" w:rsidRDefault="002121D2" w:rsidP="00F62E73">
      <w:pPr>
        <w:rPr>
          <w:color w:val="595959" w:themeColor="text1" w:themeTint="A6"/>
        </w:rPr>
      </w:pPr>
      <w:r w:rsidRPr="008C533B">
        <w:lastRenderedPageBreak/>
        <w:t>Although binge drinking remains rare at this stage, these behaviours indicate early exposure to potentially harmful patterns of alcohol use, underscoring the need for targeted education and support to reduce risks associated with underage drinking.</w:t>
      </w:r>
    </w:p>
    <w:p w14:paraId="246BAF08" w14:textId="77777777" w:rsidR="00E56BED" w:rsidRPr="00131F97" w:rsidRDefault="00E56BED" w:rsidP="00F62E73">
      <w:pPr>
        <w:rPr>
          <w:color w:val="595959" w:themeColor="text1" w:themeTint="A6"/>
        </w:rPr>
      </w:pPr>
    </w:p>
    <w:p w14:paraId="03EEA8D2" w14:textId="4A4FC5D8" w:rsidR="002150F1" w:rsidRDefault="002150F1" w:rsidP="00EE708D">
      <w:pPr>
        <w:pStyle w:val="Heading3"/>
      </w:pPr>
      <w:bookmarkStart w:id="51" w:name="_Toc200479485"/>
      <w:r>
        <w:t>Service User Epidemiology</w:t>
      </w:r>
      <w:bookmarkEnd w:id="51"/>
    </w:p>
    <w:p w14:paraId="2E977650" w14:textId="45FFAD1C" w:rsidR="00652DBA" w:rsidRDefault="00652DBA" w:rsidP="00652DBA">
      <w:r w:rsidRPr="005154A5">
        <w:t>The number of adults</w:t>
      </w:r>
      <w:r>
        <w:t xml:space="preserve"> (18</w:t>
      </w:r>
      <w:r w:rsidR="00E275B7">
        <w:t xml:space="preserve"> years and older</w:t>
      </w:r>
      <w:r>
        <w:t>)</w:t>
      </w:r>
      <w:r w:rsidRPr="005154A5">
        <w:t xml:space="preserve"> in treatment for alcohol</w:t>
      </w:r>
      <w:r>
        <w:t xml:space="preserve"> in Peterborough has been </w:t>
      </w:r>
      <w:r w:rsidRPr="00AC1CC1">
        <w:rPr>
          <w:b/>
          <w:bCs/>
        </w:rPr>
        <w:t>increasing consistently</w:t>
      </w:r>
      <w:r>
        <w:t xml:space="preserve"> since a low in March 2021</w:t>
      </w:r>
      <w:r w:rsidR="00D42B43">
        <w:t>. I</w:t>
      </w:r>
      <w:r>
        <w:t xml:space="preserve">n the year ending March 2024 there were </w:t>
      </w:r>
      <w:r w:rsidRPr="00013F6B">
        <w:rPr>
          <w:b/>
          <w:bCs/>
        </w:rPr>
        <w:t>651 adults in treatment</w:t>
      </w:r>
      <w:r>
        <w:t xml:space="preserve">, as shown in table </w:t>
      </w:r>
      <w:r w:rsidR="001219A2">
        <w:t>5</w:t>
      </w:r>
      <w:r w:rsidR="00E275B7">
        <w:t>.3a</w:t>
      </w:r>
      <w:r>
        <w:t xml:space="preserve">. </w:t>
      </w:r>
      <w:r w:rsidRPr="00D833BC">
        <w:t xml:space="preserve">71.5% of these service users were new presentations (466 of 651), </w:t>
      </w:r>
      <w:proofErr w:type="gramStart"/>
      <w:r w:rsidRPr="00D833BC">
        <w:t>similar to</w:t>
      </w:r>
      <w:proofErr w:type="gramEnd"/>
      <w:r w:rsidRPr="00D833BC">
        <w:t xml:space="preserve"> the proportion seen nationally (69.1%).</w:t>
      </w:r>
    </w:p>
    <w:p w14:paraId="03A29643" w14:textId="44560C10" w:rsidR="00652DBA" w:rsidRDefault="00652DBA" w:rsidP="00E275B7">
      <w:pPr>
        <w:pStyle w:val="Heading6"/>
      </w:pPr>
      <w:r>
        <w:t xml:space="preserve">Table </w:t>
      </w:r>
      <w:r w:rsidR="001219A2">
        <w:t>5</w:t>
      </w:r>
      <w:r w:rsidR="00E275B7">
        <w:t>.3a</w:t>
      </w:r>
      <w:r>
        <w:t>. Number of adults in treatment for alcohol-only and non-opiates and alcohol from March 2021 to March 2024 in Peterborough.</w:t>
      </w:r>
    </w:p>
    <w:tbl>
      <w:tblPr>
        <w:tblStyle w:val="TableGrid"/>
        <w:tblW w:w="8926" w:type="dxa"/>
        <w:tblLook w:val="04A0" w:firstRow="1" w:lastRow="0" w:firstColumn="1" w:lastColumn="0" w:noHBand="0" w:noVBand="1"/>
      </w:tblPr>
      <w:tblGrid>
        <w:gridCol w:w="4957"/>
        <w:gridCol w:w="1000"/>
        <w:gridCol w:w="1000"/>
        <w:gridCol w:w="1000"/>
        <w:gridCol w:w="969"/>
      </w:tblGrid>
      <w:tr w:rsidR="00652DBA" w:rsidRPr="000D574D" w14:paraId="258E63A2" w14:textId="77777777" w:rsidTr="005801DC">
        <w:trPr>
          <w:trHeight w:val="300"/>
        </w:trPr>
        <w:tc>
          <w:tcPr>
            <w:tcW w:w="4957" w:type="dxa"/>
            <w:noWrap/>
            <w:hideMark/>
          </w:tcPr>
          <w:p w14:paraId="0F6B287D" w14:textId="77777777" w:rsidR="00652DBA" w:rsidRPr="000D574D" w:rsidRDefault="00652DBA">
            <w:pPr>
              <w:jc w:val="right"/>
              <w:rPr>
                <w:b/>
                <w:bCs/>
              </w:rPr>
            </w:pPr>
            <w:r w:rsidRPr="000D574D">
              <w:rPr>
                <w:b/>
                <w:bCs/>
              </w:rPr>
              <w:t>Year ending March:</w:t>
            </w:r>
          </w:p>
        </w:tc>
        <w:tc>
          <w:tcPr>
            <w:tcW w:w="1000" w:type="dxa"/>
            <w:noWrap/>
            <w:hideMark/>
          </w:tcPr>
          <w:p w14:paraId="1CFCF3F7" w14:textId="77777777" w:rsidR="00652DBA" w:rsidRPr="000D574D" w:rsidRDefault="00652DBA">
            <w:pPr>
              <w:rPr>
                <w:b/>
                <w:bCs/>
              </w:rPr>
            </w:pPr>
            <w:r w:rsidRPr="000D574D">
              <w:rPr>
                <w:b/>
                <w:bCs/>
              </w:rPr>
              <w:t>2021</w:t>
            </w:r>
          </w:p>
        </w:tc>
        <w:tc>
          <w:tcPr>
            <w:tcW w:w="1000" w:type="dxa"/>
            <w:noWrap/>
            <w:hideMark/>
          </w:tcPr>
          <w:p w14:paraId="2F28192F" w14:textId="77777777" w:rsidR="00652DBA" w:rsidRPr="000D574D" w:rsidRDefault="00652DBA">
            <w:pPr>
              <w:rPr>
                <w:b/>
                <w:bCs/>
              </w:rPr>
            </w:pPr>
            <w:r w:rsidRPr="000D574D">
              <w:rPr>
                <w:b/>
                <w:bCs/>
              </w:rPr>
              <w:t>2022</w:t>
            </w:r>
          </w:p>
        </w:tc>
        <w:tc>
          <w:tcPr>
            <w:tcW w:w="1000" w:type="dxa"/>
            <w:noWrap/>
            <w:hideMark/>
          </w:tcPr>
          <w:p w14:paraId="305ADA5F" w14:textId="77777777" w:rsidR="00652DBA" w:rsidRPr="000D574D" w:rsidRDefault="00652DBA">
            <w:pPr>
              <w:rPr>
                <w:b/>
                <w:bCs/>
              </w:rPr>
            </w:pPr>
            <w:r w:rsidRPr="000D574D">
              <w:rPr>
                <w:b/>
                <w:bCs/>
              </w:rPr>
              <w:t>2023</w:t>
            </w:r>
          </w:p>
        </w:tc>
        <w:tc>
          <w:tcPr>
            <w:tcW w:w="969" w:type="dxa"/>
            <w:noWrap/>
            <w:hideMark/>
          </w:tcPr>
          <w:p w14:paraId="28782E21" w14:textId="77777777" w:rsidR="00652DBA" w:rsidRPr="000D574D" w:rsidRDefault="00652DBA">
            <w:pPr>
              <w:rPr>
                <w:b/>
                <w:bCs/>
              </w:rPr>
            </w:pPr>
            <w:r w:rsidRPr="000D574D">
              <w:rPr>
                <w:b/>
                <w:bCs/>
              </w:rPr>
              <w:t>2024</w:t>
            </w:r>
          </w:p>
        </w:tc>
      </w:tr>
      <w:tr w:rsidR="00652DBA" w:rsidRPr="000D574D" w14:paraId="2FF9E198" w14:textId="77777777" w:rsidTr="005801DC">
        <w:trPr>
          <w:trHeight w:val="300"/>
        </w:trPr>
        <w:tc>
          <w:tcPr>
            <w:tcW w:w="4957" w:type="dxa"/>
            <w:noWrap/>
            <w:hideMark/>
          </w:tcPr>
          <w:p w14:paraId="629107CE" w14:textId="77777777" w:rsidR="00652DBA" w:rsidRPr="000D574D" w:rsidRDefault="00652DBA">
            <w:r w:rsidRPr="000D574D">
              <w:t>Total</w:t>
            </w:r>
            <w:r>
              <w:t xml:space="preserve"> adults in treatment</w:t>
            </w:r>
          </w:p>
        </w:tc>
        <w:tc>
          <w:tcPr>
            <w:tcW w:w="1000" w:type="dxa"/>
            <w:noWrap/>
            <w:hideMark/>
          </w:tcPr>
          <w:p w14:paraId="70E54E63" w14:textId="77777777" w:rsidR="00652DBA" w:rsidRPr="000D574D" w:rsidRDefault="00652DBA">
            <w:r w:rsidRPr="000D574D">
              <w:t>465</w:t>
            </w:r>
          </w:p>
        </w:tc>
        <w:tc>
          <w:tcPr>
            <w:tcW w:w="1000" w:type="dxa"/>
            <w:noWrap/>
            <w:hideMark/>
          </w:tcPr>
          <w:p w14:paraId="27FD2307" w14:textId="77777777" w:rsidR="00652DBA" w:rsidRPr="000D574D" w:rsidRDefault="00652DBA">
            <w:r w:rsidRPr="000D574D">
              <w:t>520</w:t>
            </w:r>
          </w:p>
        </w:tc>
        <w:tc>
          <w:tcPr>
            <w:tcW w:w="1000" w:type="dxa"/>
            <w:noWrap/>
            <w:hideMark/>
          </w:tcPr>
          <w:p w14:paraId="35358F26" w14:textId="77777777" w:rsidR="00652DBA" w:rsidRPr="000D574D" w:rsidRDefault="00652DBA">
            <w:r w:rsidRPr="000D574D">
              <w:t>581</w:t>
            </w:r>
          </w:p>
        </w:tc>
        <w:tc>
          <w:tcPr>
            <w:tcW w:w="969" w:type="dxa"/>
            <w:noWrap/>
            <w:hideMark/>
          </w:tcPr>
          <w:p w14:paraId="62C162D8" w14:textId="77777777" w:rsidR="00652DBA" w:rsidRPr="000D574D" w:rsidRDefault="00652DBA">
            <w:r w:rsidRPr="000D574D">
              <w:t>651</w:t>
            </w:r>
          </w:p>
        </w:tc>
      </w:tr>
      <w:tr w:rsidR="00652DBA" w:rsidRPr="000D574D" w14:paraId="21ACE19F" w14:textId="77777777" w:rsidTr="005801DC">
        <w:trPr>
          <w:trHeight w:val="300"/>
        </w:trPr>
        <w:tc>
          <w:tcPr>
            <w:tcW w:w="4957" w:type="dxa"/>
            <w:noWrap/>
            <w:hideMark/>
          </w:tcPr>
          <w:p w14:paraId="205057FE" w14:textId="77777777" w:rsidR="00652DBA" w:rsidRPr="000D574D" w:rsidRDefault="00652DBA">
            <w:r w:rsidRPr="00603F3E">
              <w:t>Yearly change</w:t>
            </w:r>
          </w:p>
        </w:tc>
        <w:tc>
          <w:tcPr>
            <w:tcW w:w="1000" w:type="dxa"/>
            <w:noWrap/>
            <w:hideMark/>
          </w:tcPr>
          <w:p w14:paraId="454C6199" w14:textId="1BB424C3" w:rsidR="00652DBA" w:rsidRPr="000D574D" w:rsidRDefault="00652DBA"/>
        </w:tc>
        <w:tc>
          <w:tcPr>
            <w:tcW w:w="1000" w:type="dxa"/>
            <w:noWrap/>
            <w:hideMark/>
          </w:tcPr>
          <w:p w14:paraId="1E48F883" w14:textId="6FD1B6FD" w:rsidR="00652DBA" w:rsidRPr="000D574D" w:rsidRDefault="00E275B7">
            <w:r>
              <w:t>+</w:t>
            </w:r>
            <w:r w:rsidR="00652DBA" w:rsidRPr="000D574D">
              <w:t>55</w:t>
            </w:r>
          </w:p>
        </w:tc>
        <w:tc>
          <w:tcPr>
            <w:tcW w:w="1000" w:type="dxa"/>
            <w:noWrap/>
            <w:hideMark/>
          </w:tcPr>
          <w:p w14:paraId="70726977" w14:textId="5B660D82" w:rsidR="00652DBA" w:rsidRPr="000D574D" w:rsidRDefault="00E275B7">
            <w:r>
              <w:t>+</w:t>
            </w:r>
            <w:r w:rsidR="00652DBA" w:rsidRPr="000D574D">
              <w:t>61</w:t>
            </w:r>
          </w:p>
        </w:tc>
        <w:tc>
          <w:tcPr>
            <w:tcW w:w="969" w:type="dxa"/>
            <w:noWrap/>
            <w:hideMark/>
          </w:tcPr>
          <w:p w14:paraId="7044FD0D" w14:textId="752108F8" w:rsidR="00652DBA" w:rsidRPr="000D574D" w:rsidRDefault="00E275B7">
            <w:r>
              <w:t>+</w:t>
            </w:r>
            <w:r w:rsidR="00652DBA" w:rsidRPr="000D574D">
              <w:t>70</w:t>
            </w:r>
          </w:p>
        </w:tc>
      </w:tr>
      <w:tr w:rsidR="00652DBA" w:rsidRPr="000D574D" w14:paraId="0DE4CC0C" w14:textId="77777777" w:rsidTr="005801DC">
        <w:trPr>
          <w:trHeight w:val="300"/>
        </w:trPr>
        <w:tc>
          <w:tcPr>
            <w:tcW w:w="4957" w:type="dxa"/>
            <w:tcBorders>
              <w:bottom w:val="single" w:sz="12" w:space="0" w:color="auto"/>
            </w:tcBorders>
            <w:noWrap/>
            <w:hideMark/>
          </w:tcPr>
          <w:p w14:paraId="00585B05" w14:textId="78BF580D" w:rsidR="00652DBA" w:rsidRPr="000D574D" w:rsidRDefault="00AE3066">
            <w:r>
              <w:t>Number</w:t>
            </w:r>
            <w:r w:rsidR="005801DC">
              <w:t xml:space="preserve"> in treatment</w:t>
            </w:r>
            <w:r>
              <w:t xml:space="preserve"> compared to previous year</w:t>
            </w:r>
          </w:p>
        </w:tc>
        <w:tc>
          <w:tcPr>
            <w:tcW w:w="1000" w:type="dxa"/>
            <w:tcBorders>
              <w:bottom w:val="single" w:sz="12" w:space="0" w:color="auto"/>
            </w:tcBorders>
            <w:noWrap/>
            <w:hideMark/>
          </w:tcPr>
          <w:p w14:paraId="58A88284" w14:textId="4BD3E990" w:rsidR="00652DBA" w:rsidRPr="000D574D" w:rsidRDefault="00652DBA"/>
        </w:tc>
        <w:tc>
          <w:tcPr>
            <w:tcW w:w="1000" w:type="dxa"/>
            <w:tcBorders>
              <w:bottom w:val="single" w:sz="12" w:space="0" w:color="auto"/>
            </w:tcBorders>
            <w:noWrap/>
            <w:hideMark/>
          </w:tcPr>
          <w:p w14:paraId="53A3E888" w14:textId="77777777" w:rsidR="00652DBA" w:rsidRPr="000D574D" w:rsidRDefault="00652DBA">
            <w:r w:rsidRPr="000D574D">
              <w:t>+11.8%</w:t>
            </w:r>
          </w:p>
        </w:tc>
        <w:tc>
          <w:tcPr>
            <w:tcW w:w="1000" w:type="dxa"/>
            <w:tcBorders>
              <w:bottom w:val="single" w:sz="12" w:space="0" w:color="auto"/>
            </w:tcBorders>
            <w:noWrap/>
            <w:hideMark/>
          </w:tcPr>
          <w:p w14:paraId="521C84D1" w14:textId="77777777" w:rsidR="00652DBA" w:rsidRPr="000D574D" w:rsidRDefault="00652DBA">
            <w:r w:rsidRPr="000D574D">
              <w:t>+11.7%</w:t>
            </w:r>
          </w:p>
        </w:tc>
        <w:tc>
          <w:tcPr>
            <w:tcW w:w="969" w:type="dxa"/>
            <w:tcBorders>
              <w:bottom w:val="single" w:sz="12" w:space="0" w:color="auto"/>
            </w:tcBorders>
            <w:noWrap/>
            <w:hideMark/>
          </w:tcPr>
          <w:p w14:paraId="2B2036D8" w14:textId="77777777" w:rsidR="00652DBA" w:rsidRPr="000D574D" w:rsidRDefault="00652DBA">
            <w:r w:rsidRPr="000D574D">
              <w:t>+12.0%</w:t>
            </w:r>
          </w:p>
        </w:tc>
      </w:tr>
    </w:tbl>
    <w:p w14:paraId="1D749817" w14:textId="532AC058" w:rsidR="00652DBA" w:rsidRDefault="00DE1DCB" w:rsidP="00652DBA">
      <w:pPr>
        <w:rPr>
          <w:sz w:val="18"/>
          <w:szCs w:val="18"/>
        </w:rPr>
      </w:pPr>
      <w:r>
        <w:rPr>
          <w:sz w:val="18"/>
          <w:szCs w:val="18"/>
        </w:rPr>
        <w:t>Source: NDTMS</w:t>
      </w:r>
      <w:r w:rsidR="00F95A26">
        <w:rPr>
          <w:sz w:val="18"/>
          <w:szCs w:val="18"/>
        </w:rPr>
        <w:t xml:space="preserve"> data.</w:t>
      </w:r>
    </w:p>
    <w:p w14:paraId="4190921C" w14:textId="65C5F01F" w:rsidR="00652DBA" w:rsidRDefault="00652DBA" w:rsidP="00652DBA">
      <w:r w:rsidRPr="00C653EA">
        <w:t xml:space="preserve">Between March 2020 and March 2024, </w:t>
      </w:r>
      <w:r w:rsidRPr="00013F6B">
        <w:rPr>
          <w:b/>
          <w:bCs/>
        </w:rPr>
        <w:t>national treatment number</w:t>
      </w:r>
      <w:r w:rsidR="0074312C" w:rsidRPr="00013F6B">
        <w:rPr>
          <w:b/>
          <w:bCs/>
        </w:rPr>
        <w:t>s</w:t>
      </w:r>
      <w:r w:rsidRPr="00013F6B">
        <w:rPr>
          <w:b/>
          <w:bCs/>
        </w:rPr>
        <w:t xml:space="preserve"> increased more</w:t>
      </w:r>
      <w:r w:rsidRPr="00C653EA">
        <w:t xml:space="preserve">, and more consistently. </w:t>
      </w:r>
      <w:r w:rsidRPr="00013F6B">
        <w:rPr>
          <w:b/>
          <w:bCs/>
        </w:rPr>
        <w:t>Peterborough saw a 21.9%</w:t>
      </w:r>
      <w:r w:rsidR="00D666BB" w:rsidRPr="00013F6B">
        <w:rPr>
          <w:b/>
          <w:bCs/>
        </w:rPr>
        <w:t xml:space="preserve"> increase</w:t>
      </w:r>
      <w:r w:rsidR="00AF30C5" w:rsidRPr="00013F6B">
        <w:rPr>
          <w:b/>
          <w:bCs/>
        </w:rPr>
        <w:t xml:space="preserve"> while the national increase was </w:t>
      </w:r>
      <w:r w:rsidRPr="00013F6B">
        <w:rPr>
          <w:b/>
          <w:bCs/>
        </w:rPr>
        <w:t>31.1</w:t>
      </w:r>
      <w:r w:rsidR="0074312C" w:rsidRPr="00013F6B">
        <w:rPr>
          <w:b/>
          <w:bCs/>
        </w:rPr>
        <w:t>%.</w:t>
      </w:r>
    </w:p>
    <w:p w14:paraId="3A6022DC" w14:textId="1BC9AC44" w:rsidR="00652DBA" w:rsidRDefault="00733365" w:rsidP="00652DBA">
      <w:r w:rsidRPr="00733365">
        <w:t xml:space="preserve">These increases far exceed what population growth alone would predict. While evidence suggests that rising prevalence rates </w:t>
      </w:r>
      <w:r>
        <w:t>may contribute</w:t>
      </w:r>
      <w:r w:rsidR="00E73D79" w:rsidRPr="00E73D79">
        <w:rPr>
          <w:vertAlign w:val="superscript"/>
        </w:rPr>
        <w:fldChar w:fldCharType="begin"/>
      </w:r>
      <w:r w:rsidR="00E73D79" w:rsidRPr="00E73D79">
        <w:rPr>
          <w:vertAlign w:val="superscript"/>
        </w:rPr>
        <w:instrText xml:space="preserve"> NOTEREF _Ref190355414 \h </w:instrText>
      </w:r>
      <w:r w:rsidR="00E73D79">
        <w:rPr>
          <w:vertAlign w:val="superscript"/>
        </w:rPr>
        <w:instrText xml:space="preserve"> \* MERGEFORMAT </w:instrText>
      </w:r>
      <w:r w:rsidR="00E73D79" w:rsidRPr="00E73D79">
        <w:rPr>
          <w:vertAlign w:val="superscript"/>
        </w:rPr>
      </w:r>
      <w:r w:rsidR="00E73D79" w:rsidRPr="00E73D79">
        <w:rPr>
          <w:vertAlign w:val="superscript"/>
        </w:rPr>
        <w:fldChar w:fldCharType="separate"/>
      </w:r>
      <w:r w:rsidR="00E73D79" w:rsidRPr="00E73D79">
        <w:rPr>
          <w:vertAlign w:val="superscript"/>
        </w:rPr>
        <w:t>16</w:t>
      </w:r>
      <w:r w:rsidR="00E73D79" w:rsidRPr="00E73D79">
        <w:rPr>
          <w:vertAlign w:val="superscript"/>
        </w:rPr>
        <w:fldChar w:fldCharType="end"/>
      </w:r>
      <w:r w:rsidR="00C13900" w:rsidRPr="00C13900">
        <w:t xml:space="preserve">, the magnitude of the change implies that increased service investment and </w:t>
      </w:r>
      <w:r w:rsidR="00C13900">
        <w:t xml:space="preserve">changes in </w:t>
      </w:r>
      <w:r w:rsidR="00C13900" w:rsidRPr="00C13900">
        <w:t xml:space="preserve">patterns </w:t>
      </w:r>
      <w:r w:rsidR="00C13900">
        <w:t xml:space="preserve">of access </w:t>
      </w:r>
      <w:r w:rsidR="00C13900" w:rsidRPr="00C13900">
        <w:t>since</w:t>
      </w:r>
      <w:r w:rsidR="00D45A4E">
        <w:t xml:space="preserve"> the coronavirus </w:t>
      </w:r>
      <w:r w:rsidR="00475E85">
        <w:t>(</w:t>
      </w:r>
      <w:r w:rsidR="00475E85" w:rsidRPr="00C13900">
        <w:t>COVID</w:t>
      </w:r>
      <w:r w:rsidR="00475E85">
        <w:t>)</w:t>
      </w:r>
      <w:r w:rsidR="00475E85" w:rsidRPr="00C13900">
        <w:t xml:space="preserve"> </w:t>
      </w:r>
      <w:r w:rsidR="00D45A4E">
        <w:t>pandemi</w:t>
      </w:r>
      <w:r w:rsidR="00475E85">
        <w:t>c</w:t>
      </w:r>
      <w:r w:rsidR="00C13900" w:rsidRPr="00C13900">
        <w:t xml:space="preserve"> also play a role. This is </w:t>
      </w:r>
      <w:r w:rsidR="00C13900" w:rsidRPr="00013F6B">
        <w:rPr>
          <w:b/>
          <w:bCs/>
        </w:rPr>
        <w:t xml:space="preserve">explored further </w:t>
      </w:r>
      <w:r w:rsidR="00DD3816" w:rsidRPr="00013F6B">
        <w:rPr>
          <w:b/>
          <w:bCs/>
        </w:rPr>
        <w:t xml:space="preserve">though </w:t>
      </w:r>
      <w:r w:rsidR="00C13900" w:rsidRPr="00013F6B">
        <w:rPr>
          <w:b/>
          <w:bCs/>
        </w:rPr>
        <w:t>unmet need</w:t>
      </w:r>
      <w:r w:rsidR="00C13900" w:rsidRPr="00C13900">
        <w:t xml:space="preserve"> below</w:t>
      </w:r>
      <w:r w:rsidR="00DD3816">
        <w:t xml:space="preserve"> (Section 5.3.3)</w:t>
      </w:r>
      <w:r w:rsidR="00C13900" w:rsidRPr="00C13900">
        <w:t>.</w:t>
      </w:r>
      <w:r w:rsidR="00C13900">
        <w:t xml:space="preserve"> </w:t>
      </w:r>
    </w:p>
    <w:p w14:paraId="4A2CA136" w14:textId="0D4CB36E" w:rsidR="006F335A" w:rsidRPr="006F335A" w:rsidRDefault="006F335A" w:rsidP="006F335A"/>
    <w:p w14:paraId="5F4FCEAE" w14:textId="718776DF" w:rsidR="006F335A" w:rsidRPr="00E56BED" w:rsidRDefault="00E56BED" w:rsidP="00E56BED">
      <w:pPr>
        <w:rPr>
          <w:b/>
          <w:bCs/>
        </w:rPr>
      </w:pPr>
      <w:r w:rsidRPr="0072732C">
        <w:rPr>
          <w:b/>
          <w:bCs/>
        </w:rPr>
        <w:t>Service User Demographics: Age</w:t>
      </w:r>
    </w:p>
    <w:p w14:paraId="111FF481" w14:textId="5843E279" w:rsidR="00017E70" w:rsidRDefault="00017E70" w:rsidP="00017E70">
      <w:r w:rsidRPr="007C1E38">
        <w:t xml:space="preserve">In the year ending March 2024, </w:t>
      </w:r>
      <w:proofErr w:type="gramStart"/>
      <w:r w:rsidRPr="007C1E38">
        <w:t xml:space="preserve">the </w:t>
      </w:r>
      <w:r w:rsidRPr="00A02EA4">
        <w:rPr>
          <w:b/>
          <w:bCs/>
        </w:rPr>
        <w:t>majority of</w:t>
      </w:r>
      <w:proofErr w:type="gramEnd"/>
      <w:r w:rsidRPr="00A02EA4">
        <w:rPr>
          <w:b/>
          <w:bCs/>
        </w:rPr>
        <w:t xml:space="preserve"> adults in treatment for alcohol (both alcohol only and alcohol and non-opiates) were male (73.6%) and most service users were aged 30-49 (52.3%)</w:t>
      </w:r>
      <w:r w:rsidRPr="007C1E38">
        <w:t xml:space="preserve">. Figure </w:t>
      </w:r>
      <w:r w:rsidR="003B2950">
        <w:t>5</w:t>
      </w:r>
      <w:r w:rsidR="00E56BED">
        <w:t xml:space="preserve">.3c </w:t>
      </w:r>
      <w:r w:rsidRPr="007C1E38">
        <w:t>shows the age and sex breakdown of service users</w:t>
      </w:r>
      <w:r w:rsidR="001265EE">
        <w:t xml:space="preserve"> </w:t>
      </w:r>
      <w:r w:rsidRPr="007C1E38">
        <w:t xml:space="preserve">and demonstrates that the number of new presentations amongst treatment numbers were </w:t>
      </w:r>
      <w:proofErr w:type="gramStart"/>
      <w:r w:rsidRPr="007C1E38">
        <w:t>fairly evenly</w:t>
      </w:r>
      <w:proofErr w:type="gramEnd"/>
      <w:r w:rsidRPr="007C1E38">
        <w:t xml:space="preserve"> distributed across demographic groups.</w:t>
      </w:r>
    </w:p>
    <w:p w14:paraId="11F3B808" w14:textId="5441C149" w:rsidR="00017E70" w:rsidRDefault="00017E70" w:rsidP="001265EE">
      <w:pPr>
        <w:pStyle w:val="Heading6"/>
      </w:pPr>
      <w:r w:rsidRPr="0082001A">
        <w:t>Figure</w:t>
      </w:r>
      <w:r w:rsidR="003B2950">
        <w:t xml:space="preserve"> 5</w:t>
      </w:r>
      <w:r w:rsidR="001265EE">
        <w:t>.3c</w:t>
      </w:r>
      <w:r w:rsidRPr="0082001A">
        <w:t>. Services users for alcohol and non-opiates and alcohol by age and sex in the year ending March 2024, in Peterborough:</w:t>
      </w:r>
    </w:p>
    <w:tbl>
      <w:tblPr>
        <w:tblStyle w:val="TableGrid"/>
        <w:tblW w:w="0" w:type="auto"/>
        <w:tblLook w:val="04A0" w:firstRow="1" w:lastRow="0" w:firstColumn="1" w:lastColumn="0" w:noHBand="0" w:noVBand="1"/>
      </w:tblPr>
      <w:tblGrid>
        <w:gridCol w:w="2236"/>
        <w:gridCol w:w="2236"/>
        <w:gridCol w:w="2236"/>
      </w:tblGrid>
      <w:tr w:rsidR="0036087A" w:rsidRPr="0026750B" w14:paraId="30C970EF" w14:textId="77777777" w:rsidTr="008C2705">
        <w:trPr>
          <w:trHeight w:val="296"/>
        </w:trPr>
        <w:tc>
          <w:tcPr>
            <w:tcW w:w="2236" w:type="dxa"/>
            <w:noWrap/>
            <w:hideMark/>
          </w:tcPr>
          <w:p w14:paraId="4DE7C31A" w14:textId="623B6F6B" w:rsidR="0036087A" w:rsidRPr="0036087A" w:rsidRDefault="0036087A" w:rsidP="0036087A">
            <w:pPr>
              <w:rPr>
                <w:b/>
                <w:bCs/>
              </w:rPr>
            </w:pPr>
            <w:r w:rsidRPr="0036087A">
              <w:rPr>
                <w:b/>
                <w:bCs/>
              </w:rPr>
              <w:t>Sex</w:t>
            </w:r>
          </w:p>
        </w:tc>
        <w:tc>
          <w:tcPr>
            <w:tcW w:w="2236" w:type="dxa"/>
          </w:tcPr>
          <w:p w14:paraId="0B5F4081" w14:textId="0153ED2A" w:rsidR="0036087A" w:rsidRPr="0036087A" w:rsidRDefault="0036087A" w:rsidP="0036087A">
            <w:pPr>
              <w:rPr>
                <w:b/>
                <w:bCs/>
              </w:rPr>
            </w:pPr>
            <w:r w:rsidRPr="0036087A">
              <w:rPr>
                <w:b/>
                <w:bCs/>
              </w:rPr>
              <w:t>Female</w:t>
            </w:r>
          </w:p>
        </w:tc>
        <w:tc>
          <w:tcPr>
            <w:tcW w:w="2236" w:type="dxa"/>
            <w:noWrap/>
            <w:hideMark/>
          </w:tcPr>
          <w:p w14:paraId="4F349F20" w14:textId="315E0147" w:rsidR="0036087A" w:rsidRPr="0036087A" w:rsidRDefault="0036087A" w:rsidP="0036087A">
            <w:pPr>
              <w:rPr>
                <w:b/>
                <w:bCs/>
              </w:rPr>
            </w:pPr>
            <w:r w:rsidRPr="0036087A">
              <w:rPr>
                <w:b/>
                <w:bCs/>
              </w:rPr>
              <w:t>Male</w:t>
            </w:r>
          </w:p>
        </w:tc>
      </w:tr>
      <w:tr w:rsidR="0036087A" w:rsidRPr="0026750B" w14:paraId="467DA4D6" w14:textId="77777777" w:rsidTr="008C2705">
        <w:trPr>
          <w:trHeight w:val="296"/>
        </w:trPr>
        <w:tc>
          <w:tcPr>
            <w:tcW w:w="2236" w:type="dxa"/>
            <w:noWrap/>
            <w:hideMark/>
          </w:tcPr>
          <w:p w14:paraId="3AFE404A" w14:textId="65D413C5" w:rsidR="0036087A" w:rsidRPr="0026750B" w:rsidRDefault="0036087A" w:rsidP="0036087A">
            <w:r>
              <w:t>Number in treatment</w:t>
            </w:r>
          </w:p>
        </w:tc>
        <w:tc>
          <w:tcPr>
            <w:tcW w:w="2236" w:type="dxa"/>
          </w:tcPr>
          <w:p w14:paraId="095F5EE8" w14:textId="0BBE20A7" w:rsidR="0036087A" w:rsidRPr="0026750B" w:rsidRDefault="0036087A" w:rsidP="0036087A">
            <w:r w:rsidRPr="0026750B">
              <w:t>172</w:t>
            </w:r>
          </w:p>
        </w:tc>
        <w:tc>
          <w:tcPr>
            <w:tcW w:w="2236" w:type="dxa"/>
            <w:noWrap/>
            <w:hideMark/>
          </w:tcPr>
          <w:p w14:paraId="46F52AF4" w14:textId="43C1EC7D" w:rsidR="0036087A" w:rsidRPr="0026750B" w:rsidRDefault="0036087A" w:rsidP="0036087A">
            <w:r w:rsidRPr="0026750B">
              <w:t>479</w:t>
            </w:r>
          </w:p>
        </w:tc>
      </w:tr>
      <w:tr w:rsidR="0036087A" w:rsidRPr="0026750B" w14:paraId="025ABD53" w14:textId="77777777" w:rsidTr="008C2705">
        <w:trPr>
          <w:trHeight w:val="296"/>
        </w:trPr>
        <w:tc>
          <w:tcPr>
            <w:tcW w:w="2236" w:type="dxa"/>
            <w:noWrap/>
            <w:hideMark/>
          </w:tcPr>
          <w:p w14:paraId="5D29898C" w14:textId="4527F6D4" w:rsidR="0036087A" w:rsidRPr="0026750B" w:rsidRDefault="0036087A" w:rsidP="0036087A">
            <w:r>
              <w:t>Proportion (%)</w:t>
            </w:r>
          </w:p>
        </w:tc>
        <w:tc>
          <w:tcPr>
            <w:tcW w:w="2236" w:type="dxa"/>
          </w:tcPr>
          <w:p w14:paraId="236A7E42" w14:textId="17F76995" w:rsidR="0036087A" w:rsidRPr="0026750B" w:rsidRDefault="0036087A" w:rsidP="0036087A">
            <w:r w:rsidRPr="0026750B">
              <w:t>26.4%</w:t>
            </w:r>
          </w:p>
        </w:tc>
        <w:tc>
          <w:tcPr>
            <w:tcW w:w="2236" w:type="dxa"/>
            <w:noWrap/>
            <w:hideMark/>
          </w:tcPr>
          <w:p w14:paraId="1D8E979A" w14:textId="65961603" w:rsidR="0036087A" w:rsidRPr="0026750B" w:rsidRDefault="0036087A" w:rsidP="0036087A">
            <w:r w:rsidRPr="0026750B">
              <w:t>73.6%</w:t>
            </w:r>
          </w:p>
        </w:tc>
      </w:tr>
    </w:tbl>
    <w:p w14:paraId="576F9AA4" w14:textId="56B330DF" w:rsidR="00064FD0" w:rsidRPr="00F95A26" w:rsidRDefault="00F95A26" w:rsidP="00017E70">
      <w:pPr>
        <w:rPr>
          <w:sz w:val="20"/>
          <w:szCs w:val="20"/>
        </w:rPr>
      </w:pPr>
      <w:r w:rsidRPr="00F95A26">
        <w:rPr>
          <w:sz w:val="20"/>
          <w:szCs w:val="20"/>
        </w:rPr>
        <w:t>Source: NDTMS data.</w:t>
      </w:r>
    </w:p>
    <w:p w14:paraId="7A4EB9D9" w14:textId="3211BEDC" w:rsidR="00064FD0" w:rsidRPr="009C4340" w:rsidRDefault="00064FD0" w:rsidP="00E3400D">
      <w:pPr>
        <w:jc w:val="center"/>
        <w:rPr>
          <w:color w:val="595959" w:themeColor="text1" w:themeTint="A6"/>
        </w:rPr>
      </w:pPr>
      <w:r w:rsidRPr="009C4340">
        <w:rPr>
          <w:color w:val="595959" w:themeColor="text1" w:themeTint="A6"/>
        </w:rPr>
        <w:t xml:space="preserve">Adults in treatment for alcohol, year ending March 2024 in Peterborough by age and sex. </w:t>
      </w:r>
      <w:r w:rsidR="00E3400D" w:rsidRPr="009C4340">
        <w:rPr>
          <w:color w:val="595959" w:themeColor="text1" w:themeTint="A6"/>
        </w:rPr>
        <w:t>Number of adults in treatment and how many of those were new presentations</w:t>
      </w:r>
    </w:p>
    <w:p w14:paraId="6E1DCC7A" w14:textId="5833D497" w:rsidR="00017E70" w:rsidRDefault="00017E70" w:rsidP="00017E70">
      <w:r w:rsidRPr="00BD533B">
        <w:rPr>
          <w:noProof/>
        </w:rPr>
        <w:lastRenderedPageBreak/>
        <w:drawing>
          <wp:inline distT="0" distB="0" distL="0" distR="0" wp14:anchorId="762FBA81" wp14:editId="72D847B5">
            <wp:extent cx="5731510" cy="3038252"/>
            <wp:effectExtent l="0" t="0" r="0" b="0"/>
            <wp:docPr id="9" name="Picture 8" descr="A graph of alcohol and adults&#10;&#10;Description automatically generated with medium confidence">
              <a:extLst xmlns:a="http://schemas.openxmlformats.org/drawingml/2006/main">
                <a:ext uri="{FF2B5EF4-FFF2-40B4-BE49-F238E27FC236}">
                  <a16:creationId xmlns:a16="http://schemas.microsoft.com/office/drawing/2014/main" id="{20CD035C-61CF-57E7-95A4-6347237A3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lcohol and adults&#10;&#10;Description automatically generated with medium confidence">
                      <a:extLst>
                        <a:ext uri="{FF2B5EF4-FFF2-40B4-BE49-F238E27FC236}">
                          <a16:creationId xmlns:a16="http://schemas.microsoft.com/office/drawing/2014/main" id="{20CD035C-61CF-57E7-95A4-6347237A363F}"/>
                        </a:ext>
                      </a:extLst>
                    </pic:cNvPr>
                    <pic:cNvPicPr>
                      <a:picLocks noChangeAspect="1"/>
                    </pic:cNvPicPr>
                  </pic:nvPicPr>
                  <pic:blipFill rotWithShape="1">
                    <a:blip r:embed="rId29"/>
                    <a:srcRect t="13228"/>
                    <a:stretch/>
                  </pic:blipFill>
                  <pic:spPr bwMode="auto">
                    <a:xfrm>
                      <a:off x="0" y="0"/>
                      <a:ext cx="5731510" cy="3038252"/>
                    </a:xfrm>
                    <a:prstGeom prst="rect">
                      <a:avLst/>
                    </a:prstGeom>
                    <a:ln>
                      <a:noFill/>
                    </a:ln>
                    <a:extLst>
                      <a:ext uri="{53640926-AAD7-44D8-BBD7-CCE9431645EC}">
                        <a14:shadowObscured xmlns:a14="http://schemas.microsoft.com/office/drawing/2010/main"/>
                      </a:ext>
                    </a:extLst>
                  </pic:spPr>
                </pic:pic>
              </a:graphicData>
            </a:graphic>
          </wp:inline>
        </w:drawing>
      </w:r>
    </w:p>
    <w:p w14:paraId="31FD9CEB" w14:textId="28D669A0" w:rsidR="006F335A" w:rsidRDefault="00F95A26" w:rsidP="006F335A">
      <w:pPr>
        <w:rPr>
          <w:sz w:val="20"/>
          <w:szCs w:val="20"/>
        </w:rPr>
      </w:pPr>
      <w:r>
        <w:rPr>
          <w:sz w:val="20"/>
          <w:szCs w:val="20"/>
        </w:rPr>
        <w:t>S</w:t>
      </w:r>
      <w:r w:rsidR="00064FD0" w:rsidRPr="009C4340">
        <w:rPr>
          <w:sz w:val="20"/>
          <w:szCs w:val="20"/>
        </w:rPr>
        <w:t>ource: NDTMS</w:t>
      </w:r>
      <w:r>
        <w:rPr>
          <w:sz w:val="20"/>
          <w:szCs w:val="20"/>
        </w:rPr>
        <w:t xml:space="preserve"> data.</w:t>
      </w:r>
    </w:p>
    <w:p w14:paraId="376B2A99" w14:textId="77777777" w:rsidR="003B2950" w:rsidRDefault="003B2950" w:rsidP="003B2950"/>
    <w:p w14:paraId="5A8DE03D" w14:textId="35E464E9" w:rsidR="003B2950" w:rsidRDefault="003B2950" w:rsidP="003B2950">
      <w:r>
        <w:t xml:space="preserve">To note, an </w:t>
      </w:r>
      <w:r w:rsidRPr="00A02EA4">
        <w:rPr>
          <w:b/>
          <w:bCs/>
        </w:rPr>
        <w:t>additional local ‘Healthy You’ service</w:t>
      </w:r>
      <w:r>
        <w:t xml:space="preserve"> may also see adults in Peterborough who are at risk of harm from alcohol, separately for dedicated drug and alcohol services. </w:t>
      </w:r>
      <w:r w:rsidRPr="000B5121">
        <w:t xml:space="preserve">Adults can access </w:t>
      </w:r>
      <w:r>
        <w:t xml:space="preserve">this </w:t>
      </w:r>
      <w:r w:rsidRPr="000B5121">
        <w:t xml:space="preserve">via self-referral or through a referral from a health professional for various lifestyle improvements (including weight management and smoking cessation). Between April 2023 and March 2024, 2,963 adults were screened for alcohol risk </w:t>
      </w:r>
      <w:r>
        <w:t>by Healthy You</w:t>
      </w:r>
      <w:r w:rsidRPr="000B5121">
        <w:t xml:space="preserve">. Of these, </w:t>
      </w:r>
      <w:r w:rsidRPr="00E57F0E">
        <w:rPr>
          <w:b/>
          <w:bCs/>
        </w:rPr>
        <w:t xml:space="preserve">64 </w:t>
      </w:r>
      <w:r w:rsidRPr="00E57F0E">
        <w:t>individuals identified as at-risk were</w:t>
      </w:r>
      <w:r w:rsidRPr="00E57F0E">
        <w:rPr>
          <w:b/>
          <w:bCs/>
        </w:rPr>
        <w:t xml:space="preserve"> referred to an ‘alcohol trainer’</w:t>
      </w:r>
      <w:r w:rsidRPr="000B5121">
        <w:t>.</w:t>
      </w:r>
      <w:r>
        <w:t xml:space="preserve"> S</w:t>
      </w:r>
      <w:r w:rsidR="009C6E42">
        <w:t>ix of these were s</w:t>
      </w:r>
      <w:r w:rsidRPr="000B5121">
        <w:t>ubsequently</w:t>
      </w:r>
      <w:r w:rsidR="009C6E42">
        <w:t xml:space="preserve"> </w:t>
      </w:r>
      <w:r w:rsidRPr="000B5121">
        <w:t>referred to DA services, while another 27 successfully achieved their health plan goals</w:t>
      </w:r>
      <w:r w:rsidR="009C6E42">
        <w:t xml:space="preserve"> </w:t>
      </w:r>
      <w:r w:rsidR="004B033A">
        <w:t>(</w:t>
      </w:r>
      <w:r w:rsidR="009C6E42">
        <w:t>which may include a reduction in harmful drinking</w:t>
      </w:r>
      <w:r w:rsidR="004B033A">
        <w:t>)</w:t>
      </w:r>
      <w:r w:rsidRPr="000B5121">
        <w:t>.</w:t>
      </w:r>
    </w:p>
    <w:p w14:paraId="494AEDB4" w14:textId="77777777" w:rsidR="003B2950" w:rsidRPr="009C4340" w:rsidRDefault="003B2950" w:rsidP="006F335A">
      <w:pPr>
        <w:rPr>
          <w:sz w:val="20"/>
          <w:szCs w:val="20"/>
        </w:rPr>
      </w:pPr>
    </w:p>
    <w:p w14:paraId="6979A66E" w14:textId="6F3DA898" w:rsidR="006F335A" w:rsidRPr="006F335A" w:rsidRDefault="006F335A" w:rsidP="006F335A">
      <w:pPr>
        <w:pStyle w:val="Heading4"/>
      </w:pPr>
      <w:bookmarkStart w:id="52" w:name="_Toc181883444"/>
      <w:r w:rsidRPr="006F335A">
        <w:t>Children</w:t>
      </w:r>
      <w:bookmarkEnd w:id="52"/>
    </w:p>
    <w:p w14:paraId="4308BC2E" w14:textId="3FDF145E" w:rsidR="00F62E73" w:rsidRDefault="00310BAF" w:rsidP="00F62E73">
      <w:r w:rsidRPr="00310BAF">
        <w:t>The number of CYP in treatment for alcohol is part of the overall numbers of CYP in</w:t>
      </w:r>
      <w:r w:rsidR="00B1597E">
        <w:t xml:space="preserve"> </w:t>
      </w:r>
      <w:r w:rsidRPr="00310BAF">
        <w:t xml:space="preserve">treatment </w:t>
      </w:r>
      <w:r w:rsidR="00B1597E">
        <w:t xml:space="preserve">in </w:t>
      </w:r>
      <w:r w:rsidR="00114649">
        <w:t>S</w:t>
      </w:r>
      <w:r w:rsidR="00B1597E">
        <w:t xml:space="preserve">ection </w:t>
      </w:r>
      <w:r w:rsidR="00114649">
        <w:t>5</w:t>
      </w:r>
      <w:r w:rsidR="00B1597E">
        <w:t>.2.</w:t>
      </w:r>
      <w:r w:rsidR="00114649">
        <w:t>2</w:t>
      </w:r>
      <w:r w:rsidR="00B1597E">
        <w:t>.</w:t>
      </w:r>
      <w:r w:rsidR="00114649">
        <w:t>a</w:t>
      </w:r>
      <w:r w:rsidRPr="00310BAF">
        <w:t>.</w:t>
      </w:r>
    </w:p>
    <w:p w14:paraId="746B03B3" w14:textId="77777777" w:rsidR="00310BAF" w:rsidRPr="00F62E73" w:rsidRDefault="00310BAF" w:rsidP="00F62E73"/>
    <w:p w14:paraId="75CF2959" w14:textId="37163F75" w:rsidR="002150F1" w:rsidRDefault="002150F1" w:rsidP="00EE708D">
      <w:pPr>
        <w:pStyle w:val="Heading3"/>
      </w:pPr>
      <w:bookmarkStart w:id="53" w:name="_Toc200479486"/>
      <w:r>
        <w:t xml:space="preserve">Unmet </w:t>
      </w:r>
      <w:r w:rsidR="00EE377A">
        <w:t>N</w:t>
      </w:r>
      <w:r>
        <w:t>eed</w:t>
      </w:r>
      <w:bookmarkEnd w:id="53"/>
    </w:p>
    <w:p w14:paraId="0C606E7A" w14:textId="6D4F279D" w:rsidR="00234D18" w:rsidRPr="00C4275B" w:rsidRDefault="00857408" w:rsidP="00234D18">
      <w:r w:rsidRPr="4DF56F6F">
        <w:rPr>
          <w:rFonts w:ascii="Aptos" w:eastAsia="Aptos" w:hAnsi="Aptos" w:cs="Times New Roman"/>
        </w:rPr>
        <w:t>Unmet need</w:t>
      </w:r>
      <w:r w:rsidR="004E3B90" w:rsidRPr="4DF56F6F">
        <w:rPr>
          <w:rFonts w:ascii="Aptos" w:eastAsia="Aptos" w:hAnsi="Aptos" w:cs="Times New Roman"/>
        </w:rPr>
        <w:t xml:space="preserve"> is </w:t>
      </w:r>
      <w:r w:rsidRPr="4DF56F6F">
        <w:rPr>
          <w:rFonts w:ascii="Aptos" w:eastAsia="Aptos" w:hAnsi="Aptos" w:cs="Times New Roman"/>
        </w:rPr>
        <w:t>estimated</w:t>
      </w:r>
      <w:r w:rsidR="004C1958">
        <w:rPr>
          <w:rFonts w:ascii="Aptos" w:eastAsia="Aptos" w:hAnsi="Aptos" w:cs="Times New Roman"/>
        </w:rPr>
        <w:t xml:space="preserve"> for alcohol</w:t>
      </w:r>
      <w:r w:rsidRPr="4DF56F6F">
        <w:rPr>
          <w:rFonts w:ascii="Aptos" w:eastAsia="Aptos" w:hAnsi="Aptos" w:cs="Times New Roman"/>
        </w:rPr>
        <w:t xml:space="preserve"> </w:t>
      </w:r>
      <w:r w:rsidR="004C1958">
        <w:rPr>
          <w:rFonts w:ascii="Aptos" w:eastAsia="Aptos" w:hAnsi="Aptos" w:cs="Times New Roman"/>
        </w:rPr>
        <w:t>on</w:t>
      </w:r>
      <w:r w:rsidR="004E3B90" w:rsidRPr="4DF56F6F">
        <w:rPr>
          <w:rFonts w:ascii="Aptos" w:eastAsia="Aptos" w:hAnsi="Aptos" w:cs="Times New Roman"/>
        </w:rPr>
        <w:t xml:space="preserve"> NDTMS </w:t>
      </w:r>
      <w:r w:rsidR="00694774">
        <w:rPr>
          <w:rFonts w:ascii="Aptos" w:eastAsia="Aptos" w:hAnsi="Aptos" w:cs="Times New Roman"/>
        </w:rPr>
        <w:t xml:space="preserve">by subtracting the </w:t>
      </w:r>
      <w:r w:rsidR="008315CD" w:rsidRPr="008315CD">
        <w:rPr>
          <w:rFonts w:ascii="Aptos" w:eastAsia="Aptos" w:hAnsi="Aptos" w:cs="Times New Roman"/>
        </w:rPr>
        <w:t xml:space="preserve">number of individuals receiving treatment from the estimated prevalence of </w:t>
      </w:r>
      <w:r w:rsidR="008315CD">
        <w:rPr>
          <w:rFonts w:ascii="Aptos" w:eastAsia="Aptos" w:hAnsi="Aptos" w:cs="Times New Roman"/>
        </w:rPr>
        <w:t>alcohol</w:t>
      </w:r>
      <w:r w:rsidR="00BD1A2B">
        <w:rPr>
          <w:rFonts w:ascii="Aptos" w:eastAsia="Aptos" w:hAnsi="Aptos" w:cs="Times New Roman"/>
        </w:rPr>
        <w:t xml:space="preserve"> </w:t>
      </w:r>
      <w:r w:rsidR="004B6B72">
        <w:rPr>
          <w:rFonts w:ascii="Aptos" w:eastAsia="Aptos" w:hAnsi="Aptos" w:cs="Times New Roman"/>
        </w:rPr>
        <w:t>dependency</w:t>
      </w:r>
      <w:r w:rsidR="00EA0EC1" w:rsidRPr="4DF56F6F">
        <w:rPr>
          <w:rFonts w:ascii="Aptos" w:eastAsia="Aptos" w:hAnsi="Aptos" w:cs="Times New Roman"/>
        </w:rPr>
        <w:t xml:space="preserve">. </w:t>
      </w:r>
      <w:r w:rsidR="00DF4066">
        <w:rPr>
          <w:rFonts w:ascii="Aptos" w:eastAsia="Aptos" w:hAnsi="Aptos" w:cs="Times New Roman"/>
        </w:rPr>
        <w:t xml:space="preserve">The national average for unmet need for alcohol </w:t>
      </w:r>
      <w:r w:rsidR="00CC0C37">
        <w:rPr>
          <w:rFonts w:ascii="Aptos" w:eastAsia="Aptos" w:hAnsi="Aptos" w:cs="Times New Roman"/>
        </w:rPr>
        <w:t>in the year ending March 2024 wa</w:t>
      </w:r>
      <w:r w:rsidR="00DF4066">
        <w:rPr>
          <w:rFonts w:ascii="Aptos" w:eastAsia="Aptos" w:hAnsi="Aptos" w:cs="Times New Roman"/>
        </w:rPr>
        <w:t xml:space="preserve">s high at 77.8%. </w:t>
      </w:r>
      <w:r w:rsidR="001112CD" w:rsidRPr="001112CD">
        <w:rPr>
          <w:rFonts w:ascii="Aptos" w:eastAsia="Aptos" w:hAnsi="Aptos" w:cs="Times New Roman"/>
        </w:rPr>
        <w:t>Despite the higher prevalence of alcohol dependence in Peterborough</w:t>
      </w:r>
      <w:r w:rsidR="001112CD">
        <w:rPr>
          <w:rFonts w:ascii="Aptos" w:eastAsia="Aptos" w:hAnsi="Aptos" w:cs="Times New Roman"/>
        </w:rPr>
        <w:t xml:space="preserve">, unmet need is lower at </w:t>
      </w:r>
      <w:r w:rsidR="008C2C21">
        <w:rPr>
          <w:rFonts w:ascii="Aptos" w:eastAsia="Aptos" w:hAnsi="Aptos" w:cs="Times New Roman"/>
        </w:rPr>
        <w:t>70.3%</w:t>
      </w:r>
      <w:r w:rsidR="004B4564" w:rsidRPr="008C2C21">
        <w:rPr>
          <w:rStyle w:val="FootnoteReference"/>
        </w:rPr>
        <w:footnoteReference w:id="22"/>
      </w:r>
      <w:r w:rsidR="0062254D" w:rsidRPr="008C2C21">
        <w:t>.</w:t>
      </w:r>
      <w:r w:rsidR="00553C7C">
        <w:t xml:space="preserve"> </w:t>
      </w:r>
      <w:r w:rsidR="00553C7C" w:rsidRPr="00553C7C">
        <w:t>However, this still represents a significant gap in treatment access.</w:t>
      </w:r>
    </w:p>
    <w:p w14:paraId="6A7AF1CB" w14:textId="3B25DDAD" w:rsidR="00234D18" w:rsidRDefault="00B378E5" w:rsidP="00234D18">
      <w:r w:rsidRPr="00B378E5">
        <w:rPr>
          <w:b/>
          <w:bCs/>
        </w:rPr>
        <w:lastRenderedPageBreak/>
        <w:t>U</w:t>
      </w:r>
      <w:r w:rsidR="00234D18" w:rsidRPr="00FF4A07">
        <w:rPr>
          <w:b/>
          <w:bCs/>
        </w:rPr>
        <w:t xml:space="preserve">nmet need </w:t>
      </w:r>
      <w:r>
        <w:rPr>
          <w:b/>
          <w:bCs/>
        </w:rPr>
        <w:t xml:space="preserve">by this measure </w:t>
      </w:r>
      <w:r w:rsidR="00234D18" w:rsidRPr="00FF4A07">
        <w:rPr>
          <w:b/>
          <w:bCs/>
        </w:rPr>
        <w:t xml:space="preserve">reduced </w:t>
      </w:r>
      <w:r w:rsidR="00731CAA" w:rsidRPr="00FF4A07">
        <w:rPr>
          <w:b/>
          <w:bCs/>
        </w:rPr>
        <w:t xml:space="preserve">both </w:t>
      </w:r>
      <w:r w:rsidR="00234D18" w:rsidRPr="00FF4A07">
        <w:rPr>
          <w:b/>
          <w:bCs/>
        </w:rPr>
        <w:t>nationally and locally</w:t>
      </w:r>
      <w:r>
        <w:rPr>
          <w:b/>
          <w:bCs/>
        </w:rPr>
        <w:t xml:space="preserve"> in the two years prior to March 2024</w:t>
      </w:r>
      <w:r w:rsidR="00234D18">
        <w:t xml:space="preserve">. </w:t>
      </w:r>
      <w:r w:rsidR="00234D18" w:rsidRPr="00C4275B">
        <w:t xml:space="preserve">The </w:t>
      </w:r>
      <w:r w:rsidR="00234D18" w:rsidRPr="00D65E9C">
        <w:rPr>
          <w:b/>
          <w:bCs/>
        </w:rPr>
        <w:t>decrease in Peterborough was 5.7</w:t>
      </w:r>
      <w:r w:rsidR="006E1F33" w:rsidRPr="00D65E9C">
        <w:rPr>
          <w:b/>
          <w:bCs/>
        </w:rPr>
        <w:t xml:space="preserve"> percentage points</w:t>
      </w:r>
      <w:r w:rsidR="001D179E">
        <w:t xml:space="preserve"> which is</w:t>
      </w:r>
      <w:r w:rsidR="00234D18">
        <w:t xml:space="preserve"> </w:t>
      </w:r>
      <w:r w:rsidR="001D179E">
        <w:t xml:space="preserve">a bigger decrease </w:t>
      </w:r>
      <w:r w:rsidR="00234D18" w:rsidRPr="00C4275B">
        <w:t xml:space="preserve">than </w:t>
      </w:r>
      <w:r w:rsidR="001D179E">
        <w:t xml:space="preserve">seen </w:t>
      </w:r>
      <w:r w:rsidR="00234D18" w:rsidRPr="00C4275B">
        <w:t>national</w:t>
      </w:r>
      <w:r w:rsidR="001D179E">
        <w:t>ly</w:t>
      </w:r>
      <w:r w:rsidR="00234D18" w:rsidRPr="00C4275B">
        <w:t xml:space="preserve"> </w:t>
      </w:r>
      <w:r w:rsidR="001D179E">
        <w:t xml:space="preserve">at </w:t>
      </w:r>
      <w:r w:rsidR="00234D18" w:rsidRPr="00C4275B">
        <w:t>2.9</w:t>
      </w:r>
      <w:r w:rsidR="006E1F33">
        <w:t xml:space="preserve"> percentage points</w:t>
      </w:r>
      <w:r w:rsidR="00234D18">
        <w:t xml:space="preserve">, as shown in </w:t>
      </w:r>
      <w:r w:rsidR="00C40CA2">
        <w:t>F</w:t>
      </w:r>
      <w:r w:rsidR="00234D18">
        <w:t xml:space="preserve">igure </w:t>
      </w:r>
      <w:r w:rsidR="001D179E">
        <w:t>5</w:t>
      </w:r>
      <w:r w:rsidR="00C40CA2">
        <w:t>.3d</w:t>
      </w:r>
      <w:r w:rsidR="00234D18">
        <w:t>.</w:t>
      </w:r>
    </w:p>
    <w:p w14:paraId="099AF0C9" w14:textId="3821C0D3" w:rsidR="00234D18" w:rsidRPr="00C4275B" w:rsidRDefault="00234D18" w:rsidP="00C40CA2">
      <w:pPr>
        <w:pStyle w:val="Heading6"/>
      </w:pPr>
      <w:r>
        <w:t xml:space="preserve">Figure </w:t>
      </w:r>
      <w:r w:rsidR="001D179E">
        <w:t>5</w:t>
      </w:r>
      <w:r w:rsidR="000A6C37">
        <w:t>.3</w:t>
      </w:r>
      <w:r w:rsidR="00C40CA2">
        <w:t>d</w:t>
      </w:r>
      <w:r>
        <w:t xml:space="preserve">. </w:t>
      </w:r>
      <w:r w:rsidR="000A6C37">
        <w:t>Alcohol unmet need</w:t>
      </w:r>
    </w:p>
    <w:p w14:paraId="4E748190" w14:textId="5F67B0AF" w:rsidR="00C40CA2" w:rsidRPr="00F95A26" w:rsidRDefault="000A6C37" w:rsidP="00234D18">
      <w:r w:rsidRPr="000A6C37">
        <w:rPr>
          <w:noProof/>
        </w:rPr>
        <w:drawing>
          <wp:inline distT="0" distB="0" distL="0" distR="0" wp14:anchorId="0BC83D5D" wp14:editId="3BF044BF">
            <wp:extent cx="5461000" cy="3583592"/>
            <wp:effectExtent l="0" t="0" r="0" b="0"/>
            <wp:docPr id="31" name="Picture 30" descr="A graph of alcohol and alcohol&#10;&#10;Description automatically generated with medium confidence">
              <a:extLst xmlns:a="http://schemas.openxmlformats.org/drawingml/2006/main">
                <a:ext uri="{FF2B5EF4-FFF2-40B4-BE49-F238E27FC236}">
                  <a16:creationId xmlns:a16="http://schemas.microsoft.com/office/drawing/2014/main" id="{6E54DE20-8599-9254-5195-CE8B03581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graph of alcohol and alcohol&#10;&#10;Description automatically generated with medium confidence">
                      <a:extLst>
                        <a:ext uri="{FF2B5EF4-FFF2-40B4-BE49-F238E27FC236}">
                          <a16:creationId xmlns:a16="http://schemas.microsoft.com/office/drawing/2014/main" id="{6E54DE20-8599-9254-5195-CE8B0358143C}"/>
                        </a:ext>
                      </a:extLst>
                    </pic:cNvPr>
                    <pic:cNvPicPr>
                      <a:picLocks noChangeAspect="1"/>
                    </pic:cNvPicPr>
                  </pic:nvPicPr>
                  <pic:blipFill>
                    <a:blip r:embed="rId30"/>
                    <a:stretch>
                      <a:fillRect/>
                    </a:stretch>
                  </pic:blipFill>
                  <pic:spPr>
                    <a:xfrm>
                      <a:off x="0" y="0"/>
                      <a:ext cx="5465231" cy="3586368"/>
                    </a:xfrm>
                    <a:prstGeom prst="rect">
                      <a:avLst/>
                    </a:prstGeom>
                  </pic:spPr>
                </pic:pic>
              </a:graphicData>
            </a:graphic>
          </wp:inline>
        </w:drawing>
      </w:r>
      <w:r w:rsidR="00C40CA2" w:rsidRPr="00C40CA2">
        <w:rPr>
          <w:sz w:val="20"/>
          <w:szCs w:val="20"/>
        </w:rPr>
        <w:t>Source: NDTMS</w:t>
      </w:r>
      <w:r w:rsidR="007B6A3C">
        <w:rPr>
          <w:sz w:val="20"/>
          <w:szCs w:val="20"/>
        </w:rPr>
        <w:t xml:space="preserve"> data.</w:t>
      </w:r>
    </w:p>
    <w:p w14:paraId="4DDEA4FD" w14:textId="77777777" w:rsidR="00E00EA2" w:rsidRDefault="00E00EA2" w:rsidP="00E00EA2">
      <w:pPr>
        <w:rPr>
          <w:b/>
          <w:bCs/>
        </w:rPr>
      </w:pPr>
      <w:r>
        <w:rPr>
          <w:b/>
          <w:bCs/>
        </w:rPr>
        <w:t xml:space="preserve">Unmet Need </w:t>
      </w:r>
      <w:r w:rsidRPr="0072732C">
        <w:rPr>
          <w:b/>
          <w:bCs/>
        </w:rPr>
        <w:t>Demographics: Age</w:t>
      </w:r>
    </w:p>
    <w:p w14:paraId="42E345B3" w14:textId="5B6596A2" w:rsidR="00A719A4" w:rsidRDefault="00A719A4" w:rsidP="00A719A4">
      <w:r>
        <w:t>U</w:t>
      </w:r>
      <w:r w:rsidRPr="00C4275B">
        <w:t xml:space="preserve">nmet need is </w:t>
      </w:r>
      <w:r w:rsidR="0001287C">
        <w:t xml:space="preserve">estimated to be </w:t>
      </w:r>
      <w:r w:rsidRPr="00D65E9C">
        <w:rPr>
          <w:b/>
          <w:bCs/>
        </w:rPr>
        <w:t>highest for young adults</w:t>
      </w:r>
      <w:r w:rsidRPr="00C4275B">
        <w:t>, decreas</w:t>
      </w:r>
      <w:r w:rsidR="0001287C">
        <w:t>ing</w:t>
      </w:r>
      <w:r w:rsidRPr="00C4275B">
        <w:t xml:space="preserve"> </w:t>
      </w:r>
      <w:r>
        <w:t xml:space="preserve">with increasing </w:t>
      </w:r>
      <w:r w:rsidRPr="00C4275B">
        <w:t>age</w:t>
      </w:r>
      <w:r>
        <w:t xml:space="preserve"> i</w:t>
      </w:r>
      <w:r w:rsidRPr="00C4275B">
        <w:t xml:space="preserve">n </w:t>
      </w:r>
      <w:r>
        <w:t xml:space="preserve">both Peterborough and nationally, as shown in </w:t>
      </w:r>
      <w:r w:rsidR="0001287C">
        <w:t>F</w:t>
      </w:r>
      <w:r>
        <w:t xml:space="preserve">igure </w:t>
      </w:r>
      <w:r w:rsidR="000B12BF">
        <w:t>5</w:t>
      </w:r>
      <w:r>
        <w:t>.3</w:t>
      </w:r>
      <w:r w:rsidR="00A127E9">
        <w:t>e</w:t>
      </w:r>
      <w:r>
        <w:t>.</w:t>
      </w:r>
    </w:p>
    <w:p w14:paraId="23F5C7C2" w14:textId="291824A0" w:rsidR="00A719A4" w:rsidRPr="00C4275B" w:rsidRDefault="00A719A4" w:rsidP="0001287C">
      <w:pPr>
        <w:pStyle w:val="Heading6"/>
      </w:pPr>
      <w:r>
        <w:lastRenderedPageBreak/>
        <w:t xml:space="preserve">Figure </w:t>
      </w:r>
      <w:r w:rsidR="000B12BF">
        <w:t>5</w:t>
      </w:r>
      <w:r w:rsidR="00A127E9">
        <w:t>.3e</w:t>
      </w:r>
      <w:r>
        <w:t>. Unmet need for treatment for alcohol in Peterborough and England, by age group.</w:t>
      </w:r>
    </w:p>
    <w:p w14:paraId="7629F685" w14:textId="129D9154" w:rsidR="00A719A4" w:rsidRDefault="00A127E9" w:rsidP="00E00EA2">
      <w:pPr>
        <w:rPr>
          <w:b/>
          <w:bCs/>
        </w:rPr>
      </w:pPr>
      <w:r w:rsidRPr="00C4275B">
        <w:rPr>
          <w:noProof/>
        </w:rPr>
        <w:drawing>
          <wp:inline distT="0" distB="0" distL="0" distR="0" wp14:anchorId="41DD0B86" wp14:editId="10C7925D">
            <wp:extent cx="5431259" cy="3159457"/>
            <wp:effectExtent l="0" t="0" r="17145" b="3175"/>
            <wp:docPr id="706017447" name="Chart 1">
              <a:extLst xmlns:a="http://schemas.openxmlformats.org/drawingml/2006/main">
                <a:ext uri="{FF2B5EF4-FFF2-40B4-BE49-F238E27FC236}">
                  <a16:creationId xmlns:a16="http://schemas.microsoft.com/office/drawing/2014/main" id="{6F51DF57-2902-BCF7-F602-408B9EF68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E54042" w14:textId="2713AB1A" w:rsidR="00DC530C" w:rsidRPr="00DC530C" w:rsidRDefault="00DC530C" w:rsidP="00E00EA2">
      <w:pPr>
        <w:rPr>
          <w:sz w:val="20"/>
          <w:szCs w:val="20"/>
        </w:rPr>
      </w:pPr>
      <w:r w:rsidRPr="00DC530C">
        <w:rPr>
          <w:sz w:val="20"/>
          <w:szCs w:val="20"/>
        </w:rPr>
        <w:t>Source: NDTMS data</w:t>
      </w:r>
      <w:r w:rsidR="00F95A26">
        <w:rPr>
          <w:sz w:val="20"/>
          <w:szCs w:val="20"/>
        </w:rPr>
        <w:t>.</w:t>
      </w:r>
    </w:p>
    <w:p w14:paraId="7F4C0370" w14:textId="2284719A" w:rsidR="00DC530C" w:rsidRDefault="00DC530C" w:rsidP="00DC530C">
      <w:r>
        <w:t>The decrease in u</w:t>
      </w:r>
      <w:r w:rsidRPr="00D65CD4">
        <w:t xml:space="preserve">nmet </w:t>
      </w:r>
      <w:r>
        <w:t>alcohol need in Peterborough from 2022 to 2024 was seen across all age groups</w:t>
      </w:r>
      <w:r w:rsidR="00D62719">
        <w:t xml:space="preserve"> </w:t>
      </w:r>
      <w:r>
        <w:t xml:space="preserve">but was largest amongst older adults (7-12 percentage point reduction) compared with younger </w:t>
      </w:r>
      <w:r w:rsidR="006E1F33">
        <w:t>adult</w:t>
      </w:r>
      <w:r w:rsidR="001D1FEC">
        <w:t>s</w:t>
      </w:r>
      <w:r>
        <w:t xml:space="preserve"> (around 5 percentage point</w:t>
      </w:r>
      <w:r w:rsidR="006E1F33">
        <w:t xml:space="preserve"> reduction</w:t>
      </w:r>
      <w:r>
        <w:t>)</w:t>
      </w:r>
      <w:r w:rsidR="001F11AE">
        <w:t>.</w:t>
      </w:r>
    </w:p>
    <w:p w14:paraId="2EC92932" w14:textId="77777777" w:rsidR="00DC530C" w:rsidRPr="007E2EC9" w:rsidRDefault="00DC530C" w:rsidP="00E00EA2">
      <w:pPr>
        <w:rPr>
          <w:b/>
          <w:bCs/>
        </w:rPr>
      </w:pPr>
    </w:p>
    <w:p w14:paraId="02C9D3D2" w14:textId="77777777" w:rsidR="0018504F" w:rsidRDefault="0018504F" w:rsidP="00E93297">
      <w:pPr>
        <w:rPr>
          <w:b/>
          <w:bCs/>
        </w:rPr>
      </w:pPr>
      <w:r>
        <w:rPr>
          <w:b/>
          <w:bCs/>
        </w:rPr>
        <w:t xml:space="preserve">Unmet Need </w:t>
      </w:r>
      <w:r w:rsidRPr="0072732C">
        <w:rPr>
          <w:b/>
          <w:bCs/>
        </w:rPr>
        <w:t xml:space="preserve">Demographics: </w:t>
      </w:r>
      <w:r w:rsidR="00E93297">
        <w:rPr>
          <w:b/>
          <w:bCs/>
        </w:rPr>
        <w:t xml:space="preserve">Sex </w:t>
      </w:r>
    </w:p>
    <w:p w14:paraId="6BF8138A" w14:textId="42D0D001" w:rsidR="00252AF9" w:rsidRPr="002A17BE" w:rsidRDefault="00956B23" w:rsidP="00E93297">
      <w:r>
        <w:t xml:space="preserve">Unmet need </w:t>
      </w:r>
      <w:r w:rsidR="00C342FF">
        <w:t xml:space="preserve">for alcohol </w:t>
      </w:r>
      <w:r>
        <w:t xml:space="preserve">is estimated to be </w:t>
      </w:r>
      <w:r w:rsidR="00C342FF" w:rsidRPr="00C342FF">
        <w:rPr>
          <w:b/>
          <w:bCs/>
        </w:rPr>
        <w:t>higher</w:t>
      </w:r>
      <w:r w:rsidR="00C342FF">
        <w:t xml:space="preserve"> </w:t>
      </w:r>
      <w:r w:rsidR="00E93297" w:rsidRPr="00D65E9C">
        <w:rPr>
          <w:b/>
          <w:bCs/>
        </w:rPr>
        <w:t>for males than females</w:t>
      </w:r>
      <w:r w:rsidR="005B0665">
        <w:t>,</w:t>
      </w:r>
      <w:r w:rsidR="00E93297" w:rsidRPr="00C4275B">
        <w:t xml:space="preserve"> </w:t>
      </w:r>
      <w:r w:rsidR="00E93297">
        <w:t>both nationally and locally</w:t>
      </w:r>
      <w:r w:rsidR="00E93297" w:rsidRPr="00C4275B">
        <w:t xml:space="preserve">. </w:t>
      </w:r>
      <w:r w:rsidR="005D17F1">
        <w:t>The gap</w:t>
      </w:r>
      <w:r w:rsidR="00E93297" w:rsidRPr="00C4275B">
        <w:t xml:space="preserve"> between males and females</w:t>
      </w:r>
      <w:r w:rsidR="005D17F1">
        <w:t xml:space="preserve"> is smaller in Peterborough than nationally</w:t>
      </w:r>
      <w:r w:rsidR="0018504F">
        <w:t xml:space="preserve">, as shown in Table </w:t>
      </w:r>
      <w:r w:rsidR="005B0665">
        <w:t>5</w:t>
      </w:r>
      <w:r w:rsidR="0018504F">
        <w:t>.3b.</w:t>
      </w:r>
      <w:r w:rsidR="001E1792">
        <w:t xml:space="preserve"> This </w:t>
      </w:r>
      <w:r w:rsidR="003713FA">
        <w:t>gap reduced</w:t>
      </w:r>
      <w:r w:rsidR="002A17BE">
        <w:t xml:space="preserve"> </w:t>
      </w:r>
      <w:r w:rsidR="005B2BE5">
        <w:t xml:space="preserve">as there was </w:t>
      </w:r>
      <w:r w:rsidR="00B53B43">
        <w:t xml:space="preserve">a </w:t>
      </w:r>
      <w:r w:rsidR="001E1792">
        <w:t>gre</w:t>
      </w:r>
      <w:r w:rsidR="00B53B43">
        <w:t>a</w:t>
      </w:r>
      <w:r w:rsidR="001E1792">
        <w:t xml:space="preserve">ter reduction in unmet need </w:t>
      </w:r>
      <w:r w:rsidR="002A17BE">
        <w:t xml:space="preserve">among </w:t>
      </w:r>
      <w:r w:rsidR="001E1792">
        <w:t xml:space="preserve">males </w:t>
      </w:r>
      <w:r w:rsidR="00050634">
        <w:t>between</w:t>
      </w:r>
      <w:r w:rsidR="00B53B43">
        <w:t xml:space="preserve"> 2022</w:t>
      </w:r>
      <w:r w:rsidR="00050634">
        <w:t xml:space="preserve"> and 2024</w:t>
      </w:r>
      <w:r w:rsidR="00B53B43">
        <w:t>.</w:t>
      </w:r>
    </w:p>
    <w:p w14:paraId="73BAA23F" w14:textId="48EA5567" w:rsidR="00E93297" w:rsidRPr="00C4275B" w:rsidRDefault="0018504F" w:rsidP="0018504F">
      <w:pPr>
        <w:pStyle w:val="Heading6"/>
      </w:pPr>
      <w:r>
        <w:t xml:space="preserve">Table </w:t>
      </w:r>
      <w:r w:rsidR="005B0665">
        <w:t>5</w:t>
      </w:r>
      <w:r>
        <w:t xml:space="preserve">.3b. </w:t>
      </w:r>
      <w:r w:rsidR="00E93297" w:rsidRPr="00C4275B">
        <w:t xml:space="preserve">Unmet need </w:t>
      </w:r>
      <w:r>
        <w:t xml:space="preserve">in year ending </w:t>
      </w:r>
      <w:r w:rsidR="00E93297" w:rsidRPr="00C4275B">
        <w:t>March 2024</w:t>
      </w:r>
    </w:p>
    <w:tbl>
      <w:tblPr>
        <w:tblW w:w="47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8"/>
        <w:gridCol w:w="958"/>
        <w:gridCol w:w="960"/>
        <w:gridCol w:w="1177"/>
      </w:tblGrid>
      <w:tr w:rsidR="00E93297" w:rsidRPr="00C4275B" w14:paraId="24152C33" w14:textId="77777777">
        <w:trPr>
          <w:trHeight w:val="300"/>
        </w:trPr>
        <w:tc>
          <w:tcPr>
            <w:tcW w:w="1618" w:type="dxa"/>
            <w:noWrap/>
            <w:vAlign w:val="bottom"/>
            <w:hideMark/>
          </w:tcPr>
          <w:p w14:paraId="59EF2EC4" w14:textId="77777777" w:rsidR="00E93297" w:rsidRPr="00C4275B" w:rsidRDefault="00E93297">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Area</w:t>
            </w:r>
          </w:p>
        </w:tc>
        <w:tc>
          <w:tcPr>
            <w:tcW w:w="958" w:type="dxa"/>
            <w:noWrap/>
            <w:vAlign w:val="bottom"/>
            <w:hideMark/>
          </w:tcPr>
          <w:p w14:paraId="47E1F3FD" w14:textId="77777777" w:rsidR="00E93297" w:rsidRPr="00C4275B" w:rsidRDefault="00E93297">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Male</w:t>
            </w:r>
          </w:p>
        </w:tc>
        <w:tc>
          <w:tcPr>
            <w:tcW w:w="960" w:type="dxa"/>
            <w:noWrap/>
            <w:vAlign w:val="bottom"/>
            <w:hideMark/>
          </w:tcPr>
          <w:p w14:paraId="425A0222" w14:textId="77777777" w:rsidR="00E93297" w:rsidRPr="00C4275B" w:rsidRDefault="00E93297">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Female</w:t>
            </w:r>
          </w:p>
        </w:tc>
        <w:tc>
          <w:tcPr>
            <w:tcW w:w="1177" w:type="dxa"/>
            <w:noWrap/>
            <w:vAlign w:val="bottom"/>
            <w:hideMark/>
          </w:tcPr>
          <w:p w14:paraId="1210A84C" w14:textId="77777777" w:rsidR="00E93297" w:rsidRPr="00C4275B" w:rsidRDefault="00E93297">
            <w:pPr>
              <w:spacing w:after="0" w:line="240" w:lineRule="auto"/>
              <w:rPr>
                <w:rFonts w:ascii="Aptos Narrow" w:eastAsia="Times New Roman" w:hAnsi="Aptos Narrow" w:cs="Times New Roman"/>
                <w:b/>
                <w:bCs/>
                <w:color w:val="000000"/>
                <w:lang w:eastAsia="en-GB"/>
              </w:rPr>
            </w:pPr>
            <w:r w:rsidRPr="00C4275B">
              <w:rPr>
                <w:rFonts w:ascii="Aptos Narrow" w:eastAsia="Times New Roman" w:hAnsi="Aptos Narrow" w:cs="Times New Roman"/>
                <w:b/>
                <w:bCs/>
                <w:color w:val="000000"/>
                <w:lang w:eastAsia="en-GB"/>
              </w:rPr>
              <w:t>Difference</w:t>
            </w:r>
          </w:p>
        </w:tc>
      </w:tr>
      <w:tr w:rsidR="00E93297" w:rsidRPr="00C4275B" w14:paraId="7C99A125" w14:textId="77777777">
        <w:trPr>
          <w:trHeight w:val="300"/>
        </w:trPr>
        <w:tc>
          <w:tcPr>
            <w:tcW w:w="1618" w:type="dxa"/>
            <w:noWrap/>
            <w:vAlign w:val="bottom"/>
            <w:hideMark/>
          </w:tcPr>
          <w:p w14:paraId="5B4D6A08" w14:textId="77777777" w:rsidR="00E93297" w:rsidRPr="00C4275B" w:rsidRDefault="00E93297">
            <w:pPr>
              <w:spacing w:after="0" w:line="240" w:lineRule="auto"/>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England</w:t>
            </w:r>
          </w:p>
        </w:tc>
        <w:tc>
          <w:tcPr>
            <w:tcW w:w="958" w:type="dxa"/>
            <w:noWrap/>
            <w:vAlign w:val="bottom"/>
            <w:hideMark/>
          </w:tcPr>
          <w:p w14:paraId="43E99603" w14:textId="32C3F060"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81.6</w:t>
            </w:r>
            <w:r w:rsidR="0018504F">
              <w:rPr>
                <w:rFonts w:ascii="Aptos Narrow" w:eastAsia="Times New Roman" w:hAnsi="Aptos Narrow" w:cs="Times New Roman"/>
                <w:color w:val="000000"/>
                <w:lang w:eastAsia="en-GB"/>
              </w:rPr>
              <w:t>%</w:t>
            </w:r>
          </w:p>
        </w:tc>
        <w:tc>
          <w:tcPr>
            <w:tcW w:w="960" w:type="dxa"/>
            <w:noWrap/>
            <w:vAlign w:val="bottom"/>
            <w:hideMark/>
          </w:tcPr>
          <w:p w14:paraId="732CDA83" w14:textId="103959F8"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65.2</w:t>
            </w:r>
            <w:r w:rsidR="0018504F">
              <w:rPr>
                <w:rFonts w:ascii="Aptos Narrow" w:eastAsia="Times New Roman" w:hAnsi="Aptos Narrow" w:cs="Times New Roman"/>
                <w:color w:val="000000"/>
                <w:lang w:eastAsia="en-GB"/>
              </w:rPr>
              <w:t>%</w:t>
            </w:r>
          </w:p>
        </w:tc>
        <w:tc>
          <w:tcPr>
            <w:tcW w:w="1177" w:type="dxa"/>
            <w:noWrap/>
            <w:vAlign w:val="bottom"/>
            <w:hideMark/>
          </w:tcPr>
          <w:p w14:paraId="1AC7C33C" w14:textId="77777777"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16.4</w:t>
            </w:r>
          </w:p>
        </w:tc>
      </w:tr>
      <w:tr w:rsidR="00E93297" w:rsidRPr="00C4275B" w14:paraId="485DEB27" w14:textId="77777777">
        <w:trPr>
          <w:trHeight w:val="300"/>
        </w:trPr>
        <w:tc>
          <w:tcPr>
            <w:tcW w:w="1618" w:type="dxa"/>
            <w:noWrap/>
            <w:vAlign w:val="bottom"/>
            <w:hideMark/>
          </w:tcPr>
          <w:p w14:paraId="2CC80C2B" w14:textId="77777777" w:rsidR="00E93297" w:rsidRPr="00C4275B" w:rsidRDefault="00E93297">
            <w:pPr>
              <w:spacing w:after="0" w:line="240" w:lineRule="auto"/>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Peterborough</w:t>
            </w:r>
          </w:p>
        </w:tc>
        <w:tc>
          <w:tcPr>
            <w:tcW w:w="958" w:type="dxa"/>
            <w:noWrap/>
            <w:vAlign w:val="bottom"/>
            <w:hideMark/>
          </w:tcPr>
          <w:p w14:paraId="11878DB0" w14:textId="21E95A49"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71.6</w:t>
            </w:r>
            <w:r w:rsidR="0018504F">
              <w:rPr>
                <w:rFonts w:ascii="Aptos Narrow" w:eastAsia="Times New Roman" w:hAnsi="Aptos Narrow" w:cs="Times New Roman"/>
                <w:color w:val="000000"/>
                <w:lang w:eastAsia="en-GB"/>
              </w:rPr>
              <w:t>%</w:t>
            </w:r>
          </w:p>
        </w:tc>
        <w:tc>
          <w:tcPr>
            <w:tcW w:w="960" w:type="dxa"/>
            <w:noWrap/>
            <w:vAlign w:val="bottom"/>
            <w:hideMark/>
          </w:tcPr>
          <w:p w14:paraId="18535808" w14:textId="033D4275"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65.8</w:t>
            </w:r>
            <w:r w:rsidR="0018504F">
              <w:rPr>
                <w:rFonts w:ascii="Aptos Narrow" w:eastAsia="Times New Roman" w:hAnsi="Aptos Narrow" w:cs="Times New Roman"/>
                <w:color w:val="000000"/>
                <w:lang w:eastAsia="en-GB"/>
              </w:rPr>
              <w:t>%</w:t>
            </w:r>
          </w:p>
        </w:tc>
        <w:tc>
          <w:tcPr>
            <w:tcW w:w="1177" w:type="dxa"/>
            <w:noWrap/>
            <w:vAlign w:val="bottom"/>
            <w:hideMark/>
          </w:tcPr>
          <w:p w14:paraId="5064DC22" w14:textId="77777777" w:rsidR="00E93297" w:rsidRPr="00C4275B" w:rsidRDefault="00E93297">
            <w:pPr>
              <w:spacing w:after="0" w:line="240" w:lineRule="auto"/>
              <w:jc w:val="right"/>
              <w:rPr>
                <w:rFonts w:ascii="Aptos Narrow" w:eastAsia="Times New Roman" w:hAnsi="Aptos Narrow" w:cs="Times New Roman"/>
                <w:color w:val="000000"/>
                <w:lang w:eastAsia="en-GB"/>
              </w:rPr>
            </w:pPr>
            <w:r w:rsidRPr="00C4275B">
              <w:rPr>
                <w:rFonts w:ascii="Aptos Narrow" w:eastAsia="Times New Roman" w:hAnsi="Aptos Narrow" w:cs="Times New Roman"/>
                <w:color w:val="000000"/>
                <w:lang w:eastAsia="en-GB"/>
              </w:rPr>
              <w:t>5.8</w:t>
            </w:r>
          </w:p>
        </w:tc>
      </w:tr>
    </w:tbl>
    <w:p w14:paraId="1569E64F" w14:textId="76B918CF" w:rsidR="00857408" w:rsidRPr="00301DA6" w:rsidRDefault="00857408" w:rsidP="00857408">
      <w:pPr>
        <w:spacing w:line="256" w:lineRule="auto"/>
        <w:rPr>
          <w:rFonts w:ascii="Aptos" w:eastAsia="Aptos" w:hAnsi="Aptos" w:cs="Times New Roman"/>
          <w:sz w:val="18"/>
          <w:szCs w:val="18"/>
        </w:rPr>
      </w:pPr>
    </w:p>
    <w:p w14:paraId="433BB983" w14:textId="77777777" w:rsidR="00354748" w:rsidRDefault="00354748" w:rsidP="00354748">
      <w:pPr>
        <w:pStyle w:val="Heading3"/>
      </w:pPr>
      <w:bookmarkStart w:id="54" w:name="_Toc200479487"/>
      <w:r>
        <w:t>Recommendations</w:t>
      </w:r>
      <w:bookmarkEnd w:id="54"/>
    </w:p>
    <w:p w14:paraId="0954BF1C" w14:textId="49684889" w:rsidR="004E599F" w:rsidRDefault="0078235B" w:rsidP="004E599F">
      <w:pPr>
        <w:pStyle w:val="Heading7"/>
      </w:pPr>
      <w:r w:rsidRPr="0078235B">
        <w:t xml:space="preserve">Recommendation </w:t>
      </w:r>
      <w:r w:rsidR="00B34FA4">
        <w:t>3</w:t>
      </w:r>
    </w:p>
    <w:p w14:paraId="5324082C" w14:textId="77777777" w:rsidR="00516886" w:rsidRDefault="00516886" w:rsidP="0078235B">
      <w:r w:rsidRPr="00516886">
        <w:t>Unmet need for alcohol treatment in Peterborough remains high, exceeding 60% across all adults and disproportionately affecting younger adults. To address this, services should enhance early identification and engagement efforts, particularly among younger adults. This may include targeted community engagement initiatives and collaborations with local youth organisations to raise awareness and encourage individuals to seek help.</w:t>
      </w:r>
    </w:p>
    <w:p w14:paraId="7BC80C34" w14:textId="0D232E4A" w:rsidR="00726CF8" w:rsidRDefault="00BE78D6" w:rsidP="0078235B">
      <w:r w:rsidRPr="00BE78D6">
        <w:lastRenderedPageBreak/>
        <w:t xml:space="preserve">Improved pathways between healthcare, social services, and specialist treatment are </w:t>
      </w:r>
      <w:r w:rsidR="00030F8A">
        <w:t>essential</w:t>
      </w:r>
      <w:r>
        <w:t>, while e</w:t>
      </w:r>
      <w:r w:rsidRPr="00BE78D6">
        <w:t xml:space="preserve">xpanding access to flexible, low-threshold support options may also help reduce barriers to treatment. </w:t>
      </w:r>
    </w:p>
    <w:p w14:paraId="1AB5345A" w14:textId="01188856" w:rsidR="00AE61A0" w:rsidRDefault="00BE78D6" w:rsidP="0078235B">
      <w:r w:rsidRPr="00F13AB8">
        <w:t xml:space="preserve">The service model should </w:t>
      </w:r>
      <w:r w:rsidR="00F86BD2" w:rsidRPr="00F13AB8">
        <w:t xml:space="preserve">also explore </w:t>
      </w:r>
      <w:r w:rsidR="003920F7" w:rsidRPr="00F13AB8">
        <w:t xml:space="preserve">whether alcohol treatment </w:t>
      </w:r>
      <w:r w:rsidR="00507A03" w:rsidRPr="00F13AB8">
        <w:t xml:space="preserve">or aspects of the service </w:t>
      </w:r>
      <w:r w:rsidR="003920F7" w:rsidRPr="00F13AB8">
        <w:t xml:space="preserve">could be </w:t>
      </w:r>
      <w:r w:rsidR="00582C2E" w:rsidRPr="00F13AB8">
        <w:t xml:space="preserve">structured separately </w:t>
      </w:r>
      <w:r w:rsidR="00B55C1E" w:rsidRPr="00F13AB8">
        <w:t xml:space="preserve">from drug services </w:t>
      </w:r>
      <w:r w:rsidR="00BD7A34" w:rsidRPr="00F13AB8">
        <w:t>within the existing system</w:t>
      </w:r>
      <w:r w:rsidR="004321C4" w:rsidRPr="00F13AB8">
        <w:t xml:space="preserve">, </w:t>
      </w:r>
      <w:r w:rsidR="00D75900" w:rsidRPr="00F13AB8">
        <w:t xml:space="preserve">which </w:t>
      </w:r>
      <w:r w:rsidR="00F13AB8" w:rsidRPr="00F13AB8">
        <w:t xml:space="preserve">could help </w:t>
      </w:r>
      <w:r w:rsidR="00EB577D" w:rsidRPr="00F13AB8">
        <w:t xml:space="preserve">remove </w:t>
      </w:r>
      <w:r w:rsidR="00F13AB8" w:rsidRPr="00F13AB8">
        <w:t xml:space="preserve">the </w:t>
      </w:r>
      <w:r w:rsidR="00EB577D" w:rsidRPr="00F13AB8">
        <w:t>barrier of stigma</w:t>
      </w:r>
      <w:r w:rsidR="00CF5C4F" w:rsidRPr="00F13AB8">
        <w:t>.</w:t>
      </w:r>
      <w:r w:rsidR="00AE61A0">
        <w:br w:type="page"/>
      </w:r>
    </w:p>
    <w:p w14:paraId="65B36871" w14:textId="441FEAAA" w:rsidR="004121FA" w:rsidRPr="004121FA" w:rsidRDefault="00EE0BAD" w:rsidP="004121FA">
      <w:pPr>
        <w:pStyle w:val="Heading2"/>
      </w:pPr>
      <w:bookmarkStart w:id="55" w:name="_Toc200479488"/>
      <w:r>
        <w:lastRenderedPageBreak/>
        <w:t xml:space="preserve">Peterborough; </w:t>
      </w:r>
      <w:r w:rsidR="00AE61A0">
        <w:t>S</w:t>
      </w:r>
      <w:r w:rsidR="004121FA">
        <w:t>ervice User Demographics</w:t>
      </w:r>
      <w:bookmarkEnd w:id="55"/>
    </w:p>
    <w:p w14:paraId="7820A545" w14:textId="77777777" w:rsidR="004121FA" w:rsidRDefault="004121FA" w:rsidP="004121FA">
      <w:r w:rsidRPr="00646A2C">
        <w:t>Analysi</w:t>
      </w:r>
      <w:r>
        <w:t xml:space="preserve">s of </w:t>
      </w:r>
      <w:r w:rsidRPr="00462661">
        <w:rPr>
          <w:b/>
          <w:bCs/>
        </w:rPr>
        <w:t>additional demographics</w:t>
      </w:r>
      <w:r w:rsidRPr="00646A2C">
        <w:t xml:space="preserve"> of service users </w:t>
      </w:r>
      <w:r>
        <w:t xml:space="preserve">is presented in this section, for drugs and alcohol combined. This </w:t>
      </w:r>
      <w:r w:rsidRPr="00646A2C">
        <w:t xml:space="preserve">aims to </w:t>
      </w:r>
      <w:r>
        <w:t xml:space="preserve">inform an </w:t>
      </w:r>
      <w:r w:rsidRPr="00646A2C">
        <w:t xml:space="preserve">understanding </w:t>
      </w:r>
      <w:r>
        <w:t xml:space="preserve">of </w:t>
      </w:r>
      <w:r w:rsidRPr="00646A2C">
        <w:t xml:space="preserve">how different groups access services, </w:t>
      </w:r>
      <w:r>
        <w:t xml:space="preserve">to allow </w:t>
      </w:r>
      <w:r w:rsidRPr="00646A2C">
        <w:t>better target</w:t>
      </w:r>
      <w:r>
        <w:t xml:space="preserve">ing of </w:t>
      </w:r>
      <w:r w:rsidRPr="00646A2C">
        <w:t>resources where they are most needed</w:t>
      </w:r>
      <w:r>
        <w:t>.</w:t>
      </w:r>
    </w:p>
    <w:p w14:paraId="17714952" w14:textId="0F23432E" w:rsidR="004121FA" w:rsidRDefault="00DF4950" w:rsidP="004121FA">
      <w:pPr>
        <w:rPr>
          <w:b/>
          <w:bCs/>
        </w:rPr>
      </w:pPr>
      <w:r>
        <w:rPr>
          <w:b/>
          <w:bCs/>
        </w:rPr>
        <w:t xml:space="preserve">Service User Demographics: </w:t>
      </w:r>
      <w:r w:rsidR="004121FA">
        <w:rPr>
          <w:b/>
          <w:bCs/>
        </w:rPr>
        <w:t>Age</w:t>
      </w:r>
    </w:p>
    <w:p w14:paraId="7FD3265D" w14:textId="16FA5EFB" w:rsidR="00F54777" w:rsidRDefault="00F54777" w:rsidP="00F54777">
      <w:r>
        <w:t xml:space="preserve">As noted above, the distribution of service users by age reveals </w:t>
      </w:r>
      <w:r w:rsidRPr="00462661">
        <w:rPr>
          <w:b/>
          <w:bCs/>
        </w:rPr>
        <w:t>distinct patterns across substance groups</w:t>
      </w:r>
      <w:r>
        <w:t>. In the year ending March 2024:</w:t>
      </w:r>
    </w:p>
    <w:p w14:paraId="45CE07CE" w14:textId="77777777" w:rsidR="00F54777" w:rsidRDefault="00F54777" w:rsidP="00F54777">
      <w:pPr>
        <w:pStyle w:val="ListParagraph"/>
        <w:numPr>
          <w:ilvl w:val="0"/>
          <w:numId w:val="1"/>
        </w:numPr>
      </w:pPr>
      <w:r w:rsidRPr="00F54777">
        <w:rPr>
          <w:b/>
          <w:bCs/>
        </w:rPr>
        <w:t>Adults over 50</w:t>
      </w:r>
      <w:r>
        <w:t>: The largest group was receiving treatment for alcohol-related issues, followed by treatment for opiates, and then for a combination of opiates and crack.</w:t>
      </w:r>
    </w:p>
    <w:p w14:paraId="72B27FE3" w14:textId="77777777" w:rsidR="00F54777" w:rsidRDefault="00F54777">
      <w:pPr>
        <w:pStyle w:val="ListParagraph"/>
        <w:numPr>
          <w:ilvl w:val="0"/>
          <w:numId w:val="1"/>
        </w:numPr>
      </w:pPr>
      <w:r w:rsidRPr="00F54777">
        <w:rPr>
          <w:b/>
          <w:bCs/>
        </w:rPr>
        <w:t>Adults aged 30–49</w:t>
      </w:r>
      <w:r>
        <w:t>: Service users were more evenly distributed across the various substance groups.</w:t>
      </w:r>
    </w:p>
    <w:p w14:paraId="79085501" w14:textId="1693E7B8" w:rsidR="009A5C80" w:rsidRDefault="00F54777" w:rsidP="0032568F">
      <w:pPr>
        <w:pStyle w:val="ListParagraph"/>
        <w:numPr>
          <w:ilvl w:val="0"/>
          <w:numId w:val="1"/>
        </w:numPr>
      </w:pPr>
      <w:r w:rsidRPr="00F54777">
        <w:rPr>
          <w:b/>
          <w:bCs/>
        </w:rPr>
        <w:t>Young adults aged 18–29</w:t>
      </w:r>
      <w:r>
        <w:t>: The highest numbers were in treatment for non-opiate substances, with or without alcohol.</w:t>
      </w:r>
      <w:r w:rsidR="009A5C80">
        <w:t xml:space="preserve"> </w:t>
      </w:r>
    </w:p>
    <w:p w14:paraId="626D08F1" w14:textId="6BAE0C78" w:rsidR="004121FA" w:rsidRDefault="004121FA" w:rsidP="004121FA">
      <w:r>
        <w:t xml:space="preserve">This is shown in Figure </w:t>
      </w:r>
      <w:r w:rsidR="00D95285">
        <w:t>5</w:t>
      </w:r>
      <w:r>
        <w:t>.</w:t>
      </w:r>
      <w:r w:rsidR="00DF2384">
        <w:t>4a</w:t>
      </w:r>
      <w:r>
        <w:t>.</w:t>
      </w:r>
    </w:p>
    <w:p w14:paraId="0BFCEC0E" w14:textId="0BB3B023" w:rsidR="004121FA" w:rsidRDefault="004121FA" w:rsidP="004121FA">
      <w:pPr>
        <w:pStyle w:val="Heading6"/>
      </w:pPr>
      <w:r>
        <w:t xml:space="preserve">Figure </w:t>
      </w:r>
      <w:r w:rsidR="00D95285">
        <w:t>5</w:t>
      </w:r>
      <w:r>
        <w:t>.</w:t>
      </w:r>
      <w:r w:rsidR="00DF2384">
        <w:t>4a</w:t>
      </w:r>
      <w:r>
        <w:t>. Substance use profile by age in Peterborough</w:t>
      </w:r>
    </w:p>
    <w:p w14:paraId="00F89B26" w14:textId="77777777" w:rsidR="004121FA" w:rsidRDefault="004121FA" w:rsidP="004121FA">
      <w:r>
        <w:rPr>
          <w:noProof/>
        </w:rPr>
        <w:drawing>
          <wp:inline distT="0" distB="0" distL="0" distR="0" wp14:anchorId="66BE7E47" wp14:editId="04BB582C">
            <wp:extent cx="5618611" cy="3039497"/>
            <wp:effectExtent l="0" t="0" r="1270" b="8890"/>
            <wp:docPr id="1045164948" name="Picture 3" descr="A graph with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64948" name="Picture 3" descr="A graph with colorful square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2736" cy="3052548"/>
                    </a:xfrm>
                    <a:prstGeom prst="rect">
                      <a:avLst/>
                    </a:prstGeom>
                    <a:noFill/>
                  </pic:spPr>
                </pic:pic>
              </a:graphicData>
            </a:graphic>
          </wp:inline>
        </w:drawing>
      </w:r>
    </w:p>
    <w:p w14:paraId="1D70AAD3" w14:textId="28ECAB87" w:rsidR="004121FA" w:rsidRPr="00DF2384" w:rsidRDefault="004121FA" w:rsidP="004121FA">
      <w:pPr>
        <w:rPr>
          <w:sz w:val="20"/>
          <w:szCs w:val="20"/>
        </w:rPr>
      </w:pPr>
      <w:r w:rsidRPr="00CC70B8">
        <w:rPr>
          <w:sz w:val="20"/>
          <w:szCs w:val="20"/>
        </w:rPr>
        <w:t>Source: NDTMS</w:t>
      </w:r>
      <w:r w:rsidR="00DF2384">
        <w:rPr>
          <w:sz w:val="20"/>
          <w:szCs w:val="20"/>
        </w:rPr>
        <w:t xml:space="preserve"> data.</w:t>
      </w:r>
    </w:p>
    <w:p w14:paraId="0470CFB0" w14:textId="1D193737" w:rsidR="00AF552A" w:rsidRPr="00CF1505" w:rsidRDefault="00CF1505" w:rsidP="00CF1505">
      <w:pPr>
        <w:rPr>
          <w:b/>
          <w:bCs/>
        </w:rPr>
      </w:pPr>
      <w:r w:rsidRPr="00CF1505">
        <w:rPr>
          <w:b/>
          <w:bCs/>
        </w:rPr>
        <w:t>Substance Use Trends</w:t>
      </w:r>
      <w:r>
        <w:rPr>
          <w:b/>
          <w:bCs/>
        </w:rPr>
        <w:t xml:space="preserve"> by Age</w:t>
      </w:r>
      <w:r w:rsidRPr="00CF1505">
        <w:rPr>
          <w:b/>
          <w:bCs/>
        </w:rPr>
        <w:t>: Non-opiates</w:t>
      </w:r>
      <w:r w:rsidR="00AF552A" w:rsidRPr="00CF1505">
        <w:rPr>
          <w:b/>
          <w:bCs/>
        </w:rPr>
        <w:t xml:space="preserve"> </w:t>
      </w:r>
    </w:p>
    <w:p w14:paraId="5C7F03BD" w14:textId="6AF688BA" w:rsidR="00B333A2" w:rsidRDefault="00AF552A" w:rsidP="00AF552A">
      <w:r>
        <w:t xml:space="preserve">Further </w:t>
      </w:r>
      <w:r w:rsidRPr="00EB0DF2">
        <w:t xml:space="preserve">analysis </w:t>
      </w:r>
      <w:r w:rsidR="00B333A2">
        <w:t>of the</w:t>
      </w:r>
      <w:r w:rsidRPr="00EB0DF2">
        <w:t xml:space="preserve"> ‘top three’ problem substances</w:t>
      </w:r>
      <w:r>
        <w:t xml:space="preserve"> </w:t>
      </w:r>
      <w:r w:rsidR="00B333A2">
        <w:t xml:space="preserve">reported by service users in Peterborough reveals distinct </w:t>
      </w:r>
      <w:r w:rsidRPr="00462661">
        <w:rPr>
          <w:b/>
          <w:bCs/>
        </w:rPr>
        <w:t>age-</w:t>
      </w:r>
      <w:r w:rsidR="00B333A2" w:rsidRPr="00462661">
        <w:rPr>
          <w:b/>
          <w:bCs/>
        </w:rPr>
        <w:t xml:space="preserve">related </w:t>
      </w:r>
      <w:r w:rsidRPr="00462661">
        <w:rPr>
          <w:b/>
          <w:bCs/>
        </w:rPr>
        <w:t>trends</w:t>
      </w:r>
      <w:r w:rsidR="00395DCE">
        <w:t>:</w:t>
      </w:r>
    </w:p>
    <w:p w14:paraId="27CB6741" w14:textId="328D6ACF" w:rsidR="00D83530" w:rsidRDefault="00AF552A" w:rsidP="009F08E3">
      <w:pPr>
        <w:pStyle w:val="ListParagraph"/>
        <w:numPr>
          <w:ilvl w:val="0"/>
          <w:numId w:val="1"/>
        </w:numPr>
      </w:pPr>
      <w:r w:rsidRPr="009F08E3">
        <w:rPr>
          <w:b/>
          <w:bCs/>
        </w:rPr>
        <w:t>Cannabis</w:t>
      </w:r>
      <w:r w:rsidRPr="007D1A23">
        <w:t xml:space="preserve"> </w:t>
      </w:r>
      <w:r w:rsidR="00D83530">
        <w:t>a</w:t>
      </w:r>
      <w:r w:rsidR="00C27F37">
        <w:t xml:space="preserve">ccounts for </w:t>
      </w:r>
      <w:r w:rsidR="00C27F37" w:rsidRPr="009F08E3">
        <w:rPr>
          <w:b/>
          <w:bCs/>
        </w:rPr>
        <w:t xml:space="preserve">just over half of substances cited </w:t>
      </w:r>
      <w:r w:rsidRPr="009F08E3">
        <w:rPr>
          <w:b/>
          <w:bCs/>
        </w:rPr>
        <w:t>among 18–24-year-olds</w:t>
      </w:r>
      <w:r w:rsidR="00D83530" w:rsidRPr="009F08E3">
        <w:rPr>
          <w:b/>
          <w:bCs/>
        </w:rPr>
        <w:t xml:space="preserve">. </w:t>
      </w:r>
      <w:r w:rsidR="00C27F37">
        <w:t>T</w:t>
      </w:r>
      <w:r>
        <w:t xml:space="preserve">his </w:t>
      </w:r>
      <w:r w:rsidRPr="007D1A23">
        <w:t>declines to around one-third in older age groups.</w:t>
      </w:r>
      <w:r>
        <w:t xml:space="preserve"> </w:t>
      </w:r>
    </w:p>
    <w:p w14:paraId="0B434F96" w14:textId="6D226895" w:rsidR="00D83530" w:rsidRDefault="00AF552A" w:rsidP="009F08E3">
      <w:pPr>
        <w:pStyle w:val="ListParagraph"/>
        <w:numPr>
          <w:ilvl w:val="0"/>
          <w:numId w:val="1"/>
        </w:numPr>
      </w:pPr>
      <w:r w:rsidRPr="009F08E3">
        <w:rPr>
          <w:b/>
          <w:bCs/>
        </w:rPr>
        <w:t xml:space="preserve">Powdered cocaine </w:t>
      </w:r>
      <w:r w:rsidR="00D83530" w:rsidRPr="00D83530">
        <w:t>m</w:t>
      </w:r>
      <w:r w:rsidR="00877DE5">
        <w:t xml:space="preserve">akes up approximately </w:t>
      </w:r>
      <w:r w:rsidRPr="009F08E3">
        <w:rPr>
          <w:b/>
          <w:bCs/>
        </w:rPr>
        <w:t>20% of substances cited by younger adults</w:t>
      </w:r>
      <w:r w:rsidR="00D83530">
        <w:t xml:space="preserve">. </w:t>
      </w:r>
      <w:r w:rsidR="00877DE5">
        <w:t xml:space="preserve">This declines </w:t>
      </w:r>
      <w:r w:rsidRPr="00C54588">
        <w:t xml:space="preserve">to around 10% </w:t>
      </w:r>
      <w:r>
        <w:t xml:space="preserve">for </w:t>
      </w:r>
      <w:r w:rsidRPr="00C54588">
        <w:t xml:space="preserve">those aged 45 and over. </w:t>
      </w:r>
    </w:p>
    <w:p w14:paraId="27CFB887" w14:textId="546CEBAC" w:rsidR="000301B2" w:rsidRDefault="00877DE5" w:rsidP="009F08E3">
      <w:pPr>
        <w:pStyle w:val="ListParagraph"/>
        <w:numPr>
          <w:ilvl w:val="0"/>
          <w:numId w:val="1"/>
        </w:numPr>
      </w:pPr>
      <w:r w:rsidRPr="009F08E3">
        <w:rPr>
          <w:b/>
          <w:bCs/>
        </w:rPr>
        <w:t>C</w:t>
      </w:r>
      <w:r w:rsidR="00AF552A" w:rsidRPr="009F08E3">
        <w:rPr>
          <w:b/>
          <w:bCs/>
        </w:rPr>
        <w:t xml:space="preserve">rack cocaine </w:t>
      </w:r>
      <w:r w:rsidR="00D83530" w:rsidRPr="00D83530">
        <w:t>is c</w:t>
      </w:r>
      <w:r>
        <w:t xml:space="preserve">ited by around </w:t>
      </w:r>
      <w:r w:rsidR="00AF552A" w:rsidRPr="00C54588">
        <w:t>1</w:t>
      </w:r>
      <w:r w:rsidR="00AF552A">
        <w:t>3</w:t>
      </w:r>
      <w:r w:rsidR="00AF552A" w:rsidRPr="00C54588">
        <w:t xml:space="preserve">% </w:t>
      </w:r>
      <w:r w:rsidR="00395DCE">
        <w:t>of users</w:t>
      </w:r>
      <w:r w:rsidR="00D83530">
        <w:t xml:space="preserve">. This </w:t>
      </w:r>
      <w:r w:rsidR="000301B2">
        <w:t>proportion r</w:t>
      </w:r>
      <w:r w:rsidR="00395DCE">
        <w:t xml:space="preserve">ises to approximately </w:t>
      </w:r>
      <w:r w:rsidR="00AF552A" w:rsidRPr="009F08E3">
        <w:rPr>
          <w:b/>
          <w:bCs/>
        </w:rPr>
        <w:t xml:space="preserve">38% </w:t>
      </w:r>
      <w:r w:rsidR="00395DCE" w:rsidRPr="000301B2">
        <w:t>of substances cited</w:t>
      </w:r>
      <w:r w:rsidR="00395DCE" w:rsidRPr="009F08E3">
        <w:rPr>
          <w:b/>
          <w:bCs/>
        </w:rPr>
        <w:t xml:space="preserve"> </w:t>
      </w:r>
      <w:r w:rsidR="00AF552A" w:rsidRPr="009F08E3">
        <w:rPr>
          <w:b/>
          <w:bCs/>
        </w:rPr>
        <w:t>in the over-45 age</w:t>
      </w:r>
      <w:r w:rsidR="00AF552A" w:rsidRPr="00C54588">
        <w:t xml:space="preserve"> group.</w:t>
      </w:r>
    </w:p>
    <w:p w14:paraId="17780864" w14:textId="77777777" w:rsidR="0053105A" w:rsidRDefault="004842C9" w:rsidP="0053105A">
      <w:r>
        <w:lastRenderedPageBreak/>
        <w:t xml:space="preserve">Other substances </w:t>
      </w:r>
      <w:r w:rsidR="000301B2">
        <w:t xml:space="preserve">that </w:t>
      </w:r>
      <w:r>
        <w:t>show notable age-specific trends</w:t>
      </w:r>
      <w:r w:rsidR="000301B2">
        <w:t xml:space="preserve"> include</w:t>
      </w:r>
      <w:r w:rsidR="004418FB">
        <w:t>:</w:t>
      </w:r>
      <w:r w:rsidR="000301B2">
        <w:t xml:space="preserve"> </w:t>
      </w:r>
    </w:p>
    <w:p w14:paraId="0FEADD44" w14:textId="77777777" w:rsidR="0053105A" w:rsidRDefault="000301B2" w:rsidP="0053105A">
      <w:pPr>
        <w:pStyle w:val="ListParagraph"/>
        <w:numPr>
          <w:ilvl w:val="0"/>
          <w:numId w:val="1"/>
        </w:numPr>
      </w:pPr>
      <w:r w:rsidRPr="0053105A">
        <w:rPr>
          <w:b/>
          <w:bCs/>
        </w:rPr>
        <w:t>K</w:t>
      </w:r>
      <w:r w:rsidR="004842C9" w:rsidRPr="0053105A">
        <w:rPr>
          <w:b/>
          <w:bCs/>
        </w:rPr>
        <w:t>etamine and Ecstasy</w:t>
      </w:r>
      <w:r>
        <w:t>, which is r</w:t>
      </w:r>
      <w:r w:rsidR="004842C9">
        <w:t xml:space="preserve">eported by 3–5% of service users in the </w:t>
      </w:r>
      <w:r w:rsidR="004842C9" w:rsidRPr="0053105A">
        <w:rPr>
          <w:b/>
          <w:bCs/>
        </w:rPr>
        <w:t>18–24 age group</w:t>
      </w:r>
      <w:r w:rsidR="004842C9">
        <w:t xml:space="preserve"> but rarely mentioned by older cohorts.</w:t>
      </w:r>
    </w:p>
    <w:p w14:paraId="0D2C6966" w14:textId="77777777" w:rsidR="0053105A" w:rsidRDefault="004842C9" w:rsidP="0053105A">
      <w:pPr>
        <w:pStyle w:val="ListParagraph"/>
        <w:numPr>
          <w:ilvl w:val="0"/>
          <w:numId w:val="1"/>
        </w:numPr>
      </w:pPr>
      <w:r w:rsidRPr="0053105A">
        <w:rPr>
          <w:b/>
          <w:bCs/>
        </w:rPr>
        <w:t>Amphetamines and Benzodiazepines</w:t>
      </w:r>
      <w:r w:rsidR="004418FB">
        <w:t xml:space="preserve"> which b</w:t>
      </w:r>
      <w:r>
        <w:t xml:space="preserve">ecome increasingly </w:t>
      </w:r>
      <w:r w:rsidRPr="0053105A">
        <w:rPr>
          <w:b/>
          <w:bCs/>
        </w:rPr>
        <w:t>prominent with age</w:t>
      </w:r>
      <w:r>
        <w:t>, particularly among those aged 45, where they account for 6–7% of citations.</w:t>
      </w:r>
    </w:p>
    <w:p w14:paraId="05F0AF88" w14:textId="1ED5DA82" w:rsidR="004842C9" w:rsidRDefault="004842C9" w:rsidP="0053105A">
      <w:pPr>
        <w:pStyle w:val="ListParagraph"/>
        <w:numPr>
          <w:ilvl w:val="0"/>
          <w:numId w:val="1"/>
        </w:numPr>
      </w:pPr>
      <w:r w:rsidRPr="0053105A">
        <w:rPr>
          <w:b/>
          <w:bCs/>
        </w:rPr>
        <w:t>GABA and Codeine</w:t>
      </w:r>
      <w:r w:rsidR="004418FB">
        <w:t xml:space="preserve"> which are </w:t>
      </w:r>
      <w:r w:rsidR="004418FB" w:rsidRPr="0053105A">
        <w:rPr>
          <w:b/>
          <w:bCs/>
        </w:rPr>
        <w:t>c</w:t>
      </w:r>
      <w:r w:rsidRPr="0053105A">
        <w:rPr>
          <w:b/>
          <w:bCs/>
        </w:rPr>
        <w:t>ited consistently</w:t>
      </w:r>
      <w:r>
        <w:t xml:space="preserve"> across all age groups, though they remain relatively infrequent at about 1–2%.</w:t>
      </w:r>
    </w:p>
    <w:p w14:paraId="7FEC2EB1" w14:textId="384775C5" w:rsidR="004842C9" w:rsidRDefault="004842C9" w:rsidP="004842C9">
      <w:r>
        <w:t>While small numbers require caution in over-interpreting trends</w:t>
      </w:r>
      <w:r w:rsidR="000C37B6">
        <w:t xml:space="preserve"> over time</w:t>
      </w:r>
      <w:r>
        <w:t xml:space="preserve">, the data </w:t>
      </w:r>
      <w:r w:rsidRPr="00462661">
        <w:rPr>
          <w:b/>
          <w:bCs/>
        </w:rPr>
        <w:t>consistently indicate relative increases in the citation of cocaine (both powdered and crack) and ketamine</w:t>
      </w:r>
      <w:r>
        <w:t xml:space="preserve"> among service users in treatment.</w:t>
      </w:r>
    </w:p>
    <w:p w14:paraId="5C48EB3E" w14:textId="4EBEC890" w:rsidR="00BF2428" w:rsidRDefault="00BF2428" w:rsidP="00F548E9">
      <w:r>
        <w:t xml:space="preserve">These patterns underscore the need for </w:t>
      </w:r>
      <w:r w:rsidRPr="16F14F99">
        <w:rPr>
          <w:b/>
          <w:bCs/>
        </w:rPr>
        <w:t>vigilant monitoring</w:t>
      </w:r>
      <w:r>
        <w:t xml:space="preserve"> and the development of </w:t>
      </w:r>
      <w:r w:rsidRPr="16F14F99">
        <w:rPr>
          <w:b/>
          <w:bCs/>
        </w:rPr>
        <w:t xml:space="preserve">targeted interventions and harm reduction strategies </w:t>
      </w:r>
      <w:r>
        <w:t>tailored to the specific risks associated with different age groups.</w:t>
      </w:r>
      <w:r w:rsidR="00F548E9">
        <w:t xml:space="preserve"> </w:t>
      </w:r>
      <w:r w:rsidR="00F548E9" w:rsidRPr="16F14F99">
        <w:rPr>
          <w:b/>
          <w:bCs/>
        </w:rPr>
        <w:t>Cocaine</w:t>
      </w:r>
      <w:r w:rsidR="00F548E9">
        <w:t xml:space="preserve"> use among younger adults is particularly concerning, given its </w:t>
      </w:r>
      <w:r w:rsidR="00F548E9" w:rsidRPr="16F14F99">
        <w:rPr>
          <w:b/>
          <w:bCs/>
        </w:rPr>
        <w:t>increasing role in drug-related deaths</w:t>
      </w:r>
      <w:r w:rsidR="00F548E9">
        <w:t xml:space="preserve">. </w:t>
      </w:r>
      <w:r>
        <w:t>Substances like ketamine and ecstasy also pose significant risks</w:t>
      </w:r>
      <w:r w:rsidR="00F548E9">
        <w:t xml:space="preserve"> in this cohort. For older adults, </w:t>
      </w:r>
      <w:r w:rsidR="00315CFC">
        <w:t xml:space="preserve">both </w:t>
      </w:r>
      <w:r w:rsidR="00F548E9">
        <w:t>t</w:t>
      </w:r>
      <w:r>
        <w:t xml:space="preserve">he growing prominence of crack cocaine </w:t>
      </w:r>
      <w:r w:rsidR="00F548E9">
        <w:t>and</w:t>
      </w:r>
      <w:r>
        <w:t xml:space="preserve"> the risks associated with benzodiazepines and amphetamines warrant targeted attention.</w:t>
      </w:r>
    </w:p>
    <w:p w14:paraId="6B8D5BC2" w14:textId="386A4396" w:rsidR="00BF2428" w:rsidRDefault="00315CFC" w:rsidP="00BF2428">
      <w:r w:rsidRPr="00462661">
        <w:rPr>
          <w:b/>
          <w:bCs/>
        </w:rPr>
        <w:t>A</w:t>
      </w:r>
      <w:r w:rsidR="00BF2428" w:rsidRPr="00462661">
        <w:rPr>
          <w:b/>
          <w:bCs/>
        </w:rPr>
        <w:t>ge-</w:t>
      </w:r>
      <w:r w:rsidRPr="00462661">
        <w:rPr>
          <w:b/>
          <w:bCs/>
        </w:rPr>
        <w:t>specific awareness</w:t>
      </w:r>
      <w:r>
        <w:t xml:space="preserve"> </w:t>
      </w:r>
      <w:r w:rsidR="00BF2428">
        <w:t>will help ensure that interventions are both effective and responsive to the distinct challenges faced by different populations.</w:t>
      </w:r>
    </w:p>
    <w:p w14:paraId="3865037D" w14:textId="5FAFA170" w:rsidR="00AF552A" w:rsidRDefault="00AF552A" w:rsidP="00BF2428"/>
    <w:p w14:paraId="1B28FE2A" w14:textId="520711BE" w:rsidR="00DF4950" w:rsidRPr="00DF4950" w:rsidRDefault="00DF4950" w:rsidP="004121FA">
      <w:pPr>
        <w:rPr>
          <w:b/>
          <w:bCs/>
        </w:rPr>
      </w:pPr>
      <w:r>
        <w:rPr>
          <w:b/>
          <w:bCs/>
        </w:rPr>
        <w:t>Service User Demographics: Protected Characteristics</w:t>
      </w:r>
    </w:p>
    <w:p w14:paraId="0656242B" w14:textId="792E2F92" w:rsidR="004121FA" w:rsidRDefault="004121FA" w:rsidP="004121FA">
      <w:r>
        <w:t xml:space="preserve">The completeness of </w:t>
      </w:r>
      <w:r w:rsidR="000E4E4C">
        <w:t xml:space="preserve">sexual orientation, religion, ethnicity, and disability </w:t>
      </w:r>
      <w:r>
        <w:t xml:space="preserve">data </w:t>
      </w:r>
      <w:r w:rsidR="00D43AB7">
        <w:t xml:space="preserve">for </w:t>
      </w:r>
      <w:r w:rsidR="000E4E4C">
        <w:t xml:space="preserve">service users in </w:t>
      </w:r>
      <w:r w:rsidR="00D43AB7">
        <w:t xml:space="preserve">Peterborough </w:t>
      </w:r>
      <w:r>
        <w:t xml:space="preserve">is </w:t>
      </w:r>
      <w:r w:rsidR="00DD1EC1">
        <w:t>shown in Figure 5.4</w:t>
      </w:r>
      <w:r w:rsidR="00564BF7">
        <w:t>b</w:t>
      </w:r>
      <w:r w:rsidR="00326EC3">
        <w:t xml:space="preserve">. This </w:t>
      </w:r>
      <w:r>
        <w:t xml:space="preserve">shows </w:t>
      </w:r>
      <w:proofErr w:type="gramStart"/>
      <w:r>
        <w:t>fairly robust</w:t>
      </w:r>
      <w:proofErr w:type="gramEnd"/>
      <w:r>
        <w:t xml:space="preserve"> data collection for ethnicity and </w:t>
      </w:r>
      <w:r w:rsidR="00D72853">
        <w:t>disability but</w:t>
      </w:r>
      <w:r>
        <w:t xml:space="preserve"> indicates </w:t>
      </w:r>
      <w:r w:rsidRPr="16F14F99">
        <w:rPr>
          <w:b/>
          <w:bCs/>
        </w:rPr>
        <w:t>missing data for 24% of service users</w:t>
      </w:r>
      <w:r w:rsidR="005535A5" w:rsidRPr="16F14F99">
        <w:rPr>
          <w:b/>
          <w:bCs/>
        </w:rPr>
        <w:t xml:space="preserve">’ </w:t>
      </w:r>
      <w:r w:rsidRPr="16F14F99">
        <w:rPr>
          <w:b/>
          <w:bCs/>
        </w:rPr>
        <w:t>sexual orientation</w:t>
      </w:r>
      <w:r w:rsidR="005535A5" w:rsidRPr="16F14F99">
        <w:rPr>
          <w:b/>
          <w:bCs/>
        </w:rPr>
        <w:t>,</w:t>
      </w:r>
      <w:r w:rsidRPr="16F14F99">
        <w:rPr>
          <w:b/>
          <w:bCs/>
        </w:rPr>
        <w:t xml:space="preserve"> and 22% for religion.</w:t>
      </w:r>
    </w:p>
    <w:p w14:paraId="31B62BFC" w14:textId="1AA623F5" w:rsidR="004121FA" w:rsidRDefault="004121FA" w:rsidP="00D43AB7">
      <w:pPr>
        <w:pStyle w:val="Heading6"/>
      </w:pPr>
      <w:r>
        <w:lastRenderedPageBreak/>
        <w:t>Figure</w:t>
      </w:r>
      <w:r w:rsidR="00D43AB7">
        <w:t xml:space="preserve"> </w:t>
      </w:r>
      <w:r w:rsidR="00564BF7">
        <w:t>5</w:t>
      </w:r>
      <w:r w:rsidR="00D43AB7">
        <w:t>.4b</w:t>
      </w:r>
      <w:r>
        <w:t>. Proportion of service user records with complete data by characteristics, Peterborough year ending March 2024.</w:t>
      </w:r>
    </w:p>
    <w:p w14:paraId="34C23C63" w14:textId="77777777" w:rsidR="004121FA" w:rsidRDefault="004121FA" w:rsidP="004121FA">
      <w:r>
        <w:rPr>
          <w:noProof/>
        </w:rPr>
        <w:drawing>
          <wp:inline distT="0" distB="0" distL="0" distR="0" wp14:anchorId="44AC37A8" wp14:editId="72BE1F14">
            <wp:extent cx="5731510" cy="3438525"/>
            <wp:effectExtent l="0" t="0" r="2540" b="9525"/>
            <wp:docPr id="2120514969" name="Chart 1">
              <a:extLst xmlns:a="http://schemas.openxmlformats.org/drawingml/2006/main">
                <a:ext uri="{FF2B5EF4-FFF2-40B4-BE49-F238E27FC236}">
                  <a16:creationId xmlns:a16="http://schemas.microsoft.com/office/drawing/2014/main" id="{A6718748-65FA-4CC0-82D8-E7A54E4E3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48614A5" w14:textId="6AD80363" w:rsidR="00D43AB7" w:rsidRPr="005535A5" w:rsidRDefault="00D43AB7" w:rsidP="004121FA">
      <w:pPr>
        <w:rPr>
          <w:sz w:val="18"/>
          <w:szCs w:val="18"/>
        </w:rPr>
      </w:pPr>
      <w:r w:rsidRPr="005535A5">
        <w:rPr>
          <w:sz w:val="18"/>
          <w:szCs w:val="18"/>
        </w:rPr>
        <w:t xml:space="preserve">Source: NDTMS </w:t>
      </w:r>
      <w:r w:rsidR="004302D8" w:rsidRPr="005535A5">
        <w:rPr>
          <w:sz w:val="18"/>
          <w:szCs w:val="18"/>
        </w:rPr>
        <w:t>d</w:t>
      </w:r>
      <w:r w:rsidRPr="005535A5">
        <w:rPr>
          <w:sz w:val="18"/>
          <w:szCs w:val="18"/>
        </w:rPr>
        <w:t>ata.</w:t>
      </w:r>
    </w:p>
    <w:p w14:paraId="06BEC18A" w14:textId="36EA1858" w:rsidR="004121FA" w:rsidRDefault="004121FA" w:rsidP="004121FA">
      <w:r w:rsidRPr="00462661">
        <w:rPr>
          <w:b/>
          <w:bCs/>
        </w:rPr>
        <w:t>Improved data collection</w:t>
      </w:r>
      <w:r w:rsidRPr="005F40DD">
        <w:t xml:space="preserve"> for religion</w:t>
      </w:r>
      <w:r>
        <w:t xml:space="preserve"> and</w:t>
      </w:r>
      <w:r w:rsidRPr="005F40DD">
        <w:t xml:space="preserve"> sexual orientation will provide a clearer understanding of the diverse needs of service users, helping to identify and address gaps in care.</w:t>
      </w:r>
    </w:p>
    <w:p w14:paraId="0F91A1FF" w14:textId="77777777" w:rsidR="00462661" w:rsidRDefault="00462661" w:rsidP="004121FA"/>
    <w:p w14:paraId="07A85410" w14:textId="79AEC872" w:rsidR="00D43AB7" w:rsidRPr="00D43AB7" w:rsidRDefault="00D43AB7" w:rsidP="004121FA">
      <w:pPr>
        <w:rPr>
          <w:b/>
          <w:bCs/>
        </w:rPr>
      </w:pPr>
      <w:r>
        <w:rPr>
          <w:b/>
          <w:bCs/>
        </w:rPr>
        <w:t>Service User Demographics: Disability</w:t>
      </w:r>
    </w:p>
    <w:p w14:paraId="4F208C35" w14:textId="5232A058" w:rsidR="004121FA" w:rsidRPr="00E33F9B" w:rsidRDefault="0024034C" w:rsidP="004121FA">
      <w:r>
        <w:t>In the year ending March 2024, a</w:t>
      </w:r>
      <w:r w:rsidR="00E33F9B" w:rsidRPr="00E33F9B">
        <w:t xml:space="preserve">round 43% of adults in treatment </w:t>
      </w:r>
      <w:r>
        <w:t xml:space="preserve">in Peterborough </w:t>
      </w:r>
      <w:r w:rsidR="00E33F9B" w:rsidRPr="00E33F9B">
        <w:t>reported having at least one disability, while 57% reported no disabilities.</w:t>
      </w:r>
    </w:p>
    <w:p w14:paraId="364D0106" w14:textId="77777777" w:rsidR="00192B55" w:rsidRDefault="004121FA" w:rsidP="004121FA">
      <w:r w:rsidRPr="008A2934">
        <w:t xml:space="preserve">We found no local or national data directly linking the risk or prevalence of drug misuse in adults with the presence or absence of disabilities. However, the CSEW 2023 reported that individuals with disabilities were more likely to have used </w:t>
      </w:r>
      <w:r w:rsidR="00B81ADD">
        <w:t xml:space="preserve">illicit </w:t>
      </w:r>
      <w:r w:rsidRPr="008A2934">
        <w:t xml:space="preserve">drugs in the past year (14.1%) compared to those without disabilities (8.8%). </w:t>
      </w:r>
    </w:p>
    <w:p w14:paraId="5AC39CCC" w14:textId="098D9B7C" w:rsidR="00223E0E" w:rsidRDefault="007754B9" w:rsidP="008C46BF">
      <w:r w:rsidRPr="00E932E9">
        <w:t xml:space="preserve">While this does not directly indicate higher treatment need, it highlights the importance of </w:t>
      </w:r>
      <w:r w:rsidRPr="00D06C76">
        <w:rPr>
          <w:b/>
          <w:bCs/>
        </w:rPr>
        <w:t>ensuring that treatment services are accessible and responsive to the diverse needs of disabled people</w:t>
      </w:r>
      <w:r w:rsidRPr="00E932E9">
        <w:t>. Disability encompasses a wide range of conditions, which may affect how individuals experience substance use, seek help, and engage with services. Addressing potential barriers</w:t>
      </w:r>
      <w:r>
        <w:t xml:space="preserve">, </w:t>
      </w:r>
      <w:r w:rsidRPr="00E932E9">
        <w:t>such as physical accessibility, communication needs, or stigma</w:t>
      </w:r>
      <w:r>
        <w:t xml:space="preserve">, </w:t>
      </w:r>
      <w:r w:rsidRPr="00E932E9">
        <w:t>is essential to support equitable access to treatment.</w:t>
      </w:r>
      <w:r w:rsidR="00223E0E" w:rsidRPr="00223E0E">
        <w:t xml:space="preserve"> </w:t>
      </w:r>
    </w:p>
    <w:p w14:paraId="2AD1218F" w14:textId="77777777" w:rsidR="00597016" w:rsidRDefault="00223E0E" w:rsidP="008416A3">
      <w:r w:rsidRPr="007A7E86">
        <w:rPr>
          <w:b/>
          <w:bCs/>
        </w:rPr>
        <w:lastRenderedPageBreak/>
        <w:t>People with learning disabilities (LD)</w:t>
      </w:r>
      <w:r w:rsidRPr="00223E0E">
        <w:t xml:space="preserve"> face well-documented </w:t>
      </w:r>
      <w:r w:rsidRPr="007A7E86">
        <w:rPr>
          <w:b/>
          <w:bCs/>
        </w:rPr>
        <w:t>risks</w:t>
      </w:r>
      <w:r w:rsidRPr="00223E0E">
        <w:t xml:space="preserve"> related to substance use and may have </w:t>
      </w:r>
      <w:r w:rsidRPr="007A7E86">
        <w:rPr>
          <w:b/>
          <w:bCs/>
        </w:rPr>
        <w:t>specific support needs</w:t>
      </w:r>
      <w:r w:rsidR="00202A23">
        <w:rPr>
          <w:rStyle w:val="FootnoteReference"/>
          <w:b/>
          <w:bCs/>
        </w:rPr>
        <w:footnoteReference w:id="23"/>
      </w:r>
      <w:r w:rsidRPr="00223E0E">
        <w:t xml:space="preserve">. </w:t>
      </w:r>
      <w:r w:rsidR="006909D5">
        <w:t xml:space="preserve">NDTMS data shows that </w:t>
      </w:r>
      <w:r w:rsidR="006909D5" w:rsidRPr="007A7E86">
        <w:rPr>
          <w:b/>
          <w:bCs/>
        </w:rPr>
        <w:t>5.6% of new presentations</w:t>
      </w:r>
      <w:r w:rsidR="006909D5">
        <w:t xml:space="preserve"> to treatment in the year ending March 2024 reported a learning disability. </w:t>
      </w:r>
    </w:p>
    <w:p w14:paraId="11C6CEC0" w14:textId="5C766667" w:rsidR="00192B55" w:rsidRDefault="00597016" w:rsidP="008416A3">
      <w:r>
        <w:t>T</w:t>
      </w:r>
      <w:r w:rsidRPr="00486B1D">
        <w:t xml:space="preserve">his figure reflects those who disclosed an LD, </w:t>
      </w:r>
      <w:r>
        <w:t xml:space="preserve">which </w:t>
      </w:r>
      <w:r w:rsidRPr="00486B1D">
        <w:t>may not fully capture the true prevalence, as learning disabilities can be under-recognised or under-reported in treatment settings.</w:t>
      </w:r>
      <w:r>
        <w:t xml:space="preserve"> </w:t>
      </w:r>
      <w:r w:rsidRPr="00223E0E">
        <w:t>A local</w:t>
      </w:r>
      <w:r w:rsidR="00223E0E" w:rsidRPr="00223E0E">
        <w:t xml:space="preserve"> LD needs assessment has outlined </w:t>
      </w:r>
      <w:r w:rsidR="00223E0E" w:rsidRPr="007A7E86">
        <w:rPr>
          <w:b/>
          <w:bCs/>
        </w:rPr>
        <w:t>recommendations</w:t>
      </w:r>
      <w:r w:rsidR="00223E0E" w:rsidRPr="00223E0E">
        <w:t xml:space="preserve"> for improving access and tailored support for this group</w:t>
      </w:r>
      <w:r w:rsidR="007D40F9">
        <w:t>, including</w:t>
      </w:r>
      <w:r w:rsidR="008416A3">
        <w:t xml:space="preserve"> s</w:t>
      </w:r>
      <w:r w:rsidR="00190A6E" w:rsidRPr="00190A6E">
        <w:t xml:space="preserve">taff training on </w:t>
      </w:r>
      <w:r w:rsidR="007D40F9">
        <w:t xml:space="preserve">LD that </w:t>
      </w:r>
      <w:r w:rsidR="00190A6E" w:rsidRPr="00190A6E">
        <w:t>compl</w:t>
      </w:r>
      <w:r w:rsidR="007D40F9">
        <w:t>ies</w:t>
      </w:r>
      <w:r w:rsidR="00190A6E" w:rsidRPr="00190A6E">
        <w:t xml:space="preserve"> with national legislation</w:t>
      </w:r>
      <w:r w:rsidR="008416A3">
        <w:t xml:space="preserve"> and t</w:t>
      </w:r>
      <w:r w:rsidR="00190A6E" w:rsidRPr="00190A6E">
        <w:t>reatment outcome</w:t>
      </w:r>
      <w:r w:rsidR="007D40F9">
        <w:t xml:space="preserve"> </w:t>
      </w:r>
      <w:r w:rsidR="00495927">
        <w:t>monitor</w:t>
      </w:r>
      <w:r w:rsidR="007D40F9">
        <w:t>ing</w:t>
      </w:r>
      <w:r w:rsidR="00495927">
        <w:t xml:space="preserve"> </w:t>
      </w:r>
      <w:r w:rsidR="00190A6E" w:rsidRPr="00190A6E">
        <w:t>for patients with LD</w:t>
      </w:r>
      <w:r w:rsidR="008416A3">
        <w:t xml:space="preserve">. </w:t>
      </w:r>
      <w:r w:rsidR="00D0417E">
        <w:t xml:space="preserve">It </w:t>
      </w:r>
      <w:r w:rsidR="008416A3">
        <w:t xml:space="preserve">also </w:t>
      </w:r>
      <w:r w:rsidR="00D0417E">
        <w:t xml:space="preserve">highlighted the potential value of </w:t>
      </w:r>
      <w:r w:rsidR="00CF7A8A">
        <w:t>access to shared care records</w:t>
      </w:r>
      <w:r w:rsidR="00575A2B">
        <w:rPr>
          <w:rStyle w:val="FootnoteReference"/>
        </w:rPr>
        <w:footnoteReference w:id="24"/>
      </w:r>
      <w:r w:rsidR="00CF7A8A">
        <w:t xml:space="preserve"> and of </w:t>
      </w:r>
      <w:r w:rsidR="00CF7A8A" w:rsidRPr="00190A6E">
        <w:t>links with specialist LD services</w:t>
      </w:r>
      <w:r w:rsidR="008416A3">
        <w:t xml:space="preserve">, and </w:t>
      </w:r>
      <w:r w:rsidR="006B444E">
        <w:t>recommended that c</w:t>
      </w:r>
      <w:r w:rsidR="00190A6E" w:rsidRPr="00190A6E">
        <w:t>ommissioners should consider inpatient detox options for those with LD.</w:t>
      </w:r>
    </w:p>
    <w:p w14:paraId="5E99EEC9" w14:textId="7079F55C" w:rsidR="00A84C25" w:rsidRDefault="00A84C25" w:rsidP="004121FA"/>
    <w:p w14:paraId="20B4ABAC" w14:textId="74BD51BA" w:rsidR="007C3B60" w:rsidRPr="00D43AB7" w:rsidRDefault="007C3B60" w:rsidP="007C3B60">
      <w:pPr>
        <w:rPr>
          <w:b/>
          <w:bCs/>
        </w:rPr>
      </w:pPr>
      <w:r w:rsidRPr="16F14F99">
        <w:rPr>
          <w:b/>
          <w:bCs/>
        </w:rPr>
        <w:t>Service User Demographics: Ethnicity</w:t>
      </w:r>
    </w:p>
    <w:p w14:paraId="5843D608" w14:textId="23B2E85C" w:rsidR="004121FA" w:rsidRDefault="004121FA" w:rsidP="004121FA">
      <w:r>
        <w:t xml:space="preserve">For </w:t>
      </w:r>
      <w:r w:rsidRPr="002C563A">
        <w:t>adults in treatment</w:t>
      </w:r>
      <w:r>
        <w:t xml:space="preserve"> for drugs</w:t>
      </w:r>
      <w:r w:rsidRPr="002C563A">
        <w:t xml:space="preserve"> in Peterborough </w:t>
      </w:r>
      <w:r>
        <w:t xml:space="preserve">in </w:t>
      </w:r>
      <w:r w:rsidRPr="00E616D1">
        <w:t xml:space="preserve">the year ending March 2024, of </w:t>
      </w:r>
      <w:r>
        <w:t xml:space="preserve">those who stated their ethnicity, the significant majority were from White British (73.9%), and White Other (16%) ethnic backgrounds. People from other ethnic backgrounds made up 10% of service users, as shown in </w:t>
      </w:r>
      <w:r w:rsidR="00377664">
        <w:t>T</w:t>
      </w:r>
      <w:r>
        <w:t xml:space="preserve">able </w:t>
      </w:r>
      <w:r w:rsidR="00305EF2">
        <w:t>5</w:t>
      </w:r>
      <w:r w:rsidR="00865A9C">
        <w:t>.4</w:t>
      </w:r>
      <w:r w:rsidR="00377664">
        <w:t>a</w:t>
      </w:r>
      <w:r>
        <w:t>.</w:t>
      </w:r>
    </w:p>
    <w:p w14:paraId="3D76D409" w14:textId="3B97A7E1" w:rsidR="004121FA" w:rsidRDefault="004121FA" w:rsidP="003E6F7F">
      <w:pPr>
        <w:pStyle w:val="Heading6"/>
      </w:pPr>
      <w:r w:rsidRPr="00E13C5D">
        <w:t xml:space="preserve">Table </w:t>
      </w:r>
      <w:r w:rsidR="00377664">
        <w:t>5</w:t>
      </w:r>
      <w:r w:rsidR="00865A9C">
        <w:t>.4</w:t>
      </w:r>
      <w:r w:rsidR="00377664">
        <w:t>a</w:t>
      </w:r>
      <w:r w:rsidRPr="00E13C5D">
        <w:t xml:space="preserve">. Number of adults in treatment for </w:t>
      </w:r>
      <w:r w:rsidR="00865A9C">
        <w:t xml:space="preserve">substance use </w:t>
      </w:r>
      <w:r w:rsidRPr="00E13C5D">
        <w:t xml:space="preserve">in </w:t>
      </w:r>
      <w:r>
        <w:t xml:space="preserve">Peterborough in the </w:t>
      </w:r>
      <w:r w:rsidRPr="00E13C5D">
        <w:t>year ending March 2024, by ethnic group.</w:t>
      </w:r>
    </w:p>
    <w:tbl>
      <w:tblPr>
        <w:tblStyle w:val="TableGrid"/>
        <w:tblW w:w="8523" w:type="dxa"/>
        <w:tblLook w:val="04A0" w:firstRow="1" w:lastRow="0" w:firstColumn="1" w:lastColumn="0" w:noHBand="0" w:noVBand="1"/>
      </w:tblPr>
      <w:tblGrid>
        <w:gridCol w:w="5569"/>
        <w:gridCol w:w="1376"/>
        <w:gridCol w:w="1578"/>
      </w:tblGrid>
      <w:tr w:rsidR="004121FA" w:rsidRPr="00D23DD0" w14:paraId="6F2AFF62" w14:textId="77777777" w:rsidTr="004841E0">
        <w:trPr>
          <w:trHeight w:val="300"/>
        </w:trPr>
        <w:tc>
          <w:tcPr>
            <w:tcW w:w="5569" w:type="dxa"/>
            <w:noWrap/>
            <w:hideMark/>
          </w:tcPr>
          <w:p w14:paraId="12B14306" w14:textId="239DDDEE" w:rsidR="004121FA" w:rsidRPr="00D23DD0" w:rsidRDefault="004121FA" w:rsidP="008C2705">
            <w:pPr>
              <w:rPr>
                <w:b/>
                <w:bCs/>
              </w:rPr>
            </w:pPr>
            <w:r w:rsidRPr="00D23DD0">
              <w:rPr>
                <w:b/>
                <w:bCs/>
              </w:rPr>
              <w:t>Ethnicity</w:t>
            </w:r>
            <w:r w:rsidR="00680CEA">
              <w:rPr>
                <w:b/>
                <w:bCs/>
              </w:rPr>
              <w:t>*</w:t>
            </w:r>
          </w:p>
        </w:tc>
        <w:tc>
          <w:tcPr>
            <w:tcW w:w="1376" w:type="dxa"/>
            <w:noWrap/>
            <w:hideMark/>
          </w:tcPr>
          <w:p w14:paraId="35650A48" w14:textId="77777777" w:rsidR="004121FA" w:rsidRPr="00D23DD0" w:rsidRDefault="004121FA" w:rsidP="008C2705">
            <w:pPr>
              <w:rPr>
                <w:b/>
                <w:bCs/>
              </w:rPr>
            </w:pPr>
            <w:r w:rsidRPr="00D23DD0">
              <w:rPr>
                <w:b/>
                <w:bCs/>
              </w:rPr>
              <w:t>Number</w:t>
            </w:r>
          </w:p>
        </w:tc>
        <w:tc>
          <w:tcPr>
            <w:tcW w:w="1578" w:type="dxa"/>
            <w:noWrap/>
            <w:hideMark/>
          </w:tcPr>
          <w:p w14:paraId="0048427A" w14:textId="77777777" w:rsidR="004121FA" w:rsidRPr="00D23DD0" w:rsidRDefault="004121FA" w:rsidP="008C2705">
            <w:pPr>
              <w:rPr>
                <w:b/>
                <w:bCs/>
              </w:rPr>
            </w:pPr>
            <w:r w:rsidRPr="00D23DD0">
              <w:rPr>
                <w:b/>
                <w:bCs/>
              </w:rPr>
              <w:t>Proportion</w:t>
            </w:r>
          </w:p>
        </w:tc>
      </w:tr>
      <w:tr w:rsidR="004121FA" w:rsidRPr="00D23DD0" w14:paraId="7007287B" w14:textId="77777777" w:rsidTr="004841E0">
        <w:trPr>
          <w:trHeight w:val="300"/>
        </w:trPr>
        <w:tc>
          <w:tcPr>
            <w:tcW w:w="5569" w:type="dxa"/>
            <w:noWrap/>
            <w:hideMark/>
          </w:tcPr>
          <w:p w14:paraId="5F94543A" w14:textId="77777777" w:rsidR="004121FA" w:rsidRPr="00D23DD0" w:rsidRDefault="004121FA" w:rsidP="008C2705">
            <w:r>
              <w:t>Asian</w:t>
            </w:r>
          </w:p>
        </w:tc>
        <w:tc>
          <w:tcPr>
            <w:tcW w:w="1376" w:type="dxa"/>
            <w:noWrap/>
            <w:hideMark/>
          </w:tcPr>
          <w:p w14:paraId="58702670" w14:textId="77777777" w:rsidR="004121FA" w:rsidRPr="00D23DD0" w:rsidRDefault="004121FA" w:rsidP="008C2705">
            <w:r>
              <w:t>79</w:t>
            </w:r>
          </w:p>
        </w:tc>
        <w:tc>
          <w:tcPr>
            <w:tcW w:w="1578" w:type="dxa"/>
            <w:noWrap/>
            <w:hideMark/>
          </w:tcPr>
          <w:p w14:paraId="617F69B5" w14:textId="77777777" w:rsidR="004121FA" w:rsidRPr="00D23DD0" w:rsidRDefault="004121FA" w:rsidP="008C2705">
            <w:r>
              <w:t>4.6%</w:t>
            </w:r>
          </w:p>
        </w:tc>
      </w:tr>
      <w:tr w:rsidR="004121FA" w:rsidRPr="00D23DD0" w14:paraId="19EF5148" w14:textId="77777777" w:rsidTr="004841E0">
        <w:trPr>
          <w:trHeight w:val="300"/>
        </w:trPr>
        <w:tc>
          <w:tcPr>
            <w:tcW w:w="5569" w:type="dxa"/>
            <w:noWrap/>
          </w:tcPr>
          <w:p w14:paraId="5DA8EDD1" w14:textId="77777777" w:rsidR="004121FA" w:rsidRPr="00D23DD0" w:rsidRDefault="004121FA" w:rsidP="008C2705">
            <w:r>
              <w:t>Black</w:t>
            </w:r>
          </w:p>
        </w:tc>
        <w:tc>
          <w:tcPr>
            <w:tcW w:w="1376" w:type="dxa"/>
            <w:noWrap/>
          </w:tcPr>
          <w:p w14:paraId="34B863F0" w14:textId="77777777" w:rsidR="004121FA" w:rsidRPr="00D23DD0" w:rsidRDefault="004121FA" w:rsidP="008C2705">
            <w:r>
              <w:t>40</w:t>
            </w:r>
          </w:p>
        </w:tc>
        <w:tc>
          <w:tcPr>
            <w:tcW w:w="1578" w:type="dxa"/>
            <w:noWrap/>
          </w:tcPr>
          <w:p w14:paraId="20DEAF14" w14:textId="77777777" w:rsidR="004121FA" w:rsidRPr="00D23DD0" w:rsidRDefault="004121FA" w:rsidP="008C2705">
            <w:r>
              <w:t>2.3%</w:t>
            </w:r>
          </w:p>
        </w:tc>
      </w:tr>
      <w:tr w:rsidR="004121FA" w:rsidRPr="00D23DD0" w14:paraId="753D3FCA" w14:textId="77777777" w:rsidTr="004841E0">
        <w:trPr>
          <w:trHeight w:val="300"/>
        </w:trPr>
        <w:tc>
          <w:tcPr>
            <w:tcW w:w="5569" w:type="dxa"/>
            <w:noWrap/>
          </w:tcPr>
          <w:p w14:paraId="0D0E07C8" w14:textId="77777777" w:rsidR="004121FA" w:rsidRPr="00D23DD0" w:rsidRDefault="004121FA" w:rsidP="008C2705">
            <w:r>
              <w:t>Mixed and Other Ethnic Groups</w:t>
            </w:r>
          </w:p>
        </w:tc>
        <w:tc>
          <w:tcPr>
            <w:tcW w:w="1376" w:type="dxa"/>
            <w:noWrap/>
          </w:tcPr>
          <w:p w14:paraId="6E4D4837" w14:textId="77777777" w:rsidR="004121FA" w:rsidRPr="00D23DD0" w:rsidRDefault="004121FA" w:rsidP="008C2705">
            <w:r>
              <w:t>53</w:t>
            </w:r>
          </w:p>
        </w:tc>
        <w:tc>
          <w:tcPr>
            <w:tcW w:w="1578" w:type="dxa"/>
            <w:noWrap/>
          </w:tcPr>
          <w:p w14:paraId="25D8478A" w14:textId="77777777" w:rsidR="004121FA" w:rsidRPr="00D23DD0" w:rsidRDefault="004121FA" w:rsidP="008C2705">
            <w:r>
              <w:t>3.1%</w:t>
            </w:r>
          </w:p>
        </w:tc>
      </w:tr>
      <w:tr w:rsidR="004121FA" w:rsidRPr="00D23DD0" w14:paraId="731CB04C" w14:textId="77777777" w:rsidTr="004841E0">
        <w:trPr>
          <w:trHeight w:val="300"/>
        </w:trPr>
        <w:tc>
          <w:tcPr>
            <w:tcW w:w="5569" w:type="dxa"/>
            <w:noWrap/>
            <w:hideMark/>
          </w:tcPr>
          <w:p w14:paraId="49C50D3C" w14:textId="77777777" w:rsidR="004121FA" w:rsidRPr="00D23DD0" w:rsidRDefault="004121FA" w:rsidP="008C2705">
            <w:r w:rsidRPr="00D23DD0">
              <w:t>White British</w:t>
            </w:r>
          </w:p>
        </w:tc>
        <w:tc>
          <w:tcPr>
            <w:tcW w:w="1376" w:type="dxa"/>
            <w:noWrap/>
            <w:hideMark/>
          </w:tcPr>
          <w:p w14:paraId="2799A385" w14:textId="77777777" w:rsidR="004121FA" w:rsidRPr="00D23DD0" w:rsidRDefault="004121FA" w:rsidP="008C2705">
            <w:r>
              <w:t>1264</w:t>
            </w:r>
          </w:p>
        </w:tc>
        <w:tc>
          <w:tcPr>
            <w:tcW w:w="1578" w:type="dxa"/>
            <w:noWrap/>
            <w:hideMark/>
          </w:tcPr>
          <w:p w14:paraId="4C22EE4C" w14:textId="77777777" w:rsidR="004121FA" w:rsidRPr="00D23DD0" w:rsidRDefault="004121FA" w:rsidP="008C2705">
            <w:r>
              <w:t>73.9</w:t>
            </w:r>
            <w:r w:rsidRPr="00D23DD0">
              <w:t>%</w:t>
            </w:r>
          </w:p>
        </w:tc>
      </w:tr>
      <w:tr w:rsidR="004121FA" w:rsidRPr="00D23DD0" w14:paraId="0072BF3E" w14:textId="77777777" w:rsidTr="004841E0">
        <w:trPr>
          <w:trHeight w:val="300"/>
        </w:trPr>
        <w:tc>
          <w:tcPr>
            <w:tcW w:w="5569" w:type="dxa"/>
            <w:noWrap/>
            <w:hideMark/>
          </w:tcPr>
          <w:p w14:paraId="2EA459E2" w14:textId="77777777" w:rsidR="004121FA" w:rsidRPr="00D23DD0" w:rsidRDefault="004121FA" w:rsidP="008C2705">
            <w:r w:rsidRPr="00D23DD0">
              <w:t xml:space="preserve">White </w:t>
            </w:r>
            <w:r>
              <w:t>Other</w:t>
            </w:r>
          </w:p>
        </w:tc>
        <w:tc>
          <w:tcPr>
            <w:tcW w:w="1376" w:type="dxa"/>
            <w:noWrap/>
            <w:hideMark/>
          </w:tcPr>
          <w:p w14:paraId="7218F9C2" w14:textId="77777777" w:rsidR="004121FA" w:rsidRPr="00D23DD0" w:rsidRDefault="004121FA" w:rsidP="008C2705">
            <w:r>
              <w:t>274</w:t>
            </w:r>
          </w:p>
        </w:tc>
        <w:tc>
          <w:tcPr>
            <w:tcW w:w="1578" w:type="dxa"/>
            <w:noWrap/>
            <w:hideMark/>
          </w:tcPr>
          <w:p w14:paraId="43326C55" w14:textId="77777777" w:rsidR="004121FA" w:rsidRPr="00D23DD0" w:rsidRDefault="004121FA" w:rsidP="008C2705">
            <w:r>
              <w:t>16</w:t>
            </w:r>
            <w:r w:rsidRPr="00D23DD0">
              <w:t>%</w:t>
            </w:r>
          </w:p>
        </w:tc>
      </w:tr>
    </w:tbl>
    <w:p w14:paraId="4D1F5024" w14:textId="682E1E38" w:rsidR="004121FA" w:rsidRPr="00516ABF" w:rsidRDefault="00516ABF" w:rsidP="004121FA">
      <w:pPr>
        <w:rPr>
          <w:sz w:val="20"/>
          <w:szCs w:val="20"/>
        </w:rPr>
      </w:pPr>
      <w:r w:rsidRPr="16F14F99">
        <w:rPr>
          <w:sz w:val="20"/>
          <w:szCs w:val="20"/>
        </w:rPr>
        <w:t xml:space="preserve">Source: NDTMS </w:t>
      </w:r>
      <w:r w:rsidR="004302D8" w:rsidRPr="16F14F99">
        <w:rPr>
          <w:sz w:val="20"/>
          <w:szCs w:val="20"/>
        </w:rPr>
        <w:t>d</w:t>
      </w:r>
      <w:r w:rsidRPr="16F14F99">
        <w:rPr>
          <w:sz w:val="20"/>
          <w:szCs w:val="20"/>
        </w:rPr>
        <w:t>ata.</w:t>
      </w:r>
      <w:r w:rsidR="00680CEA" w:rsidRPr="16F14F99">
        <w:rPr>
          <w:sz w:val="20"/>
          <w:szCs w:val="20"/>
        </w:rPr>
        <w:t xml:space="preserve"> * </w:t>
      </w:r>
      <w:proofErr w:type="gramStart"/>
      <w:r w:rsidR="00680CEA" w:rsidRPr="16F14F99">
        <w:rPr>
          <w:sz w:val="20"/>
          <w:szCs w:val="20"/>
        </w:rPr>
        <w:t>see</w:t>
      </w:r>
      <w:proofErr w:type="gramEnd"/>
      <w:r w:rsidR="00680CEA" w:rsidRPr="16F14F99">
        <w:rPr>
          <w:sz w:val="20"/>
          <w:szCs w:val="20"/>
        </w:rPr>
        <w:t xml:space="preserve"> below regarding aggregated ethnic groups.</w:t>
      </w:r>
    </w:p>
    <w:p w14:paraId="6A376F30" w14:textId="7E7AC145" w:rsidR="004121FA" w:rsidRDefault="00501F2E" w:rsidP="004121FA">
      <w:r>
        <w:t xml:space="preserve">This </w:t>
      </w:r>
      <w:r w:rsidR="00CE0201" w:rsidRPr="00CE0201">
        <w:t xml:space="preserve">indicates a </w:t>
      </w:r>
      <w:r w:rsidR="00CE0201" w:rsidRPr="00DE6E07">
        <w:rPr>
          <w:b/>
          <w:bCs/>
        </w:rPr>
        <w:t>potential underrepresentation of Asian and Black ethnic groups</w:t>
      </w:r>
      <w:r w:rsidR="00CE0201" w:rsidRPr="00CE0201">
        <w:t xml:space="preserve"> in local treatment services when compared to their expected numbers, based on drug dependence prevalence estimates from the 2014 Adult Psychiatric Morbidity Survey and local demographics. National data shows similar patterns, highlighting systemic barriers and inequities in accessing drug dependency services.</w:t>
      </w:r>
    </w:p>
    <w:p w14:paraId="11162B5A" w14:textId="77777777" w:rsidR="005F102A" w:rsidRDefault="005F102A" w:rsidP="005F102A">
      <w:r>
        <w:t xml:space="preserve">There are reasons why those from different religions may or struggle to access drug and alcohol services including: </w:t>
      </w:r>
    </w:p>
    <w:p w14:paraId="5CFA4459" w14:textId="77777777" w:rsidR="005F102A" w:rsidRDefault="005F102A" w:rsidP="005F102A">
      <w:pPr>
        <w:pStyle w:val="ListParagraph"/>
        <w:numPr>
          <w:ilvl w:val="0"/>
          <w:numId w:val="1"/>
        </w:numPr>
      </w:pPr>
      <w:r>
        <w:t xml:space="preserve">There is </w:t>
      </w:r>
      <w:r w:rsidRPr="005F102A">
        <w:rPr>
          <w:b/>
          <w:bCs/>
        </w:rPr>
        <w:t>stigma</w:t>
      </w:r>
      <w:r>
        <w:t xml:space="preserve"> around drug and alcohol misuse which can sometimes be more pronounced in communities with different religious beliefs. </w:t>
      </w:r>
    </w:p>
    <w:p w14:paraId="36915DB8" w14:textId="03A9A345" w:rsidR="005F102A" w:rsidRDefault="005F102A" w:rsidP="005F102A">
      <w:pPr>
        <w:pStyle w:val="ListParagraph"/>
        <w:numPr>
          <w:ilvl w:val="0"/>
          <w:numId w:val="1"/>
        </w:numPr>
      </w:pPr>
      <w:r>
        <w:t xml:space="preserve">Some religions substance use is </w:t>
      </w:r>
      <w:r w:rsidRPr="005F102A">
        <w:rPr>
          <w:b/>
          <w:bCs/>
        </w:rPr>
        <w:t>prohibited</w:t>
      </w:r>
      <w:r>
        <w:t xml:space="preserve"> so if people do </w:t>
      </w:r>
      <w:proofErr w:type="gramStart"/>
      <w:r>
        <w:t>consume</w:t>
      </w:r>
      <w:proofErr w:type="gramEnd"/>
      <w:r>
        <w:t xml:space="preserve"> they may feel a need to conceal it.</w:t>
      </w:r>
    </w:p>
    <w:p w14:paraId="074A6453" w14:textId="47EAE836" w:rsidR="005F102A" w:rsidRDefault="005F102A" w:rsidP="005F102A">
      <w:pPr>
        <w:pStyle w:val="ListParagraph"/>
        <w:numPr>
          <w:ilvl w:val="0"/>
          <w:numId w:val="1"/>
        </w:numPr>
      </w:pPr>
      <w:r>
        <w:lastRenderedPageBreak/>
        <w:t xml:space="preserve">Drug and alcohol services may not be </w:t>
      </w:r>
      <w:r w:rsidRPr="005F102A">
        <w:rPr>
          <w:b/>
          <w:bCs/>
        </w:rPr>
        <w:t xml:space="preserve">culturally </w:t>
      </w:r>
      <w:proofErr w:type="gramStart"/>
      <w:r w:rsidRPr="005F102A">
        <w:rPr>
          <w:b/>
          <w:bCs/>
        </w:rPr>
        <w:t>aware</w:t>
      </w:r>
      <w:proofErr w:type="gramEnd"/>
      <w:r>
        <w:t xml:space="preserve"> and which may make services less attractive to potential users.</w:t>
      </w:r>
    </w:p>
    <w:p w14:paraId="0D16506A" w14:textId="77777777" w:rsidR="0095497A" w:rsidRDefault="009A56A4" w:rsidP="0095497A">
      <w:r w:rsidRPr="00DE6E07">
        <w:rPr>
          <w:b/>
          <w:bCs/>
        </w:rPr>
        <w:t>Local initiatives</w:t>
      </w:r>
      <w:r w:rsidRPr="009A56A4">
        <w:t xml:space="preserve"> aimed at reducing cultural stigma and improving access appear to have led to modest shifts in ethnic </w:t>
      </w:r>
      <w:r>
        <w:t xml:space="preserve">representation for </w:t>
      </w:r>
      <w:r w:rsidRPr="009A56A4">
        <w:t xml:space="preserve">newly presenting treatment clients over recent years. Although small numbers require use </w:t>
      </w:r>
      <w:r w:rsidR="00D773C2">
        <w:t xml:space="preserve">of </w:t>
      </w:r>
      <w:r w:rsidRPr="009A56A4">
        <w:t xml:space="preserve">broad ethnic groupings, </w:t>
      </w:r>
      <w:r w:rsidR="0095497A">
        <w:t>the following proportional trends have been observed over the past four years:</w:t>
      </w:r>
    </w:p>
    <w:p w14:paraId="2CCB1C31" w14:textId="77777777" w:rsidR="0095497A" w:rsidRDefault="0095497A" w:rsidP="0095497A">
      <w:pPr>
        <w:pStyle w:val="ListParagraph"/>
        <w:numPr>
          <w:ilvl w:val="0"/>
          <w:numId w:val="1"/>
        </w:numPr>
      </w:pPr>
      <w:r>
        <w:t>The proportion of service users from White ethnic groups has decreased by approximately three percentage points.</w:t>
      </w:r>
    </w:p>
    <w:p w14:paraId="10813409" w14:textId="77777777" w:rsidR="0095497A" w:rsidRDefault="0095497A" w:rsidP="0095497A">
      <w:pPr>
        <w:pStyle w:val="ListParagraph"/>
        <w:numPr>
          <w:ilvl w:val="0"/>
          <w:numId w:val="1"/>
        </w:numPr>
      </w:pPr>
      <w:r>
        <w:t>This has been accompanied by a slight increase of just under one percentage point for both Black and Asian groups.</w:t>
      </w:r>
    </w:p>
    <w:p w14:paraId="295346AE" w14:textId="55EEB5B7" w:rsidR="00C024F1" w:rsidRDefault="0095497A" w:rsidP="0095497A">
      <w:pPr>
        <w:pStyle w:val="ListParagraph"/>
        <w:numPr>
          <w:ilvl w:val="0"/>
          <w:numId w:val="1"/>
        </w:numPr>
      </w:pPr>
      <w:r>
        <w:t>Smaller proportional rises have been observed among those from Mixed and Other ethnic groups.</w:t>
      </w:r>
    </w:p>
    <w:p w14:paraId="35D57D05" w14:textId="6D90F8E9" w:rsidR="001B5A0A" w:rsidRDefault="001B5A0A" w:rsidP="004121FA">
      <w:r w:rsidRPr="001B5A0A">
        <w:t xml:space="preserve">It is important to note that </w:t>
      </w:r>
      <w:r w:rsidR="006A6FB7" w:rsidRPr="00DE6E07">
        <w:rPr>
          <w:b/>
          <w:bCs/>
        </w:rPr>
        <w:t xml:space="preserve">analysis by aggregated </w:t>
      </w:r>
      <w:r w:rsidRPr="00DE6E07">
        <w:rPr>
          <w:b/>
          <w:bCs/>
        </w:rPr>
        <w:t xml:space="preserve">ethnic </w:t>
      </w:r>
      <w:r w:rsidR="001F1E4B" w:rsidRPr="00DE6E07">
        <w:rPr>
          <w:b/>
          <w:bCs/>
        </w:rPr>
        <w:t xml:space="preserve">groups </w:t>
      </w:r>
      <w:r w:rsidRPr="00DE6E07">
        <w:rPr>
          <w:b/>
          <w:bCs/>
        </w:rPr>
        <w:t>may mask important differences in access and needs</w:t>
      </w:r>
      <w:r w:rsidRPr="001B5A0A">
        <w:t xml:space="preserve">. For example, the </w:t>
      </w:r>
      <w:r w:rsidR="004A7211">
        <w:t>‘</w:t>
      </w:r>
      <w:r w:rsidRPr="001B5A0A">
        <w:t>White Other</w:t>
      </w:r>
      <w:r w:rsidR="004A7211">
        <w:t>’</w:t>
      </w:r>
      <w:r w:rsidRPr="001B5A0A">
        <w:t xml:space="preserve"> category includes diverse populations</w:t>
      </w:r>
      <w:r w:rsidR="004A7211">
        <w:t xml:space="preserve"> </w:t>
      </w:r>
      <w:r w:rsidRPr="001B5A0A">
        <w:t>such as White Irish, White Roma or Gypsy, and White Eastern European</w:t>
      </w:r>
      <w:r w:rsidR="004A7211">
        <w:t>, e</w:t>
      </w:r>
      <w:r w:rsidRPr="001B5A0A">
        <w:t xml:space="preserve">ach of which may face unique barriers to treatment and require tailored support strategies. </w:t>
      </w:r>
      <w:r w:rsidRPr="00DE6E07">
        <w:rPr>
          <w:b/>
          <w:bCs/>
        </w:rPr>
        <w:t>Developing nuanced approaches</w:t>
      </w:r>
      <w:r w:rsidRPr="001B5A0A">
        <w:t xml:space="preserve"> to engage all ethnic groups is essential for effectively addressing disparities in service access.</w:t>
      </w:r>
    </w:p>
    <w:p w14:paraId="00AD4550" w14:textId="75BFED6F" w:rsidR="003D5037" w:rsidRDefault="003D5037" w:rsidP="004121FA"/>
    <w:p w14:paraId="40229EEA" w14:textId="7EA82CCC" w:rsidR="004121FA" w:rsidRPr="003D5037" w:rsidRDefault="003D5037" w:rsidP="003D5037">
      <w:pPr>
        <w:rPr>
          <w:b/>
          <w:bCs/>
        </w:rPr>
      </w:pPr>
      <w:r>
        <w:rPr>
          <w:b/>
          <w:bCs/>
        </w:rPr>
        <w:t>Service User Demographics: Religion</w:t>
      </w:r>
    </w:p>
    <w:p w14:paraId="00EEC6C8" w14:textId="4D29CF65" w:rsidR="00CB66D1" w:rsidRPr="00DE6E07" w:rsidRDefault="00CB66D1" w:rsidP="00CB66D1">
      <w:r w:rsidRPr="00DE6E07">
        <w:t>In the year ending March 2024, the largest two groups of service users in Peterborough by religious affiliation identified as Christian or having no religion, at 30.4% and 55.9%</w:t>
      </w:r>
      <w:r w:rsidR="0006292D" w:rsidRPr="00DE6E07">
        <w:t xml:space="preserve"> </w:t>
      </w:r>
      <w:r w:rsidRPr="00DE6E07">
        <w:t>respectively. A further 5% each identified their religion as Muslim or other, while 2.3% declined to disclose their religion. The remaining 1.4% of service users identified as Sikh, Jewish, Hindu, or Buddhist.</w:t>
      </w:r>
    </w:p>
    <w:p w14:paraId="0B3758CB" w14:textId="3134DC3B" w:rsidR="004121FA" w:rsidRPr="00DE6E07" w:rsidRDefault="00CB66D1" w:rsidP="00CB66D1">
      <w:r w:rsidRPr="00DE6E07">
        <w:t xml:space="preserve">This is illustrated in Table </w:t>
      </w:r>
      <w:r w:rsidR="0006292D" w:rsidRPr="00DE6E07">
        <w:t>5</w:t>
      </w:r>
      <w:r w:rsidRPr="00DE6E07">
        <w:t>.4</w:t>
      </w:r>
      <w:r w:rsidR="00CC1AA6" w:rsidRPr="00DE6E07">
        <w:t>b</w:t>
      </w:r>
      <w:r w:rsidRPr="00DE6E07">
        <w:t>, which also includes the proportion of Peterborough residents for each religion.</w:t>
      </w:r>
      <w:r w:rsidR="00391016" w:rsidRPr="00DE6E07">
        <w:t xml:space="preserve"> </w:t>
      </w:r>
      <w:r w:rsidR="00E516C5" w:rsidRPr="00DE6E07">
        <w:t>These figures should not be directly compared but are included to illustrate the diversity of religious affiliation in the general population of Peterborough.</w:t>
      </w:r>
    </w:p>
    <w:p w14:paraId="655618CB" w14:textId="4D26F9E4" w:rsidR="004121FA" w:rsidRDefault="004121FA" w:rsidP="002C1CC8">
      <w:pPr>
        <w:pStyle w:val="Heading6"/>
      </w:pPr>
      <w:r>
        <w:t xml:space="preserve">Table </w:t>
      </w:r>
      <w:r w:rsidR="00CC1AA6">
        <w:t>5</w:t>
      </w:r>
      <w:r w:rsidR="002C1CC8">
        <w:t>.4</w:t>
      </w:r>
      <w:r w:rsidR="00CC1AA6">
        <w:t>b</w:t>
      </w:r>
      <w:r>
        <w:t xml:space="preserve">. </w:t>
      </w:r>
      <w:r w:rsidRPr="000214A4">
        <w:t xml:space="preserve">Number of adults </w:t>
      </w:r>
      <w:r w:rsidR="002C1CC8" w:rsidRPr="00E13C5D">
        <w:t xml:space="preserve">treatment for </w:t>
      </w:r>
      <w:r w:rsidR="002C1CC8">
        <w:t xml:space="preserve">substance use </w:t>
      </w:r>
      <w:r w:rsidR="002C1CC8" w:rsidRPr="00E13C5D">
        <w:t xml:space="preserve">in </w:t>
      </w:r>
      <w:r w:rsidR="002C1CC8">
        <w:t xml:space="preserve">Peterborough in the </w:t>
      </w:r>
      <w:r w:rsidR="002C1CC8" w:rsidRPr="00E13C5D">
        <w:t>year ending March 2024</w:t>
      </w:r>
      <w:r w:rsidRPr="000214A4">
        <w:t xml:space="preserve">, by </w:t>
      </w:r>
      <w:r>
        <w:t>religion</w:t>
      </w:r>
    </w:p>
    <w:tbl>
      <w:tblPr>
        <w:tblStyle w:val="TableGrid"/>
        <w:tblW w:w="0" w:type="auto"/>
        <w:tblLook w:val="04A0" w:firstRow="1" w:lastRow="0" w:firstColumn="1" w:lastColumn="0" w:noHBand="0" w:noVBand="1"/>
      </w:tblPr>
      <w:tblGrid>
        <w:gridCol w:w="2405"/>
        <w:gridCol w:w="1276"/>
        <w:gridCol w:w="1559"/>
        <w:gridCol w:w="3252"/>
      </w:tblGrid>
      <w:tr w:rsidR="004121FA" w:rsidRPr="007B426C" w14:paraId="1941ADAF" w14:textId="77777777" w:rsidTr="008C2705">
        <w:trPr>
          <w:trHeight w:val="300"/>
        </w:trPr>
        <w:tc>
          <w:tcPr>
            <w:tcW w:w="2405" w:type="dxa"/>
            <w:noWrap/>
            <w:hideMark/>
          </w:tcPr>
          <w:p w14:paraId="330214AA" w14:textId="77777777" w:rsidR="004121FA" w:rsidRPr="007B426C" w:rsidRDefault="004121FA" w:rsidP="008C2705">
            <w:pPr>
              <w:rPr>
                <w:b/>
                <w:bCs/>
              </w:rPr>
            </w:pPr>
            <w:r w:rsidRPr="007B426C">
              <w:rPr>
                <w:b/>
                <w:bCs/>
              </w:rPr>
              <w:t>Religion</w:t>
            </w:r>
          </w:p>
        </w:tc>
        <w:tc>
          <w:tcPr>
            <w:tcW w:w="1276" w:type="dxa"/>
            <w:noWrap/>
            <w:hideMark/>
          </w:tcPr>
          <w:p w14:paraId="71DF8D54" w14:textId="77777777" w:rsidR="004121FA" w:rsidRPr="007B426C" w:rsidRDefault="004121FA" w:rsidP="008C2705">
            <w:pPr>
              <w:rPr>
                <w:b/>
                <w:bCs/>
              </w:rPr>
            </w:pPr>
            <w:r w:rsidRPr="007B426C">
              <w:rPr>
                <w:b/>
                <w:bCs/>
              </w:rPr>
              <w:t>Number</w:t>
            </w:r>
          </w:p>
        </w:tc>
        <w:tc>
          <w:tcPr>
            <w:tcW w:w="1559" w:type="dxa"/>
            <w:tcBorders>
              <w:right w:val="double" w:sz="4" w:space="0" w:color="000000"/>
            </w:tcBorders>
            <w:noWrap/>
            <w:hideMark/>
          </w:tcPr>
          <w:p w14:paraId="283DCBF9" w14:textId="77777777" w:rsidR="004121FA" w:rsidRPr="007B426C" w:rsidRDefault="004121FA" w:rsidP="008C2705">
            <w:pPr>
              <w:rPr>
                <w:b/>
                <w:bCs/>
              </w:rPr>
            </w:pPr>
            <w:r w:rsidRPr="007B426C">
              <w:rPr>
                <w:b/>
                <w:bCs/>
              </w:rPr>
              <w:t>Proportion</w:t>
            </w:r>
          </w:p>
        </w:tc>
        <w:tc>
          <w:tcPr>
            <w:tcW w:w="3252" w:type="dxa"/>
            <w:tcBorders>
              <w:left w:val="double" w:sz="4" w:space="0" w:color="000000"/>
            </w:tcBorders>
          </w:tcPr>
          <w:p w14:paraId="65C6DE0E" w14:textId="28F80FD2" w:rsidR="004121FA" w:rsidRPr="007B426C" w:rsidRDefault="004121FA" w:rsidP="008C2705">
            <w:pPr>
              <w:ind w:left="314" w:hanging="314"/>
              <w:jc w:val="right"/>
              <w:rPr>
                <w:b/>
                <w:bCs/>
              </w:rPr>
            </w:pPr>
            <w:r>
              <w:rPr>
                <w:b/>
                <w:bCs/>
              </w:rPr>
              <w:t>Peterborough residents (%) in census 2021</w:t>
            </w:r>
          </w:p>
        </w:tc>
      </w:tr>
      <w:tr w:rsidR="004121FA" w:rsidRPr="007B426C" w14:paraId="6020F97F" w14:textId="77777777" w:rsidTr="008C2705">
        <w:trPr>
          <w:trHeight w:val="300"/>
        </w:trPr>
        <w:tc>
          <w:tcPr>
            <w:tcW w:w="2405" w:type="dxa"/>
            <w:noWrap/>
            <w:hideMark/>
          </w:tcPr>
          <w:p w14:paraId="07B0C9F3" w14:textId="77777777" w:rsidR="004121FA" w:rsidRPr="007B426C" w:rsidRDefault="004121FA" w:rsidP="008C2705">
            <w:r w:rsidRPr="007B426C">
              <w:t>Other religion</w:t>
            </w:r>
          </w:p>
        </w:tc>
        <w:tc>
          <w:tcPr>
            <w:tcW w:w="1276" w:type="dxa"/>
            <w:noWrap/>
            <w:vAlign w:val="bottom"/>
            <w:hideMark/>
          </w:tcPr>
          <w:p w14:paraId="24402BAC" w14:textId="77777777" w:rsidR="004121FA" w:rsidRPr="007B426C" w:rsidRDefault="004121FA" w:rsidP="008C2705">
            <w:r w:rsidRPr="00B46F7E">
              <w:rPr>
                <w:rFonts w:ascii="Calibri" w:eastAsia="Times New Roman" w:hAnsi="Calibri" w:cs="Calibri"/>
                <w:color w:val="000000"/>
                <w:lang w:eastAsia="en-GB"/>
              </w:rPr>
              <w:t>73</w:t>
            </w:r>
          </w:p>
        </w:tc>
        <w:tc>
          <w:tcPr>
            <w:tcW w:w="1559" w:type="dxa"/>
            <w:tcBorders>
              <w:right w:val="double" w:sz="4" w:space="0" w:color="000000"/>
            </w:tcBorders>
            <w:noWrap/>
            <w:vAlign w:val="bottom"/>
            <w:hideMark/>
          </w:tcPr>
          <w:p w14:paraId="4CD82865" w14:textId="77777777" w:rsidR="004121FA" w:rsidRPr="007B426C" w:rsidRDefault="004121FA" w:rsidP="008C2705">
            <w:r w:rsidRPr="00B46F7E">
              <w:rPr>
                <w:rFonts w:ascii="Calibri" w:eastAsia="Times New Roman" w:hAnsi="Calibri" w:cs="Calibri"/>
                <w:color w:val="000000"/>
                <w:lang w:eastAsia="en-GB"/>
              </w:rPr>
              <w:t>5.0%</w:t>
            </w:r>
          </w:p>
        </w:tc>
        <w:tc>
          <w:tcPr>
            <w:tcW w:w="3252" w:type="dxa"/>
            <w:tcBorders>
              <w:left w:val="double" w:sz="4" w:space="0" w:color="000000"/>
            </w:tcBorders>
            <w:vAlign w:val="bottom"/>
          </w:tcPr>
          <w:p w14:paraId="1B928C67"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0.5%</w:t>
            </w:r>
          </w:p>
        </w:tc>
      </w:tr>
      <w:tr w:rsidR="004121FA" w:rsidRPr="007B426C" w14:paraId="0D41B3A4" w14:textId="77777777" w:rsidTr="008C2705">
        <w:trPr>
          <w:trHeight w:val="300"/>
        </w:trPr>
        <w:tc>
          <w:tcPr>
            <w:tcW w:w="2405" w:type="dxa"/>
            <w:noWrap/>
            <w:hideMark/>
          </w:tcPr>
          <w:p w14:paraId="6C10722C" w14:textId="77777777" w:rsidR="004121FA" w:rsidRPr="007B426C" w:rsidRDefault="004121FA" w:rsidP="008C2705">
            <w:r w:rsidRPr="007B426C">
              <w:t>Sikh</w:t>
            </w:r>
          </w:p>
        </w:tc>
        <w:tc>
          <w:tcPr>
            <w:tcW w:w="1276" w:type="dxa"/>
            <w:noWrap/>
            <w:vAlign w:val="bottom"/>
            <w:hideMark/>
          </w:tcPr>
          <w:p w14:paraId="4DF8F78C" w14:textId="42F059D6" w:rsidR="004121FA" w:rsidRPr="007B426C" w:rsidRDefault="00BC0EA0" w:rsidP="008C2705">
            <w:r>
              <w:t>*</w:t>
            </w:r>
          </w:p>
        </w:tc>
        <w:tc>
          <w:tcPr>
            <w:tcW w:w="1559" w:type="dxa"/>
            <w:tcBorders>
              <w:right w:val="double" w:sz="4" w:space="0" w:color="000000"/>
            </w:tcBorders>
            <w:noWrap/>
            <w:vAlign w:val="bottom"/>
            <w:hideMark/>
          </w:tcPr>
          <w:p w14:paraId="633D8F8C" w14:textId="4E2408FD" w:rsidR="004121FA" w:rsidRPr="007B426C" w:rsidRDefault="00BC0EA0" w:rsidP="008C2705">
            <w:r>
              <w:rPr>
                <w:rFonts w:ascii="Calibri" w:eastAsia="Times New Roman" w:hAnsi="Calibri" w:cs="Calibri"/>
                <w:color w:val="000000"/>
                <w:lang w:eastAsia="en-GB"/>
              </w:rPr>
              <w:t>&lt;</w:t>
            </w:r>
            <w:r w:rsidR="00E63D3C">
              <w:rPr>
                <w:rFonts w:ascii="Calibri" w:eastAsia="Times New Roman" w:hAnsi="Calibri" w:cs="Calibri"/>
                <w:color w:val="000000"/>
                <w:lang w:eastAsia="en-GB"/>
              </w:rPr>
              <w:t>1</w:t>
            </w:r>
            <w:r w:rsidR="004121FA" w:rsidRPr="00B46F7E">
              <w:rPr>
                <w:rFonts w:ascii="Calibri" w:eastAsia="Times New Roman" w:hAnsi="Calibri" w:cs="Calibri"/>
                <w:color w:val="000000"/>
                <w:lang w:eastAsia="en-GB"/>
              </w:rPr>
              <w:t>%</w:t>
            </w:r>
          </w:p>
        </w:tc>
        <w:tc>
          <w:tcPr>
            <w:tcW w:w="3252" w:type="dxa"/>
            <w:tcBorders>
              <w:left w:val="double" w:sz="4" w:space="0" w:color="000000"/>
            </w:tcBorders>
            <w:vAlign w:val="bottom"/>
          </w:tcPr>
          <w:p w14:paraId="4BB8D7F5"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0.6%</w:t>
            </w:r>
          </w:p>
        </w:tc>
      </w:tr>
      <w:tr w:rsidR="004121FA" w:rsidRPr="007B426C" w14:paraId="6BB5DA3E" w14:textId="77777777" w:rsidTr="008C2705">
        <w:trPr>
          <w:trHeight w:val="300"/>
        </w:trPr>
        <w:tc>
          <w:tcPr>
            <w:tcW w:w="2405" w:type="dxa"/>
            <w:noWrap/>
            <w:hideMark/>
          </w:tcPr>
          <w:p w14:paraId="2C9541B1" w14:textId="77777777" w:rsidR="004121FA" w:rsidRPr="007B426C" w:rsidRDefault="004121FA" w:rsidP="008C2705">
            <w:r w:rsidRPr="007B426C">
              <w:t>Muslim</w:t>
            </w:r>
          </w:p>
        </w:tc>
        <w:tc>
          <w:tcPr>
            <w:tcW w:w="1276" w:type="dxa"/>
            <w:noWrap/>
            <w:vAlign w:val="bottom"/>
            <w:hideMark/>
          </w:tcPr>
          <w:p w14:paraId="7505F618" w14:textId="77777777" w:rsidR="004121FA" w:rsidRPr="007B426C" w:rsidRDefault="004121FA" w:rsidP="008C2705">
            <w:r w:rsidRPr="00B46F7E">
              <w:rPr>
                <w:rFonts w:ascii="Calibri" w:eastAsia="Times New Roman" w:hAnsi="Calibri" w:cs="Calibri"/>
                <w:color w:val="000000"/>
                <w:lang w:eastAsia="en-GB"/>
              </w:rPr>
              <w:t>75</w:t>
            </w:r>
          </w:p>
        </w:tc>
        <w:tc>
          <w:tcPr>
            <w:tcW w:w="1559" w:type="dxa"/>
            <w:tcBorders>
              <w:right w:val="double" w:sz="4" w:space="0" w:color="000000"/>
            </w:tcBorders>
            <w:noWrap/>
            <w:vAlign w:val="bottom"/>
            <w:hideMark/>
          </w:tcPr>
          <w:p w14:paraId="00BEEBE9" w14:textId="77777777" w:rsidR="004121FA" w:rsidRPr="007B426C" w:rsidRDefault="004121FA" w:rsidP="008C2705">
            <w:r w:rsidRPr="00B46F7E">
              <w:rPr>
                <w:rFonts w:ascii="Calibri" w:eastAsia="Times New Roman" w:hAnsi="Calibri" w:cs="Calibri"/>
                <w:color w:val="000000"/>
                <w:lang w:eastAsia="en-GB"/>
              </w:rPr>
              <w:t>5.1%</w:t>
            </w:r>
          </w:p>
        </w:tc>
        <w:tc>
          <w:tcPr>
            <w:tcW w:w="3252" w:type="dxa"/>
            <w:tcBorders>
              <w:left w:val="double" w:sz="4" w:space="0" w:color="000000"/>
            </w:tcBorders>
            <w:vAlign w:val="bottom"/>
          </w:tcPr>
          <w:p w14:paraId="376D006B"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12.2%</w:t>
            </w:r>
          </w:p>
        </w:tc>
      </w:tr>
      <w:tr w:rsidR="004121FA" w:rsidRPr="007B426C" w14:paraId="7C864EED" w14:textId="77777777" w:rsidTr="008C2705">
        <w:trPr>
          <w:trHeight w:val="300"/>
        </w:trPr>
        <w:tc>
          <w:tcPr>
            <w:tcW w:w="2405" w:type="dxa"/>
            <w:noWrap/>
            <w:hideMark/>
          </w:tcPr>
          <w:p w14:paraId="3A826BDE" w14:textId="77777777" w:rsidR="004121FA" w:rsidRPr="007B426C" w:rsidRDefault="004121FA" w:rsidP="008C2705">
            <w:r w:rsidRPr="007B426C">
              <w:t>Jewish</w:t>
            </w:r>
          </w:p>
        </w:tc>
        <w:tc>
          <w:tcPr>
            <w:tcW w:w="1276" w:type="dxa"/>
            <w:noWrap/>
            <w:vAlign w:val="bottom"/>
            <w:hideMark/>
          </w:tcPr>
          <w:p w14:paraId="3870FA7E" w14:textId="0CE10462" w:rsidR="004121FA" w:rsidRPr="007B426C" w:rsidRDefault="00BC0EA0" w:rsidP="008C2705">
            <w:r>
              <w:t>*</w:t>
            </w:r>
          </w:p>
        </w:tc>
        <w:tc>
          <w:tcPr>
            <w:tcW w:w="1559" w:type="dxa"/>
            <w:tcBorders>
              <w:right w:val="double" w:sz="4" w:space="0" w:color="000000"/>
            </w:tcBorders>
            <w:noWrap/>
            <w:vAlign w:val="bottom"/>
            <w:hideMark/>
          </w:tcPr>
          <w:p w14:paraId="61467B41" w14:textId="6EB329ED" w:rsidR="004121FA" w:rsidRPr="007B426C" w:rsidRDefault="00E63D3C" w:rsidP="008C2705">
            <w:r>
              <w:rPr>
                <w:rFonts w:ascii="Calibri" w:eastAsia="Times New Roman" w:hAnsi="Calibri" w:cs="Calibri"/>
                <w:color w:val="000000"/>
                <w:lang w:eastAsia="en-GB"/>
              </w:rPr>
              <w:t>&lt;1</w:t>
            </w:r>
            <w:r w:rsidRPr="00B46F7E">
              <w:rPr>
                <w:rFonts w:ascii="Calibri" w:eastAsia="Times New Roman" w:hAnsi="Calibri" w:cs="Calibri"/>
                <w:color w:val="000000"/>
                <w:lang w:eastAsia="en-GB"/>
              </w:rPr>
              <w:t>%</w:t>
            </w:r>
          </w:p>
        </w:tc>
        <w:tc>
          <w:tcPr>
            <w:tcW w:w="3252" w:type="dxa"/>
            <w:tcBorders>
              <w:left w:val="double" w:sz="4" w:space="0" w:color="000000"/>
            </w:tcBorders>
            <w:vAlign w:val="bottom"/>
          </w:tcPr>
          <w:p w14:paraId="67F35164"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0.1%</w:t>
            </w:r>
          </w:p>
        </w:tc>
      </w:tr>
      <w:tr w:rsidR="004121FA" w:rsidRPr="007B426C" w14:paraId="3B391054" w14:textId="77777777" w:rsidTr="008C2705">
        <w:trPr>
          <w:trHeight w:val="300"/>
        </w:trPr>
        <w:tc>
          <w:tcPr>
            <w:tcW w:w="2405" w:type="dxa"/>
            <w:noWrap/>
            <w:hideMark/>
          </w:tcPr>
          <w:p w14:paraId="478EE5FD" w14:textId="661AA87E" w:rsidR="004121FA" w:rsidRPr="007B426C" w:rsidRDefault="004121FA" w:rsidP="008C2705">
            <w:r w:rsidRPr="007B426C">
              <w:t>Hindu</w:t>
            </w:r>
          </w:p>
        </w:tc>
        <w:tc>
          <w:tcPr>
            <w:tcW w:w="1276" w:type="dxa"/>
            <w:noWrap/>
            <w:vAlign w:val="bottom"/>
            <w:hideMark/>
          </w:tcPr>
          <w:p w14:paraId="5019F98B" w14:textId="3C3858BE" w:rsidR="004121FA" w:rsidRPr="007B426C" w:rsidRDefault="00BC0EA0" w:rsidP="008C2705">
            <w:r>
              <w:t>*</w:t>
            </w:r>
          </w:p>
        </w:tc>
        <w:tc>
          <w:tcPr>
            <w:tcW w:w="1559" w:type="dxa"/>
            <w:tcBorders>
              <w:right w:val="double" w:sz="4" w:space="0" w:color="000000"/>
            </w:tcBorders>
            <w:noWrap/>
            <w:vAlign w:val="bottom"/>
            <w:hideMark/>
          </w:tcPr>
          <w:p w14:paraId="0F873326" w14:textId="735DC207" w:rsidR="004121FA" w:rsidRPr="007B426C" w:rsidRDefault="00E63D3C" w:rsidP="008C2705">
            <w:r>
              <w:rPr>
                <w:rFonts w:ascii="Calibri" w:eastAsia="Times New Roman" w:hAnsi="Calibri" w:cs="Calibri"/>
                <w:color w:val="000000"/>
                <w:lang w:eastAsia="en-GB"/>
              </w:rPr>
              <w:t>&lt;1</w:t>
            </w:r>
            <w:r w:rsidRPr="00B46F7E">
              <w:rPr>
                <w:rFonts w:ascii="Calibri" w:eastAsia="Times New Roman" w:hAnsi="Calibri" w:cs="Calibri"/>
                <w:color w:val="000000"/>
                <w:lang w:eastAsia="en-GB"/>
              </w:rPr>
              <w:t>%</w:t>
            </w:r>
          </w:p>
        </w:tc>
        <w:tc>
          <w:tcPr>
            <w:tcW w:w="3252" w:type="dxa"/>
            <w:tcBorders>
              <w:left w:val="double" w:sz="4" w:space="0" w:color="000000"/>
            </w:tcBorders>
            <w:vAlign w:val="bottom"/>
          </w:tcPr>
          <w:p w14:paraId="50C1F0A0"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1.8%</w:t>
            </w:r>
          </w:p>
        </w:tc>
      </w:tr>
      <w:tr w:rsidR="004121FA" w:rsidRPr="007B426C" w14:paraId="22D9243D" w14:textId="77777777" w:rsidTr="008C2705">
        <w:trPr>
          <w:trHeight w:val="300"/>
        </w:trPr>
        <w:tc>
          <w:tcPr>
            <w:tcW w:w="2405" w:type="dxa"/>
            <w:noWrap/>
            <w:hideMark/>
          </w:tcPr>
          <w:p w14:paraId="17343711" w14:textId="77777777" w:rsidR="004121FA" w:rsidRPr="007B426C" w:rsidRDefault="004121FA" w:rsidP="008C2705">
            <w:r w:rsidRPr="007B426C">
              <w:t>Buddhist</w:t>
            </w:r>
          </w:p>
        </w:tc>
        <w:tc>
          <w:tcPr>
            <w:tcW w:w="1276" w:type="dxa"/>
            <w:noWrap/>
            <w:vAlign w:val="bottom"/>
            <w:hideMark/>
          </w:tcPr>
          <w:p w14:paraId="493144C4" w14:textId="22670AEB" w:rsidR="004121FA" w:rsidRPr="007B426C" w:rsidRDefault="00BC0EA0" w:rsidP="008C2705">
            <w:r>
              <w:t>*</w:t>
            </w:r>
          </w:p>
        </w:tc>
        <w:tc>
          <w:tcPr>
            <w:tcW w:w="1559" w:type="dxa"/>
            <w:tcBorders>
              <w:right w:val="double" w:sz="4" w:space="0" w:color="000000"/>
            </w:tcBorders>
            <w:noWrap/>
            <w:vAlign w:val="bottom"/>
            <w:hideMark/>
          </w:tcPr>
          <w:p w14:paraId="0227F8E3" w14:textId="0FA6C1ED" w:rsidR="004121FA" w:rsidRPr="007B426C" w:rsidRDefault="00E63D3C" w:rsidP="008C2705">
            <w:r>
              <w:rPr>
                <w:rFonts w:ascii="Calibri" w:eastAsia="Times New Roman" w:hAnsi="Calibri" w:cs="Calibri"/>
                <w:color w:val="000000"/>
                <w:lang w:eastAsia="en-GB"/>
              </w:rPr>
              <w:t>&lt;1</w:t>
            </w:r>
            <w:r w:rsidRPr="00B46F7E">
              <w:rPr>
                <w:rFonts w:ascii="Calibri" w:eastAsia="Times New Roman" w:hAnsi="Calibri" w:cs="Calibri"/>
                <w:color w:val="000000"/>
                <w:lang w:eastAsia="en-GB"/>
              </w:rPr>
              <w:t>%</w:t>
            </w:r>
          </w:p>
        </w:tc>
        <w:tc>
          <w:tcPr>
            <w:tcW w:w="3252" w:type="dxa"/>
            <w:tcBorders>
              <w:left w:val="double" w:sz="4" w:space="0" w:color="000000"/>
            </w:tcBorders>
            <w:vAlign w:val="bottom"/>
          </w:tcPr>
          <w:p w14:paraId="5283BC3C"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0.3%</w:t>
            </w:r>
          </w:p>
        </w:tc>
      </w:tr>
      <w:tr w:rsidR="004121FA" w:rsidRPr="007B426C" w14:paraId="686C0470" w14:textId="77777777" w:rsidTr="008C2705">
        <w:trPr>
          <w:trHeight w:val="300"/>
        </w:trPr>
        <w:tc>
          <w:tcPr>
            <w:tcW w:w="2405" w:type="dxa"/>
            <w:noWrap/>
            <w:hideMark/>
          </w:tcPr>
          <w:p w14:paraId="7F500BDA" w14:textId="77777777" w:rsidR="004121FA" w:rsidRPr="007B426C" w:rsidRDefault="004121FA" w:rsidP="008C2705">
            <w:r w:rsidRPr="007B426C">
              <w:t>Christian</w:t>
            </w:r>
          </w:p>
        </w:tc>
        <w:tc>
          <w:tcPr>
            <w:tcW w:w="1276" w:type="dxa"/>
            <w:noWrap/>
            <w:vAlign w:val="bottom"/>
            <w:hideMark/>
          </w:tcPr>
          <w:p w14:paraId="3CE3A647" w14:textId="77777777" w:rsidR="004121FA" w:rsidRPr="007B426C" w:rsidRDefault="004121FA" w:rsidP="008C2705">
            <w:r w:rsidRPr="00B46F7E">
              <w:rPr>
                <w:rFonts w:ascii="Calibri" w:eastAsia="Times New Roman" w:hAnsi="Calibri" w:cs="Calibri"/>
                <w:color w:val="000000"/>
                <w:lang w:eastAsia="en-GB"/>
              </w:rPr>
              <w:t>445</w:t>
            </w:r>
          </w:p>
        </w:tc>
        <w:tc>
          <w:tcPr>
            <w:tcW w:w="1559" w:type="dxa"/>
            <w:tcBorders>
              <w:right w:val="double" w:sz="4" w:space="0" w:color="000000"/>
            </w:tcBorders>
            <w:noWrap/>
            <w:vAlign w:val="bottom"/>
            <w:hideMark/>
          </w:tcPr>
          <w:p w14:paraId="046EC3D8" w14:textId="77777777" w:rsidR="004121FA" w:rsidRPr="007B426C" w:rsidRDefault="004121FA" w:rsidP="008C2705">
            <w:r w:rsidRPr="00B46F7E">
              <w:rPr>
                <w:rFonts w:ascii="Calibri" w:eastAsia="Times New Roman" w:hAnsi="Calibri" w:cs="Calibri"/>
                <w:color w:val="000000"/>
                <w:lang w:eastAsia="en-GB"/>
              </w:rPr>
              <w:t>30.4%</w:t>
            </w:r>
          </w:p>
        </w:tc>
        <w:tc>
          <w:tcPr>
            <w:tcW w:w="3252" w:type="dxa"/>
            <w:tcBorders>
              <w:left w:val="double" w:sz="4" w:space="0" w:color="000000"/>
            </w:tcBorders>
            <w:vAlign w:val="bottom"/>
          </w:tcPr>
          <w:p w14:paraId="285BE4FA"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46.3%</w:t>
            </w:r>
          </w:p>
        </w:tc>
      </w:tr>
      <w:tr w:rsidR="004121FA" w:rsidRPr="007B426C" w14:paraId="2C7F9FC5" w14:textId="77777777" w:rsidTr="008C2705">
        <w:trPr>
          <w:trHeight w:val="300"/>
        </w:trPr>
        <w:tc>
          <w:tcPr>
            <w:tcW w:w="2405" w:type="dxa"/>
            <w:noWrap/>
            <w:hideMark/>
          </w:tcPr>
          <w:p w14:paraId="12F330AE" w14:textId="77777777" w:rsidR="004121FA" w:rsidRPr="007B426C" w:rsidRDefault="004121FA" w:rsidP="008C2705">
            <w:r w:rsidRPr="007B426C">
              <w:t>No religion</w:t>
            </w:r>
          </w:p>
        </w:tc>
        <w:tc>
          <w:tcPr>
            <w:tcW w:w="1276" w:type="dxa"/>
            <w:noWrap/>
            <w:vAlign w:val="bottom"/>
            <w:hideMark/>
          </w:tcPr>
          <w:p w14:paraId="169F3D95" w14:textId="77777777" w:rsidR="004121FA" w:rsidRPr="007B426C" w:rsidRDefault="004121FA" w:rsidP="008C2705">
            <w:r w:rsidRPr="00B46F7E">
              <w:rPr>
                <w:rFonts w:ascii="Calibri" w:eastAsia="Times New Roman" w:hAnsi="Calibri" w:cs="Calibri"/>
                <w:color w:val="000000"/>
                <w:lang w:eastAsia="en-GB"/>
              </w:rPr>
              <w:t>819</w:t>
            </w:r>
          </w:p>
        </w:tc>
        <w:tc>
          <w:tcPr>
            <w:tcW w:w="1559" w:type="dxa"/>
            <w:tcBorders>
              <w:right w:val="double" w:sz="4" w:space="0" w:color="000000"/>
            </w:tcBorders>
            <w:noWrap/>
            <w:vAlign w:val="bottom"/>
            <w:hideMark/>
          </w:tcPr>
          <w:p w14:paraId="760A43B5" w14:textId="77777777" w:rsidR="004121FA" w:rsidRPr="007B426C" w:rsidRDefault="004121FA" w:rsidP="008C2705">
            <w:r w:rsidRPr="00B46F7E">
              <w:rPr>
                <w:rFonts w:ascii="Calibri" w:eastAsia="Times New Roman" w:hAnsi="Calibri" w:cs="Calibri"/>
                <w:color w:val="000000"/>
                <w:lang w:eastAsia="en-GB"/>
              </w:rPr>
              <w:t>55.9%</w:t>
            </w:r>
          </w:p>
        </w:tc>
        <w:tc>
          <w:tcPr>
            <w:tcW w:w="3252" w:type="dxa"/>
            <w:tcBorders>
              <w:left w:val="double" w:sz="4" w:space="0" w:color="000000"/>
            </w:tcBorders>
            <w:vAlign w:val="bottom"/>
          </w:tcPr>
          <w:p w14:paraId="02D47B02"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32.5%</w:t>
            </w:r>
          </w:p>
        </w:tc>
      </w:tr>
      <w:tr w:rsidR="004121FA" w:rsidRPr="007B426C" w14:paraId="4FCDAFAB" w14:textId="77777777" w:rsidTr="008C2705">
        <w:trPr>
          <w:trHeight w:val="300"/>
        </w:trPr>
        <w:tc>
          <w:tcPr>
            <w:tcW w:w="2405" w:type="dxa"/>
            <w:noWrap/>
            <w:hideMark/>
          </w:tcPr>
          <w:p w14:paraId="37210A35" w14:textId="77777777" w:rsidR="004121FA" w:rsidRPr="007B426C" w:rsidRDefault="004121FA" w:rsidP="008C2705">
            <w:r w:rsidRPr="007B426C">
              <w:t>Declined to disclose</w:t>
            </w:r>
          </w:p>
        </w:tc>
        <w:tc>
          <w:tcPr>
            <w:tcW w:w="1276" w:type="dxa"/>
            <w:noWrap/>
            <w:vAlign w:val="bottom"/>
            <w:hideMark/>
          </w:tcPr>
          <w:p w14:paraId="0991623B" w14:textId="77777777" w:rsidR="004121FA" w:rsidRPr="007B426C" w:rsidRDefault="004121FA" w:rsidP="008C2705">
            <w:r w:rsidRPr="00B46F7E">
              <w:rPr>
                <w:rFonts w:ascii="Calibri" w:eastAsia="Times New Roman" w:hAnsi="Calibri" w:cs="Calibri"/>
                <w:color w:val="000000"/>
                <w:lang w:eastAsia="en-GB"/>
              </w:rPr>
              <w:t>34</w:t>
            </w:r>
          </w:p>
        </w:tc>
        <w:tc>
          <w:tcPr>
            <w:tcW w:w="1559" w:type="dxa"/>
            <w:tcBorders>
              <w:right w:val="double" w:sz="4" w:space="0" w:color="000000"/>
            </w:tcBorders>
            <w:noWrap/>
            <w:vAlign w:val="bottom"/>
            <w:hideMark/>
          </w:tcPr>
          <w:p w14:paraId="29723625" w14:textId="77777777" w:rsidR="004121FA" w:rsidRPr="007B426C" w:rsidRDefault="004121FA" w:rsidP="008C2705">
            <w:r w:rsidRPr="00B46F7E">
              <w:rPr>
                <w:rFonts w:ascii="Calibri" w:eastAsia="Times New Roman" w:hAnsi="Calibri" w:cs="Calibri"/>
                <w:color w:val="000000"/>
                <w:lang w:eastAsia="en-GB"/>
              </w:rPr>
              <w:t>2.3%</w:t>
            </w:r>
          </w:p>
        </w:tc>
        <w:tc>
          <w:tcPr>
            <w:tcW w:w="3252" w:type="dxa"/>
            <w:tcBorders>
              <w:left w:val="double" w:sz="4" w:space="0" w:color="000000"/>
            </w:tcBorders>
            <w:vAlign w:val="bottom"/>
          </w:tcPr>
          <w:p w14:paraId="1D93F293"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5.8%</w:t>
            </w:r>
          </w:p>
        </w:tc>
      </w:tr>
      <w:tr w:rsidR="004121FA" w:rsidRPr="007B426C" w14:paraId="2F4677D6" w14:textId="77777777" w:rsidTr="008C2705">
        <w:trPr>
          <w:trHeight w:val="300"/>
        </w:trPr>
        <w:tc>
          <w:tcPr>
            <w:tcW w:w="2405" w:type="dxa"/>
            <w:noWrap/>
          </w:tcPr>
          <w:p w14:paraId="20D90ACA" w14:textId="77777777" w:rsidR="004121FA" w:rsidRPr="007B426C" w:rsidRDefault="004121FA" w:rsidP="008C2705"/>
        </w:tc>
        <w:tc>
          <w:tcPr>
            <w:tcW w:w="1276" w:type="dxa"/>
            <w:noWrap/>
            <w:vAlign w:val="bottom"/>
          </w:tcPr>
          <w:p w14:paraId="417FAECA"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1464</w:t>
            </w:r>
          </w:p>
        </w:tc>
        <w:tc>
          <w:tcPr>
            <w:tcW w:w="1559" w:type="dxa"/>
            <w:tcBorders>
              <w:right w:val="double" w:sz="4" w:space="0" w:color="000000"/>
            </w:tcBorders>
            <w:noWrap/>
            <w:vAlign w:val="bottom"/>
          </w:tcPr>
          <w:p w14:paraId="5A615931" w14:textId="77777777" w:rsidR="004121FA" w:rsidRPr="00B46F7E" w:rsidRDefault="004121FA" w:rsidP="008C2705">
            <w:pPr>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3252" w:type="dxa"/>
            <w:tcBorders>
              <w:left w:val="double" w:sz="4" w:space="0" w:color="000000"/>
            </w:tcBorders>
            <w:vAlign w:val="bottom"/>
          </w:tcPr>
          <w:p w14:paraId="63A79686" w14:textId="77777777" w:rsidR="004121FA" w:rsidRDefault="004121FA" w:rsidP="008C2705">
            <w:pPr>
              <w:jc w:val="right"/>
              <w:rPr>
                <w:rFonts w:ascii="Calibri" w:eastAsia="Times New Roman" w:hAnsi="Calibri" w:cs="Calibri"/>
                <w:color w:val="000000"/>
                <w:lang w:eastAsia="en-GB"/>
              </w:rPr>
            </w:pPr>
          </w:p>
        </w:tc>
      </w:tr>
    </w:tbl>
    <w:p w14:paraId="3D700876" w14:textId="0C41067C" w:rsidR="004121FA" w:rsidRDefault="00E63D3C" w:rsidP="004121FA">
      <w:pPr>
        <w:rPr>
          <w:sz w:val="20"/>
          <w:szCs w:val="20"/>
        </w:rPr>
      </w:pPr>
      <w:r>
        <w:rPr>
          <w:sz w:val="20"/>
          <w:szCs w:val="20"/>
        </w:rPr>
        <w:t xml:space="preserve">Source: NDTMS Data. </w:t>
      </w:r>
      <w:r w:rsidR="004121FA">
        <w:rPr>
          <w:sz w:val="20"/>
          <w:szCs w:val="20"/>
        </w:rPr>
        <w:t xml:space="preserve">* </w:t>
      </w:r>
      <w:r>
        <w:rPr>
          <w:sz w:val="20"/>
          <w:szCs w:val="20"/>
        </w:rPr>
        <w:t>Supressed due to low numbers.</w:t>
      </w:r>
    </w:p>
    <w:p w14:paraId="0E0167CB" w14:textId="4CF13099" w:rsidR="004121FA" w:rsidRPr="00234514" w:rsidRDefault="004121FA" w:rsidP="004121FA">
      <w:r w:rsidRPr="00234514">
        <w:lastRenderedPageBreak/>
        <w:t xml:space="preserve">There is currently no national prevalence data on drug dependence by religion. </w:t>
      </w:r>
      <w:r w:rsidR="00A5757F" w:rsidRPr="00234514">
        <w:t>However, the CSEW 2023 indicates illicit drug use prevalence varies by up to 14.4 percentage points across religious groups. While this does not directly equate to dependence, it may suggest differing service needs.</w:t>
      </w:r>
    </w:p>
    <w:p w14:paraId="7836088E" w14:textId="57CE9C18" w:rsidR="004121FA" w:rsidRPr="00234514" w:rsidRDefault="00B85D25" w:rsidP="004121FA">
      <w:r>
        <w:t xml:space="preserve">Given the religious composition of Peterborough alongside this </w:t>
      </w:r>
      <w:r w:rsidR="00F40F2C">
        <w:t>differential use across groups</w:t>
      </w:r>
      <w:r>
        <w:t>, it is not surprising that most service users report no religious affiliation.</w:t>
      </w:r>
      <w:r w:rsidR="004121FA">
        <w:t xml:space="preserve"> However, this </w:t>
      </w:r>
      <w:r w:rsidR="004121FA" w:rsidRPr="16F14F99">
        <w:rPr>
          <w:b/>
          <w:bCs/>
        </w:rPr>
        <w:t>could still indicate an overrepresentation of non-religious individuals within the service user population</w:t>
      </w:r>
      <w:r w:rsidR="004121FA">
        <w:t xml:space="preserve">, </w:t>
      </w:r>
      <w:r w:rsidR="00100C5F">
        <w:t>particularly given the large proportion</w:t>
      </w:r>
      <w:r w:rsidR="00A71049">
        <w:t>al size</w:t>
      </w:r>
      <w:r w:rsidR="00100C5F">
        <w:t xml:space="preserve"> of this group among treatment </w:t>
      </w:r>
      <w:r w:rsidR="002B2334">
        <w:t>numbers</w:t>
      </w:r>
      <w:r w:rsidR="004121FA">
        <w:t>.</w:t>
      </w:r>
    </w:p>
    <w:p w14:paraId="4BF31EB4" w14:textId="77777777" w:rsidR="004121FA" w:rsidRDefault="004121FA" w:rsidP="004121FA"/>
    <w:p w14:paraId="650FC546" w14:textId="658C7257" w:rsidR="004121FA" w:rsidRDefault="00CF0FE2" w:rsidP="00CF0FE2">
      <w:r>
        <w:rPr>
          <w:b/>
          <w:bCs/>
        </w:rPr>
        <w:t xml:space="preserve">Service User Demographics: </w:t>
      </w:r>
      <w:r w:rsidR="00F7081C">
        <w:rPr>
          <w:b/>
          <w:bCs/>
        </w:rPr>
        <w:t>Sexual Orientation</w:t>
      </w:r>
    </w:p>
    <w:p w14:paraId="6ED98BE9" w14:textId="3B0CC662" w:rsidR="004121FA" w:rsidRPr="00F53D47" w:rsidRDefault="004121FA" w:rsidP="004121FA">
      <w:proofErr w:type="gramStart"/>
      <w:r>
        <w:t xml:space="preserve">The </w:t>
      </w:r>
      <w:r w:rsidRPr="00DF0E45">
        <w:t>majority</w:t>
      </w:r>
      <w:r>
        <w:t xml:space="preserve"> of</w:t>
      </w:r>
      <w:proofErr w:type="gramEnd"/>
      <w:r>
        <w:t xml:space="preserve"> service users in treatment for drugs in Peterborough are heterosexual. In the year ending March 2024, </w:t>
      </w:r>
      <w:r w:rsidRPr="00DF0E45">
        <w:rPr>
          <w:b/>
          <w:bCs/>
        </w:rPr>
        <w:t>95.4% reported heterosexual sexuality</w:t>
      </w:r>
      <w:r>
        <w:t>, 1.9% reported being gay or lesbian, 1.9% reported bisexuality</w:t>
      </w:r>
      <w:r w:rsidR="00F7081C">
        <w:t xml:space="preserve"> and </w:t>
      </w:r>
      <w:r>
        <w:t xml:space="preserve">less than 1% reported other. Note </w:t>
      </w:r>
      <w:r w:rsidR="00631458">
        <w:t xml:space="preserve">these figures </w:t>
      </w:r>
      <w:r w:rsidR="004D257F">
        <w:t>exclude</w:t>
      </w:r>
      <w:r>
        <w:t xml:space="preserve"> service users with missing information on sexuality. </w:t>
      </w:r>
    </w:p>
    <w:p w14:paraId="2ECF9924" w14:textId="193EA3A8" w:rsidR="006035FC" w:rsidRDefault="00771BF6" w:rsidP="004121FA">
      <w:r w:rsidRPr="00771BF6">
        <w:t>If the need for treatment were evenly distributed across all sexual orientations, we would expect service user numbers to reflect the general population distribution in</w:t>
      </w:r>
      <w:r w:rsidR="002E6A6D">
        <w:t xml:space="preserve"> </w:t>
      </w:r>
      <w:r w:rsidR="004121FA" w:rsidRPr="00BD55AA">
        <w:t xml:space="preserve">Peterborough, where 89.2% identified as heterosexual in the 2021 Census. </w:t>
      </w:r>
      <w:r w:rsidR="002E6A6D" w:rsidRPr="002E6A6D">
        <w:t xml:space="preserve">However, </w:t>
      </w:r>
      <w:r w:rsidR="002E6A6D" w:rsidRPr="00DF0E45">
        <w:rPr>
          <w:b/>
          <w:bCs/>
        </w:rPr>
        <w:t>this group appears to be overrepresented in treatment services</w:t>
      </w:r>
      <w:r w:rsidR="002E6A6D" w:rsidRPr="002E6A6D">
        <w:t xml:space="preserve">. National data from the CSEW further suggests that </w:t>
      </w:r>
      <w:r w:rsidR="007D233A">
        <w:t xml:space="preserve">sexual minorities (LGBT+) </w:t>
      </w:r>
      <w:r w:rsidR="002E6A6D" w:rsidRPr="002E6A6D">
        <w:t>may be underrepresented, as they report significantly higher rates of illicit drug use</w:t>
      </w:r>
      <w:r w:rsidR="00730102">
        <w:t xml:space="preserve">; </w:t>
      </w:r>
      <w:r w:rsidR="002E6A6D" w:rsidRPr="002E6A6D">
        <w:t>8.3% of heterosexuals used drugs in the past year, compared to 17.1% to 30.8% for other sexual orientations.</w:t>
      </w:r>
      <w:r w:rsidR="002E6A6D">
        <w:t xml:space="preserve"> </w:t>
      </w:r>
    </w:p>
    <w:p w14:paraId="26C0EC87" w14:textId="27AD0DF2" w:rsidR="00016E0A" w:rsidRDefault="006035FC" w:rsidP="00016E0A">
      <w:r>
        <w:t xml:space="preserve">A </w:t>
      </w:r>
      <w:r w:rsidRPr="006035FC">
        <w:t>specific area of concern is the use of illicit drugs to enhance or facilitate sexual activity, particularly among some sexual minority groups, including gay, bisexual, and other men who have sex with men. Known as ‘</w:t>
      </w:r>
      <w:proofErr w:type="spellStart"/>
      <w:r w:rsidRPr="004668D4">
        <w:rPr>
          <w:b/>
          <w:bCs/>
        </w:rPr>
        <w:t>chemsex</w:t>
      </w:r>
      <w:proofErr w:type="spellEnd"/>
      <w:r w:rsidRPr="006035FC">
        <w:t>,’ this practice commonly involves substances such as methamphetamine, mephedrone, and GHB/GBL</w:t>
      </w:r>
      <w:r w:rsidR="00D10A4C">
        <w:rPr>
          <w:rStyle w:val="FootnoteReference"/>
        </w:rPr>
        <w:footnoteReference w:id="25"/>
      </w:r>
      <w:r w:rsidR="007222E5" w:rsidRPr="007222E5">
        <w:t xml:space="preserve">. </w:t>
      </w:r>
      <w:r w:rsidR="00016E0A">
        <w:t xml:space="preserve">While </w:t>
      </w:r>
      <w:proofErr w:type="spellStart"/>
      <w:r w:rsidR="00016E0A">
        <w:t>chemsex</w:t>
      </w:r>
      <w:proofErr w:type="spellEnd"/>
      <w:r w:rsidR="00016E0A">
        <w:t xml:space="preserve"> can foster social bonding and intimacy, it is also linked to </w:t>
      </w:r>
      <w:r w:rsidR="00016E0A" w:rsidRPr="004668D4">
        <w:rPr>
          <w:b/>
          <w:bCs/>
        </w:rPr>
        <w:t>significant public health risks</w:t>
      </w:r>
      <w:r w:rsidR="00016E0A">
        <w:t>, including higher HIV transmission rates, mental health concerns, and overdose.</w:t>
      </w:r>
    </w:p>
    <w:p w14:paraId="178FF2FD" w14:textId="7DBD3105" w:rsidR="00134302" w:rsidRDefault="00016E0A" w:rsidP="00016E0A">
      <w:r>
        <w:t xml:space="preserve">The complex relationship between drug use and sexual behaviour highlights the need for </w:t>
      </w:r>
      <w:r w:rsidRPr="004668D4">
        <w:rPr>
          <w:b/>
          <w:bCs/>
        </w:rPr>
        <w:t>targeted harm reduction strategies and culturally competent support services</w:t>
      </w:r>
      <w:r>
        <w:t xml:space="preserve">. Given the potential underrepresentation of </w:t>
      </w:r>
      <w:r w:rsidR="00AD7B4E">
        <w:t>LGBT+</w:t>
      </w:r>
      <w:r>
        <w:t xml:space="preserve"> individuals in treatment, it is also critical to identify and remove barriers to access. This may include addressing stigma, ensuring inclusive service provision, and improving outreach to groups at higher risk.</w:t>
      </w:r>
    </w:p>
    <w:p w14:paraId="52847DC2" w14:textId="77777777" w:rsidR="00134302" w:rsidRDefault="00134302" w:rsidP="00016E0A"/>
    <w:p w14:paraId="29C128E1" w14:textId="4249779B" w:rsidR="00134302" w:rsidRDefault="00D15289" w:rsidP="00134302">
      <w:pPr>
        <w:pStyle w:val="Heading3"/>
      </w:pPr>
      <w:bookmarkStart w:id="56" w:name="_Toc200479489"/>
      <w:r>
        <w:lastRenderedPageBreak/>
        <w:t>Recommendations</w:t>
      </w:r>
      <w:bookmarkEnd w:id="56"/>
    </w:p>
    <w:p w14:paraId="59C20A98" w14:textId="2EAE0555" w:rsidR="00134302" w:rsidRDefault="00134302" w:rsidP="00134302">
      <w:pPr>
        <w:pStyle w:val="Heading7"/>
      </w:pPr>
      <w:r>
        <w:t xml:space="preserve">Recommendation </w:t>
      </w:r>
      <w:r w:rsidR="002670E1">
        <w:t>4</w:t>
      </w:r>
    </w:p>
    <w:p w14:paraId="622E07CE" w14:textId="0CD4C9FE" w:rsidR="00D15289" w:rsidRPr="00D15289" w:rsidRDefault="00406BE6" w:rsidP="00016E0A">
      <w:r w:rsidRPr="00406BE6">
        <w:t xml:space="preserve">Services should ensure that engagement strategies and treatment approaches are informed by the distinct substance use patterns observed across different age groups. Tailoring </w:t>
      </w:r>
      <w:r>
        <w:t xml:space="preserve">access initiatives and </w:t>
      </w:r>
      <w:r w:rsidRPr="00406BE6">
        <w:t xml:space="preserve">interventions to these variations </w:t>
      </w:r>
      <w:r w:rsidR="002113EC">
        <w:t xml:space="preserve">can </w:t>
      </w:r>
      <w:r w:rsidRPr="00406BE6">
        <w:t>improve accessibility and effectiveness.</w:t>
      </w:r>
    </w:p>
    <w:p w14:paraId="68FC24AD" w14:textId="1B7DCA58" w:rsidR="00D15289" w:rsidRDefault="00D15289" w:rsidP="00D15289">
      <w:pPr>
        <w:pStyle w:val="Heading7"/>
      </w:pPr>
      <w:r w:rsidRPr="00D15289">
        <w:t xml:space="preserve">Recommendation </w:t>
      </w:r>
      <w:r w:rsidR="002670E1">
        <w:t>5</w:t>
      </w:r>
    </w:p>
    <w:p w14:paraId="11FA0BB9" w14:textId="046F500A" w:rsidR="00080197" w:rsidRPr="00080197" w:rsidRDefault="00080197" w:rsidP="00080197">
      <w:r w:rsidRPr="002113EC">
        <w:t>Improved</w:t>
      </w:r>
      <w:r w:rsidRPr="00462661">
        <w:rPr>
          <w:b/>
          <w:bCs/>
        </w:rPr>
        <w:t xml:space="preserve"> </w:t>
      </w:r>
      <w:r w:rsidRPr="002113EC">
        <w:t>data</w:t>
      </w:r>
      <w:r w:rsidRPr="00462661">
        <w:rPr>
          <w:b/>
          <w:bCs/>
        </w:rPr>
        <w:t xml:space="preserve"> </w:t>
      </w:r>
      <w:r w:rsidRPr="002113EC">
        <w:t>collection</w:t>
      </w:r>
      <w:r w:rsidRPr="005F40DD">
        <w:t xml:space="preserve"> for religion</w:t>
      </w:r>
      <w:r>
        <w:t xml:space="preserve"> and</w:t>
      </w:r>
      <w:r w:rsidRPr="005F40DD">
        <w:t xml:space="preserve"> sexual orientation will provide a clearer understanding of the diverse needs of service users, helping to identify and address gaps in care.</w:t>
      </w:r>
      <w:r w:rsidR="00D87FE3">
        <w:t xml:space="preserve"> </w:t>
      </w:r>
      <w:r w:rsidR="00A049E5">
        <w:t xml:space="preserve">In addition, there is a </w:t>
      </w:r>
      <w:r w:rsidR="00D87FE3">
        <w:t>need to record gender</w:t>
      </w:r>
      <w:r w:rsidR="00A049E5">
        <w:t xml:space="preserve"> (and not just sex) in service user data. E</w:t>
      </w:r>
      <w:r w:rsidR="00332668">
        <w:t>vidence suggest</w:t>
      </w:r>
      <w:r w:rsidR="00A049E5">
        <w:t>s there could be</w:t>
      </w:r>
      <w:r w:rsidR="00332668">
        <w:t xml:space="preserve"> high need and potentially high unmet need </w:t>
      </w:r>
      <w:r w:rsidR="009D28C5">
        <w:t xml:space="preserve">in </w:t>
      </w:r>
      <w:r w:rsidR="00B05563">
        <w:t xml:space="preserve">genders </w:t>
      </w:r>
      <w:r w:rsidR="009D28C5">
        <w:t>other than</w:t>
      </w:r>
      <w:r w:rsidR="00B05563">
        <w:t xml:space="preserve"> binary </w:t>
      </w:r>
      <w:r w:rsidR="00332668">
        <w:t>female and male</w:t>
      </w:r>
      <w:r w:rsidR="009D28C5">
        <w:t>,</w:t>
      </w:r>
      <w:r w:rsidR="00B05563">
        <w:t xml:space="preserve"> and monitoring will ensure any gaps in access are identified and can be addressed</w:t>
      </w:r>
      <w:r w:rsidR="00332668">
        <w:t xml:space="preserve">. </w:t>
      </w:r>
    </w:p>
    <w:p w14:paraId="6A62E3EC" w14:textId="79168A4D" w:rsidR="00080197" w:rsidRDefault="00080197" w:rsidP="00D15289">
      <w:pPr>
        <w:pStyle w:val="Heading7"/>
      </w:pPr>
      <w:r>
        <w:t xml:space="preserve">Recommendation </w:t>
      </w:r>
      <w:r w:rsidR="002670E1">
        <w:t>6</w:t>
      </w:r>
    </w:p>
    <w:p w14:paraId="5C8777C9" w14:textId="22C8FB95" w:rsidR="00D87FE3" w:rsidRDefault="009D7924" w:rsidP="00E70AE0">
      <w:r w:rsidRPr="009D7924">
        <w:t xml:space="preserve">Targeted equality work is needed to address the under-representation of key groups with protected characteristics, including Asian and Black communities, religious minorities, and </w:t>
      </w:r>
      <w:r w:rsidR="00217887">
        <w:t>LGBT+ communities</w:t>
      </w:r>
      <w:r w:rsidRPr="009D7924">
        <w:t xml:space="preserve">. This should involve building on culturally competent service models and considering the need for specialist interventions, such as </w:t>
      </w:r>
      <w:proofErr w:type="spellStart"/>
      <w:r w:rsidRPr="009D7924">
        <w:t>chemsex</w:t>
      </w:r>
      <w:proofErr w:type="spellEnd"/>
      <w:r w:rsidRPr="009D7924">
        <w:t>-related services.</w:t>
      </w:r>
      <w:r w:rsidR="00947A02">
        <w:t xml:space="preserve"> </w:t>
      </w:r>
      <w:r w:rsidR="00217887" w:rsidRPr="00217887">
        <w:t>Ensuring physical, sensory, and cognitive accessibility for disabled people is also essential to support equitable access to treatment and recovery services.</w:t>
      </w:r>
    </w:p>
    <w:p w14:paraId="2C1F3844" w14:textId="57546A86" w:rsidR="00AE61A0" w:rsidRPr="00D15289" w:rsidRDefault="00AE61A0" w:rsidP="00E70AE0">
      <w:pPr>
        <w:rPr>
          <w:rFonts w:asciiTheme="majorHAnsi" w:hAnsiTheme="majorHAnsi"/>
          <w:sz w:val="26"/>
          <w:szCs w:val="26"/>
        </w:rPr>
      </w:pPr>
      <w:r w:rsidRPr="00D15289">
        <w:br w:type="page"/>
      </w:r>
    </w:p>
    <w:p w14:paraId="2887436F" w14:textId="02A583BA" w:rsidR="007B301D" w:rsidRDefault="001F3A41" w:rsidP="0080463B">
      <w:pPr>
        <w:pStyle w:val="Heading2"/>
      </w:pPr>
      <w:bookmarkStart w:id="57" w:name="_Toc200479490"/>
      <w:r>
        <w:lastRenderedPageBreak/>
        <w:t xml:space="preserve">Peterborough; </w:t>
      </w:r>
      <w:r w:rsidR="007B301D">
        <w:t>Mortality</w:t>
      </w:r>
      <w:bookmarkEnd w:id="57"/>
    </w:p>
    <w:p w14:paraId="46420FF7" w14:textId="72FA43EC" w:rsidR="00EA481B" w:rsidRDefault="00D205ED" w:rsidP="00EA481B">
      <w:r w:rsidRPr="00D205ED">
        <w:t xml:space="preserve">As discussed in Section </w:t>
      </w:r>
      <w:r w:rsidR="00EB2B21">
        <w:t>4</w:t>
      </w:r>
      <w:r w:rsidRPr="00D205ED">
        <w:t xml:space="preserve">.3, </w:t>
      </w:r>
      <w:r w:rsidRPr="004668D4">
        <w:rPr>
          <w:b/>
          <w:bCs/>
        </w:rPr>
        <w:t>deaths related to alcohol and drug misuse have been increasing in recent years</w:t>
      </w:r>
      <w:r w:rsidRPr="00D205ED">
        <w:t xml:space="preserve">. This concerning trend is recognised both nationally and locally, with efforts underway to address the issue through targeted interventions and preventive measures. In Peterborough, </w:t>
      </w:r>
      <w:r w:rsidRPr="0037411A">
        <w:rPr>
          <w:b/>
          <w:bCs/>
        </w:rPr>
        <w:t>monitoring</w:t>
      </w:r>
      <w:r w:rsidRPr="00D205ED">
        <w:t xml:space="preserve"> drug- and alcohol-related deaths is a critical component of local strategy, enabling timely identification of emerging risks. </w:t>
      </w:r>
      <w:r w:rsidR="005B3EB7">
        <w:t>The local p</w:t>
      </w:r>
      <w:r w:rsidR="00FD4EBE">
        <w:t xml:space="preserve">rocesses follow </w:t>
      </w:r>
      <w:r w:rsidR="00FD4EBE" w:rsidRPr="0037411A">
        <w:rPr>
          <w:b/>
          <w:bCs/>
        </w:rPr>
        <w:t xml:space="preserve">national </w:t>
      </w:r>
      <w:r w:rsidR="005B3EB7" w:rsidRPr="0037411A">
        <w:rPr>
          <w:b/>
          <w:bCs/>
        </w:rPr>
        <w:t xml:space="preserve">recommendations </w:t>
      </w:r>
      <w:r w:rsidR="003F567F" w:rsidRPr="0037411A">
        <w:rPr>
          <w:b/>
          <w:bCs/>
        </w:rPr>
        <w:t xml:space="preserve">for </w:t>
      </w:r>
      <w:r w:rsidR="00FD4EBE" w:rsidRPr="0037411A">
        <w:rPr>
          <w:b/>
          <w:bCs/>
        </w:rPr>
        <w:t>drug alerts and local drug information systems</w:t>
      </w:r>
      <w:r w:rsidR="003F567F" w:rsidRPr="0037411A">
        <w:rPr>
          <w:b/>
          <w:bCs/>
        </w:rPr>
        <w:t xml:space="preserve"> (LDIS)</w:t>
      </w:r>
      <w:r w:rsidR="00D10A4C">
        <w:rPr>
          <w:rStyle w:val="FootnoteReference"/>
          <w:b/>
          <w:bCs/>
        </w:rPr>
        <w:footnoteReference w:id="26"/>
      </w:r>
      <w:r w:rsidR="003F567F" w:rsidRPr="0037411A">
        <w:rPr>
          <w:b/>
          <w:bCs/>
        </w:rPr>
        <w:t>.</w:t>
      </w:r>
      <w:r w:rsidR="003F567F">
        <w:t xml:space="preserve"> </w:t>
      </w:r>
      <w:r w:rsidRPr="00D205ED">
        <w:t xml:space="preserve">This system relies on </w:t>
      </w:r>
      <w:r w:rsidRPr="0037411A">
        <w:rPr>
          <w:b/>
          <w:bCs/>
        </w:rPr>
        <w:t>close collaboration</w:t>
      </w:r>
      <w:r w:rsidRPr="00D205ED">
        <w:t xml:space="preserve"> between partners, including health</w:t>
      </w:r>
      <w:r w:rsidR="003F567F">
        <w:t xml:space="preserve"> and ambulance</w:t>
      </w:r>
      <w:r w:rsidRPr="00D205ED">
        <w:t xml:space="preserve"> services, the police, and other key stakeholders, to ensure a coordinated and effective response to these challenges.</w:t>
      </w:r>
    </w:p>
    <w:p w14:paraId="5BB3453C" w14:textId="77777777" w:rsidR="00A3151F" w:rsidRDefault="00A3151F" w:rsidP="00EA481B"/>
    <w:p w14:paraId="710B105D" w14:textId="16051F7F" w:rsidR="00FF2A28" w:rsidRDefault="003E4109" w:rsidP="00FF2A28">
      <w:pPr>
        <w:pStyle w:val="Heading3"/>
      </w:pPr>
      <w:bookmarkStart w:id="58" w:name="_Toc200479491"/>
      <w:r>
        <w:t>Deaths from Drug Misuse</w:t>
      </w:r>
      <w:bookmarkEnd w:id="58"/>
    </w:p>
    <w:p w14:paraId="18A742E6" w14:textId="77777777" w:rsidR="00520E63" w:rsidRPr="00520E63" w:rsidRDefault="00520E63" w:rsidP="00520E63">
      <w:pPr>
        <w:spacing w:line="256" w:lineRule="auto"/>
        <w:rPr>
          <w:rFonts w:ascii="Aptos" w:eastAsia="Aptos" w:hAnsi="Aptos" w:cs="Arial"/>
        </w:rPr>
      </w:pPr>
      <w:r w:rsidRPr="00520E63">
        <w:rPr>
          <w:rFonts w:ascii="Aptos" w:eastAsia="Aptos" w:hAnsi="Aptos" w:cs="Arial"/>
        </w:rPr>
        <w:t xml:space="preserve">In Peterborough, the </w:t>
      </w:r>
      <w:r w:rsidRPr="00AB71E8">
        <w:rPr>
          <w:rFonts w:ascii="Aptos" w:eastAsia="Aptos" w:hAnsi="Aptos" w:cs="Arial"/>
          <w:b/>
          <w:bCs/>
        </w:rPr>
        <w:t>rate of drug misuse deaths</w:t>
      </w:r>
      <w:r w:rsidRPr="00520E63">
        <w:rPr>
          <w:rFonts w:ascii="Aptos" w:eastAsia="Aptos" w:hAnsi="Aptos" w:cs="Arial"/>
        </w:rPr>
        <w:t xml:space="preserve"> in the most recently reported data (2023) was </w:t>
      </w:r>
      <w:r w:rsidRPr="00AB71E8">
        <w:rPr>
          <w:rFonts w:ascii="Aptos" w:eastAsia="Aptos" w:hAnsi="Aptos" w:cs="Arial"/>
          <w:b/>
          <w:bCs/>
        </w:rPr>
        <w:t>6.6 per 100,000</w:t>
      </w:r>
      <w:r w:rsidRPr="00520E63">
        <w:rPr>
          <w:rFonts w:ascii="Aptos" w:eastAsia="Aptos" w:hAnsi="Aptos" w:cs="Arial"/>
        </w:rPr>
        <w:t xml:space="preserve">, which was </w:t>
      </w:r>
      <w:r w:rsidRPr="00AB71E8">
        <w:rPr>
          <w:rFonts w:ascii="Aptos" w:eastAsia="Aptos" w:hAnsi="Aptos" w:cs="Arial"/>
          <w:b/>
          <w:bCs/>
        </w:rPr>
        <w:t>higher than the national average</w:t>
      </w:r>
      <w:r w:rsidRPr="00520E63">
        <w:rPr>
          <w:rFonts w:ascii="Aptos" w:eastAsia="Aptos" w:hAnsi="Aptos" w:cs="Arial"/>
        </w:rPr>
        <w:t xml:space="preserve"> of 5.5 of 100,000. </w:t>
      </w:r>
    </w:p>
    <w:p w14:paraId="63BE3CB5" w14:textId="6980BE9F" w:rsidR="00520E63" w:rsidRPr="00520E63" w:rsidRDefault="00520E63" w:rsidP="00520E63">
      <w:pPr>
        <w:spacing w:line="256" w:lineRule="auto"/>
        <w:rPr>
          <w:rFonts w:ascii="Aptos" w:eastAsia="Aptos" w:hAnsi="Aptos" w:cs="Arial"/>
        </w:rPr>
      </w:pPr>
      <w:r w:rsidRPr="00520E63">
        <w:rPr>
          <w:rFonts w:ascii="Aptos" w:eastAsia="Aptos" w:hAnsi="Aptos" w:cs="Arial"/>
        </w:rPr>
        <w:t xml:space="preserve">Table </w:t>
      </w:r>
      <w:r w:rsidR="00013C03">
        <w:rPr>
          <w:rFonts w:ascii="Aptos" w:eastAsia="Aptos" w:hAnsi="Aptos" w:cs="Arial"/>
        </w:rPr>
        <w:t>5</w:t>
      </w:r>
      <w:r w:rsidR="0080463B">
        <w:rPr>
          <w:rFonts w:ascii="Aptos" w:eastAsia="Aptos" w:hAnsi="Aptos" w:cs="Arial"/>
        </w:rPr>
        <w:t>.5a</w:t>
      </w:r>
      <w:r w:rsidRPr="00520E63">
        <w:rPr>
          <w:rFonts w:ascii="Aptos" w:eastAsia="Aptos" w:hAnsi="Aptos" w:cs="Arial"/>
        </w:rPr>
        <w:t xml:space="preserve"> and </w:t>
      </w:r>
      <w:r w:rsidR="0080463B">
        <w:rPr>
          <w:rFonts w:ascii="Aptos" w:eastAsia="Aptos" w:hAnsi="Aptos" w:cs="Arial"/>
        </w:rPr>
        <w:t>F</w:t>
      </w:r>
      <w:r w:rsidRPr="00520E63">
        <w:rPr>
          <w:rFonts w:ascii="Aptos" w:eastAsia="Aptos" w:hAnsi="Aptos" w:cs="Arial"/>
        </w:rPr>
        <w:t xml:space="preserve">igure </w:t>
      </w:r>
      <w:r w:rsidR="00013C03">
        <w:rPr>
          <w:rFonts w:ascii="Aptos" w:eastAsia="Aptos" w:hAnsi="Aptos" w:cs="Arial"/>
        </w:rPr>
        <w:t>5</w:t>
      </w:r>
      <w:r w:rsidR="0080463B">
        <w:rPr>
          <w:rFonts w:ascii="Aptos" w:eastAsia="Aptos" w:hAnsi="Aptos" w:cs="Arial"/>
        </w:rPr>
        <w:t>.5a</w:t>
      </w:r>
      <w:r w:rsidRPr="00520E63">
        <w:rPr>
          <w:rFonts w:ascii="Aptos" w:eastAsia="Aptos" w:hAnsi="Aptos" w:cs="Arial"/>
        </w:rPr>
        <w:t xml:space="preserve"> below show that deaths relating to substance misuse has </w:t>
      </w:r>
      <w:r w:rsidRPr="00AB71E8">
        <w:rPr>
          <w:rFonts w:ascii="Aptos" w:eastAsia="Aptos" w:hAnsi="Aptos" w:cs="Arial"/>
          <w:b/>
          <w:bCs/>
        </w:rPr>
        <w:t>risen in recent years (since 201</w:t>
      </w:r>
      <w:r w:rsidR="00F73BB6" w:rsidRPr="00AB71E8">
        <w:rPr>
          <w:rFonts w:ascii="Aptos" w:eastAsia="Aptos" w:hAnsi="Aptos" w:cs="Arial"/>
          <w:b/>
          <w:bCs/>
        </w:rPr>
        <w:t>3</w:t>
      </w:r>
      <w:r w:rsidRPr="00AB71E8">
        <w:rPr>
          <w:rFonts w:ascii="Aptos" w:eastAsia="Aptos" w:hAnsi="Aptos" w:cs="Arial"/>
          <w:b/>
          <w:bCs/>
        </w:rPr>
        <w:t>-20</w:t>
      </w:r>
      <w:r w:rsidR="008D5E4F" w:rsidRPr="00AB71E8">
        <w:rPr>
          <w:rFonts w:ascii="Aptos" w:eastAsia="Aptos" w:hAnsi="Aptos" w:cs="Arial"/>
          <w:b/>
          <w:bCs/>
        </w:rPr>
        <w:t>15</w:t>
      </w:r>
      <w:r w:rsidRPr="00AB71E8">
        <w:rPr>
          <w:rFonts w:ascii="Aptos" w:eastAsia="Aptos" w:hAnsi="Aptos" w:cs="Arial"/>
          <w:b/>
          <w:bCs/>
        </w:rPr>
        <w:t>) across all areas</w:t>
      </w:r>
      <w:r w:rsidRPr="00520E63">
        <w:rPr>
          <w:rFonts w:ascii="Aptos" w:eastAsia="Aptos" w:hAnsi="Aptos" w:cs="Arial"/>
        </w:rPr>
        <w:t xml:space="preserve">. There was a particularly </w:t>
      </w:r>
      <w:r w:rsidR="00335F40">
        <w:rPr>
          <w:rFonts w:ascii="Aptos" w:eastAsia="Aptos" w:hAnsi="Aptos" w:cs="Arial"/>
        </w:rPr>
        <w:t>sharp increase</w:t>
      </w:r>
      <w:r w:rsidRPr="00520E63">
        <w:rPr>
          <w:rFonts w:ascii="Aptos" w:eastAsia="Aptos" w:hAnsi="Aptos" w:cs="Arial"/>
        </w:rPr>
        <w:t xml:space="preserve"> for Peterborough, although this is for lower absolute numbers, which leads to bigger fluctuations. </w:t>
      </w:r>
    </w:p>
    <w:p w14:paraId="142BCCB7" w14:textId="13151291" w:rsidR="00520E63" w:rsidRPr="00520E63" w:rsidRDefault="00520E63" w:rsidP="001978B4">
      <w:pPr>
        <w:pStyle w:val="Heading6"/>
      </w:pPr>
      <w:r w:rsidRPr="00520E63">
        <w:t xml:space="preserve">Table </w:t>
      </w:r>
      <w:r w:rsidR="00F17F55">
        <w:t>5</w:t>
      </w:r>
      <w:r w:rsidR="0080463B">
        <w:t>.5a</w:t>
      </w:r>
      <w:r w:rsidRPr="00520E63">
        <w:t xml:space="preserve">. Deaths from substance misuse in three-year periods from 2018, in England, East of England region and Peterborough. </w:t>
      </w:r>
    </w:p>
    <w:tbl>
      <w:tblPr>
        <w:tblStyle w:val="TableGrid1"/>
        <w:tblW w:w="0" w:type="auto"/>
        <w:tblInd w:w="0" w:type="dxa"/>
        <w:tblLook w:val="04A0" w:firstRow="1" w:lastRow="0" w:firstColumn="1" w:lastColumn="0" w:noHBand="0" w:noVBand="1"/>
      </w:tblPr>
      <w:tblGrid>
        <w:gridCol w:w="1803"/>
        <w:gridCol w:w="1803"/>
        <w:gridCol w:w="1803"/>
        <w:gridCol w:w="1803"/>
        <w:gridCol w:w="1804"/>
      </w:tblGrid>
      <w:tr w:rsidR="00520E63" w:rsidRPr="00520E63" w14:paraId="4D9D34D4" w14:textId="77777777" w:rsidTr="00520E63">
        <w:tc>
          <w:tcPr>
            <w:tcW w:w="9016" w:type="dxa"/>
            <w:gridSpan w:val="5"/>
            <w:tcBorders>
              <w:top w:val="single" w:sz="4" w:space="0" w:color="auto"/>
              <w:left w:val="single" w:sz="4" w:space="0" w:color="auto"/>
              <w:bottom w:val="single" w:sz="4" w:space="0" w:color="auto"/>
              <w:right w:val="single" w:sz="4" w:space="0" w:color="auto"/>
            </w:tcBorders>
            <w:hideMark/>
          </w:tcPr>
          <w:p w14:paraId="6F593D9A" w14:textId="77777777" w:rsidR="00520E63" w:rsidRPr="00520E63" w:rsidRDefault="00520E63" w:rsidP="00520E63">
            <w:r w:rsidRPr="00520E63">
              <w:rPr>
                <w:b/>
                <w:bCs/>
              </w:rPr>
              <w:t>Directly Age-Standardised Rate (DASR) - per 100,000</w:t>
            </w:r>
          </w:p>
        </w:tc>
      </w:tr>
      <w:tr w:rsidR="00520E63" w:rsidRPr="00520E63" w14:paraId="309B8FD0"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23009AD5" w14:textId="77777777" w:rsidR="00520E63" w:rsidRPr="00520E63" w:rsidRDefault="00520E63" w:rsidP="00520E63">
            <w:pPr>
              <w:rPr>
                <w:b/>
                <w:bCs/>
              </w:rPr>
            </w:pPr>
            <w:r w:rsidRPr="00520E63">
              <w:rPr>
                <w:b/>
                <w:bCs/>
              </w:rPr>
              <w:t>Area</w:t>
            </w:r>
          </w:p>
        </w:tc>
        <w:tc>
          <w:tcPr>
            <w:tcW w:w="1803" w:type="dxa"/>
            <w:tcBorders>
              <w:top w:val="single" w:sz="4" w:space="0" w:color="auto"/>
              <w:left w:val="single" w:sz="4" w:space="0" w:color="auto"/>
              <w:bottom w:val="single" w:sz="4" w:space="0" w:color="auto"/>
              <w:right w:val="single" w:sz="4" w:space="0" w:color="auto"/>
            </w:tcBorders>
            <w:hideMark/>
          </w:tcPr>
          <w:p w14:paraId="6940B3D8" w14:textId="77777777" w:rsidR="00520E63" w:rsidRPr="00520E63" w:rsidRDefault="00520E63" w:rsidP="00520E63">
            <w:pPr>
              <w:rPr>
                <w:b/>
                <w:bCs/>
              </w:rPr>
            </w:pPr>
            <w:r w:rsidRPr="00520E63">
              <w:rPr>
                <w:b/>
                <w:bCs/>
              </w:rPr>
              <w:t>2018-2020</w:t>
            </w:r>
          </w:p>
        </w:tc>
        <w:tc>
          <w:tcPr>
            <w:tcW w:w="1803" w:type="dxa"/>
            <w:tcBorders>
              <w:top w:val="single" w:sz="4" w:space="0" w:color="auto"/>
              <w:left w:val="single" w:sz="4" w:space="0" w:color="auto"/>
              <w:bottom w:val="single" w:sz="4" w:space="0" w:color="auto"/>
              <w:right w:val="single" w:sz="4" w:space="0" w:color="auto"/>
            </w:tcBorders>
            <w:hideMark/>
          </w:tcPr>
          <w:p w14:paraId="724056D5" w14:textId="77777777" w:rsidR="00520E63" w:rsidRPr="00520E63" w:rsidRDefault="00520E63" w:rsidP="00520E63">
            <w:pPr>
              <w:rPr>
                <w:b/>
                <w:bCs/>
              </w:rPr>
            </w:pPr>
            <w:r w:rsidRPr="00520E63">
              <w:rPr>
                <w:b/>
                <w:bCs/>
              </w:rPr>
              <w:t>2019-2021</w:t>
            </w:r>
          </w:p>
        </w:tc>
        <w:tc>
          <w:tcPr>
            <w:tcW w:w="1803" w:type="dxa"/>
            <w:tcBorders>
              <w:top w:val="single" w:sz="4" w:space="0" w:color="auto"/>
              <w:left w:val="single" w:sz="4" w:space="0" w:color="auto"/>
              <w:bottom w:val="single" w:sz="4" w:space="0" w:color="auto"/>
              <w:right w:val="single" w:sz="4" w:space="0" w:color="auto"/>
            </w:tcBorders>
            <w:hideMark/>
          </w:tcPr>
          <w:p w14:paraId="295022C4" w14:textId="77777777" w:rsidR="00520E63" w:rsidRPr="00520E63" w:rsidRDefault="00520E63" w:rsidP="00520E63">
            <w:pPr>
              <w:rPr>
                <w:b/>
                <w:bCs/>
              </w:rPr>
            </w:pPr>
            <w:r w:rsidRPr="00520E63">
              <w:rPr>
                <w:b/>
                <w:bCs/>
              </w:rPr>
              <w:t>2020-2022</w:t>
            </w:r>
          </w:p>
        </w:tc>
        <w:tc>
          <w:tcPr>
            <w:tcW w:w="1804" w:type="dxa"/>
            <w:tcBorders>
              <w:top w:val="single" w:sz="4" w:space="0" w:color="auto"/>
              <w:left w:val="single" w:sz="4" w:space="0" w:color="auto"/>
              <w:bottom w:val="single" w:sz="4" w:space="0" w:color="auto"/>
              <w:right w:val="single" w:sz="4" w:space="0" w:color="auto"/>
            </w:tcBorders>
            <w:hideMark/>
          </w:tcPr>
          <w:p w14:paraId="02527693" w14:textId="77777777" w:rsidR="00520E63" w:rsidRPr="00520E63" w:rsidRDefault="00520E63" w:rsidP="00520E63">
            <w:pPr>
              <w:rPr>
                <w:b/>
                <w:bCs/>
              </w:rPr>
            </w:pPr>
            <w:r w:rsidRPr="00520E63">
              <w:rPr>
                <w:b/>
                <w:bCs/>
              </w:rPr>
              <w:t>2021-2023</w:t>
            </w:r>
          </w:p>
        </w:tc>
      </w:tr>
      <w:tr w:rsidR="00520E63" w:rsidRPr="00520E63" w14:paraId="563439CF"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5AE8F10F" w14:textId="77777777" w:rsidR="00520E63" w:rsidRPr="00520E63" w:rsidRDefault="00520E63" w:rsidP="00520E63">
            <w:r w:rsidRPr="00520E63">
              <w:t>England</w:t>
            </w:r>
          </w:p>
        </w:tc>
        <w:tc>
          <w:tcPr>
            <w:tcW w:w="1803" w:type="dxa"/>
            <w:tcBorders>
              <w:top w:val="single" w:sz="4" w:space="0" w:color="auto"/>
              <w:left w:val="single" w:sz="4" w:space="0" w:color="auto"/>
              <w:bottom w:val="single" w:sz="4" w:space="0" w:color="auto"/>
              <w:right w:val="single" w:sz="4" w:space="0" w:color="auto"/>
            </w:tcBorders>
            <w:hideMark/>
          </w:tcPr>
          <w:p w14:paraId="3574BCC5" w14:textId="77777777" w:rsidR="00520E63" w:rsidRPr="00520E63" w:rsidRDefault="00520E63" w:rsidP="00520E63">
            <w:r w:rsidRPr="00520E63">
              <w:t>5.0</w:t>
            </w:r>
          </w:p>
        </w:tc>
        <w:tc>
          <w:tcPr>
            <w:tcW w:w="1803" w:type="dxa"/>
            <w:tcBorders>
              <w:top w:val="single" w:sz="4" w:space="0" w:color="auto"/>
              <w:left w:val="single" w:sz="4" w:space="0" w:color="auto"/>
              <w:bottom w:val="single" w:sz="4" w:space="0" w:color="auto"/>
              <w:right w:val="single" w:sz="4" w:space="0" w:color="auto"/>
            </w:tcBorders>
            <w:hideMark/>
          </w:tcPr>
          <w:p w14:paraId="5A7A8FC1" w14:textId="77777777" w:rsidR="00520E63" w:rsidRPr="00520E63" w:rsidRDefault="00520E63" w:rsidP="00520E63">
            <w:r w:rsidRPr="00520E63">
              <w:t>5.1</w:t>
            </w:r>
          </w:p>
        </w:tc>
        <w:tc>
          <w:tcPr>
            <w:tcW w:w="1803" w:type="dxa"/>
            <w:tcBorders>
              <w:top w:val="single" w:sz="4" w:space="0" w:color="auto"/>
              <w:left w:val="single" w:sz="4" w:space="0" w:color="auto"/>
              <w:bottom w:val="single" w:sz="4" w:space="0" w:color="auto"/>
              <w:right w:val="single" w:sz="4" w:space="0" w:color="auto"/>
            </w:tcBorders>
            <w:hideMark/>
          </w:tcPr>
          <w:p w14:paraId="2AE9D62D" w14:textId="77777777" w:rsidR="00520E63" w:rsidRPr="00520E63" w:rsidRDefault="00520E63" w:rsidP="00520E63">
            <w:r w:rsidRPr="00520E63">
              <w:t>5.2</w:t>
            </w:r>
          </w:p>
        </w:tc>
        <w:tc>
          <w:tcPr>
            <w:tcW w:w="1804" w:type="dxa"/>
            <w:tcBorders>
              <w:top w:val="single" w:sz="4" w:space="0" w:color="auto"/>
              <w:left w:val="single" w:sz="4" w:space="0" w:color="auto"/>
              <w:bottom w:val="single" w:sz="4" w:space="0" w:color="auto"/>
              <w:right w:val="single" w:sz="4" w:space="0" w:color="auto"/>
            </w:tcBorders>
            <w:hideMark/>
          </w:tcPr>
          <w:p w14:paraId="67CA47E0" w14:textId="77777777" w:rsidR="00520E63" w:rsidRPr="00520E63" w:rsidRDefault="00520E63" w:rsidP="00520E63">
            <w:r w:rsidRPr="00520E63">
              <w:t>5.5</w:t>
            </w:r>
          </w:p>
        </w:tc>
      </w:tr>
      <w:tr w:rsidR="00520E63" w:rsidRPr="00520E63" w14:paraId="15700B09"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2C9AA772" w14:textId="77777777" w:rsidR="00520E63" w:rsidRPr="00520E63" w:rsidRDefault="00520E63" w:rsidP="00520E63">
            <w:r w:rsidRPr="00520E63">
              <w:t>East of England</w:t>
            </w:r>
          </w:p>
        </w:tc>
        <w:tc>
          <w:tcPr>
            <w:tcW w:w="1803" w:type="dxa"/>
            <w:tcBorders>
              <w:top w:val="single" w:sz="4" w:space="0" w:color="auto"/>
              <w:left w:val="single" w:sz="4" w:space="0" w:color="auto"/>
              <w:bottom w:val="single" w:sz="4" w:space="0" w:color="auto"/>
              <w:right w:val="single" w:sz="4" w:space="0" w:color="auto"/>
            </w:tcBorders>
            <w:hideMark/>
          </w:tcPr>
          <w:p w14:paraId="441693CF" w14:textId="77777777" w:rsidR="00520E63" w:rsidRPr="00520E63" w:rsidRDefault="00520E63" w:rsidP="00520E63">
            <w:r w:rsidRPr="00520E63">
              <w:t>3.7</w:t>
            </w:r>
          </w:p>
        </w:tc>
        <w:tc>
          <w:tcPr>
            <w:tcW w:w="1803" w:type="dxa"/>
            <w:tcBorders>
              <w:top w:val="single" w:sz="4" w:space="0" w:color="auto"/>
              <w:left w:val="single" w:sz="4" w:space="0" w:color="auto"/>
              <w:bottom w:val="single" w:sz="4" w:space="0" w:color="auto"/>
              <w:right w:val="single" w:sz="4" w:space="0" w:color="auto"/>
            </w:tcBorders>
            <w:hideMark/>
          </w:tcPr>
          <w:p w14:paraId="31314C69" w14:textId="77777777" w:rsidR="00520E63" w:rsidRPr="00520E63" w:rsidRDefault="00520E63" w:rsidP="00520E63">
            <w:r w:rsidRPr="00520E63">
              <w:t>3.2</w:t>
            </w:r>
          </w:p>
        </w:tc>
        <w:tc>
          <w:tcPr>
            <w:tcW w:w="1803" w:type="dxa"/>
            <w:tcBorders>
              <w:top w:val="single" w:sz="4" w:space="0" w:color="auto"/>
              <w:left w:val="single" w:sz="4" w:space="0" w:color="auto"/>
              <w:bottom w:val="single" w:sz="4" w:space="0" w:color="auto"/>
              <w:right w:val="single" w:sz="4" w:space="0" w:color="auto"/>
            </w:tcBorders>
            <w:hideMark/>
          </w:tcPr>
          <w:p w14:paraId="4B4D1450" w14:textId="77777777" w:rsidR="00520E63" w:rsidRPr="00520E63" w:rsidRDefault="00520E63" w:rsidP="00520E63">
            <w:r w:rsidRPr="00520E63">
              <w:t>3.4</w:t>
            </w:r>
          </w:p>
        </w:tc>
        <w:tc>
          <w:tcPr>
            <w:tcW w:w="1804" w:type="dxa"/>
            <w:tcBorders>
              <w:top w:val="single" w:sz="4" w:space="0" w:color="auto"/>
              <w:left w:val="single" w:sz="4" w:space="0" w:color="auto"/>
              <w:bottom w:val="single" w:sz="4" w:space="0" w:color="auto"/>
              <w:right w:val="single" w:sz="4" w:space="0" w:color="auto"/>
            </w:tcBorders>
            <w:hideMark/>
          </w:tcPr>
          <w:p w14:paraId="6711156E" w14:textId="77777777" w:rsidR="00520E63" w:rsidRPr="00520E63" w:rsidRDefault="00520E63" w:rsidP="00520E63">
            <w:r w:rsidRPr="00520E63">
              <w:t>3.6</w:t>
            </w:r>
          </w:p>
        </w:tc>
      </w:tr>
      <w:tr w:rsidR="00520E63" w:rsidRPr="00520E63" w14:paraId="20AC5BF9"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0664053B" w14:textId="77777777" w:rsidR="00520E63" w:rsidRPr="00520E63" w:rsidRDefault="00520E63" w:rsidP="00520E63">
            <w:r w:rsidRPr="00520E63">
              <w:t>Peterborough</w:t>
            </w:r>
          </w:p>
        </w:tc>
        <w:tc>
          <w:tcPr>
            <w:tcW w:w="1803" w:type="dxa"/>
            <w:tcBorders>
              <w:top w:val="single" w:sz="4" w:space="0" w:color="auto"/>
              <w:left w:val="single" w:sz="4" w:space="0" w:color="auto"/>
              <w:bottom w:val="single" w:sz="4" w:space="0" w:color="auto"/>
              <w:right w:val="single" w:sz="4" w:space="0" w:color="auto"/>
            </w:tcBorders>
            <w:hideMark/>
          </w:tcPr>
          <w:p w14:paraId="46295B4F" w14:textId="77777777" w:rsidR="00520E63" w:rsidRPr="00520E63" w:rsidRDefault="00520E63" w:rsidP="00520E63">
            <w:r w:rsidRPr="00520E63">
              <w:t>4.2</w:t>
            </w:r>
          </w:p>
        </w:tc>
        <w:tc>
          <w:tcPr>
            <w:tcW w:w="1803" w:type="dxa"/>
            <w:tcBorders>
              <w:top w:val="single" w:sz="4" w:space="0" w:color="auto"/>
              <w:left w:val="single" w:sz="4" w:space="0" w:color="auto"/>
              <w:bottom w:val="single" w:sz="4" w:space="0" w:color="auto"/>
              <w:right w:val="single" w:sz="4" w:space="0" w:color="auto"/>
            </w:tcBorders>
            <w:hideMark/>
          </w:tcPr>
          <w:p w14:paraId="3BA0CC5A" w14:textId="77777777" w:rsidR="00520E63" w:rsidRPr="00520E63" w:rsidRDefault="00520E63" w:rsidP="00520E63">
            <w:r w:rsidRPr="00520E63">
              <w:t>4.0</w:t>
            </w:r>
          </w:p>
        </w:tc>
        <w:tc>
          <w:tcPr>
            <w:tcW w:w="1803" w:type="dxa"/>
            <w:tcBorders>
              <w:top w:val="single" w:sz="4" w:space="0" w:color="auto"/>
              <w:left w:val="single" w:sz="4" w:space="0" w:color="auto"/>
              <w:bottom w:val="single" w:sz="4" w:space="0" w:color="auto"/>
              <w:right w:val="single" w:sz="4" w:space="0" w:color="auto"/>
            </w:tcBorders>
            <w:hideMark/>
          </w:tcPr>
          <w:p w14:paraId="22CC6CB1" w14:textId="77777777" w:rsidR="00520E63" w:rsidRPr="00520E63" w:rsidRDefault="00520E63" w:rsidP="00520E63">
            <w:r w:rsidRPr="00520E63">
              <w:t>4.9</w:t>
            </w:r>
          </w:p>
        </w:tc>
        <w:tc>
          <w:tcPr>
            <w:tcW w:w="1804" w:type="dxa"/>
            <w:tcBorders>
              <w:top w:val="single" w:sz="4" w:space="0" w:color="auto"/>
              <w:left w:val="single" w:sz="4" w:space="0" w:color="auto"/>
              <w:bottom w:val="single" w:sz="4" w:space="0" w:color="auto"/>
              <w:right w:val="single" w:sz="4" w:space="0" w:color="auto"/>
            </w:tcBorders>
            <w:hideMark/>
          </w:tcPr>
          <w:p w14:paraId="17728D88" w14:textId="77777777" w:rsidR="00520E63" w:rsidRPr="00520E63" w:rsidRDefault="00520E63" w:rsidP="00520E63">
            <w:r w:rsidRPr="00520E63">
              <w:t>6.6</w:t>
            </w:r>
          </w:p>
        </w:tc>
      </w:tr>
      <w:tr w:rsidR="00520E63" w:rsidRPr="00520E63" w14:paraId="33F150C4" w14:textId="77777777" w:rsidTr="00520E63">
        <w:tc>
          <w:tcPr>
            <w:tcW w:w="9016" w:type="dxa"/>
            <w:gridSpan w:val="5"/>
            <w:tcBorders>
              <w:top w:val="single" w:sz="4" w:space="0" w:color="auto"/>
              <w:left w:val="single" w:sz="4" w:space="0" w:color="auto"/>
              <w:bottom w:val="single" w:sz="4" w:space="0" w:color="auto"/>
              <w:right w:val="single" w:sz="4" w:space="0" w:color="auto"/>
            </w:tcBorders>
            <w:hideMark/>
          </w:tcPr>
          <w:p w14:paraId="0F511077" w14:textId="77777777" w:rsidR="00520E63" w:rsidRPr="00520E63" w:rsidRDefault="00520E63" w:rsidP="00520E63">
            <w:r w:rsidRPr="00520E63">
              <w:rPr>
                <w:b/>
                <w:bCs/>
              </w:rPr>
              <w:t>Number of Cases</w:t>
            </w:r>
          </w:p>
        </w:tc>
      </w:tr>
      <w:tr w:rsidR="00520E63" w:rsidRPr="00520E63" w14:paraId="31E9318D"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4BB43722" w14:textId="77777777" w:rsidR="00520E63" w:rsidRPr="00520E63" w:rsidRDefault="00520E63" w:rsidP="00520E63">
            <w:pPr>
              <w:rPr>
                <w:b/>
                <w:bCs/>
              </w:rPr>
            </w:pPr>
            <w:r w:rsidRPr="00520E63">
              <w:rPr>
                <w:b/>
                <w:bCs/>
              </w:rPr>
              <w:t>Area</w:t>
            </w:r>
          </w:p>
        </w:tc>
        <w:tc>
          <w:tcPr>
            <w:tcW w:w="1803" w:type="dxa"/>
            <w:tcBorders>
              <w:top w:val="single" w:sz="4" w:space="0" w:color="auto"/>
              <w:left w:val="single" w:sz="4" w:space="0" w:color="auto"/>
              <w:bottom w:val="single" w:sz="4" w:space="0" w:color="auto"/>
              <w:right w:val="single" w:sz="4" w:space="0" w:color="auto"/>
            </w:tcBorders>
            <w:hideMark/>
          </w:tcPr>
          <w:p w14:paraId="5BB3FB93" w14:textId="77777777" w:rsidR="00520E63" w:rsidRPr="00520E63" w:rsidRDefault="00520E63" w:rsidP="00520E63">
            <w:r w:rsidRPr="00520E63">
              <w:rPr>
                <w:b/>
                <w:bCs/>
              </w:rPr>
              <w:t>2018-2020</w:t>
            </w:r>
          </w:p>
        </w:tc>
        <w:tc>
          <w:tcPr>
            <w:tcW w:w="1803" w:type="dxa"/>
            <w:tcBorders>
              <w:top w:val="single" w:sz="4" w:space="0" w:color="auto"/>
              <w:left w:val="single" w:sz="4" w:space="0" w:color="auto"/>
              <w:bottom w:val="single" w:sz="4" w:space="0" w:color="auto"/>
              <w:right w:val="single" w:sz="4" w:space="0" w:color="auto"/>
            </w:tcBorders>
            <w:hideMark/>
          </w:tcPr>
          <w:p w14:paraId="22C729A5" w14:textId="77777777" w:rsidR="00520E63" w:rsidRPr="00520E63" w:rsidRDefault="00520E63" w:rsidP="00520E63">
            <w:r w:rsidRPr="00520E63">
              <w:rPr>
                <w:b/>
                <w:bCs/>
              </w:rPr>
              <w:t>2019-2021</w:t>
            </w:r>
          </w:p>
        </w:tc>
        <w:tc>
          <w:tcPr>
            <w:tcW w:w="1803" w:type="dxa"/>
            <w:tcBorders>
              <w:top w:val="single" w:sz="4" w:space="0" w:color="auto"/>
              <w:left w:val="single" w:sz="4" w:space="0" w:color="auto"/>
              <w:bottom w:val="single" w:sz="4" w:space="0" w:color="auto"/>
              <w:right w:val="single" w:sz="4" w:space="0" w:color="auto"/>
            </w:tcBorders>
            <w:hideMark/>
          </w:tcPr>
          <w:p w14:paraId="4D95605A" w14:textId="77777777" w:rsidR="00520E63" w:rsidRPr="00520E63" w:rsidRDefault="00520E63" w:rsidP="00520E63">
            <w:r w:rsidRPr="00520E63">
              <w:rPr>
                <w:b/>
                <w:bCs/>
              </w:rPr>
              <w:t>2020-2022</w:t>
            </w:r>
          </w:p>
        </w:tc>
        <w:tc>
          <w:tcPr>
            <w:tcW w:w="1804" w:type="dxa"/>
            <w:tcBorders>
              <w:top w:val="single" w:sz="4" w:space="0" w:color="auto"/>
              <w:left w:val="single" w:sz="4" w:space="0" w:color="auto"/>
              <w:bottom w:val="single" w:sz="4" w:space="0" w:color="auto"/>
              <w:right w:val="single" w:sz="4" w:space="0" w:color="auto"/>
            </w:tcBorders>
            <w:hideMark/>
          </w:tcPr>
          <w:p w14:paraId="769E4C7C" w14:textId="77777777" w:rsidR="00520E63" w:rsidRPr="00520E63" w:rsidRDefault="00520E63" w:rsidP="00520E63">
            <w:r w:rsidRPr="00520E63">
              <w:rPr>
                <w:b/>
                <w:bCs/>
              </w:rPr>
              <w:t>2021-2023</w:t>
            </w:r>
          </w:p>
        </w:tc>
      </w:tr>
      <w:tr w:rsidR="00520E63" w:rsidRPr="00520E63" w14:paraId="4E961B05"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5A1EB57A" w14:textId="77777777" w:rsidR="00520E63" w:rsidRPr="00520E63" w:rsidRDefault="00520E63" w:rsidP="00520E63">
            <w:r w:rsidRPr="00520E63">
              <w:t>England</w:t>
            </w:r>
          </w:p>
        </w:tc>
        <w:tc>
          <w:tcPr>
            <w:tcW w:w="1803" w:type="dxa"/>
            <w:tcBorders>
              <w:top w:val="single" w:sz="4" w:space="0" w:color="auto"/>
              <w:left w:val="single" w:sz="4" w:space="0" w:color="auto"/>
              <w:bottom w:val="single" w:sz="4" w:space="0" w:color="auto"/>
              <w:right w:val="single" w:sz="4" w:space="0" w:color="auto"/>
            </w:tcBorders>
            <w:hideMark/>
          </w:tcPr>
          <w:p w14:paraId="6724FF8E" w14:textId="77777777" w:rsidR="00520E63" w:rsidRPr="00520E63" w:rsidRDefault="00520E63" w:rsidP="00520E63">
            <w:r w:rsidRPr="00520E63">
              <w:t>8,185</w:t>
            </w:r>
          </w:p>
        </w:tc>
        <w:tc>
          <w:tcPr>
            <w:tcW w:w="1803" w:type="dxa"/>
            <w:tcBorders>
              <w:top w:val="single" w:sz="4" w:space="0" w:color="auto"/>
              <w:left w:val="single" w:sz="4" w:space="0" w:color="auto"/>
              <w:bottom w:val="single" w:sz="4" w:space="0" w:color="auto"/>
              <w:right w:val="single" w:sz="4" w:space="0" w:color="auto"/>
            </w:tcBorders>
            <w:hideMark/>
          </w:tcPr>
          <w:p w14:paraId="116CDC8E" w14:textId="77777777" w:rsidR="00520E63" w:rsidRPr="00520E63" w:rsidRDefault="00520E63" w:rsidP="00520E63">
            <w:r w:rsidRPr="00520E63">
              <w:t>8,361</w:t>
            </w:r>
          </w:p>
        </w:tc>
        <w:tc>
          <w:tcPr>
            <w:tcW w:w="1803" w:type="dxa"/>
            <w:tcBorders>
              <w:top w:val="single" w:sz="4" w:space="0" w:color="auto"/>
              <w:left w:val="single" w:sz="4" w:space="0" w:color="auto"/>
              <w:bottom w:val="single" w:sz="4" w:space="0" w:color="auto"/>
              <w:right w:val="single" w:sz="4" w:space="0" w:color="auto"/>
            </w:tcBorders>
            <w:hideMark/>
          </w:tcPr>
          <w:p w14:paraId="1855F1A1" w14:textId="77777777" w:rsidR="00520E63" w:rsidRPr="00520E63" w:rsidRDefault="00520E63" w:rsidP="00520E63">
            <w:r w:rsidRPr="00520E63">
              <w:t>8,582</w:t>
            </w:r>
          </w:p>
        </w:tc>
        <w:tc>
          <w:tcPr>
            <w:tcW w:w="1804" w:type="dxa"/>
            <w:tcBorders>
              <w:top w:val="single" w:sz="4" w:space="0" w:color="auto"/>
              <w:left w:val="single" w:sz="4" w:space="0" w:color="auto"/>
              <w:bottom w:val="single" w:sz="4" w:space="0" w:color="auto"/>
              <w:right w:val="single" w:sz="4" w:space="0" w:color="auto"/>
            </w:tcBorders>
            <w:hideMark/>
          </w:tcPr>
          <w:p w14:paraId="34237040" w14:textId="77777777" w:rsidR="00520E63" w:rsidRPr="00520E63" w:rsidRDefault="00520E63" w:rsidP="00520E63">
            <w:r w:rsidRPr="00520E63">
              <w:t>9,105</w:t>
            </w:r>
          </w:p>
        </w:tc>
      </w:tr>
      <w:tr w:rsidR="00520E63" w:rsidRPr="00520E63" w14:paraId="66C6E6CB"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6F976B80" w14:textId="77777777" w:rsidR="00520E63" w:rsidRPr="00520E63" w:rsidRDefault="00520E63" w:rsidP="00520E63">
            <w:r w:rsidRPr="00520E63">
              <w:t>East of England</w:t>
            </w:r>
          </w:p>
        </w:tc>
        <w:tc>
          <w:tcPr>
            <w:tcW w:w="1803" w:type="dxa"/>
            <w:tcBorders>
              <w:top w:val="single" w:sz="4" w:space="0" w:color="auto"/>
              <w:left w:val="single" w:sz="4" w:space="0" w:color="auto"/>
              <w:bottom w:val="single" w:sz="4" w:space="0" w:color="auto"/>
              <w:right w:val="single" w:sz="4" w:space="0" w:color="auto"/>
            </w:tcBorders>
            <w:hideMark/>
          </w:tcPr>
          <w:p w14:paraId="1F0401CB" w14:textId="77777777" w:rsidR="00520E63" w:rsidRPr="00520E63" w:rsidRDefault="00520E63" w:rsidP="00520E63">
            <w:r w:rsidRPr="00520E63">
              <w:t>669</w:t>
            </w:r>
          </w:p>
        </w:tc>
        <w:tc>
          <w:tcPr>
            <w:tcW w:w="1803" w:type="dxa"/>
            <w:tcBorders>
              <w:top w:val="single" w:sz="4" w:space="0" w:color="auto"/>
              <w:left w:val="single" w:sz="4" w:space="0" w:color="auto"/>
              <w:bottom w:val="single" w:sz="4" w:space="0" w:color="auto"/>
              <w:right w:val="single" w:sz="4" w:space="0" w:color="auto"/>
            </w:tcBorders>
            <w:hideMark/>
          </w:tcPr>
          <w:p w14:paraId="77C5789F" w14:textId="77777777" w:rsidR="00520E63" w:rsidRPr="00520E63" w:rsidRDefault="00520E63" w:rsidP="00520E63">
            <w:r w:rsidRPr="00520E63">
              <w:t>590</w:t>
            </w:r>
          </w:p>
        </w:tc>
        <w:tc>
          <w:tcPr>
            <w:tcW w:w="1803" w:type="dxa"/>
            <w:tcBorders>
              <w:top w:val="single" w:sz="4" w:space="0" w:color="auto"/>
              <w:left w:val="single" w:sz="4" w:space="0" w:color="auto"/>
              <w:bottom w:val="single" w:sz="4" w:space="0" w:color="auto"/>
              <w:right w:val="single" w:sz="4" w:space="0" w:color="auto"/>
            </w:tcBorders>
            <w:hideMark/>
          </w:tcPr>
          <w:p w14:paraId="6DB16E96" w14:textId="77777777" w:rsidR="00520E63" w:rsidRPr="00520E63" w:rsidRDefault="00520E63" w:rsidP="00520E63">
            <w:r w:rsidRPr="00520E63">
              <w:t>618</w:t>
            </w:r>
          </w:p>
        </w:tc>
        <w:tc>
          <w:tcPr>
            <w:tcW w:w="1804" w:type="dxa"/>
            <w:tcBorders>
              <w:top w:val="single" w:sz="4" w:space="0" w:color="auto"/>
              <w:left w:val="single" w:sz="4" w:space="0" w:color="auto"/>
              <w:bottom w:val="single" w:sz="4" w:space="0" w:color="auto"/>
              <w:right w:val="single" w:sz="4" w:space="0" w:color="auto"/>
            </w:tcBorders>
            <w:hideMark/>
          </w:tcPr>
          <w:p w14:paraId="4AEC5007" w14:textId="77777777" w:rsidR="00520E63" w:rsidRPr="00520E63" w:rsidRDefault="00520E63" w:rsidP="00520E63">
            <w:r w:rsidRPr="00520E63">
              <w:t>664</w:t>
            </w:r>
          </w:p>
        </w:tc>
      </w:tr>
      <w:tr w:rsidR="00520E63" w:rsidRPr="00520E63" w14:paraId="78CAE7E3" w14:textId="77777777" w:rsidTr="00520E63">
        <w:tc>
          <w:tcPr>
            <w:tcW w:w="1803" w:type="dxa"/>
            <w:tcBorders>
              <w:top w:val="single" w:sz="4" w:space="0" w:color="auto"/>
              <w:left w:val="single" w:sz="4" w:space="0" w:color="auto"/>
              <w:bottom w:val="single" w:sz="4" w:space="0" w:color="auto"/>
              <w:right w:val="single" w:sz="4" w:space="0" w:color="auto"/>
            </w:tcBorders>
            <w:hideMark/>
          </w:tcPr>
          <w:p w14:paraId="7790FA2C" w14:textId="77777777" w:rsidR="00520E63" w:rsidRPr="00520E63" w:rsidRDefault="00520E63" w:rsidP="00520E63">
            <w:r w:rsidRPr="00520E63">
              <w:t>Peterborough</w:t>
            </w:r>
          </w:p>
        </w:tc>
        <w:tc>
          <w:tcPr>
            <w:tcW w:w="1803" w:type="dxa"/>
            <w:tcBorders>
              <w:top w:val="single" w:sz="4" w:space="0" w:color="auto"/>
              <w:left w:val="single" w:sz="4" w:space="0" w:color="auto"/>
              <w:bottom w:val="single" w:sz="4" w:space="0" w:color="auto"/>
              <w:right w:val="single" w:sz="4" w:space="0" w:color="auto"/>
            </w:tcBorders>
            <w:hideMark/>
          </w:tcPr>
          <w:p w14:paraId="0FDA5091" w14:textId="77777777" w:rsidR="00520E63" w:rsidRPr="00520E63" w:rsidRDefault="00520E63" w:rsidP="00520E63">
            <w:r w:rsidRPr="00520E63">
              <w:t>25</w:t>
            </w:r>
          </w:p>
        </w:tc>
        <w:tc>
          <w:tcPr>
            <w:tcW w:w="1803" w:type="dxa"/>
            <w:tcBorders>
              <w:top w:val="single" w:sz="4" w:space="0" w:color="auto"/>
              <w:left w:val="single" w:sz="4" w:space="0" w:color="auto"/>
              <w:bottom w:val="single" w:sz="4" w:space="0" w:color="auto"/>
              <w:right w:val="single" w:sz="4" w:space="0" w:color="auto"/>
            </w:tcBorders>
            <w:hideMark/>
          </w:tcPr>
          <w:p w14:paraId="4551716A" w14:textId="77777777" w:rsidR="00520E63" w:rsidRPr="00520E63" w:rsidRDefault="00520E63" w:rsidP="00520E63">
            <w:r w:rsidRPr="00520E63">
              <w:t>25</w:t>
            </w:r>
          </w:p>
        </w:tc>
        <w:tc>
          <w:tcPr>
            <w:tcW w:w="1803" w:type="dxa"/>
            <w:tcBorders>
              <w:top w:val="single" w:sz="4" w:space="0" w:color="auto"/>
              <w:left w:val="single" w:sz="4" w:space="0" w:color="auto"/>
              <w:bottom w:val="single" w:sz="4" w:space="0" w:color="auto"/>
              <w:right w:val="single" w:sz="4" w:space="0" w:color="auto"/>
            </w:tcBorders>
            <w:hideMark/>
          </w:tcPr>
          <w:p w14:paraId="6078C5D3" w14:textId="77777777" w:rsidR="00520E63" w:rsidRPr="00520E63" w:rsidRDefault="00520E63" w:rsidP="00520E63">
            <w:r w:rsidRPr="00520E63">
              <w:t>32</w:t>
            </w:r>
          </w:p>
        </w:tc>
        <w:tc>
          <w:tcPr>
            <w:tcW w:w="1804" w:type="dxa"/>
            <w:tcBorders>
              <w:top w:val="single" w:sz="4" w:space="0" w:color="auto"/>
              <w:left w:val="single" w:sz="4" w:space="0" w:color="auto"/>
              <w:bottom w:val="single" w:sz="4" w:space="0" w:color="auto"/>
              <w:right w:val="single" w:sz="4" w:space="0" w:color="auto"/>
            </w:tcBorders>
            <w:hideMark/>
          </w:tcPr>
          <w:p w14:paraId="144A1316" w14:textId="77777777" w:rsidR="00520E63" w:rsidRPr="00520E63" w:rsidRDefault="00520E63" w:rsidP="00520E63">
            <w:r w:rsidRPr="00520E63">
              <w:t>42</w:t>
            </w:r>
          </w:p>
        </w:tc>
      </w:tr>
    </w:tbl>
    <w:p w14:paraId="1B2EF8D0" w14:textId="4852C973" w:rsidR="00520E63" w:rsidRPr="000512FD" w:rsidRDefault="005C5B68" w:rsidP="00520E63">
      <w:pPr>
        <w:spacing w:line="256" w:lineRule="auto"/>
        <w:rPr>
          <w:rFonts w:ascii="Aptos" w:eastAsia="Aptos" w:hAnsi="Aptos" w:cs="Arial"/>
          <w:sz w:val="20"/>
          <w:szCs w:val="20"/>
        </w:rPr>
      </w:pPr>
      <w:r w:rsidRPr="000512FD">
        <w:rPr>
          <w:rFonts w:ascii="Aptos" w:eastAsia="Aptos" w:hAnsi="Aptos" w:cs="Arial"/>
          <w:sz w:val="20"/>
          <w:szCs w:val="20"/>
        </w:rPr>
        <w:t>Source: ONS data. Directly Age-Standardised Rate (DASR) - per 100,000 and absolute numbers.</w:t>
      </w:r>
    </w:p>
    <w:p w14:paraId="1A2846EE" w14:textId="09EBEB49" w:rsidR="002E0E20" w:rsidRPr="00946C8E" w:rsidRDefault="002E0E20" w:rsidP="002E0E20">
      <w:pPr>
        <w:pStyle w:val="Heading6"/>
      </w:pPr>
      <w:r w:rsidRPr="00946C8E">
        <w:lastRenderedPageBreak/>
        <w:t xml:space="preserve">Figure </w:t>
      </w:r>
      <w:r w:rsidR="00F17F55">
        <w:t>5</w:t>
      </w:r>
      <w:r>
        <w:t>.5</w:t>
      </w:r>
      <w:r w:rsidR="007D52D7">
        <w:t>a</w:t>
      </w:r>
      <w:r w:rsidRPr="00946C8E">
        <w:t>. Deaths from drug misuse, trend across three-year periods since 2001 in Peterborough and England.</w:t>
      </w:r>
    </w:p>
    <w:p w14:paraId="1635D7C8" w14:textId="78E7B48C" w:rsidR="002E0E20" w:rsidRDefault="00A87687" w:rsidP="002E0E20">
      <w:pPr>
        <w:spacing w:line="256" w:lineRule="auto"/>
        <w:rPr>
          <w:rFonts w:ascii="Aptos" w:eastAsia="Aptos" w:hAnsi="Aptos" w:cs="Arial"/>
        </w:rPr>
      </w:pPr>
      <w:r w:rsidRPr="00A87687">
        <w:rPr>
          <w:rFonts w:ascii="Aptos" w:eastAsia="Aptos" w:hAnsi="Aptos" w:cs="Arial"/>
          <w:noProof/>
        </w:rPr>
        <w:drawing>
          <wp:inline distT="0" distB="0" distL="0" distR="0" wp14:anchorId="6C066A26" wp14:editId="1EFD8C8B">
            <wp:extent cx="5731510" cy="2944495"/>
            <wp:effectExtent l="0" t="0" r="2540" b="8255"/>
            <wp:docPr id="141892696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26967" name="Picture 1" descr="A screenshot of a graph&#10;&#10;AI-generated content may be incorrect."/>
                    <pic:cNvPicPr/>
                  </pic:nvPicPr>
                  <pic:blipFill>
                    <a:blip r:embed="rId34"/>
                    <a:stretch>
                      <a:fillRect/>
                    </a:stretch>
                  </pic:blipFill>
                  <pic:spPr>
                    <a:xfrm>
                      <a:off x="0" y="0"/>
                      <a:ext cx="5731510" cy="2944495"/>
                    </a:xfrm>
                    <a:prstGeom prst="rect">
                      <a:avLst/>
                    </a:prstGeom>
                  </pic:spPr>
                </pic:pic>
              </a:graphicData>
            </a:graphic>
          </wp:inline>
        </w:drawing>
      </w:r>
    </w:p>
    <w:p w14:paraId="2AA3BEEE" w14:textId="091445CE" w:rsidR="002E0E20" w:rsidRPr="000512FD" w:rsidRDefault="002E0E20" w:rsidP="002E0E20">
      <w:pPr>
        <w:spacing w:line="256" w:lineRule="auto"/>
        <w:rPr>
          <w:rFonts w:ascii="Aptos" w:eastAsia="Aptos" w:hAnsi="Aptos" w:cs="Arial"/>
          <w:sz w:val="20"/>
          <w:szCs w:val="20"/>
        </w:rPr>
      </w:pPr>
      <w:r w:rsidRPr="000512FD">
        <w:rPr>
          <w:rFonts w:ascii="Aptos" w:eastAsia="Aptos" w:hAnsi="Aptos" w:cs="Arial"/>
          <w:sz w:val="20"/>
          <w:szCs w:val="20"/>
        </w:rPr>
        <w:t>Source: OHID, based on Office for National Statistics data.</w:t>
      </w:r>
    </w:p>
    <w:p w14:paraId="3C37AAFE" w14:textId="386B87D8" w:rsidR="005D750C" w:rsidRPr="000512FD" w:rsidRDefault="005D750C" w:rsidP="00520E63">
      <w:pPr>
        <w:spacing w:line="256" w:lineRule="auto"/>
        <w:rPr>
          <w:rFonts w:ascii="Aptos" w:eastAsia="Aptos" w:hAnsi="Aptos" w:cs="Arial"/>
          <w:sz w:val="20"/>
          <w:szCs w:val="20"/>
        </w:rPr>
      </w:pPr>
    </w:p>
    <w:p w14:paraId="0D7BB7A6" w14:textId="23FDC93A" w:rsidR="00B75D82" w:rsidRDefault="00B75D82" w:rsidP="00520E63">
      <w:pPr>
        <w:spacing w:line="256" w:lineRule="auto"/>
        <w:rPr>
          <w:rFonts w:ascii="Aptos" w:eastAsia="Aptos" w:hAnsi="Aptos" w:cs="Arial"/>
        </w:rPr>
      </w:pPr>
      <w:r w:rsidRPr="00B75D82">
        <w:rPr>
          <w:rFonts w:ascii="Aptos" w:eastAsia="Aptos" w:hAnsi="Aptos" w:cs="Arial"/>
        </w:rPr>
        <w:t xml:space="preserve">Over the past decade, Peterborough's ranking </w:t>
      </w:r>
      <w:r w:rsidR="00132F24" w:rsidRPr="00B75D82">
        <w:rPr>
          <w:rFonts w:ascii="Aptos" w:eastAsia="Aptos" w:hAnsi="Aptos" w:cs="Arial"/>
        </w:rPr>
        <w:t xml:space="preserve">among statistical neighbours </w:t>
      </w:r>
      <w:r w:rsidR="00132F24">
        <w:rPr>
          <w:rFonts w:ascii="Aptos" w:eastAsia="Aptos" w:hAnsi="Aptos" w:cs="Arial"/>
        </w:rPr>
        <w:t>(NHS England</w:t>
      </w:r>
      <w:bookmarkStart w:id="59" w:name="_Ref190356077"/>
      <w:r w:rsidR="008B6EDF">
        <w:rPr>
          <w:rStyle w:val="FootnoteReference"/>
          <w:rFonts w:ascii="Aptos" w:eastAsia="Aptos" w:hAnsi="Aptos" w:cs="Arial"/>
        </w:rPr>
        <w:footnoteReference w:id="27"/>
      </w:r>
      <w:bookmarkEnd w:id="59"/>
      <w:r w:rsidR="00132F24">
        <w:rPr>
          <w:rFonts w:ascii="Aptos" w:eastAsia="Aptos" w:hAnsi="Aptos" w:cs="Arial"/>
        </w:rPr>
        <w:t xml:space="preserve">) </w:t>
      </w:r>
      <w:r w:rsidRPr="00B75D82">
        <w:rPr>
          <w:rFonts w:ascii="Aptos" w:eastAsia="Aptos" w:hAnsi="Aptos" w:cs="Arial"/>
        </w:rPr>
        <w:t>for age-standardised mortality rates has fluctuated. In the most recent period (2021-23), Peterborough ranked 7th out of 16</w:t>
      </w:r>
      <w:r w:rsidR="00232824">
        <w:rPr>
          <w:rFonts w:ascii="Aptos" w:eastAsia="Aptos" w:hAnsi="Aptos" w:cs="Arial"/>
        </w:rPr>
        <w:t xml:space="preserve"> (with 1</w:t>
      </w:r>
      <w:r w:rsidR="00232824" w:rsidRPr="00232824">
        <w:rPr>
          <w:rFonts w:ascii="Aptos" w:eastAsia="Aptos" w:hAnsi="Aptos" w:cs="Arial"/>
          <w:vertAlign w:val="superscript"/>
        </w:rPr>
        <w:t>st</w:t>
      </w:r>
      <w:r w:rsidR="00232824">
        <w:rPr>
          <w:rFonts w:ascii="Aptos" w:eastAsia="Aptos" w:hAnsi="Aptos" w:cs="Arial"/>
        </w:rPr>
        <w:t xml:space="preserve"> </w:t>
      </w:r>
      <w:r w:rsidR="005B5A84">
        <w:rPr>
          <w:rFonts w:ascii="Aptos" w:eastAsia="Aptos" w:hAnsi="Aptos" w:cs="Arial"/>
        </w:rPr>
        <w:t xml:space="preserve">representing </w:t>
      </w:r>
      <w:r w:rsidR="00232824">
        <w:rPr>
          <w:rFonts w:ascii="Aptos" w:eastAsia="Aptos" w:hAnsi="Aptos" w:cs="Arial"/>
        </w:rPr>
        <w:t>the highest mor</w:t>
      </w:r>
      <w:r w:rsidR="00BF2520">
        <w:rPr>
          <w:rFonts w:ascii="Aptos" w:eastAsia="Aptos" w:hAnsi="Aptos" w:cs="Arial"/>
        </w:rPr>
        <w:t>tality rate</w:t>
      </w:r>
      <w:r w:rsidR="005B5A84">
        <w:rPr>
          <w:rFonts w:ascii="Aptos" w:eastAsia="Aptos" w:hAnsi="Aptos" w:cs="Arial"/>
        </w:rPr>
        <w:t xml:space="preserve"> and </w:t>
      </w:r>
      <w:r w:rsidR="00BF2520">
        <w:rPr>
          <w:rFonts w:ascii="Aptos" w:eastAsia="Aptos" w:hAnsi="Aptos" w:cs="Arial"/>
        </w:rPr>
        <w:t>16</w:t>
      </w:r>
      <w:r w:rsidR="00BF2520" w:rsidRPr="00BF2520">
        <w:rPr>
          <w:rFonts w:ascii="Aptos" w:eastAsia="Aptos" w:hAnsi="Aptos" w:cs="Arial"/>
          <w:vertAlign w:val="superscript"/>
        </w:rPr>
        <w:t>th</w:t>
      </w:r>
      <w:r w:rsidR="00BF2520">
        <w:rPr>
          <w:rFonts w:ascii="Aptos" w:eastAsia="Aptos" w:hAnsi="Aptos" w:cs="Arial"/>
        </w:rPr>
        <w:t xml:space="preserve"> the lowest)</w:t>
      </w:r>
      <w:r w:rsidR="00296E71">
        <w:rPr>
          <w:rFonts w:ascii="Aptos" w:eastAsia="Aptos" w:hAnsi="Aptos" w:cs="Arial"/>
        </w:rPr>
        <w:t xml:space="preserve">, as shown in Table </w:t>
      </w:r>
      <w:r w:rsidR="00132F24">
        <w:rPr>
          <w:rFonts w:ascii="Aptos" w:eastAsia="Aptos" w:hAnsi="Aptos" w:cs="Arial"/>
        </w:rPr>
        <w:t>5</w:t>
      </w:r>
      <w:r w:rsidR="00296E71">
        <w:rPr>
          <w:rFonts w:ascii="Aptos" w:eastAsia="Aptos" w:hAnsi="Aptos" w:cs="Arial"/>
        </w:rPr>
        <w:t>.5b</w:t>
      </w:r>
      <w:r w:rsidR="00BF2520">
        <w:rPr>
          <w:rFonts w:ascii="Aptos" w:eastAsia="Aptos" w:hAnsi="Aptos" w:cs="Arial"/>
        </w:rPr>
        <w:t xml:space="preserve">. This </w:t>
      </w:r>
      <w:r w:rsidR="005B5A84">
        <w:rPr>
          <w:rFonts w:ascii="Aptos" w:eastAsia="Aptos" w:hAnsi="Aptos" w:cs="Arial"/>
        </w:rPr>
        <w:t xml:space="preserve">marks a </w:t>
      </w:r>
      <w:r w:rsidR="00833008">
        <w:rPr>
          <w:rFonts w:ascii="Aptos" w:eastAsia="Aptos" w:hAnsi="Aptos" w:cs="Arial"/>
        </w:rPr>
        <w:t xml:space="preserve">worsening from </w:t>
      </w:r>
      <w:r w:rsidRPr="00B75D82">
        <w:rPr>
          <w:rFonts w:ascii="Aptos" w:eastAsia="Aptos" w:hAnsi="Aptos" w:cs="Arial"/>
        </w:rPr>
        <w:t>14</w:t>
      </w:r>
      <w:r w:rsidRPr="00833008">
        <w:rPr>
          <w:rFonts w:ascii="Aptos" w:eastAsia="Aptos" w:hAnsi="Aptos" w:cs="Arial"/>
          <w:vertAlign w:val="superscript"/>
        </w:rPr>
        <w:t>th</w:t>
      </w:r>
      <w:r w:rsidR="00833008">
        <w:rPr>
          <w:rFonts w:ascii="Aptos" w:eastAsia="Aptos" w:hAnsi="Aptos" w:cs="Arial"/>
        </w:rPr>
        <w:t xml:space="preserve"> </w:t>
      </w:r>
      <w:r w:rsidRPr="00B75D82">
        <w:rPr>
          <w:rFonts w:ascii="Aptos" w:eastAsia="Aptos" w:hAnsi="Aptos" w:cs="Arial"/>
        </w:rPr>
        <w:t xml:space="preserve">in </w:t>
      </w:r>
      <w:r w:rsidR="00833008">
        <w:rPr>
          <w:rFonts w:ascii="Aptos" w:eastAsia="Aptos" w:hAnsi="Aptos" w:cs="Arial"/>
        </w:rPr>
        <w:t xml:space="preserve">previous </w:t>
      </w:r>
      <w:r w:rsidRPr="00B75D82">
        <w:rPr>
          <w:rFonts w:ascii="Aptos" w:eastAsia="Aptos" w:hAnsi="Aptos" w:cs="Arial"/>
        </w:rPr>
        <w:t xml:space="preserve">periods (2017-19 and 2019-21). However, </w:t>
      </w:r>
      <w:r w:rsidR="008678FD">
        <w:rPr>
          <w:rFonts w:ascii="Aptos" w:eastAsia="Aptos" w:hAnsi="Aptos" w:cs="Arial"/>
        </w:rPr>
        <w:t>looking further back</w:t>
      </w:r>
      <w:r w:rsidR="00296E71">
        <w:rPr>
          <w:rFonts w:ascii="Aptos" w:eastAsia="Aptos" w:hAnsi="Aptos" w:cs="Arial"/>
        </w:rPr>
        <w:t xml:space="preserve">, Peterborough has varied between </w:t>
      </w:r>
      <w:r w:rsidR="008678FD">
        <w:rPr>
          <w:rFonts w:ascii="Aptos" w:eastAsia="Aptos" w:hAnsi="Aptos" w:cs="Arial"/>
        </w:rPr>
        <w:t>6</w:t>
      </w:r>
      <w:r w:rsidR="008678FD" w:rsidRPr="008678FD">
        <w:rPr>
          <w:rFonts w:ascii="Aptos" w:eastAsia="Aptos" w:hAnsi="Aptos" w:cs="Arial"/>
          <w:vertAlign w:val="superscript"/>
        </w:rPr>
        <w:t>th</w:t>
      </w:r>
      <w:r w:rsidR="008678FD">
        <w:rPr>
          <w:rFonts w:ascii="Aptos" w:eastAsia="Aptos" w:hAnsi="Aptos" w:cs="Arial"/>
        </w:rPr>
        <w:t xml:space="preserve"> </w:t>
      </w:r>
      <w:r w:rsidR="00296E71">
        <w:rPr>
          <w:rFonts w:ascii="Aptos" w:eastAsia="Aptos" w:hAnsi="Aptos" w:cs="Arial"/>
        </w:rPr>
        <w:t xml:space="preserve">and </w:t>
      </w:r>
      <w:r w:rsidR="008678FD">
        <w:rPr>
          <w:rFonts w:ascii="Aptos" w:eastAsia="Aptos" w:hAnsi="Aptos" w:cs="Arial"/>
        </w:rPr>
        <w:t>14</w:t>
      </w:r>
      <w:r w:rsidR="008678FD" w:rsidRPr="008678FD">
        <w:rPr>
          <w:rFonts w:ascii="Aptos" w:eastAsia="Aptos" w:hAnsi="Aptos" w:cs="Arial"/>
          <w:vertAlign w:val="superscript"/>
        </w:rPr>
        <w:t>th</w:t>
      </w:r>
      <w:r w:rsidR="001A7E49">
        <w:rPr>
          <w:rFonts w:ascii="Aptos" w:eastAsia="Aptos" w:hAnsi="Aptos" w:cs="Arial"/>
        </w:rPr>
        <w:t>.</w:t>
      </w:r>
      <w:r w:rsidRPr="00B75D82">
        <w:rPr>
          <w:rFonts w:ascii="Aptos" w:eastAsia="Aptos" w:hAnsi="Aptos" w:cs="Arial"/>
        </w:rPr>
        <w:t xml:space="preserve"> </w:t>
      </w:r>
    </w:p>
    <w:p w14:paraId="58682444" w14:textId="2A251F78" w:rsidR="00520E63" w:rsidRPr="00520E63" w:rsidRDefault="00520E63" w:rsidP="00520E63">
      <w:pPr>
        <w:spacing w:line="256" w:lineRule="auto"/>
        <w:rPr>
          <w:rFonts w:ascii="Aptos" w:eastAsia="Aptos" w:hAnsi="Aptos" w:cs="Arial"/>
        </w:rPr>
      </w:pPr>
      <w:r w:rsidRPr="00520E63">
        <w:rPr>
          <w:rFonts w:ascii="Aptos" w:eastAsia="Aptos" w:hAnsi="Aptos" w:cs="Arial"/>
        </w:rPr>
        <w:t xml:space="preserve">Statistical neighbours with lower mortality rates </w:t>
      </w:r>
      <w:r w:rsidRPr="002906C7">
        <w:rPr>
          <w:rFonts w:ascii="Aptos" w:eastAsia="Aptos" w:hAnsi="Aptos" w:cs="Arial"/>
          <w:b/>
          <w:bCs/>
        </w:rPr>
        <w:t>may indicate room for improvement in local strategies to prevent drug misuse deaths</w:t>
      </w:r>
      <w:r w:rsidRPr="00520E63">
        <w:rPr>
          <w:rFonts w:ascii="Aptos" w:eastAsia="Aptos" w:hAnsi="Aptos" w:cs="Arial"/>
        </w:rPr>
        <w:t>.</w:t>
      </w:r>
    </w:p>
    <w:p w14:paraId="2E4435B2" w14:textId="0471FD63" w:rsidR="00520E63" w:rsidRPr="00520E63" w:rsidRDefault="00520E63" w:rsidP="00C631EB">
      <w:pPr>
        <w:pStyle w:val="Heading6"/>
      </w:pPr>
      <w:r w:rsidRPr="00520E63">
        <w:t xml:space="preserve">Table </w:t>
      </w:r>
      <w:r w:rsidR="00132F24">
        <w:t>5</w:t>
      </w:r>
      <w:r w:rsidR="00C631EB">
        <w:t>.5b</w:t>
      </w:r>
      <w:r w:rsidRPr="00520E63">
        <w:t>. Deaths from drug misuse, Age standardised mortality rate from drug misuse per 100,000 population, directly standardised rate – per 100,000. 2021-23</w:t>
      </w:r>
      <w:r w:rsidR="00E64934">
        <w:t>.</w:t>
      </w:r>
    </w:p>
    <w:tbl>
      <w:tblPr>
        <w:tblStyle w:val="TableGrid1"/>
        <w:tblW w:w="0" w:type="auto"/>
        <w:tblInd w:w="0" w:type="dxa"/>
        <w:tblLook w:val="04A0" w:firstRow="1" w:lastRow="0" w:firstColumn="1" w:lastColumn="0" w:noHBand="0" w:noVBand="1"/>
      </w:tblPr>
      <w:tblGrid>
        <w:gridCol w:w="2972"/>
        <w:gridCol w:w="1001"/>
        <w:gridCol w:w="984"/>
      </w:tblGrid>
      <w:tr w:rsidR="00520E63" w:rsidRPr="00520E63" w14:paraId="6D3F2032" w14:textId="77777777" w:rsidTr="00520E63">
        <w:trPr>
          <w:trHeight w:val="323"/>
        </w:trPr>
        <w:tc>
          <w:tcPr>
            <w:tcW w:w="2972" w:type="dxa"/>
            <w:tcBorders>
              <w:top w:val="single" w:sz="4" w:space="0" w:color="auto"/>
              <w:left w:val="single" w:sz="4" w:space="0" w:color="auto"/>
              <w:bottom w:val="single" w:sz="4" w:space="0" w:color="auto"/>
              <w:right w:val="single" w:sz="4" w:space="0" w:color="auto"/>
            </w:tcBorders>
            <w:hideMark/>
          </w:tcPr>
          <w:p w14:paraId="09CCC436" w14:textId="77777777" w:rsidR="00520E63" w:rsidRPr="00520E63" w:rsidRDefault="00520E63" w:rsidP="00520E63">
            <w:pPr>
              <w:spacing w:line="256" w:lineRule="auto"/>
            </w:pPr>
          </w:p>
        </w:tc>
        <w:tc>
          <w:tcPr>
            <w:tcW w:w="1001" w:type="dxa"/>
            <w:tcBorders>
              <w:top w:val="single" w:sz="4" w:space="0" w:color="auto"/>
              <w:left w:val="single" w:sz="4" w:space="0" w:color="auto"/>
              <w:bottom w:val="single" w:sz="4" w:space="0" w:color="auto"/>
              <w:right w:val="single" w:sz="4" w:space="0" w:color="auto"/>
            </w:tcBorders>
            <w:hideMark/>
          </w:tcPr>
          <w:p w14:paraId="0F8FF73B" w14:textId="77777777" w:rsidR="00520E63" w:rsidRPr="00520E63" w:rsidRDefault="00520E63" w:rsidP="00520E63">
            <w:pPr>
              <w:rPr>
                <w:b/>
                <w:bCs/>
              </w:rPr>
            </w:pPr>
            <w:r w:rsidRPr="00520E63">
              <w:rPr>
                <w:b/>
                <w:bCs/>
              </w:rPr>
              <w:t>Deaths</w:t>
            </w:r>
          </w:p>
        </w:tc>
        <w:tc>
          <w:tcPr>
            <w:tcW w:w="984" w:type="dxa"/>
            <w:tcBorders>
              <w:top w:val="single" w:sz="4" w:space="0" w:color="auto"/>
              <w:left w:val="single" w:sz="4" w:space="0" w:color="auto"/>
              <w:bottom w:val="single" w:sz="4" w:space="0" w:color="auto"/>
              <w:right w:val="single" w:sz="4" w:space="0" w:color="auto"/>
            </w:tcBorders>
            <w:hideMark/>
          </w:tcPr>
          <w:p w14:paraId="210C3AF9" w14:textId="77777777" w:rsidR="00520E63" w:rsidRPr="00520E63" w:rsidRDefault="00520E63" w:rsidP="00520E63">
            <w:pPr>
              <w:rPr>
                <w:b/>
                <w:bCs/>
              </w:rPr>
            </w:pPr>
            <w:r w:rsidRPr="00520E63">
              <w:rPr>
                <w:b/>
                <w:bCs/>
              </w:rPr>
              <w:t>Rate</w:t>
            </w:r>
          </w:p>
        </w:tc>
      </w:tr>
      <w:tr w:rsidR="00520E63" w:rsidRPr="00520E63" w14:paraId="4A620B43" w14:textId="77777777" w:rsidTr="00A972B9">
        <w:trPr>
          <w:trHeight w:val="255"/>
        </w:trPr>
        <w:tc>
          <w:tcPr>
            <w:tcW w:w="2972" w:type="dxa"/>
            <w:tcBorders>
              <w:top w:val="single" w:sz="4" w:space="0" w:color="auto"/>
              <w:left w:val="single" w:sz="4" w:space="0" w:color="auto"/>
              <w:bottom w:val="single" w:sz="4" w:space="0" w:color="auto"/>
              <w:right w:val="single" w:sz="4" w:space="0" w:color="auto"/>
            </w:tcBorders>
            <w:noWrap/>
            <w:hideMark/>
          </w:tcPr>
          <w:p w14:paraId="29C311C8" w14:textId="77777777" w:rsidR="00520E63" w:rsidRPr="00520E63" w:rsidRDefault="00520E63" w:rsidP="00520E63">
            <w:r w:rsidRPr="00520E63">
              <w:t>England</w:t>
            </w:r>
          </w:p>
        </w:tc>
        <w:tc>
          <w:tcPr>
            <w:tcW w:w="1001" w:type="dxa"/>
            <w:tcBorders>
              <w:top w:val="single" w:sz="4" w:space="0" w:color="auto"/>
              <w:left w:val="single" w:sz="4" w:space="0" w:color="auto"/>
              <w:bottom w:val="single" w:sz="4" w:space="0" w:color="auto"/>
              <w:right w:val="single" w:sz="4" w:space="0" w:color="auto"/>
            </w:tcBorders>
            <w:hideMark/>
          </w:tcPr>
          <w:p w14:paraId="3B8DE39F" w14:textId="77777777" w:rsidR="00520E63" w:rsidRPr="00520E63" w:rsidRDefault="00520E63" w:rsidP="00520E63">
            <w:r w:rsidRPr="00520E63">
              <w:t>9,105</w:t>
            </w:r>
          </w:p>
        </w:tc>
        <w:tc>
          <w:tcPr>
            <w:tcW w:w="984"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4D622CEB" w14:textId="77777777" w:rsidR="00520E63" w:rsidRPr="00520E63" w:rsidRDefault="00520E63" w:rsidP="00520E63">
            <w:r w:rsidRPr="00520E63">
              <w:t>5.5</w:t>
            </w:r>
          </w:p>
        </w:tc>
      </w:tr>
      <w:tr w:rsidR="00520E63" w:rsidRPr="00520E63" w14:paraId="731BF230" w14:textId="77777777" w:rsidTr="00520E63">
        <w:trPr>
          <w:trHeight w:val="133"/>
        </w:trPr>
        <w:tc>
          <w:tcPr>
            <w:tcW w:w="2972" w:type="dxa"/>
            <w:tcBorders>
              <w:top w:val="single" w:sz="4" w:space="0" w:color="auto"/>
              <w:left w:val="single" w:sz="4" w:space="0" w:color="auto"/>
              <w:bottom w:val="single" w:sz="4" w:space="0" w:color="auto"/>
              <w:right w:val="single" w:sz="4" w:space="0" w:color="auto"/>
            </w:tcBorders>
            <w:noWrap/>
          </w:tcPr>
          <w:p w14:paraId="2E56E5A7" w14:textId="77777777" w:rsidR="00520E63" w:rsidRPr="00520E63" w:rsidRDefault="00520E63" w:rsidP="00520E63"/>
        </w:tc>
        <w:tc>
          <w:tcPr>
            <w:tcW w:w="1001" w:type="dxa"/>
            <w:tcBorders>
              <w:top w:val="single" w:sz="4" w:space="0" w:color="auto"/>
              <w:left w:val="single" w:sz="4" w:space="0" w:color="auto"/>
              <w:bottom w:val="single" w:sz="4" w:space="0" w:color="auto"/>
              <w:right w:val="single" w:sz="4" w:space="0" w:color="auto"/>
            </w:tcBorders>
          </w:tcPr>
          <w:p w14:paraId="56B5091D" w14:textId="77777777" w:rsidR="00520E63" w:rsidRPr="00520E63" w:rsidRDefault="00520E63" w:rsidP="00520E63"/>
        </w:tc>
        <w:tc>
          <w:tcPr>
            <w:tcW w:w="984" w:type="dxa"/>
            <w:tcBorders>
              <w:top w:val="single" w:sz="4" w:space="0" w:color="auto"/>
              <w:left w:val="single" w:sz="4" w:space="0" w:color="auto"/>
              <w:bottom w:val="single" w:sz="4" w:space="0" w:color="auto"/>
              <w:right w:val="single" w:sz="4" w:space="0" w:color="auto"/>
            </w:tcBorders>
            <w:noWrap/>
          </w:tcPr>
          <w:p w14:paraId="7A2B8861" w14:textId="77777777" w:rsidR="00520E63" w:rsidRPr="00520E63" w:rsidRDefault="00520E63" w:rsidP="00520E63"/>
        </w:tc>
      </w:tr>
      <w:tr w:rsidR="00520E63" w:rsidRPr="00520E63" w14:paraId="0AC406BD" w14:textId="77777777" w:rsidTr="00066B66">
        <w:trPr>
          <w:trHeight w:val="255"/>
        </w:trPr>
        <w:tc>
          <w:tcPr>
            <w:tcW w:w="2972" w:type="dxa"/>
            <w:tcBorders>
              <w:top w:val="single" w:sz="4" w:space="0" w:color="auto"/>
              <w:left w:val="single" w:sz="4" w:space="0" w:color="auto"/>
              <w:bottom w:val="single" w:sz="4" w:space="0" w:color="auto"/>
              <w:right w:val="single" w:sz="4" w:space="0" w:color="auto"/>
            </w:tcBorders>
            <w:hideMark/>
          </w:tcPr>
          <w:p w14:paraId="12270C82" w14:textId="77777777" w:rsidR="00520E63" w:rsidRPr="00520E63" w:rsidRDefault="00520E63" w:rsidP="00520E63">
            <w:r w:rsidRPr="00520E63">
              <w:t>Calderdale</w:t>
            </w:r>
          </w:p>
        </w:tc>
        <w:tc>
          <w:tcPr>
            <w:tcW w:w="1001" w:type="dxa"/>
            <w:tcBorders>
              <w:top w:val="single" w:sz="4" w:space="0" w:color="auto"/>
              <w:left w:val="single" w:sz="4" w:space="0" w:color="auto"/>
              <w:bottom w:val="single" w:sz="4" w:space="0" w:color="auto"/>
              <w:right w:val="single" w:sz="4" w:space="0" w:color="auto"/>
            </w:tcBorders>
            <w:noWrap/>
            <w:hideMark/>
          </w:tcPr>
          <w:p w14:paraId="7F178E72" w14:textId="77777777" w:rsidR="00520E63" w:rsidRPr="00520E63" w:rsidRDefault="00520E63" w:rsidP="00520E63">
            <w:r w:rsidRPr="00520E63">
              <w:t>66</w:t>
            </w:r>
          </w:p>
        </w:tc>
        <w:tc>
          <w:tcPr>
            <w:tcW w:w="984" w:type="dxa"/>
            <w:tcBorders>
              <w:top w:val="single" w:sz="4" w:space="0" w:color="auto"/>
              <w:left w:val="single" w:sz="4" w:space="0" w:color="auto"/>
              <w:bottom w:val="single" w:sz="4" w:space="0" w:color="auto"/>
              <w:right w:val="single" w:sz="4" w:space="0" w:color="auto"/>
            </w:tcBorders>
            <w:shd w:val="clear" w:color="auto" w:fill="DE0000"/>
            <w:noWrap/>
            <w:hideMark/>
          </w:tcPr>
          <w:p w14:paraId="45C0A699" w14:textId="77777777" w:rsidR="00520E63" w:rsidRPr="00520E63" w:rsidRDefault="00520E63" w:rsidP="00520E63">
            <w:r w:rsidRPr="00520E63">
              <w:t>11.0</w:t>
            </w:r>
          </w:p>
        </w:tc>
      </w:tr>
      <w:tr w:rsidR="00520E63" w:rsidRPr="00520E63" w14:paraId="3F635B8C" w14:textId="77777777" w:rsidTr="00066B66">
        <w:trPr>
          <w:trHeight w:val="255"/>
        </w:trPr>
        <w:tc>
          <w:tcPr>
            <w:tcW w:w="2972" w:type="dxa"/>
            <w:tcBorders>
              <w:top w:val="single" w:sz="4" w:space="0" w:color="auto"/>
              <w:left w:val="single" w:sz="4" w:space="0" w:color="auto"/>
              <w:bottom w:val="single" w:sz="4" w:space="0" w:color="auto"/>
              <w:right w:val="single" w:sz="4" w:space="0" w:color="auto"/>
            </w:tcBorders>
            <w:hideMark/>
          </w:tcPr>
          <w:p w14:paraId="1D433B42" w14:textId="77777777" w:rsidR="00520E63" w:rsidRPr="00520E63" w:rsidRDefault="00520E63" w:rsidP="00520E63">
            <w:r w:rsidRPr="00520E63">
              <w:t>Tameside</w:t>
            </w:r>
          </w:p>
        </w:tc>
        <w:tc>
          <w:tcPr>
            <w:tcW w:w="1001" w:type="dxa"/>
            <w:tcBorders>
              <w:top w:val="single" w:sz="4" w:space="0" w:color="auto"/>
              <w:left w:val="single" w:sz="4" w:space="0" w:color="auto"/>
              <w:bottom w:val="single" w:sz="4" w:space="0" w:color="auto"/>
              <w:right w:val="single" w:sz="4" w:space="0" w:color="auto"/>
            </w:tcBorders>
            <w:noWrap/>
            <w:hideMark/>
          </w:tcPr>
          <w:p w14:paraId="3745081A" w14:textId="77777777" w:rsidR="00520E63" w:rsidRPr="00520E63" w:rsidRDefault="00520E63" w:rsidP="00520E63">
            <w:r w:rsidRPr="00520E63">
              <w:t>70</w:t>
            </w:r>
          </w:p>
        </w:tc>
        <w:tc>
          <w:tcPr>
            <w:tcW w:w="984" w:type="dxa"/>
            <w:tcBorders>
              <w:top w:val="single" w:sz="4" w:space="0" w:color="auto"/>
              <w:left w:val="single" w:sz="4" w:space="0" w:color="auto"/>
              <w:bottom w:val="single" w:sz="4" w:space="0" w:color="auto"/>
              <w:right w:val="single" w:sz="4" w:space="0" w:color="auto"/>
            </w:tcBorders>
            <w:shd w:val="clear" w:color="auto" w:fill="DE0000"/>
            <w:noWrap/>
            <w:hideMark/>
          </w:tcPr>
          <w:p w14:paraId="6E549EF7" w14:textId="77777777" w:rsidR="00520E63" w:rsidRPr="00520E63" w:rsidRDefault="00520E63" w:rsidP="00520E63">
            <w:r w:rsidRPr="00520E63">
              <w:t>10.3</w:t>
            </w:r>
          </w:p>
        </w:tc>
      </w:tr>
      <w:tr w:rsidR="00520E63" w:rsidRPr="00520E63" w14:paraId="0827BD41" w14:textId="77777777" w:rsidTr="00066B66">
        <w:trPr>
          <w:trHeight w:val="255"/>
        </w:trPr>
        <w:tc>
          <w:tcPr>
            <w:tcW w:w="2972" w:type="dxa"/>
            <w:tcBorders>
              <w:top w:val="single" w:sz="4" w:space="0" w:color="auto"/>
              <w:left w:val="single" w:sz="4" w:space="0" w:color="auto"/>
              <w:bottom w:val="single" w:sz="4" w:space="0" w:color="auto"/>
              <w:right w:val="single" w:sz="4" w:space="0" w:color="auto"/>
            </w:tcBorders>
            <w:hideMark/>
          </w:tcPr>
          <w:p w14:paraId="61BBE066" w14:textId="77777777" w:rsidR="00520E63" w:rsidRPr="00520E63" w:rsidRDefault="00520E63" w:rsidP="00520E63">
            <w:r w:rsidRPr="00520E63">
              <w:t>Doncaster</w:t>
            </w:r>
          </w:p>
        </w:tc>
        <w:tc>
          <w:tcPr>
            <w:tcW w:w="1001" w:type="dxa"/>
            <w:tcBorders>
              <w:top w:val="single" w:sz="4" w:space="0" w:color="auto"/>
              <w:left w:val="single" w:sz="4" w:space="0" w:color="auto"/>
              <w:bottom w:val="single" w:sz="4" w:space="0" w:color="auto"/>
              <w:right w:val="single" w:sz="4" w:space="0" w:color="auto"/>
            </w:tcBorders>
            <w:noWrap/>
            <w:hideMark/>
          </w:tcPr>
          <w:p w14:paraId="7F9CA163" w14:textId="77777777" w:rsidR="00520E63" w:rsidRPr="00520E63" w:rsidRDefault="00520E63" w:rsidP="00520E63">
            <w:r w:rsidRPr="00520E63">
              <w:t>89</w:t>
            </w:r>
          </w:p>
        </w:tc>
        <w:tc>
          <w:tcPr>
            <w:tcW w:w="984" w:type="dxa"/>
            <w:tcBorders>
              <w:top w:val="single" w:sz="4" w:space="0" w:color="auto"/>
              <w:left w:val="single" w:sz="4" w:space="0" w:color="auto"/>
              <w:bottom w:val="single" w:sz="4" w:space="0" w:color="auto"/>
              <w:right w:val="single" w:sz="4" w:space="0" w:color="auto"/>
            </w:tcBorders>
            <w:shd w:val="clear" w:color="auto" w:fill="DE0000"/>
            <w:noWrap/>
            <w:hideMark/>
          </w:tcPr>
          <w:p w14:paraId="36E8483A" w14:textId="77777777" w:rsidR="00520E63" w:rsidRPr="00520E63" w:rsidRDefault="00520E63" w:rsidP="00520E63">
            <w:r w:rsidRPr="00520E63">
              <w:t>10.1</w:t>
            </w:r>
          </w:p>
        </w:tc>
      </w:tr>
      <w:tr w:rsidR="00520E63" w:rsidRPr="00520E63" w14:paraId="7E1016B6" w14:textId="77777777" w:rsidTr="00066B66">
        <w:trPr>
          <w:trHeight w:val="255"/>
        </w:trPr>
        <w:tc>
          <w:tcPr>
            <w:tcW w:w="2972" w:type="dxa"/>
            <w:tcBorders>
              <w:top w:val="single" w:sz="4" w:space="0" w:color="auto"/>
              <w:left w:val="single" w:sz="4" w:space="0" w:color="auto"/>
              <w:bottom w:val="single" w:sz="4" w:space="0" w:color="auto"/>
              <w:right w:val="single" w:sz="4" w:space="0" w:color="auto"/>
            </w:tcBorders>
            <w:hideMark/>
          </w:tcPr>
          <w:p w14:paraId="77941477" w14:textId="77777777" w:rsidR="00520E63" w:rsidRPr="00520E63" w:rsidRDefault="00520E63" w:rsidP="00520E63">
            <w:r w:rsidRPr="00520E63">
              <w:t>Bolton</w:t>
            </w:r>
          </w:p>
        </w:tc>
        <w:tc>
          <w:tcPr>
            <w:tcW w:w="1001" w:type="dxa"/>
            <w:tcBorders>
              <w:top w:val="single" w:sz="4" w:space="0" w:color="auto"/>
              <w:left w:val="single" w:sz="4" w:space="0" w:color="auto"/>
              <w:bottom w:val="single" w:sz="4" w:space="0" w:color="auto"/>
              <w:right w:val="single" w:sz="4" w:space="0" w:color="auto"/>
            </w:tcBorders>
            <w:noWrap/>
            <w:hideMark/>
          </w:tcPr>
          <w:p w14:paraId="06E21FBB" w14:textId="77777777" w:rsidR="00520E63" w:rsidRPr="00520E63" w:rsidRDefault="00520E63" w:rsidP="00520E63">
            <w:r w:rsidRPr="00520E63">
              <w:t>80</w:t>
            </w:r>
          </w:p>
        </w:tc>
        <w:tc>
          <w:tcPr>
            <w:tcW w:w="984" w:type="dxa"/>
            <w:tcBorders>
              <w:top w:val="single" w:sz="4" w:space="0" w:color="auto"/>
              <w:left w:val="single" w:sz="4" w:space="0" w:color="auto"/>
              <w:bottom w:val="single" w:sz="4" w:space="0" w:color="auto"/>
              <w:right w:val="single" w:sz="4" w:space="0" w:color="auto"/>
            </w:tcBorders>
            <w:shd w:val="clear" w:color="auto" w:fill="DE0000"/>
            <w:noWrap/>
            <w:hideMark/>
          </w:tcPr>
          <w:p w14:paraId="2BE7FE36" w14:textId="77777777" w:rsidR="00520E63" w:rsidRPr="00520E63" w:rsidRDefault="00520E63" w:rsidP="00520E63">
            <w:r w:rsidRPr="00520E63">
              <w:t>9.4</w:t>
            </w:r>
          </w:p>
        </w:tc>
      </w:tr>
      <w:tr w:rsidR="00520E63" w:rsidRPr="00520E63" w14:paraId="50B86DDB" w14:textId="77777777" w:rsidTr="00066B66">
        <w:trPr>
          <w:trHeight w:val="255"/>
        </w:trPr>
        <w:tc>
          <w:tcPr>
            <w:tcW w:w="2972" w:type="dxa"/>
            <w:tcBorders>
              <w:top w:val="single" w:sz="4" w:space="0" w:color="auto"/>
              <w:left w:val="single" w:sz="4" w:space="0" w:color="auto"/>
              <w:bottom w:val="single" w:sz="4" w:space="0" w:color="auto"/>
              <w:right w:val="single" w:sz="4" w:space="0" w:color="auto"/>
            </w:tcBorders>
            <w:hideMark/>
          </w:tcPr>
          <w:p w14:paraId="4A442DB1" w14:textId="77777777" w:rsidR="00520E63" w:rsidRPr="00520E63" w:rsidRDefault="00520E63" w:rsidP="00520E63">
            <w:r w:rsidRPr="00520E63">
              <w:t xml:space="preserve">Bradford </w:t>
            </w:r>
          </w:p>
        </w:tc>
        <w:tc>
          <w:tcPr>
            <w:tcW w:w="1001" w:type="dxa"/>
            <w:tcBorders>
              <w:top w:val="single" w:sz="4" w:space="0" w:color="auto"/>
              <w:left w:val="single" w:sz="4" w:space="0" w:color="auto"/>
              <w:bottom w:val="single" w:sz="4" w:space="0" w:color="auto"/>
              <w:right w:val="single" w:sz="4" w:space="0" w:color="auto"/>
            </w:tcBorders>
            <w:noWrap/>
            <w:hideMark/>
          </w:tcPr>
          <w:p w14:paraId="3499B698" w14:textId="77777777" w:rsidR="00520E63" w:rsidRPr="00520E63" w:rsidRDefault="00520E63" w:rsidP="00520E63">
            <w:r w:rsidRPr="00520E63">
              <w:t>135</w:t>
            </w:r>
          </w:p>
        </w:tc>
        <w:tc>
          <w:tcPr>
            <w:tcW w:w="984" w:type="dxa"/>
            <w:tcBorders>
              <w:top w:val="single" w:sz="4" w:space="0" w:color="auto"/>
              <w:left w:val="single" w:sz="4" w:space="0" w:color="auto"/>
              <w:bottom w:val="single" w:sz="4" w:space="0" w:color="auto"/>
              <w:right w:val="single" w:sz="4" w:space="0" w:color="auto"/>
            </w:tcBorders>
            <w:shd w:val="clear" w:color="auto" w:fill="DE0000"/>
            <w:noWrap/>
            <w:hideMark/>
          </w:tcPr>
          <w:p w14:paraId="07FEB027" w14:textId="77777777" w:rsidR="00520E63" w:rsidRPr="00520E63" w:rsidRDefault="00520E63" w:rsidP="00520E63">
            <w:r w:rsidRPr="00520E63">
              <w:t>8.8</w:t>
            </w:r>
          </w:p>
        </w:tc>
      </w:tr>
      <w:tr w:rsidR="00520E63" w:rsidRPr="00520E63" w14:paraId="3C35D783"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4E5B5269" w14:textId="77777777" w:rsidR="00520E63" w:rsidRPr="00520E63" w:rsidRDefault="00520E63" w:rsidP="00520E63">
            <w:r w:rsidRPr="00520E63">
              <w:t>Bury</w:t>
            </w:r>
          </w:p>
        </w:tc>
        <w:tc>
          <w:tcPr>
            <w:tcW w:w="1001" w:type="dxa"/>
            <w:tcBorders>
              <w:top w:val="single" w:sz="4" w:space="0" w:color="auto"/>
              <w:left w:val="single" w:sz="4" w:space="0" w:color="auto"/>
              <w:bottom w:val="single" w:sz="4" w:space="0" w:color="auto"/>
              <w:right w:val="single" w:sz="4" w:space="0" w:color="auto"/>
            </w:tcBorders>
            <w:noWrap/>
            <w:hideMark/>
          </w:tcPr>
          <w:p w14:paraId="2075568B" w14:textId="77777777" w:rsidR="00520E63" w:rsidRPr="00520E63" w:rsidRDefault="00520E63" w:rsidP="00520E63">
            <w:r w:rsidRPr="00520E63">
              <w:t>42</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5085E883" w14:textId="77777777" w:rsidR="00520E63" w:rsidRPr="00520E63" w:rsidRDefault="00520E63" w:rsidP="00520E63">
            <w:r w:rsidRPr="00520E63">
              <w:t>7.5</w:t>
            </w:r>
          </w:p>
        </w:tc>
      </w:tr>
      <w:tr w:rsidR="00520E63" w:rsidRPr="00520E63" w14:paraId="4EFE7443"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789981F8" w14:textId="77777777" w:rsidR="00520E63" w:rsidRPr="00520E63" w:rsidRDefault="00520E63" w:rsidP="00520E63">
            <w:pPr>
              <w:rPr>
                <w:b/>
                <w:bCs/>
              </w:rPr>
            </w:pPr>
            <w:r w:rsidRPr="00520E63">
              <w:rPr>
                <w:b/>
                <w:bCs/>
              </w:rPr>
              <w:t>Peterborough</w:t>
            </w:r>
          </w:p>
        </w:tc>
        <w:tc>
          <w:tcPr>
            <w:tcW w:w="1001" w:type="dxa"/>
            <w:tcBorders>
              <w:top w:val="single" w:sz="4" w:space="0" w:color="auto"/>
              <w:left w:val="single" w:sz="4" w:space="0" w:color="auto"/>
              <w:bottom w:val="single" w:sz="4" w:space="0" w:color="auto"/>
              <w:right w:val="single" w:sz="4" w:space="0" w:color="auto"/>
            </w:tcBorders>
            <w:noWrap/>
            <w:hideMark/>
          </w:tcPr>
          <w:p w14:paraId="341C0EF1" w14:textId="77777777" w:rsidR="00520E63" w:rsidRPr="00520E63" w:rsidRDefault="00520E63" w:rsidP="00520E63">
            <w:pPr>
              <w:rPr>
                <w:b/>
                <w:bCs/>
              </w:rPr>
            </w:pPr>
            <w:r w:rsidRPr="00520E63">
              <w:rPr>
                <w:b/>
                <w:bCs/>
              </w:rPr>
              <w:t>42</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3375F32A" w14:textId="77777777" w:rsidR="00520E63" w:rsidRPr="00520E63" w:rsidRDefault="00520E63" w:rsidP="00520E63">
            <w:pPr>
              <w:rPr>
                <w:b/>
                <w:bCs/>
              </w:rPr>
            </w:pPr>
            <w:r w:rsidRPr="00520E63">
              <w:rPr>
                <w:b/>
                <w:bCs/>
              </w:rPr>
              <w:t>6.6</w:t>
            </w:r>
          </w:p>
        </w:tc>
      </w:tr>
      <w:tr w:rsidR="00520E63" w:rsidRPr="00520E63" w14:paraId="35A45154"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12BF1EA9" w14:textId="77777777" w:rsidR="00520E63" w:rsidRPr="00520E63" w:rsidRDefault="00520E63" w:rsidP="00520E63">
            <w:r w:rsidRPr="00520E63">
              <w:t xml:space="preserve">Oldham </w:t>
            </w:r>
          </w:p>
        </w:tc>
        <w:tc>
          <w:tcPr>
            <w:tcW w:w="1001" w:type="dxa"/>
            <w:tcBorders>
              <w:top w:val="single" w:sz="4" w:space="0" w:color="auto"/>
              <w:left w:val="single" w:sz="4" w:space="0" w:color="auto"/>
              <w:bottom w:val="single" w:sz="4" w:space="0" w:color="auto"/>
              <w:right w:val="single" w:sz="4" w:space="0" w:color="auto"/>
            </w:tcBorders>
            <w:noWrap/>
            <w:hideMark/>
          </w:tcPr>
          <w:p w14:paraId="4907F796" w14:textId="77777777" w:rsidR="00520E63" w:rsidRPr="00520E63" w:rsidRDefault="00520E63" w:rsidP="00520E63">
            <w:r w:rsidRPr="00520E63">
              <w:t>39</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51B20630" w14:textId="77777777" w:rsidR="00520E63" w:rsidRPr="00520E63" w:rsidRDefault="00520E63" w:rsidP="00520E63">
            <w:r w:rsidRPr="00520E63">
              <w:t>5.6</w:t>
            </w:r>
          </w:p>
        </w:tc>
      </w:tr>
      <w:tr w:rsidR="00520E63" w:rsidRPr="00520E63" w14:paraId="42866FDA"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7BD0E0F3" w14:textId="77777777" w:rsidR="00520E63" w:rsidRPr="00520E63" w:rsidRDefault="00520E63" w:rsidP="00520E63">
            <w:r w:rsidRPr="00520E63">
              <w:t xml:space="preserve">Kirklees </w:t>
            </w:r>
          </w:p>
        </w:tc>
        <w:tc>
          <w:tcPr>
            <w:tcW w:w="1001" w:type="dxa"/>
            <w:tcBorders>
              <w:top w:val="single" w:sz="4" w:space="0" w:color="auto"/>
              <w:left w:val="single" w:sz="4" w:space="0" w:color="auto"/>
              <w:bottom w:val="single" w:sz="4" w:space="0" w:color="auto"/>
              <w:right w:val="single" w:sz="4" w:space="0" w:color="auto"/>
            </w:tcBorders>
            <w:noWrap/>
            <w:hideMark/>
          </w:tcPr>
          <w:p w14:paraId="1752B787" w14:textId="77777777" w:rsidR="00520E63" w:rsidRPr="00520E63" w:rsidRDefault="00520E63" w:rsidP="00520E63">
            <w:r w:rsidRPr="00520E63">
              <w:t>70</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5B576339" w14:textId="77777777" w:rsidR="00520E63" w:rsidRPr="00520E63" w:rsidRDefault="00520E63" w:rsidP="00520E63">
            <w:r w:rsidRPr="00520E63">
              <w:t>5.6</w:t>
            </w:r>
          </w:p>
        </w:tc>
      </w:tr>
      <w:tr w:rsidR="00520E63" w:rsidRPr="00520E63" w14:paraId="5A9E5CFE"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3A7DD87C" w14:textId="77777777" w:rsidR="00520E63" w:rsidRPr="00520E63" w:rsidRDefault="00520E63" w:rsidP="00520E63">
            <w:r w:rsidRPr="00520E63">
              <w:t>Telford and Wrekin</w:t>
            </w:r>
          </w:p>
        </w:tc>
        <w:tc>
          <w:tcPr>
            <w:tcW w:w="1001" w:type="dxa"/>
            <w:tcBorders>
              <w:top w:val="single" w:sz="4" w:space="0" w:color="auto"/>
              <w:left w:val="single" w:sz="4" w:space="0" w:color="auto"/>
              <w:bottom w:val="single" w:sz="4" w:space="0" w:color="auto"/>
              <w:right w:val="single" w:sz="4" w:space="0" w:color="auto"/>
            </w:tcBorders>
            <w:noWrap/>
            <w:hideMark/>
          </w:tcPr>
          <w:p w14:paraId="08E6E22B" w14:textId="77777777" w:rsidR="00520E63" w:rsidRPr="00520E63" w:rsidRDefault="00520E63" w:rsidP="00520E63">
            <w:r w:rsidRPr="00520E63">
              <w:t>30</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1C7F4C49" w14:textId="77777777" w:rsidR="00520E63" w:rsidRPr="00520E63" w:rsidRDefault="00520E63" w:rsidP="00520E63">
            <w:r w:rsidRPr="00520E63">
              <w:t>5.5</w:t>
            </w:r>
          </w:p>
        </w:tc>
      </w:tr>
      <w:tr w:rsidR="00520E63" w:rsidRPr="00520E63" w14:paraId="33CBBAAF"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08625943" w14:textId="77777777" w:rsidR="00520E63" w:rsidRPr="00520E63" w:rsidRDefault="00520E63" w:rsidP="00520E63">
            <w:r w:rsidRPr="00520E63">
              <w:t>North Northamptonshire</w:t>
            </w:r>
          </w:p>
        </w:tc>
        <w:tc>
          <w:tcPr>
            <w:tcW w:w="1001" w:type="dxa"/>
            <w:tcBorders>
              <w:top w:val="single" w:sz="4" w:space="0" w:color="auto"/>
              <w:left w:val="single" w:sz="4" w:space="0" w:color="auto"/>
              <w:bottom w:val="single" w:sz="4" w:space="0" w:color="auto"/>
              <w:right w:val="single" w:sz="4" w:space="0" w:color="auto"/>
            </w:tcBorders>
            <w:noWrap/>
            <w:hideMark/>
          </w:tcPr>
          <w:p w14:paraId="400722C7" w14:textId="77777777" w:rsidR="00520E63" w:rsidRPr="00520E63" w:rsidRDefault="00520E63" w:rsidP="00520E63">
            <w:r w:rsidRPr="00520E63">
              <w:t>54</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6CCDF20C" w14:textId="77777777" w:rsidR="00520E63" w:rsidRPr="00520E63" w:rsidRDefault="00520E63" w:rsidP="00520E63">
            <w:r w:rsidRPr="00520E63">
              <w:t>5.1</w:t>
            </w:r>
          </w:p>
        </w:tc>
      </w:tr>
      <w:tr w:rsidR="00520E63" w:rsidRPr="00520E63" w14:paraId="6D3F2FF5"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29C59D06" w14:textId="77777777" w:rsidR="00520E63" w:rsidRPr="00520E63" w:rsidRDefault="00520E63" w:rsidP="00520E63">
            <w:r w:rsidRPr="00520E63">
              <w:lastRenderedPageBreak/>
              <w:t>Bedford</w:t>
            </w:r>
          </w:p>
        </w:tc>
        <w:tc>
          <w:tcPr>
            <w:tcW w:w="1001" w:type="dxa"/>
            <w:tcBorders>
              <w:top w:val="single" w:sz="4" w:space="0" w:color="auto"/>
              <w:left w:val="single" w:sz="4" w:space="0" w:color="auto"/>
              <w:bottom w:val="single" w:sz="4" w:space="0" w:color="auto"/>
              <w:right w:val="single" w:sz="4" w:space="0" w:color="auto"/>
            </w:tcBorders>
            <w:noWrap/>
            <w:hideMark/>
          </w:tcPr>
          <w:p w14:paraId="1D25B3AB" w14:textId="77777777" w:rsidR="00520E63" w:rsidRPr="00520E63" w:rsidRDefault="00520E63" w:rsidP="00520E63">
            <w:r w:rsidRPr="00520E63">
              <w:t>25</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4A6A5B59" w14:textId="77777777" w:rsidR="00520E63" w:rsidRPr="00520E63" w:rsidRDefault="00520E63" w:rsidP="00520E63">
            <w:r w:rsidRPr="00520E63">
              <w:t>4.4</w:t>
            </w:r>
          </w:p>
        </w:tc>
      </w:tr>
      <w:tr w:rsidR="00520E63" w:rsidRPr="00520E63" w14:paraId="0B9D379C" w14:textId="77777777" w:rsidTr="00342597">
        <w:trPr>
          <w:trHeight w:val="255"/>
        </w:trPr>
        <w:tc>
          <w:tcPr>
            <w:tcW w:w="2972" w:type="dxa"/>
            <w:tcBorders>
              <w:top w:val="single" w:sz="4" w:space="0" w:color="auto"/>
              <w:left w:val="single" w:sz="4" w:space="0" w:color="auto"/>
              <w:bottom w:val="single" w:sz="4" w:space="0" w:color="auto"/>
              <w:right w:val="single" w:sz="4" w:space="0" w:color="auto"/>
            </w:tcBorders>
            <w:hideMark/>
          </w:tcPr>
          <w:p w14:paraId="2C1FC6E9" w14:textId="77777777" w:rsidR="00520E63" w:rsidRPr="00520E63" w:rsidRDefault="00520E63" w:rsidP="00520E63">
            <w:r w:rsidRPr="00520E63">
              <w:t>Blackburn with Darwen</w:t>
            </w:r>
          </w:p>
        </w:tc>
        <w:tc>
          <w:tcPr>
            <w:tcW w:w="1001" w:type="dxa"/>
            <w:tcBorders>
              <w:top w:val="single" w:sz="4" w:space="0" w:color="auto"/>
              <w:left w:val="single" w:sz="4" w:space="0" w:color="auto"/>
              <w:bottom w:val="single" w:sz="4" w:space="0" w:color="auto"/>
              <w:right w:val="single" w:sz="4" w:space="0" w:color="auto"/>
            </w:tcBorders>
            <w:noWrap/>
            <w:hideMark/>
          </w:tcPr>
          <w:p w14:paraId="5A1EAAB1" w14:textId="77777777" w:rsidR="00520E63" w:rsidRPr="00520E63" w:rsidRDefault="00520E63" w:rsidP="00520E63">
            <w:r w:rsidRPr="00520E63">
              <w:t>16</w:t>
            </w:r>
          </w:p>
        </w:tc>
        <w:tc>
          <w:tcPr>
            <w:tcW w:w="984" w:type="dxa"/>
            <w:tcBorders>
              <w:top w:val="single" w:sz="4" w:space="0" w:color="auto"/>
              <w:left w:val="single" w:sz="4" w:space="0" w:color="auto"/>
              <w:bottom w:val="single" w:sz="4" w:space="0" w:color="auto"/>
              <w:right w:val="single" w:sz="4" w:space="0" w:color="auto"/>
            </w:tcBorders>
            <w:shd w:val="clear" w:color="auto" w:fill="FFC000"/>
            <w:noWrap/>
            <w:hideMark/>
          </w:tcPr>
          <w:p w14:paraId="65871E2B" w14:textId="77777777" w:rsidR="00520E63" w:rsidRPr="00520E63" w:rsidRDefault="00520E63" w:rsidP="00520E63">
            <w:r w:rsidRPr="00520E63">
              <w:t>3.5</w:t>
            </w:r>
          </w:p>
        </w:tc>
      </w:tr>
      <w:tr w:rsidR="00520E63" w:rsidRPr="00520E63" w14:paraId="73D5264A" w14:textId="77777777" w:rsidTr="008A0341">
        <w:trPr>
          <w:trHeight w:val="255"/>
        </w:trPr>
        <w:tc>
          <w:tcPr>
            <w:tcW w:w="2972" w:type="dxa"/>
            <w:tcBorders>
              <w:top w:val="single" w:sz="4" w:space="0" w:color="auto"/>
              <w:left w:val="single" w:sz="4" w:space="0" w:color="auto"/>
              <w:bottom w:val="single" w:sz="4" w:space="0" w:color="auto"/>
              <w:right w:val="single" w:sz="4" w:space="0" w:color="auto"/>
            </w:tcBorders>
            <w:hideMark/>
          </w:tcPr>
          <w:p w14:paraId="296B02F0" w14:textId="77777777" w:rsidR="00520E63" w:rsidRPr="00520E63" w:rsidRDefault="00520E63" w:rsidP="00520E63">
            <w:r w:rsidRPr="00520E63">
              <w:t>Swindon</w:t>
            </w:r>
          </w:p>
        </w:tc>
        <w:tc>
          <w:tcPr>
            <w:tcW w:w="1001" w:type="dxa"/>
            <w:tcBorders>
              <w:top w:val="single" w:sz="4" w:space="0" w:color="auto"/>
              <w:left w:val="single" w:sz="4" w:space="0" w:color="auto"/>
              <w:bottom w:val="single" w:sz="4" w:space="0" w:color="auto"/>
              <w:right w:val="single" w:sz="4" w:space="0" w:color="auto"/>
            </w:tcBorders>
            <w:noWrap/>
            <w:hideMark/>
          </w:tcPr>
          <w:p w14:paraId="095C6B8F" w14:textId="77777777" w:rsidR="00520E63" w:rsidRPr="00520E63" w:rsidRDefault="00520E63" w:rsidP="00520E63">
            <w:r w:rsidRPr="00520E63">
              <w:t>22</w:t>
            </w:r>
          </w:p>
        </w:tc>
        <w:tc>
          <w:tcPr>
            <w:tcW w:w="984" w:type="dxa"/>
            <w:tcBorders>
              <w:top w:val="single" w:sz="4" w:space="0" w:color="auto"/>
              <w:left w:val="single" w:sz="4" w:space="0" w:color="auto"/>
              <w:bottom w:val="single" w:sz="4" w:space="0" w:color="auto"/>
              <w:right w:val="single" w:sz="4" w:space="0" w:color="auto"/>
            </w:tcBorders>
            <w:shd w:val="clear" w:color="auto" w:fill="92D050"/>
            <w:noWrap/>
            <w:hideMark/>
          </w:tcPr>
          <w:p w14:paraId="39971388" w14:textId="77777777" w:rsidR="00520E63" w:rsidRPr="00520E63" w:rsidRDefault="00520E63" w:rsidP="00520E63">
            <w:r w:rsidRPr="00520E63">
              <w:t>3.2</w:t>
            </w:r>
          </w:p>
        </w:tc>
      </w:tr>
      <w:tr w:rsidR="00520E63" w:rsidRPr="00520E63" w14:paraId="276A0B0F" w14:textId="77777777" w:rsidTr="008A0341">
        <w:trPr>
          <w:trHeight w:val="255"/>
        </w:trPr>
        <w:tc>
          <w:tcPr>
            <w:tcW w:w="2972" w:type="dxa"/>
            <w:tcBorders>
              <w:top w:val="single" w:sz="4" w:space="0" w:color="auto"/>
              <w:left w:val="single" w:sz="4" w:space="0" w:color="auto"/>
              <w:bottom w:val="single" w:sz="4" w:space="0" w:color="auto"/>
              <w:right w:val="single" w:sz="4" w:space="0" w:color="auto"/>
            </w:tcBorders>
            <w:hideMark/>
          </w:tcPr>
          <w:p w14:paraId="532AD593" w14:textId="77777777" w:rsidR="00520E63" w:rsidRPr="00520E63" w:rsidRDefault="00520E63" w:rsidP="00520E63">
            <w:r w:rsidRPr="00520E63">
              <w:t>Thurrock</w:t>
            </w:r>
          </w:p>
        </w:tc>
        <w:tc>
          <w:tcPr>
            <w:tcW w:w="1001" w:type="dxa"/>
            <w:tcBorders>
              <w:top w:val="single" w:sz="4" w:space="0" w:color="auto"/>
              <w:left w:val="single" w:sz="4" w:space="0" w:color="auto"/>
              <w:bottom w:val="single" w:sz="4" w:space="0" w:color="auto"/>
              <w:right w:val="single" w:sz="4" w:space="0" w:color="auto"/>
            </w:tcBorders>
            <w:noWrap/>
            <w:hideMark/>
          </w:tcPr>
          <w:p w14:paraId="2D504970" w14:textId="77777777" w:rsidR="00520E63" w:rsidRPr="00520E63" w:rsidRDefault="00520E63" w:rsidP="00520E63">
            <w:r w:rsidRPr="00520E63">
              <w:t>11</w:t>
            </w:r>
          </w:p>
        </w:tc>
        <w:tc>
          <w:tcPr>
            <w:tcW w:w="984" w:type="dxa"/>
            <w:tcBorders>
              <w:top w:val="single" w:sz="4" w:space="0" w:color="auto"/>
              <w:left w:val="single" w:sz="4" w:space="0" w:color="auto"/>
              <w:bottom w:val="single" w:sz="4" w:space="0" w:color="auto"/>
              <w:right w:val="single" w:sz="4" w:space="0" w:color="auto"/>
            </w:tcBorders>
            <w:shd w:val="clear" w:color="auto" w:fill="92D050"/>
            <w:noWrap/>
            <w:hideMark/>
          </w:tcPr>
          <w:p w14:paraId="7C1E09C7" w14:textId="77777777" w:rsidR="00520E63" w:rsidRPr="00520E63" w:rsidRDefault="00520E63" w:rsidP="00520E63">
            <w:r w:rsidRPr="00520E63">
              <w:t>2.1</w:t>
            </w:r>
          </w:p>
        </w:tc>
      </w:tr>
    </w:tbl>
    <w:p w14:paraId="2A370A5A" w14:textId="74364A88" w:rsidR="00520E63" w:rsidRPr="00520E63" w:rsidRDefault="00520E63" w:rsidP="00520E63">
      <w:pPr>
        <w:spacing w:line="256" w:lineRule="auto"/>
        <w:rPr>
          <w:rFonts w:ascii="Aptos" w:eastAsia="Aptos" w:hAnsi="Aptos" w:cs="Arial"/>
          <w:sz w:val="18"/>
          <w:szCs w:val="18"/>
        </w:rPr>
      </w:pPr>
      <w:r w:rsidRPr="00520E63">
        <w:rPr>
          <w:rFonts w:ascii="Aptos" w:eastAsia="Aptos" w:hAnsi="Aptos" w:cs="Arial"/>
          <w:sz w:val="18"/>
          <w:szCs w:val="18"/>
        </w:rPr>
        <w:t>OHID ONS Fingertips - Deaths from drug misuse – statistical neighbours (NHS England)</w:t>
      </w:r>
    </w:p>
    <w:p w14:paraId="5049B9F7" w14:textId="0D063DE1" w:rsidR="00FF2A28" w:rsidRDefault="00FF2A28" w:rsidP="00FF2A28"/>
    <w:p w14:paraId="459251D6" w14:textId="7F942233" w:rsidR="00FF2A28" w:rsidRPr="006503B5" w:rsidRDefault="00946C8E" w:rsidP="006503B5">
      <w:pPr>
        <w:spacing w:line="256" w:lineRule="auto"/>
        <w:rPr>
          <w:rFonts w:ascii="Aptos" w:eastAsia="Aptos" w:hAnsi="Aptos" w:cs="Arial"/>
        </w:rPr>
      </w:pPr>
      <w:r w:rsidRPr="00946C8E">
        <w:rPr>
          <w:rFonts w:ascii="Aptos" w:eastAsia="Aptos" w:hAnsi="Aptos" w:cs="Arial"/>
        </w:rPr>
        <w:t xml:space="preserve">The mortality rate from drug misuse is </w:t>
      </w:r>
      <w:r w:rsidRPr="002906C7">
        <w:rPr>
          <w:rFonts w:ascii="Aptos" w:eastAsia="Aptos" w:hAnsi="Aptos" w:cs="Arial"/>
          <w:b/>
          <w:bCs/>
        </w:rPr>
        <w:t>consistently higher for males than for females</w:t>
      </w:r>
      <w:r w:rsidRPr="00946C8E">
        <w:rPr>
          <w:rFonts w:ascii="Aptos" w:eastAsia="Aptos" w:hAnsi="Aptos" w:cs="Arial"/>
        </w:rPr>
        <w:t xml:space="preserve">, both locally and nationally. </w:t>
      </w:r>
      <w:r w:rsidR="006E01E8">
        <w:rPr>
          <w:rFonts w:ascii="Aptos" w:eastAsia="Aptos" w:hAnsi="Aptos" w:cs="Arial"/>
        </w:rPr>
        <w:t xml:space="preserve">For </w:t>
      </w:r>
      <w:r w:rsidR="006E01E8" w:rsidRPr="002906C7">
        <w:rPr>
          <w:rFonts w:ascii="Aptos" w:eastAsia="Aptos" w:hAnsi="Aptos" w:cs="Arial"/>
          <w:b/>
          <w:bCs/>
        </w:rPr>
        <w:t>males</w:t>
      </w:r>
      <w:r w:rsidR="006E01E8">
        <w:rPr>
          <w:rFonts w:ascii="Aptos" w:eastAsia="Aptos" w:hAnsi="Aptos" w:cs="Arial"/>
        </w:rPr>
        <w:t xml:space="preserve"> in Peterborough i</w:t>
      </w:r>
      <w:r w:rsidRPr="00946C8E">
        <w:rPr>
          <w:rFonts w:ascii="Aptos" w:eastAsia="Aptos" w:hAnsi="Aptos" w:cs="Arial"/>
        </w:rPr>
        <w:t>n the period 2021-2023</w:t>
      </w:r>
      <w:r w:rsidR="006E01E8">
        <w:rPr>
          <w:rFonts w:ascii="Aptos" w:eastAsia="Aptos" w:hAnsi="Aptos" w:cs="Arial"/>
        </w:rPr>
        <w:t xml:space="preserve"> </w:t>
      </w:r>
      <w:r w:rsidRPr="00946C8E">
        <w:rPr>
          <w:rFonts w:ascii="Aptos" w:eastAsia="Aptos" w:hAnsi="Aptos" w:cs="Arial"/>
        </w:rPr>
        <w:t xml:space="preserve">the </w:t>
      </w:r>
      <w:r w:rsidR="006E01E8">
        <w:rPr>
          <w:rFonts w:ascii="Aptos" w:eastAsia="Aptos" w:hAnsi="Aptos" w:cs="Arial"/>
        </w:rPr>
        <w:t xml:space="preserve">mortality </w:t>
      </w:r>
      <w:r w:rsidRPr="00946C8E">
        <w:rPr>
          <w:rFonts w:ascii="Aptos" w:eastAsia="Aptos" w:hAnsi="Aptos" w:cs="Arial"/>
        </w:rPr>
        <w:t xml:space="preserve">rate was </w:t>
      </w:r>
      <w:r w:rsidRPr="002906C7">
        <w:rPr>
          <w:rFonts w:ascii="Aptos" w:eastAsia="Aptos" w:hAnsi="Aptos" w:cs="Arial"/>
          <w:b/>
          <w:bCs/>
        </w:rPr>
        <w:t>10.4 per 100,000</w:t>
      </w:r>
      <w:r w:rsidRPr="00946C8E">
        <w:rPr>
          <w:rFonts w:ascii="Aptos" w:eastAsia="Aptos" w:hAnsi="Aptos" w:cs="Arial"/>
        </w:rPr>
        <w:t xml:space="preserve"> (</w:t>
      </w:r>
      <w:r w:rsidR="006503B5">
        <w:rPr>
          <w:rFonts w:ascii="Aptos" w:eastAsia="Aptos" w:hAnsi="Aptos" w:cs="Arial"/>
        </w:rPr>
        <w:t xml:space="preserve">compared with </w:t>
      </w:r>
      <w:r w:rsidRPr="00946C8E">
        <w:rPr>
          <w:rFonts w:ascii="Aptos" w:eastAsia="Aptos" w:hAnsi="Aptos" w:cs="Arial"/>
        </w:rPr>
        <w:t xml:space="preserve">8.0 nationally). This is the highest recorded rate in </w:t>
      </w:r>
      <w:proofErr w:type="gramStart"/>
      <w:r w:rsidRPr="00946C8E">
        <w:rPr>
          <w:rFonts w:ascii="Aptos" w:eastAsia="Aptos" w:hAnsi="Aptos" w:cs="Arial"/>
        </w:rPr>
        <w:t>Peterborough, and</w:t>
      </w:r>
      <w:proofErr w:type="gramEnd"/>
      <w:r w:rsidRPr="00946C8E">
        <w:rPr>
          <w:rFonts w:ascii="Aptos" w:eastAsia="Aptos" w:hAnsi="Aptos" w:cs="Arial"/>
        </w:rPr>
        <w:t xml:space="preserve"> is a significant increase from 6.9 in the previous period (2020-2022). This marks a continued upward trend since 2017-2019, when the rate stood at 5.0. In contrast, the rate for </w:t>
      </w:r>
      <w:r w:rsidRPr="002906C7">
        <w:rPr>
          <w:rFonts w:ascii="Aptos" w:eastAsia="Aptos" w:hAnsi="Aptos" w:cs="Arial"/>
          <w:b/>
          <w:bCs/>
        </w:rPr>
        <w:t>females</w:t>
      </w:r>
      <w:r w:rsidRPr="00946C8E">
        <w:rPr>
          <w:rFonts w:ascii="Aptos" w:eastAsia="Aptos" w:hAnsi="Aptos" w:cs="Arial"/>
        </w:rPr>
        <w:t xml:space="preserve"> in Peterborough was </w:t>
      </w:r>
      <w:r w:rsidRPr="002906C7">
        <w:rPr>
          <w:rFonts w:ascii="Aptos" w:eastAsia="Aptos" w:hAnsi="Aptos" w:cs="Arial"/>
          <w:b/>
          <w:bCs/>
        </w:rPr>
        <w:t>2.9</w:t>
      </w:r>
      <w:r w:rsidR="002906C7">
        <w:rPr>
          <w:rFonts w:ascii="Aptos" w:eastAsia="Aptos" w:hAnsi="Aptos" w:cs="Arial"/>
        </w:rPr>
        <w:t xml:space="preserve"> </w:t>
      </w:r>
      <w:r w:rsidR="002906C7" w:rsidRPr="002906C7">
        <w:rPr>
          <w:rFonts w:ascii="Aptos" w:eastAsia="Aptos" w:hAnsi="Aptos" w:cs="Arial"/>
          <w:b/>
          <w:bCs/>
        </w:rPr>
        <w:t>per 100,000</w:t>
      </w:r>
      <w:r w:rsidRPr="00946C8E">
        <w:rPr>
          <w:rFonts w:ascii="Aptos" w:eastAsia="Aptos" w:hAnsi="Aptos" w:cs="Arial"/>
        </w:rPr>
        <w:t xml:space="preserve">, </w:t>
      </w:r>
      <w:proofErr w:type="gramStart"/>
      <w:r w:rsidRPr="00946C8E">
        <w:rPr>
          <w:rFonts w:ascii="Aptos" w:eastAsia="Aptos" w:hAnsi="Aptos" w:cs="Arial"/>
        </w:rPr>
        <w:t>similar to</w:t>
      </w:r>
      <w:proofErr w:type="gramEnd"/>
      <w:r w:rsidRPr="00946C8E">
        <w:rPr>
          <w:rFonts w:ascii="Aptos" w:eastAsia="Aptos" w:hAnsi="Aptos" w:cs="Arial"/>
        </w:rPr>
        <w:t xml:space="preserve"> the previous year’s rate of 3.0 </w:t>
      </w:r>
      <w:r w:rsidR="00C45258" w:rsidRPr="00C45258">
        <w:rPr>
          <w:rFonts w:ascii="Aptos" w:eastAsia="Aptos" w:hAnsi="Aptos" w:cs="Arial"/>
        </w:rPr>
        <w:t>per 100,000</w:t>
      </w:r>
      <w:r w:rsidR="00C45258">
        <w:rPr>
          <w:rFonts w:ascii="Aptos" w:eastAsia="Aptos" w:hAnsi="Aptos" w:cs="Arial"/>
          <w:b/>
          <w:bCs/>
        </w:rPr>
        <w:t xml:space="preserve"> </w:t>
      </w:r>
      <w:r w:rsidRPr="00946C8E">
        <w:rPr>
          <w:rFonts w:ascii="Aptos" w:eastAsia="Aptos" w:hAnsi="Aptos" w:cs="Arial"/>
        </w:rPr>
        <w:t>and close to the national figure of 3.1</w:t>
      </w:r>
      <w:r w:rsidR="00C45258" w:rsidRPr="00C45258">
        <w:rPr>
          <w:rFonts w:ascii="Aptos" w:eastAsia="Aptos" w:hAnsi="Aptos" w:cs="Arial"/>
        </w:rPr>
        <w:t xml:space="preserve"> per 100,000</w:t>
      </w:r>
      <w:r w:rsidRPr="00946C8E">
        <w:rPr>
          <w:rFonts w:ascii="Aptos" w:eastAsia="Aptos" w:hAnsi="Aptos" w:cs="Arial"/>
        </w:rPr>
        <w:t>.</w:t>
      </w:r>
      <w:r w:rsidR="00AE3C89">
        <w:rPr>
          <w:rFonts w:ascii="Aptos" w:eastAsia="Aptos" w:hAnsi="Aptos" w:cs="Arial"/>
        </w:rPr>
        <w:t xml:space="preserve"> </w:t>
      </w:r>
    </w:p>
    <w:p w14:paraId="15727669" w14:textId="77777777" w:rsidR="00FF2A28" w:rsidRPr="00FF2A28" w:rsidRDefault="00FF2A28" w:rsidP="00FF2A28"/>
    <w:p w14:paraId="416FD9FD" w14:textId="08A17876" w:rsidR="005C2B7B" w:rsidRDefault="005C2B7B" w:rsidP="00EE708D">
      <w:pPr>
        <w:pStyle w:val="Heading3"/>
      </w:pPr>
      <w:bookmarkStart w:id="60" w:name="_Toc200479492"/>
      <w:r>
        <w:t>Mortality</w:t>
      </w:r>
      <w:r w:rsidR="00622B72">
        <w:t xml:space="preserve"> from Alcohol</w:t>
      </w:r>
      <w:bookmarkEnd w:id="60"/>
    </w:p>
    <w:p w14:paraId="3DD8F980" w14:textId="65E9FE38" w:rsidR="00712E9E" w:rsidRDefault="000B0DB5" w:rsidP="007D2D40">
      <w:r w:rsidRPr="000B0DB5">
        <w:t xml:space="preserve">Alcohol-related harms often develop over time, with a </w:t>
      </w:r>
      <w:r w:rsidRPr="00C45258">
        <w:rPr>
          <w:b/>
          <w:bCs/>
        </w:rPr>
        <w:t>lag</w:t>
      </w:r>
      <w:r w:rsidRPr="000B0DB5">
        <w:t xml:space="preserve"> between changes in consumption patterns and observable health impacts. </w:t>
      </w:r>
      <w:r w:rsidR="00F2063F">
        <w:t>M</w:t>
      </w:r>
      <w:r w:rsidRPr="000B0DB5">
        <w:t>any alcohol-related conditions progress chronically</w:t>
      </w:r>
      <w:r w:rsidR="00F2063F">
        <w:t xml:space="preserve"> so </w:t>
      </w:r>
      <w:r w:rsidRPr="000B0DB5">
        <w:t xml:space="preserve">immediate changes </w:t>
      </w:r>
      <w:r w:rsidR="00F2063F">
        <w:t xml:space="preserve">are </w:t>
      </w:r>
      <w:r w:rsidRPr="000B0DB5">
        <w:t xml:space="preserve">hard to detect, </w:t>
      </w:r>
      <w:r w:rsidR="00F2063F">
        <w:t xml:space="preserve">however, </w:t>
      </w:r>
      <w:r w:rsidRPr="000B0DB5">
        <w:t>monitoring these trends remains essential to understand and address the impact of alcohol use on public health.</w:t>
      </w:r>
    </w:p>
    <w:p w14:paraId="32A7F6BC" w14:textId="19093DAA" w:rsidR="00CF3149" w:rsidRPr="00CF3149" w:rsidRDefault="00482AB2" w:rsidP="00CF3149">
      <w:pPr>
        <w:spacing w:line="256" w:lineRule="auto"/>
        <w:rPr>
          <w:rFonts w:ascii="Aptos" w:eastAsia="Aptos" w:hAnsi="Aptos" w:cs="Arial"/>
        </w:rPr>
      </w:pPr>
      <w:r>
        <w:rPr>
          <w:rFonts w:ascii="Aptos" w:eastAsia="Aptos" w:hAnsi="Aptos" w:cs="Arial"/>
        </w:rPr>
        <w:t>The most recent data from OHID</w:t>
      </w:r>
      <w:r w:rsidR="00CF3149" w:rsidRPr="00CF3149">
        <w:rPr>
          <w:rFonts w:ascii="Aptos" w:eastAsia="Aptos" w:hAnsi="Aptos" w:cs="Arial"/>
        </w:rPr>
        <w:t xml:space="preserve"> </w:t>
      </w:r>
      <w:r>
        <w:rPr>
          <w:rFonts w:ascii="Aptos" w:eastAsia="Aptos" w:hAnsi="Aptos" w:cs="Arial"/>
        </w:rPr>
        <w:t xml:space="preserve">is from 2023, </w:t>
      </w:r>
      <w:r w:rsidR="00C526E4">
        <w:rPr>
          <w:rFonts w:ascii="Aptos" w:eastAsia="Aptos" w:hAnsi="Aptos" w:cs="Arial"/>
        </w:rPr>
        <w:t xml:space="preserve">which shows </w:t>
      </w:r>
      <w:r w:rsidR="00982E6F">
        <w:rPr>
          <w:rFonts w:ascii="Aptos" w:eastAsia="Aptos" w:hAnsi="Aptos" w:cs="Arial"/>
        </w:rPr>
        <w:t xml:space="preserve">that </w:t>
      </w:r>
      <w:r w:rsidR="0052737D">
        <w:rPr>
          <w:rFonts w:ascii="Aptos" w:eastAsia="Aptos" w:hAnsi="Aptos" w:cs="Arial"/>
        </w:rPr>
        <w:t xml:space="preserve">some measures of </w:t>
      </w:r>
      <w:r w:rsidR="00982E6F">
        <w:rPr>
          <w:rFonts w:ascii="Aptos" w:eastAsia="Aptos" w:hAnsi="Aptos" w:cs="Arial"/>
        </w:rPr>
        <w:t xml:space="preserve">alcohol-related </w:t>
      </w:r>
      <w:r w:rsidR="0080296B">
        <w:rPr>
          <w:rFonts w:ascii="Aptos" w:eastAsia="Aptos" w:hAnsi="Aptos" w:cs="Arial"/>
        </w:rPr>
        <w:t xml:space="preserve">mortality </w:t>
      </w:r>
      <w:r w:rsidR="0052737D">
        <w:rPr>
          <w:rFonts w:ascii="Aptos" w:eastAsia="Aptos" w:hAnsi="Aptos" w:cs="Arial"/>
        </w:rPr>
        <w:t xml:space="preserve">in </w:t>
      </w:r>
      <w:r w:rsidR="00CF3149" w:rsidRPr="00CF3149">
        <w:rPr>
          <w:rFonts w:ascii="Aptos" w:eastAsia="Aptos" w:hAnsi="Aptos" w:cs="Arial"/>
        </w:rPr>
        <w:t xml:space="preserve">Peterborough were </w:t>
      </w:r>
      <w:proofErr w:type="gramStart"/>
      <w:r w:rsidR="00CF3149" w:rsidRPr="00CF3149">
        <w:rPr>
          <w:rFonts w:ascii="Aptos" w:eastAsia="Aptos" w:hAnsi="Aptos" w:cs="Arial"/>
        </w:rPr>
        <w:t>similar to</w:t>
      </w:r>
      <w:proofErr w:type="gramEnd"/>
      <w:r w:rsidR="00CF3149" w:rsidRPr="00CF3149">
        <w:rPr>
          <w:rFonts w:ascii="Aptos" w:eastAsia="Aptos" w:hAnsi="Aptos" w:cs="Arial"/>
        </w:rPr>
        <w:t xml:space="preserve"> </w:t>
      </w:r>
      <w:r w:rsidR="00DC4DBA">
        <w:rPr>
          <w:rFonts w:ascii="Aptos" w:eastAsia="Aptos" w:hAnsi="Aptos" w:cs="Arial"/>
        </w:rPr>
        <w:t>national levels, whilst others</w:t>
      </w:r>
      <w:r w:rsidR="00982E6F">
        <w:rPr>
          <w:rFonts w:ascii="Aptos" w:eastAsia="Aptos" w:hAnsi="Aptos" w:cs="Arial"/>
        </w:rPr>
        <w:t xml:space="preserve">, particularly for males, </w:t>
      </w:r>
      <w:r w:rsidR="00DC4DBA">
        <w:rPr>
          <w:rFonts w:ascii="Aptos" w:eastAsia="Aptos" w:hAnsi="Aptos" w:cs="Arial"/>
        </w:rPr>
        <w:t>were worse</w:t>
      </w:r>
      <w:r w:rsidR="00982E6F">
        <w:rPr>
          <w:rFonts w:ascii="Aptos" w:eastAsia="Aptos" w:hAnsi="Aptos" w:cs="Arial"/>
        </w:rPr>
        <w:t xml:space="preserve">. This is shown in </w:t>
      </w:r>
      <w:r w:rsidR="008244F4">
        <w:rPr>
          <w:rFonts w:ascii="Aptos" w:eastAsia="Aptos" w:hAnsi="Aptos" w:cs="Arial"/>
        </w:rPr>
        <w:t>F</w:t>
      </w:r>
      <w:r w:rsidR="00CF3149" w:rsidRPr="00CF3149">
        <w:rPr>
          <w:rFonts w:ascii="Aptos" w:eastAsia="Aptos" w:hAnsi="Aptos" w:cs="Arial"/>
        </w:rPr>
        <w:t xml:space="preserve">igure </w:t>
      </w:r>
      <w:r w:rsidR="00C067E6">
        <w:rPr>
          <w:rFonts w:ascii="Aptos" w:eastAsia="Aptos" w:hAnsi="Aptos" w:cs="Arial"/>
        </w:rPr>
        <w:t>5</w:t>
      </w:r>
      <w:r w:rsidR="00F2063F">
        <w:rPr>
          <w:rFonts w:ascii="Aptos" w:eastAsia="Aptos" w:hAnsi="Aptos" w:cs="Arial"/>
        </w:rPr>
        <w:t>.5</w:t>
      </w:r>
      <w:r w:rsidR="008244F4">
        <w:rPr>
          <w:rFonts w:ascii="Aptos" w:eastAsia="Aptos" w:hAnsi="Aptos" w:cs="Arial"/>
        </w:rPr>
        <w:t>c</w:t>
      </w:r>
      <w:r w:rsidR="00CF3149" w:rsidRPr="00CF3149">
        <w:rPr>
          <w:rFonts w:ascii="Aptos" w:eastAsia="Aptos" w:hAnsi="Aptos" w:cs="Arial"/>
        </w:rPr>
        <w:t>.</w:t>
      </w:r>
    </w:p>
    <w:p w14:paraId="70B15E24" w14:textId="31ED1401" w:rsidR="00CF3149" w:rsidRPr="00CF3149" w:rsidRDefault="00CF3149" w:rsidP="008244F4">
      <w:pPr>
        <w:pStyle w:val="Heading6"/>
      </w:pPr>
      <w:r w:rsidRPr="00CF3149">
        <w:t xml:space="preserve">Figure </w:t>
      </w:r>
      <w:r w:rsidR="00C067E6">
        <w:t>5</w:t>
      </w:r>
      <w:r w:rsidR="008244F4">
        <w:t>.5c</w:t>
      </w:r>
      <w:r w:rsidRPr="00CF3149">
        <w:t>. ‘Alcohol profile’ indicators from OHID, Peterborough compared with England.</w:t>
      </w:r>
    </w:p>
    <w:p w14:paraId="5F756EBB" w14:textId="398C7440" w:rsidR="00CF3149" w:rsidRDefault="00A701EC" w:rsidP="00CF3149">
      <w:pPr>
        <w:spacing w:line="256" w:lineRule="auto"/>
        <w:rPr>
          <w:rFonts w:ascii="Aptos" w:eastAsia="Aptos" w:hAnsi="Aptos" w:cs="Arial"/>
        </w:rPr>
      </w:pPr>
      <w:r w:rsidRPr="00A701EC">
        <w:rPr>
          <w:rFonts w:ascii="Aptos" w:eastAsia="Aptos" w:hAnsi="Aptos" w:cs="Arial"/>
          <w:noProof/>
        </w:rPr>
        <w:drawing>
          <wp:inline distT="0" distB="0" distL="0" distR="0" wp14:anchorId="5C548188" wp14:editId="5186A8B7">
            <wp:extent cx="5731510" cy="1662430"/>
            <wp:effectExtent l="0" t="0" r="2540" b="0"/>
            <wp:docPr id="818518989" name="Picture 1"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18989" name="Picture 1" descr="A screenshot of a white sheet&#10;&#10;AI-generated content may be incorrect."/>
                    <pic:cNvPicPr/>
                  </pic:nvPicPr>
                  <pic:blipFill>
                    <a:blip r:embed="rId35"/>
                    <a:stretch>
                      <a:fillRect/>
                    </a:stretch>
                  </pic:blipFill>
                  <pic:spPr>
                    <a:xfrm>
                      <a:off x="0" y="0"/>
                      <a:ext cx="5731510" cy="1662430"/>
                    </a:xfrm>
                    <a:prstGeom prst="rect">
                      <a:avLst/>
                    </a:prstGeom>
                  </pic:spPr>
                </pic:pic>
              </a:graphicData>
            </a:graphic>
          </wp:inline>
        </w:drawing>
      </w:r>
    </w:p>
    <w:p w14:paraId="117CF0AA" w14:textId="20750575" w:rsidR="000512FD" w:rsidRPr="000512FD" w:rsidRDefault="000512FD" w:rsidP="00CF3149">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4B8693A4" w14:textId="58B6178E" w:rsidR="006109AC" w:rsidRDefault="006109AC" w:rsidP="007D2D40"/>
    <w:p w14:paraId="29327AA3" w14:textId="3A7F0110" w:rsidR="000B0DB5" w:rsidRDefault="00622B72" w:rsidP="00622B72">
      <w:pPr>
        <w:pStyle w:val="Heading4"/>
      </w:pPr>
      <w:r w:rsidRPr="00622B72">
        <w:t>Alcohol-</w:t>
      </w:r>
      <w:r>
        <w:t>specific</w:t>
      </w:r>
      <w:r w:rsidRPr="00622B72">
        <w:t xml:space="preserve"> Mortality</w:t>
      </w:r>
    </w:p>
    <w:p w14:paraId="6EBD4B0E" w14:textId="77777777" w:rsidR="004723C8" w:rsidRDefault="007A1E00" w:rsidP="007A1E00">
      <w:pPr>
        <w:spacing w:line="256" w:lineRule="auto"/>
        <w:rPr>
          <w:rFonts w:ascii="Aptos" w:eastAsia="Aptos" w:hAnsi="Aptos" w:cs="Arial"/>
        </w:rPr>
      </w:pPr>
      <w:r w:rsidRPr="007A1E00">
        <w:rPr>
          <w:rFonts w:ascii="Aptos" w:eastAsia="Aptos" w:hAnsi="Aptos" w:cs="Arial"/>
        </w:rPr>
        <w:t xml:space="preserve">Deaths which have been </w:t>
      </w:r>
      <w:r w:rsidRPr="00A701EC">
        <w:rPr>
          <w:rFonts w:ascii="Aptos" w:eastAsia="Aptos" w:hAnsi="Aptos" w:cs="Arial"/>
          <w:b/>
          <w:bCs/>
        </w:rPr>
        <w:t>wholly caused by alcohol</w:t>
      </w:r>
      <w:r w:rsidRPr="007A1E00">
        <w:rPr>
          <w:rFonts w:ascii="Aptos" w:eastAsia="Aptos" w:hAnsi="Aptos" w:cs="Arial"/>
        </w:rPr>
        <w:t xml:space="preserve"> consumption are monitored by OHID and ONS, </w:t>
      </w:r>
      <w:proofErr w:type="gramStart"/>
      <w:r w:rsidRPr="007A1E00">
        <w:rPr>
          <w:rFonts w:ascii="Aptos" w:eastAsia="Aptos" w:hAnsi="Aptos" w:cs="Arial"/>
        </w:rPr>
        <w:t>in order to</w:t>
      </w:r>
      <w:proofErr w:type="gramEnd"/>
      <w:r w:rsidRPr="007A1E00">
        <w:rPr>
          <w:rFonts w:ascii="Aptos" w:eastAsia="Aptos" w:hAnsi="Aptos" w:cs="Arial"/>
        </w:rPr>
        <w:t xml:space="preserve"> provide an evidence base for activities to reduce the harmful use of alcohol. The rate of these deaths, referred to as alcohol specific mortality, has </w:t>
      </w:r>
      <w:r w:rsidRPr="006E4DD5">
        <w:rPr>
          <w:rFonts w:ascii="Aptos" w:eastAsia="Aptos" w:hAnsi="Aptos" w:cs="Arial"/>
          <w:b/>
          <w:bCs/>
        </w:rPr>
        <w:t>increased since 2019</w:t>
      </w:r>
      <w:r w:rsidRPr="007A1E00">
        <w:rPr>
          <w:rFonts w:ascii="Aptos" w:eastAsia="Aptos" w:hAnsi="Aptos" w:cs="Arial"/>
        </w:rPr>
        <w:t xml:space="preserve"> in both Peterborough and </w:t>
      </w:r>
      <w:r w:rsidR="004723C8">
        <w:rPr>
          <w:rFonts w:ascii="Aptos" w:eastAsia="Aptos" w:hAnsi="Aptos" w:cs="Arial"/>
        </w:rPr>
        <w:t>nationally</w:t>
      </w:r>
      <w:r w:rsidRPr="007A1E00">
        <w:rPr>
          <w:rFonts w:ascii="Aptos" w:eastAsia="Aptos" w:hAnsi="Aptos" w:cs="Arial"/>
        </w:rPr>
        <w:t xml:space="preserve">. </w:t>
      </w:r>
    </w:p>
    <w:p w14:paraId="75B56BD5" w14:textId="42A00758" w:rsidR="007A1E00" w:rsidRPr="007A1E00" w:rsidRDefault="007A1E00" w:rsidP="007A1E00">
      <w:pPr>
        <w:spacing w:line="256" w:lineRule="auto"/>
        <w:rPr>
          <w:rFonts w:ascii="Aptos" w:eastAsia="Aptos" w:hAnsi="Aptos" w:cs="Arial"/>
        </w:rPr>
      </w:pPr>
      <w:r w:rsidRPr="16F14F99">
        <w:rPr>
          <w:rFonts w:ascii="Aptos" w:eastAsia="Aptos" w:hAnsi="Aptos" w:cs="Arial"/>
        </w:rPr>
        <w:t>The most recent annual</w:t>
      </w:r>
      <w:r w:rsidR="007A3A05" w:rsidRPr="16F14F99">
        <w:rPr>
          <w:rFonts w:ascii="Aptos" w:eastAsia="Aptos" w:hAnsi="Aptos" w:cs="Arial"/>
        </w:rPr>
        <w:t xml:space="preserve"> alcohol-specific</w:t>
      </w:r>
      <w:r w:rsidRPr="16F14F99">
        <w:rPr>
          <w:rFonts w:ascii="Aptos" w:eastAsia="Aptos" w:hAnsi="Aptos" w:cs="Arial"/>
        </w:rPr>
        <w:t xml:space="preserve"> mortality rate from 2023 for </w:t>
      </w:r>
      <w:r w:rsidRPr="16F14F99">
        <w:rPr>
          <w:rFonts w:ascii="Aptos" w:eastAsia="Aptos" w:hAnsi="Aptos" w:cs="Arial"/>
          <w:b/>
          <w:bCs/>
        </w:rPr>
        <w:t>Peterborough was 20.2 per 100</w:t>
      </w:r>
      <w:r w:rsidR="006E4DD5" w:rsidRPr="16F14F99">
        <w:rPr>
          <w:rFonts w:ascii="Aptos" w:eastAsia="Aptos" w:hAnsi="Aptos" w:cs="Arial"/>
          <w:b/>
          <w:bCs/>
        </w:rPr>
        <w:t>,</w:t>
      </w:r>
      <w:r w:rsidRPr="16F14F99">
        <w:rPr>
          <w:rFonts w:ascii="Aptos" w:eastAsia="Aptos" w:hAnsi="Aptos" w:cs="Arial"/>
          <w:b/>
          <w:bCs/>
        </w:rPr>
        <w:t>000</w:t>
      </w:r>
      <w:r w:rsidRPr="16F14F99">
        <w:rPr>
          <w:rFonts w:ascii="Aptos" w:eastAsia="Aptos" w:hAnsi="Aptos" w:cs="Arial"/>
        </w:rPr>
        <w:t xml:space="preserve">. This was statistically </w:t>
      </w:r>
      <w:proofErr w:type="gramStart"/>
      <w:r w:rsidRPr="16F14F99">
        <w:rPr>
          <w:rFonts w:ascii="Aptos" w:eastAsia="Aptos" w:hAnsi="Aptos" w:cs="Arial"/>
        </w:rPr>
        <w:t>similar to</w:t>
      </w:r>
      <w:proofErr w:type="gramEnd"/>
      <w:r w:rsidRPr="16F14F99">
        <w:rPr>
          <w:rFonts w:ascii="Aptos" w:eastAsia="Aptos" w:hAnsi="Aptos" w:cs="Arial"/>
        </w:rPr>
        <w:t xml:space="preserve"> the year before (18.1 per 100,000) but represented </w:t>
      </w:r>
      <w:r w:rsidRPr="16F14F99">
        <w:rPr>
          <w:rFonts w:ascii="Aptos" w:eastAsia="Aptos" w:hAnsi="Aptos" w:cs="Arial"/>
        </w:rPr>
        <w:lastRenderedPageBreak/>
        <w:t xml:space="preserve">an increase from 2019 and 2020. The national rate is statistically similar and </w:t>
      </w:r>
      <w:r w:rsidR="00F809D2" w:rsidRPr="16F14F99">
        <w:rPr>
          <w:rFonts w:ascii="Aptos" w:eastAsia="Aptos" w:hAnsi="Aptos" w:cs="Arial"/>
        </w:rPr>
        <w:t>h</w:t>
      </w:r>
      <w:r w:rsidRPr="16F14F99">
        <w:rPr>
          <w:rFonts w:ascii="Aptos" w:eastAsia="Aptos" w:hAnsi="Aptos" w:cs="Arial"/>
        </w:rPr>
        <w:t>as also increas</w:t>
      </w:r>
      <w:r w:rsidR="00F809D2" w:rsidRPr="16F14F99">
        <w:rPr>
          <w:rFonts w:ascii="Aptos" w:eastAsia="Aptos" w:hAnsi="Aptos" w:cs="Arial"/>
        </w:rPr>
        <w:t>ed</w:t>
      </w:r>
      <w:r w:rsidRPr="16F14F99">
        <w:rPr>
          <w:rFonts w:ascii="Aptos" w:eastAsia="Aptos" w:hAnsi="Aptos" w:cs="Arial"/>
        </w:rPr>
        <w:t xml:space="preserve"> </w:t>
      </w:r>
      <w:r w:rsidR="00E5629C" w:rsidRPr="16F14F99">
        <w:rPr>
          <w:rFonts w:ascii="Aptos" w:eastAsia="Aptos" w:hAnsi="Aptos" w:cs="Arial"/>
        </w:rPr>
        <w:t>since 2019</w:t>
      </w:r>
      <w:r w:rsidRPr="16F14F99">
        <w:rPr>
          <w:rFonts w:ascii="Aptos" w:eastAsia="Aptos" w:hAnsi="Aptos" w:cs="Arial"/>
        </w:rPr>
        <w:t xml:space="preserve">, as shown in </w:t>
      </w:r>
      <w:r w:rsidR="004723C8" w:rsidRPr="16F14F99">
        <w:rPr>
          <w:rFonts w:ascii="Aptos" w:eastAsia="Aptos" w:hAnsi="Aptos" w:cs="Arial"/>
        </w:rPr>
        <w:t>F</w:t>
      </w:r>
      <w:r w:rsidRPr="16F14F99">
        <w:rPr>
          <w:rFonts w:ascii="Aptos" w:eastAsia="Aptos" w:hAnsi="Aptos" w:cs="Arial"/>
        </w:rPr>
        <w:t xml:space="preserve">igure </w:t>
      </w:r>
      <w:r w:rsidR="00E5629C" w:rsidRPr="16F14F99">
        <w:rPr>
          <w:rFonts w:ascii="Aptos" w:eastAsia="Aptos" w:hAnsi="Aptos" w:cs="Arial"/>
        </w:rPr>
        <w:t>5</w:t>
      </w:r>
      <w:r w:rsidR="004723C8" w:rsidRPr="16F14F99">
        <w:rPr>
          <w:rFonts w:ascii="Aptos" w:eastAsia="Aptos" w:hAnsi="Aptos" w:cs="Arial"/>
        </w:rPr>
        <w:t>.5</w:t>
      </w:r>
      <w:r w:rsidR="00301A52" w:rsidRPr="16F14F99">
        <w:rPr>
          <w:rFonts w:ascii="Aptos" w:eastAsia="Aptos" w:hAnsi="Aptos" w:cs="Arial"/>
        </w:rPr>
        <w:t>d</w:t>
      </w:r>
      <w:r w:rsidRPr="16F14F99">
        <w:rPr>
          <w:rFonts w:ascii="Aptos" w:eastAsia="Aptos" w:hAnsi="Aptos" w:cs="Arial"/>
        </w:rPr>
        <w:t>.</w:t>
      </w:r>
    </w:p>
    <w:p w14:paraId="4BF6D419" w14:textId="6A8B8E85" w:rsidR="007A1E00" w:rsidRPr="007A1E00" w:rsidRDefault="007A1E00" w:rsidP="00301A52">
      <w:pPr>
        <w:pStyle w:val="Heading6"/>
      </w:pPr>
      <w:r w:rsidRPr="007A1E00">
        <w:t xml:space="preserve">Figure </w:t>
      </w:r>
      <w:r w:rsidR="00E5629C">
        <w:t>5</w:t>
      </w:r>
      <w:r w:rsidR="004723C8">
        <w:t>.5</w:t>
      </w:r>
      <w:r w:rsidR="00301A52">
        <w:t xml:space="preserve">d. </w:t>
      </w:r>
      <w:r w:rsidR="004723C8">
        <w:t xml:space="preserve">Alcohol specific mortality </w:t>
      </w:r>
      <w:r w:rsidR="00301A52">
        <w:t>in Peterborough and England 2006 to 2023.</w:t>
      </w:r>
    </w:p>
    <w:p w14:paraId="57339786" w14:textId="77777777" w:rsidR="007A1E00" w:rsidRDefault="007A1E00" w:rsidP="007A1E00">
      <w:pPr>
        <w:spacing w:line="256" w:lineRule="auto"/>
        <w:rPr>
          <w:rFonts w:ascii="Aptos" w:eastAsia="Aptos" w:hAnsi="Aptos" w:cs="Arial"/>
        </w:rPr>
      </w:pPr>
      <w:r w:rsidRPr="007A1E00">
        <w:rPr>
          <w:rFonts w:ascii="Aptos" w:eastAsia="Aptos" w:hAnsi="Aptos" w:cs="Arial"/>
          <w:noProof/>
        </w:rPr>
        <w:drawing>
          <wp:inline distT="0" distB="0" distL="0" distR="0" wp14:anchorId="1B6F6074" wp14:editId="1AD3F58B">
            <wp:extent cx="5733415" cy="3191510"/>
            <wp:effectExtent l="0" t="0" r="635" b="8890"/>
            <wp:docPr id="624526251"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grap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3191510"/>
                    </a:xfrm>
                    <a:prstGeom prst="rect">
                      <a:avLst/>
                    </a:prstGeom>
                    <a:noFill/>
                    <a:ln>
                      <a:noFill/>
                    </a:ln>
                  </pic:spPr>
                </pic:pic>
              </a:graphicData>
            </a:graphic>
          </wp:inline>
        </w:drawing>
      </w:r>
    </w:p>
    <w:p w14:paraId="7CF11784" w14:textId="33AF6148" w:rsidR="00301A52" w:rsidRPr="000512FD" w:rsidRDefault="00301A52" w:rsidP="007A1E00">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2D75BB51" w14:textId="0AE58AFA" w:rsidR="009E199D" w:rsidRPr="007A1E00" w:rsidRDefault="007A1E00" w:rsidP="007A1E00">
      <w:pPr>
        <w:spacing w:line="256" w:lineRule="auto"/>
        <w:rPr>
          <w:rFonts w:ascii="Aptos" w:eastAsia="Aptos" w:hAnsi="Aptos" w:cs="Arial"/>
        </w:rPr>
      </w:pPr>
      <w:r w:rsidRPr="6A183C24">
        <w:rPr>
          <w:rFonts w:ascii="Aptos" w:eastAsia="Aptos" w:hAnsi="Aptos" w:cs="Arial"/>
        </w:rPr>
        <w:t>When comparing with statistical neighbours (NHS England</w:t>
      </w:r>
      <w:r w:rsidR="009227B4">
        <w:rPr>
          <w:rFonts w:ascii="Aptos" w:eastAsia="Aptos" w:hAnsi="Aptos" w:cs="Arial"/>
        </w:rPr>
        <w:fldChar w:fldCharType="begin"/>
      </w:r>
      <w:r w:rsidR="009227B4">
        <w:rPr>
          <w:rFonts w:ascii="Aptos" w:eastAsia="Aptos" w:hAnsi="Aptos" w:cs="Arial"/>
        </w:rPr>
        <w:instrText xml:space="preserve"> NOTEREF  _Ref190356077 \f \h </w:instrText>
      </w:r>
      <w:r w:rsidR="009227B4">
        <w:rPr>
          <w:rFonts w:ascii="Aptos" w:eastAsia="Aptos" w:hAnsi="Aptos" w:cs="Arial"/>
        </w:rPr>
      </w:r>
      <w:r w:rsidR="009227B4">
        <w:rPr>
          <w:rFonts w:ascii="Aptos" w:eastAsia="Aptos" w:hAnsi="Aptos" w:cs="Arial"/>
        </w:rPr>
        <w:fldChar w:fldCharType="separate"/>
      </w:r>
      <w:r w:rsidR="009227B4" w:rsidRPr="009227B4">
        <w:rPr>
          <w:rStyle w:val="FootnoteReference"/>
        </w:rPr>
        <w:t>24</w:t>
      </w:r>
      <w:r w:rsidR="009227B4">
        <w:rPr>
          <w:rFonts w:ascii="Aptos" w:eastAsia="Aptos" w:hAnsi="Aptos" w:cs="Arial"/>
        </w:rPr>
        <w:fldChar w:fldCharType="end"/>
      </w:r>
      <w:r w:rsidRPr="009227B4">
        <w:rPr>
          <w:rFonts w:ascii="Aptos" w:eastAsia="Aptos" w:hAnsi="Aptos" w:cs="Arial"/>
        </w:rPr>
        <w:t>),</w:t>
      </w:r>
      <w:r w:rsidRPr="6A183C24">
        <w:rPr>
          <w:rFonts w:ascii="Aptos" w:eastAsia="Aptos" w:hAnsi="Aptos" w:cs="Arial"/>
        </w:rPr>
        <w:t xml:space="preserve"> Peterborough ranks </w:t>
      </w:r>
      <w:r w:rsidR="45CF4A76" w:rsidRPr="6A183C24">
        <w:rPr>
          <w:rFonts w:ascii="Aptos" w:eastAsia="Aptos" w:hAnsi="Aptos" w:cs="Arial"/>
        </w:rPr>
        <w:t>8</w:t>
      </w:r>
      <w:r w:rsidRPr="6A183C24">
        <w:rPr>
          <w:rFonts w:ascii="Aptos" w:eastAsia="Aptos" w:hAnsi="Aptos" w:cs="Arial"/>
          <w:vertAlign w:val="superscript"/>
        </w:rPr>
        <w:t>th</w:t>
      </w:r>
      <w:r w:rsidRPr="6A183C24">
        <w:rPr>
          <w:rFonts w:ascii="Aptos" w:eastAsia="Aptos" w:hAnsi="Aptos" w:cs="Arial"/>
        </w:rPr>
        <w:t xml:space="preserve"> of 16</w:t>
      </w:r>
      <w:r w:rsidR="003C0413">
        <w:rPr>
          <w:rFonts w:ascii="Aptos" w:eastAsia="Aptos" w:hAnsi="Aptos" w:cs="Arial"/>
        </w:rPr>
        <w:t xml:space="preserve"> for alcohol </w:t>
      </w:r>
      <w:r w:rsidR="00461E89">
        <w:rPr>
          <w:rFonts w:ascii="Aptos" w:eastAsia="Aptos" w:hAnsi="Aptos" w:cs="Arial"/>
        </w:rPr>
        <w:t>mortality</w:t>
      </w:r>
      <w:r w:rsidR="004E721F">
        <w:rPr>
          <w:rFonts w:ascii="Aptos" w:eastAsia="Aptos" w:hAnsi="Aptos" w:cs="Arial"/>
        </w:rPr>
        <w:t xml:space="preserve"> (with 1</w:t>
      </w:r>
      <w:r w:rsidR="004E721F" w:rsidRPr="00232824">
        <w:rPr>
          <w:rFonts w:ascii="Aptos" w:eastAsia="Aptos" w:hAnsi="Aptos" w:cs="Arial"/>
          <w:vertAlign w:val="superscript"/>
        </w:rPr>
        <w:t>st</w:t>
      </w:r>
      <w:r w:rsidR="004E721F">
        <w:rPr>
          <w:rFonts w:ascii="Aptos" w:eastAsia="Aptos" w:hAnsi="Aptos" w:cs="Arial"/>
        </w:rPr>
        <w:t xml:space="preserve"> representing the highest mortality rate and 16</w:t>
      </w:r>
      <w:r w:rsidR="004E721F" w:rsidRPr="00BF2520">
        <w:rPr>
          <w:rFonts w:ascii="Aptos" w:eastAsia="Aptos" w:hAnsi="Aptos" w:cs="Arial"/>
          <w:vertAlign w:val="superscript"/>
        </w:rPr>
        <w:t>th</w:t>
      </w:r>
      <w:r w:rsidR="004E721F">
        <w:rPr>
          <w:rFonts w:ascii="Aptos" w:eastAsia="Aptos" w:hAnsi="Aptos" w:cs="Arial"/>
        </w:rPr>
        <w:t xml:space="preserve"> the lowest</w:t>
      </w:r>
      <w:r w:rsidR="000F6BBC">
        <w:rPr>
          <w:rFonts w:ascii="Aptos" w:eastAsia="Aptos" w:hAnsi="Aptos" w:cs="Arial"/>
        </w:rPr>
        <w:t xml:space="preserve">), </w:t>
      </w:r>
      <w:r w:rsidR="000F6BBC" w:rsidRPr="6A183C24">
        <w:rPr>
          <w:rFonts w:ascii="Aptos" w:eastAsia="Aptos" w:hAnsi="Aptos" w:cs="Arial"/>
        </w:rPr>
        <w:t xml:space="preserve">as shown in </w:t>
      </w:r>
      <w:r w:rsidR="000F6BBC">
        <w:rPr>
          <w:rFonts w:ascii="Aptos" w:eastAsia="Aptos" w:hAnsi="Aptos" w:cs="Arial"/>
        </w:rPr>
        <w:t>F</w:t>
      </w:r>
      <w:r w:rsidR="000F6BBC" w:rsidRPr="6A183C24">
        <w:rPr>
          <w:rFonts w:ascii="Aptos" w:eastAsia="Aptos" w:hAnsi="Aptos" w:cs="Arial"/>
        </w:rPr>
        <w:t xml:space="preserve">igure </w:t>
      </w:r>
      <w:r w:rsidR="000F6BBC">
        <w:rPr>
          <w:rFonts w:ascii="Aptos" w:eastAsia="Aptos" w:hAnsi="Aptos" w:cs="Arial"/>
        </w:rPr>
        <w:t>6.5e</w:t>
      </w:r>
      <w:r w:rsidRPr="6A183C24">
        <w:rPr>
          <w:rFonts w:ascii="Aptos" w:eastAsia="Aptos" w:hAnsi="Aptos" w:cs="Arial"/>
        </w:rPr>
        <w:t xml:space="preserve">. </w:t>
      </w:r>
      <w:r w:rsidR="009D150C">
        <w:rPr>
          <w:rFonts w:ascii="Aptos" w:eastAsia="Aptos" w:hAnsi="Aptos" w:cs="Arial"/>
        </w:rPr>
        <w:t xml:space="preserve">A rate of 20.2 per 100,000 in Peterborough was </w:t>
      </w:r>
      <w:proofErr w:type="gramStart"/>
      <w:r w:rsidR="000F6BBC">
        <w:rPr>
          <w:rFonts w:ascii="Aptos" w:eastAsia="Aptos" w:hAnsi="Aptos" w:cs="Arial"/>
        </w:rPr>
        <w:t>similar to</w:t>
      </w:r>
      <w:proofErr w:type="gramEnd"/>
      <w:r w:rsidR="000F6BBC">
        <w:rPr>
          <w:rFonts w:ascii="Aptos" w:eastAsia="Aptos" w:hAnsi="Aptos" w:cs="Arial"/>
        </w:rPr>
        <w:t xml:space="preserve"> </w:t>
      </w:r>
      <w:r w:rsidR="00DB51C9">
        <w:rPr>
          <w:rFonts w:ascii="Aptos" w:eastAsia="Aptos" w:hAnsi="Aptos" w:cs="Arial"/>
        </w:rPr>
        <w:t>the average of statistical neighbours</w:t>
      </w:r>
      <w:r w:rsidR="00DF06E7">
        <w:rPr>
          <w:rFonts w:ascii="Aptos" w:eastAsia="Aptos" w:hAnsi="Aptos" w:cs="Arial"/>
        </w:rPr>
        <w:t xml:space="preserve"> in 2023,</w:t>
      </w:r>
      <w:r w:rsidR="00DB51C9">
        <w:rPr>
          <w:rFonts w:ascii="Aptos" w:eastAsia="Aptos" w:hAnsi="Aptos" w:cs="Arial"/>
        </w:rPr>
        <w:t xml:space="preserve"> </w:t>
      </w:r>
      <w:r w:rsidR="000F6BBC">
        <w:rPr>
          <w:rFonts w:ascii="Aptos" w:eastAsia="Aptos" w:hAnsi="Aptos" w:cs="Arial"/>
        </w:rPr>
        <w:t xml:space="preserve">at </w:t>
      </w:r>
      <w:r w:rsidRPr="6A183C24">
        <w:rPr>
          <w:rFonts w:ascii="Aptos" w:eastAsia="Aptos" w:hAnsi="Aptos" w:cs="Arial"/>
        </w:rPr>
        <w:t>20.</w:t>
      </w:r>
      <w:r w:rsidR="000F6BBC">
        <w:rPr>
          <w:rFonts w:ascii="Aptos" w:eastAsia="Aptos" w:hAnsi="Aptos" w:cs="Arial"/>
        </w:rPr>
        <w:t>3</w:t>
      </w:r>
      <w:r w:rsidRPr="6A183C24">
        <w:rPr>
          <w:rFonts w:ascii="Aptos" w:eastAsia="Aptos" w:hAnsi="Aptos" w:cs="Arial"/>
        </w:rPr>
        <w:t xml:space="preserve"> per 100,000.</w:t>
      </w:r>
      <w:r w:rsidR="00D4453F">
        <w:rPr>
          <w:rFonts w:ascii="Aptos" w:eastAsia="Aptos" w:hAnsi="Aptos" w:cs="Arial"/>
        </w:rPr>
        <w:t xml:space="preserve"> </w:t>
      </w:r>
      <w:r w:rsidR="00BE03E0">
        <w:rPr>
          <w:rFonts w:ascii="Aptos" w:eastAsia="Aptos" w:hAnsi="Aptos" w:cs="Arial"/>
        </w:rPr>
        <w:t xml:space="preserve">Peterborough </w:t>
      </w:r>
      <w:r w:rsidR="00D4453F">
        <w:rPr>
          <w:rFonts w:ascii="Aptos" w:eastAsia="Aptos" w:hAnsi="Aptos" w:cs="Arial"/>
        </w:rPr>
        <w:t xml:space="preserve">has </w:t>
      </w:r>
      <w:r w:rsidR="003C0413">
        <w:rPr>
          <w:rFonts w:ascii="Aptos" w:eastAsia="Aptos" w:hAnsi="Aptos" w:cs="Arial"/>
        </w:rPr>
        <w:t>had</w:t>
      </w:r>
      <w:r w:rsidR="00E52824">
        <w:rPr>
          <w:rFonts w:ascii="Aptos" w:eastAsia="Aptos" w:hAnsi="Aptos" w:cs="Arial"/>
        </w:rPr>
        <w:t xml:space="preserve"> </w:t>
      </w:r>
      <w:r w:rsidR="00BE03E0" w:rsidRPr="00D225B6">
        <w:rPr>
          <w:rFonts w:ascii="Aptos" w:eastAsia="Aptos" w:hAnsi="Aptos" w:cs="Arial"/>
          <w:b/>
          <w:bCs/>
        </w:rPr>
        <w:t>similar</w:t>
      </w:r>
      <w:r w:rsidR="003C0413" w:rsidRPr="00D225B6">
        <w:rPr>
          <w:rFonts w:ascii="Aptos" w:eastAsia="Aptos" w:hAnsi="Aptos" w:cs="Arial"/>
          <w:b/>
          <w:bCs/>
        </w:rPr>
        <w:t xml:space="preserve"> comparative </w:t>
      </w:r>
      <w:r w:rsidR="003B13A9" w:rsidRPr="00D225B6">
        <w:rPr>
          <w:rFonts w:ascii="Aptos" w:eastAsia="Aptos" w:hAnsi="Aptos" w:cs="Arial"/>
          <w:b/>
          <w:bCs/>
        </w:rPr>
        <w:t xml:space="preserve">mortality rate </w:t>
      </w:r>
      <w:r w:rsidR="00E52824" w:rsidRPr="00D225B6">
        <w:rPr>
          <w:rFonts w:ascii="Aptos" w:eastAsia="Aptos" w:hAnsi="Aptos" w:cs="Arial"/>
          <w:b/>
          <w:bCs/>
        </w:rPr>
        <w:t xml:space="preserve">among statistical </w:t>
      </w:r>
      <w:r w:rsidR="00194B94" w:rsidRPr="00D225B6">
        <w:rPr>
          <w:rFonts w:ascii="Aptos" w:eastAsia="Aptos" w:hAnsi="Aptos" w:cs="Arial"/>
          <w:b/>
          <w:bCs/>
        </w:rPr>
        <w:t>neighbours</w:t>
      </w:r>
      <w:r w:rsidR="00BE03E0">
        <w:rPr>
          <w:rFonts w:ascii="Aptos" w:eastAsia="Aptos" w:hAnsi="Aptos" w:cs="Arial"/>
        </w:rPr>
        <w:t xml:space="preserve"> over the last decade</w:t>
      </w:r>
      <w:r w:rsidR="00E52824">
        <w:rPr>
          <w:rFonts w:ascii="Aptos" w:eastAsia="Aptos" w:hAnsi="Aptos" w:cs="Arial"/>
        </w:rPr>
        <w:t xml:space="preserve">, </w:t>
      </w:r>
      <w:r w:rsidR="003C0413">
        <w:rPr>
          <w:rFonts w:ascii="Aptos" w:eastAsia="Aptos" w:hAnsi="Aptos" w:cs="Arial"/>
        </w:rPr>
        <w:t xml:space="preserve">ranking </w:t>
      </w:r>
      <w:r w:rsidR="00E52824">
        <w:rPr>
          <w:rFonts w:ascii="Aptos" w:eastAsia="Aptos" w:hAnsi="Aptos" w:cs="Arial"/>
        </w:rPr>
        <w:t>between 9</w:t>
      </w:r>
      <w:r w:rsidR="00E52824" w:rsidRPr="00E52824">
        <w:rPr>
          <w:rFonts w:ascii="Aptos" w:eastAsia="Aptos" w:hAnsi="Aptos" w:cs="Arial"/>
          <w:vertAlign w:val="superscript"/>
        </w:rPr>
        <w:t>th</w:t>
      </w:r>
      <w:r w:rsidR="00E52824">
        <w:rPr>
          <w:rFonts w:ascii="Aptos" w:eastAsia="Aptos" w:hAnsi="Aptos" w:cs="Arial"/>
        </w:rPr>
        <w:t xml:space="preserve"> and 13</w:t>
      </w:r>
      <w:r w:rsidR="00E52824" w:rsidRPr="00E52824">
        <w:rPr>
          <w:rFonts w:ascii="Aptos" w:eastAsia="Aptos" w:hAnsi="Aptos" w:cs="Arial"/>
          <w:vertAlign w:val="superscript"/>
        </w:rPr>
        <w:t>th</w:t>
      </w:r>
      <w:r w:rsidR="00E52824">
        <w:rPr>
          <w:rFonts w:ascii="Aptos" w:eastAsia="Aptos" w:hAnsi="Aptos" w:cs="Arial"/>
        </w:rPr>
        <w:t xml:space="preserve"> since </w:t>
      </w:r>
      <w:r w:rsidR="00BE03E0">
        <w:rPr>
          <w:rFonts w:ascii="Aptos" w:eastAsia="Aptos" w:hAnsi="Aptos" w:cs="Arial"/>
        </w:rPr>
        <w:t>2013.</w:t>
      </w:r>
    </w:p>
    <w:p w14:paraId="147B360C" w14:textId="75A10D4E" w:rsidR="007A1E00" w:rsidRPr="002D62A9" w:rsidRDefault="007A1E00" w:rsidP="002D62A9">
      <w:pPr>
        <w:pStyle w:val="Heading6"/>
      </w:pPr>
      <w:r w:rsidRPr="007A1E00">
        <w:rPr>
          <w:rFonts w:ascii="Aptos" w:eastAsia="Aptos" w:hAnsi="Aptos" w:cs="Arial"/>
        </w:rPr>
        <w:t xml:space="preserve">Figure </w:t>
      </w:r>
      <w:r w:rsidR="002D62A9">
        <w:rPr>
          <w:rFonts w:ascii="Aptos" w:eastAsia="Aptos" w:hAnsi="Aptos" w:cs="Arial"/>
        </w:rPr>
        <w:t xml:space="preserve">6.5e </w:t>
      </w:r>
      <w:r w:rsidR="002D62A9">
        <w:t>Alcohol specific mortality in Peterborough and statistical neighbours 2023</w:t>
      </w:r>
      <w:r w:rsidRPr="007A1E00">
        <w:rPr>
          <w:rFonts w:ascii="Aptos" w:eastAsia="Aptos" w:hAnsi="Aptos" w:cs="Arial"/>
        </w:rPr>
        <w:t>.</w:t>
      </w:r>
    </w:p>
    <w:p w14:paraId="55D51DAF" w14:textId="77777777" w:rsidR="007A1E00" w:rsidRPr="007A1E00" w:rsidRDefault="007A1E00" w:rsidP="007A1E00">
      <w:pPr>
        <w:spacing w:line="256" w:lineRule="auto"/>
        <w:rPr>
          <w:rFonts w:ascii="Aptos" w:eastAsia="Aptos" w:hAnsi="Aptos" w:cs="Arial"/>
        </w:rPr>
      </w:pPr>
      <w:r>
        <w:rPr>
          <w:noProof/>
        </w:rPr>
        <w:drawing>
          <wp:inline distT="0" distB="0" distL="0" distR="0" wp14:anchorId="507FA033" wp14:editId="403FA692">
            <wp:extent cx="5733416" cy="419735"/>
            <wp:effectExtent l="0" t="0" r="635" b="0"/>
            <wp:docPr id="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val="0"/>
                        </a:ext>
                      </a:extLst>
                    </a:blip>
                    <a:srcRect b="86459"/>
                    <a:stretch>
                      <a:fillRect/>
                    </a:stretch>
                  </pic:blipFill>
                  <pic:spPr>
                    <a:xfrm>
                      <a:off x="0" y="0"/>
                      <a:ext cx="5733416" cy="419735"/>
                    </a:xfrm>
                    <a:prstGeom prst="rect">
                      <a:avLst/>
                    </a:prstGeom>
                  </pic:spPr>
                </pic:pic>
              </a:graphicData>
            </a:graphic>
          </wp:inline>
        </w:drawing>
      </w:r>
    </w:p>
    <w:p w14:paraId="547C540C" w14:textId="3C7A47A5" w:rsidR="23F88FF7" w:rsidRDefault="23F88FF7" w:rsidP="6A183C24">
      <w:pPr>
        <w:spacing w:line="256" w:lineRule="auto"/>
      </w:pPr>
      <w:r>
        <w:rPr>
          <w:noProof/>
        </w:rPr>
        <w:drawing>
          <wp:inline distT="0" distB="0" distL="0" distR="0" wp14:anchorId="17C0B3C4" wp14:editId="39581F73">
            <wp:extent cx="5724524" cy="2257425"/>
            <wp:effectExtent l="0" t="0" r="0" b="0"/>
            <wp:docPr id="1301557270" name="Picture 130155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4524" cy="2257425"/>
                    </a:xfrm>
                    <a:prstGeom prst="rect">
                      <a:avLst/>
                    </a:prstGeom>
                  </pic:spPr>
                </pic:pic>
              </a:graphicData>
            </a:graphic>
          </wp:inline>
        </w:drawing>
      </w:r>
    </w:p>
    <w:p w14:paraId="4BBBA041" w14:textId="77777777" w:rsidR="000512FD" w:rsidRPr="000512FD" w:rsidRDefault="000512FD" w:rsidP="000512FD">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254D241E" w14:textId="77777777" w:rsidR="007A1E00" w:rsidRPr="007A1E00" w:rsidRDefault="007A1E00" w:rsidP="007A1E00">
      <w:pPr>
        <w:spacing w:line="256" w:lineRule="auto"/>
        <w:rPr>
          <w:rFonts w:ascii="Aptos" w:eastAsia="Aptos" w:hAnsi="Aptos" w:cs="Arial"/>
        </w:rPr>
      </w:pPr>
    </w:p>
    <w:p w14:paraId="26D068B3" w14:textId="162B7B26" w:rsidR="00E33663" w:rsidRDefault="00E33663" w:rsidP="00622B72">
      <w:pPr>
        <w:pStyle w:val="Heading4"/>
      </w:pPr>
      <w:r>
        <w:t>Alcohol-related Mortality</w:t>
      </w:r>
    </w:p>
    <w:p w14:paraId="7F7A5A6B" w14:textId="7451592D" w:rsidR="00386182" w:rsidRDefault="0004186C" w:rsidP="00386182">
      <w:r w:rsidRPr="0004186C">
        <w:t xml:space="preserve">Alcohol-related mortality refers to deaths where </w:t>
      </w:r>
      <w:r w:rsidRPr="00D225B6">
        <w:rPr>
          <w:b/>
          <w:bCs/>
        </w:rPr>
        <w:t>alcohol is a contributing factor</w:t>
      </w:r>
      <w:r w:rsidRPr="0004186C">
        <w:t xml:space="preserve">, but not necessarily the direct cause. This measure captures a broader range of diseases and conditions that are partly attributable to alcohol consumption, such as cancers, liver disease, and heart conditions. To calculate alcohol-related mortality, a specific fraction of deaths from these diseases is attributed to alcohol based on how common drinking is in the population, along with </w:t>
      </w:r>
      <w:r w:rsidRPr="00D225B6">
        <w:t>age, sex, and disease-specific risks</w:t>
      </w:r>
      <w:r w:rsidRPr="0004186C">
        <w:t>.</w:t>
      </w:r>
    </w:p>
    <w:p w14:paraId="1823125F" w14:textId="2CCEEF77" w:rsidR="006D7BAB" w:rsidRDefault="0004186C" w:rsidP="006D7BAB">
      <w:r>
        <w:t xml:space="preserve">Although this </w:t>
      </w:r>
      <w:r w:rsidRPr="00D225B6">
        <w:rPr>
          <w:b/>
          <w:bCs/>
        </w:rPr>
        <w:t xml:space="preserve">measure is </w:t>
      </w:r>
      <w:r w:rsidR="00566093" w:rsidRPr="00D225B6">
        <w:rPr>
          <w:b/>
          <w:bCs/>
        </w:rPr>
        <w:t>broader</w:t>
      </w:r>
      <w:r w:rsidRPr="00D225B6">
        <w:rPr>
          <w:b/>
          <w:bCs/>
        </w:rPr>
        <w:t xml:space="preserve">, it is </w:t>
      </w:r>
      <w:r w:rsidR="005F2C26" w:rsidRPr="00D225B6">
        <w:rPr>
          <w:b/>
          <w:bCs/>
        </w:rPr>
        <w:t>available</w:t>
      </w:r>
      <w:r w:rsidRPr="00D225B6">
        <w:rPr>
          <w:b/>
          <w:bCs/>
        </w:rPr>
        <w:t xml:space="preserve"> </w:t>
      </w:r>
      <w:r w:rsidR="008D3F50" w:rsidRPr="00D225B6">
        <w:rPr>
          <w:b/>
          <w:bCs/>
        </w:rPr>
        <w:t>by sex</w:t>
      </w:r>
      <w:r w:rsidR="008D3F50">
        <w:t xml:space="preserve">, allowing further understanding of our local population. </w:t>
      </w:r>
    </w:p>
    <w:p w14:paraId="02DF1566" w14:textId="0502995F" w:rsidR="00D77F37" w:rsidRPr="00D77F37" w:rsidRDefault="00D77F37" w:rsidP="00B7127B">
      <w:pPr>
        <w:spacing w:line="256" w:lineRule="auto"/>
        <w:rPr>
          <w:rFonts w:ascii="Aptos" w:eastAsia="Aptos" w:hAnsi="Aptos" w:cs="Arial"/>
        </w:rPr>
      </w:pPr>
      <w:r w:rsidRPr="00D77F37">
        <w:rPr>
          <w:rFonts w:ascii="Aptos" w:eastAsia="Aptos" w:hAnsi="Aptos" w:cs="Arial"/>
        </w:rPr>
        <w:t xml:space="preserve">Alcohol-related mortality rate in Peterborough was </w:t>
      </w:r>
      <w:r w:rsidRPr="00D225B6">
        <w:rPr>
          <w:rFonts w:ascii="Aptos" w:eastAsia="Aptos" w:hAnsi="Aptos" w:cs="Arial"/>
          <w:b/>
          <w:bCs/>
        </w:rPr>
        <w:t>5</w:t>
      </w:r>
      <w:r w:rsidR="004C4014" w:rsidRPr="00D225B6">
        <w:rPr>
          <w:rFonts w:ascii="Aptos" w:eastAsia="Aptos" w:hAnsi="Aptos" w:cs="Arial"/>
          <w:b/>
          <w:bCs/>
        </w:rPr>
        <w:t>2</w:t>
      </w:r>
      <w:r w:rsidRPr="00D225B6">
        <w:rPr>
          <w:rFonts w:ascii="Aptos" w:eastAsia="Aptos" w:hAnsi="Aptos" w:cs="Arial"/>
          <w:b/>
          <w:bCs/>
        </w:rPr>
        <w:t>.</w:t>
      </w:r>
      <w:r w:rsidR="004C4014" w:rsidRPr="00D225B6">
        <w:rPr>
          <w:rFonts w:ascii="Aptos" w:eastAsia="Aptos" w:hAnsi="Aptos" w:cs="Arial"/>
          <w:b/>
          <w:bCs/>
        </w:rPr>
        <w:t>2</w:t>
      </w:r>
      <w:r w:rsidRPr="00D225B6">
        <w:rPr>
          <w:rFonts w:ascii="Aptos" w:eastAsia="Aptos" w:hAnsi="Aptos" w:cs="Arial"/>
          <w:b/>
          <w:bCs/>
        </w:rPr>
        <w:t xml:space="preserve"> per 100</w:t>
      </w:r>
      <w:r w:rsidR="00F113C3" w:rsidRPr="00D225B6">
        <w:rPr>
          <w:rFonts w:ascii="Aptos" w:eastAsia="Aptos" w:hAnsi="Aptos" w:cs="Arial"/>
          <w:b/>
          <w:bCs/>
        </w:rPr>
        <w:t>,</w:t>
      </w:r>
      <w:r w:rsidRPr="00D225B6">
        <w:rPr>
          <w:rFonts w:ascii="Aptos" w:eastAsia="Aptos" w:hAnsi="Aptos" w:cs="Arial"/>
          <w:b/>
          <w:bCs/>
        </w:rPr>
        <w:t>000 in 202</w:t>
      </w:r>
      <w:r w:rsidR="004C4014" w:rsidRPr="00D225B6">
        <w:rPr>
          <w:rFonts w:ascii="Aptos" w:eastAsia="Aptos" w:hAnsi="Aptos" w:cs="Arial"/>
          <w:b/>
          <w:bCs/>
        </w:rPr>
        <w:t>3</w:t>
      </w:r>
      <w:r w:rsidRPr="00D77F37">
        <w:rPr>
          <w:rFonts w:ascii="Aptos" w:eastAsia="Aptos" w:hAnsi="Aptos" w:cs="Arial"/>
        </w:rPr>
        <w:t xml:space="preserve">. </w:t>
      </w:r>
      <w:r w:rsidR="00684B03">
        <w:rPr>
          <w:rFonts w:ascii="Aptos" w:eastAsia="Aptos" w:hAnsi="Aptos" w:cs="Arial"/>
        </w:rPr>
        <w:t>T</w:t>
      </w:r>
      <w:r w:rsidRPr="00D77F37">
        <w:rPr>
          <w:rFonts w:ascii="Aptos" w:eastAsia="Aptos" w:hAnsi="Aptos" w:cs="Arial"/>
        </w:rPr>
        <w:t xml:space="preserve">his is higher </w:t>
      </w:r>
      <w:r w:rsidR="004C4014">
        <w:rPr>
          <w:rFonts w:ascii="Aptos" w:eastAsia="Aptos" w:hAnsi="Aptos" w:cs="Arial"/>
        </w:rPr>
        <w:t xml:space="preserve">than </w:t>
      </w:r>
      <w:r w:rsidRPr="00D77F37">
        <w:rPr>
          <w:rFonts w:ascii="Aptos" w:eastAsia="Aptos" w:hAnsi="Aptos" w:cs="Arial"/>
        </w:rPr>
        <w:t xml:space="preserve">the national rate of </w:t>
      </w:r>
      <w:r w:rsidR="004C4014">
        <w:rPr>
          <w:rFonts w:ascii="Aptos" w:eastAsia="Aptos" w:hAnsi="Aptos" w:cs="Arial"/>
        </w:rPr>
        <w:t>40.7</w:t>
      </w:r>
      <w:r w:rsidRPr="00D77F37">
        <w:rPr>
          <w:rFonts w:ascii="Aptos" w:eastAsia="Aptos" w:hAnsi="Aptos" w:cs="Arial"/>
        </w:rPr>
        <w:t xml:space="preserve"> per 100</w:t>
      </w:r>
      <w:r w:rsidR="00F113C3">
        <w:rPr>
          <w:rFonts w:ascii="Aptos" w:eastAsia="Aptos" w:hAnsi="Aptos" w:cs="Arial"/>
        </w:rPr>
        <w:t>,</w:t>
      </w:r>
      <w:r w:rsidRPr="00D77F37">
        <w:rPr>
          <w:rFonts w:ascii="Aptos" w:eastAsia="Aptos" w:hAnsi="Aptos" w:cs="Arial"/>
        </w:rPr>
        <w:t>000, and appears to be increasing</w:t>
      </w:r>
      <w:r w:rsidR="00684B03">
        <w:rPr>
          <w:rFonts w:ascii="Aptos" w:eastAsia="Aptos" w:hAnsi="Aptos" w:cs="Arial"/>
        </w:rPr>
        <w:t>,</w:t>
      </w:r>
      <w:r w:rsidR="00F113C3">
        <w:rPr>
          <w:rFonts w:ascii="Aptos" w:eastAsia="Aptos" w:hAnsi="Aptos" w:cs="Arial"/>
        </w:rPr>
        <w:t xml:space="preserve"> c</w:t>
      </w:r>
      <w:r w:rsidR="00684B03" w:rsidRPr="00D77F37">
        <w:rPr>
          <w:rFonts w:ascii="Aptos" w:eastAsia="Aptos" w:hAnsi="Aptos" w:cs="Arial"/>
        </w:rPr>
        <w:t>onsistent with trends seen in alcohol-specific mortality</w:t>
      </w:r>
      <w:r w:rsidR="00F113C3">
        <w:rPr>
          <w:rFonts w:ascii="Aptos" w:eastAsia="Aptos" w:hAnsi="Aptos" w:cs="Arial"/>
        </w:rPr>
        <w:t>.</w:t>
      </w:r>
      <w:r w:rsidR="00B7127B">
        <w:rPr>
          <w:rFonts w:ascii="Aptos" w:eastAsia="Aptos" w:hAnsi="Aptos" w:cs="Arial"/>
        </w:rPr>
        <w:t xml:space="preserve"> When broken down by sex, </w:t>
      </w:r>
      <w:r w:rsidRPr="00D77F37">
        <w:rPr>
          <w:rFonts w:ascii="Aptos" w:eastAsia="Aptos" w:hAnsi="Aptos" w:cs="Arial"/>
        </w:rPr>
        <w:t xml:space="preserve">a significantly </w:t>
      </w:r>
      <w:r w:rsidRPr="00D225B6">
        <w:rPr>
          <w:rFonts w:ascii="Aptos" w:eastAsia="Aptos" w:hAnsi="Aptos" w:cs="Arial"/>
          <w:b/>
          <w:bCs/>
        </w:rPr>
        <w:t xml:space="preserve">higher rate of alcohol related mortality </w:t>
      </w:r>
      <w:r w:rsidR="00B7127B" w:rsidRPr="00D225B6">
        <w:rPr>
          <w:rFonts w:ascii="Aptos" w:eastAsia="Aptos" w:hAnsi="Aptos" w:cs="Arial"/>
          <w:b/>
          <w:bCs/>
        </w:rPr>
        <w:t xml:space="preserve">is seen </w:t>
      </w:r>
      <w:r w:rsidRPr="00D225B6">
        <w:rPr>
          <w:rFonts w:ascii="Aptos" w:eastAsia="Aptos" w:hAnsi="Aptos" w:cs="Arial"/>
          <w:b/>
          <w:bCs/>
        </w:rPr>
        <w:t>in males at 69.2 per 100,000</w:t>
      </w:r>
      <w:r w:rsidRPr="00D77F37">
        <w:rPr>
          <w:rFonts w:ascii="Aptos" w:eastAsia="Aptos" w:hAnsi="Aptos" w:cs="Arial"/>
        </w:rPr>
        <w:t xml:space="preserve">, compared with </w:t>
      </w:r>
      <w:r w:rsidRPr="00D225B6">
        <w:rPr>
          <w:rFonts w:ascii="Aptos" w:eastAsia="Aptos" w:hAnsi="Aptos" w:cs="Arial"/>
          <w:b/>
          <w:bCs/>
        </w:rPr>
        <w:t>25.5 per 100,000 for females</w:t>
      </w:r>
      <w:r w:rsidRPr="00D77F37">
        <w:rPr>
          <w:rFonts w:ascii="Aptos" w:eastAsia="Aptos" w:hAnsi="Aptos" w:cs="Arial"/>
        </w:rPr>
        <w:t xml:space="preserve">, as shown in </w:t>
      </w:r>
      <w:r w:rsidR="006A5582">
        <w:rPr>
          <w:rFonts w:ascii="Aptos" w:eastAsia="Aptos" w:hAnsi="Aptos" w:cs="Arial"/>
        </w:rPr>
        <w:t>F</w:t>
      </w:r>
      <w:r w:rsidRPr="00D77F37">
        <w:rPr>
          <w:rFonts w:ascii="Aptos" w:eastAsia="Aptos" w:hAnsi="Aptos" w:cs="Arial"/>
        </w:rPr>
        <w:t xml:space="preserve">igure </w:t>
      </w:r>
      <w:r w:rsidR="00B7127B">
        <w:rPr>
          <w:rFonts w:ascii="Aptos" w:eastAsia="Aptos" w:hAnsi="Aptos" w:cs="Arial"/>
        </w:rPr>
        <w:t>5</w:t>
      </w:r>
      <w:r w:rsidR="006A5582">
        <w:rPr>
          <w:rFonts w:ascii="Aptos" w:eastAsia="Aptos" w:hAnsi="Aptos" w:cs="Arial"/>
        </w:rPr>
        <w:t>.5</w:t>
      </w:r>
      <w:r w:rsidR="00B7127B">
        <w:rPr>
          <w:rFonts w:ascii="Aptos" w:eastAsia="Aptos" w:hAnsi="Aptos" w:cs="Arial"/>
        </w:rPr>
        <w:t>f</w:t>
      </w:r>
      <w:r w:rsidRPr="00D77F37">
        <w:rPr>
          <w:rFonts w:ascii="Aptos" w:eastAsia="Aptos" w:hAnsi="Aptos" w:cs="Arial"/>
        </w:rPr>
        <w:t>.</w:t>
      </w:r>
    </w:p>
    <w:p w14:paraId="38C12E93" w14:textId="2B2A1EC5" w:rsidR="00D77F37" w:rsidRPr="007B39A6" w:rsidRDefault="00D77F37" w:rsidP="007B39A6">
      <w:pPr>
        <w:pStyle w:val="Heading6"/>
      </w:pPr>
      <w:r w:rsidRPr="00D77F37">
        <w:t xml:space="preserve">Figure </w:t>
      </w:r>
      <w:r w:rsidR="00B7127B">
        <w:t>5</w:t>
      </w:r>
      <w:r w:rsidR="006A5582">
        <w:t>.5</w:t>
      </w:r>
      <w:r w:rsidR="00B7127B">
        <w:t>f</w:t>
      </w:r>
      <w:r w:rsidRPr="00D77F37">
        <w:t>. Male and female alcohol-related mortality in Peterborough and England 2016-2022, directly standardised rates per 100,000 population.</w:t>
      </w:r>
    </w:p>
    <w:p w14:paraId="6624954B" w14:textId="47CDD03E" w:rsidR="00D77F37" w:rsidRDefault="001368DA" w:rsidP="00D77F37">
      <w:pPr>
        <w:spacing w:line="256" w:lineRule="auto"/>
        <w:rPr>
          <w:rFonts w:ascii="Aptos" w:eastAsia="Aptos" w:hAnsi="Aptos" w:cs="Arial"/>
        </w:rPr>
      </w:pPr>
      <w:r w:rsidRPr="001368DA">
        <w:rPr>
          <w:rFonts w:ascii="Aptos" w:eastAsia="Aptos" w:hAnsi="Aptos" w:cs="Arial"/>
          <w:noProof/>
        </w:rPr>
        <w:drawing>
          <wp:inline distT="0" distB="0" distL="0" distR="0" wp14:anchorId="3DBAA4DA" wp14:editId="583F8DB7">
            <wp:extent cx="5731510" cy="2473960"/>
            <wp:effectExtent l="0" t="0" r="2540" b="2540"/>
            <wp:docPr id="216826851" name="Picture 20" descr="A screenshot of a graph&#10;&#10;Description automatically generated">
              <a:extLst xmlns:a="http://schemas.openxmlformats.org/drawingml/2006/main">
                <a:ext uri="{FF2B5EF4-FFF2-40B4-BE49-F238E27FC236}">
                  <a16:creationId xmlns:a16="http://schemas.microsoft.com/office/drawing/2014/main" id="{0909266B-82C1-68E3-184E-FB6A6D407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26851" name="Picture 20" descr="A screenshot of a graph&#10;&#10;Description automatically generated">
                      <a:extLst>
                        <a:ext uri="{FF2B5EF4-FFF2-40B4-BE49-F238E27FC236}">
                          <a16:creationId xmlns:a16="http://schemas.microsoft.com/office/drawing/2014/main" id="{0909266B-82C1-68E3-184E-FB6A6D4079F1}"/>
                        </a:ext>
                      </a:extLst>
                    </pic:cNvPr>
                    <pic:cNvPicPr>
                      <a:picLocks noChangeAspect="1"/>
                    </pic:cNvPicPr>
                  </pic:nvPicPr>
                  <pic:blipFill>
                    <a:blip r:embed="rId39"/>
                    <a:stretch>
                      <a:fillRect/>
                    </a:stretch>
                  </pic:blipFill>
                  <pic:spPr>
                    <a:xfrm>
                      <a:off x="0" y="0"/>
                      <a:ext cx="5731510" cy="2473960"/>
                    </a:xfrm>
                    <a:prstGeom prst="rect">
                      <a:avLst/>
                    </a:prstGeom>
                  </pic:spPr>
                </pic:pic>
              </a:graphicData>
            </a:graphic>
          </wp:inline>
        </w:drawing>
      </w:r>
    </w:p>
    <w:p w14:paraId="249BCC7A" w14:textId="77777777" w:rsidR="006A5582" w:rsidRPr="000512FD" w:rsidRDefault="006A5582" w:rsidP="006A5582">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24803A8F" w14:textId="77777777" w:rsidR="00D77F37" w:rsidRPr="00D77F37" w:rsidRDefault="00D77F37" w:rsidP="00D77F37">
      <w:pPr>
        <w:spacing w:line="256" w:lineRule="auto"/>
        <w:rPr>
          <w:rFonts w:ascii="Aptos" w:eastAsia="Aptos" w:hAnsi="Aptos" w:cs="Arial"/>
        </w:rPr>
      </w:pPr>
      <w:r w:rsidRPr="00D77F37">
        <w:rPr>
          <w:rFonts w:ascii="Aptos" w:eastAsia="Aptos" w:hAnsi="Aptos" w:cs="Arial"/>
        </w:rPr>
        <w:t xml:space="preserve">Although the rate for males is rising, it is calculated to be statistically </w:t>
      </w:r>
      <w:proofErr w:type="gramStart"/>
      <w:r w:rsidRPr="00D77F37">
        <w:rPr>
          <w:rFonts w:ascii="Aptos" w:eastAsia="Aptos" w:hAnsi="Aptos" w:cs="Arial"/>
        </w:rPr>
        <w:t>similar to</w:t>
      </w:r>
      <w:proofErr w:type="gramEnd"/>
      <w:r w:rsidRPr="00D77F37">
        <w:rPr>
          <w:rFonts w:ascii="Aptos" w:eastAsia="Aptos" w:hAnsi="Aptos" w:cs="Arial"/>
        </w:rPr>
        <w:t xml:space="preserve"> the year before. Data for the years that follow will allow further interpretation of this rise and its significance.</w:t>
      </w:r>
    </w:p>
    <w:p w14:paraId="2BA88898" w14:textId="1590962D" w:rsidR="00D77F37" w:rsidRDefault="00D77F37" w:rsidP="00D77F37">
      <w:r w:rsidRPr="6A183C24">
        <w:rPr>
          <w:rFonts w:ascii="Aptos" w:eastAsia="Aptos" w:hAnsi="Aptos" w:cs="Arial"/>
        </w:rPr>
        <w:t xml:space="preserve">Peterborough ranks the </w:t>
      </w:r>
      <w:r w:rsidR="00AD5A2B" w:rsidRPr="6A183C24">
        <w:rPr>
          <w:rFonts w:ascii="Aptos" w:eastAsia="Aptos" w:hAnsi="Aptos" w:cs="Arial"/>
        </w:rPr>
        <w:t>similarly</w:t>
      </w:r>
      <w:r w:rsidRPr="6A183C24">
        <w:rPr>
          <w:rFonts w:ascii="Aptos" w:eastAsia="Aptos" w:hAnsi="Aptos" w:cs="Arial"/>
        </w:rPr>
        <w:t xml:space="preserve"> amongst statistical neighbours for alcohol-related mortality as it does for alcohol-specific mortality, at </w:t>
      </w:r>
      <w:r w:rsidR="717DEA7B" w:rsidRPr="6A183C24">
        <w:rPr>
          <w:rFonts w:ascii="Aptos" w:eastAsia="Aptos" w:hAnsi="Aptos" w:cs="Arial"/>
        </w:rPr>
        <w:t>6</w:t>
      </w:r>
      <w:r w:rsidRPr="6A183C24">
        <w:rPr>
          <w:rFonts w:ascii="Aptos" w:eastAsia="Aptos" w:hAnsi="Aptos" w:cs="Arial"/>
          <w:vertAlign w:val="superscript"/>
        </w:rPr>
        <w:t>th</w:t>
      </w:r>
      <w:r w:rsidRPr="6A183C24">
        <w:rPr>
          <w:rFonts w:ascii="Aptos" w:eastAsia="Aptos" w:hAnsi="Aptos" w:cs="Arial"/>
        </w:rPr>
        <w:t xml:space="preserve"> of 16. The average alcohol-related mortality rate in the 2</w:t>
      </w:r>
      <w:r w:rsidRPr="6A183C24">
        <w:rPr>
          <w:rFonts w:ascii="Aptos" w:eastAsia="Aptos" w:hAnsi="Aptos" w:cs="Arial"/>
          <w:vertAlign w:val="superscript"/>
        </w:rPr>
        <w:t>nd</w:t>
      </w:r>
      <w:r w:rsidRPr="6A183C24">
        <w:rPr>
          <w:rFonts w:ascii="Aptos" w:eastAsia="Aptos" w:hAnsi="Aptos" w:cs="Arial"/>
        </w:rPr>
        <w:t xml:space="preserve"> most deprived IMD (2019) decile, which Peterborough belongs to, is 4</w:t>
      </w:r>
      <w:r w:rsidR="00D9416D">
        <w:rPr>
          <w:rFonts w:ascii="Aptos" w:eastAsia="Aptos" w:hAnsi="Aptos" w:cs="Arial"/>
        </w:rPr>
        <w:t>9</w:t>
      </w:r>
      <w:r w:rsidRPr="6A183C24">
        <w:rPr>
          <w:rFonts w:ascii="Aptos" w:eastAsia="Aptos" w:hAnsi="Aptos" w:cs="Arial"/>
        </w:rPr>
        <w:t>.1</w:t>
      </w:r>
      <w:r w:rsidR="0010691D" w:rsidRPr="0010691D">
        <w:rPr>
          <w:rFonts w:ascii="Aptos" w:eastAsia="Aptos" w:hAnsi="Aptos" w:cs="Arial"/>
        </w:rPr>
        <w:t xml:space="preserve"> </w:t>
      </w:r>
      <w:r w:rsidR="0010691D">
        <w:rPr>
          <w:rFonts w:ascii="Aptos" w:eastAsia="Aptos" w:hAnsi="Aptos" w:cs="Arial"/>
        </w:rPr>
        <w:t>per 100,000</w:t>
      </w:r>
      <w:r w:rsidRPr="6A183C24">
        <w:rPr>
          <w:rFonts w:ascii="Aptos" w:eastAsia="Aptos" w:hAnsi="Aptos" w:cs="Arial"/>
        </w:rPr>
        <w:t xml:space="preserve">, </w:t>
      </w:r>
      <w:r w:rsidR="0010691D">
        <w:rPr>
          <w:rFonts w:ascii="Aptos" w:eastAsia="Aptos" w:hAnsi="Aptos" w:cs="Arial"/>
        </w:rPr>
        <w:t>3</w:t>
      </w:r>
      <w:r w:rsidRPr="6A183C24">
        <w:rPr>
          <w:rFonts w:ascii="Aptos" w:eastAsia="Aptos" w:hAnsi="Aptos" w:cs="Arial"/>
        </w:rPr>
        <w:t>.</w:t>
      </w:r>
      <w:r w:rsidR="0010691D">
        <w:rPr>
          <w:rFonts w:ascii="Aptos" w:eastAsia="Aptos" w:hAnsi="Aptos" w:cs="Arial"/>
        </w:rPr>
        <w:t>1</w:t>
      </w:r>
      <w:r w:rsidRPr="6A183C24">
        <w:rPr>
          <w:rFonts w:ascii="Aptos" w:eastAsia="Aptos" w:hAnsi="Aptos" w:cs="Arial"/>
        </w:rPr>
        <w:t xml:space="preserve"> </w:t>
      </w:r>
      <w:r w:rsidR="0010691D">
        <w:rPr>
          <w:rFonts w:ascii="Aptos" w:eastAsia="Aptos" w:hAnsi="Aptos" w:cs="Arial"/>
        </w:rPr>
        <w:t xml:space="preserve">lower </w:t>
      </w:r>
      <w:r w:rsidRPr="6A183C24">
        <w:rPr>
          <w:rFonts w:ascii="Aptos" w:eastAsia="Aptos" w:hAnsi="Aptos" w:cs="Arial"/>
        </w:rPr>
        <w:t xml:space="preserve">than Peterborough at </w:t>
      </w:r>
      <w:r w:rsidR="0010691D">
        <w:rPr>
          <w:rFonts w:ascii="Aptos" w:eastAsia="Aptos" w:hAnsi="Aptos" w:cs="Arial"/>
        </w:rPr>
        <w:t>52.2 per 100,000</w:t>
      </w:r>
      <w:r w:rsidRPr="6A183C24">
        <w:rPr>
          <w:rFonts w:ascii="Aptos" w:eastAsia="Aptos" w:hAnsi="Aptos" w:cs="Arial"/>
        </w:rPr>
        <w:t>.</w:t>
      </w:r>
    </w:p>
    <w:p w14:paraId="087B0DAC" w14:textId="71AFDD84" w:rsidR="00D77F37" w:rsidRDefault="00D72482" w:rsidP="00D72482">
      <w:pPr>
        <w:pStyle w:val="Heading3"/>
      </w:pPr>
      <w:bookmarkStart w:id="61" w:name="_Toc200479493"/>
      <w:r>
        <w:lastRenderedPageBreak/>
        <w:t xml:space="preserve">Substance Misuse </w:t>
      </w:r>
      <w:r w:rsidR="00883B0A">
        <w:t xml:space="preserve">and </w:t>
      </w:r>
      <w:r>
        <w:t>Suicide</w:t>
      </w:r>
      <w:bookmarkEnd w:id="61"/>
    </w:p>
    <w:p w14:paraId="50CA426C" w14:textId="1BC91355" w:rsidR="00D72482" w:rsidRDefault="00D761BD" w:rsidP="00D72482">
      <w:r>
        <w:t xml:space="preserve">A </w:t>
      </w:r>
      <w:r w:rsidR="009C77A5" w:rsidRPr="000058E5">
        <w:rPr>
          <w:b/>
          <w:bCs/>
        </w:rPr>
        <w:t xml:space="preserve">local </w:t>
      </w:r>
      <w:r w:rsidRPr="000058E5">
        <w:rPr>
          <w:b/>
          <w:bCs/>
        </w:rPr>
        <w:t>suicide audit</w:t>
      </w:r>
      <w:r w:rsidR="00731BC0">
        <w:rPr>
          <w:rStyle w:val="FootnoteReference"/>
          <w:b/>
          <w:bCs/>
        </w:rPr>
        <w:footnoteReference w:id="28"/>
      </w:r>
      <w:r>
        <w:t xml:space="preserve"> </w:t>
      </w:r>
      <w:r w:rsidR="00D65858">
        <w:t xml:space="preserve">conducted </w:t>
      </w:r>
      <w:r>
        <w:t xml:space="preserve">in </w:t>
      </w:r>
      <w:r w:rsidR="00D65858">
        <w:t xml:space="preserve">2023 sought </w:t>
      </w:r>
      <w:r w:rsidRPr="00D761BD">
        <w:t>to better understand the diverse and complex risk factors that can lead to somebody taking their own life</w:t>
      </w:r>
      <w:r w:rsidR="00D65858">
        <w:t xml:space="preserve">, </w:t>
      </w:r>
      <w:proofErr w:type="gramStart"/>
      <w:r w:rsidR="00D65858">
        <w:t>in order to</w:t>
      </w:r>
      <w:proofErr w:type="gramEnd"/>
      <w:r w:rsidR="00D65858">
        <w:t xml:space="preserve"> </w:t>
      </w:r>
      <w:r w:rsidRPr="00D761BD">
        <w:t xml:space="preserve">focus efforts </w:t>
      </w:r>
      <w:r w:rsidR="00D65858">
        <w:t xml:space="preserve">and </w:t>
      </w:r>
      <w:r w:rsidRPr="00D761BD">
        <w:t>ensure that those with greatest need are adequately supported.</w:t>
      </w:r>
    </w:p>
    <w:p w14:paraId="77597A99" w14:textId="2E8406F0" w:rsidR="00D65858" w:rsidRDefault="00AE7FC2" w:rsidP="00D72482">
      <w:r>
        <w:t xml:space="preserve">It </w:t>
      </w:r>
      <w:r w:rsidR="00883B0A">
        <w:t>looked</w:t>
      </w:r>
      <w:r>
        <w:t xml:space="preserve"> at </w:t>
      </w:r>
      <w:r w:rsidR="00D877E8">
        <w:t>s</w:t>
      </w:r>
      <w:r w:rsidR="00D877E8" w:rsidRPr="00D877E8">
        <w:t xml:space="preserve">uicides registered by Cambridgeshire and Peterborough’s </w:t>
      </w:r>
      <w:r w:rsidR="00B8279A" w:rsidRPr="00D877E8">
        <w:t>Coroner’s</w:t>
      </w:r>
      <w:r w:rsidR="00D877E8" w:rsidRPr="00D877E8">
        <w:t xml:space="preserve"> Office between 2019 and 2021</w:t>
      </w:r>
      <w:r>
        <w:t xml:space="preserve"> </w:t>
      </w:r>
      <w:r w:rsidR="00D877E8">
        <w:t xml:space="preserve">and </w:t>
      </w:r>
      <w:r>
        <w:t>found that a</w:t>
      </w:r>
      <w:r w:rsidRPr="00AE7FC2">
        <w:t xml:space="preserve">pproximately </w:t>
      </w:r>
      <w:r w:rsidRPr="000058E5">
        <w:rPr>
          <w:b/>
          <w:bCs/>
        </w:rPr>
        <w:t>14.6% of people who died by suicide had an identified alcohol use issue, and approximately 12.2% of people had an identified drug dependence issue</w:t>
      </w:r>
      <w:r w:rsidRPr="00AE7FC2">
        <w:t>.</w:t>
      </w:r>
      <w:r w:rsidR="00883B0A">
        <w:t xml:space="preserve"> Compared with national estimates of </w:t>
      </w:r>
      <w:r w:rsidR="00A938BD">
        <w:t xml:space="preserve">dependence of </w:t>
      </w:r>
      <w:r w:rsidR="00993260">
        <w:t xml:space="preserve">1.4% and 3.1% of the population respectively, </w:t>
      </w:r>
      <w:r w:rsidR="00A938BD">
        <w:t>t</w:t>
      </w:r>
      <w:r w:rsidR="00A938BD" w:rsidRPr="00A938BD">
        <w:t xml:space="preserve">he </w:t>
      </w:r>
      <w:r w:rsidR="00A938BD" w:rsidRPr="000058E5">
        <w:rPr>
          <w:b/>
          <w:bCs/>
        </w:rPr>
        <w:t>proportion of people dying by suicide with drug and alcohol dependence issues is much greater than the proportion of the general population</w:t>
      </w:r>
      <w:r w:rsidR="00A938BD" w:rsidRPr="00A938BD">
        <w:t>.</w:t>
      </w:r>
    </w:p>
    <w:p w14:paraId="28A38AFE" w14:textId="2CD7B6BC" w:rsidR="00917934" w:rsidRDefault="00917934" w:rsidP="00D72482">
      <w:r>
        <w:t xml:space="preserve">Amongst those who died from suicide and had identified substance misuse issues, </w:t>
      </w:r>
      <w:r w:rsidR="00017706" w:rsidRPr="000058E5">
        <w:rPr>
          <w:b/>
          <w:bCs/>
        </w:rPr>
        <w:t xml:space="preserve">less than one third </w:t>
      </w:r>
      <w:r w:rsidR="00DF6501" w:rsidRPr="000058E5">
        <w:rPr>
          <w:b/>
          <w:bCs/>
        </w:rPr>
        <w:t>were known to substance use services.</w:t>
      </w:r>
      <w:r w:rsidR="00017706" w:rsidRPr="000058E5">
        <w:rPr>
          <w:b/>
          <w:bCs/>
        </w:rPr>
        <w:t xml:space="preserve"> Most were known to mental health </w:t>
      </w:r>
      <w:r w:rsidR="00B8279A" w:rsidRPr="000058E5">
        <w:rPr>
          <w:b/>
          <w:bCs/>
        </w:rPr>
        <w:t xml:space="preserve">services </w:t>
      </w:r>
      <w:r w:rsidR="00B8279A">
        <w:t xml:space="preserve">and the audit recommended that </w:t>
      </w:r>
      <w:r w:rsidR="00B8279A" w:rsidRPr="00B8279A">
        <w:t>referrals from secondary care mental health services to drug and alcohol services</w:t>
      </w:r>
      <w:r w:rsidR="00B8279A">
        <w:t xml:space="preserve"> should be improved.</w:t>
      </w:r>
    </w:p>
    <w:p w14:paraId="7AE958D5" w14:textId="77777777" w:rsidR="00FD002C" w:rsidRDefault="00FD002C" w:rsidP="00D72482"/>
    <w:p w14:paraId="3E630C6A" w14:textId="24E39B23" w:rsidR="009D7924" w:rsidRDefault="009D7924" w:rsidP="009D7924">
      <w:pPr>
        <w:pStyle w:val="Heading3"/>
      </w:pPr>
      <w:bookmarkStart w:id="62" w:name="_Toc200479494"/>
      <w:r>
        <w:t>Recommendations</w:t>
      </w:r>
      <w:bookmarkEnd w:id="62"/>
    </w:p>
    <w:p w14:paraId="6A570FFC" w14:textId="5BBFFE24" w:rsidR="009D7924" w:rsidRDefault="009D7924" w:rsidP="001D17FA">
      <w:pPr>
        <w:pStyle w:val="Heading7"/>
      </w:pPr>
      <w:r>
        <w:t xml:space="preserve">Recommendation </w:t>
      </w:r>
      <w:r w:rsidR="00B14163">
        <w:t>7</w:t>
      </w:r>
    </w:p>
    <w:p w14:paraId="4626AA53" w14:textId="10577533" w:rsidR="009D7924" w:rsidRDefault="007A4560" w:rsidP="009D7924">
      <w:r>
        <w:t>A</w:t>
      </w:r>
      <w:r w:rsidRPr="00682687">
        <w:t xml:space="preserve"> Drug and Alcohol-Related Deaths (DARD) audit </w:t>
      </w:r>
      <w:r>
        <w:t xml:space="preserve">should be considered to help </w:t>
      </w:r>
      <w:r w:rsidRPr="00682687">
        <w:t xml:space="preserve">to identify trends, risk factors, and opportunities for intervention </w:t>
      </w:r>
      <w:r>
        <w:t xml:space="preserve">to </w:t>
      </w:r>
      <w:r w:rsidRPr="00682687">
        <w:t>provide valuable insights</w:t>
      </w:r>
      <w:r>
        <w:t xml:space="preserve"> into areas for action</w:t>
      </w:r>
      <w:r w:rsidRPr="00682687">
        <w:t>.</w:t>
      </w:r>
      <w:r w:rsidR="00682687" w:rsidRPr="00682687">
        <w:t xml:space="preserve"> The findings should inform local harm reduction strategies, service improvements, and targeted outreach for high-risk groups to help prevent future deaths.</w:t>
      </w:r>
    </w:p>
    <w:p w14:paraId="29DF4367" w14:textId="70D5D6B4" w:rsidR="009D7924" w:rsidRDefault="009D7924" w:rsidP="001D17FA">
      <w:pPr>
        <w:pStyle w:val="Heading7"/>
      </w:pPr>
      <w:r>
        <w:t xml:space="preserve">Recommendation </w:t>
      </w:r>
      <w:r w:rsidR="00B14163">
        <w:t>8</w:t>
      </w:r>
    </w:p>
    <w:p w14:paraId="4A93126A" w14:textId="2F75D8CD" w:rsidR="00BC4548" w:rsidRDefault="002817BE" w:rsidP="00D72482">
      <w:r w:rsidRPr="002817BE">
        <w:t xml:space="preserve">Strengthen joint working between mental health and substance misuse services, including exploring joint commissioning, integrated assessments, and shared care records. This </w:t>
      </w:r>
      <w:r>
        <w:t>aims to</w:t>
      </w:r>
      <w:r w:rsidRPr="002817BE">
        <w:t xml:space="preserve"> reduce barriers to access, and support individuals with co-occurring conditions more effectively</w:t>
      </w:r>
      <w:r w:rsidR="00590554">
        <w:t>, with more care continuity</w:t>
      </w:r>
      <w:r w:rsidRPr="002817BE">
        <w:t>.</w:t>
      </w:r>
    </w:p>
    <w:p w14:paraId="1C3EB29D" w14:textId="77777777" w:rsidR="002817BE" w:rsidRPr="00D72482" w:rsidRDefault="002817BE" w:rsidP="00D72482"/>
    <w:p w14:paraId="3BE22928" w14:textId="77777777" w:rsidR="00FB0D9C" w:rsidRDefault="00FB0D9C" w:rsidP="009A779F">
      <w:pPr>
        <w:pStyle w:val="Heading2"/>
        <w:sectPr w:rsidR="00FB0D9C">
          <w:pgSz w:w="11906" w:h="16838"/>
          <w:pgMar w:top="1440" w:right="1440" w:bottom="1440" w:left="1440" w:header="708" w:footer="708" w:gutter="0"/>
          <w:cols w:space="708"/>
          <w:docGrid w:linePitch="360"/>
        </w:sectPr>
      </w:pPr>
    </w:p>
    <w:p w14:paraId="2FBBC434" w14:textId="19B2D1E5" w:rsidR="000E5E8A" w:rsidRDefault="001F3A41" w:rsidP="009A779F">
      <w:pPr>
        <w:pStyle w:val="Heading2"/>
      </w:pPr>
      <w:bookmarkStart w:id="63" w:name="_Toc200479495"/>
      <w:r>
        <w:lastRenderedPageBreak/>
        <w:t xml:space="preserve">Peterborough; </w:t>
      </w:r>
      <w:r w:rsidR="000744A5">
        <w:t>Health</w:t>
      </w:r>
      <w:r w:rsidR="000E5E8A">
        <w:t xml:space="preserve"> </w:t>
      </w:r>
      <w:r w:rsidR="00F03180">
        <w:t>H</w:t>
      </w:r>
      <w:r w:rsidR="000E5E8A">
        <w:t>arms</w:t>
      </w:r>
      <w:bookmarkEnd w:id="63"/>
    </w:p>
    <w:p w14:paraId="740A90FE" w14:textId="7E02FD22" w:rsidR="000E5E8A" w:rsidRPr="00EE708D" w:rsidRDefault="0063777D" w:rsidP="00EE708D">
      <w:pPr>
        <w:pStyle w:val="Heading3"/>
      </w:pPr>
      <w:bookmarkStart w:id="64" w:name="_Toc200479496"/>
      <w:r w:rsidRPr="00EE708D">
        <w:t>Hospital Admissions for Drugs and Alcohol</w:t>
      </w:r>
      <w:bookmarkEnd w:id="64"/>
    </w:p>
    <w:p w14:paraId="6402B821" w14:textId="5FF36FCE" w:rsidR="0063777D" w:rsidRDefault="00092EA1" w:rsidP="0063777D">
      <w:r>
        <w:t xml:space="preserve">In 2021, </w:t>
      </w:r>
      <w:r w:rsidRPr="005A25D2">
        <w:rPr>
          <w:b/>
          <w:bCs/>
        </w:rPr>
        <w:t>nearly 6% of all hospital admissions were alcohol related</w:t>
      </w:r>
      <w:r w:rsidR="004C264C">
        <w:rPr>
          <w:rStyle w:val="FootnoteReference"/>
          <w:b/>
          <w:bCs/>
        </w:rPr>
        <w:footnoteReference w:id="29"/>
      </w:r>
      <w:r>
        <w:t>.</w:t>
      </w:r>
      <w:r w:rsidR="00DB351D">
        <w:t xml:space="preserve"> </w:t>
      </w:r>
      <w:r w:rsidR="0063777D">
        <w:t>A</w:t>
      </w:r>
      <w:r w:rsidR="00F50370">
        <w:t xml:space="preserve">nalysis of </w:t>
      </w:r>
      <w:r w:rsidR="007A7CC0">
        <w:t xml:space="preserve">hospital </w:t>
      </w:r>
      <w:r w:rsidR="00F50370">
        <w:t>a</w:t>
      </w:r>
      <w:r w:rsidR="0063777D">
        <w:t>dmission episode</w:t>
      </w:r>
      <w:r w:rsidR="00F50370">
        <w:t xml:space="preserve"> data</w:t>
      </w:r>
      <w:r w:rsidR="0063777D">
        <w:t xml:space="preserve"> for </w:t>
      </w:r>
      <w:r w:rsidR="00DB351D">
        <w:t xml:space="preserve">both </w:t>
      </w:r>
      <w:r w:rsidR="00F50370">
        <w:t xml:space="preserve">drug and alcohol </w:t>
      </w:r>
      <w:r w:rsidR="0063777D">
        <w:t xml:space="preserve">poisoning </w:t>
      </w:r>
      <w:proofErr w:type="gramStart"/>
      <w:r w:rsidR="00F50370">
        <w:t>allows</w:t>
      </w:r>
      <w:proofErr w:type="gramEnd"/>
      <w:r w:rsidR="00F50370">
        <w:t xml:space="preserve"> an understanding of threats to the population from substance use and can inform strategies for harm reduction.</w:t>
      </w:r>
      <w:r w:rsidR="007A7CC0">
        <w:t xml:space="preserve"> </w:t>
      </w:r>
    </w:p>
    <w:p w14:paraId="288CF997" w14:textId="701E59B6" w:rsidR="00AA7F3A" w:rsidRDefault="00AA7F3A" w:rsidP="00AA7F3A">
      <w:r w:rsidRPr="00CD701D">
        <w:rPr>
          <w:b/>
          <w:bCs/>
        </w:rPr>
        <w:t>Admissions for drug and alcohol poisoning</w:t>
      </w:r>
      <w:r w:rsidR="005F0287">
        <w:rPr>
          <w:rStyle w:val="FootnoteReference"/>
          <w:b/>
          <w:bCs/>
        </w:rPr>
        <w:footnoteReference w:id="30"/>
      </w:r>
      <w:r w:rsidRPr="00CD701D">
        <w:rPr>
          <w:b/>
          <w:bCs/>
        </w:rPr>
        <w:t xml:space="preserve"> have reduced since 2020</w:t>
      </w:r>
      <w:r>
        <w:t>, both locally and nationally</w:t>
      </w:r>
      <w:r w:rsidR="0057289A">
        <w:t xml:space="preserve">, as shown in </w:t>
      </w:r>
      <w:r w:rsidR="0001510B">
        <w:t>Table</w:t>
      </w:r>
      <w:r w:rsidR="0057289A">
        <w:t xml:space="preserve"> </w:t>
      </w:r>
      <w:r w:rsidR="0001510B">
        <w:t>5</w:t>
      </w:r>
      <w:r w:rsidR="0057289A">
        <w:t>.6a</w:t>
      </w:r>
      <w:r w:rsidR="00207731">
        <w:t xml:space="preserve"> and Figure 5.6a</w:t>
      </w:r>
      <w:r>
        <w:t xml:space="preserve">. </w:t>
      </w:r>
      <w:r w:rsidR="000C428D">
        <w:t xml:space="preserve">Rates </w:t>
      </w:r>
      <w:r w:rsidR="006E33F6">
        <w:t>by substance</w:t>
      </w:r>
      <w:r w:rsidR="000C428D">
        <w:t xml:space="preserve"> type</w:t>
      </w:r>
      <w:r w:rsidR="00DD2F7F">
        <w:t xml:space="preserve"> are shown, which demonstrate </w:t>
      </w:r>
      <w:r w:rsidR="006E33F6">
        <w:t>that t</w:t>
      </w:r>
      <w:r>
        <w:t>he admission rate for alcohol poisoning in Peterborough has reduced</w:t>
      </w:r>
      <w:r w:rsidR="0037117C">
        <w:t xml:space="preserve"> </w:t>
      </w:r>
      <w:r w:rsidR="00AF4CA6">
        <w:t xml:space="preserve">significantly, and although </w:t>
      </w:r>
      <w:r w:rsidR="004961AA">
        <w:t xml:space="preserve">the rate of admissions for </w:t>
      </w:r>
      <w:r w:rsidR="00206B4E" w:rsidRPr="00CD701D">
        <w:rPr>
          <w:b/>
          <w:bCs/>
        </w:rPr>
        <w:t>opiate poisoning</w:t>
      </w:r>
      <w:r w:rsidR="00206B4E">
        <w:t xml:space="preserve"> has also reduced, they are </w:t>
      </w:r>
      <w:r w:rsidR="00206B4E" w:rsidRPr="00CD701D">
        <w:rPr>
          <w:b/>
          <w:bCs/>
        </w:rPr>
        <w:t>now the leading cause of admissions for poisoning</w:t>
      </w:r>
      <w:r w:rsidR="00206B4E">
        <w:t xml:space="preserve">. The rate of admissions for opiate poisoning in Peterborough is </w:t>
      </w:r>
      <w:proofErr w:type="gramStart"/>
      <w:r w:rsidR="00206B4E">
        <w:t>similar to</w:t>
      </w:r>
      <w:proofErr w:type="gramEnd"/>
      <w:r w:rsidR="00206B4E">
        <w:t xml:space="preserve"> the national rate, for alcohol poisoning and poisoning from other drugs it is lower in Peterborough.</w:t>
      </w:r>
    </w:p>
    <w:p w14:paraId="434FCE47" w14:textId="1A2CBF87" w:rsidR="00AA7F3A" w:rsidRDefault="00AA7F3A" w:rsidP="003D35B5">
      <w:pPr>
        <w:pStyle w:val="Heading6"/>
      </w:pPr>
      <w:r>
        <w:t xml:space="preserve">Table </w:t>
      </w:r>
      <w:r w:rsidR="0001510B">
        <w:t>5</w:t>
      </w:r>
      <w:r w:rsidR="003D35B5">
        <w:t>.</w:t>
      </w:r>
      <w:r w:rsidR="004B28C2">
        <w:t>6a</w:t>
      </w:r>
      <w:r>
        <w:t xml:space="preserve">. Admissions for drug and alcohol poisoning by </w:t>
      </w:r>
      <w:r w:rsidR="005A3FB8">
        <w:t>substance group</w:t>
      </w:r>
      <w:r>
        <w:t xml:space="preserve">, in Peterborough from </w:t>
      </w:r>
      <w:r w:rsidR="003D35B5">
        <w:t xml:space="preserve">years ending March </w:t>
      </w:r>
      <w:r>
        <w:t>2019 to 2024, DSR per 100,000.</w:t>
      </w:r>
    </w:p>
    <w:tbl>
      <w:tblPr>
        <w:tblStyle w:val="TableGrid"/>
        <w:tblW w:w="0" w:type="auto"/>
        <w:tblLayout w:type="fixed"/>
        <w:tblLook w:val="04A0" w:firstRow="1" w:lastRow="0" w:firstColumn="1" w:lastColumn="0" w:noHBand="0" w:noVBand="1"/>
      </w:tblPr>
      <w:tblGrid>
        <w:gridCol w:w="1555"/>
        <w:gridCol w:w="1139"/>
        <w:gridCol w:w="1139"/>
        <w:gridCol w:w="1139"/>
        <w:gridCol w:w="1139"/>
        <w:gridCol w:w="1139"/>
        <w:gridCol w:w="1140"/>
      </w:tblGrid>
      <w:tr w:rsidR="00AA7F3A" w:rsidRPr="007B0685" w14:paraId="2698598A" w14:textId="77777777" w:rsidTr="00870D27">
        <w:trPr>
          <w:trHeight w:val="300"/>
        </w:trPr>
        <w:tc>
          <w:tcPr>
            <w:tcW w:w="1555" w:type="dxa"/>
            <w:noWrap/>
            <w:hideMark/>
          </w:tcPr>
          <w:p w14:paraId="67A94B03" w14:textId="37BE4C43" w:rsidR="00870D27" w:rsidRPr="00A81BF4" w:rsidRDefault="00AA7F3A">
            <w:pPr>
              <w:rPr>
                <w:b/>
                <w:bCs/>
              </w:rPr>
            </w:pPr>
            <w:r w:rsidRPr="00A81BF4">
              <w:rPr>
                <w:b/>
                <w:bCs/>
              </w:rPr>
              <w:t>Year</w:t>
            </w:r>
            <w:r w:rsidR="00870D27">
              <w:rPr>
                <w:b/>
                <w:bCs/>
              </w:rPr>
              <w:t xml:space="preserve"> ending March:</w:t>
            </w:r>
          </w:p>
        </w:tc>
        <w:tc>
          <w:tcPr>
            <w:tcW w:w="1139" w:type="dxa"/>
            <w:noWrap/>
            <w:vAlign w:val="bottom"/>
            <w:hideMark/>
          </w:tcPr>
          <w:p w14:paraId="64AFAE65" w14:textId="77777777" w:rsidR="00AA7F3A" w:rsidRPr="00A81BF4" w:rsidRDefault="00AA7F3A" w:rsidP="00870D27">
            <w:pPr>
              <w:rPr>
                <w:b/>
                <w:bCs/>
              </w:rPr>
            </w:pPr>
            <w:r w:rsidRPr="00A81BF4">
              <w:rPr>
                <w:b/>
                <w:bCs/>
              </w:rPr>
              <w:t>2019</w:t>
            </w:r>
          </w:p>
        </w:tc>
        <w:tc>
          <w:tcPr>
            <w:tcW w:w="1139" w:type="dxa"/>
            <w:noWrap/>
            <w:vAlign w:val="bottom"/>
            <w:hideMark/>
          </w:tcPr>
          <w:p w14:paraId="42C23FA5" w14:textId="77777777" w:rsidR="00AA7F3A" w:rsidRPr="00A81BF4" w:rsidRDefault="00AA7F3A" w:rsidP="00870D27">
            <w:pPr>
              <w:rPr>
                <w:b/>
                <w:bCs/>
              </w:rPr>
            </w:pPr>
            <w:r w:rsidRPr="00A81BF4">
              <w:rPr>
                <w:b/>
                <w:bCs/>
              </w:rPr>
              <w:t>2020</w:t>
            </w:r>
          </w:p>
        </w:tc>
        <w:tc>
          <w:tcPr>
            <w:tcW w:w="1139" w:type="dxa"/>
            <w:noWrap/>
            <w:vAlign w:val="bottom"/>
            <w:hideMark/>
          </w:tcPr>
          <w:p w14:paraId="31106673" w14:textId="77777777" w:rsidR="00AA7F3A" w:rsidRPr="00A81BF4" w:rsidRDefault="00AA7F3A" w:rsidP="00870D27">
            <w:pPr>
              <w:rPr>
                <w:b/>
                <w:bCs/>
              </w:rPr>
            </w:pPr>
            <w:r w:rsidRPr="00A81BF4">
              <w:rPr>
                <w:b/>
                <w:bCs/>
              </w:rPr>
              <w:t>2021</w:t>
            </w:r>
          </w:p>
        </w:tc>
        <w:tc>
          <w:tcPr>
            <w:tcW w:w="1139" w:type="dxa"/>
            <w:noWrap/>
            <w:vAlign w:val="bottom"/>
            <w:hideMark/>
          </w:tcPr>
          <w:p w14:paraId="5D370485" w14:textId="77777777" w:rsidR="00AA7F3A" w:rsidRPr="00A81BF4" w:rsidRDefault="00AA7F3A" w:rsidP="00870D27">
            <w:pPr>
              <w:rPr>
                <w:b/>
                <w:bCs/>
              </w:rPr>
            </w:pPr>
            <w:r w:rsidRPr="00A81BF4">
              <w:rPr>
                <w:b/>
                <w:bCs/>
              </w:rPr>
              <w:t>2022</w:t>
            </w:r>
          </w:p>
        </w:tc>
        <w:tc>
          <w:tcPr>
            <w:tcW w:w="1139" w:type="dxa"/>
            <w:noWrap/>
            <w:vAlign w:val="bottom"/>
            <w:hideMark/>
          </w:tcPr>
          <w:p w14:paraId="22B54BBE" w14:textId="77777777" w:rsidR="00AA7F3A" w:rsidRPr="00A81BF4" w:rsidRDefault="00AA7F3A" w:rsidP="00870D27">
            <w:pPr>
              <w:rPr>
                <w:b/>
                <w:bCs/>
              </w:rPr>
            </w:pPr>
            <w:r w:rsidRPr="00A81BF4">
              <w:rPr>
                <w:b/>
                <w:bCs/>
              </w:rPr>
              <w:t>2023</w:t>
            </w:r>
          </w:p>
        </w:tc>
        <w:tc>
          <w:tcPr>
            <w:tcW w:w="1140" w:type="dxa"/>
            <w:noWrap/>
            <w:vAlign w:val="bottom"/>
            <w:hideMark/>
          </w:tcPr>
          <w:p w14:paraId="2027814E" w14:textId="77777777" w:rsidR="00AA7F3A" w:rsidRPr="00A81BF4" w:rsidRDefault="00AA7F3A" w:rsidP="00870D27">
            <w:pPr>
              <w:rPr>
                <w:b/>
                <w:bCs/>
              </w:rPr>
            </w:pPr>
            <w:r w:rsidRPr="00A81BF4">
              <w:rPr>
                <w:b/>
                <w:bCs/>
              </w:rPr>
              <w:t>2024</w:t>
            </w:r>
          </w:p>
        </w:tc>
      </w:tr>
      <w:tr w:rsidR="004F4C5A" w:rsidRPr="007B0685" w14:paraId="3BFD7BD7" w14:textId="77777777" w:rsidTr="004F4C5A">
        <w:trPr>
          <w:trHeight w:val="300"/>
        </w:trPr>
        <w:tc>
          <w:tcPr>
            <w:tcW w:w="1555" w:type="dxa"/>
            <w:noWrap/>
            <w:hideMark/>
          </w:tcPr>
          <w:p w14:paraId="2F56477A" w14:textId="77777777" w:rsidR="004F4C5A" w:rsidRPr="007B0685" w:rsidRDefault="004F4C5A">
            <w:r w:rsidRPr="007B0685">
              <w:t>Total</w:t>
            </w:r>
          </w:p>
        </w:tc>
        <w:tc>
          <w:tcPr>
            <w:tcW w:w="1139" w:type="dxa"/>
            <w:noWrap/>
            <w:hideMark/>
          </w:tcPr>
          <w:p w14:paraId="1C00EA77" w14:textId="77777777" w:rsidR="004F4C5A" w:rsidRPr="007B0685" w:rsidRDefault="004F4C5A">
            <w:r w:rsidRPr="007B0685">
              <w:t>34.39</w:t>
            </w:r>
          </w:p>
        </w:tc>
        <w:tc>
          <w:tcPr>
            <w:tcW w:w="1139" w:type="dxa"/>
            <w:noWrap/>
            <w:hideMark/>
          </w:tcPr>
          <w:p w14:paraId="6A2F9438" w14:textId="77777777" w:rsidR="004F4C5A" w:rsidRPr="007B0685" w:rsidRDefault="004F4C5A">
            <w:r w:rsidRPr="007B0685">
              <w:t>39.09</w:t>
            </w:r>
          </w:p>
        </w:tc>
        <w:tc>
          <w:tcPr>
            <w:tcW w:w="1139" w:type="dxa"/>
            <w:noWrap/>
            <w:hideMark/>
          </w:tcPr>
          <w:p w14:paraId="3E562300" w14:textId="77777777" w:rsidR="004F4C5A" w:rsidRPr="007B0685" w:rsidRDefault="004F4C5A">
            <w:r w:rsidRPr="007B0685">
              <w:t>38.12</w:t>
            </w:r>
          </w:p>
        </w:tc>
        <w:tc>
          <w:tcPr>
            <w:tcW w:w="1139" w:type="dxa"/>
            <w:noWrap/>
            <w:hideMark/>
          </w:tcPr>
          <w:p w14:paraId="09899E1B" w14:textId="77777777" w:rsidR="004F4C5A" w:rsidRPr="007B0685" w:rsidRDefault="004F4C5A">
            <w:r w:rsidRPr="007B0685">
              <w:t>18.12</w:t>
            </w:r>
          </w:p>
        </w:tc>
        <w:tc>
          <w:tcPr>
            <w:tcW w:w="1139" w:type="dxa"/>
            <w:noWrap/>
            <w:hideMark/>
          </w:tcPr>
          <w:p w14:paraId="7F8322E2" w14:textId="77777777" w:rsidR="004F4C5A" w:rsidRPr="007B0685" w:rsidRDefault="004F4C5A">
            <w:r w:rsidRPr="007B0685">
              <w:t>12.46</w:t>
            </w:r>
          </w:p>
        </w:tc>
        <w:tc>
          <w:tcPr>
            <w:tcW w:w="1140" w:type="dxa"/>
            <w:noWrap/>
            <w:hideMark/>
          </w:tcPr>
          <w:p w14:paraId="64DE3754" w14:textId="77777777" w:rsidR="004F4C5A" w:rsidRPr="007B0685" w:rsidRDefault="004F4C5A">
            <w:r w:rsidRPr="007B0685">
              <w:t>12.85</w:t>
            </w:r>
          </w:p>
        </w:tc>
      </w:tr>
      <w:tr w:rsidR="00AA7F3A" w:rsidRPr="007B0685" w14:paraId="3C1DFA9D" w14:textId="77777777" w:rsidTr="004F4C5A">
        <w:trPr>
          <w:trHeight w:val="300"/>
        </w:trPr>
        <w:tc>
          <w:tcPr>
            <w:tcW w:w="1555" w:type="dxa"/>
            <w:noWrap/>
            <w:hideMark/>
          </w:tcPr>
          <w:p w14:paraId="3DAFD28F" w14:textId="77777777" w:rsidR="00AA7F3A" w:rsidRPr="007B0685" w:rsidRDefault="00AA7F3A" w:rsidP="004F4C5A">
            <w:pPr>
              <w:jc w:val="right"/>
            </w:pPr>
            <w:r w:rsidRPr="007B0685">
              <w:t>Alcohol</w:t>
            </w:r>
          </w:p>
        </w:tc>
        <w:tc>
          <w:tcPr>
            <w:tcW w:w="1139" w:type="dxa"/>
            <w:noWrap/>
            <w:hideMark/>
          </w:tcPr>
          <w:p w14:paraId="1D2D801C" w14:textId="77777777" w:rsidR="00AA7F3A" w:rsidRPr="007B0685" w:rsidRDefault="00AA7F3A" w:rsidP="004F4C5A">
            <w:pPr>
              <w:jc w:val="right"/>
            </w:pPr>
            <w:r w:rsidRPr="007B0685">
              <w:t>47.01</w:t>
            </w:r>
          </w:p>
        </w:tc>
        <w:tc>
          <w:tcPr>
            <w:tcW w:w="1139" w:type="dxa"/>
            <w:noWrap/>
            <w:hideMark/>
          </w:tcPr>
          <w:p w14:paraId="75986293" w14:textId="77777777" w:rsidR="00AA7F3A" w:rsidRPr="007B0685" w:rsidRDefault="00AA7F3A" w:rsidP="004F4C5A">
            <w:pPr>
              <w:jc w:val="right"/>
            </w:pPr>
            <w:r w:rsidRPr="007B0685">
              <w:t>54.29</w:t>
            </w:r>
          </w:p>
        </w:tc>
        <w:tc>
          <w:tcPr>
            <w:tcW w:w="1139" w:type="dxa"/>
            <w:noWrap/>
            <w:hideMark/>
          </w:tcPr>
          <w:p w14:paraId="720A8847" w14:textId="77777777" w:rsidR="00AA7F3A" w:rsidRPr="007B0685" w:rsidRDefault="00AA7F3A" w:rsidP="004F4C5A">
            <w:pPr>
              <w:jc w:val="right"/>
            </w:pPr>
            <w:r w:rsidRPr="007B0685">
              <w:t>52.21</w:t>
            </w:r>
          </w:p>
        </w:tc>
        <w:tc>
          <w:tcPr>
            <w:tcW w:w="1139" w:type="dxa"/>
            <w:noWrap/>
            <w:hideMark/>
          </w:tcPr>
          <w:p w14:paraId="191AF4C5" w14:textId="77777777" w:rsidR="00AA7F3A" w:rsidRPr="007B0685" w:rsidRDefault="00AA7F3A" w:rsidP="004F4C5A">
            <w:pPr>
              <w:jc w:val="right"/>
            </w:pPr>
            <w:r w:rsidRPr="007B0685">
              <w:t>24.33</w:t>
            </w:r>
          </w:p>
        </w:tc>
        <w:tc>
          <w:tcPr>
            <w:tcW w:w="1139" w:type="dxa"/>
            <w:noWrap/>
            <w:hideMark/>
          </w:tcPr>
          <w:p w14:paraId="3A2CEF7A" w14:textId="77777777" w:rsidR="00AA7F3A" w:rsidRPr="007B0685" w:rsidRDefault="00AA7F3A" w:rsidP="004F4C5A">
            <w:pPr>
              <w:jc w:val="right"/>
            </w:pPr>
            <w:r w:rsidRPr="007B0685">
              <w:t>12.49</w:t>
            </w:r>
          </w:p>
        </w:tc>
        <w:tc>
          <w:tcPr>
            <w:tcW w:w="1140" w:type="dxa"/>
            <w:noWrap/>
            <w:hideMark/>
          </w:tcPr>
          <w:p w14:paraId="68EBE0DA" w14:textId="77777777" w:rsidR="00AA7F3A" w:rsidRPr="007B0685" w:rsidRDefault="00AA7F3A" w:rsidP="004F4C5A">
            <w:pPr>
              <w:jc w:val="right"/>
            </w:pPr>
            <w:r w:rsidRPr="007B0685">
              <w:t>11.16</w:t>
            </w:r>
          </w:p>
        </w:tc>
      </w:tr>
      <w:tr w:rsidR="00AA7F3A" w:rsidRPr="007B0685" w14:paraId="15BAECDD" w14:textId="77777777" w:rsidTr="004F4C5A">
        <w:trPr>
          <w:trHeight w:val="300"/>
        </w:trPr>
        <w:tc>
          <w:tcPr>
            <w:tcW w:w="1555" w:type="dxa"/>
            <w:noWrap/>
            <w:hideMark/>
          </w:tcPr>
          <w:p w14:paraId="652436B2" w14:textId="77777777" w:rsidR="00AA7F3A" w:rsidRPr="007B0685" w:rsidRDefault="00AA7F3A" w:rsidP="004F4C5A">
            <w:pPr>
              <w:jc w:val="right"/>
            </w:pPr>
            <w:r w:rsidRPr="007B0685">
              <w:t>Opiate</w:t>
            </w:r>
          </w:p>
        </w:tc>
        <w:tc>
          <w:tcPr>
            <w:tcW w:w="1139" w:type="dxa"/>
            <w:noWrap/>
            <w:hideMark/>
          </w:tcPr>
          <w:p w14:paraId="39532674" w14:textId="77777777" w:rsidR="00AA7F3A" w:rsidRPr="007B0685" w:rsidRDefault="00AA7F3A" w:rsidP="004F4C5A">
            <w:pPr>
              <w:jc w:val="right"/>
            </w:pPr>
            <w:r w:rsidRPr="007B0685">
              <w:t>47.99</w:t>
            </w:r>
          </w:p>
        </w:tc>
        <w:tc>
          <w:tcPr>
            <w:tcW w:w="1139" w:type="dxa"/>
            <w:noWrap/>
            <w:hideMark/>
          </w:tcPr>
          <w:p w14:paraId="45F6F72C" w14:textId="77777777" w:rsidR="00AA7F3A" w:rsidRPr="007B0685" w:rsidRDefault="00AA7F3A" w:rsidP="004F4C5A">
            <w:pPr>
              <w:jc w:val="right"/>
            </w:pPr>
            <w:r w:rsidRPr="007B0685">
              <w:t>45.28</w:t>
            </w:r>
          </w:p>
        </w:tc>
        <w:tc>
          <w:tcPr>
            <w:tcW w:w="1139" w:type="dxa"/>
            <w:noWrap/>
            <w:hideMark/>
          </w:tcPr>
          <w:p w14:paraId="2E753451" w14:textId="77777777" w:rsidR="00AA7F3A" w:rsidRPr="007B0685" w:rsidRDefault="00AA7F3A" w:rsidP="004F4C5A">
            <w:pPr>
              <w:jc w:val="right"/>
            </w:pPr>
            <w:r w:rsidRPr="007B0685">
              <w:t>42.14</w:t>
            </w:r>
          </w:p>
        </w:tc>
        <w:tc>
          <w:tcPr>
            <w:tcW w:w="1139" w:type="dxa"/>
            <w:noWrap/>
            <w:hideMark/>
          </w:tcPr>
          <w:p w14:paraId="6164DF64" w14:textId="77777777" w:rsidR="00AA7F3A" w:rsidRPr="007B0685" w:rsidRDefault="00AA7F3A" w:rsidP="004F4C5A">
            <w:pPr>
              <w:jc w:val="right"/>
            </w:pPr>
            <w:r w:rsidRPr="007B0685">
              <w:t>26.47</w:t>
            </w:r>
          </w:p>
        </w:tc>
        <w:tc>
          <w:tcPr>
            <w:tcW w:w="1139" w:type="dxa"/>
            <w:noWrap/>
            <w:hideMark/>
          </w:tcPr>
          <w:p w14:paraId="75DAE29B" w14:textId="77777777" w:rsidR="00AA7F3A" w:rsidRPr="007B0685" w:rsidRDefault="00AA7F3A" w:rsidP="004F4C5A">
            <w:pPr>
              <w:jc w:val="right"/>
            </w:pPr>
            <w:r w:rsidRPr="007B0685">
              <w:t>23.20</w:t>
            </w:r>
          </w:p>
        </w:tc>
        <w:tc>
          <w:tcPr>
            <w:tcW w:w="1140" w:type="dxa"/>
            <w:noWrap/>
            <w:hideMark/>
          </w:tcPr>
          <w:p w14:paraId="693447FF" w14:textId="77777777" w:rsidR="00AA7F3A" w:rsidRPr="007B0685" w:rsidRDefault="00AA7F3A" w:rsidP="004F4C5A">
            <w:pPr>
              <w:jc w:val="right"/>
            </w:pPr>
            <w:r w:rsidRPr="007B0685">
              <w:t>27.38</w:t>
            </w:r>
          </w:p>
        </w:tc>
      </w:tr>
      <w:tr w:rsidR="00AA7F3A" w:rsidRPr="007B0685" w14:paraId="695ADD1E" w14:textId="77777777" w:rsidTr="004F4C5A">
        <w:trPr>
          <w:trHeight w:val="300"/>
        </w:trPr>
        <w:tc>
          <w:tcPr>
            <w:tcW w:w="1555" w:type="dxa"/>
            <w:noWrap/>
            <w:hideMark/>
          </w:tcPr>
          <w:p w14:paraId="3F1D8AFD" w14:textId="77777777" w:rsidR="00AA7F3A" w:rsidRPr="007B0685" w:rsidRDefault="00AA7F3A" w:rsidP="004F4C5A">
            <w:pPr>
              <w:jc w:val="right"/>
            </w:pPr>
            <w:r w:rsidRPr="007B0685">
              <w:t>Other drugs</w:t>
            </w:r>
          </w:p>
        </w:tc>
        <w:tc>
          <w:tcPr>
            <w:tcW w:w="1139" w:type="dxa"/>
            <w:noWrap/>
            <w:hideMark/>
          </w:tcPr>
          <w:p w14:paraId="6B69E84B" w14:textId="77777777" w:rsidR="00AA7F3A" w:rsidRPr="007B0685" w:rsidRDefault="00AA7F3A" w:rsidP="004F4C5A">
            <w:pPr>
              <w:jc w:val="right"/>
            </w:pPr>
            <w:r w:rsidRPr="007B0685">
              <w:t>8.17</w:t>
            </w:r>
          </w:p>
        </w:tc>
        <w:tc>
          <w:tcPr>
            <w:tcW w:w="1139" w:type="dxa"/>
            <w:noWrap/>
            <w:hideMark/>
          </w:tcPr>
          <w:p w14:paraId="59018406" w14:textId="77777777" w:rsidR="00AA7F3A" w:rsidRPr="007B0685" w:rsidRDefault="00AA7F3A" w:rsidP="004F4C5A">
            <w:pPr>
              <w:jc w:val="right"/>
            </w:pPr>
            <w:r w:rsidRPr="007B0685">
              <w:t>17.71</w:t>
            </w:r>
          </w:p>
        </w:tc>
        <w:tc>
          <w:tcPr>
            <w:tcW w:w="1139" w:type="dxa"/>
            <w:noWrap/>
            <w:hideMark/>
          </w:tcPr>
          <w:p w14:paraId="2A32C0E8" w14:textId="77777777" w:rsidR="00AA7F3A" w:rsidRPr="007B0685" w:rsidRDefault="00AA7F3A" w:rsidP="004F4C5A">
            <w:pPr>
              <w:jc w:val="right"/>
            </w:pPr>
            <w:r w:rsidRPr="007B0685">
              <w:t>20.00</w:t>
            </w:r>
          </w:p>
        </w:tc>
        <w:tc>
          <w:tcPr>
            <w:tcW w:w="1139" w:type="dxa"/>
            <w:noWrap/>
            <w:hideMark/>
          </w:tcPr>
          <w:p w14:paraId="781F5F3E" w14:textId="77777777" w:rsidR="00AA7F3A" w:rsidRPr="007B0685" w:rsidRDefault="00AA7F3A" w:rsidP="004F4C5A">
            <w:pPr>
              <w:jc w:val="right"/>
            </w:pPr>
            <w:r w:rsidRPr="007B0685">
              <w:t>3.58</w:t>
            </w:r>
          </w:p>
        </w:tc>
        <w:tc>
          <w:tcPr>
            <w:tcW w:w="1139" w:type="dxa"/>
            <w:noWrap/>
            <w:hideMark/>
          </w:tcPr>
          <w:p w14:paraId="6695BAFE" w14:textId="77777777" w:rsidR="00AA7F3A" w:rsidRPr="007B0685" w:rsidRDefault="00AA7F3A" w:rsidP="004F4C5A">
            <w:pPr>
              <w:jc w:val="right"/>
            </w:pPr>
            <w:r w:rsidRPr="007B0685">
              <w:t>1.70</w:t>
            </w:r>
          </w:p>
        </w:tc>
        <w:tc>
          <w:tcPr>
            <w:tcW w:w="1140" w:type="dxa"/>
            <w:noWrap/>
            <w:hideMark/>
          </w:tcPr>
          <w:p w14:paraId="19338AA7" w14:textId="551E0C2B" w:rsidR="00AA7F3A" w:rsidRPr="007B0685" w:rsidRDefault="005D3436" w:rsidP="004F4C5A">
            <w:pPr>
              <w:jc w:val="right"/>
            </w:pPr>
            <w:r>
              <w:t>*</w:t>
            </w:r>
          </w:p>
        </w:tc>
      </w:tr>
    </w:tbl>
    <w:p w14:paraId="32B22CEC" w14:textId="366839BC" w:rsidR="00AA7F3A" w:rsidRPr="003F6D6D" w:rsidRDefault="003D35B5" w:rsidP="00AA7F3A">
      <w:pPr>
        <w:rPr>
          <w:sz w:val="20"/>
          <w:szCs w:val="20"/>
        </w:rPr>
      </w:pPr>
      <w:r>
        <w:rPr>
          <w:sz w:val="20"/>
          <w:szCs w:val="20"/>
        </w:rPr>
        <w:t xml:space="preserve">Source: NDTMS Data. * </w:t>
      </w:r>
      <w:proofErr w:type="gramStart"/>
      <w:r>
        <w:rPr>
          <w:sz w:val="20"/>
          <w:szCs w:val="20"/>
        </w:rPr>
        <w:t>suppressed</w:t>
      </w:r>
      <w:proofErr w:type="gramEnd"/>
      <w:r w:rsidR="004B28C2">
        <w:rPr>
          <w:sz w:val="20"/>
          <w:szCs w:val="20"/>
        </w:rPr>
        <w:t xml:space="preserve"> </w:t>
      </w:r>
      <w:r w:rsidR="001878F2">
        <w:rPr>
          <w:sz w:val="20"/>
          <w:szCs w:val="20"/>
        </w:rPr>
        <w:t>due to low numbers</w:t>
      </w:r>
    </w:p>
    <w:p w14:paraId="512B74D2" w14:textId="7E2B8B4D" w:rsidR="00AA7F3A" w:rsidRDefault="00AA7F3A" w:rsidP="004B28C2">
      <w:pPr>
        <w:pStyle w:val="Heading6"/>
      </w:pPr>
      <w:r>
        <w:lastRenderedPageBreak/>
        <w:t xml:space="preserve">Figure </w:t>
      </w:r>
      <w:r w:rsidR="00462720">
        <w:t>5</w:t>
      </w:r>
      <w:r w:rsidR="004B28C2">
        <w:t>.6a</w:t>
      </w:r>
      <w:r>
        <w:t xml:space="preserve">. </w:t>
      </w:r>
      <w:r w:rsidRPr="00F57C15">
        <w:t xml:space="preserve">Admissions for drug and alcohol poisoning by </w:t>
      </w:r>
      <w:r w:rsidR="005A3FB8">
        <w:t>substance group</w:t>
      </w:r>
      <w:r w:rsidRPr="00F57C15">
        <w:t xml:space="preserve">, in Peterborough </w:t>
      </w:r>
      <w:r>
        <w:t xml:space="preserve">and England </w:t>
      </w:r>
      <w:r w:rsidRPr="00F57C15">
        <w:t>from 2019 to 2024, DSR per 100,000.</w:t>
      </w:r>
    </w:p>
    <w:p w14:paraId="0B2D8EDC" w14:textId="5AE63A6A" w:rsidR="00AA7F3A" w:rsidRDefault="006A5D8C" w:rsidP="00AA7F3A">
      <w:r w:rsidRPr="006A5D8C">
        <w:rPr>
          <w:noProof/>
        </w:rPr>
        <w:drawing>
          <wp:inline distT="0" distB="0" distL="0" distR="0" wp14:anchorId="4D5BE832" wp14:editId="78E9F142">
            <wp:extent cx="5728076" cy="3504319"/>
            <wp:effectExtent l="0" t="0" r="6350" b="1270"/>
            <wp:docPr id="2075002035" name="Picture 20" descr="A graph of a number of different colored lines&#10;&#10;Description automatically generated with medium confidence">
              <a:extLst xmlns:a="http://schemas.openxmlformats.org/drawingml/2006/main">
                <a:ext uri="{FF2B5EF4-FFF2-40B4-BE49-F238E27FC236}">
                  <a16:creationId xmlns:a16="http://schemas.microsoft.com/office/drawing/2014/main" id="{AE9D1F73-C8EF-6400-F12A-9539E8785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02035" name="Picture 20" descr="A graph of a number of different colored lines&#10;&#10;Description automatically generated with medium confidence">
                      <a:extLst>
                        <a:ext uri="{FF2B5EF4-FFF2-40B4-BE49-F238E27FC236}">
                          <a16:creationId xmlns:a16="http://schemas.microsoft.com/office/drawing/2014/main" id="{AE9D1F73-C8EF-6400-F12A-9539E8785ECC}"/>
                        </a:ext>
                      </a:extLst>
                    </pic:cNvPr>
                    <pic:cNvPicPr>
                      <a:picLocks noChangeAspect="1"/>
                    </pic:cNvPicPr>
                  </pic:nvPicPr>
                  <pic:blipFill rotWithShape="1">
                    <a:blip r:embed="rId40"/>
                    <a:srcRect r="3748"/>
                    <a:stretch/>
                  </pic:blipFill>
                  <pic:spPr bwMode="auto">
                    <a:xfrm>
                      <a:off x="0" y="0"/>
                      <a:ext cx="5734831" cy="3508451"/>
                    </a:xfrm>
                    <a:prstGeom prst="rect">
                      <a:avLst/>
                    </a:prstGeom>
                    <a:ln>
                      <a:noFill/>
                    </a:ln>
                    <a:extLst>
                      <a:ext uri="{53640926-AAD7-44D8-BBD7-CCE9431645EC}">
                        <a14:shadowObscured xmlns:a14="http://schemas.microsoft.com/office/drawing/2010/main"/>
                      </a:ext>
                    </a:extLst>
                  </pic:spPr>
                </pic:pic>
              </a:graphicData>
            </a:graphic>
          </wp:inline>
        </w:drawing>
      </w:r>
    </w:p>
    <w:p w14:paraId="3BECB53C" w14:textId="2130054D" w:rsidR="00AA7F3A" w:rsidRPr="006A5D8C" w:rsidRDefault="006A5D8C" w:rsidP="00AA7F3A">
      <w:pPr>
        <w:rPr>
          <w:sz w:val="20"/>
          <w:szCs w:val="20"/>
        </w:rPr>
      </w:pPr>
      <w:r w:rsidRPr="006A5D8C">
        <w:rPr>
          <w:sz w:val="20"/>
          <w:szCs w:val="20"/>
        </w:rPr>
        <w:t>Source: NDTMS</w:t>
      </w:r>
    </w:p>
    <w:p w14:paraId="640DF137" w14:textId="406F826E" w:rsidR="009C73A2" w:rsidRDefault="009C73A2" w:rsidP="009C73A2">
      <w:r>
        <w:t xml:space="preserve">Comparison of Peterborough with other areas in the </w:t>
      </w:r>
      <w:r w:rsidRPr="00CD701D">
        <w:rPr>
          <w:b/>
          <w:bCs/>
        </w:rPr>
        <w:t>second most deprived IMD</w:t>
      </w:r>
      <w:r>
        <w:t xml:space="preserve"> (2019) </w:t>
      </w:r>
      <w:r w:rsidR="00847EA3">
        <w:rPr>
          <w:sz w:val="24"/>
          <w:szCs w:val="24"/>
        </w:rPr>
        <w:t xml:space="preserve">quintile </w:t>
      </w:r>
      <w:r>
        <w:t xml:space="preserve">shows that the admission rates for both alcohol and other drugs are </w:t>
      </w:r>
      <w:r w:rsidRPr="00CD701D">
        <w:rPr>
          <w:b/>
          <w:bCs/>
        </w:rPr>
        <w:t>significantly lower in Peterborough</w:t>
      </w:r>
      <w:r w:rsidR="00EE233A">
        <w:t>, t</w:t>
      </w:r>
      <w:r>
        <w:t>he admission rates for opiates</w:t>
      </w:r>
      <w:r w:rsidR="003D3F2D">
        <w:t xml:space="preserve"> </w:t>
      </w:r>
      <w:r w:rsidR="00EE233A">
        <w:t>are similar</w:t>
      </w:r>
      <w:r w:rsidR="003D3F2D">
        <w:t xml:space="preserve">. This is </w:t>
      </w:r>
      <w:r>
        <w:t xml:space="preserve">shown in table </w:t>
      </w:r>
      <w:r w:rsidR="003D3F2D">
        <w:t>6.6b</w:t>
      </w:r>
      <w:r>
        <w:t>.</w:t>
      </w:r>
    </w:p>
    <w:p w14:paraId="05EBB9CE" w14:textId="2E671726" w:rsidR="009C73A2" w:rsidRDefault="009C73A2" w:rsidP="00DE4913">
      <w:pPr>
        <w:pStyle w:val="Heading6"/>
      </w:pPr>
      <w:r>
        <w:t xml:space="preserve">Table </w:t>
      </w:r>
      <w:r w:rsidR="00870D27">
        <w:t>5</w:t>
      </w:r>
      <w:r w:rsidR="003D3F2D">
        <w:t>.6b</w:t>
      </w:r>
      <w:r>
        <w:t>. DSR per 100,000</w:t>
      </w:r>
      <w:r w:rsidR="001151C3">
        <w:t xml:space="preserve"> across </w:t>
      </w:r>
      <w:r w:rsidR="00785D82">
        <w:t>quintiles of deprivation for substances</w:t>
      </w:r>
      <w:r w:rsidR="00DE4913">
        <w:t xml:space="preserve"> in England and in Peterborough</w:t>
      </w:r>
      <w:r w:rsidR="00785D82">
        <w:t>.</w:t>
      </w:r>
    </w:p>
    <w:p w14:paraId="2439D125" w14:textId="1073FFD2" w:rsidR="009C73A2" w:rsidRDefault="005C1526" w:rsidP="009C73A2">
      <w:r w:rsidRPr="005C1526">
        <w:rPr>
          <w:noProof/>
        </w:rPr>
        <w:drawing>
          <wp:inline distT="0" distB="0" distL="0" distR="0" wp14:anchorId="4D29DD00" wp14:editId="30A58BDB">
            <wp:extent cx="5182049" cy="1664352"/>
            <wp:effectExtent l="0" t="0" r="0" b="0"/>
            <wp:docPr id="20" name="Picture 19" descr="A screenshot of a computer&#10;&#10;Description automatically generated">
              <a:extLst xmlns:a="http://schemas.openxmlformats.org/drawingml/2006/main">
                <a:ext uri="{FF2B5EF4-FFF2-40B4-BE49-F238E27FC236}">
                  <a16:creationId xmlns:a16="http://schemas.microsoft.com/office/drawing/2014/main" id="{C8F047E2-AB74-A1A8-B491-DEE6EF7E7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omputer&#10;&#10;Description automatically generated">
                      <a:extLst>
                        <a:ext uri="{FF2B5EF4-FFF2-40B4-BE49-F238E27FC236}">
                          <a16:creationId xmlns:a16="http://schemas.microsoft.com/office/drawing/2014/main" id="{C8F047E2-AB74-A1A8-B491-DEE6EF7E7243}"/>
                        </a:ext>
                      </a:extLst>
                    </pic:cNvPr>
                    <pic:cNvPicPr>
                      <a:picLocks noChangeAspect="1"/>
                    </pic:cNvPicPr>
                  </pic:nvPicPr>
                  <pic:blipFill>
                    <a:blip r:embed="rId41"/>
                    <a:stretch>
                      <a:fillRect/>
                    </a:stretch>
                  </pic:blipFill>
                  <pic:spPr>
                    <a:xfrm>
                      <a:off x="0" y="0"/>
                      <a:ext cx="5182049" cy="1664352"/>
                    </a:xfrm>
                    <a:prstGeom prst="rect">
                      <a:avLst/>
                    </a:prstGeom>
                  </pic:spPr>
                </pic:pic>
              </a:graphicData>
            </a:graphic>
          </wp:inline>
        </w:drawing>
      </w:r>
    </w:p>
    <w:p w14:paraId="5D7561D7" w14:textId="10364829" w:rsidR="005C1526" w:rsidRPr="00DE4913" w:rsidRDefault="005C1526" w:rsidP="009C73A2">
      <w:pPr>
        <w:rPr>
          <w:sz w:val="20"/>
          <w:szCs w:val="20"/>
        </w:rPr>
      </w:pPr>
      <w:r w:rsidRPr="00DE4913">
        <w:rPr>
          <w:sz w:val="20"/>
          <w:szCs w:val="20"/>
        </w:rPr>
        <w:t>Source: NDTMS.</w:t>
      </w:r>
    </w:p>
    <w:p w14:paraId="1EDA0357" w14:textId="77777777" w:rsidR="00633960" w:rsidRDefault="00633960" w:rsidP="0063777D"/>
    <w:p w14:paraId="3EA2F3AD" w14:textId="2E0CC2D5" w:rsidR="00874B2A" w:rsidRDefault="00166F5E" w:rsidP="00D20150">
      <w:r>
        <w:t>Primary Care Network (PCN) level d</w:t>
      </w:r>
      <w:r w:rsidR="00E21734">
        <w:t>ata for a</w:t>
      </w:r>
      <w:r w:rsidR="00D20150">
        <w:t>lcohol-related non-elective hospital admissions</w:t>
      </w:r>
      <w:r w:rsidR="009747CF">
        <w:t xml:space="preserve"> </w:t>
      </w:r>
      <w:r w:rsidR="000A2816">
        <w:t xml:space="preserve">shows </w:t>
      </w:r>
      <w:r w:rsidR="00D20150" w:rsidRPr="003E1A28">
        <w:rPr>
          <w:b/>
          <w:bCs/>
        </w:rPr>
        <w:t xml:space="preserve">significant variation in alcohol-related admissions </w:t>
      </w:r>
      <w:r w:rsidR="00D639E8" w:rsidRPr="003E1A28">
        <w:rPr>
          <w:b/>
          <w:bCs/>
        </w:rPr>
        <w:t xml:space="preserve">between </w:t>
      </w:r>
      <w:r w:rsidR="00D20150" w:rsidRPr="003E1A28">
        <w:rPr>
          <w:b/>
          <w:bCs/>
        </w:rPr>
        <w:t>PCNs</w:t>
      </w:r>
      <w:r w:rsidR="00D20150">
        <w:t>.</w:t>
      </w:r>
      <w:r w:rsidR="009747CF">
        <w:t xml:space="preserve"> </w:t>
      </w:r>
      <w:r w:rsidR="00D639E8" w:rsidRPr="00D639E8">
        <w:t xml:space="preserve">Over the eight-month period ending November 2024, an average PCN population of 47,056 would be expected to have 98 admissions if rates were evenly distributed. However, </w:t>
      </w:r>
      <w:r w:rsidR="009747CF">
        <w:t xml:space="preserve">applying </w:t>
      </w:r>
      <w:r w:rsidR="00D639E8" w:rsidRPr="00D639E8">
        <w:t xml:space="preserve">actual admissions </w:t>
      </w:r>
      <w:r w:rsidR="00D639E8">
        <w:t xml:space="preserve">rates </w:t>
      </w:r>
      <w:r w:rsidR="00693AD1">
        <w:t>to t</w:t>
      </w:r>
      <w:r w:rsidR="00874B2A">
        <w:t xml:space="preserve">his </w:t>
      </w:r>
      <w:r w:rsidR="00794B22">
        <w:t>result</w:t>
      </w:r>
      <w:r w:rsidR="00F20AD4">
        <w:t>s</w:t>
      </w:r>
      <w:r w:rsidR="00794B22">
        <w:t xml:space="preserve"> in a </w:t>
      </w:r>
      <w:r w:rsidR="00F20AD4">
        <w:t xml:space="preserve">variation </w:t>
      </w:r>
      <w:r w:rsidR="00D639E8" w:rsidRPr="00D639E8">
        <w:t>rang</w:t>
      </w:r>
      <w:r w:rsidR="00F20AD4">
        <w:t>ing</w:t>
      </w:r>
      <w:r w:rsidR="008758A6">
        <w:t xml:space="preserve"> by 50 admissions,</w:t>
      </w:r>
      <w:r w:rsidR="00D639E8" w:rsidRPr="00D639E8">
        <w:t xml:space="preserve"> from 72 </w:t>
      </w:r>
      <w:r w:rsidR="008758A6">
        <w:t xml:space="preserve">in the </w:t>
      </w:r>
      <w:r w:rsidR="00D639E8" w:rsidRPr="00D639E8">
        <w:t>PCN</w:t>
      </w:r>
      <w:r w:rsidR="008758A6">
        <w:t xml:space="preserve"> with </w:t>
      </w:r>
      <w:r w:rsidR="00874B2A">
        <w:t xml:space="preserve">the </w:t>
      </w:r>
      <w:r w:rsidR="008758A6">
        <w:t>fewest admissions</w:t>
      </w:r>
      <w:r w:rsidR="00874B2A">
        <w:t>,</w:t>
      </w:r>
      <w:r w:rsidR="008758A6">
        <w:t xml:space="preserve"> to 122 in the PCN with the highest</w:t>
      </w:r>
      <w:r w:rsidR="00993A5E">
        <w:t xml:space="preserve">, as shown in Table </w:t>
      </w:r>
      <w:r w:rsidR="00C91D90">
        <w:t>6.6c.</w:t>
      </w:r>
    </w:p>
    <w:p w14:paraId="1E703A1C" w14:textId="7EBD7581" w:rsidR="00C91D90" w:rsidRDefault="00C91D90" w:rsidP="00C91D90">
      <w:pPr>
        <w:pStyle w:val="Heading6"/>
      </w:pPr>
      <w:r>
        <w:lastRenderedPageBreak/>
        <w:t xml:space="preserve">Table </w:t>
      </w:r>
      <w:r w:rsidR="00870D27">
        <w:t>5</w:t>
      </w:r>
      <w:r>
        <w:t>.6c. Modelling of admission rates by PCN</w:t>
      </w:r>
      <w:r w:rsidR="009201D6">
        <w:t>, 8-month period ending November 2024</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0"/>
        <w:gridCol w:w="2377"/>
        <w:gridCol w:w="1315"/>
        <w:gridCol w:w="1224"/>
      </w:tblGrid>
      <w:tr w:rsidR="0047593B" w:rsidRPr="00434DCE" w14:paraId="066E6CA2" w14:textId="44191FEB" w:rsidTr="00103168">
        <w:trPr>
          <w:trHeight w:val="300"/>
        </w:trPr>
        <w:tc>
          <w:tcPr>
            <w:tcW w:w="4100" w:type="dxa"/>
            <w:noWrap/>
            <w:vAlign w:val="bottom"/>
            <w:hideMark/>
          </w:tcPr>
          <w:p w14:paraId="2C28D662" w14:textId="77777777" w:rsidR="00D03C35" w:rsidRPr="00434DCE" w:rsidRDefault="00D03C35" w:rsidP="00434DCE">
            <w:pPr>
              <w:spacing w:after="0" w:line="240" w:lineRule="auto"/>
              <w:rPr>
                <w:rFonts w:ascii="Calibri" w:eastAsia="Times New Roman" w:hAnsi="Calibri" w:cs="Calibri"/>
                <w:b/>
                <w:bCs/>
                <w:color w:val="000000"/>
                <w:lang w:eastAsia="en-GB"/>
              </w:rPr>
            </w:pPr>
            <w:r w:rsidRPr="00434DCE">
              <w:rPr>
                <w:rFonts w:ascii="Calibri" w:eastAsia="Times New Roman" w:hAnsi="Calibri" w:cs="Calibri"/>
                <w:b/>
                <w:bCs/>
                <w:color w:val="000000"/>
                <w:lang w:eastAsia="en-GB"/>
              </w:rPr>
              <w:t>PCN Name</w:t>
            </w:r>
          </w:p>
        </w:tc>
        <w:tc>
          <w:tcPr>
            <w:tcW w:w="2377" w:type="dxa"/>
            <w:noWrap/>
            <w:vAlign w:val="bottom"/>
            <w:hideMark/>
          </w:tcPr>
          <w:p w14:paraId="35B546EB" w14:textId="56CDA259" w:rsidR="00D03C35" w:rsidRPr="00434DCE" w:rsidRDefault="00D03C35" w:rsidP="00434DCE">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Modelled</w:t>
            </w:r>
            <w:r w:rsidR="0047593B">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a</w:t>
            </w:r>
            <w:r w:rsidRPr="00434DCE">
              <w:rPr>
                <w:rFonts w:ascii="Calibri" w:eastAsia="Times New Roman" w:hAnsi="Calibri" w:cs="Calibri"/>
                <w:b/>
                <w:bCs/>
                <w:color w:val="000000"/>
                <w:lang w:eastAsia="en-GB"/>
              </w:rPr>
              <w:t>dmissions*</w:t>
            </w:r>
          </w:p>
        </w:tc>
        <w:tc>
          <w:tcPr>
            <w:tcW w:w="1315" w:type="dxa"/>
          </w:tcPr>
          <w:p w14:paraId="52E5474B" w14:textId="0381F648" w:rsidR="00D03C35" w:rsidRDefault="00D03C35" w:rsidP="00434DCE">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Actual admission</w:t>
            </w:r>
            <w:r w:rsidR="000F51DE">
              <w:rPr>
                <w:rFonts w:ascii="Calibri" w:eastAsia="Times New Roman" w:hAnsi="Calibri" w:cs="Calibri"/>
                <w:b/>
                <w:bCs/>
                <w:color w:val="000000"/>
                <w:lang w:eastAsia="en-GB"/>
              </w:rPr>
              <w:t xml:space="preserve"> number</w:t>
            </w:r>
          </w:p>
        </w:tc>
        <w:tc>
          <w:tcPr>
            <w:tcW w:w="1224" w:type="dxa"/>
          </w:tcPr>
          <w:p w14:paraId="12EA51AA" w14:textId="668CA442" w:rsidR="00D03C35" w:rsidRDefault="0047593B" w:rsidP="00434DCE">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PCN </w:t>
            </w:r>
            <w:r w:rsidR="00276006">
              <w:rPr>
                <w:rFonts w:ascii="Calibri" w:eastAsia="Times New Roman" w:hAnsi="Calibri" w:cs="Calibri"/>
                <w:b/>
                <w:bCs/>
                <w:color w:val="000000"/>
                <w:lang w:eastAsia="en-GB"/>
              </w:rPr>
              <w:t>Population</w:t>
            </w:r>
          </w:p>
        </w:tc>
      </w:tr>
      <w:tr w:rsidR="0047593B" w:rsidRPr="00434DCE" w14:paraId="794C355E" w14:textId="46EA69C3" w:rsidTr="00103168">
        <w:trPr>
          <w:trHeight w:val="300"/>
        </w:trPr>
        <w:tc>
          <w:tcPr>
            <w:tcW w:w="4100" w:type="dxa"/>
            <w:noWrap/>
            <w:vAlign w:val="bottom"/>
            <w:hideMark/>
          </w:tcPr>
          <w:p w14:paraId="554A2C5C"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Peterborough Partnerships PCN</w:t>
            </w:r>
          </w:p>
        </w:tc>
        <w:tc>
          <w:tcPr>
            <w:tcW w:w="2377" w:type="dxa"/>
            <w:noWrap/>
            <w:vAlign w:val="bottom"/>
            <w:hideMark/>
          </w:tcPr>
          <w:p w14:paraId="1994B764"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122</w:t>
            </w:r>
          </w:p>
        </w:tc>
        <w:tc>
          <w:tcPr>
            <w:tcW w:w="1315" w:type="dxa"/>
          </w:tcPr>
          <w:p w14:paraId="5BC923C5" w14:textId="7BA90C67"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80</w:t>
            </w:r>
          </w:p>
        </w:tc>
        <w:tc>
          <w:tcPr>
            <w:tcW w:w="1224" w:type="dxa"/>
          </w:tcPr>
          <w:p w14:paraId="29E82E64" w14:textId="192CD9CC" w:rsidR="00D03C35" w:rsidRDefault="00276006"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30,764</w:t>
            </w:r>
          </w:p>
        </w:tc>
      </w:tr>
      <w:tr w:rsidR="0047593B" w:rsidRPr="00434DCE" w14:paraId="76F00E28" w14:textId="06A968DC" w:rsidTr="00103168">
        <w:trPr>
          <w:trHeight w:val="300"/>
        </w:trPr>
        <w:tc>
          <w:tcPr>
            <w:tcW w:w="4100" w:type="dxa"/>
            <w:noWrap/>
            <w:vAlign w:val="bottom"/>
            <w:hideMark/>
          </w:tcPr>
          <w:p w14:paraId="7BA84045"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Bretton Park and Hampton PCN</w:t>
            </w:r>
          </w:p>
        </w:tc>
        <w:tc>
          <w:tcPr>
            <w:tcW w:w="2377" w:type="dxa"/>
            <w:noWrap/>
            <w:vAlign w:val="bottom"/>
            <w:hideMark/>
          </w:tcPr>
          <w:p w14:paraId="00B69147"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115</w:t>
            </w:r>
          </w:p>
        </w:tc>
        <w:tc>
          <w:tcPr>
            <w:tcW w:w="1315" w:type="dxa"/>
          </w:tcPr>
          <w:p w14:paraId="59C87D8C" w14:textId="24B88471"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78</w:t>
            </w:r>
          </w:p>
        </w:tc>
        <w:tc>
          <w:tcPr>
            <w:tcW w:w="1224" w:type="dxa"/>
          </w:tcPr>
          <w:p w14:paraId="2C287400" w14:textId="4555D7DF" w:rsidR="00D03C35" w:rsidRDefault="00276006" w:rsidP="00434DCE">
            <w:pPr>
              <w:spacing w:after="0" w:line="240" w:lineRule="auto"/>
              <w:jc w:val="right"/>
              <w:rPr>
                <w:rFonts w:ascii="Calibri" w:eastAsia="Times New Roman" w:hAnsi="Calibri" w:cs="Calibri"/>
                <w:color w:val="000000"/>
                <w:lang w:eastAsia="en-GB"/>
              </w:rPr>
            </w:pPr>
            <w:r w:rsidRPr="00276006">
              <w:rPr>
                <w:rFonts w:ascii="Calibri" w:eastAsia="Times New Roman" w:hAnsi="Calibri" w:cs="Calibri"/>
                <w:color w:val="000000"/>
                <w:lang w:eastAsia="en-GB"/>
              </w:rPr>
              <w:t>31,830</w:t>
            </w:r>
          </w:p>
        </w:tc>
      </w:tr>
      <w:tr w:rsidR="0047593B" w:rsidRPr="00434DCE" w14:paraId="22263FE0" w14:textId="4C93AE37" w:rsidTr="00103168">
        <w:trPr>
          <w:trHeight w:val="300"/>
        </w:trPr>
        <w:tc>
          <w:tcPr>
            <w:tcW w:w="4100" w:type="dxa"/>
            <w:noWrap/>
            <w:vAlign w:val="bottom"/>
            <w:hideMark/>
          </w:tcPr>
          <w:p w14:paraId="725C0BAA"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BMC Paston PCN</w:t>
            </w:r>
          </w:p>
        </w:tc>
        <w:tc>
          <w:tcPr>
            <w:tcW w:w="2377" w:type="dxa"/>
            <w:noWrap/>
            <w:vAlign w:val="bottom"/>
            <w:hideMark/>
          </w:tcPr>
          <w:p w14:paraId="50387D28"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108</w:t>
            </w:r>
          </w:p>
        </w:tc>
        <w:tc>
          <w:tcPr>
            <w:tcW w:w="1315" w:type="dxa"/>
          </w:tcPr>
          <w:p w14:paraId="71E94468" w14:textId="686E519F"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106</w:t>
            </w:r>
          </w:p>
        </w:tc>
        <w:tc>
          <w:tcPr>
            <w:tcW w:w="1224" w:type="dxa"/>
          </w:tcPr>
          <w:p w14:paraId="588F49EC" w14:textId="3E207437" w:rsidR="00D03C35" w:rsidRDefault="00971112" w:rsidP="00434DCE">
            <w:pPr>
              <w:spacing w:after="0" w:line="240" w:lineRule="auto"/>
              <w:jc w:val="right"/>
              <w:rPr>
                <w:rFonts w:ascii="Calibri" w:eastAsia="Times New Roman" w:hAnsi="Calibri" w:cs="Calibri"/>
                <w:color w:val="000000"/>
                <w:lang w:eastAsia="en-GB"/>
              </w:rPr>
            </w:pPr>
            <w:r w:rsidRPr="00971112">
              <w:rPr>
                <w:rFonts w:ascii="Calibri" w:eastAsia="Times New Roman" w:hAnsi="Calibri" w:cs="Calibri"/>
                <w:color w:val="000000"/>
                <w:lang w:eastAsia="en-GB"/>
              </w:rPr>
              <w:t>46,325</w:t>
            </w:r>
          </w:p>
        </w:tc>
      </w:tr>
      <w:tr w:rsidR="0047593B" w:rsidRPr="00434DCE" w14:paraId="77557666" w14:textId="565B8628" w:rsidTr="00103168">
        <w:trPr>
          <w:trHeight w:val="300"/>
        </w:trPr>
        <w:tc>
          <w:tcPr>
            <w:tcW w:w="4100" w:type="dxa"/>
            <w:noWrap/>
            <w:vAlign w:val="bottom"/>
            <w:hideMark/>
          </w:tcPr>
          <w:p w14:paraId="306D2DC5"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 xml:space="preserve">Central </w:t>
            </w:r>
            <w:proofErr w:type="spellStart"/>
            <w:r w:rsidRPr="00434DCE">
              <w:rPr>
                <w:rFonts w:ascii="Calibri" w:eastAsia="Times New Roman" w:hAnsi="Calibri" w:cs="Calibri"/>
                <w:color w:val="000000"/>
                <w:lang w:eastAsia="en-GB"/>
              </w:rPr>
              <w:t>Thistlemoor</w:t>
            </w:r>
            <w:proofErr w:type="spellEnd"/>
            <w:r w:rsidRPr="00434DCE">
              <w:rPr>
                <w:rFonts w:ascii="Calibri" w:eastAsia="Times New Roman" w:hAnsi="Calibri" w:cs="Calibri"/>
                <w:color w:val="000000"/>
                <w:lang w:eastAsia="en-GB"/>
              </w:rPr>
              <w:t xml:space="preserve"> and Thorpe Road PCN</w:t>
            </w:r>
          </w:p>
        </w:tc>
        <w:tc>
          <w:tcPr>
            <w:tcW w:w="2377" w:type="dxa"/>
            <w:noWrap/>
            <w:vAlign w:val="bottom"/>
            <w:hideMark/>
          </w:tcPr>
          <w:p w14:paraId="6781BDA6"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95</w:t>
            </w:r>
          </w:p>
        </w:tc>
        <w:tc>
          <w:tcPr>
            <w:tcW w:w="1315" w:type="dxa"/>
          </w:tcPr>
          <w:p w14:paraId="5F2ACEE5" w14:textId="6DFA6C8E"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103</w:t>
            </w:r>
          </w:p>
        </w:tc>
        <w:tc>
          <w:tcPr>
            <w:tcW w:w="1224" w:type="dxa"/>
          </w:tcPr>
          <w:p w14:paraId="103695F5" w14:textId="4D250317" w:rsidR="00D03C35" w:rsidRDefault="00971112" w:rsidP="00434DCE">
            <w:pPr>
              <w:spacing w:after="0" w:line="240" w:lineRule="auto"/>
              <w:jc w:val="right"/>
              <w:rPr>
                <w:rFonts w:ascii="Calibri" w:eastAsia="Times New Roman" w:hAnsi="Calibri" w:cs="Calibri"/>
                <w:color w:val="000000"/>
                <w:lang w:eastAsia="en-GB"/>
              </w:rPr>
            </w:pPr>
            <w:r w:rsidRPr="00971112">
              <w:rPr>
                <w:rFonts w:ascii="Calibri" w:eastAsia="Times New Roman" w:hAnsi="Calibri" w:cs="Calibri"/>
                <w:color w:val="000000"/>
                <w:lang w:eastAsia="en-GB"/>
              </w:rPr>
              <w:t>50,931</w:t>
            </w:r>
          </w:p>
        </w:tc>
      </w:tr>
      <w:tr w:rsidR="0047593B" w:rsidRPr="00434DCE" w14:paraId="236B774E" w14:textId="22863DA2" w:rsidTr="00103168">
        <w:trPr>
          <w:trHeight w:val="300"/>
        </w:trPr>
        <w:tc>
          <w:tcPr>
            <w:tcW w:w="4100" w:type="dxa"/>
            <w:noWrap/>
            <w:vAlign w:val="bottom"/>
            <w:hideMark/>
          </w:tcPr>
          <w:p w14:paraId="24AC12E1"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Peterborough and East PCN</w:t>
            </w:r>
          </w:p>
        </w:tc>
        <w:tc>
          <w:tcPr>
            <w:tcW w:w="2377" w:type="dxa"/>
            <w:noWrap/>
            <w:vAlign w:val="bottom"/>
            <w:hideMark/>
          </w:tcPr>
          <w:p w14:paraId="785D03E6"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74</w:t>
            </w:r>
          </w:p>
        </w:tc>
        <w:tc>
          <w:tcPr>
            <w:tcW w:w="1315" w:type="dxa"/>
          </w:tcPr>
          <w:p w14:paraId="0673B4AC" w14:textId="10A1F70E"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101</w:t>
            </w:r>
          </w:p>
        </w:tc>
        <w:tc>
          <w:tcPr>
            <w:tcW w:w="1224" w:type="dxa"/>
          </w:tcPr>
          <w:p w14:paraId="12F73803" w14:textId="021AAC20" w:rsidR="00D03C35" w:rsidRDefault="00276006" w:rsidP="00434DCE">
            <w:pPr>
              <w:spacing w:after="0" w:line="240" w:lineRule="auto"/>
              <w:jc w:val="right"/>
              <w:rPr>
                <w:rFonts w:ascii="Calibri" w:eastAsia="Times New Roman" w:hAnsi="Calibri" w:cs="Calibri"/>
                <w:color w:val="000000"/>
                <w:lang w:eastAsia="en-GB"/>
              </w:rPr>
            </w:pPr>
            <w:r w:rsidRPr="00276006">
              <w:rPr>
                <w:rFonts w:ascii="Calibri" w:eastAsia="Times New Roman" w:hAnsi="Calibri" w:cs="Calibri"/>
                <w:color w:val="000000"/>
                <w:lang w:eastAsia="en-GB"/>
              </w:rPr>
              <w:t>63,988</w:t>
            </w:r>
          </w:p>
        </w:tc>
      </w:tr>
      <w:tr w:rsidR="0047593B" w:rsidRPr="00434DCE" w14:paraId="24F359DB" w14:textId="651D0434" w:rsidTr="00103168">
        <w:trPr>
          <w:trHeight w:val="300"/>
        </w:trPr>
        <w:tc>
          <w:tcPr>
            <w:tcW w:w="4100" w:type="dxa"/>
            <w:noWrap/>
            <w:vAlign w:val="bottom"/>
            <w:hideMark/>
          </w:tcPr>
          <w:p w14:paraId="6CCCC2C6" w14:textId="77777777" w:rsidR="00D03C35" w:rsidRPr="00434DCE" w:rsidRDefault="00D03C35" w:rsidP="00434DCE">
            <w:pPr>
              <w:spacing w:after="0" w:line="240" w:lineRule="auto"/>
              <w:rPr>
                <w:rFonts w:ascii="Calibri" w:eastAsia="Times New Roman" w:hAnsi="Calibri" w:cs="Calibri"/>
                <w:color w:val="000000"/>
                <w:lang w:eastAsia="en-GB"/>
              </w:rPr>
            </w:pPr>
            <w:r w:rsidRPr="00434DCE">
              <w:rPr>
                <w:rFonts w:ascii="Calibri" w:eastAsia="Times New Roman" w:hAnsi="Calibri" w:cs="Calibri"/>
                <w:color w:val="000000"/>
                <w:lang w:eastAsia="en-GB"/>
              </w:rPr>
              <w:t>South Peterborough PCN</w:t>
            </w:r>
          </w:p>
        </w:tc>
        <w:tc>
          <w:tcPr>
            <w:tcW w:w="2377" w:type="dxa"/>
            <w:noWrap/>
            <w:vAlign w:val="bottom"/>
            <w:hideMark/>
          </w:tcPr>
          <w:p w14:paraId="06592529" w14:textId="77777777" w:rsidR="00D03C35" w:rsidRPr="00434DCE" w:rsidRDefault="00D03C35" w:rsidP="00434DCE">
            <w:pPr>
              <w:spacing w:after="0" w:line="240" w:lineRule="auto"/>
              <w:jc w:val="right"/>
              <w:rPr>
                <w:rFonts w:ascii="Calibri" w:eastAsia="Times New Roman" w:hAnsi="Calibri" w:cs="Calibri"/>
                <w:color w:val="000000"/>
                <w:lang w:eastAsia="en-GB"/>
              </w:rPr>
            </w:pPr>
            <w:r w:rsidRPr="00434DCE">
              <w:rPr>
                <w:rFonts w:ascii="Calibri" w:eastAsia="Times New Roman" w:hAnsi="Calibri" w:cs="Calibri"/>
                <w:color w:val="000000"/>
                <w:lang w:eastAsia="en-GB"/>
              </w:rPr>
              <w:t>72</w:t>
            </w:r>
          </w:p>
        </w:tc>
        <w:tc>
          <w:tcPr>
            <w:tcW w:w="1315" w:type="dxa"/>
          </w:tcPr>
          <w:p w14:paraId="0902D5A1" w14:textId="17C72D9B" w:rsidR="00D03C35" w:rsidRPr="00434DCE" w:rsidRDefault="00D03C35" w:rsidP="00434DCE">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90</w:t>
            </w:r>
          </w:p>
        </w:tc>
        <w:tc>
          <w:tcPr>
            <w:tcW w:w="1224" w:type="dxa"/>
          </w:tcPr>
          <w:p w14:paraId="2537241F" w14:textId="208AC14E" w:rsidR="00D03C35" w:rsidRDefault="00276006" w:rsidP="00434DCE">
            <w:pPr>
              <w:spacing w:after="0" w:line="240" w:lineRule="auto"/>
              <w:jc w:val="right"/>
              <w:rPr>
                <w:rFonts w:ascii="Calibri" w:eastAsia="Times New Roman" w:hAnsi="Calibri" w:cs="Calibri"/>
                <w:color w:val="000000"/>
                <w:lang w:eastAsia="en-GB"/>
              </w:rPr>
            </w:pPr>
            <w:r w:rsidRPr="00276006">
              <w:rPr>
                <w:rFonts w:ascii="Calibri" w:eastAsia="Times New Roman" w:hAnsi="Calibri" w:cs="Calibri"/>
                <w:color w:val="000000"/>
                <w:lang w:eastAsia="en-GB"/>
              </w:rPr>
              <w:t>58,496</w:t>
            </w:r>
          </w:p>
        </w:tc>
      </w:tr>
    </w:tbl>
    <w:p w14:paraId="1923C4F2" w14:textId="35F2CD33" w:rsidR="00C91D90" w:rsidRPr="00315300" w:rsidRDefault="00315300" w:rsidP="00D20150">
      <w:pPr>
        <w:rPr>
          <w:sz w:val="20"/>
          <w:szCs w:val="20"/>
        </w:rPr>
      </w:pPr>
      <w:r w:rsidRPr="00315300">
        <w:rPr>
          <w:sz w:val="20"/>
          <w:szCs w:val="20"/>
        </w:rPr>
        <w:t xml:space="preserve">* </w:t>
      </w:r>
      <w:proofErr w:type="gramStart"/>
      <w:r w:rsidRPr="00315300">
        <w:rPr>
          <w:sz w:val="20"/>
          <w:szCs w:val="20"/>
        </w:rPr>
        <w:t>actual</w:t>
      </w:r>
      <w:proofErr w:type="gramEnd"/>
      <w:r w:rsidRPr="00315300">
        <w:rPr>
          <w:sz w:val="20"/>
          <w:szCs w:val="20"/>
        </w:rPr>
        <w:t xml:space="preserve"> admission rate in the area multiplied by average PCN population </w:t>
      </w:r>
      <w:r w:rsidR="00CD7A67">
        <w:rPr>
          <w:sz w:val="20"/>
          <w:szCs w:val="20"/>
        </w:rPr>
        <w:t xml:space="preserve">(47,056) </w:t>
      </w:r>
      <w:r w:rsidRPr="00315300">
        <w:rPr>
          <w:sz w:val="20"/>
          <w:szCs w:val="20"/>
        </w:rPr>
        <w:t>to allow comparison</w:t>
      </w:r>
      <w:r w:rsidR="00156422">
        <w:rPr>
          <w:sz w:val="20"/>
          <w:szCs w:val="20"/>
        </w:rPr>
        <w:br/>
      </w:r>
    </w:p>
    <w:p w14:paraId="14B89438" w14:textId="73A9C78F" w:rsidR="00D20150" w:rsidRDefault="00D20150" w:rsidP="00D20150">
      <w:r>
        <w:t xml:space="preserve">This variation suggests that </w:t>
      </w:r>
      <w:r w:rsidRPr="16F14F99">
        <w:rPr>
          <w:b/>
          <w:bCs/>
        </w:rPr>
        <w:t>some PCNs experience a disproportionately higher burden of alcohol-related harm</w:t>
      </w:r>
      <w:r>
        <w:t>, which may be influenced by differences in demographics, deprivation levels, service provision, and patterns of alcohol use. Further investigation into these disparities can help inform targeted interventions to reduce alcohol-related hospitalisations and improve outcomes across the area.</w:t>
      </w:r>
    </w:p>
    <w:p w14:paraId="231CE296" w14:textId="77777777" w:rsidR="00D20150" w:rsidRPr="0063777D" w:rsidRDefault="00D20150" w:rsidP="0063777D"/>
    <w:p w14:paraId="2202F217" w14:textId="53B60CF1" w:rsidR="00431319" w:rsidRDefault="00431319" w:rsidP="00431319">
      <w:pPr>
        <w:pStyle w:val="Heading3"/>
      </w:pPr>
      <w:bookmarkStart w:id="65" w:name="_Toc200479497"/>
      <w:r>
        <w:t>Liver</w:t>
      </w:r>
      <w:r w:rsidR="004C12E6">
        <w:t xml:space="preserve"> Disease</w:t>
      </w:r>
      <w:bookmarkEnd w:id="65"/>
    </w:p>
    <w:p w14:paraId="11081548" w14:textId="55FA7CB9" w:rsidR="006A6013" w:rsidRDefault="006A6013" w:rsidP="006A6013">
      <w:r w:rsidRPr="006A6013">
        <w:t xml:space="preserve">Both </w:t>
      </w:r>
      <w:r w:rsidRPr="004B1D79">
        <w:rPr>
          <w:b/>
          <w:bCs/>
        </w:rPr>
        <w:t>drug and alcohol use are leading causes of liver disease</w:t>
      </w:r>
      <w:r w:rsidRPr="006A6013">
        <w:t>, which is a significant and preventable health burden. Chronic alcohol consumption and the misuse of certain drugs, including opioids, can cause severe liver damage. Risky behavio</w:t>
      </w:r>
      <w:r>
        <w:t>u</w:t>
      </w:r>
      <w:r w:rsidRPr="006A6013">
        <w:t xml:space="preserve">rs associated with substance use, such as injecting drugs or unsafe use habits, further exacerbate the risk of liver conditions like alcoholic hepatitis, cirrhosis, and liver failure. </w:t>
      </w:r>
    </w:p>
    <w:p w14:paraId="1E66403A" w14:textId="0252B864" w:rsidR="00B50129" w:rsidRDefault="00B50129" w:rsidP="00B50129">
      <w:r>
        <w:t>Indicators within the liver profile by OHID</w:t>
      </w:r>
      <w:r w:rsidR="0073042E">
        <w:t xml:space="preserve"> are shown in </w:t>
      </w:r>
      <w:r w:rsidR="00EC1BBF">
        <w:t>F</w:t>
      </w:r>
      <w:r w:rsidR="0073042E">
        <w:t xml:space="preserve">igure </w:t>
      </w:r>
      <w:r w:rsidR="00AA6CB5">
        <w:t>5</w:t>
      </w:r>
      <w:r w:rsidR="00DE4913">
        <w:t>.6</w:t>
      </w:r>
      <w:r w:rsidR="00EC1BBF">
        <w:t>b</w:t>
      </w:r>
      <w:r w:rsidR="0073042E">
        <w:t>, which</w:t>
      </w:r>
      <w:r>
        <w:t xml:space="preserve"> demonstrates</w:t>
      </w:r>
      <w:r w:rsidRPr="00815762">
        <w:rPr>
          <w:b/>
          <w:bCs/>
        </w:rPr>
        <w:t xml:space="preserve"> similar admission figures </w:t>
      </w:r>
      <w:r w:rsidR="00EC1BBF" w:rsidRPr="00815762">
        <w:rPr>
          <w:b/>
          <w:bCs/>
        </w:rPr>
        <w:t xml:space="preserve">in Peterborough and </w:t>
      </w:r>
      <w:r w:rsidRPr="00815762">
        <w:rPr>
          <w:b/>
          <w:bCs/>
        </w:rPr>
        <w:t>England.</w:t>
      </w:r>
      <w:r w:rsidR="007C67A2" w:rsidRPr="00815762">
        <w:rPr>
          <w:b/>
          <w:bCs/>
        </w:rPr>
        <w:t xml:space="preserve"> </w:t>
      </w:r>
      <w:r w:rsidR="009C0C34" w:rsidRPr="009C0C34">
        <w:t xml:space="preserve">However, </w:t>
      </w:r>
      <w:r w:rsidR="009C0C34" w:rsidRPr="00815762">
        <w:rPr>
          <w:b/>
          <w:bCs/>
        </w:rPr>
        <w:t>mortality</w:t>
      </w:r>
      <w:r w:rsidR="009C0C34" w:rsidRPr="009C0C34">
        <w:t xml:space="preserve"> from liver disease is statistically </w:t>
      </w:r>
      <w:r w:rsidR="009C0C34" w:rsidRPr="00815762">
        <w:rPr>
          <w:b/>
          <w:bCs/>
        </w:rPr>
        <w:t>significantly worse in Peterborough</w:t>
      </w:r>
      <w:r w:rsidR="009C0C34" w:rsidRPr="009C0C34">
        <w:t xml:space="preserve"> compared with the national average</w:t>
      </w:r>
      <w:r w:rsidR="00407755">
        <w:t>,</w:t>
      </w:r>
      <w:r w:rsidR="0073042E">
        <w:t xml:space="preserve"> when taken </w:t>
      </w:r>
      <w:r w:rsidR="0073042E" w:rsidRPr="009C0C34">
        <w:t>over a three-year range</w:t>
      </w:r>
      <w:r w:rsidR="009C0C34" w:rsidRPr="009C0C34">
        <w:t xml:space="preserve">. This highlights a sustained pattern of increasing mortality that may be </w:t>
      </w:r>
      <w:r w:rsidR="0073042E">
        <w:t xml:space="preserve">missed </w:t>
      </w:r>
      <w:r w:rsidR="009C0C34" w:rsidRPr="009C0C34">
        <w:t>in single-year analyses</w:t>
      </w:r>
      <w:r w:rsidR="00CC2E8F">
        <w:t xml:space="preserve">, </w:t>
      </w:r>
      <w:r w:rsidR="00CC2E8F" w:rsidRPr="00CC2E8F">
        <w:t>underscor</w:t>
      </w:r>
      <w:r w:rsidR="00CC2E8F">
        <w:t>ing</w:t>
      </w:r>
      <w:r w:rsidR="00CC2E8F" w:rsidRPr="00CC2E8F">
        <w:t xml:space="preserve"> the importance of ongoing monitoring and a focus on prevention, screening, and treatment efforts in the area.</w:t>
      </w:r>
    </w:p>
    <w:p w14:paraId="3CCC214E" w14:textId="0BD3F427" w:rsidR="00AF7233" w:rsidRDefault="00B50129" w:rsidP="00EC1BBF">
      <w:pPr>
        <w:pStyle w:val="Heading6"/>
      </w:pPr>
      <w:r>
        <w:t xml:space="preserve">Figure </w:t>
      </w:r>
      <w:r w:rsidR="00AA6CB5">
        <w:t>5</w:t>
      </w:r>
      <w:r w:rsidR="00EC1BBF">
        <w:t>.6b</w:t>
      </w:r>
      <w:r>
        <w:t>. Liver disease admissions for Peterborough, compared with England</w:t>
      </w:r>
    </w:p>
    <w:p w14:paraId="7E268FCA" w14:textId="59F224D9" w:rsidR="00AF7233" w:rsidRDefault="00AF7233" w:rsidP="00AF7233">
      <w:r w:rsidRPr="00BF729B">
        <w:rPr>
          <w:noProof/>
        </w:rPr>
        <w:drawing>
          <wp:inline distT="0" distB="0" distL="0" distR="0" wp14:anchorId="28672C26" wp14:editId="657F266E">
            <wp:extent cx="5730400" cy="589760"/>
            <wp:effectExtent l="0" t="0" r="3810" b="1270"/>
            <wp:docPr id="1307599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9574" name="Picture 1" descr="A screenshot of a computer&#10;&#10;Description automatically generated"/>
                    <pic:cNvPicPr/>
                  </pic:nvPicPr>
                  <pic:blipFill rotWithShape="1">
                    <a:blip r:embed="rId42"/>
                    <a:srcRect b="82760"/>
                    <a:stretch/>
                  </pic:blipFill>
                  <pic:spPr bwMode="auto">
                    <a:xfrm>
                      <a:off x="0" y="0"/>
                      <a:ext cx="5731510" cy="589874"/>
                    </a:xfrm>
                    <a:prstGeom prst="rect">
                      <a:avLst/>
                    </a:prstGeom>
                    <a:ln>
                      <a:noFill/>
                    </a:ln>
                    <a:extLst>
                      <a:ext uri="{53640926-AAD7-44D8-BBD7-CCE9431645EC}">
                        <a14:shadowObscured xmlns:a14="http://schemas.microsoft.com/office/drawing/2010/main"/>
                      </a:ext>
                    </a:extLst>
                  </pic:spPr>
                </pic:pic>
              </a:graphicData>
            </a:graphic>
          </wp:inline>
        </w:drawing>
      </w:r>
    </w:p>
    <w:p w14:paraId="0F8304EB" w14:textId="0C3CC230" w:rsidR="006A6013" w:rsidRDefault="00A31472" w:rsidP="006A6013">
      <w:r w:rsidRPr="00A31472">
        <w:rPr>
          <w:noProof/>
        </w:rPr>
        <w:lastRenderedPageBreak/>
        <w:drawing>
          <wp:inline distT="0" distB="0" distL="0" distR="0" wp14:anchorId="11F25F4B" wp14:editId="4F7CFA2B">
            <wp:extent cx="5731510" cy="2371725"/>
            <wp:effectExtent l="0" t="0" r="2540" b="9525"/>
            <wp:docPr id="1657049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49691" name="Picture 1" descr="A screenshot of a computer&#10;&#10;Description automatically generated"/>
                    <pic:cNvPicPr/>
                  </pic:nvPicPr>
                  <pic:blipFill>
                    <a:blip r:embed="rId43"/>
                    <a:stretch>
                      <a:fillRect/>
                    </a:stretch>
                  </pic:blipFill>
                  <pic:spPr>
                    <a:xfrm>
                      <a:off x="0" y="0"/>
                      <a:ext cx="5731510" cy="2371725"/>
                    </a:xfrm>
                    <a:prstGeom prst="rect">
                      <a:avLst/>
                    </a:prstGeom>
                  </pic:spPr>
                </pic:pic>
              </a:graphicData>
            </a:graphic>
          </wp:inline>
        </w:drawing>
      </w:r>
    </w:p>
    <w:p w14:paraId="361E11ED" w14:textId="77777777" w:rsidR="008402DB" w:rsidRPr="000512FD" w:rsidRDefault="008402DB" w:rsidP="008402DB">
      <w:pPr>
        <w:spacing w:line="256" w:lineRule="auto"/>
        <w:rPr>
          <w:rFonts w:ascii="Aptos" w:eastAsia="Aptos" w:hAnsi="Aptos" w:cs="Arial"/>
          <w:sz w:val="20"/>
          <w:szCs w:val="20"/>
        </w:rPr>
      </w:pPr>
      <w:r w:rsidRPr="000512FD">
        <w:rPr>
          <w:rFonts w:ascii="Aptos" w:eastAsia="Aptos" w:hAnsi="Aptos" w:cs="Arial"/>
          <w:sz w:val="20"/>
          <w:szCs w:val="20"/>
        </w:rPr>
        <w:t xml:space="preserve">Source: OHID, based on Office for National Statistics data. </w:t>
      </w:r>
    </w:p>
    <w:p w14:paraId="0AC8C859" w14:textId="77777777" w:rsidR="00ED4FD5" w:rsidRPr="00ED4FD5" w:rsidRDefault="00ED4FD5" w:rsidP="006A6013"/>
    <w:p w14:paraId="6E26CA90" w14:textId="0A1B62AE" w:rsidR="00354C61" w:rsidRDefault="00F613CE" w:rsidP="00F613CE">
      <w:pPr>
        <w:pStyle w:val="Heading3"/>
      </w:pPr>
      <w:bookmarkStart w:id="66" w:name="_Toc200479498"/>
      <w:r w:rsidRPr="00F613CE">
        <w:t xml:space="preserve">Blood-borne </w:t>
      </w:r>
      <w:r>
        <w:t>V</w:t>
      </w:r>
      <w:r w:rsidRPr="00F613CE">
        <w:t>iruses</w:t>
      </w:r>
      <w:bookmarkEnd w:id="66"/>
    </w:p>
    <w:p w14:paraId="25FBCF9A" w14:textId="6D659C37" w:rsidR="00354C61" w:rsidRDefault="00354C61" w:rsidP="00354C61">
      <w:r>
        <w:t>Blood-borne viruses (BBVs), including hepatitis B (HBV), hepatitis C (HCV), and HIV, are significant health harms associated with drug use, particularly among people who inject drugs (PWID). The UK Government is committed to the World Health Organization (WHO) goal of eliminating viral hepatitis as a major public health threat by 2030 and has also pledged to end new HIV transmissions by the same year.</w:t>
      </w:r>
    </w:p>
    <w:p w14:paraId="227AA88D" w14:textId="2A2559D6" w:rsidR="00354C61" w:rsidRDefault="00354C61" w:rsidP="00354C61">
      <w:r>
        <w:t>Monitoring BBV-related interventions through drug and alcohol treatment providers is crucial to tracking progress</w:t>
      </w:r>
      <w:r w:rsidR="00ED4FD5">
        <w:t xml:space="preserve"> for these goals</w:t>
      </w:r>
      <w:r>
        <w:t>. While diagnosis and treatment rates for HIV are improving in the general population</w:t>
      </w:r>
      <w:r w:rsidRPr="00815762">
        <w:rPr>
          <w:b/>
          <w:bCs/>
        </w:rPr>
        <w:t>, PWID experience higher rates of late diagnosis, delayed treatment, and co-infection with HCV, leading to poorer outcomes</w:t>
      </w:r>
      <w:r>
        <w:t>. In 2021, an estimated 18% of PWID in the UK were chronically infected with HCV,</w:t>
      </w:r>
      <w:r w:rsidR="00E91F45">
        <w:t xml:space="preserve"> </w:t>
      </w:r>
      <w:r>
        <w:t>and 0.2% were infected with HBV.</w:t>
      </w:r>
    </w:p>
    <w:p w14:paraId="6D5D80FD" w14:textId="0AB495BC" w:rsidR="004F609A" w:rsidRDefault="003C18D2" w:rsidP="00354C61">
      <w:r>
        <w:t xml:space="preserve">In the year ending March 2024, there were </w:t>
      </w:r>
      <w:r w:rsidR="007F7E8B" w:rsidRPr="00815762">
        <w:rPr>
          <w:b/>
          <w:bCs/>
        </w:rPr>
        <w:t>518</w:t>
      </w:r>
      <w:r w:rsidRPr="00815762">
        <w:rPr>
          <w:b/>
          <w:bCs/>
        </w:rPr>
        <w:t xml:space="preserve"> service users</w:t>
      </w:r>
      <w:r>
        <w:t xml:space="preserve"> who were either </w:t>
      </w:r>
      <w:r w:rsidRPr="00815762">
        <w:rPr>
          <w:b/>
          <w:bCs/>
        </w:rPr>
        <w:t>currently injecting, or had previously injected</w:t>
      </w:r>
      <w:r>
        <w:t xml:space="preserve"> in </w:t>
      </w:r>
      <w:r w:rsidR="0637AE7F">
        <w:t>Peterborough</w:t>
      </w:r>
      <w:r>
        <w:t xml:space="preserve"> (</w:t>
      </w:r>
      <w:r w:rsidRPr="00815762">
        <w:rPr>
          <w:b/>
          <w:bCs/>
        </w:rPr>
        <w:t>2</w:t>
      </w:r>
      <w:r w:rsidR="00150E43" w:rsidRPr="00815762">
        <w:rPr>
          <w:b/>
          <w:bCs/>
        </w:rPr>
        <w:t>9</w:t>
      </w:r>
      <w:r w:rsidRPr="00815762">
        <w:rPr>
          <w:b/>
          <w:bCs/>
        </w:rPr>
        <w:t>.</w:t>
      </w:r>
      <w:r w:rsidR="00150E43" w:rsidRPr="00815762">
        <w:rPr>
          <w:b/>
          <w:bCs/>
        </w:rPr>
        <w:t>7</w:t>
      </w:r>
      <w:r w:rsidRPr="00815762">
        <w:rPr>
          <w:b/>
          <w:bCs/>
        </w:rPr>
        <w:t>%</w:t>
      </w:r>
      <w:r>
        <w:t xml:space="preserve"> of</w:t>
      </w:r>
      <w:r w:rsidR="00E91F45">
        <w:t xml:space="preserve"> </w:t>
      </w:r>
      <w:r w:rsidR="00150E43">
        <w:t>1745</w:t>
      </w:r>
      <w:r w:rsidR="00E91F45">
        <w:t xml:space="preserve"> service users</w:t>
      </w:r>
      <w:r>
        <w:t xml:space="preserve">). </w:t>
      </w:r>
      <w:r w:rsidR="002C59C4">
        <w:t>D</w:t>
      </w:r>
      <w:r w:rsidR="00685383">
        <w:t xml:space="preserve">ata among this group shows </w:t>
      </w:r>
      <w:r w:rsidR="002C59C4">
        <w:t>that</w:t>
      </w:r>
      <w:r w:rsidR="00C17082">
        <w:t xml:space="preserve"> BBV</w:t>
      </w:r>
      <w:r w:rsidR="002C59C4">
        <w:t xml:space="preserve"> screening, testing, and treatment </w:t>
      </w:r>
      <w:r w:rsidR="00685383">
        <w:t xml:space="preserve">rates are higher than national averages; however, there remains room for improvement. </w:t>
      </w:r>
    </w:p>
    <w:p w14:paraId="3EFF441F" w14:textId="1398FE8D" w:rsidR="004F609A" w:rsidRDefault="004F609A" w:rsidP="00354C61">
      <w:r w:rsidRPr="004F609A">
        <w:t xml:space="preserve">In the year ending March 2024, </w:t>
      </w:r>
      <w:r w:rsidR="003F6537" w:rsidRPr="004D4253">
        <w:rPr>
          <w:b/>
          <w:bCs/>
        </w:rPr>
        <w:t xml:space="preserve">81% of service users </w:t>
      </w:r>
      <w:r w:rsidR="004D4253" w:rsidRPr="004D4253">
        <w:rPr>
          <w:b/>
          <w:bCs/>
        </w:rPr>
        <w:t>in Peterborough</w:t>
      </w:r>
      <w:r w:rsidR="004D4253">
        <w:t xml:space="preserve"> </w:t>
      </w:r>
      <w:r w:rsidR="003F6537">
        <w:t xml:space="preserve">had a recorded HIV status, compared with 59.5% in England overall. </w:t>
      </w:r>
      <w:r w:rsidR="003F6537" w:rsidRPr="1407AB2D">
        <w:rPr>
          <w:rFonts w:ascii="Aptos" w:eastAsia="Aptos" w:hAnsi="Aptos" w:cs="Aptos"/>
        </w:rPr>
        <w:t>For injecting service users (current or previous), this rises to 90.7% in Peterborough and 74.3% nationally.</w:t>
      </w:r>
    </w:p>
    <w:p w14:paraId="461243B6" w14:textId="1AE3A094" w:rsidR="003C18D2" w:rsidRDefault="004F609A" w:rsidP="00354C61">
      <w:r>
        <w:t xml:space="preserve">For hepatitis, </w:t>
      </w:r>
      <w:r w:rsidR="006711E8" w:rsidRPr="008B693A">
        <w:rPr>
          <w:b/>
          <w:bCs/>
        </w:rPr>
        <w:t>7</w:t>
      </w:r>
      <w:r w:rsidR="00734F8D" w:rsidRPr="008B693A">
        <w:rPr>
          <w:b/>
          <w:bCs/>
        </w:rPr>
        <w:t>.9</w:t>
      </w:r>
      <w:r w:rsidR="00685383" w:rsidRPr="008B693A">
        <w:rPr>
          <w:b/>
          <w:bCs/>
        </w:rPr>
        <w:t xml:space="preserve">% of injecting service users did not have an HCV test recorded or were not offered one, </w:t>
      </w:r>
      <w:r w:rsidR="006711E8" w:rsidRPr="008B693A">
        <w:rPr>
          <w:b/>
          <w:bCs/>
        </w:rPr>
        <w:t>whilst only 0.12</w:t>
      </w:r>
      <w:r w:rsidR="00685383" w:rsidRPr="008B693A">
        <w:rPr>
          <w:b/>
          <w:bCs/>
        </w:rPr>
        <w:t>% did not have HBV treatment recorded or offered</w:t>
      </w:r>
      <w:r w:rsidR="00635F58">
        <w:t xml:space="preserve">, as shown in </w:t>
      </w:r>
      <w:r w:rsidR="005C6497">
        <w:t>F</w:t>
      </w:r>
      <w:r w:rsidR="00635F58">
        <w:t xml:space="preserve">igure </w:t>
      </w:r>
      <w:r w:rsidR="009B773E">
        <w:t>5</w:t>
      </w:r>
      <w:r w:rsidR="005C6497">
        <w:t>.6c</w:t>
      </w:r>
      <w:r w:rsidR="00635F58">
        <w:t>.</w:t>
      </w:r>
    </w:p>
    <w:p w14:paraId="67F59A74" w14:textId="2EFA8DF2" w:rsidR="00635F58" w:rsidRDefault="00635F58" w:rsidP="005C6497">
      <w:pPr>
        <w:pStyle w:val="Heading6"/>
      </w:pPr>
      <w:r>
        <w:lastRenderedPageBreak/>
        <w:t xml:space="preserve">Figure </w:t>
      </w:r>
      <w:r w:rsidR="009B773E">
        <w:t>5</w:t>
      </w:r>
      <w:r w:rsidR="005C6497">
        <w:t>.6c.</w:t>
      </w:r>
      <w:r>
        <w:t xml:space="preserve"> HCV testing and HBV treatment in </w:t>
      </w:r>
      <w:r w:rsidR="006F45FF">
        <w:t>Peterborough</w:t>
      </w:r>
      <w:r>
        <w:t xml:space="preserve"> compared with England </w:t>
      </w:r>
      <w:r w:rsidR="00584F9E">
        <w:t>2024.</w:t>
      </w:r>
    </w:p>
    <w:p w14:paraId="690E6F5D" w14:textId="24E2B0DB" w:rsidR="00EE11A6" w:rsidRDefault="00734F8D" w:rsidP="00354C61">
      <w:r w:rsidRPr="00734F8D">
        <w:rPr>
          <w:noProof/>
        </w:rPr>
        <w:drawing>
          <wp:inline distT="0" distB="0" distL="0" distR="0" wp14:anchorId="27A78EA9" wp14:editId="3714C672">
            <wp:extent cx="5731510" cy="2801620"/>
            <wp:effectExtent l="0" t="0" r="0" b="0"/>
            <wp:docPr id="6" name="Picture 5" descr="A screenshot of a graph&#10;&#10;Description automatically generated">
              <a:extLst xmlns:a="http://schemas.openxmlformats.org/drawingml/2006/main">
                <a:ext uri="{FF2B5EF4-FFF2-40B4-BE49-F238E27FC236}">
                  <a16:creationId xmlns:a16="http://schemas.microsoft.com/office/drawing/2014/main" id="{0B9FD398-3F2E-D6F2-D45F-4A7EAD71F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raph&#10;&#10;Description automatically generated">
                      <a:extLst>
                        <a:ext uri="{FF2B5EF4-FFF2-40B4-BE49-F238E27FC236}">
                          <a16:creationId xmlns:a16="http://schemas.microsoft.com/office/drawing/2014/main" id="{0B9FD398-3F2E-D6F2-D45F-4A7EAD71F6D3}"/>
                        </a:ext>
                      </a:extLst>
                    </pic:cNvPr>
                    <pic:cNvPicPr>
                      <a:picLocks noChangeAspect="1"/>
                    </pic:cNvPicPr>
                  </pic:nvPicPr>
                  <pic:blipFill>
                    <a:blip r:embed="rId44"/>
                    <a:stretch>
                      <a:fillRect/>
                    </a:stretch>
                  </pic:blipFill>
                  <pic:spPr>
                    <a:xfrm>
                      <a:off x="0" y="0"/>
                      <a:ext cx="5731510" cy="2801620"/>
                    </a:xfrm>
                    <a:prstGeom prst="rect">
                      <a:avLst/>
                    </a:prstGeom>
                  </pic:spPr>
                </pic:pic>
              </a:graphicData>
            </a:graphic>
          </wp:inline>
        </w:drawing>
      </w:r>
    </w:p>
    <w:p w14:paraId="409DBED3" w14:textId="761D601B" w:rsidR="00155827" w:rsidRPr="00155827" w:rsidRDefault="005C6497" w:rsidP="00354C61">
      <w:pPr>
        <w:rPr>
          <w:sz w:val="18"/>
          <w:szCs w:val="18"/>
        </w:rPr>
      </w:pPr>
      <w:r>
        <w:rPr>
          <w:sz w:val="18"/>
          <w:szCs w:val="18"/>
        </w:rPr>
        <w:t xml:space="preserve">Sources: NDTMS </w:t>
      </w:r>
      <w:r w:rsidR="008402DB">
        <w:rPr>
          <w:sz w:val="18"/>
          <w:szCs w:val="18"/>
        </w:rPr>
        <w:t>d</w:t>
      </w:r>
      <w:r>
        <w:rPr>
          <w:sz w:val="18"/>
          <w:szCs w:val="18"/>
        </w:rPr>
        <w:t>ata.</w:t>
      </w:r>
    </w:p>
    <w:p w14:paraId="18564DA9" w14:textId="77777777" w:rsidR="004E77F3" w:rsidRDefault="004E77F3" w:rsidP="00354C61"/>
    <w:p w14:paraId="406A73B0" w14:textId="27325EC0" w:rsidR="009908B6" w:rsidRDefault="009908B6" w:rsidP="009908B6">
      <w:pPr>
        <w:pStyle w:val="Heading3"/>
      </w:pPr>
      <w:bookmarkStart w:id="67" w:name="_Toc200479499"/>
      <w:r>
        <w:t>Recommendations</w:t>
      </w:r>
      <w:bookmarkEnd w:id="67"/>
    </w:p>
    <w:p w14:paraId="3CC2DB11" w14:textId="356947F5" w:rsidR="009908B6" w:rsidRDefault="009908B6" w:rsidP="009908B6">
      <w:pPr>
        <w:pStyle w:val="Heading7"/>
      </w:pPr>
      <w:r>
        <w:t xml:space="preserve">Recommendation </w:t>
      </w:r>
      <w:r w:rsidR="00636FFC">
        <w:t>9</w:t>
      </w:r>
    </w:p>
    <w:p w14:paraId="70A72217" w14:textId="2840D866" w:rsidR="00677A58" w:rsidRDefault="00F315F3" w:rsidP="005A7CD7">
      <w:r>
        <w:t xml:space="preserve">Further understanding of </w:t>
      </w:r>
      <w:r w:rsidR="00677A58" w:rsidRPr="00677A58">
        <w:t>Primary Care Networks (PCNs) with high hospital admissions related to substance use</w:t>
      </w:r>
      <w:r>
        <w:t xml:space="preserve"> may identify </w:t>
      </w:r>
      <w:r w:rsidR="00677A58" w:rsidRPr="00677A58">
        <w:t xml:space="preserve">opportunities for enhanced support in primary care settings. </w:t>
      </w:r>
    </w:p>
    <w:p w14:paraId="13E60AF9" w14:textId="0A3FA886" w:rsidR="00FA4B0C" w:rsidRDefault="00FA4B0C" w:rsidP="00D47303">
      <w:pPr>
        <w:pStyle w:val="Heading7"/>
      </w:pPr>
      <w:r>
        <w:t xml:space="preserve">Recommendation </w:t>
      </w:r>
      <w:r w:rsidR="00636FFC">
        <w:t>10</w:t>
      </w:r>
    </w:p>
    <w:p w14:paraId="0EC07B7E" w14:textId="4D98521A" w:rsidR="00057C25" w:rsidRDefault="00A014FA" w:rsidP="00062318">
      <w:r>
        <w:t>To s</w:t>
      </w:r>
      <w:r w:rsidR="000F0C6A" w:rsidRPr="000F0C6A">
        <w:t>ustain progress in blood-borne virus (BBV) testing and treatment</w:t>
      </w:r>
      <w:r>
        <w:t xml:space="preserve">, services should </w:t>
      </w:r>
      <w:r w:rsidR="000F0C6A" w:rsidRPr="000F0C6A">
        <w:t xml:space="preserve">address barriers faced by </w:t>
      </w:r>
      <w:r w:rsidR="00C77F4A">
        <w:t xml:space="preserve">individuals who are </w:t>
      </w:r>
      <w:r w:rsidR="000F0C6A" w:rsidRPr="000F0C6A">
        <w:t>not engaging.</w:t>
      </w:r>
      <w:r w:rsidR="00262350">
        <w:t xml:space="preserve"> </w:t>
      </w:r>
      <w:r w:rsidR="00CF7CB2">
        <w:t xml:space="preserve">Key considerations for </w:t>
      </w:r>
      <w:r w:rsidR="004B5722">
        <w:t>achiev</w:t>
      </w:r>
      <w:r w:rsidR="00CF7CB2">
        <w:t>ing</w:t>
      </w:r>
      <w:r w:rsidR="004B5722">
        <w:t xml:space="preserve"> this </w:t>
      </w:r>
      <w:r w:rsidR="009426FC">
        <w:t>include</w:t>
      </w:r>
      <w:r w:rsidR="00CF7CB2">
        <w:t>:</w:t>
      </w:r>
    </w:p>
    <w:p w14:paraId="6D045CA5" w14:textId="537B4C8F" w:rsidR="00057C25" w:rsidRDefault="00E97246" w:rsidP="00057C25">
      <w:pPr>
        <w:pStyle w:val="ListParagraph"/>
        <w:numPr>
          <w:ilvl w:val="0"/>
          <w:numId w:val="1"/>
        </w:numPr>
      </w:pPr>
      <w:r>
        <w:t>A d</w:t>
      </w:r>
      <w:r w:rsidR="00365607">
        <w:t xml:space="preserve">esignated </w:t>
      </w:r>
      <w:r w:rsidR="00194B87">
        <w:t xml:space="preserve">role of </w:t>
      </w:r>
      <w:r w:rsidR="00137C99">
        <w:t>BBV champion</w:t>
      </w:r>
      <w:r w:rsidR="000868EA">
        <w:t xml:space="preserve"> and harm reduction lead</w:t>
      </w:r>
      <w:r w:rsidR="00CC38F4">
        <w:t xml:space="preserve"> </w:t>
      </w:r>
      <w:r w:rsidR="001004F8">
        <w:t>within the service</w:t>
      </w:r>
      <w:r w:rsidR="00046CF5">
        <w:t>.</w:t>
      </w:r>
    </w:p>
    <w:p w14:paraId="7CEE8F48" w14:textId="6E21C2D7" w:rsidR="00057C25" w:rsidRDefault="001004F8" w:rsidP="00057C25">
      <w:pPr>
        <w:pStyle w:val="ListParagraph"/>
        <w:numPr>
          <w:ilvl w:val="0"/>
          <w:numId w:val="1"/>
        </w:numPr>
      </w:pPr>
      <w:r>
        <w:t>E</w:t>
      </w:r>
      <w:r w:rsidR="00CC38F4">
        <w:t xml:space="preserve">nsuring </w:t>
      </w:r>
      <w:r>
        <w:t xml:space="preserve">that </w:t>
      </w:r>
      <w:r w:rsidR="00F26CF2">
        <w:t>BBV test</w:t>
      </w:r>
      <w:r>
        <w:t>ing</w:t>
      </w:r>
      <w:r w:rsidR="00F26CF2">
        <w:t xml:space="preserve"> and treat</w:t>
      </w:r>
      <w:r>
        <w:t>ment</w:t>
      </w:r>
      <w:r w:rsidR="00F26CF2">
        <w:t xml:space="preserve"> </w:t>
      </w:r>
      <w:r w:rsidR="00C33489" w:rsidRPr="00C33489">
        <w:t>are considered the responsibility of all staff, supported by standardised training and learning.</w:t>
      </w:r>
      <w:r w:rsidR="00F26CF2">
        <w:t xml:space="preserve"> </w:t>
      </w:r>
    </w:p>
    <w:p w14:paraId="5FF8C27C" w14:textId="78117761" w:rsidR="00057C25" w:rsidRDefault="004C1729" w:rsidP="00057C25">
      <w:pPr>
        <w:pStyle w:val="ListParagraph"/>
        <w:numPr>
          <w:ilvl w:val="0"/>
          <w:numId w:val="1"/>
        </w:numPr>
      </w:pPr>
      <w:r>
        <w:t xml:space="preserve">Ensuring that </w:t>
      </w:r>
      <w:r w:rsidRPr="004C1729">
        <w:t xml:space="preserve">routine screening at treatment entry </w:t>
      </w:r>
      <w:r w:rsidR="008742DD">
        <w:t>is</w:t>
      </w:r>
      <w:r w:rsidRPr="004C1729">
        <w:t xml:space="preserve"> standard practice, along with opportunistic offers and, where appropriate, opt-out testing.</w:t>
      </w:r>
    </w:p>
    <w:p w14:paraId="60CE2EBF" w14:textId="23778375" w:rsidR="00057C25" w:rsidRDefault="001E0E52" w:rsidP="00057C25">
      <w:pPr>
        <w:pStyle w:val="ListParagraph"/>
        <w:numPr>
          <w:ilvl w:val="0"/>
          <w:numId w:val="1"/>
        </w:numPr>
      </w:pPr>
      <w:r>
        <w:t xml:space="preserve">Increasing </w:t>
      </w:r>
      <w:r w:rsidR="00512D1C">
        <w:t>promotion</w:t>
      </w:r>
      <w:r w:rsidR="001B6B08">
        <w:t xml:space="preserve">al </w:t>
      </w:r>
      <w:r w:rsidR="008E5C0B">
        <w:t xml:space="preserve">activities </w:t>
      </w:r>
      <w:r w:rsidR="001B6B08">
        <w:t>and</w:t>
      </w:r>
      <w:r w:rsidR="00512D1C">
        <w:t xml:space="preserve"> </w:t>
      </w:r>
      <w:r w:rsidR="005D429B">
        <w:t>test and treat events</w:t>
      </w:r>
      <w:r w:rsidR="00D945BA">
        <w:t xml:space="preserve">. </w:t>
      </w:r>
    </w:p>
    <w:p w14:paraId="2E22682A" w14:textId="00AF8622" w:rsidR="00057C25" w:rsidRDefault="00962369" w:rsidP="00057C25">
      <w:pPr>
        <w:pStyle w:val="ListParagraph"/>
        <w:numPr>
          <w:ilvl w:val="0"/>
          <w:numId w:val="1"/>
        </w:numPr>
      </w:pPr>
      <w:r>
        <w:t>Maintaining a strong focus on h</w:t>
      </w:r>
      <w:r w:rsidR="00D945BA">
        <w:t xml:space="preserve">arm reduction and </w:t>
      </w:r>
      <w:r w:rsidR="00B72085">
        <w:t>needle exchange programmes</w:t>
      </w:r>
      <w:r w:rsidR="00062318">
        <w:t xml:space="preserve">. </w:t>
      </w:r>
    </w:p>
    <w:p w14:paraId="7EA25D05" w14:textId="1D24600D" w:rsidR="00057C25" w:rsidRDefault="00B74D42" w:rsidP="00057C25">
      <w:pPr>
        <w:pStyle w:val="ListParagraph"/>
        <w:numPr>
          <w:ilvl w:val="0"/>
          <w:numId w:val="1"/>
        </w:numPr>
      </w:pPr>
      <w:r>
        <w:t xml:space="preserve">Ensuring </w:t>
      </w:r>
      <w:r w:rsidR="00D9125E">
        <w:t>r</w:t>
      </w:r>
      <w:r w:rsidR="002F76C5">
        <w:t>eporting structure</w:t>
      </w:r>
      <w:r w:rsidR="00D9125E">
        <w:t>s</w:t>
      </w:r>
      <w:r w:rsidR="002F76C5">
        <w:t xml:space="preserve"> </w:t>
      </w:r>
      <w:r w:rsidR="00062318">
        <w:t>includ</w:t>
      </w:r>
      <w:r w:rsidR="00D9125E">
        <w:t>e</w:t>
      </w:r>
      <w:r w:rsidR="00062318">
        <w:t xml:space="preserve"> </w:t>
      </w:r>
      <w:r w:rsidR="00184511">
        <w:t>Hepatitis C virus (</w:t>
      </w:r>
      <w:r w:rsidR="007F43C3">
        <w:t>HCV</w:t>
      </w:r>
      <w:r w:rsidR="00184511">
        <w:t>)</w:t>
      </w:r>
      <w:r w:rsidR="007F43C3">
        <w:t xml:space="preserve"> </w:t>
      </w:r>
      <w:proofErr w:type="spellStart"/>
      <w:r w:rsidR="007F43C3">
        <w:t>microelimination</w:t>
      </w:r>
      <w:proofErr w:type="spellEnd"/>
      <w:r w:rsidR="007F43C3">
        <w:t xml:space="preserve"> criteria</w:t>
      </w:r>
      <w:r w:rsidR="003C5F72">
        <w:t>.</w:t>
      </w:r>
    </w:p>
    <w:p w14:paraId="1155B43C" w14:textId="7475467B" w:rsidR="005A7CD7" w:rsidRDefault="00944BA5" w:rsidP="00057C25">
      <w:pPr>
        <w:pStyle w:val="ListParagraph"/>
        <w:numPr>
          <w:ilvl w:val="0"/>
          <w:numId w:val="1"/>
        </w:numPr>
      </w:pPr>
      <w:r>
        <w:t xml:space="preserve">Strong </w:t>
      </w:r>
      <w:r w:rsidR="00F92E5A">
        <w:t xml:space="preserve">links with </w:t>
      </w:r>
      <w:r w:rsidR="00EF590D">
        <w:t>NHS</w:t>
      </w:r>
      <w:r w:rsidR="00DA0BEF">
        <w:t xml:space="preserve"> services (e.g. hepatology</w:t>
      </w:r>
      <w:r>
        <w:t>, infectious disease</w:t>
      </w:r>
      <w:r w:rsidR="00DA0BEF">
        <w:t>)</w:t>
      </w:r>
      <w:r w:rsidR="006441C2">
        <w:t>.</w:t>
      </w:r>
      <w:r w:rsidR="000F0C6A" w:rsidRPr="000F0C6A">
        <w:t xml:space="preserve"> </w:t>
      </w:r>
    </w:p>
    <w:p w14:paraId="6281FF1C" w14:textId="77777777" w:rsidR="005A7CD7" w:rsidRDefault="005A7CD7" w:rsidP="009A779F">
      <w:pPr>
        <w:pStyle w:val="Heading2"/>
        <w:sectPr w:rsidR="005A7CD7">
          <w:pgSz w:w="11906" w:h="16838"/>
          <w:pgMar w:top="1440" w:right="1440" w:bottom="1440" w:left="1440" w:header="708" w:footer="708" w:gutter="0"/>
          <w:cols w:space="708"/>
          <w:docGrid w:linePitch="360"/>
        </w:sectPr>
      </w:pPr>
    </w:p>
    <w:p w14:paraId="5B91F48C" w14:textId="43742B6D" w:rsidR="007B301D" w:rsidRDefault="001F3A41" w:rsidP="009A779F">
      <w:pPr>
        <w:pStyle w:val="Heading2"/>
      </w:pPr>
      <w:bookmarkStart w:id="68" w:name="_Toc200479500"/>
      <w:r>
        <w:lastRenderedPageBreak/>
        <w:t xml:space="preserve">Peterborough; </w:t>
      </w:r>
      <w:r w:rsidR="00137CD6">
        <w:t>Intersecting Vulnerabilities</w:t>
      </w:r>
      <w:bookmarkEnd w:id="68"/>
    </w:p>
    <w:p w14:paraId="7A41216A" w14:textId="3D2F6044" w:rsidR="0096586B" w:rsidRDefault="0096586B" w:rsidP="0096586B">
      <w:r>
        <w:t xml:space="preserve">As highlighted above, </w:t>
      </w:r>
      <w:r w:rsidR="00FE5D3E">
        <w:t>(</w:t>
      </w:r>
      <w:r w:rsidR="009B773E">
        <w:t>S</w:t>
      </w:r>
      <w:r w:rsidR="00FE5D3E">
        <w:t xml:space="preserve">ection </w:t>
      </w:r>
      <w:r w:rsidR="009B773E">
        <w:t>4</w:t>
      </w:r>
      <w:r w:rsidR="00FE5D3E">
        <w:t xml:space="preserve">.4) some people within our </w:t>
      </w:r>
      <w:r w:rsidRPr="00D07802">
        <w:t xml:space="preserve">population </w:t>
      </w:r>
      <w:r>
        <w:t xml:space="preserve">are </w:t>
      </w:r>
      <w:r w:rsidRPr="008B693A">
        <w:rPr>
          <w:b/>
          <w:bCs/>
        </w:rPr>
        <w:t>disproportionately affected</w:t>
      </w:r>
      <w:r w:rsidRPr="00971A96">
        <w:t xml:space="preserve"> by drug/alcohol-related harms due to systemic inequalities and personal circumstances.</w:t>
      </w:r>
      <w:r w:rsidRPr="00D07802">
        <w:t xml:space="preserve"> </w:t>
      </w:r>
      <w:r w:rsidR="00FE5D3E">
        <w:t>This section</w:t>
      </w:r>
      <w:r w:rsidR="00B61C6E">
        <w:t xml:space="preserve"> presents local data to increase understanding</w:t>
      </w:r>
      <w:r w:rsidR="00BE5DEB">
        <w:t xml:space="preserve"> </w:t>
      </w:r>
      <w:r w:rsidR="00BE5DEB" w:rsidRPr="00BE5DEB">
        <w:t xml:space="preserve">of </w:t>
      </w:r>
      <w:r w:rsidR="00BE5DEB">
        <w:t>any</w:t>
      </w:r>
      <w:r w:rsidR="00BE5DEB" w:rsidRPr="00BE5DEB">
        <w:t xml:space="preserve"> disparities</w:t>
      </w:r>
      <w:r w:rsidR="00BE5DEB">
        <w:t xml:space="preserve"> </w:t>
      </w:r>
      <w:r w:rsidR="005A56E1">
        <w:t>amongst these group to inform intervention targeting and allocation of resources.</w:t>
      </w:r>
    </w:p>
    <w:p w14:paraId="7ECD0DAB" w14:textId="77777777" w:rsidR="009B773E" w:rsidRDefault="009B773E" w:rsidP="0096586B"/>
    <w:p w14:paraId="18017862" w14:textId="725A95AD" w:rsidR="00CF0EA3" w:rsidRDefault="00CF0EA3" w:rsidP="00CF0EA3">
      <w:pPr>
        <w:pStyle w:val="Heading3"/>
      </w:pPr>
      <w:bookmarkStart w:id="69" w:name="_Toc200479501"/>
      <w:r>
        <w:t>Mental Health/ Co-occurring Conditions</w:t>
      </w:r>
      <w:bookmarkEnd w:id="69"/>
    </w:p>
    <w:p w14:paraId="0B7404F9" w14:textId="4F690055" w:rsidR="00CF0EA3" w:rsidRDefault="005A392A" w:rsidP="00CF0EA3">
      <w:r>
        <w:t xml:space="preserve">As established in the evidence review (see </w:t>
      </w:r>
      <w:r w:rsidR="004242E2">
        <w:t>S</w:t>
      </w:r>
      <w:r>
        <w:t xml:space="preserve">ection </w:t>
      </w:r>
      <w:r w:rsidR="004242E2">
        <w:t>7.2), p</w:t>
      </w:r>
      <w:r w:rsidR="00CF0EA3">
        <w:t>eople who have</w:t>
      </w:r>
      <w:r w:rsidR="00096F2E">
        <w:t xml:space="preserve"> </w:t>
      </w:r>
      <w:r w:rsidR="00096F2E" w:rsidRPr="00894290">
        <w:rPr>
          <w:b/>
          <w:bCs/>
        </w:rPr>
        <w:t>both</w:t>
      </w:r>
      <w:r w:rsidR="00CF0EA3" w:rsidRPr="00894290">
        <w:rPr>
          <w:b/>
          <w:bCs/>
        </w:rPr>
        <w:t xml:space="preserve"> mental illness and substance misuse</w:t>
      </w:r>
      <w:r w:rsidR="00CF0EA3">
        <w:t xml:space="preserve"> are at risk of poorer outcomes than people who have either mental illness or substance misuse alone. </w:t>
      </w:r>
      <w:r w:rsidR="00BB64A9" w:rsidRPr="00BB64A9">
        <w:t>NICE guidelines (e.g</w:t>
      </w:r>
      <w:r w:rsidR="00BB64A9" w:rsidRPr="00E76BAA">
        <w:t xml:space="preserve">. </w:t>
      </w:r>
      <w:r w:rsidR="00E76BAA" w:rsidRPr="00E76BAA">
        <w:t>CG120,</w:t>
      </w:r>
      <w:r w:rsidR="00E76BAA">
        <w:rPr>
          <w:b/>
          <w:bCs/>
        </w:rPr>
        <w:t xml:space="preserve"> </w:t>
      </w:r>
      <w:r w:rsidR="000D25FB">
        <w:t>QS23</w:t>
      </w:r>
      <w:r w:rsidR="00BB64A9" w:rsidRPr="00BB64A9">
        <w:t xml:space="preserve">) </w:t>
      </w:r>
      <w:r w:rsidR="00CF0EA3">
        <w:t xml:space="preserve">advises that substance misuse must be identified in people attending mental health services </w:t>
      </w:r>
      <w:proofErr w:type="gramStart"/>
      <w:r w:rsidR="00CF0EA3">
        <w:t>in order for</w:t>
      </w:r>
      <w:proofErr w:type="gramEnd"/>
      <w:r w:rsidR="00CF0EA3">
        <w:t xml:space="preserve"> effective </w:t>
      </w:r>
      <w:r w:rsidR="00CF0EA3" w:rsidRPr="00CD152B">
        <w:t>tailored care and treatment plans</w:t>
      </w:r>
      <w:r w:rsidR="00CF0EA3">
        <w:t xml:space="preserve"> to be put in place. Similarly, attendance to substance misuse services present an opportunity </w:t>
      </w:r>
      <w:r w:rsidR="00CF0EA3" w:rsidRPr="00CA29BA">
        <w:t>to identify and address underlying mental health conditions. Coordinated care between mental health and substance misuse services is essential to improve outcomes, as untreated mental health issues can exacerbate substance use, and vice versa. Effective collaboration ensures that individuals receive comprehensive, person-centred support tailored to their complex needs.</w:t>
      </w:r>
    </w:p>
    <w:p w14:paraId="243DDAAB" w14:textId="24AD7DDA" w:rsidR="001501A9" w:rsidRDefault="00CF0EA3" w:rsidP="00CF0EA3">
      <w:r>
        <w:t xml:space="preserve">A </w:t>
      </w:r>
      <w:r w:rsidRPr="0053069C">
        <w:rPr>
          <w:b/>
          <w:bCs/>
        </w:rPr>
        <w:t xml:space="preserve">high proportion of people in treatment for </w:t>
      </w:r>
      <w:r w:rsidR="001501A9" w:rsidRPr="0053069C">
        <w:rPr>
          <w:b/>
          <w:bCs/>
        </w:rPr>
        <w:t>substances</w:t>
      </w:r>
      <w:r w:rsidR="00BB0F85" w:rsidRPr="0053069C">
        <w:rPr>
          <w:b/>
          <w:bCs/>
        </w:rPr>
        <w:t xml:space="preserve"> in Peterborough have co-occurring mental health needs</w:t>
      </w:r>
      <w:r w:rsidR="00BB0F85">
        <w:t>.</w:t>
      </w:r>
      <w:r w:rsidR="00BB0F85" w:rsidRPr="00BB0F85">
        <w:t xml:space="preserve"> </w:t>
      </w:r>
      <w:r w:rsidR="00BB0F85">
        <w:t xml:space="preserve">In the year </w:t>
      </w:r>
      <w:r w:rsidR="00BE3001">
        <w:t xml:space="preserve">ending </w:t>
      </w:r>
      <w:r w:rsidR="00BB0F85">
        <w:t xml:space="preserve">March 2024, </w:t>
      </w:r>
      <w:proofErr w:type="gramStart"/>
      <w:r w:rsidR="00322179">
        <w:t>1253</w:t>
      </w:r>
      <w:proofErr w:type="gramEnd"/>
      <w:r w:rsidR="00BB0F85">
        <w:t xml:space="preserve"> service users had mental health need, </w:t>
      </w:r>
      <w:r w:rsidR="00BB0F85" w:rsidRPr="0053069C">
        <w:rPr>
          <w:b/>
          <w:bCs/>
        </w:rPr>
        <w:t>7</w:t>
      </w:r>
      <w:r w:rsidR="00DE36B5" w:rsidRPr="0053069C">
        <w:rPr>
          <w:b/>
          <w:bCs/>
        </w:rPr>
        <w:t>0</w:t>
      </w:r>
      <w:r w:rsidR="00BB0F85" w:rsidRPr="0053069C">
        <w:rPr>
          <w:b/>
          <w:bCs/>
        </w:rPr>
        <w:t>.</w:t>
      </w:r>
      <w:r w:rsidR="00DE36B5" w:rsidRPr="0053069C">
        <w:rPr>
          <w:b/>
          <w:bCs/>
        </w:rPr>
        <w:t>8</w:t>
      </w:r>
      <w:r w:rsidR="00BB0F85" w:rsidRPr="0053069C">
        <w:rPr>
          <w:b/>
          <w:bCs/>
        </w:rPr>
        <w:t>% of those in treatment</w:t>
      </w:r>
      <w:r w:rsidR="00BB0F85">
        <w:t xml:space="preserve">. This is </w:t>
      </w:r>
      <w:proofErr w:type="gramStart"/>
      <w:r w:rsidR="00873DC1">
        <w:t>similar</w:t>
      </w:r>
      <w:r w:rsidR="00BB0F85">
        <w:t xml:space="preserve"> to</w:t>
      </w:r>
      <w:proofErr w:type="gramEnd"/>
      <w:r w:rsidR="00BB0F85">
        <w:t xml:space="preserve"> the national average of </w:t>
      </w:r>
      <w:r w:rsidR="00873DC1">
        <w:t>73</w:t>
      </w:r>
      <w:r w:rsidR="00BB0F85">
        <w:t>%.</w:t>
      </w:r>
    </w:p>
    <w:p w14:paraId="23E5C058" w14:textId="44BB3079" w:rsidR="00A929B0" w:rsidRDefault="00A929B0" w:rsidP="00CF0EA3">
      <w:r w:rsidRPr="00A929B0">
        <w:t>‘Unmet’ mental health need refers to individuals who are recorded as not receiving or having declined mental health treatment. This indicates a gap in access to or engagement with appropriate mental health support</w:t>
      </w:r>
      <w:r>
        <w:t xml:space="preserve">. </w:t>
      </w:r>
      <w:r w:rsidR="003176AD">
        <w:t xml:space="preserve">In the year ending March 2024, </w:t>
      </w:r>
      <w:r w:rsidR="003176AD" w:rsidRPr="0053069C">
        <w:rPr>
          <w:b/>
          <w:bCs/>
        </w:rPr>
        <w:t xml:space="preserve">unmet mental health need for those in treatment was </w:t>
      </w:r>
      <w:r w:rsidR="00E37D84" w:rsidRPr="0053069C">
        <w:rPr>
          <w:b/>
          <w:bCs/>
        </w:rPr>
        <w:t>18.9</w:t>
      </w:r>
      <w:r w:rsidR="003176AD" w:rsidRPr="0053069C">
        <w:rPr>
          <w:b/>
          <w:bCs/>
        </w:rPr>
        <w:t>%</w:t>
      </w:r>
      <w:r w:rsidR="003176AD">
        <w:t xml:space="preserve"> in Peterborough. This is </w:t>
      </w:r>
      <w:r w:rsidR="00E37D84">
        <w:t>slightly higher tha</w:t>
      </w:r>
      <w:r w:rsidR="00AF0309">
        <w:t>n</w:t>
      </w:r>
      <w:r w:rsidR="003176AD">
        <w:t xml:space="preserve"> the national average of</w:t>
      </w:r>
      <w:r w:rsidR="00E37D84">
        <w:t xml:space="preserve"> 16.1</w:t>
      </w:r>
      <w:r w:rsidR="003176AD">
        <w:t>%.</w:t>
      </w:r>
    </w:p>
    <w:p w14:paraId="406E1DD5" w14:textId="36474EBC" w:rsidR="00CF0EA3" w:rsidRDefault="00CF0EA3" w:rsidP="00AF0309">
      <w:r>
        <w:t xml:space="preserve">The demographic breakdown of mental health need and unmet need is shown in </w:t>
      </w:r>
      <w:r w:rsidR="001F732F">
        <w:t>F</w:t>
      </w:r>
      <w:r>
        <w:t xml:space="preserve">igure </w:t>
      </w:r>
      <w:r w:rsidR="00451BAF">
        <w:t>5</w:t>
      </w:r>
      <w:r w:rsidR="00F56DC5">
        <w:t>.</w:t>
      </w:r>
      <w:r w:rsidR="001F732F">
        <w:t>7a</w:t>
      </w:r>
      <w:r>
        <w:t xml:space="preserve">, demonstrating that </w:t>
      </w:r>
      <w:r w:rsidRPr="004575E5">
        <w:rPr>
          <w:b/>
          <w:bCs/>
        </w:rPr>
        <w:t>females have a higher relative mental health need, whilst males have higher unmet need</w:t>
      </w:r>
      <w:r>
        <w:t>. Unmet mental health need is higher in younger adults.</w:t>
      </w:r>
    </w:p>
    <w:p w14:paraId="5B7B429A" w14:textId="031C4BA7" w:rsidR="00CF0EA3" w:rsidRDefault="00CF0EA3" w:rsidP="001F732F">
      <w:pPr>
        <w:pStyle w:val="Heading6"/>
        <w:rPr>
          <w:noProof/>
        </w:rPr>
      </w:pPr>
      <w:r>
        <w:lastRenderedPageBreak/>
        <w:t xml:space="preserve">Figure </w:t>
      </w:r>
      <w:r w:rsidR="00451BAF">
        <w:t>5</w:t>
      </w:r>
      <w:r w:rsidR="001F732F">
        <w:t>.7a</w:t>
      </w:r>
      <w:r>
        <w:t>.</w:t>
      </w:r>
      <w:r w:rsidR="001F732F">
        <w:t xml:space="preserve"> Mental health of service users in Peterborough</w:t>
      </w:r>
      <w:r w:rsidR="001B4911">
        <w:t xml:space="preserve"> by demographics</w:t>
      </w:r>
      <w:r w:rsidR="001F732F">
        <w:t>.</w:t>
      </w:r>
    </w:p>
    <w:p w14:paraId="135166C7" w14:textId="4C3B4262" w:rsidR="0051360F" w:rsidRDefault="00DE36B5" w:rsidP="00CF0EA3">
      <w:r w:rsidRPr="00DE36B5">
        <w:rPr>
          <w:noProof/>
        </w:rPr>
        <w:drawing>
          <wp:inline distT="0" distB="0" distL="0" distR="0" wp14:anchorId="186E9174" wp14:editId="78800367">
            <wp:extent cx="5731510" cy="3493135"/>
            <wp:effectExtent l="0" t="0" r="2540" b="0"/>
            <wp:docPr id="22" name="Picture 21" descr="A graph of a person with different colored bars&#10;&#10;Description automatically generated with medium confidence">
              <a:extLst xmlns:a="http://schemas.openxmlformats.org/drawingml/2006/main">
                <a:ext uri="{FF2B5EF4-FFF2-40B4-BE49-F238E27FC236}">
                  <a16:creationId xmlns:a16="http://schemas.microsoft.com/office/drawing/2014/main" id="{239E3724-1C15-62BC-BE22-83EA1D0D1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graph of a person with different colored bars&#10;&#10;Description automatically generated with medium confidence">
                      <a:extLst>
                        <a:ext uri="{FF2B5EF4-FFF2-40B4-BE49-F238E27FC236}">
                          <a16:creationId xmlns:a16="http://schemas.microsoft.com/office/drawing/2014/main" id="{239E3724-1C15-62BC-BE22-83EA1D0D1C66}"/>
                        </a:ext>
                      </a:extLst>
                    </pic:cNvPr>
                    <pic:cNvPicPr>
                      <a:picLocks noChangeAspect="1"/>
                    </pic:cNvPicPr>
                  </pic:nvPicPr>
                  <pic:blipFill>
                    <a:blip r:embed="rId45"/>
                    <a:stretch>
                      <a:fillRect/>
                    </a:stretch>
                  </pic:blipFill>
                  <pic:spPr>
                    <a:xfrm>
                      <a:off x="0" y="0"/>
                      <a:ext cx="5731510" cy="3493135"/>
                    </a:xfrm>
                    <a:prstGeom prst="rect">
                      <a:avLst/>
                    </a:prstGeom>
                  </pic:spPr>
                </pic:pic>
              </a:graphicData>
            </a:graphic>
          </wp:inline>
        </w:drawing>
      </w:r>
    </w:p>
    <w:p w14:paraId="22B70010" w14:textId="03D78DC6" w:rsidR="00CF0EA3" w:rsidRDefault="001F732F" w:rsidP="00CF0EA3">
      <w:r>
        <w:rPr>
          <w:sz w:val="18"/>
          <w:szCs w:val="18"/>
        </w:rPr>
        <w:t xml:space="preserve">Source: NDTMS </w:t>
      </w:r>
      <w:r w:rsidR="008402DB">
        <w:rPr>
          <w:sz w:val="18"/>
          <w:szCs w:val="18"/>
        </w:rPr>
        <w:t>d</w:t>
      </w:r>
      <w:r>
        <w:rPr>
          <w:sz w:val="18"/>
          <w:szCs w:val="18"/>
        </w:rPr>
        <w:t>ata.</w:t>
      </w:r>
    </w:p>
    <w:p w14:paraId="618A31CA" w14:textId="5CD9D756" w:rsidR="00CF0EA3" w:rsidRDefault="00CF0EA3" w:rsidP="00CF0EA3">
      <w:r>
        <w:t xml:space="preserve">Unmet need </w:t>
      </w:r>
      <w:r w:rsidRPr="005F02B4">
        <w:rPr>
          <w:b/>
          <w:bCs/>
        </w:rPr>
        <w:t>varies according to substance used</w:t>
      </w:r>
      <w:r>
        <w:t xml:space="preserve">, with the highest levels in those using </w:t>
      </w:r>
      <w:r w:rsidR="00585C93">
        <w:t>crack</w:t>
      </w:r>
      <w:r>
        <w:t>, at 3</w:t>
      </w:r>
      <w:r w:rsidR="00585C93">
        <w:t>1.4</w:t>
      </w:r>
      <w:r>
        <w:t xml:space="preserve">%, and the lowest in those using opiates, at </w:t>
      </w:r>
      <w:r w:rsidR="006E18DA">
        <w:t>8.5</w:t>
      </w:r>
      <w:r>
        <w:t xml:space="preserve">%. This is shown in </w:t>
      </w:r>
      <w:r w:rsidR="008253DC">
        <w:t>F</w:t>
      </w:r>
      <w:r>
        <w:t xml:space="preserve">igure </w:t>
      </w:r>
      <w:r w:rsidR="00222803">
        <w:t>5</w:t>
      </w:r>
      <w:r w:rsidR="001B4911">
        <w:t>.7b</w:t>
      </w:r>
      <w:r>
        <w:t>.</w:t>
      </w:r>
    </w:p>
    <w:p w14:paraId="0DA4F345" w14:textId="69398F6E" w:rsidR="00CF0EA3" w:rsidRDefault="00CF0EA3" w:rsidP="001B4911">
      <w:pPr>
        <w:pStyle w:val="Heading6"/>
        <w:rPr>
          <w:noProof/>
        </w:rPr>
      </w:pPr>
      <w:r w:rsidRPr="008F718C">
        <w:t xml:space="preserve">Figure </w:t>
      </w:r>
      <w:r w:rsidR="00222803">
        <w:t>5</w:t>
      </w:r>
      <w:r w:rsidR="001B4911">
        <w:t>.7b</w:t>
      </w:r>
      <w:r w:rsidRPr="008F718C">
        <w:t xml:space="preserve">. </w:t>
      </w:r>
      <w:r w:rsidR="001B4911">
        <w:t>Mental health of service users in Peterborough by substance type</w:t>
      </w:r>
      <w:r w:rsidRPr="008F718C">
        <w:t>.</w:t>
      </w:r>
    </w:p>
    <w:p w14:paraId="7FB3C775" w14:textId="6F6FB725" w:rsidR="008253DC" w:rsidRDefault="008253DC" w:rsidP="00CF0EA3">
      <w:pPr>
        <w:rPr>
          <w:noProof/>
        </w:rPr>
      </w:pPr>
      <w:r w:rsidRPr="008253DC">
        <w:rPr>
          <w:noProof/>
        </w:rPr>
        <w:drawing>
          <wp:inline distT="0" distB="0" distL="0" distR="0" wp14:anchorId="2BD1F7E2" wp14:editId="5935ACDD">
            <wp:extent cx="5731510" cy="2872740"/>
            <wp:effectExtent l="0" t="0" r="2540" b="0"/>
            <wp:docPr id="485991816" name="Picture 6" descr="A graph of people with different colored bars&#10;&#10;Description automatically generated">
              <a:extLst xmlns:a="http://schemas.openxmlformats.org/drawingml/2006/main">
                <a:ext uri="{FF2B5EF4-FFF2-40B4-BE49-F238E27FC236}">
                  <a16:creationId xmlns:a16="http://schemas.microsoft.com/office/drawing/2014/main" id="{C23B7379-CA04-DB91-14CA-FA773A25C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91816" name="Picture 6" descr="A graph of people with different colored bars&#10;&#10;Description automatically generated">
                      <a:extLst>
                        <a:ext uri="{FF2B5EF4-FFF2-40B4-BE49-F238E27FC236}">
                          <a16:creationId xmlns:a16="http://schemas.microsoft.com/office/drawing/2014/main" id="{C23B7379-CA04-DB91-14CA-FA773A25CBF7}"/>
                        </a:ext>
                      </a:extLst>
                    </pic:cNvPr>
                    <pic:cNvPicPr>
                      <a:picLocks noChangeAspect="1"/>
                    </pic:cNvPicPr>
                  </pic:nvPicPr>
                  <pic:blipFill>
                    <a:blip r:embed="rId46"/>
                    <a:stretch>
                      <a:fillRect/>
                    </a:stretch>
                  </pic:blipFill>
                  <pic:spPr>
                    <a:xfrm>
                      <a:off x="0" y="0"/>
                      <a:ext cx="5731510" cy="2872740"/>
                    </a:xfrm>
                    <a:prstGeom prst="rect">
                      <a:avLst/>
                    </a:prstGeom>
                  </pic:spPr>
                </pic:pic>
              </a:graphicData>
            </a:graphic>
          </wp:inline>
        </w:drawing>
      </w:r>
    </w:p>
    <w:p w14:paraId="0C154C3A" w14:textId="1D704546" w:rsidR="00CF0EA3" w:rsidRDefault="008253DC" w:rsidP="00CF0EA3">
      <w:r>
        <w:rPr>
          <w:sz w:val="18"/>
          <w:szCs w:val="18"/>
        </w:rPr>
        <w:t xml:space="preserve">Source: NDTMS </w:t>
      </w:r>
      <w:r w:rsidR="008402DB">
        <w:rPr>
          <w:sz w:val="18"/>
          <w:szCs w:val="18"/>
        </w:rPr>
        <w:t>d</w:t>
      </w:r>
      <w:r>
        <w:rPr>
          <w:sz w:val="18"/>
          <w:szCs w:val="18"/>
        </w:rPr>
        <w:t>ata.</w:t>
      </w:r>
    </w:p>
    <w:p w14:paraId="70CF9932" w14:textId="054583B4" w:rsidR="00CF0EA3" w:rsidRDefault="00CF0EA3" w:rsidP="00CF0EA3">
      <w:r>
        <w:t xml:space="preserve">Mental health need and unmet need has been recorded on NDTMS since 2022. Trends over time show an </w:t>
      </w:r>
      <w:r w:rsidRPr="00AA0A22">
        <w:rPr>
          <w:b/>
          <w:bCs/>
        </w:rPr>
        <w:t xml:space="preserve">increase in unmet need overall in </w:t>
      </w:r>
      <w:r w:rsidR="009E75EF" w:rsidRPr="00AA0A22">
        <w:rPr>
          <w:b/>
          <w:bCs/>
        </w:rPr>
        <w:t>Peterborough</w:t>
      </w:r>
      <w:r>
        <w:t>, from 16.</w:t>
      </w:r>
      <w:r w:rsidR="009E75EF">
        <w:t>6</w:t>
      </w:r>
      <w:r>
        <w:t xml:space="preserve">% </w:t>
      </w:r>
      <w:r w:rsidR="00B733B9">
        <w:t>in 2022</w:t>
      </w:r>
      <w:r w:rsidR="00030130">
        <w:t xml:space="preserve"> to 19</w:t>
      </w:r>
      <w:r>
        <w:t>%</w:t>
      </w:r>
      <w:r w:rsidR="00030130">
        <w:t xml:space="preserve"> in March 2024</w:t>
      </w:r>
      <w:r w:rsidR="000B2FE6">
        <w:t>.</w:t>
      </w:r>
      <w:r>
        <w:t xml:space="preserve"> </w:t>
      </w:r>
      <w:r w:rsidR="00244D2B">
        <w:t xml:space="preserve">This </w:t>
      </w:r>
      <w:r w:rsidR="00244D2B" w:rsidRPr="00AA0A22">
        <w:rPr>
          <w:b/>
          <w:bCs/>
        </w:rPr>
        <w:t>varies across substance types</w:t>
      </w:r>
      <w:r w:rsidR="00244D2B">
        <w:t xml:space="preserve">, with </w:t>
      </w:r>
      <w:r w:rsidR="00FB1003">
        <w:t xml:space="preserve">the most marked proportional increases for those in treatment for crack and in treatment for alcohol, as shown in </w:t>
      </w:r>
      <w:r>
        <w:t xml:space="preserve">Figure </w:t>
      </w:r>
      <w:r w:rsidR="00477C4F">
        <w:t>5</w:t>
      </w:r>
      <w:r w:rsidR="002E64E6">
        <w:t>.7c</w:t>
      </w:r>
      <w:r w:rsidR="00FB1003">
        <w:t>.</w:t>
      </w:r>
    </w:p>
    <w:p w14:paraId="6734F7CA" w14:textId="0B8D6E4D" w:rsidR="00CF0EA3" w:rsidRDefault="00CF0EA3" w:rsidP="002E64E6">
      <w:pPr>
        <w:pStyle w:val="Heading6"/>
      </w:pPr>
      <w:r>
        <w:lastRenderedPageBreak/>
        <w:t>Figure</w:t>
      </w:r>
      <w:r w:rsidR="002E64E6">
        <w:t xml:space="preserve"> </w:t>
      </w:r>
      <w:r w:rsidR="00477C4F">
        <w:t>5</w:t>
      </w:r>
      <w:r w:rsidR="002E64E6">
        <w:t>.7c</w:t>
      </w:r>
      <w:r>
        <w:t>.</w:t>
      </w:r>
      <w:r w:rsidR="002E64E6">
        <w:t xml:space="preserve"> Unmet mental health need over time</w:t>
      </w:r>
      <w:r w:rsidR="00356742">
        <w:t xml:space="preserve"> in </w:t>
      </w:r>
      <w:r w:rsidR="005F02B4">
        <w:t>Peterborough</w:t>
      </w:r>
      <w:r w:rsidR="00FB1003">
        <w:t xml:space="preserve"> by substance type</w:t>
      </w:r>
      <w:r w:rsidR="002E64E6">
        <w:t>.</w:t>
      </w:r>
    </w:p>
    <w:p w14:paraId="7612FE7C" w14:textId="603B4C14" w:rsidR="00CF0EA3" w:rsidRDefault="009A3D0A" w:rsidP="00CF0EA3">
      <w:r w:rsidRPr="00EC03EA">
        <w:rPr>
          <w:noProof/>
        </w:rPr>
        <w:drawing>
          <wp:inline distT="0" distB="0" distL="0" distR="0" wp14:anchorId="5DE286B6" wp14:editId="0079132E">
            <wp:extent cx="5731510" cy="2581910"/>
            <wp:effectExtent l="0" t="0" r="2540" b="8890"/>
            <wp:docPr id="87" name="Picture 86" descr="A graph of green and blue lines&#10;&#10;Description automatically generated">
              <a:extLst xmlns:a="http://schemas.openxmlformats.org/drawingml/2006/main">
                <a:ext uri="{FF2B5EF4-FFF2-40B4-BE49-F238E27FC236}">
                  <a16:creationId xmlns:a16="http://schemas.microsoft.com/office/drawing/2014/main" id="{D547A2FB-B538-A266-B562-2EDCC1457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A graph of green and blue lines&#10;&#10;Description automatically generated">
                      <a:extLst>
                        <a:ext uri="{FF2B5EF4-FFF2-40B4-BE49-F238E27FC236}">
                          <a16:creationId xmlns:a16="http://schemas.microsoft.com/office/drawing/2014/main" id="{D547A2FB-B538-A266-B562-2EDCC145757E}"/>
                        </a:ext>
                      </a:extLst>
                    </pic:cNvPr>
                    <pic:cNvPicPr>
                      <a:picLocks noChangeAspect="1"/>
                    </pic:cNvPicPr>
                  </pic:nvPicPr>
                  <pic:blipFill>
                    <a:blip r:embed="rId47"/>
                    <a:stretch>
                      <a:fillRect/>
                    </a:stretch>
                  </pic:blipFill>
                  <pic:spPr>
                    <a:xfrm>
                      <a:off x="0" y="0"/>
                      <a:ext cx="5731510" cy="2581910"/>
                    </a:xfrm>
                    <a:prstGeom prst="rect">
                      <a:avLst/>
                    </a:prstGeom>
                  </pic:spPr>
                </pic:pic>
              </a:graphicData>
            </a:graphic>
          </wp:inline>
        </w:drawing>
      </w:r>
    </w:p>
    <w:p w14:paraId="51B9CFC9" w14:textId="63903C60" w:rsidR="00CF0EA3" w:rsidRPr="002E64E6" w:rsidRDefault="002E64E6" w:rsidP="00CF0EA3">
      <w:pPr>
        <w:rPr>
          <w:sz w:val="20"/>
          <w:szCs w:val="20"/>
        </w:rPr>
      </w:pPr>
      <w:r w:rsidRPr="002E64E6">
        <w:rPr>
          <w:sz w:val="20"/>
          <w:szCs w:val="20"/>
        </w:rPr>
        <w:t xml:space="preserve">Source: NDTMS </w:t>
      </w:r>
      <w:r w:rsidR="008402DB">
        <w:rPr>
          <w:sz w:val="20"/>
          <w:szCs w:val="20"/>
        </w:rPr>
        <w:t>d</w:t>
      </w:r>
      <w:r w:rsidRPr="002E64E6">
        <w:rPr>
          <w:sz w:val="20"/>
          <w:szCs w:val="20"/>
        </w:rPr>
        <w:t>ata.</w:t>
      </w:r>
    </w:p>
    <w:p w14:paraId="519B7A22" w14:textId="508AD759" w:rsidR="00C320FF" w:rsidRDefault="009222BC" w:rsidP="00C320FF">
      <w:r>
        <w:t xml:space="preserve">The </w:t>
      </w:r>
      <w:r w:rsidRPr="00015034">
        <w:rPr>
          <w:b/>
          <w:bCs/>
        </w:rPr>
        <w:t>higher unmet me</w:t>
      </w:r>
      <w:r w:rsidR="00C320FF" w:rsidRPr="00015034">
        <w:rPr>
          <w:b/>
          <w:bCs/>
        </w:rPr>
        <w:t>ntal health need</w:t>
      </w:r>
      <w:r w:rsidR="00C320FF">
        <w:t xml:space="preserve"> </w:t>
      </w:r>
      <w:r w:rsidR="00E51030">
        <w:t xml:space="preserve">in younger adults reflects a </w:t>
      </w:r>
      <w:r w:rsidR="00C320FF">
        <w:t xml:space="preserve">significant </w:t>
      </w:r>
      <w:r w:rsidR="00E51030">
        <w:t xml:space="preserve">increase </w:t>
      </w:r>
      <w:r w:rsidR="00C320FF">
        <w:t xml:space="preserve">by around </w:t>
      </w:r>
      <w:r w:rsidR="00C320FF" w:rsidRPr="00191C33">
        <w:t>12.7</w:t>
      </w:r>
      <w:r w:rsidR="00E51030">
        <w:t xml:space="preserve"> percentage points</w:t>
      </w:r>
      <w:r w:rsidR="003D5F09">
        <w:t>,</w:t>
      </w:r>
      <w:r w:rsidR="00C320FF">
        <w:t xml:space="preserve"> as shown in </w:t>
      </w:r>
      <w:r w:rsidR="00356742">
        <w:t>F</w:t>
      </w:r>
      <w:r w:rsidR="00C320FF">
        <w:t xml:space="preserve">igure </w:t>
      </w:r>
      <w:r w:rsidR="003D5F09">
        <w:t>5</w:t>
      </w:r>
      <w:r w:rsidR="00356742">
        <w:t>.7d</w:t>
      </w:r>
      <w:r w:rsidR="00C320FF">
        <w:t>.</w:t>
      </w:r>
    </w:p>
    <w:p w14:paraId="54A941DE" w14:textId="447E4CA7" w:rsidR="00C320FF" w:rsidRDefault="00356742" w:rsidP="00356742">
      <w:pPr>
        <w:pStyle w:val="Heading6"/>
      </w:pPr>
      <w:r>
        <w:t xml:space="preserve">Figure </w:t>
      </w:r>
      <w:r w:rsidR="003D5F09">
        <w:t>5</w:t>
      </w:r>
      <w:r>
        <w:t>.7d.</w:t>
      </w:r>
      <w:r w:rsidR="00C320FF">
        <w:t xml:space="preserve"> </w:t>
      </w:r>
      <w:r>
        <w:t>U</w:t>
      </w:r>
      <w:r w:rsidR="00C320FF">
        <w:t>nmet mental health need over time in Peterborough, by age group.</w:t>
      </w:r>
    </w:p>
    <w:p w14:paraId="7C50C17A" w14:textId="77777777" w:rsidR="00C320FF" w:rsidRDefault="00C320FF" w:rsidP="00C320FF">
      <w:r w:rsidRPr="008B5549">
        <w:rPr>
          <w:noProof/>
        </w:rPr>
        <w:drawing>
          <wp:inline distT="0" distB="0" distL="0" distR="0" wp14:anchorId="54E7226C" wp14:editId="42205D01">
            <wp:extent cx="5284381" cy="2602379"/>
            <wp:effectExtent l="0" t="0" r="0" b="7620"/>
            <wp:docPr id="840085422" name="Picture 13" descr="A graph of a person and person&#10;&#10;Description automatically generated with medium confidence">
              <a:extLst xmlns:a="http://schemas.openxmlformats.org/drawingml/2006/main">
                <a:ext uri="{FF2B5EF4-FFF2-40B4-BE49-F238E27FC236}">
                  <a16:creationId xmlns:a16="http://schemas.microsoft.com/office/drawing/2014/main" id="{BE7BADDA-B161-FF6F-2C37-2660CC73B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5422" name="Picture 13" descr="A graph of a person and person&#10;&#10;Description automatically generated with medium confidence">
                      <a:extLst>
                        <a:ext uri="{FF2B5EF4-FFF2-40B4-BE49-F238E27FC236}">
                          <a16:creationId xmlns:a16="http://schemas.microsoft.com/office/drawing/2014/main" id="{BE7BADDA-B161-FF6F-2C37-2660CC73B9E5}"/>
                        </a:ext>
                      </a:extLst>
                    </pic:cNvPr>
                    <pic:cNvPicPr>
                      <a:picLocks noChangeAspect="1"/>
                    </pic:cNvPicPr>
                  </pic:nvPicPr>
                  <pic:blipFill>
                    <a:blip r:embed="rId48"/>
                    <a:stretch>
                      <a:fillRect/>
                    </a:stretch>
                  </pic:blipFill>
                  <pic:spPr>
                    <a:xfrm>
                      <a:off x="0" y="0"/>
                      <a:ext cx="5289245" cy="2604774"/>
                    </a:xfrm>
                    <a:prstGeom prst="rect">
                      <a:avLst/>
                    </a:prstGeom>
                    <a:solidFill>
                      <a:schemeClr val="bg1"/>
                    </a:solidFill>
                  </pic:spPr>
                </pic:pic>
              </a:graphicData>
            </a:graphic>
          </wp:inline>
        </w:drawing>
      </w:r>
    </w:p>
    <w:p w14:paraId="40928F97" w14:textId="6F45FAB2" w:rsidR="00C320FF" w:rsidRDefault="00356742" w:rsidP="00C320FF">
      <w:r>
        <w:rPr>
          <w:sz w:val="20"/>
          <w:szCs w:val="20"/>
        </w:rPr>
        <w:t xml:space="preserve">Source: </w:t>
      </w:r>
      <w:r w:rsidR="00C320FF" w:rsidRPr="00F40D20">
        <w:rPr>
          <w:sz w:val="20"/>
          <w:szCs w:val="20"/>
        </w:rPr>
        <w:t xml:space="preserve">NDTMS </w:t>
      </w:r>
      <w:r w:rsidR="008402DB">
        <w:rPr>
          <w:sz w:val="20"/>
          <w:szCs w:val="20"/>
        </w:rPr>
        <w:t>d</w:t>
      </w:r>
      <w:r>
        <w:rPr>
          <w:sz w:val="20"/>
          <w:szCs w:val="20"/>
        </w:rPr>
        <w:t>ata.</w:t>
      </w:r>
    </w:p>
    <w:p w14:paraId="60652BDB" w14:textId="77777777" w:rsidR="00CF0EA3" w:rsidRDefault="00CF0EA3" w:rsidP="00CF0EA3"/>
    <w:p w14:paraId="4EAFC08D" w14:textId="3861263D" w:rsidR="00242E32" w:rsidRDefault="00EE013A" w:rsidP="00CF0EA3">
      <w:r w:rsidRPr="00EE013A">
        <w:t xml:space="preserve">The </w:t>
      </w:r>
      <w:r w:rsidRPr="00936B79">
        <w:rPr>
          <w:b/>
          <w:bCs/>
        </w:rPr>
        <w:t>high prevalence of mental health conditions among service users, alongside known unmet need and the significant challenges</w:t>
      </w:r>
      <w:r w:rsidRPr="00EE013A">
        <w:t xml:space="preserve"> posed by co-occurring mental health and substance misuse, highlights the need for targeted action. Recent local work</w:t>
      </w:r>
      <w:r w:rsidR="00C7650F">
        <w:rPr>
          <w:rStyle w:val="FootnoteReference"/>
        </w:rPr>
        <w:footnoteReference w:id="31"/>
      </w:r>
      <w:r w:rsidR="004D6EA4">
        <w:t xml:space="preserve"> </w:t>
      </w:r>
      <w:r w:rsidRPr="00EE013A">
        <w:t>identified best practice and assessed current provision</w:t>
      </w:r>
      <w:r>
        <w:t xml:space="preserve"> in this area</w:t>
      </w:r>
      <w:r w:rsidRPr="00EE013A">
        <w:t xml:space="preserve">, leading to </w:t>
      </w:r>
      <w:r w:rsidRPr="00936B79">
        <w:rPr>
          <w:b/>
          <w:bCs/>
        </w:rPr>
        <w:t>key recommendations</w:t>
      </w:r>
      <w:r w:rsidRPr="00EE013A">
        <w:t xml:space="preserve">. These </w:t>
      </w:r>
      <w:r w:rsidRPr="00EE013A">
        <w:lastRenderedPageBreak/>
        <w:t xml:space="preserve">include </w:t>
      </w:r>
      <w:r w:rsidRPr="00936B79">
        <w:rPr>
          <w:b/>
          <w:bCs/>
        </w:rPr>
        <w:t>joint commissioning</w:t>
      </w:r>
      <w:r w:rsidRPr="00EE013A">
        <w:t xml:space="preserve"> of mental health and drug and alcohol services, </w:t>
      </w:r>
      <w:r w:rsidRPr="00936B79">
        <w:rPr>
          <w:b/>
          <w:bCs/>
        </w:rPr>
        <w:t>integrated training and workforce development</w:t>
      </w:r>
      <w:r w:rsidRPr="00EE013A">
        <w:t xml:space="preserve">, </w:t>
      </w:r>
      <w:r w:rsidRPr="00936B79">
        <w:rPr>
          <w:b/>
          <w:bCs/>
        </w:rPr>
        <w:t>inclusive and trauma-informed</w:t>
      </w:r>
      <w:r w:rsidRPr="00EE013A">
        <w:t xml:space="preserve"> care, and </w:t>
      </w:r>
      <w:r w:rsidRPr="00936B79">
        <w:rPr>
          <w:b/>
          <w:bCs/>
        </w:rPr>
        <w:t>personalised care planning</w:t>
      </w:r>
      <w:r w:rsidRPr="00EE013A">
        <w:t>. Implementation of these recommendations should remain a priority to improve outcomes for individuals with co-occurring needs.</w:t>
      </w:r>
    </w:p>
    <w:p w14:paraId="4D8C0246" w14:textId="77777777" w:rsidR="00242E32" w:rsidRPr="00086B3C" w:rsidRDefault="00242E32" w:rsidP="00CF0EA3"/>
    <w:p w14:paraId="41280423" w14:textId="699E236D" w:rsidR="00060E25" w:rsidRDefault="00060E25" w:rsidP="00CF0EA3">
      <w:pPr>
        <w:pStyle w:val="Heading3"/>
      </w:pPr>
      <w:bookmarkStart w:id="70" w:name="_Toc200479502"/>
      <w:r>
        <w:t>Women</w:t>
      </w:r>
      <w:bookmarkEnd w:id="70"/>
    </w:p>
    <w:p w14:paraId="424B89DA" w14:textId="77777777" w:rsidR="00D1161D" w:rsidRDefault="00D1161D" w:rsidP="00060E25">
      <w:r w:rsidRPr="00D1161D">
        <w:t xml:space="preserve">Some </w:t>
      </w:r>
      <w:r w:rsidRPr="00936B79">
        <w:rPr>
          <w:b/>
          <w:bCs/>
        </w:rPr>
        <w:t>women face increased vulnerabilities</w:t>
      </w:r>
      <w:r w:rsidRPr="00D1161D">
        <w:t xml:space="preserve"> due to intersecting factors such as a history of domestic violence, trauma, and experiences of sex work. These factors may exacerbate substance misuse risk and create additional barriers to accessing support.</w:t>
      </w:r>
    </w:p>
    <w:p w14:paraId="5BA136C9" w14:textId="1F02E34A" w:rsidR="004D14F2" w:rsidRDefault="001527CE" w:rsidP="00060E25">
      <w:r>
        <w:t>D</w:t>
      </w:r>
      <w:r w:rsidR="000912F0">
        <w:t>rug and alcohol</w:t>
      </w:r>
      <w:r>
        <w:t xml:space="preserve"> service</w:t>
      </w:r>
      <w:r w:rsidR="00AF7651">
        <w:t>s</w:t>
      </w:r>
      <w:r>
        <w:t xml:space="preserve"> aim to </w:t>
      </w:r>
      <w:r w:rsidR="0066013B">
        <w:t xml:space="preserve">identify any clients </w:t>
      </w:r>
      <w:r w:rsidR="0066013B" w:rsidRPr="00936B79">
        <w:rPr>
          <w:b/>
          <w:bCs/>
        </w:rPr>
        <w:t xml:space="preserve">at risk of </w:t>
      </w:r>
      <w:r w:rsidRPr="00936B79">
        <w:rPr>
          <w:b/>
          <w:bCs/>
        </w:rPr>
        <w:t>domestic violence</w:t>
      </w:r>
      <w:r>
        <w:t xml:space="preserve"> </w:t>
      </w:r>
      <w:r w:rsidR="0066013B">
        <w:t>and refer them for support</w:t>
      </w:r>
      <w:r w:rsidR="00310AF5">
        <w:t xml:space="preserve">. </w:t>
      </w:r>
      <w:r w:rsidR="00310AF5" w:rsidRPr="00310AF5">
        <w:t>Each year since 2019, between four and nine people have been referred or signposted to relevant services through this process</w:t>
      </w:r>
      <w:r w:rsidR="00EA2CEB">
        <w:t xml:space="preserve">. </w:t>
      </w:r>
      <w:r w:rsidR="00EA2CEB" w:rsidRPr="00EA2CEB">
        <w:t xml:space="preserve">This remains </w:t>
      </w:r>
      <w:r w:rsidR="00EA2CEB" w:rsidRPr="00936B79">
        <w:rPr>
          <w:b/>
          <w:bCs/>
        </w:rPr>
        <w:t>an important pathway to support</w:t>
      </w:r>
      <w:r w:rsidR="00EA2CEB" w:rsidRPr="00EA2CEB">
        <w:t>, and efforts should continue to ensure referrals are responsive to demand and effectively meet the needs of those at risk.</w:t>
      </w:r>
      <w:r w:rsidR="000912F0" w:rsidRPr="000912F0">
        <w:t xml:space="preserve"> </w:t>
      </w:r>
    </w:p>
    <w:p w14:paraId="7393A3AF" w14:textId="7389C762" w:rsidR="000912F0" w:rsidRDefault="000912F0" w:rsidP="00060E25">
      <w:r>
        <w:t xml:space="preserve">Additionally, services track the number of </w:t>
      </w:r>
      <w:r w:rsidRPr="16F14F99">
        <w:rPr>
          <w:b/>
          <w:bCs/>
        </w:rPr>
        <w:t>victims of domestic violence</w:t>
      </w:r>
      <w:r>
        <w:t xml:space="preserve"> whose cases are discussed at the Domestic Violence Perpetrator Panel. This helps to understand the extent of victim involvement in risk management and intervention efforts.</w:t>
      </w:r>
      <w:r w:rsidR="004F73C0">
        <w:t xml:space="preserve"> This number </w:t>
      </w:r>
      <w:r w:rsidR="004F73C0" w:rsidRPr="16F14F99">
        <w:rPr>
          <w:b/>
          <w:bCs/>
        </w:rPr>
        <w:t>has increased</w:t>
      </w:r>
      <w:r w:rsidR="004F73C0">
        <w:t xml:space="preserve"> </w:t>
      </w:r>
      <w:r w:rsidR="004E6729">
        <w:t xml:space="preserve">from fewer than 30 </w:t>
      </w:r>
      <w:r w:rsidR="00DB0603">
        <w:t xml:space="preserve">a year </w:t>
      </w:r>
      <w:r w:rsidR="004E6729">
        <w:t>prior to 2023, to over 60 in year</w:t>
      </w:r>
      <w:r w:rsidR="00DB0603">
        <w:t>s</w:t>
      </w:r>
      <w:r w:rsidR="004E6729">
        <w:t xml:space="preserve"> ending March 2023 and 2024</w:t>
      </w:r>
      <w:r w:rsidR="009946A8">
        <w:t xml:space="preserve">. This </w:t>
      </w:r>
      <w:r w:rsidR="001F7E14">
        <w:t xml:space="preserve">may be due to </w:t>
      </w:r>
      <w:proofErr w:type="gramStart"/>
      <w:r w:rsidR="001F7E14">
        <w:t>a number of</w:t>
      </w:r>
      <w:proofErr w:type="gramEnd"/>
      <w:r w:rsidR="001F7E14">
        <w:t xml:space="preserve"> factors including increased treatment numbers, </w:t>
      </w:r>
      <w:r w:rsidR="009946A8">
        <w:t>a growing recognition of victims within the panel process, improved identification and recording practices, or a rise in high-risk cases requiring multi-agency intervention.</w:t>
      </w:r>
    </w:p>
    <w:p w14:paraId="34108792" w14:textId="77777777" w:rsidR="001A285F" w:rsidRDefault="00830783" w:rsidP="00060E25">
      <w:r>
        <w:t xml:space="preserve">The number of </w:t>
      </w:r>
      <w:r w:rsidRPr="00936B79">
        <w:rPr>
          <w:b/>
          <w:bCs/>
        </w:rPr>
        <w:t>perpetrators</w:t>
      </w:r>
      <w:r>
        <w:t xml:space="preserve"> involved in </w:t>
      </w:r>
      <w:r w:rsidR="00C67654">
        <w:t xml:space="preserve">panel discussions </w:t>
      </w:r>
      <w:r>
        <w:t>are also tracked</w:t>
      </w:r>
      <w:r w:rsidR="00C67654">
        <w:t xml:space="preserve">, </w:t>
      </w:r>
      <w:r w:rsidR="00D64B7B">
        <w:t xml:space="preserve">which also </w:t>
      </w:r>
      <w:r w:rsidR="00C67654">
        <w:t xml:space="preserve">demonstrates </w:t>
      </w:r>
      <w:r w:rsidR="00C67654" w:rsidRPr="00936B79">
        <w:rPr>
          <w:b/>
          <w:bCs/>
        </w:rPr>
        <w:t>a</w:t>
      </w:r>
      <w:r w:rsidR="00D64B7B" w:rsidRPr="00936B79">
        <w:rPr>
          <w:b/>
          <w:bCs/>
        </w:rPr>
        <w:t>n increase</w:t>
      </w:r>
      <w:r w:rsidR="009D6F5E">
        <w:t xml:space="preserve"> in the same </w:t>
      </w:r>
      <w:proofErr w:type="gramStart"/>
      <w:r w:rsidR="009D6F5E">
        <w:t>time period</w:t>
      </w:r>
      <w:proofErr w:type="gramEnd"/>
      <w:r w:rsidR="009D6F5E">
        <w:t xml:space="preserve">. </w:t>
      </w:r>
      <w:r w:rsidR="002A151F" w:rsidRPr="002A151F">
        <w:t xml:space="preserve">This has </w:t>
      </w:r>
      <w:r w:rsidR="002A151F" w:rsidRPr="00936B79">
        <w:rPr>
          <w:b/>
          <w:bCs/>
        </w:rPr>
        <w:t>important implications for service planning</w:t>
      </w:r>
      <w:r w:rsidR="002A151F" w:rsidRPr="002A151F">
        <w:t xml:space="preserve">, particularly for group-based interventions. Careful consideration is needed to ensure that perpetrators and victims </w:t>
      </w:r>
      <w:r w:rsidR="00657BEA">
        <w:t>are</w:t>
      </w:r>
      <w:r w:rsidR="002A151F" w:rsidRPr="002A151F">
        <w:t xml:space="preserve"> not in the same support groups, which could compromise safety and the effectiveness of interventions. </w:t>
      </w:r>
    </w:p>
    <w:p w14:paraId="1F90FDB2" w14:textId="622689B5" w:rsidR="00830783" w:rsidRDefault="002A151F" w:rsidP="00060E25">
      <w:r w:rsidRPr="00F072A4">
        <w:t xml:space="preserve">Services </w:t>
      </w:r>
      <w:r w:rsidR="00657BEA" w:rsidRPr="00F072A4">
        <w:t>should seek to understand what</w:t>
      </w:r>
      <w:r w:rsidRPr="00F072A4">
        <w:t xml:space="preserve"> the</w:t>
      </w:r>
      <w:r w:rsidR="0018602E" w:rsidRPr="00F072A4">
        <w:t>se</w:t>
      </w:r>
      <w:r w:rsidRPr="00F072A4">
        <w:t xml:space="preserve"> rising numbers indicate</w:t>
      </w:r>
      <w:r w:rsidR="0018602E" w:rsidRPr="00F072A4">
        <w:t xml:space="preserve">, </w:t>
      </w:r>
      <w:r w:rsidRPr="00F072A4">
        <w:t>ensur</w:t>
      </w:r>
      <w:r w:rsidR="0018602E" w:rsidRPr="00F072A4">
        <w:t>ing resources and group structures are appropriately aligned to meet both the victim and perpetrator support needs</w:t>
      </w:r>
      <w:r w:rsidRPr="00F072A4">
        <w:t>.</w:t>
      </w:r>
    </w:p>
    <w:p w14:paraId="1E7AF798" w14:textId="77777777" w:rsidR="00C46BA2" w:rsidRDefault="6EED8B4A" w:rsidP="00CA5A6F">
      <w:r w:rsidRPr="344B8197">
        <w:rPr>
          <w:b/>
          <w:bCs/>
        </w:rPr>
        <w:t>Women involved in sex work</w:t>
      </w:r>
      <w:r>
        <w:t xml:space="preserve"> represent a particularly hard-to-reach group for support services</w:t>
      </w:r>
      <w:r w:rsidR="00BE3166" w:rsidRPr="00BE3166">
        <w:t>, often facing significant barriers due to stigma, trauma, and unstable living conditions</w:t>
      </w:r>
      <w:r>
        <w:t>. Outreach initiatives such as those by Empowering Women Everywhere (EWE) and the Vulnerable Women’s Project at Change Grow Live’s Aspire Recovery Service in Peterborough ha</w:t>
      </w:r>
      <w:r w:rsidR="1CD0DD74">
        <w:t>ve</w:t>
      </w:r>
      <w:r>
        <w:t xml:space="preserve"> been developed to address these challenges. </w:t>
      </w:r>
      <w:r w:rsidR="00C46BA2" w:rsidRPr="00C46BA2">
        <w:t xml:space="preserve">These projects provide holistic, trauma-informed support, including health interventions through the Wildflower Clinic, safe housing at EWE House, and tailored support for accessing healthcare and reporting crime. </w:t>
      </w:r>
    </w:p>
    <w:p w14:paraId="72C5ED6A" w14:textId="3FF130FF" w:rsidR="00CA5A6F" w:rsidRDefault="6AA09D51" w:rsidP="00CA5A6F">
      <w:r>
        <w:t xml:space="preserve">Quarterly </w:t>
      </w:r>
      <w:r w:rsidR="4B1202FA">
        <w:t xml:space="preserve">figures </w:t>
      </w:r>
      <w:r w:rsidR="58BD8CFC">
        <w:t xml:space="preserve">show that </w:t>
      </w:r>
      <w:r w:rsidR="5C04E3D0">
        <w:t xml:space="preserve">an increasing </w:t>
      </w:r>
      <w:r w:rsidR="4B1202FA">
        <w:t xml:space="preserve">number </w:t>
      </w:r>
      <w:r w:rsidR="0A5CCA96">
        <w:t xml:space="preserve">of people in the sex working cohort </w:t>
      </w:r>
      <w:r w:rsidR="4B1202FA">
        <w:t xml:space="preserve">have </w:t>
      </w:r>
      <w:r w:rsidR="0A5CCA96">
        <w:t xml:space="preserve">engaged in </w:t>
      </w:r>
      <w:r w:rsidR="42976548">
        <w:t xml:space="preserve">drug and alcohol </w:t>
      </w:r>
      <w:r w:rsidR="0A5CCA96">
        <w:t xml:space="preserve">treatment </w:t>
      </w:r>
      <w:r w:rsidR="56A02FB6">
        <w:t xml:space="preserve">through these </w:t>
      </w:r>
      <w:r w:rsidR="0A5CCA96">
        <w:t>services</w:t>
      </w:r>
      <w:r w:rsidR="53AF9383">
        <w:t xml:space="preserve"> in Peterborough</w:t>
      </w:r>
      <w:r w:rsidR="146B15B5">
        <w:t xml:space="preserve">, </w:t>
      </w:r>
      <w:r w:rsidR="204AE9BF">
        <w:t xml:space="preserve">from 17 in the first quarter of 2023/24 to </w:t>
      </w:r>
      <w:r w:rsidR="00C44A9E">
        <w:t>33 in the third quarter of</w:t>
      </w:r>
      <w:r w:rsidR="00FA619A">
        <w:t xml:space="preserve"> 2024</w:t>
      </w:r>
      <w:r w:rsidR="0097033D">
        <w:t xml:space="preserve">/25, </w:t>
      </w:r>
      <w:r w:rsidR="001461CC" w:rsidRPr="001461CC">
        <w:t>reflecting the impact of these targeted, multi-agency efforts.</w:t>
      </w:r>
    </w:p>
    <w:p w14:paraId="71EE094A" w14:textId="77777777" w:rsidR="00F072A4" w:rsidRPr="00060E25" w:rsidRDefault="00F072A4" w:rsidP="00CA5A6F"/>
    <w:p w14:paraId="2333BF4D" w14:textId="44E5DBA4" w:rsidR="00CF0EA3" w:rsidRDefault="00CF0EA3" w:rsidP="00CF0EA3">
      <w:pPr>
        <w:pStyle w:val="Heading3"/>
      </w:pPr>
      <w:bookmarkStart w:id="71" w:name="_Toc200479503"/>
      <w:r>
        <w:lastRenderedPageBreak/>
        <w:t>Prison and Pri</w:t>
      </w:r>
      <w:r w:rsidR="004264BD">
        <w:t>s</w:t>
      </w:r>
      <w:r>
        <w:t>on Leaver Population</w:t>
      </w:r>
      <w:bookmarkEnd w:id="71"/>
    </w:p>
    <w:p w14:paraId="133EA758" w14:textId="6CF82CA8" w:rsidR="00CF0EA3" w:rsidRDefault="00502D00" w:rsidP="00CF0EA3">
      <w:r>
        <w:t>Service provision</w:t>
      </w:r>
      <w:r w:rsidR="00611074">
        <w:t xml:space="preserve"> and addressing need </w:t>
      </w:r>
      <w:r w:rsidR="004A16A3">
        <w:t>in</w:t>
      </w:r>
      <w:r w:rsidR="00611074">
        <w:t xml:space="preserve"> the c</w:t>
      </w:r>
      <w:r w:rsidR="00CF0EA3">
        <w:t xml:space="preserve">riminal justice </w:t>
      </w:r>
      <w:r w:rsidR="00611074">
        <w:t xml:space="preserve">system </w:t>
      </w:r>
      <w:r w:rsidR="004A16A3">
        <w:t>are</w:t>
      </w:r>
      <w:r w:rsidR="00CF0EA3">
        <w:t xml:space="preserve"> </w:t>
      </w:r>
      <w:r w:rsidR="00611074">
        <w:t>key part</w:t>
      </w:r>
      <w:r w:rsidR="004A16A3">
        <w:t>s</w:t>
      </w:r>
      <w:r w:rsidR="00611074">
        <w:t xml:space="preserve"> </w:t>
      </w:r>
      <w:r w:rsidR="00CF0EA3">
        <w:t xml:space="preserve">of </w:t>
      </w:r>
      <w:r w:rsidR="00F85EB4">
        <w:t>the national drug strategy</w:t>
      </w:r>
      <w:r w:rsidR="00CF0EA3">
        <w:t>.</w:t>
      </w:r>
      <w:r w:rsidR="00B64569">
        <w:t xml:space="preserve"> Around </w:t>
      </w:r>
      <w:r w:rsidR="00B64569" w:rsidRPr="00F85EB4">
        <w:rPr>
          <w:b/>
          <w:bCs/>
        </w:rPr>
        <w:t xml:space="preserve">half of </w:t>
      </w:r>
      <w:r w:rsidR="00CF0EA3" w:rsidRPr="00F85EB4">
        <w:rPr>
          <w:b/>
          <w:bCs/>
        </w:rPr>
        <w:t>prison</w:t>
      </w:r>
      <w:r w:rsidR="00F50677" w:rsidRPr="00F85EB4">
        <w:rPr>
          <w:b/>
          <w:bCs/>
        </w:rPr>
        <w:t>ers</w:t>
      </w:r>
      <w:r w:rsidR="00CF0EA3" w:rsidRPr="00F85EB4">
        <w:rPr>
          <w:b/>
          <w:bCs/>
        </w:rPr>
        <w:t xml:space="preserve"> are thought to have substance misuse issue</w:t>
      </w:r>
      <w:r w:rsidR="00F50677" w:rsidRPr="00F85EB4">
        <w:rPr>
          <w:b/>
          <w:bCs/>
        </w:rPr>
        <w:t>s</w:t>
      </w:r>
      <w:r w:rsidR="00F50677">
        <w:t xml:space="preserve"> and </w:t>
      </w:r>
      <w:r w:rsidR="00F50677" w:rsidRPr="00F50677">
        <w:t xml:space="preserve">offenders who are </w:t>
      </w:r>
      <w:r w:rsidR="00F50677" w:rsidRPr="00F85EB4">
        <w:rPr>
          <w:b/>
          <w:bCs/>
        </w:rPr>
        <w:t xml:space="preserve">supported to </w:t>
      </w:r>
      <w:r w:rsidR="00BC4EF7" w:rsidRPr="00F85EB4">
        <w:rPr>
          <w:b/>
          <w:bCs/>
        </w:rPr>
        <w:t>abstain</w:t>
      </w:r>
      <w:r w:rsidR="00BC4EF7">
        <w:t xml:space="preserve"> from </w:t>
      </w:r>
      <w:r w:rsidR="00F50677" w:rsidRPr="00F50677">
        <w:t>drug</w:t>
      </w:r>
      <w:r w:rsidR="00BC4EF7">
        <w:t xml:space="preserve"> use</w:t>
      </w:r>
      <w:r w:rsidR="00F50677" w:rsidRPr="00F50677">
        <w:t xml:space="preserve"> are </w:t>
      </w:r>
      <w:r w:rsidR="00F50677" w:rsidRPr="00F85EB4">
        <w:rPr>
          <w:b/>
          <w:bCs/>
        </w:rPr>
        <w:t xml:space="preserve">19 percentage points less likely to </w:t>
      </w:r>
      <w:r w:rsidR="00BC4EF7" w:rsidRPr="00F85EB4">
        <w:rPr>
          <w:b/>
          <w:bCs/>
        </w:rPr>
        <w:t>reoffend</w:t>
      </w:r>
      <w:r w:rsidR="000B2260">
        <w:rPr>
          <w:rStyle w:val="FootnoteReference"/>
          <w:b/>
          <w:bCs/>
        </w:rPr>
        <w:footnoteReference w:id="32"/>
      </w:r>
      <w:r w:rsidR="000B2260">
        <w:t>.</w:t>
      </w:r>
    </w:p>
    <w:p w14:paraId="292C3E40" w14:textId="606E8DEB" w:rsidR="344B8197" w:rsidRDefault="3A8CB24A" w:rsidP="344B8197">
      <w:pPr>
        <w:rPr>
          <w:highlight w:val="yellow"/>
        </w:rPr>
      </w:pPr>
      <w:r>
        <w:t xml:space="preserve">HMP Peterborough is </w:t>
      </w:r>
      <w:r w:rsidR="44EC1563">
        <w:t xml:space="preserve">a category B prison in Peterborough, </w:t>
      </w:r>
      <w:r w:rsidR="32AE50EB">
        <w:t xml:space="preserve">where </w:t>
      </w:r>
      <w:r w:rsidR="4D7DF05B">
        <w:t>Substance Misuse Service provision is delivered by the Northamptonshire Healthcare NHS Foundation Trust (NHFT)</w:t>
      </w:r>
      <w:r w:rsidR="32AE50EB">
        <w:t>.</w:t>
      </w:r>
      <w:r w:rsidR="005E0BDF">
        <w:t xml:space="preserve"> </w:t>
      </w:r>
      <w:r w:rsidR="005E0BDF" w:rsidRPr="005E0BDF">
        <w:t>Drug and alcohol services in Peterborough work closely with this team, including a dedicated prison link worker, to ensure a smooth transition from prison to community support. This collaborative approach aims to reduce reoffending and support individuals in maintaining recovery post-release.</w:t>
      </w:r>
    </w:p>
    <w:p w14:paraId="75F6087F" w14:textId="4EEC7184" w:rsidR="00CF0EA3" w:rsidRPr="008F7604" w:rsidRDefault="00CF0EA3" w:rsidP="00CF0EA3">
      <w:r>
        <w:t xml:space="preserve">People who access drug treatment in prison are at a </w:t>
      </w:r>
      <w:r w:rsidRPr="008F7604">
        <w:t>heightened risk of relapse, overdose, and disengagement from health services</w:t>
      </w:r>
      <w:r>
        <w:t xml:space="preserve"> risk </w:t>
      </w:r>
      <w:r w:rsidRPr="00F85EB4">
        <w:rPr>
          <w:b/>
          <w:bCs/>
        </w:rPr>
        <w:t>on leaving prison</w:t>
      </w:r>
      <w:r>
        <w:t>.</w:t>
      </w:r>
      <w:r w:rsidRPr="008F7604">
        <w:t xml:space="preserve"> </w:t>
      </w:r>
      <w:r>
        <w:t>E</w:t>
      </w:r>
      <w:r w:rsidRPr="008F7604">
        <w:t xml:space="preserve">nsuring timely access to ongoing support </w:t>
      </w:r>
      <w:r w:rsidR="00FF3D3F">
        <w:t xml:space="preserve">in the community </w:t>
      </w:r>
      <w:r w:rsidRPr="008F7604">
        <w:t>is vital.</w:t>
      </w:r>
      <w:r w:rsidRPr="00F65448">
        <w:t xml:space="preserve"> Maintaining engagement in treatment during this critical period </w:t>
      </w:r>
      <w:r>
        <w:t xml:space="preserve">involves </w:t>
      </w:r>
      <w:r w:rsidRPr="000C209D">
        <w:t>a transition of care from NHS commissioned services to local authority commissioned services</w:t>
      </w:r>
      <w:r w:rsidR="0028318E">
        <w:t>.</w:t>
      </w:r>
    </w:p>
    <w:p w14:paraId="7AB0F787" w14:textId="597F72E0" w:rsidR="00CF0EA3" w:rsidRDefault="00CF0EA3" w:rsidP="00CF0EA3">
      <w:r>
        <w:t xml:space="preserve">The percentage of prison leavers with a continued treatment need picked up in the community within three weeks is monitored through </w:t>
      </w:r>
      <w:proofErr w:type="gramStart"/>
      <w:r>
        <w:t>NDTMS, and</w:t>
      </w:r>
      <w:proofErr w:type="gramEnd"/>
      <w:r>
        <w:t xml:space="preserve"> is referred to as </w:t>
      </w:r>
      <w:r w:rsidRPr="00F85EB4">
        <w:rPr>
          <w:b/>
          <w:bCs/>
        </w:rPr>
        <w:t>continuity of care</w:t>
      </w:r>
      <w:r>
        <w:t>. T</w:t>
      </w:r>
      <w:r w:rsidRPr="00BC57D7">
        <w:t xml:space="preserve">he </w:t>
      </w:r>
      <w:r w:rsidRPr="00F85EB4">
        <w:rPr>
          <w:b/>
          <w:bCs/>
        </w:rPr>
        <w:t>national target is 75%</w:t>
      </w:r>
      <w:r w:rsidR="00CC3109">
        <w:rPr>
          <w:rStyle w:val="FootnoteReference"/>
          <w:b/>
          <w:bCs/>
        </w:rPr>
        <w:footnoteReference w:id="33"/>
      </w:r>
      <w:r w:rsidR="004A0912">
        <w:t xml:space="preserve"> </w:t>
      </w:r>
      <w:r w:rsidR="00DF57B1">
        <w:t>as this supports wider efforts to prevent premature mortality and levels of crime in the community</w:t>
      </w:r>
      <w:r>
        <w:t xml:space="preserve">. Figure </w:t>
      </w:r>
      <w:r w:rsidR="00894AFF">
        <w:t>5</w:t>
      </w:r>
      <w:r w:rsidR="0028318E">
        <w:t>.7e</w:t>
      </w:r>
      <w:r>
        <w:t xml:space="preserve"> </w:t>
      </w:r>
      <w:r w:rsidRPr="00FE5AFC">
        <w:t>illustrates engagement trends among prison leavers requiring continued treatment between 2022 and 2024</w:t>
      </w:r>
      <w:r>
        <w:t xml:space="preserve"> in </w:t>
      </w:r>
      <w:r w:rsidR="006E75A1">
        <w:t>Peterborough</w:t>
      </w:r>
      <w:r w:rsidRPr="00FE5AFC">
        <w:t xml:space="preserve">. Notably, the overall number of </w:t>
      </w:r>
      <w:r w:rsidRPr="00F85EB4">
        <w:rPr>
          <w:b/>
          <w:bCs/>
        </w:rPr>
        <w:t xml:space="preserve">prison leavers in </w:t>
      </w:r>
      <w:r w:rsidR="00BA190E" w:rsidRPr="00F85EB4">
        <w:rPr>
          <w:b/>
          <w:bCs/>
        </w:rPr>
        <w:t>Peterborough</w:t>
      </w:r>
      <w:r w:rsidRPr="00F85EB4">
        <w:rPr>
          <w:b/>
          <w:bCs/>
        </w:rPr>
        <w:t xml:space="preserve"> </w:t>
      </w:r>
      <w:r w:rsidR="00BA190E" w:rsidRPr="00F85EB4">
        <w:rPr>
          <w:b/>
          <w:bCs/>
        </w:rPr>
        <w:t xml:space="preserve">almost </w:t>
      </w:r>
      <w:r w:rsidRPr="00F85EB4">
        <w:rPr>
          <w:b/>
          <w:bCs/>
        </w:rPr>
        <w:t xml:space="preserve">doubled </w:t>
      </w:r>
      <w:r w:rsidR="00BA190E" w:rsidRPr="00F85EB4">
        <w:rPr>
          <w:b/>
          <w:bCs/>
        </w:rPr>
        <w:t xml:space="preserve">from 137 to </w:t>
      </w:r>
      <w:r w:rsidR="00BD4302" w:rsidRPr="00F85EB4">
        <w:rPr>
          <w:b/>
          <w:bCs/>
        </w:rPr>
        <w:t xml:space="preserve">254 </w:t>
      </w:r>
      <w:r w:rsidR="00BD4302" w:rsidRPr="00F85EB4">
        <w:t xml:space="preserve">in </w:t>
      </w:r>
      <w:r w:rsidRPr="00F85EB4">
        <w:t>this period</w:t>
      </w:r>
      <w:r w:rsidRPr="00FE5AFC">
        <w:t xml:space="preserve">, which </w:t>
      </w:r>
      <w:r>
        <w:t>increases</w:t>
      </w:r>
      <w:r w:rsidRPr="00FE5AFC">
        <w:t xml:space="preserve"> pressure on existing services</w:t>
      </w:r>
      <w:r>
        <w:t>. The e</w:t>
      </w:r>
      <w:r w:rsidRPr="00FE5AFC">
        <w:t>ngagement rate</w:t>
      </w:r>
      <w:r>
        <w:t xml:space="preserve"> during this time has </w:t>
      </w:r>
      <w:r w:rsidRPr="00F85EB4">
        <w:rPr>
          <w:b/>
          <w:bCs/>
        </w:rPr>
        <w:t xml:space="preserve">reduced by </w:t>
      </w:r>
      <w:r w:rsidR="00A913A6" w:rsidRPr="00F85EB4">
        <w:rPr>
          <w:b/>
          <w:bCs/>
        </w:rPr>
        <w:t>10</w:t>
      </w:r>
      <w:r w:rsidRPr="00F85EB4">
        <w:rPr>
          <w:b/>
          <w:bCs/>
        </w:rPr>
        <w:t>.</w:t>
      </w:r>
      <w:r w:rsidR="00A913A6" w:rsidRPr="00F85EB4">
        <w:rPr>
          <w:b/>
          <w:bCs/>
        </w:rPr>
        <w:t>9</w:t>
      </w:r>
      <w:r w:rsidRPr="00F85EB4">
        <w:rPr>
          <w:b/>
          <w:bCs/>
        </w:rPr>
        <w:t xml:space="preserve"> percentage points, from</w:t>
      </w:r>
      <w:r>
        <w:t xml:space="preserve"> </w:t>
      </w:r>
      <w:r w:rsidRPr="00F85EB4">
        <w:rPr>
          <w:b/>
          <w:bCs/>
        </w:rPr>
        <w:t>5</w:t>
      </w:r>
      <w:r w:rsidR="00A913A6" w:rsidRPr="00F85EB4">
        <w:rPr>
          <w:b/>
          <w:bCs/>
        </w:rPr>
        <w:t>6</w:t>
      </w:r>
      <w:r w:rsidRPr="00F85EB4">
        <w:rPr>
          <w:b/>
          <w:bCs/>
        </w:rPr>
        <w:t>.</w:t>
      </w:r>
      <w:r w:rsidR="00A913A6" w:rsidRPr="00F85EB4">
        <w:rPr>
          <w:b/>
          <w:bCs/>
        </w:rPr>
        <w:t>2</w:t>
      </w:r>
      <w:r w:rsidRPr="00F85EB4">
        <w:rPr>
          <w:b/>
          <w:bCs/>
        </w:rPr>
        <w:t>% to 4</w:t>
      </w:r>
      <w:r w:rsidR="00A913A6" w:rsidRPr="00F85EB4">
        <w:rPr>
          <w:b/>
          <w:bCs/>
        </w:rPr>
        <w:t>5</w:t>
      </w:r>
      <w:r w:rsidRPr="00F85EB4">
        <w:rPr>
          <w:b/>
          <w:bCs/>
        </w:rPr>
        <w:t>.</w:t>
      </w:r>
      <w:r w:rsidR="00A913A6" w:rsidRPr="00F85EB4">
        <w:rPr>
          <w:b/>
          <w:bCs/>
        </w:rPr>
        <w:t>3</w:t>
      </w:r>
      <w:r w:rsidRPr="00F85EB4">
        <w:rPr>
          <w:b/>
          <w:bCs/>
        </w:rPr>
        <w:t>%.</w:t>
      </w:r>
      <w:r w:rsidRPr="00FE5AFC">
        <w:t xml:space="preserve"> This local trend contrasts with national data, </w:t>
      </w:r>
      <w:r w:rsidR="00784B06">
        <w:t xml:space="preserve">which </w:t>
      </w:r>
      <w:r w:rsidR="007A4A19">
        <w:t xml:space="preserve">achieved increased </w:t>
      </w:r>
      <w:r w:rsidR="007A4A19" w:rsidRPr="00B10129">
        <w:t xml:space="preserve">engagement </w:t>
      </w:r>
      <w:r w:rsidR="007A4A19">
        <w:t xml:space="preserve">alongside </w:t>
      </w:r>
      <w:r w:rsidR="00784B06">
        <w:t xml:space="preserve">an increase in </w:t>
      </w:r>
      <w:r w:rsidRPr="00B10129">
        <w:t>referral numbers</w:t>
      </w:r>
      <w:r w:rsidRPr="00FE5AFC">
        <w:t>.</w:t>
      </w:r>
    </w:p>
    <w:p w14:paraId="47C1E41D" w14:textId="27BD8B4B" w:rsidR="00CF0EA3" w:rsidRDefault="00CF0EA3" w:rsidP="0009733A">
      <w:pPr>
        <w:pStyle w:val="Heading6"/>
      </w:pPr>
      <w:r>
        <w:lastRenderedPageBreak/>
        <w:t>Figure</w:t>
      </w:r>
      <w:r w:rsidR="0028318E">
        <w:t xml:space="preserve"> </w:t>
      </w:r>
      <w:r w:rsidR="007A4A19">
        <w:t>5</w:t>
      </w:r>
      <w:r w:rsidR="0028318E">
        <w:t>.7e</w:t>
      </w:r>
      <w:r w:rsidR="00171F1A">
        <w:t>. Continuity of care in Peterborough and England over time.</w:t>
      </w:r>
    </w:p>
    <w:p w14:paraId="74590207" w14:textId="3D046060" w:rsidR="00CF0EA3" w:rsidRDefault="00241BA1" w:rsidP="00CF0EA3">
      <w:r>
        <w:rPr>
          <w:noProof/>
        </w:rPr>
        <w:drawing>
          <wp:inline distT="0" distB="0" distL="0" distR="0" wp14:anchorId="6BF204E2" wp14:editId="16882CF0">
            <wp:extent cx="5731510" cy="3764280"/>
            <wp:effectExtent l="0" t="0" r="2540" b="7620"/>
            <wp:docPr id="635413575" name="Chart 1">
              <a:extLst xmlns:a="http://schemas.openxmlformats.org/drawingml/2006/main">
                <a:ext uri="{FF2B5EF4-FFF2-40B4-BE49-F238E27FC236}">
                  <a16:creationId xmlns:a16="http://schemas.microsoft.com/office/drawing/2014/main" id="{CB22768C-8F2E-6EDB-3AA7-809444F97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AFAA0D" w14:textId="562CA25F" w:rsidR="00CF0EA3" w:rsidRPr="00171F1A" w:rsidRDefault="00171F1A" w:rsidP="00CF0EA3">
      <w:pPr>
        <w:rPr>
          <w:sz w:val="20"/>
          <w:szCs w:val="20"/>
        </w:rPr>
      </w:pPr>
      <w:r w:rsidRPr="00171F1A">
        <w:rPr>
          <w:sz w:val="20"/>
          <w:szCs w:val="20"/>
        </w:rPr>
        <w:t>Source: NDTMS Data.</w:t>
      </w:r>
    </w:p>
    <w:p w14:paraId="5BF994C3" w14:textId="57AC567A" w:rsidR="00CF0EA3" w:rsidRDefault="00CF0EA3" w:rsidP="00CF0EA3">
      <w:r w:rsidRPr="00E16170">
        <w:t>The recent increase in the number of prison leavers is expected to continue, compounded by early release measures introduced in late 2024 to alleviate prison overcrowding. These measures are likely to further strain efforts to engage prisoners upon release and present new challenges in ensuring continuity of care.</w:t>
      </w:r>
    </w:p>
    <w:p w14:paraId="10CCEA63" w14:textId="77777777" w:rsidR="00CF0EA3" w:rsidRDefault="00CF0EA3" w:rsidP="00CF0EA3"/>
    <w:p w14:paraId="1D847245" w14:textId="77777777" w:rsidR="00FF4BDB" w:rsidRDefault="00FF4BDB" w:rsidP="00FF4BDB">
      <w:pPr>
        <w:rPr>
          <w:b/>
          <w:bCs/>
        </w:rPr>
      </w:pPr>
      <w:r>
        <w:rPr>
          <w:b/>
          <w:bCs/>
        </w:rPr>
        <w:t xml:space="preserve">Other Links to Criminal Justice </w:t>
      </w:r>
    </w:p>
    <w:p w14:paraId="6FBDDEA4" w14:textId="77777777" w:rsidR="00D652F2" w:rsidRDefault="00FF4BDB" w:rsidP="00FF4BDB">
      <w:r>
        <w:t>Other parts of t</w:t>
      </w:r>
      <w:r w:rsidRPr="00C05CC9">
        <w:t xml:space="preserve">he criminal justice (CJ) system </w:t>
      </w:r>
      <w:r w:rsidR="002D2D9A" w:rsidRPr="002D2D9A">
        <w:t xml:space="preserve">play a </w:t>
      </w:r>
      <w:r w:rsidR="002D2D9A" w:rsidRPr="002D2D9A">
        <w:rPr>
          <w:b/>
          <w:bCs/>
        </w:rPr>
        <w:t>crucial role in providing pathways</w:t>
      </w:r>
      <w:r w:rsidR="002D2D9A" w:rsidRPr="002D2D9A">
        <w:t xml:space="preserve"> into DA services, ensuring that individuals in contact with law</w:t>
      </w:r>
      <w:r w:rsidR="002D2D9A">
        <w:t xml:space="preserve"> </w:t>
      </w:r>
      <w:r w:rsidRPr="00C05CC9">
        <w:t xml:space="preserve">enforcement receive appropriate support for substance use issues. </w:t>
      </w:r>
    </w:p>
    <w:p w14:paraId="2526FF95" w14:textId="49D16B97" w:rsidR="00C86FCB" w:rsidRDefault="006C61F4" w:rsidP="00FF4BDB">
      <w:r>
        <w:t xml:space="preserve">In the year ending March 2024, </w:t>
      </w:r>
      <w:r w:rsidR="008A1E0C">
        <w:t xml:space="preserve">while 504 referrals </w:t>
      </w:r>
      <w:r w:rsidR="00E62846">
        <w:t xml:space="preserve">into DA services </w:t>
      </w:r>
      <w:r w:rsidR="00944324">
        <w:t xml:space="preserve">came from prison, </w:t>
      </w:r>
      <w:r w:rsidR="002E3153">
        <w:t xml:space="preserve">359 came from </w:t>
      </w:r>
      <w:r w:rsidR="00094536">
        <w:t>other CJ referral routes</w:t>
      </w:r>
      <w:r w:rsidR="00384974">
        <w:t xml:space="preserve">- </w:t>
      </w:r>
      <w:r w:rsidR="00384974" w:rsidRPr="00384974">
        <w:t>an almost fivefold increase from the 74 recorded in the year ending March 2022</w:t>
      </w:r>
      <w:r w:rsidR="00094536">
        <w:t xml:space="preserve">. </w:t>
      </w:r>
      <w:r w:rsidR="006C61DB" w:rsidRPr="006C61DB">
        <w:t>This include</w:t>
      </w:r>
      <w:r w:rsidR="006C61DB">
        <w:t>d</w:t>
      </w:r>
      <w:r w:rsidR="006C61DB" w:rsidRPr="006C61DB">
        <w:t xml:space="preserve"> 111 referrals from the Arrest Referral/Drug Intervention Programme, 85 court-ordered referrals, 81 from probation, and 45 from Liaison and Diversion services.</w:t>
      </w:r>
    </w:p>
    <w:p w14:paraId="2B791BCB" w14:textId="2AAE48AF" w:rsidR="0062780E" w:rsidRDefault="00FF4BDB" w:rsidP="00FF4BDB">
      <w:r>
        <w:t>This demonstrates</w:t>
      </w:r>
      <w:r w:rsidR="009D6D87">
        <w:t xml:space="preserve"> the</w:t>
      </w:r>
      <w:r>
        <w:t xml:space="preserve"> </w:t>
      </w:r>
      <w:r w:rsidRPr="00082444">
        <w:t>broad range of pathways through which individuals with substance use issues can access support</w:t>
      </w:r>
      <w:r>
        <w:t xml:space="preserve">, with </w:t>
      </w:r>
      <w:r w:rsidRPr="00082444">
        <w:t>growing recognition of substance use as a</w:t>
      </w:r>
      <w:r>
        <w:t xml:space="preserve">n </w:t>
      </w:r>
      <w:r w:rsidRPr="00082444">
        <w:t>issue</w:t>
      </w:r>
      <w:r>
        <w:t xml:space="preserve"> in this </w:t>
      </w:r>
      <w:r w:rsidR="00476FEC">
        <w:t>group</w:t>
      </w:r>
      <w:r w:rsidR="00B658D2">
        <w:t>.</w:t>
      </w:r>
    </w:p>
    <w:p w14:paraId="2EC8BC22" w14:textId="1B0B29CC" w:rsidR="00A21291" w:rsidRDefault="00FA402C" w:rsidP="00CF0EA3">
      <w:pPr>
        <w:rPr>
          <w:b/>
          <w:bCs/>
        </w:rPr>
      </w:pPr>
      <w:r>
        <w:rPr>
          <w:b/>
          <w:bCs/>
        </w:rPr>
        <w:t>County Lines and Vulnerable People</w:t>
      </w:r>
    </w:p>
    <w:p w14:paraId="2DDE6AB5" w14:textId="77777777" w:rsidR="00A92FF0" w:rsidRDefault="00A92FF0" w:rsidP="00A92FF0">
      <w:pPr>
        <w:spacing w:before="100" w:beforeAutospacing="1" w:after="100" w:afterAutospacing="1"/>
      </w:pPr>
      <w:r>
        <w:t xml:space="preserve">Another important consideration is exploitation of vulnerable individuals, particularly CYP, through County Lines drug networks. </w:t>
      </w:r>
      <w:r>
        <w:rPr>
          <w:rStyle w:val="Strong"/>
        </w:rPr>
        <w:t>County Lines</w:t>
      </w:r>
      <w:r>
        <w:t xml:space="preserve"> refers to the practice of drug gangs </w:t>
      </w:r>
      <w:r>
        <w:lastRenderedPageBreak/>
        <w:t>expanding their operations from urban centres into smaller towns and rural areas, often using coercion, violence, and exploitation to recruit young people to transport and sell drugs.</w:t>
      </w:r>
    </w:p>
    <w:p w14:paraId="48B06351" w14:textId="77777777" w:rsidR="00A92FF0" w:rsidRDefault="00A92FF0" w:rsidP="00A92FF0">
      <w:pPr>
        <w:spacing w:before="100" w:beforeAutospacing="1" w:after="100" w:afterAutospacing="1"/>
      </w:pPr>
      <w:r>
        <w:t>This has significant implications for substance use services, as young people drawn into County Lines activity may have complex needs, including substance misuse, trauma, and safeguarding concerns. Engagement with support services can be challenging due to fear of repercussions from gangs, criminalisation, or mistrust of authorities.</w:t>
      </w:r>
    </w:p>
    <w:p w14:paraId="31DEF1CB" w14:textId="55A4C257" w:rsidR="00A92FF0" w:rsidRDefault="00A92FF0" w:rsidP="00A92FF0">
      <w:pPr>
        <w:spacing w:before="100" w:beforeAutospacing="1" w:after="100" w:afterAutospacing="1"/>
      </w:pPr>
      <w:r w:rsidRPr="005C041D">
        <w:t xml:space="preserve">Although data reporting and availability </w:t>
      </w:r>
      <w:r>
        <w:t>is</w:t>
      </w:r>
      <w:r w:rsidRPr="005C041D">
        <w:t xml:space="preserve"> limited, local intelligence offers some insight into the scale of County Lines activity. Over the eight-month period to January 2025, there were intelligence reports concerning approximately</w:t>
      </w:r>
      <w:r>
        <w:t xml:space="preserve"> 377 county lines across Cambridgeshire and Peterborough </w:t>
      </w:r>
      <w:r w:rsidRPr="008B5EEC">
        <w:t xml:space="preserve">(with </w:t>
      </w:r>
      <w:r>
        <w:t>all of Cambridgeshire</w:t>
      </w:r>
      <w:r w:rsidRPr="008B5EEC">
        <w:t xml:space="preserve"> included as it falls under Cambridgeshire Constabulary).</w:t>
      </w:r>
      <w:r>
        <w:t xml:space="preserve"> Of these, 49 were linked to the trafficking children and 201 involved vulnerable adults. By area, the highest number of active lines was recorded in Peterborough, followed by Cambridge City.</w:t>
      </w:r>
    </w:p>
    <w:p w14:paraId="50EECAA4" w14:textId="44F8E02C" w:rsidR="00A92FF0" w:rsidRDefault="00A92FF0" w:rsidP="00A92FF0">
      <w:pPr>
        <w:spacing w:before="100" w:beforeAutospacing="1" w:after="100" w:afterAutospacing="1"/>
      </w:pPr>
      <w:r w:rsidRPr="00F36EDF">
        <w:t xml:space="preserve">Initiatives </w:t>
      </w:r>
      <w:r w:rsidR="00B57823">
        <w:t>across</w:t>
      </w:r>
      <w:r w:rsidRPr="00F36EDF">
        <w:t xml:space="preserve"> Cambridgeshire</w:t>
      </w:r>
      <w:r w:rsidR="00B57823">
        <w:t xml:space="preserve"> and Peterborough</w:t>
      </w:r>
      <w:r w:rsidRPr="00F36EDF">
        <w:t xml:space="preserve"> have recently been recognised nationally as best practice, with successful disruption of County Lines activity. This work requires strong regional collaboration through the Eastern Region Special Operations Unit (ERSOU) and coordination with multiple police forces, including the Metropolitan Police</w:t>
      </w:r>
      <w:r>
        <w:t xml:space="preserve"> </w:t>
      </w:r>
      <w:r w:rsidRPr="00F36EDF">
        <w:t xml:space="preserve">due to </w:t>
      </w:r>
      <w:r w:rsidR="000278CF">
        <w:t>our area’s</w:t>
      </w:r>
      <w:r w:rsidRPr="00F36EDF">
        <w:t xml:space="preserve"> proximity to London</w:t>
      </w:r>
      <w:r>
        <w:t xml:space="preserve">; </w:t>
      </w:r>
      <w:r w:rsidRPr="00F36EDF">
        <w:t xml:space="preserve">a </w:t>
      </w:r>
      <w:r>
        <w:t xml:space="preserve">key factor which drives local </w:t>
      </w:r>
      <w:r w:rsidRPr="00F36EDF">
        <w:t>case numbers.</w:t>
      </w:r>
    </w:p>
    <w:p w14:paraId="73E0E3DF" w14:textId="77777777" w:rsidR="00A92FF0" w:rsidRDefault="00A92FF0" w:rsidP="00A92FF0">
      <w:r w:rsidRPr="009A730F">
        <w:t>Well-established partnerships with internal teams, neighbouring areas, and drug and alcohol services are vital to ensure that those affected are identified and supported appropriately.</w:t>
      </w:r>
    </w:p>
    <w:p w14:paraId="79F2E231" w14:textId="77777777" w:rsidR="00FA402C" w:rsidRPr="00FA402C" w:rsidRDefault="00FA402C" w:rsidP="00CF0EA3"/>
    <w:p w14:paraId="33D30EF0" w14:textId="320EDF44" w:rsidR="00666EC0" w:rsidRDefault="00666EC0" w:rsidP="00666EC0">
      <w:pPr>
        <w:pStyle w:val="Heading3"/>
      </w:pPr>
      <w:bookmarkStart w:id="72" w:name="_Toc200479504"/>
      <w:r>
        <w:t>H</w:t>
      </w:r>
      <w:r w:rsidR="00C63B6E">
        <w:t>ousing and H</w:t>
      </w:r>
      <w:r>
        <w:t>omelessness</w:t>
      </w:r>
      <w:bookmarkEnd w:id="72"/>
    </w:p>
    <w:p w14:paraId="2F79E21A" w14:textId="2CE1DDED" w:rsidR="00666EC0" w:rsidRDefault="00666EC0" w:rsidP="00666EC0">
      <w:r w:rsidRPr="002D5B4E">
        <w:rPr>
          <w:b/>
          <w:bCs/>
        </w:rPr>
        <w:t>Ensuring housing stability</w:t>
      </w:r>
      <w:r w:rsidRPr="004506B3">
        <w:t xml:space="preserve"> </w:t>
      </w:r>
      <w:r w:rsidR="00A80D8B">
        <w:t>is</w:t>
      </w:r>
      <w:r w:rsidRPr="004506B3">
        <w:t xml:space="preserve"> a critical component of effective substance use treatment strategies. Between 2022 and 2024, </w:t>
      </w:r>
      <w:r w:rsidR="00C17690">
        <w:t xml:space="preserve">around </w:t>
      </w:r>
      <w:r w:rsidR="00D26479" w:rsidRPr="002D5B4E">
        <w:rPr>
          <w:b/>
          <w:bCs/>
        </w:rPr>
        <w:t>7</w:t>
      </w:r>
      <w:r w:rsidR="00C17690" w:rsidRPr="002D5B4E">
        <w:rPr>
          <w:b/>
          <w:bCs/>
        </w:rPr>
        <w:t>8</w:t>
      </w:r>
      <w:r w:rsidR="002D5B4E">
        <w:rPr>
          <w:b/>
          <w:bCs/>
        </w:rPr>
        <w:t>-</w:t>
      </w:r>
      <w:r w:rsidR="008D1CD2" w:rsidRPr="002D5B4E">
        <w:rPr>
          <w:b/>
          <w:bCs/>
        </w:rPr>
        <w:t>8</w:t>
      </w:r>
      <w:r w:rsidR="00C17690" w:rsidRPr="002D5B4E">
        <w:rPr>
          <w:b/>
          <w:bCs/>
        </w:rPr>
        <w:t>1</w:t>
      </w:r>
      <w:r w:rsidRPr="002D5B4E">
        <w:rPr>
          <w:b/>
          <w:bCs/>
        </w:rPr>
        <w:t>% of individuals</w:t>
      </w:r>
      <w:r w:rsidRPr="004506B3">
        <w:t xml:space="preserve"> in substance use treatment in </w:t>
      </w:r>
      <w:r w:rsidR="00364F82">
        <w:t>Peterbo</w:t>
      </w:r>
      <w:r w:rsidR="0045013C">
        <w:t>r</w:t>
      </w:r>
      <w:r w:rsidR="00364F82">
        <w:t>ough</w:t>
      </w:r>
      <w:r w:rsidRPr="004506B3">
        <w:t xml:space="preserve"> were recorded as living in </w:t>
      </w:r>
      <w:r w:rsidRPr="002D5B4E">
        <w:rPr>
          <w:b/>
          <w:bCs/>
        </w:rPr>
        <w:t>suitable accommodation</w:t>
      </w:r>
      <w:r w:rsidRPr="004506B3">
        <w:t xml:space="preserve">, according to NDTMS data. This is </w:t>
      </w:r>
      <w:r w:rsidR="00364F82" w:rsidRPr="002D5B4E">
        <w:rPr>
          <w:b/>
          <w:bCs/>
        </w:rPr>
        <w:t xml:space="preserve">lower than </w:t>
      </w:r>
      <w:r w:rsidRPr="002D5B4E">
        <w:rPr>
          <w:b/>
          <w:bCs/>
        </w:rPr>
        <w:t>national averages</w:t>
      </w:r>
      <w:r w:rsidRPr="004506B3">
        <w:t xml:space="preserve"> in the same </w:t>
      </w:r>
      <w:proofErr w:type="gramStart"/>
      <w:r w:rsidRPr="004506B3">
        <w:t>time period</w:t>
      </w:r>
      <w:proofErr w:type="gramEnd"/>
      <w:r w:rsidRPr="004506B3">
        <w:t xml:space="preserve"> which ranged from </w:t>
      </w:r>
      <w:r w:rsidRPr="002D5B4E">
        <w:rPr>
          <w:b/>
          <w:bCs/>
        </w:rPr>
        <w:t>86</w:t>
      </w:r>
      <w:r w:rsidR="002D5B4E">
        <w:rPr>
          <w:b/>
          <w:bCs/>
        </w:rPr>
        <w:t>-</w:t>
      </w:r>
      <w:r w:rsidRPr="002D5B4E">
        <w:rPr>
          <w:b/>
          <w:bCs/>
        </w:rPr>
        <w:t>88%.</w:t>
      </w:r>
    </w:p>
    <w:p w14:paraId="02BF2125" w14:textId="77777777" w:rsidR="00473153" w:rsidRDefault="00473153" w:rsidP="00473153">
      <w:r w:rsidRPr="002D5B4E">
        <w:rPr>
          <w:b/>
          <w:bCs/>
        </w:rPr>
        <w:t>Housing issues decreased</w:t>
      </w:r>
      <w:r>
        <w:t xml:space="preserve"> significantly among clients in Peterborough </w:t>
      </w:r>
      <w:r w:rsidRPr="002D5B4E">
        <w:rPr>
          <w:b/>
          <w:bCs/>
        </w:rPr>
        <w:t>between starting treatment and planned exits.</w:t>
      </w:r>
      <w:r>
        <w:t xml:space="preserve"> In the year ending March 2024:</w:t>
      </w:r>
    </w:p>
    <w:p w14:paraId="058CD96A" w14:textId="3FAB7BD8" w:rsidR="00473153" w:rsidRDefault="00473153" w:rsidP="00473153">
      <w:pPr>
        <w:pStyle w:val="ListParagraph"/>
        <w:numPr>
          <w:ilvl w:val="0"/>
          <w:numId w:val="1"/>
        </w:numPr>
      </w:pPr>
      <w:r>
        <w:t xml:space="preserve">The number of clients with acute housing issues reduced from 38 to 9, a </w:t>
      </w:r>
      <w:r w:rsidRPr="002D5B4E">
        <w:rPr>
          <w:b/>
          <w:bCs/>
        </w:rPr>
        <w:t>76.3%</w:t>
      </w:r>
      <w:r w:rsidR="008530DB" w:rsidRPr="002D5B4E">
        <w:rPr>
          <w:b/>
          <w:bCs/>
        </w:rPr>
        <w:t xml:space="preserve"> reduction</w:t>
      </w:r>
      <w:r w:rsidRPr="002D5B4E">
        <w:rPr>
          <w:b/>
          <w:bCs/>
        </w:rPr>
        <w:t>.</w:t>
      </w:r>
    </w:p>
    <w:p w14:paraId="077D76AD" w14:textId="3FAC205F" w:rsidR="00473153" w:rsidRDefault="00473153" w:rsidP="00473153">
      <w:pPr>
        <w:pStyle w:val="ListParagraph"/>
        <w:numPr>
          <w:ilvl w:val="0"/>
          <w:numId w:val="1"/>
        </w:numPr>
      </w:pPr>
      <w:r>
        <w:t xml:space="preserve">The number of clients at risk of eviction reduced from 21 to 12, a </w:t>
      </w:r>
      <w:r w:rsidRPr="002D5B4E">
        <w:rPr>
          <w:b/>
          <w:bCs/>
        </w:rPr>
        <w:t>42.9%</w:t>
      </w:r>
      <w:r w:rsidR="008530DB" w:rsidRPr="002D5B4E">
        <w:rPr>
          <w:b/>
          <w:bCs/>
        </w:rPr>
        <w:t xml:space="preserve"> reduction</w:t>
      </w:r>
      <w:r>
        <w:t>.</w:t>
      </w:r>
    </w:p>
    <w:p w14:paraId="6AD579DB" w14:textId="60BF15B4" w:rsidR="002A23B6" w:rsidRDefault="00473153" w:rsidP="00473153">
      <w:r>
        <w:t xml:space="preserve">For comparison, </w:t>
      </w:r>
      <w:r w:rsidRPr="002D5B4E">
        <w:rPr>
          <w:b/>
          <w:bCs/>
        </w:rPr>
        <w:t>nationally</w:t>
      </w:r>
      <w:r>
        <w:t xml:space="preserve">, acute housing issues saw a </w:t>
      </w:r>
      <w:r w:rsidRPr="002D5B4E">
        <w:rPr>
          <w:b/>
          <w:bCs/>
        </w:rPr>
        <w:t>63.5% reduction, and risk of eviction decreased by 62.3%</w:t>
      </w:r>
      <w:r>
        <w:t>.</w:t>
      </w:r>
      <w:r w:rsidR="0075600A">
        <w:t xml:space="preserve"> </w:t>
      </w:r>
      <w:r w:rsidR="0075600A" w:rsidRPr="0075600A">
        <w:t>This demonstrates that treatment services in Peterborough are addressing housing-related vulnerabilities as part of a holistic approach to client support, though there may be opportunities to strengthen support for those at risk of eviction to match national trends.</w:t>
      </w:r>
    </w:p>
    <w:p w14:paraId="5291CC3D" w14:textId="3C482B99" w:rsidR="008B0A31" w:rsidRDefault="008B0A31" w:rsidP="00820DDB"/>
    <w:p w14:paraId="71677074" w14:textId="4962A125" w:rsidR="007662FD" w:rsidRDefault="007662FD" w:rsidP="007662FD">
      <w:r w:rsidRPr="002D5B4E">
        <w:rPr>
          <w:b/>
          <w:bCs/>
        </w:rPr>
        <w:t>Homelessness</w:t>
      </w:r>
      <w:r w:rsidRPr="009A641F">
        <w:t xml:space="preserve"> is associated with poorer drug and alcohol treatment and overall poorer health outcomes.</w:t>
      </w:r>
      <w:r>
        <w:t xml:space="preserve"> </w:t>
      </w:r>
      <w:r w:rsidRPr="00ED4B18">
        <w:t>Rough Sleeping Drug and Alcohol Treatment Grant (RSDATG)</w:t>
      </w:r>
      <w:r>
        <w:t xml:space="preserve"> </w:t>
      </w:r>
      <w:r w:rsidRPr="00184537">
        <w:t xml:space="preserve">is a national funding </w:t>
      </w:r>
      <w:r w:rsidRPr="00184537">
        <w:lastRenderedPageBreak/>
        <w:t>programme</w:t>
      </w:r>
      <w:r>
        <w:t xml:space="preserve">, </w:t>
      </w:r>
      <w:r w:rsidRPr="005F2E48">
        <w:t>aiming to contribute to the government’s ambition to end rough sleeping by the end of 2025</w:t>
      </w:r>
      <w:r>
        <w:t>.</w:t>
      </w:r>
      <w:r w:rsidRPr="002E3792">
        <w:t xml:space="preserve"> </w:t>
      </w:r>
    </w:p>
    <w:p w14:paraId="2851F9FE" w14:textId="4FADDCE0" w:rsidR="007662FD" w:rsidRDefault="007662FD" w:rsidP="007662FD">
      <w:r>
        <w:t>An evaluation was conducted into RSDATG in 2023</w:t>
      </w:r>
      <w:r w:rsidR="00F718F9">
        <w:rPr>
          <w:rStyle w:val="FootnoteReference"/>
        </w:rPr>
        <w:footnoteReference w:id="34"/>
      </w:r>
      <w:r>
        <w:t xml:space="preserve"> including modelling which </w:t>
      </w:r>
      <w:r w:rsidRPr="002D5B4E">
        <w:rPr>
          <w:b/>
          <w:bCs/>
        </w:rPr>
        <w:t>estimated there to be 348 potential clients in Peterborough</w:t>
      </w:r>
      <w:r>
        <w:t xml:space="preserve">; these </w:t>
      </w:r>
      <w:proofErr w:type="gramStart"/>
      <w:r>
        <w:t xml:space="preserve">are </w:t>
      </w:r>
      <w:r w:rsidRPr="00FE3841">
        <w:t xml:space="preserve">people </w:t>
      </w:r>
      <w:r>
        <w:t>who are</w:t>
      </w:r>
      <w:proofErr w:type="gramEnd"/>
      <w:r>
        <w:t xml:space="preserve"> </w:t>
      </w:r>
      <w:r w:rsidRPr="00FE3841">
        <w:t xml:space="preserve">rough sleeping and using substances </w:t>
      </w:r>
      <w:r>
        <w:t xml:space="preserve">or </w:t>
      </w:r>
      <w:r w:rsidRPr="00FE3841">
        <w:t>at risk of rough sleeping and using substances</w:t>
      </w:r>
      <w:r>
        <w:t xml:space="preserve">. Around </w:t>
      </w:r>
      <w:r w:rsidRPr="002D5B4E">
        <w:rPr>
          <w:b/>
          <w:bCs/>
        </w:rPr>
        <w:t>40% of this potential cohort were engaged in treatment services</w:t>
      </w:r>
      <w:r>
        <w:t>. The evaluation found:</w:t>
      </w:r>
    </w:p>
    <w:p w14:paraId="6BF055D2" w14:textId="77777777" w:rsidR="007662FD" w:rsidRDefault="007662FD" w:rsidP="007662FD">
      <w:pPr>
        <w:pStyle w:val="ListParagraph"/>
        <w:numPr>
          <w:ilvl w:val="0"/>
          <w:numId w:val="1"/>
        </w:numPr>
      </w:pPr>
      <w:r>
        <w:t xml:space="preserve">A high proportion of people </w:t>
      </w:r>
      <w:r w:rsidRPr="002D5B4E">
        <w:rPr>
          <w:b/>
          <w:bCs/>
        </w:rPr>
        <w:t>(81%) were retained in treatment</w:t>
      </w:r>
      <w:r>
        <w:t xml:space="preserve"> for more than 12 weeks </w:t>
      </w:r>
    </w:p>
    <w:p w14:paraId="7E193D3D" w14:textId="77777777" w:rsidR="007662FD" w:rsidRDefault="007662FD" w:rsidP="007662FD">
      <w:pPr>
        <w:pStyle w:val="ListParagraph"/>
        <w:numPr>
          <w:ilvl w:val="0"/>
          <w:numId w:val="1"/>
        </w:numPr>
      </w:pPr>
      <w:r w:rsidRPr="002D5B4E">
        <w:rPr>
          <w:b/>
          <w:bCs/>
        </w:rPr>
        <w:t>10%</w:t>
      </w:r>
      <w:r>
        <w:t xml:space="preserve"> of the </w:t>
      </w:r>
      <w:r w:rsidRPr="00053447">
        <w:t xml:space="preserve">cohort </w:t>
      </w:r>
      <w:r>
        <w:t xml:space="preserve">who </w:t>
      </w:r>
      <w:r w:rsidRPr="00053447">
        <w:t xml:space="preserve">engaged during 2022/23 </w:t>
      </w:r>
      <w:r w:rsidRPr="002D5B4E">
        <w:rPr>
          <w:b/>
          <w:bCs/>
        </w:rPr>
        <w:t>successfully completed treatment</w:t>
      </w:r>
    </w:p>
    <w:p w14:paraId="294F595A" w14:textId="77777777" w:rsidR="007662FD" w:rsidRDefault="007662FD" w:rsidP="007662FD">
      <w:pPr>
        <w:pStyle w:val="ListParagraph"/>
        <w:numPr>
          <w:ilvl w:val="0"/>
          <w:numId w:val="1"/>
        </w:numPr>
      </w:pPr>
      <w:r w:rsidRPr="002D5B4E">
        <w:rPr>
          <w:b/>
          <w:bCs/>
        </w:rPr>
        <w:t>19% disengaged</w:t>
      </w:r>
      <w:r>
        <w:t xml:space="preserve"> from treatment</w:t>
      </w:r>
    </w:p>
    <w:p w14:paraId="6423A5D7" w14:textId="77777777" w:rsidR="007662FD" w:rsidRDefault="007662FD" w:rsidP="007662FD">
      <w:pPr>
        <w:pStyle w:val="ListParagraph"/>
        <w:numPr>
          <w:ilvl w:val="0"/>
          <w:numId w:val="1"/>
        </w:numPr>
      </w:pPr>
      <w:r w:rsidRPr="002D5B4E">
        <w:rPr>
          <w:b/>
          <w:bCs/>
        </w:rPr>
        <w:t>85% of people accessing treatment showed a reduction in drug us</w:t>
      </w:r>
      <w:r>
        <w:t>e during engagement</w:t>
      </w:r>
    </w:p>
    <w:p w14:paraId="469E0245" w14:textId="77777777" w:rsidR="007662FD" w:rsidRDefault="007662FD" w:rsidP="007662FD">
      <w:pPr>
        <w:pStyle w:val="ListParagraph"/>
        <w:numPr>
          <w:ilvl w:val="0"/>
          <w:numId w:val="1"/>
        </w:numPr>
      </w:pPr>
      <w:proofErr w:type="gramStart"/>
      <w:r>
        <w:t>The majority of</w:t>
      </w:r>
      <w:proofErr w:type="gramEnd"/>
      <w:r>
        <w:t xml:space="preserve"> surveyed clients </w:t>
      </w:r>
      <w:r w:rsidRPr="002D5B4E">
        <w:rPr>
          <w:b/>
          <w:bCs/>
        </w:rPr>
        <w:t>trust staff, would recommend the service</w:t>
      </w:r>
      <w:r>
        <w:t xml:space="preserve"> and reported </w:t>
      </w:r>
      <w:r w:rsidRPr="002D5B4E">
        <w:rPr>
          <w:b/>
          <w:bCs/>
        </w:rPr>
        <w:t xml:space="preserve">positive health or life impacts </w:t>
      </w:r>
      <w:r>
        <w:t>from engagement</w:t>
      </w:r>
    </w:p>
    <w:p w14:paraId="36C9F0C0" w14:textId="77777777" w:rsidR="007662FD" w:rsidRDefault="007662FD" w:rsidP="007662FD">
      <w:pPr>
        <w:pStyle w:val="ListParagraph"/>
        <w:numPr>
          <w:ilvl w:val="0"/>
          <w:numId w:val="1"/>
        </w:numPr>
      </w:pPr>
      <w:r>
        <w:t xml:space="preserve">There was an </w:t>
      </w:r>
      <w:r w:rsidRPr="002D5B4E">
        <w:rPr>
          <w:b/>
          <w:bCs/>
        </w:rPr>
        <w:t>increase in the number of people in a home or accommodation</w:t>
      </w:r>
      <w:r>
        <w:t xml:space="preserve"> whilst engaging with services</w:t>
      </w:r>
    </w:p>
    <w:p w14:paraId="18A36FF8" w14:textId="3A9A4D1A" w:rsidR="00370729" w:rsidRDefault="00790DC4" w:rsidP="00666EC0">
      <w:r>
        <w:t xml:space="preserve">In the year ending </w:t>
      </w:r>
      <w:r w:rsidRPr="002D5B4E">
        <w:rPr>
          <w:b/>
          <w:bCs/>
        </w:rPr>
        <w:t xml:space="preserve">March </w:t>
      </w:r>
      <w:r w:rsidR="00047458" w:rsidRPr="002D5B4E">
        <w:rPr>
          <w:b/>
          <w:bCs/>
        </w:rPr>
        <w:t>20</w:t>
      </w:r>
      <w:r w:rsidR="007662FD" w:rsidRPr="002D5B4E">
        <w:rPr>
          <w:b/>
          <w:bCs/>
        </w:rPr>
        <w:t>24</w:t>
      </w:r>
      <w:r w:rsidR="00047458" w:rsidRPr="002D5B4E">
        <w:rPr>
          <w:b/>
          <w:bCs/>
        </w:rPr>
        <w:t xml:space="preserve">, </w:t>
      </w:r>
      <w:r w:rsidR="002C45B0" w:rsidRPr="002D5B4E">
        <w:rPr>
          <w:b/>
          <w:bCs/>
        </w:rPr>
        <w:t>1</w:t>
      </w:r>
      <w:r w:rsidR="000F03FF" w:rsidRPr="002D5B4E">
        <w:rPr>
          <w:b/>
          <w:bCs/>
        </w:rPr>
        <w:t>18 new clients</w:t>
      </w:r>
      <w:r w:rsidR="000F03FF">
        <w:t xml:space="preserve"> </w:t>
      </w:r>
      <w:r w:rsidR="00047458">
        <w:t>e</w:t>
      </w:r>
      <w:r w:rsidR="00047458" w:rsidRPr="00047458">
        <w:t>ngag</w:t>
      </w:r>
      <w:r w:rsidR="002C45B0">
        <w:t>ed</w:t>
      </w:r>
      <w:r w:rsidR="00047458" w:rsidRPr="00047458">
        <w:t xml:space="preserve"> with structured treatmen</w:t>
      </w:r>
      <w:r w:rsidR="00047458">
        <w:t>t</w:t>
      </w:r>
      <w:r w:rsidR="002C45B0">
        <w:t xml:space="preserve"> through RSDAT</w:t>
      </w:r>
      <w:r w:rsidR="002E4DC0">
        <w:t>.</w:t>
      </w:r>
    </w:p>
    <w:p w14:paraId="01F8CC88" w14:textId="77777777" w:rsidR="00961554" w:rsidRPr="00666EC0" w:rsidRDefault="00961554" w:rsidP="00471A09"/>
    <w:p w14:paraId="6F7DF2A4" w14:textId="63B6400E" w:rsidR="00344BC0" w:rsidRDefault="00344BC0" w:rsidP="00344BC0">
      <w:pPr>
        <w:pStyle w:val="Heading3"/>
      </w:pPr>
      <w:bookmarkStart w:id="73" w:name="_Toc200479505"/>
      <w:r>
        <w:t>Parents in Treatment for Substance Misuse</w:t>
      </w:r>
      <w:bookmarkEnd w:id="73"/>
    </w:p>
    <w:p w14:paraId="5A7B014D" w14:textId="299871DA" w:rsidR="00555C58" w:rsidRDefault="008C5242" w:rsidP="00344BC0">
      <w:r w:rsidRPr="002D5B4E">
        <w:rPr>
          <w:b/>
          <w:bCs/>
        </w:rPr>
        <w:t>C</w:t>
      </w:r>
      <w:r w:rsidR="0025266C" w:rsidRPr="002D5B4E">
        <w:rPr>
          <w:b/>
          <w:bCs/>
        </w:rPr>
        <w:t>aring for children while managing substance</w:t>
      </w:r>
      <w:r w:rsidR="0025266C" w:rsidRPr="006A33D9">
        <w:t xml:space="preserve"> use</w:t>
      </w:r>
      <w:r w:rsidR="00E30E04">
        <w:t xml:space="preserve"> </w:t>
      </w:r>
      <w:r>
        <w:t xml:space="preserve">can impact </w:t>
      </w:r>
      <w:r w:rsidR="00242614">
        <w:t>both a parent and their children</w:t>
      </w:r>
      <w:r w:rsidR="004747D7" w:rsidRPr="004747D7">
        <w:t>.</w:t>
      </w:r>
      <w:r w:rsidR="00344BC0">
        <w:t xml:space="preserve"> This section </w:t>
      </w:r>
      <w:r w:rsidR="00242614">
        <w:t>presents</w:t>
      </w:r>
      <w:r w:rsidR="00344BC0">
        <w:t xml:space="preserve"> the number of parents receiving treatment for drug and alcohol misuse in </w:t>
      </w:r>
      <w:r w:rsidR="00E21A7F">
        <w:t>Peterborough</w:t>
      </w:r>
      <w:r w:rsidR="00F2238E">
        <w:t xml:space="preserve"> and </w:t>
      </w:r>
      <w:r w:rsidR="00344BC0">
        <w:t>highlight</w:t>
      </w:r>
      <w:r w:rsidR="00F2238E">
        <w:t>s</w:t>
      </w:r>
      <w:r w:rsidR="00344BC0">
        <w:t xml:space="preserve"> the proportion who access parental support services</w:t>
      </w:r>
      <w:r w:rsidR="007928B0">
        <w:t>.</w:t>
      </w:r>
    </w:p>
    <w:p w14:paraId="4951DC8B" w14:textId="12E9CE47" w:rsidR="007F46C5" w:rsidRDefault="00E96424" w:rsidP="00344BC0">
      <w:r>
        <w:t xml:space="preserve">In the year ending March 2024, there were </w:t>
      </w:r>
      <w:r w:rsidR="00555C58" w:rsidRPr="16F14F99">
        <w:rPr>
          <w:b/>
          <w:bCs/>
        </w:rPr>
        <w:t>672</w:t>
      </w:r>
      <w:r w:rsidR="005142EF" w:rsidRPr="16F14F99">
        <w:rPr>
          <w:b/>
          <w:bCs/>
        </w:rPr>
        <w:t xml:space="preserve"> </w:t>
      </w:r>
      <w:r w:rsidRPr="16F14F99">
        <w:rPr>
          <w:b/>
          <w:bCs/>
        </w:rPr>
        <w:t xml:space="preserve">parents in treatment for drugs and alcohol in </w:t>
      </w:r>
      <w:r w:rsidR="005142EF" w:rsidRPr="16F14F99">
        <w:rPr>
          <w:b/>
          <w:bCs/>
        </w:rPr>
        <w:t>Peterborough</w:t>
      </w:r>
      <w:r>
        <w:t xml:space="preserve">. This is of a total of </w:t>
      </w:r>
      <w:r w:rsidR="005142EF">
        <w:t>1</w:t>
      </w:r>
      <w:r w:rsidR="0035199E">
        <w:t>745</w:t>
      </w:r>
      <w:r w:rsidR="005142EF">
        <w:t xml:space="preserve"> </w:t>
      </w:r>
      <w:r>
        <w:t xml:space="preserve">adults, so </w:t>
      </w:r>
      <w:r w:rsidR="004A177E" w:rsidRPr="16F14F99">
        <w:rPr>
          <w:b/>
          <w:bCs/>
        </w:rPr>
        <w:t>38.5</w:t>
      </w:r>
      <w:r w:rsidRPr="16F14F99">
        <w:rPr>
          <w:b/>
          <w:bCs/>
        </w:rPr>
        <w:t>% of our service users were parents</w:t>
      </w:r>
      <w:r>
        <w:t>.</w:t>
      </w:r>
      <w:r w:rsidR="009A4816">
        <w:t xml:space="preserve"> </w:t>
      </w:r>
      <w:r w:rsidR="007F46C5">
        <w:t xml:space="preserve">Of these </w:t>
      </w:r>
      <w:r w:rsidR="00E17F13">
        <w:t xml:space="preserve">parents, </w:t>
      </w:r>
      <w:r w:rsidR="00E17F13" w:rsidRPr="16F14F99">
        <w:rPr>
          <w:b/>
          <w:bCs/>
        </w:rPr>
        <w:t xml:space="preserve">48% </w:t>
      </w:r>
      <w:r w:rsidR="00F37B9E" w:rsidRPr="16F14F99">
        <w:rPr>
          <w:b/>
          <w:bCs/>
        </w:rPr>
        <w:t xml:space="preserve">(352) </w:t>
      </w:r>
      <w:r w:rsidR="00E17F13" w:rsidRPr="16F14F99">
        <w:rPr>
          <w:b/>
          <w:bCs/>
        </w:rPr>
        <w:t xml:space="preserve">were living with </w:t>
      </w:r>
      <w:r w:rsidR="001A142D" w:rsidRPr="16F14F99">
        <w:rPr>
          <w:b/>
          <w:bCs/>
        </w:rPr>
        <w:t>children</w:t>
      </w:r>
      <w:r w:rsidR="00F37B9E">
        <w:t xml:space="preserve">. An additional </w:t>
      </w:r>
      <w:r w:rsidR="00F37B9E" w:rsidRPr="16F14F99">
        <w:rPr>
          <w:b/>
          <w:bCs/>
        </w:rPr>
        <w:t>52 adults in treatment were not a parent but were living with children</w:t>
      </w:r>
      <w:r w:rsidR="00F37B9E">
        <w:t>.</w:t>
      </w:r>
    </w:p>
    <w:p w14:paraId="3F8457BC" w14:textId="53F9DF8F" w:rsidR="00344BC0" w:rsidRDefault="00EE3A29" w:rsidP="00344BC0">
      <w:r w:rsidRPr="00EE3A29">
        <w:t xml:space="preserve">Parental support services are a critical component of treatment, </w:t>
      </w:r>
      <w:proofErr w:type="gramStart"/>
      <w:r w:rsidRPr="00EE3A29">
        <w:t>offering assistance</w:t>
      </w:r>
      <w:proofErr w:type="gramEnd"/>
      <w:r w:rsidRPr="00EE3A29">
        <w:t xml:space="preserve"> tailored to the unique challenges faced by parents.</w:t>
      </w:r>
      <w:r w:rsidR="00237766" w:rsidRPr="002D5B4E">
        <w:rPr>
          <w:b/>
          <w:bCs/>
        </w:rPr>
        <w:t>18.</w:t>
      </w:r>
      <w:r w:rsidR="004A177E" w:rsidRPr="002D5B4E">
        <w:rPr>
          <w:b/>
          <w:bCs/>
        </w:rPr>
        <w:t>5</w:t>
      </w:r>
      <w:r w:rsidR="00237766" w:rsidRPr="002D5B4E">
        <w:rPr>
          <w:b/>
          <w:bCs/>
        </w:rPr>
        <w:t xml:space="preserve">% of </w:t>
      </w:r>
      <w:r w:rsidR="00F37B9E" w:rsidRPr="002D5B4E">
        <w:rPr>
          <w:b/>
          <w:bCs/>
        </w:rPr>
        <w:t xml:space="preserve">all </w:t>
      </w:r>
      <w:r w:rsidR="00237766" w:rsidRPr="002D5B4E">
        <w:rPr>
          <w:b/>
          <w:bCs/>
        </w:rPr>
        <w:t>parents</w:t>
      </w:r>
      <w:r w:rsidR="00147B47" w:rsidRPr="002D5B4E">
        <w:rPr>
          <w:b/>
          <w:bCs/>
        </w:rPr>
        <w:t xml:space="preserve"> in treatment in Peterborough</w:t>
      </w:r>
      <w:r w:rsidR="00237766" w:rsidRPr="002D5B4E">
        <w:rPr>
          <w:b/>
          <w:bCs/>
        </w:rPr>
        <w:t xml:space="preserve"> received parental support; </w:t>
      </w:r>
      <w:r w:rsidR="004A177E" w:rsidRPr="002D5B4E">
        <w:rPr>
          <w:b/>
          <w:bCs/>
        </w:rPr>
        <w:t>124</w:t>
      </w:r>
      <w:r w:rsidR="00237766" w:rsidRPr="002D5B4E">
        <w:rPr>
          <w:b/>
          <w:bCs/>
        </w:rPr>
        <w:t xml:space="preserve"> of </w:t>
      </w:r>
      <w:r w:rsidR="004A177E" w:rsidRPr="002D5B4E">
        <w:rPr>
          <w:b/>
          <w:bCs/>
        </w:rPr>
        <w:t>672</w:t>
      </w:r>
      <w:r w:rsidR="00237766">
        <w:t xml:space="preserve">. </w:t>
      </w:r>
      <w:r w:rsidR="00646F85">
        <w:t xml:space="preserve">This represents a recent increase from a low of </w:t>
      </w:r>
      <w:r w:rsidR="001F3C40">
        <w:t>62</w:t>
      </w:r>
      <w:r w:rsidR="00646F85">
        <w:t xml:space="preserve"> </w:t>
      </w:r>
      <w:r w:rsidR="00147B47">
        <w:t>(</w:t>
      </w:r>
      <w:r w:rsidR="001F3C40">
        <w:t>9</w:t>
      </w:r>
      <w:r w:rsidR="00646F85">
        <w:t>.</w:t>
      </w:r>
      <w:r w:rsidR="001F3C40">
        <w:t>5</w:t>
      </w:r>
      <w:r w:rsidR="00646F85">
        <w:t xml:space="preserve">% </w:t>
      </w:r>
      <w:r w:rsidR="00147B47">
        <w:t xml:space="preserve">of </w:t>
      </w:r>
      <w:r w:rsidR="00646F85">
        <w:t>parents</w:t>
      </w:r>
      <w:r w:rsidR="00147B47">
        <w:t xml:space="preserve">) </w:t>
      </w:r>
      <w:r w:rsidR="00646F85">
        <w:t xml:space="preserve">in </w:t>
      </w:r>
      <w:r w:rsidR="00607CD9">
        <w:t xml:space="preserve">the year ending </w:t>
      </w:r>
      <w:r w:rsidR="000F631F">
        <w:t xml:space="preserve">September </w:t>
      </w:r>
      <w:r w:rsidR="00646F85">
        <w:t>2023</w:t>
      </w:r>
      <w:r w:rsidR="00F34E25">
        <w:t xml:space="preserve">. </w:t>
      </w:r>
      <w:r w:rsidR="00237766">
        <w:t>Th</w:t>
      </w:r>
      <w:r w:rsidR="00636CD2">
        <w:t>e current level</w:t>
      </w:r>
      <w:r w:rsidR="00237766">
        <w:t xml:space="preserve"> is higher than the national average of 15%</w:t>
      </w:r>
      <w:r w:rsidR="00FB1A28">
        <w:t>.</w:t>
      </w:r>
      <w:r w:rsidR="00AF5E7E">
        <w:t xml:space="preserve"> </w:t>
      </w:r>
    </w:p>
    <w:p w14:paraId="407300E4" w14:textId="0815CD5F" w:rsidR="003C5760" w:rsidRDefault="00EA51AE" w:rsidP="00344BC0">
      <w:r>
        <w:t>T</w:t>
      </w:r>
      <w:r w:rsidR="008A03F1">
        <w:t xml:space="preserve">here </w:t>
      </w:r>
      <w:r w:rsidR="00780E21">
        <w:t xml:space="preserve">is a </w:t>
      </w:r>
      <w:r w:rsidR="00780E21" w:rsidRPr="00780E21">
        <w:t>significant difference in the provision of support services by sex</w:t>
      </w:r>
      <w:r w:rsidR="00780E21">
        <w:t>, with</w:t>
      </w:r>
      <w:r w:rsidR="00DF2462">
        <w:t xml:space="preserve">; </w:t>
      </w:r>
      <w:r w:rsidR="00A8743E">
        <w:t>33.0%</w:t>
      </w:r>
      <w:r w:rsidR="006E39B8">
        <w:t xml:space="preserve"> of </w:t>
      </w:r>
      <w:r w:rsidR="00DF2462">
        <w:t>female</w:t>
      </w:r>
      <w:r w:rsidR="00F5758B">
        <w:t xml:space="preserve"> parents</w:t>
      </w:r>
      <w:r w:rsidR="006E39B8">
        <w:t xml:space="preserve"> </w:t>
      </w:r>
      <w:r w:rsidR="00AF7113" w:rsidRPr="00AF7113">
        <w:t>(</w:t>
      </w:r>
      <w:r w:rsidR="00A8743E">
        <w:t>64</w:t>
      </w:r>
      <w:r w:rsidR="00AF7113" w:rsidRPr="00AF7113">
        <w:t>)</w:t>
      </w:r>
      <w:r w:rsidR="00AF7113">
        <w:t xml:space="preserve"> </w:t>
      </w:r>
      <w:r w:rsidR="006E39B8">
        <w:t>in treatment received support, compared with 12.</w:t>
      </w:r>
      <w:r w:rsidR="00F5758B">
        <w:t>6</w:t>
      </w:r>
      <w:r w:rsidR="006E39B8">
        <w:t>% of male</w:t>
      </w:r>
      <w:r w:rsidR="00F5758B">
        <w:t xml:space="preserve"> parents</w:t>
      </w:r>
      <w:r w:rsidR="00A17C59">
        <w:t xml:space="preserve"> </w:t>
      </w:r>
      <w:r w:rsidR="00AF7113" w:rsidRPr="00AF7113">
        <w:t>(</w:t>
      </w:r>
      <w:r w:rsidR="00F5758B">
        <w:t>60</w:t>
      </w:r>
      <w:r w:rsidR="00AF7113" w:rsidRPr="00AF7113">
        <w:t>)</w:t>
      </w:r>
      <w:r w:rsidR="009951B2">
        <w:t xml:space="preserve"> (20.4 percentage point different)</w:t>
      </w:r>
      <w:r w:rsidR="00A17C59">
        <w:t>.</w:t>
      </w:r>
      <w:r w:rsidR="006E39B8">
        <w:t xml:space="preserve"> This </w:t>
      </w:r>
      <w:r w:rsidR="00A17C59">
        <w:t xml:space="preserve">is a bigger </w:t>
      </w:r>
      <w:r w:rsidR="006E39B8">
        <w:t xml:space="preserve">difference </w:t>
      </w:r>
      <w:r w:rsidR="00402282">
        <w:t xml:space="preserve">than </w:t>
      </w:r>
      <w:r w:rsidR="00F5758B">
        <w:t xml:space="preserve">seen </w:t>
      </w:r>
      <w:r w:rsidR="00A17C59">
        <w:t>national</w:t>
      </w:r>
      <w:r w:rsidR="00F5758B">
        <w:t>ly</w:t>
      </w:r>
      <w:r w:rsidR="001B5DE8">
        <w:t xml:space="preserve"> (6.6 percentage points)</w:t>
      </w:r>
      <w:r w:rsidR="00CA76AD">
        <w:t xml:space="preserve">. </w:t>
      </w:r>
      <w:r w:rsidR="003C5760" w:rsidRPr="003C5760">
        <w:t>Analysis of parental met need</w:t>
      </w:r>
      <w:r w:rsidR="003C5760">
        <w:t xml:space="preserve"> by age group </w:t>
      </w:r>
      <w:r w:rsidR="00E6678B">
        <w:t xml:space="preserve">in Peterborough </w:t>
      </w:r>
      <w:r w:rsidR="003C5760">
        <w:t>results in small subgroups</w:t>
      </w:r>
      <w:r w:rsidR="00975163">
        <w:t xml:space="preserve"> outside those age 30-49, so </w:t>
      </w:r>
      <w:r w:rsidR="00CC4664">
        <w:t>analysis is limited</w:t>
      </w:r>
      <w:r w:rsidR="00975163">
        <w:t>.</w:t>
      </w:r>
    </w:p>
    <w:p w14:paraId="55CA5C27" w14:textId="77777777" w:rsidR="00CA76AD" w:rsidRDefault="00CA76AD" w:rsidP="00344BC0"/>
    <w:p w14:paraId="5AA82E9E" w14:textId="61C448BA" w:rsidR="00CC5D6F" w:rsidRDefault="00CC71B7" w:rsidP="001848B3">
      <w:pPr>
        <w:pStyle w:val="Heading3"/>
      </w:pPr>
      <w:bookmarkStart w:id="74" w:name="_Toc200479506"/>
      <w:r>
        <w:lastRenderedPageBreak/>
        <w:t xml:space="preserve">Children of Parents with </w:t>
      </w:r>
      <w:r w:rsidR="001848B3">
        <w:t>Substance Misuse</w:t>
      </w:r>
      <w:bookmarkEnd w:id="74"/>
    </w:p>
    <w:p w14:paraId="35C95F27" w14:textId="51BCCFA3" w:rsidR="00A06DAF" w:rsidRPr="00A06DAF" w:rsidRDefault="00A06DAF" w:rsidP="00A06DAF">
      <w:pPr>
        <w:rPr>
          <w:b/>
          <w:bCs/>
        </w:rPr>
      </w:pPr>
      <w:r w:rsidRPr="00A06DAF">
        <w:rPr>
          <w:b/>
          <w:bCs/>
        </w:rPr>
        <w:t xml:space="preserve">Growing </w:t>
      </w:r>
      <w:r>
        <w:rPr>
          <w:b/>
          <w:bCs/>
        </w:rPr>
        <w:t>overall n</w:t>
      </w:r>
      <w:r w:rsidRPr="00A06DAF">
        <w:rPr>
          <w:b/>
          <w:bCs/>
        </w:rPr>
        <w:t xml:space="preserve">eed for </w:t>
      </w:r>
      <w:r>
        <w:rPr>
          <w:b/>
          <w:bCs/>
        </w:rPr>
        <w:t>s</w:t>
      </w:r>
      <w:r w:rsidRPr="00A06DAF">
        <w:rPr>
          <w:b/>
          <w:bCs/>
        </w:rPr>
        <w:t xml:space="preserve">upport for </w:t>
      </w:r>
      <w:r>
        <w:rPr>
          <w:b/>
          <w:bCs/>
        </w:rPr>
        <w:t>v</w:t>
      </w:r>
      <w:r w:rsidRPr="00A06DAF">
        <w:rPr>
          <w:b/>
          <w:bCs/>
        </w:rPr>
        <w:t xml:space="preserve">ulnerable </w:t>
      </w:r>
      <w:r>
        <w:rPr>
          <w:b/>
          <w:bCs/>
        </w:rPr>
        <w:t>c</w:t>
      </w:r>
      <w:r w:rsidRPr="00A06DAF">
        <w:rPr>
          <w:b/>
          <w:bCs/>
        </w:rPr>
        <w:t>hildren in Peterborough</w:t>
      </w:r>
    </w:p>
    <w:p w14:paraId="6A1A2FAC" w14:textId="63488AAF" w:rsidR="008F234B" w:rsidRDefault="00EE49B5" w:rsidP="001848B3">
      <w:r w:rsidRPr="00EE49B5">
        <w:t xml:space="preserve">The </w:t>
      </w:r>
      <w:r w:rsidRPr="00AD0A59">
        <w:rPr>
          <w:b/>
          <w:bCs/>
        </w:rPr>
        <w:t>need for support for vulnerable children in Peterborough is increasing</w:t>
      </w:r>
      <w:r w:rsidR="00A852D0">
        <w:t xml:space="preserve">, with </w:t>
      </w:r>
      <w:r w:rsidR="00036FD8" w:rsidRPr="00036FD8">
        <w:t>rising number</w:t>
      </w:r>
      <w:r w:rsidR="00A852D0">
        <w:t>s</w:t>
      </w:r>
      <w:r w:rsidR="00036FD8" w:rsidRPr="00036FD8">
        <w:t xml:space="preserve"> of children in need (</w:t>
      </w:r>
      <w:proofErr w:type="spellStart"/>
      <w:r w:rsidR="00036FD8" w:rsidRPr="00036FD8">
        <w:t>CiN</w:t>
      </w:r>
      <w:proofErr w:type="spellEnd"/>
      <w:r w:rsidR="00036FD8" w:rsidRPr="00036FD8">
        <w:t>) and referrals to council support services for children and families. In 202</w:t>
      </w:r>
      <w:r w:rsidR="00B42CF7">
        <w:t>4</w:t>
      </w:r>
      <w:r w:rsidR="00036FD8" w:rsidRPr="00036FD8">
        <w:t xml:space="preserve">, substance misuse was an ‘assessed factor’ in </w:t>
      </w:r>
      <w:r w:rsidR="00B42CF7">
        <w:t>6-7</w:t>
      </w:r>
      <w:r w:rsidR="00036FD8" w:rsidRPr="00036FD8">
        <w:t xml:space="preserve">% of </w:t>
      </w:r>
      <w:proofErr w:type="spellStart"/>
      <w:r w:rsidR="00036FD8" w:rsidRPr="00036FD8">
        <w:t>CiN</w:t>
      </w:r>
      <w:proofErr w:type="spellEnd"/>
      <w:r w:rsidR="00036FD8" w:rsidRPr="00036FD8">
        <w:t xml:space="preserve"> episodes</w:t>
      </w:r>
      <w:r w:rsidR="00062160">
        <w:rPr>
          <w:rStyle w:val="FootnoteReference"/>
        </w:rPr>
        <w:footnoteReference w:id="35"/>
      </w:r>
      <w:r w:rsidR="00036FD8" w:rsidRPr="00036FD8">
        <w:t>.</w:t>
      </w:r>
    </w:p>
    <w:p w14:paraId="6BC7EC75" w14:textId="6980B450" w:rsidR="00470587" w:rsidRDefault="00470587" w:rsidP="00470587">
      <w:r>
        <w:t xml:space="preserve">Children growing up in families affected by parental drug or alcohol misuse face </w:t>
      </w:r>
      <w:r w:rsidRPr="00062160">
        <w:rPr>
          <w:b/>
          <w:bCs/>
        </w:rPr>
        <w:t>h</w:t>
      </w:r>
      <w:r w:rsidRPr="00AD0A59">
        <w:rPr>
          <w:b/>
          <w:bCs/>
        </w:rPr>
        <w:t xml:space="preserve">eightened risks of adverse outcomes, </w:t>
      </w:r>
      <w:r>
        <w:t>though not all will experience significant harm. Nationally, parental drug or alcohol misuse was identified in over a third (36%) of serious case reviews where a child died or was seriously harmed</w:t>
      </w:r>
      <w:r w:rsidR="00543ED7">
        <w:rPr>
          <w:rStyle w:val="FootnoteReference"/>
        </w:rPr>
        <w:footnoteReference w:id="36"/>
      </w:r>
      <w:r>
        <w:t>.</w:t>
      </w:r>
    </w:p>
    <w:p w14:paraId="361A5C7D" w14:textId="39B22F0B" w:rsidR="002C6C4E" w:rsidRDefault="002C6C4E" w:rsidP="001848B3">
      <w:r w:rsidRPr="002C6C4E">
        <w:t xml:space="preserve">In 2023–24, </w:t>
      </w:r>
      <w:r w:rsidRPr="00AD0A59">
        <w:rPr>
          <w:b/>
          <w:bCs/>
        </w:rPr>
        <w:t>Children’s Social Care assessments in Peterborough increased by over 50%, alongside a rise in identified drug and alcohol needs, with more than 1,000 instances recorded</w:t>
      </w:r>
      <w:r w:rsidRPr="002C6C4E">
        <w:t xml:space="preserve">. This significant increase in referrals and substance misuse concerns highlights a growing challenge. The rising numbers in </w:t>
      </w:r>
      <w:r w:rsidRPr="00E45BC6">
        <w:t>Peterborough</w:t>
      </w:r>
      <w:r w:rsidRPr="002C6C4E">
        <w:t xml:space="preserve"> may reflect local demographic pressures, higher levels of deprivation, or improved service engagement and awareness. Strengthening the identification and referral of families affected by substance misuse is critical to improving outcomes for children.</w:t>
      </w:r>
    </w:p>
    <w:p w14:paraId="0AC1759F" w14:textId="0C5697E4" w:rsidR="00200B24" w:rsidRDefault="000674E7" w:rsidP="001848B3">
      <w:r>
        <w:t xml:space="preserve"> </w:t>
      </w:r>
    </w:p>
    <w:p w14:paraId="31F72967" w14:textId="6F4762F6" w:rsidR="000744A5" w:rsidRDefault="000744A5" w:rsidP="000744A5">
      <w:pPr>
        <w:pStyle w:val="Heading3"/>
      </w:pPr>
      <w:bookmarkStart w:id="75" w:name="_Toc200479507"/>
      <w:r w:rsidRPr="000744A5">
        <w:t>Employment and Individual Placement and Support (IPS) Services</w:t>
      </w:r>
      <w:bookmarkEnd w:id="75"/>
    </w:p>
    <w:p w14:paraId="1EA6CA56" w14:textId="6870A488" w:rsidR="00FE68BC" w:rsidRDefault="000308D0" w:rsidP="00FE68BC">
      <w:r w:rsidRPr="00573525">
        <w:rPr>
          <w:b/>
          <w:bCs/>
        </w:rPr>
        <w:t>Employment status</w:t>
      </w:r>
      <w:r w:rsidRPr="000308D0">
        <w:t xml:space="preserve"> is a significant factor influencing vulnerability to substance misuse</w:t>
      </w:r>
      <w:r w:rsidR="00DC2B9C">
        <w:t xml:space="preserve"> and is identified as </w:t>
      </w:r>
      <w:r w:rsidRPr="000308D0">
        <w:t>a key risk factor for developing substance use-related problems and harms</w:t>
      </w:r>
      <w:r w:rsidR="00DC2B9C">
        <w:t xml:space="preserve"> (</w:t>
      </w:r>
      <w:hyperlink r:id="rId50" w:history="1">
        <w:r w:rsidR="00DC2B9C" w:rsidRPr="00DC2B9C">
          <w:rPr>
            <w:rStyle w:val="Hyperlink"/>
          </w:rPr>
          <w:t>link</w:t>
        </w:r>
      </w:hyperlink>
      <w:r w:rsidR="00DC2B9C">
        <w:t>)</w:t>
      </w:r>
      <w:r w:rsidRPr="000308D0">
        <w:t>.</w:t>
      </w:r>
      <w:r w:rsidR="00DC2B9C">
        <w:t xml:space="preserve"> </w:t>
      </w:r>
      <w:r w:rsidR="00B6598E" w:rsidRPr="00B6598E">
        <w:t xml:space="preserve">Analysis of employment and education data for individuals in drug and alcohol treatment in Peterborough reveals socio-economic challenges faced by service users and </w:t>
      </w:r>
      <w:r w:rsidR="00F37119">
        <w:t xml:space="preserve">can guide </w:t>
      </w:r>
      <w:r w:rsidR="00B6598E" w:rsidRPr="00B6598E">
        <w:t xml:space="preserve">targeted </w:t>
      </w:r>
      <w:r w:rsidR="00F37119">
        <w:t>areas for intervention</w:t>
      </w:r>
      <w:r w:rsidR="00B6598E" w:rsidRPr="00B6598E">
        <w:t>.</w:t>
      </w:r>
    </w:p>
    <w:p w14:paraId="163C16A2" w14:textId="7DE8D0BD" w:rsidR="00EA07E5" w:rsidRDefault="00146BA3" w:rsidP="001848B3">
      <w:r>
        <w:t>NDTMS data shows that i</w:t>
      </w:r>
      <w:r w:rsidR="00EA07E5" w:rsidRPr="00EA07E5">
        <w:t>n the year ending March 2024</w:t>
      </w:r>
      <w:r w:rsidR="00EA07E5" w:rsidRPr="00573525">
        <w:t>,</w:t>
      </w:r>
      <w:r w:rsidR="00EA07E5" w:rsidRPr="00573525">
        <w:rPr>
          <w:b/>
          <w:bCs/>
        </w:rPr>
        <w:t xml:space="preserve"> 70.0% of adults entering </w:t>
      </w:r>
      <w:r w:rsidR="00DC2B9C" w:rsidRPr="00573525">
        <w:rPr>
          <w:b/>
          <w:bCs/>
        </w:rPr>
        <w:t xml:space="preserve">or in </w:t>
      </w:r>
      <w:r w:rsidR="00EA07E5" w:rsidRPr="00573525">
        <w:rPr>
          <w:b/>
          <w:bCs/>
        </w:rPr>
        <w:t>treatment for substance use were not engaged in formal education, employment, or training</w:t>
      </w:r>
      <w:r w:rsidR="00143B33" w:rsidRPr="00573525">
        <w:rPr>
          <w:b/>
          <w:bCs/>
        </w:rPr>
        <w:t xml:space="preserve"> in Peterborough</w:t>
      </w:r>
      <w:r w:rsidR="00EA07E5" w:rsidRPr="00EA07E5">
        <w:t xml:space="preserve">. </w:t>
      </w:r>
      <w:r w:rsidR="001F348A">
        <w:t xml:space="preserve">This is </w:t>
      </w:r>
      <w:proofErr w:type="gramStart"/>
      <w:r w:rsidR="001F348A">
        <w:t>similar to</w:t>
      </w:r>
      <w:proofErr w:type="gramEnd"/>
      <w:r w:rsidR="001F348A">
        <w:t xml:space="preserve"> national data and reflects a </w:t>
      </w:r>
      <w:r w:rsidR="00EA07E5" w:rsidRPr="00EA07E5">
        <w:t xml:space="preserve">relatively stable </w:t>
      </w:r>
      <w:r w:rsidR="001F348A">
        <w:t xml:space="preserve">proportion </w:t>
      </w:r>
      <w:r w:rsidR="00EA07E5" w:rsidRPr="00EA07E5">
        <w:t xml:space="preserve">since 2020. </w:t>
      </w:r>
      <w:r w:rsidR="003C5B78" w:rsidRPr="003C5B78">
        <w:t xml:space="preserve">By comparison, </w:t>
      </w:r>
      <w:r w:rsidR="004070AF">
        <w:t>2</w:t>
      </w:r>
      <w:r w:rsidR="00C11C23">
        <w:t>0</w:t>
      </w:r>
      <w:r w:rsidR="003C5B78" w:rsidRPr="003C5B78">
        <w:t xml:space="preserve">% of the working-age </w:t>
      </w:r>
      <w:r w:rsidR="00C11C23">
        <w:t>(16-64</w:t>
      </w:r>
      <w:r w:rsidR="002B06A0">
        <w:t xml:space="preserve"> years</w:t>
      </w:r>
      <w:r w:rsidR="00C11C23">
        <w:t xml:space="preserve">) </w:t>
      </w:r>
      <w:r w:rsidR="003C5B78" w:rsidRPr="003C5B78">
        <w:t xml:space="preserve">population in Peterborough were </w:t>
      </w:r>
      <w:r w:rsidR="004070AF">
        <w:t xml:space="preserve">not recorded to be </w:t>
      </w:r>
      <w:r w:rsidR="003C5B78" w:rsidRPr="003C5B78">
        <w:t>in employment as of June 2024</w:t>
      </w:r>
      <w:r w:rsidR="003C5B78">
        <w:t xml:space="preserve">, highlighting a </w:t>
      </w:r>
      <w:r w:rsidR="003C5B78" w:rsidRPr="004070AF">
        <w:rPr>
          <w:b/>
          <w:bCs/>
        </w:rPr>
        <w:t>significant disparity in employment levels between the treatment-seeking population and the general population</w:t>
      </w:r>
      <w:r w:rsidR="00543ED7">
        <w:rPr>
          <w:rStyle w:val="FootnoteReference"/>
          <w:b/>
          <w:bCs/>
        </w:rPr>
        <w:footnoteReference w:id="37"/>
      </w:r>
      <w:r w:rsidR="002C5444">
        <w:t>.</w:t>
      </w:r>
    </w:p>
    <w:p w14:paraId="670C7F2A" w14:textId="2FE52FFC" w:rsidR="00462ECA" w:rsidRDefault="00AC2A91" w:rsidP="001848B3">
      <w:r>
        <w:t xml:space="preserve">Further analysis </w:t>
      </w:r>
      <w:r w:rsidR="005E28E0" w:rsidRPr="005E28E0">
        <w:t xml:space="preserve">of employment outcomes for </w:t>
      </w:r>
      <w:r w:rsidR="005E28E0" w:rsidRPr="000013F9">
        <w:rPr>
          <w:b/>
          <w:bCs/>
        </w:rPr>
        <w:t>those with planned exits</w:t>
      </w:r>
      <w:r w:rsidR="005E28E0" w:rsidRPr="005E28E0">
        <w:t xml:space="preserve"> from treatment </w:t>
      </w:r>
      <w:r w:rsidR="00F85082">
        <w:t xml:space="preserve">in the year ending March 2024 demonstrates </w:t>
      </w:r>
      <w:r w:rsidR="0046437C" w:rsidRPr="004070AF">
        <w:rPr>
          <w:b/>
          <w:bCs/>
        </w:rPr>
        <w:t xml:space="preserve">clients making </w:t>
      </w:r>
      <w:r w:rsidR="005E28E0" w:rsidRPr="004070AF">
        <w:rPr>
          <w:b/>
          <w:bCs/>
        </w:rPr>
        <w:t xml:space="preserve">progress during recovery </w:t>
      </w:r>
      <w:r w:rsidR="00361584" w:rsidRPr="004070AF">
        <w:rPr>
          <w:b/>
          <w:bCs/>
        </w:rPr>
        <w:t>journeys</w:t>
      </w:r>
      <w:r w:rsidR="00462ECA">
        <w:t>:</w:t>
      </w:r>
    </w:p>
    <w:p w14:paraId="4D40C50D" w14:textId="77777777" w:rsidR="00462ECA" w:rsidRDefault="008F7D9D" w:rsidP="00462ECA">
      <w:pPr>
        <w:pStyle w:val="ListParagraph"/>
        <w:numPr>
          <w:ilvl w:val="0"/>
          <w:numId w:val="1"/>
        </w:numPr>
      </w:pPr>
      <w:r w:rsidRPr="008F7D9D">
        <w:lastRenderedPageBreak/>
        <w:t xml:space="preserve">At the start of treatment, 31.5% of </w:t>
      </w:r>
      <w:r w:rsidR="00726BAA">
        <w:t>3</w:t>
      </w:r>
      <w:r w:rsidR="00F85082">
        <w:t>4</w:t>
      </w:r>
      <w:r w:rsidR="00726BAA">
        <w:t>0</w:t>
      </w:r>
      <w:r w:rsidR="00F85082">
        <w:t xml:space="preserve"> </w:t>
      </w:r>
      <w:r w:rsidRPr="008F7D9D">
        <w:t>clients</w:t>
      </w:r>
      <w:r w:rsidR="00F61815">
        <w:t xml:space="preserve"> </w:t>
      </w:r>
      <w:r w:rsidRPr="008F7D9D">
        <w:t xml:space="preserve">reported working at least 10 days per month. By the time they exited treatment, this had increased to 38.2%. </w:t>
      </w:r>
      <w:r w:rsidR="00131C75">
        <w:t>These</w:t>
      </w:r>
      <w:r w:rsidRPr="008F7D9D">
        <w:t xml:space="preserve"> improvements in employment outcomes surpassed the national average of 34.8%. </w:t>
      </w:r>
    </w:p>
    <w:p w14:paraId="16BFC75B" w14:textId="77777777" w:rsidR="00462ECA" w:rsidRDefault="008F7D9D" w:rsidP="00462ECA">
      <w:pPr>
        <w:pStyle w:val="ListParagraph"/>
        <w:numPr>
          <w:ilvl w:val="0"/>
          <w:numId w:val="1"/>
        </w:numPr>
      </w:pPr>
      <w:r w:rsidRPr="008F7D9D">
        <w:t xml:space="preserve">Meanwhile, 75% of clients maintained stable work patterns throughout their treatment journey, a proportion slightly higher than the national average of 71%. </w:t>
      </w:r>
    </w:p>
    <w:p w14:paraId="4BB20B60" w14:textId="77777777" w:rsidR="00462ECA" w:rsidRDefault="008F7D9D" w:rsidP="00462ECA">
      <w:pPr>
        <w:pStyle w:val="ListParagraph"/>
        <w:numPr>
          <w:ilvl w:val="0"/>
          <w:numId w:val="1"/>
        </w:numPr>
      </w:pPr>
      <w:r w:rsidRPr="008F7D9D">
        <w:t xml:space="preserve">Encouragingly, only 1% of clients experienced a decline in their work engagement, compared to the national average of 3%. </w:t>
      </w:r>
    </w:p>
    <w:p w14:paraId="7E313848" w14:textId="564FBA7C" w:rsidR="00B76B34" w:rsidRDefault="008F7D9D" w:rsidP="00462ECA">
      <w:r w:rsidRPr="008F7D9D">
        <w:t xml:space="preserve">These findings </w:t>
      </w:r>
      <w:r w:rsidR="00812079">
        <w:t xml:space="preserve">were </w:t>
      </w:r>
      <w:proofErr w:type="gramStart"/>
      <w:r w:rsidR="00812079">
        <w:t>similar to</w:t>
      </w:r>
      <w:proofErr w:type="gramEnd"/>
      <w:r w:rsidR="00812079">
        <w:t xml:space="preserve"> those for 2022 and 2023, </w:t>
      </w:r>
      <w:r w:rsidRPr="008F7D9D">
        <w:t xml:space="preserve">demonstrate </w:t>
      </w:r>
      <w:r w:rsidR="00D31BD5" w:rsidRPr="00893A42">
        <w:rPr>
          <w:b/>
          <w:bCs/>
        </w:rPr>
        <w:t xml:space="preserve">consistent </w:t>
      </w:r>
      <w:r w:rsidRPr="00893A42">
        <w:rPr>
          <w:b/>
          <w:bCs/>
        </w:rPr>
        <w:t>positive shifts in employment among clients completing treatment</w:t>
      </w:r>
      <w:r w:rsidRPr="008F7D9D">
        <w:t xml:space="preserve"> </w:t>
      </w:r>
      <w:r w:rsidR="00D31BD5">
        <w:t>despite a 3</w:t>
      </w:r>
      <w:r w:rsidR="00DF15B2">
        <w:t>4.4</w:t>
      </w:r>
      <w:r w:rsidR="00D31BD5">
        <w:t xml:space="preserve">% increase in </w:t>
      </w:r>
      <w:r w:rsidR="00DF15B2">
        <w:t>t</w:t>
      </w:r>
      <w:r w:rsidR="00D31BD5">
        <w:t>he number of clients exiting treatment (</w:t>
      </w:r>
      <w:r w:rsidR="00DF15B2">
        <w:t>340 from 253 in 2022)</w:t>
      </w:r>
      <w:r w:rsidRPr="008F7D9D">
        <w:t>.</w:t>
      </w:r>
    </w:p>
    <w:p w14:paraId="0C193BD8" w14:textId="3A32500F" w:rsidR="00131C75" w:rsidRPr="00316862" w:rsidRDefault="00316862" w:rsidP="001848B3">
      <w:pPr>
        <w:rPr>
          <w:b/>
          <w:bCs/>
        </w:rPr>
      </w:pPr>
      <w:r w:rsidRPr="00316862">
        <w:rPr>
          <w:b/>
          <w:bCs/>
        </w:rPr>
        <w:t>Individual Placement and Support</w:t>
      </w:r>
    </w:p>
    <w:p w14:paraId="6B705341" w14:textId="1181E1F3" w:rsidR="00F2158D" w:rsidRDefault="00F2158D" w:rsidP="00F2158D">
      <w:r>
        <w:t xml:space="preserve">Individual Placement and Support (IPS) is an evidence-based employment support approach initially developed for individuals with mental health conditions and later adapted for those with substance use disorders. IPS focuses on rapid job searches tailored to individual preferences, integrating employment services with clinical treatment to enhance recovery outcomes. </w:t>
      </w:r>
    </w:p>
    <w:p w14:paraId="4F36D7A1" w14:textId="3995F413" w:rsidR="00F2158D" w:rsidRDefault="00F2158D" w:rsidP="00F2158D">
      <w:r>
        <w:t>In the UK, the IPS-Alcohol and Drug (IPS-AD) trial was the first to evaluate IPS for adults in treatment for alcohol and drug dependence. The study found that IPS participants achieved higher rates of employment in the open job market compared to those receiving standard employment support</w:t>
      </w:r>
      <w:r w:rsidR="00146BA3">
        <w:rPr>
          <w:rStyle w:val="FootnoteReference"/>
        </w:rPr>
        <w:footnoteReference w:id="38"/>
      </w:r>
      <w:r>
        <w:t>.</w:t>
      </w:r>
    </w:p>
    <w:p w14:paraId="2AA8FE81" w14:textId="0BB391CD" w:rsidR="00F2158D" w:rsidRDefault="00F2158D" w:rsidP="00F2158D">
      <w:r>
        <w:t>Building on these findings, the UK government has expanded funding for IPS services within drug and alcohol treatment settings</w:t>
      </w:r>
      <w:r w:rsidR="00146BA3">
        <w:rPr>
          <w:rStyle w:val="FootnoteReference"/>
        </w:rPr>
        <w:footnoteReference w:id="39"/>
      </w:r>
      <w:r w:rsidR="000D1D4C">
        <w:t xml:space="preserve">. </w:t>
      </w:r>
      <w:r>
        <w:t>In January 2024, Peterborough received a grant to enhance IPS provision within its drug and alcohol services, aiming to improve employment outcomes for service users. This initiative is part of a broader strategy to integrate employment support with substance misuse treatment, recogni</w:t>
      </w:r>
      <w:r w:rsidR="0093312F">
        <w:t>s</w:t>
      </w:r>
      <w:r>
        <w:t>ing that stable employment is a key factor in sustained recovery.</w:t>
      </w:r>
    </w:p>
    <w:p w14:paraId="0B94EB27" w14:textId="642986D2" w:rsidR="00E6269C" w:rsidRDefault="00E6269C" w:rsidP="00F2158D">
      <w:r>
        <w:t xml:space="preserve">In the </w:t>
      </w:r>
      <w:r w:rsidR="00CC2A26" w:rsidRPr="16F14F99">
        <w:rPr>
          <w:b/>
          <w:bCs/>
        </w:rPr>
        <w:t>nine-month</w:t>
      </w:r>
      <w:r w:rsidR="004C40CC" w:rsidRPr="16F14F99">
        <w:rPr>
          <w:b/>
          <w:bCs/>
        </w:rPr>
        <w:t xml:space="preserve"> period</w:t>
      </w:r>
      <w:r w:rsidR="004C40CC">
        <w:t xml:space="preserve"> from the start of IPS to October 2024, local data shows that </w:t>
      </w:r>
      <w:r w:rsidR="005F4B50" w:rsidRPr="16F14F99">
        <w:rPr>
          <w:b/>
          <w:bCs/>
        </w:rPr>
        <w:t>99</w:t>
      </w:r>
      <w:r w:rsidR="009279C8" w:rsidRPr="16F14F99">
        <w:rPr>
          <w:b/>
          <w:bCs/>
        </w:rPr>
        <w:t xml:space="preserve"> service users were referred for support, 67 </w:t>
      </w:r>
      <w:r w:rsidR="005F4B50" w:rsidRPr="16F14F99">
        <w:rPr>
          <w:b/>
          <w:bCs/>
        </w:rPr>
        <w:t>of these were successfully engaged in the service</w:t>
      </w:r>
      <w:r w:rsidR="00EE5ABB" w:rsidRPr="16F14F99">
        <w:rPr>
          <w:b/>
          <w:bCs/>
        </w:rPr>
        <w:t xml:space="preserve"> </w:t>
      </w:r>
      <w:r w:rsidR="001A363A" w:rsidRPr="16F14F99">
        <w:rPr>
          <w:b/>
          <w:bCs/>
        </w:rPr>
        <w:t xml:space="preserve">(67.7% of those referred) </w:t>
      </w:r>
      <w:r w:rsidR="00EE5ABB" w:rsidRPr="16F14F99">
        <w:rPr>
          <w:b/>
          <w:bCs/>
        </w:rPr>
        <w:t>and 21 had successful job outcomes (</w:t>
      </w:r>
      <w:r w:rsidR="00F12E46" w:rsidRPr="16F14F99">
        <w:rPr>
          <w:b/>
          <w:bCs/>
        </w:rPr>
        <w:t>31.3% of those engaged</w:t>
      </w:r>
      <w:r w:rsidR="001A363A" w:rsidRPr="16F14F99">
        <w:rPr>
          <w:b/>
          <w:bCs/>
        </w:rPr>
        <w:t xml:space="preserve">, </w:t>
      </w:r>
      <w:r w:rsidR="001B2B19" w:rsidRPr="16F14F99">
        <w:rPr>
          <w:b/>
          <w:bCs/>
        </w:rPr>
        <w:t>21.2% of those referred</w:t>
      </w:r>
      <w:r w:rsidR="00EE5ABB" w:rsidRPr="16F14F99">
        <w:rPr>
          <w:b/>
          <w:bCs/>
        </w:rPr>
        <w:t>).</w:t>
      </w:r>
    </w:p>
    <w:p w14:paraId="6A95730D" w14:textId="77777777" w:rsidR="0084100A" w:rsidRDefault="00F2158D" w:rsidP="00F2158D">
      <w:r>
        <w:t>By combining personali</w:t>
      </w:r>
      <w:r w:rsidR="0093312F">
        <w:t>s</w:t>
      </w:r>
      <w:r>
        <w:t>ed employment support with substance misuse recovery services, IPS models align with evidence-based strategies to promote recovery, improve self-sufficiency, and reduce the likelihood of relapse.</w:t>
      </w:r>
      <w:r w:rsidR="00A153E5">
        <w:t xml:space="preserve"> </w:t>
      </w:r>
    </w:p>
    <w:p w14:paraId="48A8F0AE" w14:textId="77777777" w:rsidR="009B67F7" w:rsidRDefault="009B67F7" w:rsidP="00F2158D"/>
    <w:p w14:paraId="1391A047" w14:textId="0903E7E4" w:rsidR="009B67F7" w:rsidRDefault="009B67F7" w:rsidP="009B67F7">
      <w:pPr>
        <w:pStyle w:val="Heading3"/>
      </w:pPr>
      <w:bookmarkStart w:id="76" w:name="_Toc200479508"/>
      <w:r>
        <w:lastRenderedPageBreak/>
        <w:t>Recommendations</w:t>
      </w:r>
      <w:bookmarkEnd w:id="76"/>
    </w:p>
    <w:p w14:paraId="3C22045E" w14:textId="56D38DE2" w:rsidR="009B67F7" w:rsidRDefault="009B67F7" w:rsidP="009B67F7">
      <w:pPr>
        <w:pStyle w:val="Heading7"/>
      </w:pPr>
      <w:r>
        <w:t xml:space="preserve">Recommendation </w:t>
      </w:r>
      <w:r w:rsidR="0092013D">
        <w:t>11</w:t>
      </w:r>
    </w:p>
    <w:p w14:paraId="23C0294A" w14:textId="1B0A2A37" w:rsidR="00F072A4" w:rsidRDefault="00D2237F" w:rsidP="001848B3">
      <w:r w:rsidRPr="00D2237F">
        <w:t>Drug and alcohol services should ensure that mental health support is embedded within care planning and delivery, with strong referral pathways and collaborative working to meet service users' needs. This includes strengthening links with mental health services and ensuring access to appropriate support. (See Recommendations 7 and 8 for related actions.)</w:t>
      </w:r>
    </w:p>
    <w:p w14:paraId="2C39E72F" w14:textId="5FEA0429" w:rsidR="009B10E9" w:rsidRDefault="009B10E9" w:rsidP="009B10E9">
      <w:pPr>
        <w:pStyle w:val="Heading7"/>
      </w:pPr>
      <w:r>
        <w:t xml:space="preserve">Recommendation </w:t>
      </w:r>
      <w:r w:rsidR="0092013D">
        <w:t>12</w:t>
      </w:r>
    </w:p>
    <w:p w14:paraId="53FBD911" w14:textId="77777777" w:rsidR="00BE1520" w:rsidRDefault="00BE1520" w:rsidP="00BE1520">
      <w:r>
        <w:t>Ensure that domestic violence (DV) support structures prioritise safety and effectiveness. Processes should be in place to prevent victims and perpetrators from being placed in the same support groups, safeguarding the well-being of those affected.</w:t>
      </w:r>
    </w:p>
    <w:p w14:paraId="7FC3340B" w14:textId="77777777" w:rsidR="00BE1520" w:rsidRDefault="00BE1520" w:rsidP="00BE1520">
      <w:r>
        <w:t xml:space="preserve">The increase in DV referrals should be reviewed to determine whether this reflects changing demographics, rising deprivation, or improved engagement with services. </w:t>
      </w:r>
      <w:r w:rsidRPr="00D035C8">
        <w:t>Efforts to deliver trauma-informed care, strengthen referral pathways for victims, and provide specialised outreach for women engaged in sex work should continue and be further developed</w:t>
      </w:r>
      <w:r>
        <w:t>.</w:t>
      </w:r>
    </w:p>
    <w:p w14:paraId="55052784" w14:textId="61F08CA7" w:rsidR="009B10E9" w:rsidRDefault="006B0D3A" w:rsidP="006B0D3A">
      <w:pPr>
        <w:pStyle w:val="Heading7"/>
      </w:pPr>
      <w:r>
        <w:t xml:space="preserve">Recommendation </w:t>
      </w:r>
      <w:r w:rsidR="0092013D">
        <w:t>13</w:t>
      </w:r>
    </w:p>
    <w:p w14:paraId="1CB8F93B" w14:textId="774D2450" w:rsidR="006B0D3A" w:rsidRDefault="00AB2FA5" w:rsidP="001848B3">
      <w:r w:rsidRPr="00AB2FA5">
        <w:t>Continue working towards the national target of 75% continuity of care</w:t>
      </w:r>
      <w:r w:rsidR="00BB153F">
        <w:t xml:space="preserve"> </w:t>
      </w:r>
      <w:r w:rsidR="00BB153F" w:rsidRPr="00BB153F">
        <w:t>by strengthening links between substance misuse services and the criminal justice system. Services should maximise opportunities to increase attendance and co-location within probation settings and actively engage in prison and probation pre-release resettlement panels</w:t>
      </w:r>
      <w:r w:rsidRPr="00AB2FA5">
        <w:t xml:space="preserve">. Clinical practice should </w:t>
      </w:r>
      <w:r w:rsidR="00020D68">
        <w:t xml:space="preserve">play a role in </w:t>
      </w:r>
      <w:r w:rsidR="00662A3C">
        <w:t xml:space="preserve">improving continuity, </w:t>
      </w:r>
      <w:r w:rsidRPr="00AB2FA5">
        <w:t xml:space="preserve">including a joined-up harm reduction approach between prison healthcare teams and drug and alcohol services. </w:t>
      </w:r>
      <w:r w:rsidR="002C347B" w:rsidRPr="002C347B">
        <w:t>Measures such as integrating FP10 prescriptions on release into community treatment plans could further support engagement and ensure a smoother transition into ongoing care</w:t>
      </w:r>
      <w:r w:rsidR="002C347B">
        <w:t xml:space="preserve">. </w:t>
      </w:r>
    </w:p>
    <w:p w14:paraId="09C0119D" w14:textId="0F5CF3D1" w:rsidR="006B0D3A" w:rsidRDefault="006B0D3A" w:rsidP="006B0D3A">
      <w:pPr>
        <w:pStyle w:val="Heading7"/>
      </w:pPr>
      <w:r>
        <w:t xml:space="preserve">Recommendation </w:t>
      </w:r>
      <w:r w:rsidR="00D02ED3">
        <w:t>14</w:t>
      </w:r>
    </w:p>
    <w:p w14:paraId="68755142" w14:textId="0CA9C8E6" w:rsidR="00335CBF" w:rsidRDefault="00335CBF" w:rsidP="001848B3">
      <w:r w:rsidRPr="00335CBF">
        <w:t>The successes of the Rough Sleeper Drug and Alcohol Treatment (RSDAT) model should be retained and integrated into service planning</w:t>
      </w:r>
      <w:r>
        <w:t>.</w:t>
      </w:r>
      <w:r w:rsidR="00A32086">
        <w:t xml:space="preserve"> Services need to reflect that </w:t>
      </w:r>
      <w:r w:rsidR="00A32086" w:rsidRPr="00A32086">
        <w:t xml:space="preserve">housing instability </w:t>
      </w:r>
      <w:r w:rsidR="00A32086">
        <w:t xml:space="preserve">is high in Peterborough, </w:t>
      </w:r>
      <w:r w:rsidR="00D02ED3">
        <w:t xml:space="preserve">which </w:t>
      </w:r>
      <w:r w:rsidR="00A32086" w:rsidRPr="00A32086">
        <w:t>compounds other health and social vulnerabilities</w:t>
      </w:r>
      <w:r w:rsidR="00A32086">
        <w:t xml:space="preserve"> and </w:t>
      </w:r>
      <w:r w:rsidR="00A32086" w:rsidRPr="00A32086">
        <w:t>reinforc</w:t>
      </w:r>
      <w:r w:rsidR="00A32086">
        <w:t>e</w:t>
      </w:r>
      <w:r w:rsidR="00D02ED3">
        <w:t>s</w:t>
      </w:r>
      <w:r w:rsidR="00A32086" w:rsidRPr="00A32086">
        <w:t xml:space="preserve"> the need for a joined-up approach in service delivery.</w:t>
      </w:r>
    </w:p>
    <w:p w14:paraId="5DF81197" w14:textId="0E941ECF" w:rsidR="00CF4F90" w:rsidRDefault="00CF4F90" w:rsidP="00DF7075">
      <w:pPr>
        <w:pStyle w:val="Heading7"/>
      </w:pPr>
      <w:r>
        <w:t xml:space="preserve">Recommendation </w:t>
      </w:r>
      <w:r w:rsidR="00DE397B">
        <w:t>15</w:t>
      </w:r>
    </w:p>
    <w:p w14:paraId="6AB9BF3A" w14:textId="24519577" w:rsidR="00DF7075" w:rsidRDefault="00DE397B" w:rsidP="001848B3">
      <w:r>
        <w:t>R</w:t>
      </w:r>
      <w:r w:rsidR="00226701" w:rsidRPr="00226701">
        <w:t>ising support needs for children and families in Peterborough are likely driven by multiple factors, requiring a system-wide approach that considers the wider determinants of health.</w:t>
      </w:r>
      <w:r w:rsidR="00226701">
        <w:t xml:space="preserve"> </w:t>
      </w:r>
      <w:r w:rsidR="00226701" w:rsidRPr="00226701">
        <w:t>Drug and alcohol services should incorporate coordinated support for parents, ensuring that families receive proactive, integrated assistance to improve outcomes for children</w:t>
      </w:r>
      <w:r w:rsidR="00226701">
        <w:t xml:space="preserve"> in these families</w:t>
      </w:r>
      <w:r w:rsidR="00E45698">
        <w:t xml:space="preserve">. </w:t>
      </w:r>
      <w:r w:rsidR="00E45698" w:rsidRPr="00E45698">
        <w:t>Strengthening cross-sector collaboration between DA services, social care, and early help teams will be critical in addressing intergenerational cycles of harm</w:t>
      </w:r>
      <w:r w:rsidR="00226701" w:rsidRPr="00226701">
        <w:t>.</w:t>
      </w:r>
    </w:p>
    <w:p w14:paraId="32C471B7" w14:textId="12CFC2E9" w:rsidR="00DF7075" w:rsidRDefault="00DF7075" w:rsidP="00DF7075">
      <w:pPr>
        <w:pStyle w:val="Heading7"/>
      </w:pPr>
      <w:r>
        <w:t xml:space="preserve">Recommendation </w:t>
      </w:r>
      <w:r w:rsidR="00DE397B">
        <w:t>16</w:t>
      </w:r>
    </w:p>
    <w:p w14:paraId="4840DBCC" w14:textId="4D3301C1" w:rsidR="00DF7075" w:rsidRPr="001723C4" w:rsidRDefault="00E45698" w:rsidP="00E45698">
      <w:r>
        <w:t>Employment plays a crucial role in recovery, improving stability, well-being, and social reintegration for those with substance use issues. Sustained employment support initiatives should be a priority, ensuring services are tailored to those facing barriers to work. Investing in specialist employment programmes will benefit both individuals and wider society, reducing long-term reliance on health and social services.</w:t>
      </w:r>
    </w:p>
    <w:p w14:paraId="7A1A51E1" w14:textId="77777777" w:rsidR="009B67F7" w:rsidRDefault="009B67F7" w:rsidP="001848B3"/>
    <w:p w14:paraId="23A21C21" w14:textId="77777777" w:rsidR="009B67F7" w:rsidRPr="009161E0" w:rsidRDefault="009B67F7" w:rsidP="001848B3"/>
    <w:p w14:paraId="1BB1B556" w14:textId="72D86243" w:rsidR="001F7098" w:rsidRDefault="001F3A41" w:rsidP="001F7098">
      <w:pPr>
        <w:pStyle w:val="Heading2"/>
      </w:pPr>
      <w:bookmarkStart w:id="77" w:name="_Toc200479509"/>
      <w:r>
        <w:lastRenderedPageBreak/>
        <w:t xml:space="preserve">Peterborough; </w:t>
      </w:r>
      <w:r w:rsidR="001F7098">
        <w:t>Services</w:t>
      </w:r>
      <w:bookmarkEnd w:id="77"/>
    </w:p>
    <w:p w14:paraId="72486185" w14:textId="479AE0DF" w:rsidR="00D02D62" w:rsidRDefault="00733AB9" w:rsidP="001F7098">
      <w:pPr>
        <w:pStyle w:val="Heading3"/>
      </w:pPr>
      <w:bookmarkStart w:id="78" w:name="_Toc200479510"/>
      <w:r>
        <w:t xml:space="preserve">Current </w:t>
      </w:r>
      <w:r w:rsidR="00D02D62">
        <w:t>Service</w:t>
      </w:r>
      <w:r>
        <w:t xml:space="preserve"> Model</w:t>
      </w:r>
      <w:bookmarkEnd w:id="78"/>
    </w:p>
    <w:p w14:paraId="7D951BC3" w14:textId="43F6340B" w:rsidR="4DF56F6F" w:rsidRDefault="006C4BA7" w:rsidP="4DF56F6F">
      <w:r w:rsidRPr="006C4BA7">
        <w:t xml:space="preserve">Peterborough City Council’s current Integrated Drug and Alcohol Treatment </w:t>
      </w:r>
      <w:r w:rsidR="00903F71">
        <w:t xml:space="preserve">Service </w:t>
      </w:r>
      <w:r w:rsidRPr="006C4BA7">
        <w:t xml:space="preserve">provider is </w:t>
      </w:r>
      <w:r w:rsidRPr="001B2B19">
        <w:rPr>
          <w:b/>
          <w:bCs/>
        </w:rPr>
        <w:t>Change Grow Live Limited (CGL),</w:t>
      </w:r>
      <w:r w:rsidRPr="006C4BA7">
        <w:t xml:space="preserve"> a large third sector organisation and one of the market leaders in the sector</w:t>
      </w:r>
      <w:r w:rsidR="000E62C9">
        <w:t>.</w:t>
      </w:r>
      <w:r w:rsidR="00C52DAB">
        <w:t xml:space="preserve"> The service</w:t>
      </w:r>
      <w:r w:rsidR="00350443" w:rsidRPr="00350443">
        <w:t xml:space="preserve"> is known </w:t>
      </w:r>
      <w:r w:rsidR="00350443">
        <w:t xml:space="preserve">locally </w:t>
      </w:r>
      <w:r w:rsidR="00350443" w:rsidRPr="00350443">
        <w:t xml:space="preserve">as </w:t>
      </w:r>
      <w:r w:rsidR="00350443">
        <w:t>‘</w:t>
      </w:r>
      <w:r w:rsidR="00350443" w:rsidRPr="001B2B19">
        <w:rPr>
          <w:b/>
          <w:bCs/>
        </w:rPr>
        <w:t>CGL Aspire’</w:t>
      </w:r>
      <w:r w:rsidR="00FE1138">
        <w:t xml:space="preserve"> and </w:t>
      </w:r>
      <w:r w:rsidR="00C52DAB">
        <w:t>includes</w:t>
      </w:r>
      <w:r w:rsidR="00AB33E5">
        <w:t>:</w:t>
      </w:r>
    </w:p>
    <w:p w14:paraId="6218BEE0" w14:textId="77777777" w:rsidR="00AB33E5" w:rsidRDefault="00AB33E5" w:rsidP="00AB33E5">
      <w:pPr>
        <w:pStyle w:val="ListParagraph"/>
        <w:numPr>
          <w:ilvl w:val="0"/>
          <w:numId w:val="1"/>
        </w:numPr>
      </w:pPr>
      <w:r>
        <w:t>E</w:t>
      </w:r>
      <w:r w:rsidRPr="00AB33E5">
        <w:t xml:space="preserve">arly intervention advice and support, </w:t>
      </w:r>
    </w:p>
    <w:p w14:paraId="674BB1CD" w14:textId="77777777" w:rsidR="00AB33E5" w:rsidRDefault="00AB33E5" w:rsidP="00AB33E5">
      <w:pPr>
        <w:pStyle w:val="ListParagraph"/>
        <w:numPr>
          <w:ilvl w:val="0"/>
          <w:numId w:val="1"/>
        </w:numPr>
      </w:pPr>
      <w:r>
        <w:t>P</w:t>
      </w:r>
      <w:r w:rsidRPr="00AB33E5">
        <w:t xml:space="preserve">harmacological treatment, </w:t>
      </w:r>
    </w:p>
    <w:p w14:paraId="567DD1C4" w14:textId="77777777" w:rsidR="00AB33E5" w:rsidRDefault="00AB33E5" w:rsidP="00AB33E5">
      <w:pPr>
        <w:pStyle w:val="ListParagraph"/>
        <w:numPr>
          <w:ilvl w:val="0"/>
          <w:numId w:val="1"/>
        </w:numPr>
      </w:pPr>
      <w:r>
        <w:t>H</w:t>
      </w:r>
      <w:r w:rsidRPr="00AB33E5">
        <w:t xml:space="preserve">arm reduction, </w:t>
      </w:r>
    </w:p>
    <w:p w14:paraId="129EBBB4" w14:textId="77777777" w:rsidR="00AB33E5" w:rsidRDefault="00AB33E5" w:rsidP="00AB33E5">
      <w:pPr>
        <w:pStyle w:val="ListParagraph"/>
        <w:numPr>
          <w:ilvl w:val="0"/>
          <w:numId w:val="1"/>
        </w:numPr>
      </w:pPr>
      <w:r>
        <w:t>P</w:t>
      </w:r>
      <w:r w:rsidRPr="00AB33E5">
        <w:t xml:space="preserve">harmacy-based services (including needle and syringe programmes), </w:t>
      </w:r>
    </w:p>
    <w:p w14:paraId="2801DD5A" w14:textId="77777777" w:rsidR="00AB33E5" w:rsidRDefault="00AB33E5" w:rsidP="00AB33E5">
      <w:pPr>
        <w:pStyle w:val="ListParagraph"/>
        <w:numPr>
          <w:ilvl w:val="0"/>
          <w:numId w:val="1"/>
        </w:numPr>
      </w:pPr>
      <w:r>
        <w:t>P</w:t>
      </w:r>
      <w:r w:rsidRPr="00AB33E5">
        <w:t xml:space="preserve">sychosocial support, </w:t>
      </w:r>
    </w:p>
    <w:p w14:paraId="24A661D8" w14:textId="77777777" w:rsidR="00AB33E5" w:rsidRDefault="00AB33E5" w:rsidP="00AB33E5">
      <w:pPr>
        <w:pStyle w:val="ListParagraph"/>
        <w:numPr>
          <w:ilvl w:val="0"/>
          <w:numId w:val="1"/>
        </w:numPr>
      </w:pPr>
      <w:r>
        <w:t>R</w:t>
      </w:r>
      <w:r w:rsidRPr="00AB33E5">
        <w:t xml:space="preserve">ecovery support, </w:t>
      </w:r>
    </w:p>
    <w:p w14:paraId="35EF1E8B" w14:textId="7EBF9386" w:rsidR="00AB33E5" w:rsidRDefault="00897BC9" w:rsidP="00AB33E5">
      <w:pPr>
        <w:pStyle w:val="ListParagraph"/>
        <w:numPr>
          <w:ilvl w:val="0"/>
          <w:numId w:val="1"/>
        </w:numPr>
      </w:pPr>
      <w:r>
        <w:t>A</w:t>
      </w:r>
      <w:r w:rsidR="00AB33E5" w:rsidRPr="00AB33E5">
        <w:t>ccess to community and inpatient detox and residential rehabilitation for adults and young people</w:t>
      </w:r>
    </w:p>
    <w:p w14:paraId="01ED2740" w14:textId="48515FD3" w:rsidR="0049573F" w:rsidRDefault="0067779D" w:rsidP="003900DE">
      <w:r>
        <w:t xml:space="preserve">Drug and alcohol services </w:t>
      </w:r>
      <w:r w:rsidR="00C23C2F">
        <w:t xml:space="preserve">work in </w:t>
      </w:r>
      <w:r w:rsidR="00BF04FE" w:rsidRPr="16F14F99">
        <w:rPr>
          <w:b/>
          <w:bCs/>
        </w:rPr>
        <w:t>collaborat</w:t>
      </w:r>
      <w:r w:rsidR="00C23C2F" w:rsidRPr="16F14F99">
        <w:rPr>
          <w:b/>
          <w:bCs/>
        </w:rPr>
        <w:t>ion</w:t>
      </w:r>
      <w:r w:rsidR="00BF04FE" w:rsidRPr="16F14F99">
        <w:rPr>
          <w:b/>
          <w:bCs/>
        </w:rPr>
        <w:t xml:space="preserve"> with </w:t>
      </w:r>
      <w:r w:rsidR="00C23C2F" w:rsidRPr="16F14F99">
        <w:rPr>
          <w:b/>
          <w:bCs/>
        </w:rPr>
        <w:t xml:space="preserve">key </w:t>
      </w:r>
      <w:r w:rsidR="005A53E0" w:rsidRPr="16F14F99">
        <w:rPr>
          <w:b/>
          <w:bCs/>
        </w:rPr>
        <w:t>partners</w:t>
      </w:r>
      <w:r w:rsidR="005A53E0">
        <w:t xml:space="preserve"> to improve case identification and coordination of care</w:t>
      </w:r>
      <w:r w:rsidR="00C23C2F">
        <w:t>. Th</w:t>
      </w:r>
      <w:r w:rsidR="00FE7991">
        <w:t xml:space="preserve">ese partners </w:t>
      </w:r>
      <w:r w:rsidR="005A53E0">
        <w:t>includ</w:t>
      </w:r>
      <w:r w:rsidR="00C23C2F">
        <w:t>e</w:t>
      </w:r>
      <w:r w:rsidR="005A53E0">
        <w:t xml:space="preserve"> </w:t>
      </w:r>
      <w:r w:rsidR="00F36E7D">
        <w:t>hospital</w:t>
      </w:r>
      <w:r w:rsidR="00FE7991">
        <w:t>s</w:t>
      </w:r>
      <w:r w:rsidR="00F36E7D">
        <w:t xml:space="preserve">, GPs, </w:t>
      </w:r>
      <w:r w:rsidR="005A53E0">
        <w:t xml:space="preserve">police, prisons, </w:t>
      </w:r>
      <w:r w:rsidR="000A004F">
        <w:t xml:space="preserve">ASB </w:t>
      </w:r>
      <w:r w:rsidR="00F36E7D">
        <w:t xml:space="preserve">(Anti-Social Behaviour) </w:t>
      </w:r>
      <w:r w:rsidR="000A004F">
        <w:t xml:space="preserve">Team, </w:t>
      </w:r>
      <w:r w:rsidR="00E80BFC">
        <w:t>the</w:t>
      </w:r>
      <w:r w:rsidR="005A53E0">
        <w:t xml:space="preserve"> </w:t>
      </w:r>
      <w:r w:rsidR="00EB5DFA">
        <w:t>homeless</w:t>
      </w:r>
      <w:r w:rsidR="00E80BFC">
        <w:t>ness</w:t>
      </w:r>
      <w:r w:rsidR="00EB5DFA">
        <w:t xml:space="preserve"> team</w:t>
      </w:r>
      <w:r w:rsidR="004625D3">
        <w:t xml:space="preserve">, </w:t>
      </w:r>
      <w:r w:rsidR="00A96D0E">
        <w:t>social care,</w:t>
      </w:r>
      <w:r w:rsidR="00E80BFC">
        <w:t xml:space="preserve"> </w:t>
      </w:r>
      <w:r w:rsidR="00AA0A0A">
        <w:t>C</w:t>
      </w:r>
      <w:r w:rsidR="00E80BFC">
        <w:t xml:space="preserve">itizens </w:t>
      </w:r>
      <w:r w:rsidR="00AA0A0A">
        <w:t>A</w:t>
      </w:r>
      <w:r w:rsidR="00E80BFC">
        <w:t>dvice,</w:t>
      </w:r>
      <w:r w:rsidR="00180608">
        <w:t xml:space="preserve"> the Department for Work and Pensions</w:t>
      </w:r>
      <w:r w:rsidR="00A96D0E">
        <w:t xml:space="preserve"> </w:t>
      </w:r>
      <w:r w:rsidR="00180608">
        <w:t>(</w:t>
      </w:r>
      <w:r w:rsidR="00A96D0E">
        <w:t>DWP</w:t>
      </w:r>
      <w:r w:rsidR="00180608">
        <w:t>)</w:t>
      </w:r>
      <w:r w:rsidR="00A96D0E">
        <w:t xml:space="preserve"> and employment </w:t>
      </w:r>
      <w:r w:rsidR="00180608">
        <w:t xml:space="preserve">support </w:t>
      </w:r>
      <w:r w:rsidR="00A96D0E">
        <w:t>services</w:t>
      </w:r>
      <w:r w:rsidR="00BF04FE">
        <w:t>.</w:t>
      </w:r>
    </w:p>
    <w:p w14:paraId="0DE0E925" w14:textId="23293A7A" w:rsidR="004805C4" w:rsidRPr="004C55AF" w:rsidRDefault="004805C4" w:rsidP="004805C4">
      <w:r>
        <w:t>Several dedicated roles and projects support this collaborative approach, including:</w:t>
      </w:r>
    </w:p>
    <w:p w14:paraId="531F7E59" w14:textId="76945BA3" w:rsidR="00A06E7D" w:rsidRPr="004C55AF" w:rsidRDefault="00EE7964" w:rsidP="00B80EAF">
      <w:pPr>
        <w:pStyle w:val="ListParagraph"/>
        <w:numPr>
          <w:ilvl w:val="0"/>
          <w:numId w:val="16"/>
        </w:numPr>
      </w:pPr>
      <w:r w:rsidRPr="00A56858">
        <w:rPr>
          <w:b/>
          <w:bCs/>
        </w:rPr>
        <w:t>Operation Glacier</w:t>
      </w:r>
      <w:r w:rsidR="00794012" w:rsidRPr="00F12FC6">
        <w:t xml:space="preserve"> </w:t>
      </w:r>
      <w:r w:rsidR="00BA75DF" w:rsidRPr="00F12FC6">
        <w:t>–</w:t>
      </w:r>
      <w:r w:rsidR="00794012" w:rsidRPr="00F12FC6">
        <w:t xml:space="preserve"> </w:t>
      </w:r>
      <w:r w:rsidR="00BA75DF" w:rsidRPr="00F12FC6">
        <w:t>a</w:t>
      </w:r>
      <w:r w:rsidR="00702DCA" w:rsidRPr="00F12FC6">
        <w:t>n</w:t>
      </w:r>
      <w:r w:rsidR="00BA75DF" w:rsidRPr="00F12FC6">
        <w:t xml:space="preserve"> outreach </w:t>
      </w:r>
      <w:r w:rsidR="00702DCA" w:rsidRPr="00F12FC6">
        <w:t xml:space="preserve">programme providing </w:t>
      </w:r>
      <w:r w:rsidR="00217800" w:rsidRPr="00F12FC6">
        <w:t xml:space="preserve">targeted </w:t>
      </w:r>
      <w:r w:rsidR="0037140E" w:rsidRPr="00F12FC6">
        <w:t>support</w:t>
      </w:r>
      <w:r w:rsidR="00546C0C" w:rsidRPr="00F12FC6">
        <w:t xml:space="preserve"> </w:t>
      </w:r>
      <w:r w:rsidR="00217800" w:rsidRPr="00F12FC6">
        <w:t xml:space="preserve">for </w:t>
      </w:r>
      <w:r w:rsidR="00546C0C" w:rsidRPr="00F12FC6">
        <w:t>sex workers</w:t>
      </w:r>
      <w:r w:rsidR="00100AC2">
        <w:t>,</w:t>
      </w:r>
    </w:p>
    <w:p w14:paraId="36E2249A" w14:textId="0854EAA2" w:rsidR="00EE7964" w:rsidRPr="00F15E22" w:rsidRDefault="00EE7964" w:rsidP="00B80EAF">
      <w:pPr>
        <w:pStyle w:val="ListParagraph"/>
        <w:numPr>
          <w:ilvl w:val="0"/>
          <w:numId w:val="16"/>
        </w:numPr>
      </w:pPr>
      <w:r w:rsidRPr="00A56858">
        <w:rPr>
          <w:b/>
          <w:bCs/>
        </w:rPr>
        <w:t>Cuckooing</w:t>
      </w:r>
      <w:r w:rsidR="00D9786D" w:rsidRPr="00A56858">
        <w:rPr>
          <w:b/>
          <w:bCs/>
        </w:rPr>
        <w:t xml:space="preserve"> </w:t>
      </w:r>
      <w:r w:rsidR="00217800" w:rsidRPr="00A56858">
        <w:rPr>
          <w:b/>
          <w:bCs/>
        </w:rPr>
        <w:t>Prevention</w:t>
      </w:r>
      <w:r w:rsidR="00217800" w:rsidRPr="00F15E22">
        <w:t xml:space="preserve"> </w:t>
      </w:r>
      <w:r w:rsidR="00D9786D" w:rsidRPr="00F15E22">
        <w:t xml:space="preserve">– </w:t>
      </w:r>
      <w:r w:rsidR="00F65B5F" w:rsidRPr="00F15E22">
        <w:t xml:space="preserve">a </w:t>
      </w:r>
      <w:r w:rsidR="00217800" w:rsidRPr="00F15E22">
        <w:t xml:space="preserve">specialist </w:t>
      </w:r>
      <w:r w:rsidR="00F65B5F" w:rsidRPr="00F15E22">
        <w:t xml:space="preserve">role </w:t>
      </w:r>
      <w:r w:rsidR="00217800" w:rsidRPr="00F15E22">
        <w:t xml:space="preserve">working with police to protect </w:t>
      </w:r>
      <w:r w:rsidR="008953BA" w:rsidRPr="00F15E22">
        <w:t xml:space="preserve">vulnerable people </w:t>
      </w:r>
      <w:r w:rsidR="00036759" w:rsidRPr="00F15E22">
        <w:t xml:space="preserve">who are </w:t>
      </w:r>
      <w:r w:rsidR="00B40E1C" w:rsidRPr="00F15E22">
        <w:t xml:space="preserve">exploited </w:t>
      </w:r>
      <w:r w:rsidR="003A0851" w:rsidRPr="00F15E22">
        <w:t xml:space="preserve">for </w:t>
      </w:r>
      <w:r w:rsidR="000E75BD" w:rsidRPr="00F15E22">
        <w:t xml:space="preserve">drug </w:t>
      </w:r>
      <w:r w:rsidR="00742E3B" w:rsidRPr="00F15E22">
        <w:t>trafficking and other abuse</w:t>
      </w:r>
      <w:r w:rsidR="00B40E1C" w:rsidRPr="00F15E22">
        <w:t>,</w:t>
      </w:r>
    </w:p>
    <w:p w14:paraId="7F25462E" w14:textId="77777777" w:rsidR="00561EB7" w:rsidRPr="000D528C" w:rsidRDefault="0032119D" w:rsidP="00561EB7">
      <w:pPr>
        <w:pStyle w:val="ListParagraph"/>
        <w:numPr>
          <w:ilvl w:val="0"/>
          <w:numId w:val="16"/>
        </w:numPr>
      </w:pPr>
      <w:r w:rsidRPr="000D528C">
        <w:rPr>
          <w:b/>
          <w:bCs/>
        </w:rPr>
        <w:t>Housing</w:t>
      </w:r>
      <w:r w:rsidR="008D4657" w:rsidRPr="000D528C">
        <w:rPr>
          <w:b/>
          <w:bCs/>
        </w:rPr>
        <w:t xml:space="preserve"> Pathway</w:t>
      </w:r>
      <w:r w:rsidR="008D4657" w:rsidRPr="000D528C">
        <w:t xml:space="preserve"> – a structured approach to supporting individuals experiencing homelessness</w:t>
      </w:r>
      <w:r w:rsidRPr="000D528C">
        <w:t xml:space="preserve"> and housing instability</w:t>
      </w:r>
      <w:r w:rsidR="006D7AB5" w:rsidRPr="000D528C">
        <w:t xml:space="preserve">, with </w:t>
      </w:r>
      <w:r w:rsidR="00730F23" w:rsidRPr="000D528C">
        <w:t>joint case meetings between DA workers</w:t>
      </w:r>
      <w:r w:rsidR="00561EB7" w:rsidRPr="000D528C">
        <w:t xml:space="preserve"> and PCC housing officers</w:t>
      </w:r>
    </w:p>
    <w:p w14:paraId="0FE05F67" w14:textId="3798AED0" w:rsidR="004C55AF" w:rsidRPr="000D528C" w:rsidRDefault="004C55AF" w:rsidP="004C55AF">
      <w:pPr>
        <w:pStyle w:val="ListParagraph"/>
        <w:numPr>
          <w:ilvl w:val="0"/>
          <w:numId w:val="16"/>
        </w:numPr>
      </w:pPr>
      <w:r w:rsidRPr="000D528C">
        <w:rPr>
          <w:b/>
          <w:bCs/>
        </w:rPr>
        <w:t>Primary care</w:t>
      </w:r>
      <w:r w:rsidRPr="000D528C">
        <w:t xml:space="preserve"> </w:t>
      </w:r>
      <w:r w:rsidR="00514B09" w:rsidRPr="000D528C">
        <w:t>–</w:t>
      </w:r>
      <w:r w:rsidRPr="000D528C">
        <w:t xml:space="preserve"> </w:t>
      </w:r>
      <w:r w:rsidR="000D528C" w:rsidRPr="000D528C">
        <w:t>psychosocial</w:t>
      </w:r>
      <w:r w:rsidR="00514B09" w:rsidRPr="000D528C">
        <w:t xml:space="preserve"> support offered to those in primary care settings that are </w:t>
      </w:r>
      <w:r w:rsidR="000D528C" w:rsidRPr="000D528C">
        <w:t>addicted</w:t>
      </w:r>
      <w:r w:rsidR="00514B09" w:rsidRPr="000D528C">
        <w:t xml:space="preserve"> to </w:t>
      </w:r>
      <w:r w:rsidR="000D528C" w:rsidRPr="000D528C">
        <w:t xml:space="preserve">prescribed opiate medication. </w:t>
      </w:r>
    </w:p>
    <w:p w14:paraId="2DB89CFB" w14:textId="77777777" w:rsidR="004C55AF" w:rsidRPr="008E1E29" w:rsidRDefault="004C55AF" w:rsidP="004C55AF">
      <w:pPr>
        <w:pStyle w:val="ListParagraph"/>
        <w:numPr>
          <w:ilvl w:val="0"/>
          <w:numId w:val="16"/>
        </w:numPr>
      </w:pPr>
      <w:r w:rsidRPr="008E1E29">
        <w:rPr>
          <w:b/>
          <w:bCs/>
        </w:rPr>
        <w:t>Hospital liaison</w:t>
      </w:r>
      <w:r w:rsidRPr="008E1E29">
        <w:t xml:space="preserve"> post embedded within Peterborough City Hospital to liaise between hospital and community services</w:t>
      </w:r>
    </w:p>
    <w:p w14:paraId="1E6B0341" w14:textId="77777777" w:rsidR="004C55AF" w:rsidRPr="008E1E29" w:rsidRDefault="004C55AF" w:rsidP="004C55AF">
      <w:pPr>
        <w:pStyle w:val="ListParagraph"/>
        <w:numPr>
          <w:ilvl w:val="0"/>
          <w:numId w:val="16"/>
        </w:numPr>
      </w:pPr>
      <w:r w:rsidRPr="008E1E29">
        <w:rPr>
          <w:b/>
          <w:bCs/>
        </w:rPr>
        <w:t>Community engagement</w:t>
      </w:r>
      <w:r w:rsidRPr="008E1E29">
        <w:t xml:space="preserve"> role within CGL Aspire that works to increase engagement across all communities within Peterborough. </w:t>
      </w:r>
    </w:p>
    <w:p w14:paraId="0A68A5B0" w14:textId="77777777" w:rsidR="004C55AF" w:rsidRPr="008E1E29" w:rsidRDefault="004C55AF" w:rsidP="004C55AF">
      <w:pPr>
        <w:pStyle w:val="ListParagraph"/>
        <w:numPr>
          <w:ilvl w:val="0"/>
          <w:numId w:val="16"/>
        </w:numPr>
      </w:pPr>
      <w:r w:rsidRPr="008E1E29">
        <w:rPr>
          <w:b/>
          <w:bCs/>
        </w:rPr>
        <w:t>Life skills offer</w:t>
      </w:r>
      <w:r w:rsidRPr="008E1E29">
        <w:t xml:space="preserve"> within current funding allocations to promote sustained outcomes for service users. </w:t>
      </w:r>
    </w:p>
    <w:p w14:paraId="185FD06D" w14:textId="605DAB8D" w:rsidR="003900DE" w:rsidRDefault="00D57C34" w:rsidP="003900DE">
      <w:r>
        <w:t xml:space="preserve">The </w:t>
      </w:r>
      <w:r w:rsidR="00EA6DFF" w:rsidRPr="001B2B19">
        <w:rPr>
          <w:b/>
          <w:bCs/>
        </w:rPr>
        <w:t>r</w:t>
      </w:r>
      <w:r w:rsidR="003900DE" w:rsidRPr="001B2B19">
        <w:rPr>
          <w:b/>
          <w:bCs/>
        </w:rPr>
        <w:t xml:space="preserve">ecovery </w:t>
      </w:r>
      <w:r w:rsidR="00EA6DFF" w:rsidRPr="001B2B19">
        <w:rPr>
          <w:b/>
          <w:bCs/>
        </w:rPr>
        <w:t>h</w:t>
      </w:r>
      <w:r w:rsidR="003900DE" w:rsidRPr="001B2B19">
        <w:rPr>
          <w:b/>
          <w:bCs/>
        </w:rPr>
        <w:t>ub</w:t>
      </w:r>
      <w:r w:rsidR="003900DE" w:rsidRPr="00C1349A">
        <w:t xml:space="preserve"> is </w:t>
      </w:r>
      <w:r>
        <w:t>a new service</w:t>
      </w:r>
      <w:r w:rsidR="004625D3">
        <w:t xml:space="preserve"> since 2023</w:t>
      </w:r>
      <w:r>
        <w:t xml:space="preserve">, </w:t>
      </w:r>
      <w:r w:rsidR="003900DE" w:rsidRPr="00C1349A">
        <w:t>offered for those who have completed their structured treatment but want facilitated mutual support to keep them free of substances and prevent a return to addiction. This is an important safe space open 3 days per week and attended by 15-20 people at each session.</w:t>
      </w:r>
      <w:r w:rsidR="00EC389F">
        <w:t xml:space="preserve"> A total of 181 individual attend</w:t>
      </w:r>
      <w:r w:rsidR="00421EA8">
        <w:t>ances were recorded at</w:t>
      </w:r>
      <w:r w:rsidR="00EC389F">
        <w:t xml:space="preserve"> recovery groups in the year ending March 2024</w:t>
      </w:r>
      <w:r w:rsidR="00963994">
        <w:t xml:space="preserve">, with </w:t>
      </w:r>
      <w:r w:rsidR="00421EA8">
        <w:t xml:space="preserve">364 </w:t>
      </w:r>
      <w:r w:rsidR="00EA6DFF">
        <w:t xml:space="preserve">attendances </w:t>
      </w:r>
      <w:r w:rsidR="000C75EF">
        <w:t xml:space="preserve">by </w:t>
      </w:r>
      <w:r w:rsidR="00421EA8">
        <w:t>friends or family.</w:t>
      </w:r>
    </w:p>
    <w:p w14:paraId="52F445E8" w14:textId="68FD36B8" w:rsidR="009E17BE" w:rsidRDefault="00531E9A" w:rsidP="003900DE">
      <w:r w:rsidRPr="001B2B19">
        <w:rPr>
          <w:b/>
          <w:bCs/>
        </w:rPr>
        <w:t>Co-production and peer support</w:t>
      </w:r>
      <w:r w:rsidRPr="00531E9A">
        <w:t xml:space="preserve"> are central to th</w:t>
      </w:r>
      <w:r w:rsidR="001B2B19">
        <w:t>e recovery</w:t>
      </w:r>
      <w:r>
        <w:t>. O</w:t>
      </w:r>
      <w:r w:rsidRPr="00531E9A">
        <w:t xml:space="preserve">ver two-thirds of volunteers </w:t>
      </w:r>
      <w:r>
        <w:t xml:space="preserve">at the service </w:t>
      </w:r>
      <w:r w:rsidRPr="00531E9A">
        <w:t>having lived experience, enhancing trust, engagement, and accessibility for service users.</w:t>
      </w:r>
    </w:p>
    <w:p w14:paraId="6FA141A2" w14:textId="77777777" w:rsidR="003900DE" w:rsidRPr="007C5DC0" w:rsidRDefault="003900DE" w:rsidP="002832B3"/>
    <w:p w14:paraId="4B9B194D" w14:textId="1C477418" w:rsidR="002832B3" w:rsidRDefault="002832B3" w:rsidP="001F7098">
      <w:pPr>
        <w:pStyle w:val="Heading4"/>
      </w:pPr>
      <w:r>
        <w:lastRenderedPageBreak/>
        <w:t>Finances</w:t>
      </w:r>
      <w:r w:rsidR="00AA3B69">
        <w:t xml:space="preserve"> and A</w:t>
      </w:r>
      <w:r>
        <w:t>ffordability</w:t>
      </w:r>
    </w:p>
    <w:p w14:paraId="3C4F42AD" w14:textId="5B51F893" w:rsidR="002832B3" w:rsidRDefault="00BD7AE8" w:rsidP="002832B3">
      <w:r>
        <w:t xml:space="preserve">The </w:t>
      </w:r>
      <w:r w:rsidRPr="001B2B19">
        <w:rPr>
          <w:b/>
          <w:bCs/>
        </w:rPr>
        <w:t>current funding model</w:t>
      </w:r>
      <w:r>
        <w:t xml:space="preserve"> for drug and alcohol services in Peterborough </w:t>
      </w:r>
      <w:r w:rsidR="00365240">
        <w:t>is made up of</w:t>
      </w:r>
      <w:r w:rsidR="00F95F04">
        <w:t>:</w:t>
      </w:r>
    </w:p>
    <w:p w14:paraId="54B86CCF" w14:textId="0010BDAB" w:rsidR="00365240" w:rsidRDefault="00F95F04" w:rsidP="00365240">
      <w:pPr>
        <w:pStyle w:val="ListParagraph"/>
        <w:numPr>
          <w:ilvl w:val="0"/>
          <w:numId w:val="1"/>
        </w:numPr>
      </w:pPr>
      <w:r w:rsidRPr="00F95F04">
        <w:t>The</w:t>
      </w:r>
      <w:r>
        <w:rPr>
          <w:b/>
          <w:bCs/>
        </w:rPr>
        <w:t xml:space="preserve"> ‘c</w:t>
      </w:r>
      <w:r w:rsidR="00365240" w:rsidRPr="001B2B19">
        <w:rPr>
          <w:b/>
          <w:bCs/>
        </w:rPr>
        <w:t>ore contract</w:t>
      </w:r>
      <w:r>
        <w:rPr>
          <w:b/>
          <w:bCs/>
        </w:rPr>
        <w:t>’</w:t>
      </w:r>
      <w:r w:rsidR="00365240">
        <w:t xml:space="preserve"> </w:t>
      </w:r>
      <w:r w:rsidR="00D5207C">
        <w:t xml:space="preserve">from </w:t>
      </w:r>
      <w:r w:rsidR="00420E85">
        <w:t>public health funding</w:t>
      </w:r>
    </w:p>
    <w:p w14:paraId="6EC2155B" w14:textId="0331770C" w:rsidR="00365240" w:rsidRDefault="00365240" w:rsidP="00365240">
      <w:pPr>
        <w:pStyle w:val="ListParagraph"/>
        <w:numPr>
          <w:ilvl w:val="0"/>
          <w:numId w:val="1"/>
        </w:numPr>
      </w:pPr>
      <w:r w:rsidRPr="001B2B19">
        <w:rPr>
          <w:b/>
          <w:bCs/>
        </w:rPr>
        <w:t>Supplementary funds</w:t>
      </w:r>
      <w:r w:rsidR="00D5207C">
        <w:t xml:space="preserve"> from central government</w:t>
      </w:r>
    </w:p>
    <w:p w14:paraId="5A97F5AA" w14:textId="77777777" w:rsidR="00071A8D" w:rsidRPr="00071A8D" w:rsidRDefault="00071A8D" w:rsidP="00AB6C3D">
      <w:pPr>
        <w:pStyle w:val="ListParagraph"/>
        <w:numPr>
          <w:ilvl w:val="1"/>
          <w:numId w:val="1"/>
        </w:numPr>
      </w:pPr>
      <w:r w:rsidRPr="002325CD">
        <w:t>Supplementary Substance Misuse and Treatment Recovery Grant (SSMTRG)</w:t>
      </w:r>
    </w:p>
    <w:p w14:paraId="2AA0A4A1" w14:textId="31E28869" w:rsidR="009355F8" w:rsidRDefault="00AB6C3D" w:rsidP="00AB6C3D">
      <w:pPr>
        <w:pStyle w:val="ListParagraph"/>
        <w:numPr>
          <w:ilvl w:val="1"/>
          <w:numId w:val="1"/>
        </w:numPr>
      </w:pPr>
      <w:r>
        <w:t>OHID Housing Support Grant</w:t>
      </w:r>
    </w:p>
    <w:p w14:paraId="34F5E4E5" w14:textId="31423EF8" w:rsidR="001B2EF1" w:rsidRDefault="001B2EF1" w:rsidP="001B2EF1">
      <w:pPr>
        <w:pStyle w:val="ListParagraph"/>
        <w:numPr>
          <w:ilvl w:val="1"/>
          <w:numId w:val="1"/>
        </w:numPr>
      </w:pPr>
      <w:r>
        <w:t>OHID Rough Sleeper Drug and Alcohol Grant</w:t>
      </w:r>
      <w:r w:rsidR="009B1F3F">
        <w:t xml:space="preserve"> (RSDAT</w:t>
      </w:r>
      <w:r w:rsidR="002325CD">
        <w:t>G)</w:t>
      </w:r>
    </w:p>
    <w:p w14:paraId="2DD2D618" w14:textId="3117EA03" w:rsidR="00A51959" w:rsidRDefault="001B2EF1" w:rsidP="001B2EF1">
      <w:pPr>
        <w:pStyle w:val="ListParagraph"/>
        <w:numPr>
          <w:ilvl w:val="1"/>
          <w:numId w:val="1"/>
        </w:numPr>
      </w:pPr>
      <w:r>
        <w:t>Supplementary Individual Placement and Support</w:t>
      </w:r>
      <w:r w:rsidR="009B1F3F">
        <w:t xml:space="preserve"> (IPS)</w:t>
      </w:r>
    </w:p>
    <w:p w14:paraId="01A47F02" w14:textId="4E569269" w:rsidR="255B99AB" w:rsidRDefault="255B99AB" w:rsidP="31421868">
      <w:pPr>
        <w:pStyle w:val="ListParagraph"/>
        <w:numPr>
          <w:ilvl w:val="1"/>
          <w:numId w:val="1"/>
        </w:numPr>
      </w:pPr>
      <w:r>
        <w:t>Regional inpatient detox facility</w:t>
      </w:r>
    </w:p>
    <w:p w14:paraId="6B15F0CA" w14:textId="212EA5D2" w:rsidR="00285EE1" w:rsidRPr="001B2B19" w:rsidRDefault="00285EE1" w:rsidP="00285EE1">
      <w:pPr>
        <w:pStyle w:val="ListParagraph"/>
        <w:numPr>
          <w:ilvl w:val="0"/>
          <w:numId w:val="1"/>
        </w:numPr>
        <w:rPr>
          <w:b/>
          <w:bCs/>
        </w:rPr>
      </w:pPr>
      <w:r w:rsidRPr="001B2B19">
        <w:rPr>
          <w:b/>
          <w:bCs/>
        </w:rPr>
        <w:t>Local grants</w:t>
      </w:r>
    </w:p>
    <w:p w14:paraId="238C3FE8" w14:textId="15D664B8" w:rsidR="00285EE1" w:rsidRDefault="00EF7366" w:rsidP="00285EE1">
      <w:pPr>
        <w:pStyle w:val="ListParagraph"/>
        <w:numPr>
          <w:ilvl w:val="1"/>
          <w:numId w:val="1"/>
        </w:numPr>
      </w:pPr>
      <w:r>
        <w:t>ICB</w:t>
      </w:r>
    </w:p>
    <w:p w14:paraId="7E609546" w14:textId="173EF546" w:rsidR="00EF7366" w:rsidRDefault="00EF7366" w:rsidP="00285EE1">
      <w:pPr>
        <w:pStyle w:val="ListParagraph"/>
        <w:numPr>
          <w:ilvl w:val="1"/>
          <w:numId w:val="1"/>
        </w:numPr>
      </w:pPr>
      <w:r>
        <w:t>Public Health</w:t>
      </w:r>
    </w:p>
    <w:p w14:paraId="419DC165" w14:textId="4940979C" w:rsidR="00420BD4" w:rsidRDefault="00D424CC" w:rsidP="009B41D6">
      <w:pPr>
        <w:pStyle w:val="ListParagraph"/>
        <w:numPr>
          <w:ilvl w:val="1"/>
          <w:numId w:val="1"/>
        </w:numPr>
      </w:pPr>
      <w:r w:rsidRPr="00D424CC">
        <w:t>National Probation Service</w:t>
      </w:r>
    </w:p>
    <w:p w14:paraId="05ABA9FC" w14:textId="776BB5B5" w:rsidR="00420BD4" w:rsidRDefault="0005131F" w:rsidP="00420BD4">
      <w:pPr>
        <w:pStyle w:val="ListParagraph"/>
        <w:numPr>
          <w:ilvl w:val="1"/>
          <w:numId w:val="1"/>
        </w:numPr>
      </w:pPr>
      <w:r w:rsidRPr="0005131F">
        <w:t>Office of the Police and Crime Commissioner</w:t>
      </w:r>
    </w:p>
    <w:p w14:paraId="3DED6711" w14:textId="7B143768" w:rsidR="0005131F" w:rsidRDefault="000F3B56" w:rsidP="00420BD4">
      <w:pPr>
        <w:pStyle w:val="ListParagraph"/>
        <w:numPr>
          <w:ilvl w:val="1"/>
          <w:numId w:val="1"/>
        </w:numPr>
      </w:pPr>
      <w:r w:rsidRPr="000F3B56">
        <w:t>Department of Education</w:t>
      </w:r>
    </w:p>
    <w:p w14:paraId="68075619" w14:textId="28E95972" w:rsidR="00323BE5" w:rsidRPr="001B2B19" w:rsidRDefault="00323BE5" w:rsidP="00C21065">
      <w:pPr>
        <w:pStyle w:val="ListParagraph"/>
        <w:rPr>
          <w:highlight w:val="yellow"/>
        </w:rPr>
      </w:pPr>
    </w:p>
    <w:p w14:paraId="30FBF782" w14:textId="77777777" w:rsidR="000766B6" w:rsidRDefault="00F065F9" w:rsidP="00560B81">
      <w:r>
        <w:t xml:space="preserve">The supplementary grants have been transformative, </w:t>
      </w:r>
      <w:r w:rsidR="005354D5">
        <w:t xml:space="preserve">allowing an </w:t>
      </w:r>
      <w:r w:rsidR="005354D5" w:rsidRPr="005354D5">
        <w:t>expan</w:t>
      </w:r>
      <w:r w:rsidR="005354D5">
        <w:t>sion of</w:t>
      </w:r>
      <w:r w:rsidR="005354D5" w:rsidRPr="005354D5">
        <w:t xml:space="preserve"> service capacity, improv</w:t>
      </w:r>
      <w:r w:rsidR="005354D5">
        <w:t>ing</w:t>
      </w:r>
      <w:r w:rsidR="005354D5" w:rsidRPr="005354D5">
        <w:t xml:space="preserve"> the quality of prevention work, and enhanc</w:t>
      </w:r>
      <w:r w:rsidR="005354D5">
        <w:t>ing</w:t>
      </w:r>
      <w:r w:rsidR="005354D5" w:rsidRPr="005354D5">
        <w:t xml:space="preserve"> recovery and support services such as housing, employment support, and inpatient detoxification</w:t>
      </w:r>
      <w:r w:rsidR="005354D5" w:rsidRPr="00F95F04">
        <w:t>.</w:t>
      </w:r>
      <w:r w:rsidR="00504099" w:rsidRPr="00F95F04">
        <w:t xml:space="preserve"> </w:t>
      </w:r>
    </w:p>
    <w:p w14:paraId="5492165B" w14:textId="1F501EB8" w:rsidR="00B7469E" w:rsidRDefault="000766B6" w:rsidP="00560B81">
      <w:r>
        <w:t>T</w:t>
      </w:r>
      <w:r w:rsidR="00504099" w:rsidRPr="00F95F04">
        <w:t>here is ongoing uncertainty about longer</w:t>
      </w:r>
      <w:r w:rsidR="00504099" w:rsidRPr="00F95F04">
        <w:rPr>
          <w:rFonts w:ascii="Cambria Math" w:hAnsi="Cambria Math" w:cs="Cambria Math"/>
        </w:rPr>
        <w:t>‐</w:t>
      </w:r>
      <w:r w:rsidR="00504099" w:rsidRPr="00F95F04">
        <w:t>term funding beyond the current cycle (announced for 2025</w:t>
      </w:r>
      <w:r w:rsidR="00504099" w:rsidRPr="00F95F04">
        <w:rPr>
          <w:rFonts w:ascii="Aptos" w:hAnsi="Aptos" w:cs="Aptos"/>
        </w:rPr>
        <w:t>–</w:t>
      </w:r>
      <w:r w:rsidR="00504099" w:rsidRPr="00F95F04">
        <w:t>26)</w:t>
      </w:r>
      <w:r>
        <w:t xml:space="preserve"> however</w:t>
      </w:r>
      <w:r w:rsidR="00504099" w:rsidRPr="00F95F04">
        <w:t xml:space="preserve">, with future allocations pending departmental and Treasury approval. </w:t>
      </w:r>
      <w:r w:rsidR="00B7469E" w:rsidRPr="00F95F04">
        <w:t>U</w:t>
      </w:r>
      <w:r w:rsidR="00504099" w:rsidRPr="00F95F04">
        <w:t>ncertainty complicate</w:t>
      </w:r>
      <w:r w:rsidR="00B7469E" w:rsidRPr="00F95F04">
        <w:t>s</w:t>
      </w:r>
      <w:r w:rsidR="00504099" w:rsidRPr="00F95F04">
        <w:t xml:space="preserve"> service planning and hamper</w:t>
      </w:r>
      <w:r w:rsidR="00B7469E" w:rsidRPr="00F95F04">
        <w:t>s</w:t>
      </w:r>
      <w:r w:rsidR="00504099" w:rsidRPr="00F95F04">
        <w:t xml:space="preserve"> the ability to commit to sustainable, high</w:t>
      </w:r>
      <w:r w:rsidR="00504099" w:rsidRPr="00F95F04">
        <w:rPr>
          <w:rFonts w:ascii="Cambria Math" w:hAnsi="Cambria Math" w:cs="Cambria Math"/>
        </w:rPr>
        <w:t>‐</w:t>
      </w:r>
      <w:r w:rsidR="00504099" w:rsidRPr="00F95F04">
        <w:t>quality service models without a clear multi-year funding commitment.</w:t>
      </w:r>
      <w:r w:rsidR="00B7469E" w:rsidRPr="00F95F04">
        <w:t xml:space="preserve"> Services may face disruptions once</w:t>
      </w:r>
      <w:r w:rsidR="00EA00AD" w:rsidRPr="00F95F04">
        <w:t xml:space="preserve"> </w:t>
      </w:r>
      <w:r w:rsidR="00B7469E" w:rsidRPr="00F95F04">
        <w:t>supplemental funds expire or if future allocations are lower than expected.</w:t>
      </w:r>
    </w:p>
    <w:p w14:paraId="623897E1" w14:textId="77777777" w:rsidR="00B0005C" w:rsidRPr="000371FF" w:rsidRDefault="00B0005C" w:rsidP="00B0005C"/>
    <w:p w14:paraId="232E3DB2" w14:textId="2D256A71" w:rsidR="00E875DD" w:rsidRDefault="00E875DD" w:rsidP="001F7098">
      <w:pPr>
        <w:pStyle w:val="Heading3"/>
      </w:pPr>
      <w:bookmarkStart w:id="79" w:name="_Toc200479511"/>
      <w:r>
        <w:t>Harm Reduction</w:t>
      </w:r>
      <w:bookmarkEnd w:id="79"/>
    </w:p>
    <w:p w14:paraId="18FEB453" w14:textId="4F179F1D" w:rsidR="00D50BCE" w:rsidRDefault="00A848FF" w:rsidP="008C2E3D">
      <w:r w:rsidRPr="001B2B19">
        <w:rPr>
          <w:b/>
          <w:bCs/>
        </w:rPr>
        <w:t>Harm reduction</w:t>
      </w:r>
      <w:r>
        <w:t xml:space="preserve"> </w:t>
      </w:r>
      <w:r w:rsidR="001D7839">
        <w:t>r</w:t>
      </w:r>
      <w:r w:rsidR="001D7839" w:rsidRPr="001D7839">
        <w:t xml:space="preserve">efers to a range of strategies aimed at minimising the health risks associated with substance misuse, particularly through approaches that focus on </w:t>
      </w:r>
      <w:r w:rsidR="001D7839" w:rsidRPr="001B2B19">
        <w:rPr>
          <w:b/>
          <w:bCs/>
        </w:rPr>
        <w:t>preventing harm and reducing fatalities</w:t>
      </w:r>
      <w:r w:rsidR="001D7839" w:rsidRPr="001D7839">
        <w:t>. The goal is not necessarily to reduce or eliminate drug use, but to reduce the negative consequences associated with it.</w:t>
      </w:r>
    </w:p>
    <w:p w14:paraId="31403EDD" w14:textId="5B78DFAC" w:rsidR="001D7839" w:rsidRDefault="001D7839" w:rsidP="008C2E3D">
      <w:r>
        <w:t>This section highlights data relating to harm reduction services in Peterborough, including</w:t>
      </w:r>
      <w:r w:rsidR="00E45043">
        <w:t xml:space="preserve"> medications,</w:t>
      </w:r>
      <w:r>
        <w:t xml:space="preserve"> needle exchange, and peer-support.</w:t>
      </w:r>
    </w:p>
    <w:p w14:paraId="0FDC1257" w14:textId="14451AF2" w:rsidR="008C2E3D" w:rsidRDefault="00503B5E" w:rsidP="008C2E3D">
      <w:r>
        <w:t>T</w:t>
      </w:r>
      <w:r w:rsidR="008C2E3D">
        <w:t>here is a relatively high proportion of OCU who inject in Peterborough</w:t>
      </w:r>
      <w:r w:rsidR="00253E6C">
        <w:t>,</w:t>
      </w:r>
      <w:r>
        <w:t xml:space="preserve"> who </w:t>
      </w:r>
      <w:r w:rsidR="008C2E3D">
        <w:t xml:space="preserve">are at increased risk of harms </w:t>
      </w:r>
      <w:r w:rsidR="008C2E3D" w:rsidRPr="003F5741">
        <w:t>includ</w:t>
      </w:r>
      <w:r w:rsidR="008C2E3D">
        <w:t>ing</w:t>
      </w:r>
      <w:r w:rsidR="008C2E3D" w:rsidRPr="003F5741">
        <w:t xml:space="preserve"> </w:t>
      </w:r>
      <w:r w:rsidR="007B2793">
        <w:t xml:space="preserve">being at </w:t>
      </w:r>
      <w:r w:rsidR="008C2E3D" w:rsidRPr="003F5741">
        <w:t xml:space="preserve">risk </w:t>
      </w:r>
      <w:r w:rsidR="007B2793">
        <w:t xml:space="preserve">of </w:t>
      </w:r>
      <w:r w:rsidR="008C2E3D" w:rsidRPr="003F5741">
        <w:t xml:space="preserve">blood-borne viruses </w:t>
      </w:r>
      <w:r w:rsidR="003106D3">
        <w:t xml:space="preserve">(BBV, </w:t>
      </w:r>
      <w:r w:rsidR="008C2E3D" w:rsidRPr="003F5741">
        <w:t>like HIV and hepatitis), infections, vein damage, and overdose.</w:t>
      </w:r>
      <w:r w:rsidR="00253E6C">
        <w:t xml:space="preserve"> BBV</w:t>
      </w:r>
      <w:r w:rsidR="003106D3">
        <w:t xml:space="preserve"> </w:t>
      </w:r>
      <w:r w:rsidR="00253E6C">
        <w:t>monitoring and treatment is an important method of harm reduction</w:t>
      </w:r>
      <w:r w:rsidR="003106D3">
        <w:t xml:space="preserve"> and </w:t>
      </w:r>
      <w:r w:rsidR="00E07109">
        <w:t xml:space="preserve">a high proportion of service users in </w:t>
      </w:r>
      <w:r w:rsidR="003106D3" w:rsidRPr="003F02D2">
        <w:t xml:space="preserve">Peterborough </w:t>
      </w:r>
      <w:r w:rsidR="00E07109" w:rsidRPr="003F02D2">
        <w:t>receive this care</w:t>
      </w:r>
      <w:r w:rsidR="009C6079" w:rsidRPr="003F02D2">
        <w:t xml:space="preserve"> </w:t>
      </w:r>
      <w:r w:rsidR="0041707E">
        <w:t>(</w:t>
      </w:r>
      <w:r w:rsidR="003C643B" w:rsidRPr="003F02D2">
        <w:t>see S</w:t>
      </w:r>
      <w:r w:rsidR="009C6079" w:rsidRPr="003F02D2">
        <w:t xml:space="preserve">ection </w:t>
      </w:r>
      <w:r w:rsidR="009A62F7" w:rsidRPr="003F02D2">
        <w:t>5.6.3.</w:t>
      </w:r>
      <w:r w:rsidR="0041707E">
        <w:t>)</w:t>
      </w:r>
      <w:r w:rsidR="00E07109" w:rsidRPr="003F02D2">
        <w:t>.</w:t>
      </w:r>
    </w:p>
    <w:p w14:paraId="0530E296" w14:textId="2880A6A9" w:rsidR="00E875DD" w:rsidRDefault="00E875DD" w:rsidP="008C2E3D"/>
    <w:p w14:paraId="5A0D2C02" w14:textId="0DEE4236" w:rsidR="00D5203D" w:rsidRDefault="00D5203D" w:rsidP="00D5203D">
      <w:pPr>
        <w:pStyle w:val="Heading4"/>
      </w:pPr>
      <w:r>
        <w:t>N</w:t>
      </w:r>
      <w:r w:rsidR="007B2793">
        <w:t xml:space="preserve">eedle and </w:t>
      </w:r>
      <w:r w:rsidR="001A1C8A">
        <w:t>S</w:t>
      </w:r>
      <w:r w:rsidR="007B2793">
        <w:t xml:space="preserve">yringe </w:t>
      </w:r>
      <w:r w:rsidR="001A1C8A">
        <w:t>P</w:t>
      </w:r>
      <w:r w:rsidR="007B2793">
        <w:t>rovision</w:t>
      </w:r>
    </w:p>
    <w:p w14:paraId="14C3EE14" w14:textId="77777777" w:rsidR="000766B6" w:rsidRDefault="003A511B" w:rsidP="00D5203D">
      <w:r w:rsidRPr="003A511B">
        <w:t xml:space="preserve">Sterile needle and syringe provision (NSP) </w:t>
      </w:r>
      <w:r w:rsidRPr="001B2B19">
        <w:rPr>
          <w:b/>
          <w:bCs/>
        </w:rPr>
        <w:t xml:space="preserve">reduces the transmission of blood-borne viruses among people who inject </w:t>
      </w:r>
      <w:proofErr w:type="gramStart"/>
      <w:r w:rsidRPr="001B2B19">
        <w:rPr>
          <w:b/>
          <w:bCs/>
        </w:rPr>
        <w:t>drugs, and</w:t>
      </w:r>
      <w:proofErr w:type="gramEnd"/>
      <w:r w:rsidRPr="001B2B19">
        <w:rPr>
          <w:b/>
          <w:bCs/>
        </w:rPr>
        <w:t xml:space="preserve"> can decrease the incidence of skin infections</w:t>
      </w:r>
      <w:r w:rsidRPr="003A511B">
        <w:t xml:space="preserve">. </w:t>
      </w:r>
      <w:r w:rsidR="009B2373" w:rsidRPr="009B2373">
        <w:t xml:space="preserve"> </w:t>
      </w:r>
      <w:r w:rsidR="002B0E90">
        <w:t>In Peterborough, t</w:t>
      </w:r>
      <w:r w:rsidR="00A742D8">
        <w:t>his is offered at CGL fixed sites,</w:t>
      </w:r>
      <w:r w:rsidR="00610B7B">
        <w:t xml:space="preserve"> via an online CGL service and through </w:t>
      </w:r>
      <w:r w:rsidR="00610B7B">
        <w:lastRenderedPageBreak/>
        <w:t>pharmacies.</w:t>
      </w:r>
      <w:r w:rsidR="001B050E">
        <w:t xml:space="preserve"> </w:t>
      </w:r>
      <w:r w:rsidR="009A4587" w:rsidRPr="009A4587">
        <w:t xml:space="preserve">In the year ending March 2024, </w:t>
      </w:r>
      <w:r w:rsidR="009A4587" w:rsidRPr="001B2B19">
        <w:rPr>
          <w:b/>
          <w:bCs/>
        </w:rPr>
        <w:t>CGL distributed over 140,000 needles and associated equipment</w:t>
      </w:r>
      <w:r w:rsidR="009A4587" w:rsidRPr="009A4587">
        <w:t xml:space="preserve">. </w:t>
      </w:r>
    </w:p>
    <w:p w14:paraId="2DC2B98D" w14:textId="5FB7444C" w:rsidR="0030551B" w:rsidRPr="000766B6" w:rsidRDefault="009A4587" w:rsidP="00D5203D">
      <w:r w:rsidRPr="000766B6">
        <w:t>When this figure is compared with the estimated 518 injecting users in the area, t</w:t>
      </w:r>
      <w:r w:rsidR="002A56AF" w:rsidRPr="000766B6">
        <w:t>his</w:t>
      </w:r>
      <w:r w:rsidRPr="000766B6">
        <w:t xml:space="preserve"> amounts to over 270 needles per person annually. </w:t>
      </w:r>
      <w:r w:rsidR="002A56AF" w:rsidRPr="000766B6">
        <w:t xml:space="preserve">Although this is a rough estimate, it provides a useful benchmark against national and international harm reduction targets, which aim for </w:t>
      </w:r>
      <w:r w:rsidR="0098059A" w:rsidRPr="000766B6">
        <w:t>2</w:t>
      </w:r>
      <w:r w:rsidR="002A56AF" w:rsidRPr="000766B6">
        <w:t>00 needles per person per year.</w:t>
      </w:r>
    </w:p>
    <w:p w14:paraId="280FBBEE" w14:textId="77777777" w:rsidR="00D5203D" w:rsidRDefault="00D5203D" w:rsidP="00D5203D"/>
    <w:p w14:paraId="3C2F993E" w14:textId="77777777" w:rsidR="000C56AC" w:rsidRDefault="000C56AC" w:rsidP="000C56AC">
      <w:pPr>
        <w:pStyle w:val="Heading4"/>
      </w:pPr>
      <w:r>
        <w:t>Medication-Assisted Treatment (MAT)</w:t>
      </w:r>
    </w:p>
    <w:p w14:paraId="2EF31ACB" w14:textId="4954D813" w:rsidR="00C40278" w:rsidRDefault="002028DD" w:rsidP="002028DD">
      <w:r w:rsidRPr="001B2B19">
        <w:rPr>
          <w:b/>
          <w:bCs/>
        </w:rPr>
        <w:t>Opioid Substitution Therapy (OST)</w:t>
      </w:r>
      <w:r w:rsidRPr="001D01B9">
        <w:t xml:space="preserve"> is a key intervention for people dependent on opioids, typically delivered through daily supervised medication at pharmacies. Since 2022, long-acting injectable OST has also been available, administered monthly by specialist teams. </w:t>
      </w:r>
      <w:r w:rsidR="00853277" w:rsidRPr="00853277">
        <w:t xml:space="preserve">This approach emerged partly in response to its growing use in prisons, to ensure </w:t>
      </w:r>
      <w:r w:rsidR="00F00238">
        <w:t xml:space="preserve">consistent and </w:t>
      </w:r>
      <w:r w:rsidR="00B076BB">
        <w:t xml:space="preserve">stable care </w:t>
      </w:r>
      <w:r w:rsidR="00853277" w:rsidRPr="00853277">
        <w:t>upon release.</w:t>
      </w:r>
      <w:r w:rsidR="00853277">
        <w:t xml:space="preserve"> </w:t>
      </w:r>
    </w:p>
    <w:p w14:paraId="49B23D6C" w14:textId="562D5C73" w:rsidR="00C40278" w:rsidRDefault="007E17D0" w:rsidP="00C40278">
      <w:r>
        <w:t>NDTMS data shows that i</w:t>
      </w:r>
      <w:r w:rsidR="00C40278" w:rsidRPr="001D01B9">
        <w:t xml:space="preserve">n Peterborough, </w:t>
      </w:r>
      <w:r w:rsidR="00C40278" w:rsidRPr="001B2B19">
        <w:rPr>
          <w:b/>
          <w:bCs/>
        </w:rPr>
        <w:t>long-acting OST accounted for 1.5% of all OST provision</w:t>
      </w:r>
      <w:r w:rsidR="00C40278" w:rsidRPr="001D01B9">
        <w:t xml:space="preserve"> in both 2022–23 and 2023–24</w:t>
      </w:r>
      <w:r w:rsidR="00C40278">
        <w:t>. Nationally, a higher proportion of OST provision was long-acting, at 2.4% in 2022-23 and 3.5% 2023-24</w:t>
      </w:r>
      <w:r w:rsidR="00170AFA">
        <w:t>.</w:t>
      </w:r>
      <w:r w:rsidR="00F00238">
        <w:t xml:space="preserve"> Its use is </w:t>
      </w:r>
      <w:r w:rsidR="00F00238" w:rsidRPr="001D01B9">
        <w:t>currently funded through supplemental grants.</w:t>
      </w:r>
    </w:p>
    <w:p w14:paraId="3B5748F8" w14:textId="2554DA87" w:rsidR="00170AFA" w:rsidRDefault="00170AFA" w:rsidP="00C40278">
      <w:r w:rsidRPr="00170AFA">
        <w:t xml:space="preserve">Long-acting OST offers several advantages, including </w:t>
      </w:r>
      <w:r w:rsidR="00C9627A">
        <w:t>reduced diversion (</w:t>
      </w:r>
      <w:r w:rsidR="006C093A">
        <w:t xml:space="preserve">sharing, selling or misuse of prescribed </w:t>
      </w:r>
      <w:r w:rsidR="00BD5E76">
        <w:t>medication</w:t>
      </w:r>
      <w:r w:rsidR="00C9627A">
        <w:t>)</w:t>
      </w:r>
      <w:r w:rsidR="006C093A">
        <w:t>,</w:t>
      </w:r>
      <w:r w:rsidR="00C9627A">
        <w:t xml:space="preserve"> </w:t>
      </w:r>
      <w:r w:rsidR="00474BD8" w:rsidRPr="00474BD8">
        <w:t>a reduced burden of daily pharmacy visits, and improved treatment retention and abstinence for some users. However, it incurs significantly higher costs and is less cost-effective compared with traditional formulations, so any expansion should be approached with caution.</w:t>
      </w:r>
      <w:r w:rsidRPr="00170AFA">
        <w:t xml:space="preserve"> Additionally, while </w:t>
      </w:r>
      <w:r w:rsidR="006934B0">
        <w:t xml:space="preserve">long-acting OST provides stability for prison leavers on release, </w:t>
      </w:r>
      <w:r w:rsidRPr="00170AFA">
        <w:t>there is a risk that</w:t>
      </w:r>
      <w:r w:rsidR="004B6CE6">
        <w:t xml:space="preserve"> these</w:t>
      </w:r>
      <w:r w:rsidRPr="00170AFA">
        <w:t xml:space="preserve"> </w:t>
      </w:r>
      <w:r w:rsidR="000E24EC">
        <w:t xml:space="preserve">clients </w:t>
      </w:r>
      <w:r w:rsidRPr="00170AFA">
        <w:t xml:space="preserve">may be less inclined to engage with </w:t>
      </w:r>
      <w:r w:rsidR="000E24EC">
        <w:t xml:space="preserve">drug and alcohol </w:t>
      </w:r>
      <w:r w:rsidRPr="00170AFA">
        <w:t>services if they do not need to attend for shorter-term formulations.</w:t>
      </w:r>
    </w:p>
    <w:p w14:paraId="6527941E" w14:textId="2246F23D" w:rsidR="000E24EC" w:rsidRDefault="000E24EC" w:rsidP="00C40278">
      <w:r w:rsidRPr="000E24EC">
        <w:t>Given these factors</w:t>
      </w:r>
      <w:r w:rsidR="009A34DC">
        <w:t xml:space="preserve"> and </w:t>
      </w:r>
      <w:r w:rsidR="00B44087">
        <w:t xml:space="preserve">findings </w:t>
      </w:r>
      <w:r w:rsidR="00B44087" w:rsidRPr="00B44087">
        <w:t xml:space="preserve">of </w:t>
      </w:r>
      <w:r w:rsidR="00C8733F" w:rsidRPr="00B44087">
        <w:t>the evidence review</w:t>
      </w:r>
      <w:r w:rsidR="00B44087" w:rsidRPr="00B44087">
        <w:t xml:space="preserve"> in this</w:t>
      </w:r>
      <w:r w:rsidR="00B44087">
        <w:t xml:space="preserve"> needs assessment</w:t>
      </w:r>
      <w:r w:rsidRPr="000E24EC">
        <w:t>, future provision of long-acting OST should involve careful case selection to ensure that only those most likely to benefit are offered this option.</w:t>
      </w:r>
    </w:p>
    <w:p w14:paraId="45ACEF29" w14:textId="77777777" w:rsidR="000C56AC" w:rsidRPr="003F29A8" w:rsidRDefault="000C56AC" w:rsidP="000C56AC">
      <w:pPr>
        <w:rPr>
          <w:highlight w:val="yellow"/>
        </w:rPr>
      </w:pPr>
    </w:p>
    <w:p w14:paraId="1CD382B5" w14:textId="77777777" w:rsidR="00C20A24" w:rsidRDefault="00C20A24" w:rsidP="004126F3">
      <w:pPr>
        <w:pStyle w:val="Heading4"/>
      </w:pPr>
      <w:r>
        <w:t>Naloxone</w:t>
      </w:r>
    </w:p>
    <w:p w14:paraId="358620BC" w14:textId="3C628536" w:rsidR="00F26C16" w:rsidRDefault="00F26C16" w:rsidP="00F26C16">
      <w:r>
        <w:t xml:space="preserve">Naloxone is a </w:t>
      </w:r>
      <w:r w:rsidRPr="001B2B19">
        <w:rPr>
          <w:b/>
          <w:bCs/>
        </w:rPr>
        <w:t>lifesaving medication</w:t>
      </w:r>
      <w:r>
        <w:t xml:space="preserve"> that reverses life-threatening depression of the central nervous and respiratory systems caused by </w:t>
      </w:r>
      <w:r w:rsidRPr="001B2B19">
        <w:rPr>
          <w:b/>
          <w:bCs/>
        </w:rPr>
        <w:t>opiate overdoses</w:t>
      </w:r>
      <w:r>
        <w:t>. While all opiate use carries some risk, injecting drug users face a particularly high risk due to the rapid delivery of the drug into the bloodstream, making them a priority group for naloxone interventions.</w:t>
      </w:r>
      <w:r w:rsidR="00435567">
        <w:t xml:space="preserve"> Naloxone does not counteract overdoses related to other substances.</w:t>
      </w:r>
    </w:p>
    <w:p w14:paraId="399A5A50" w14:textId="01CB9BA0" w:rsidR="00F26C16" w:rsidRDefault="00F26C16" w:rsidP="00F26C16">
      <w:r>
        <w:t xml:space="preserve">In Peterborough, naloxone is distributed through CGL to service users, family members, and professionals, with distribution </w:t>
      </w:r>
      <w:r w:rsidR="006E51C3">
        <w:t xml:space="preserve">numbers </w:t>
      </w:r>
      <w:r>
        <w:t>monitored quarterly</w:t>
      </w:r>
      <w:r w:rsidR="006E51C3">
        <w:t xml:space="preserve">, aiming for </w:t>
      </w:r>
      <w:r w:rsidR="00DF37BE">
        <w:t>ongoing expansion</w:t>
      </w:r>
      <w:r w:rsidR="006E51C3">
        <w:t xml:space="preserve"> in provision</w:t>
      </w:r>
      <w:r>
        <w:t xml:space="preserve">. In the year ending March 2024, </w:t>
      </w:r>
      <w:r w:rsidRPr="001B2B19">
        <w:rPr>
          <w:b/>
          <w:bCs/>
        </w:rPr>
        <w:t>590 kits were distributed</w:t>
      </w:r>
      <w:r>
        <w:t>.</w:t>
      </w:r>
    </w:p>
    <w:p w14:paraId="4D1D798B" w14:textId="653658BB" w:rsidR="00006C5D" w:rsidRDefault="00006C5D" w:rsidP="00006C5D"/>
    <w:p w14:paraId="735E4C7D" w14:textId="3C5762E0" w:rsidR="00C20A24" w:rsidRDefault="006E51C3" w:rsidP="0082239F">
      <w:r>
        <w:t xml:space="preserve">NDTMS data </w:t>
      </w:r>
      <w:r w:rsidR="007E3B8D">
        <w:t xml:space="preserve">includes </w:t>
      </w:r>
      <w:r>
        <w:t>proportion</w:t>
      </w:r>
      <w:r w:rsidR="007E3B8D">
        <w:t xml:space="preserve">s of service user groups who were issued with naloxone in the last year. This demonstrates </w:t>
      </w:r>
      <w:r w:rsidR="00033B1C" w:rsidRPr="001B2B19">
        <w:rPr>
          <w:b/>
          <w:bCs/>
        </w:rPr>
        <w:t>high levels of provision in Peterborough, with p</w:t>
      </w:r>
      <w:r w:rsidR="00C20A24" w:rsidRPr="001B2B19">
        <w:rPr>
          <w:b/>
          <w:bCs/>
        </w:rPr>
        <w:t>rioritisation of those who use opiates</w:t>
      </w:r>
      <w:r w:rsidR="00033B1C" w:rsidRPr="001B2B19">
        <w:rPr>
          <w:b/>
          <w:bCs/>
        </w:rPr>
        <w:t xml:space="preserve">. </w:t>
      </w:r>
      <w:r w:rsidR="00C20A24" w:rsidRPr="001B2B19">
        <w:rPr>
          <w:b/>
          <w:bCs/>
        </w:rPr>
        <w:t>86.1% of service users</w:t>
      </w:r>
      <w:r w:rsidR="00C20A24">
        <w:t xml:space="preserve"> in treatment for opiates </w:t>
      </w:r>
      <w:r w:rsidR="00033B1C">
        <w:t xml:space="preserve">were </w:t>
      </w:r>
      <w:r w:rsidR="00C20A24">
        <w:t xml:space="preserve">issued with </w:t>
      </w:r>
      <w:r w:rsidR="00C20A24">
        <w:lastRenderedPageBreak/>
        <w:t>naloxone in the year ending March 2024</w:t>
      </w:r>
      <w:r w:rsidR="0082239F">
        <w:t xml:space="preserve"> (</w:t>
      </w:r>
      <w:r w:rsidR="00C20A24">
        <w:t>compared with proportions ranging from 8.4% to 22.4% for other substances</w:t>
      </w:r>
      <w:r w:rsidR="0082239F">
        <w:t>)</w:t>
      </w:r>
      <w:r w:rsidR="00285C2C">
        <w:t xml:space="preserve">. This marked an increase of 5.8 percentage points </w:t>
      </w:r>
      <w:r w:rsidR="00285C2C" w:rsidRPr="00B61CAA">
        <w:t>from the year ending March 2023</w:t>
      </w:r>
      <w:r w:rsidR="007B49B9">
        <w:t xml:space="preserve">. </w:t>
      </w:r>
      <w:r w:rsidR="00C20A24" w:rsidRPr="007559A0">
        <w:t>Th</w:t>
      </w:r>
      <w:r w:rsidR="007B49B9">
        <w:t>e</w:t>
      </w:r>
      <w:r w:rsidR="00C20A24" w:rsidRPr="007559A0">
        <w:t xml:space="preserve"> increase mirrors a similar national </w:t>
      </w:r>
      <w:r w:rsidR="007B49B9">
        <w:t xml:space="preserve">increase, </w:t>
      </w:r>
      <w:r w:rsidR="00C20A24">
        <w:t xml:space="preserve">but </w:t>
      </w:r>
      <w:r w:rsidR="00C20A24" w:rsidRPr="007559A0">
        <w:t>naloxone provision in Peterborough remains</w:t>
      </w:r>
      <w:r w:rsidR="00C20A24">
        <w:t xml:space="preserve"> </w:t>
      </w:r>
      <w:r w:rsidR="00C20A24" w:rsidRPr="001B2B19">
        <w:rPr>
          <w:b/>
          <w:bCs/>
        </w:rPr>
        <w:t>10 percentage points higher than for England overall</w:t>
      </w:r>
      <w:r w:rsidR="00C20A24">
        <w:t xml:space="preserve">, as shown in Table </w:t>
      </w:r>
      <w:r w:rsidR="00543D83">
        <w:t>5</w:t>
      </w:r>
      <w:r w:rsidR="00C20A24">
        <w:t>.8</w:t>
      </w:r>
      <w:r w:rsidR="007B49B9">
        <w:t>a</w:t>
      </w:r>
      <w:r w:rsidR="00C20A24">
        <w:t>.</w:t>
      </w:r>
    </w:p>
    <w:p w14:paraId="03A93C58" w14:textId="2A492A26" w:rsidR="00C20A24" w:rsidRDefault="00C20A24" w:rsidP="00C20A24">
      <w:pPr>
        <w:pStyle w:val="Heading6"/>
      </w:pPr>
      <w:r>
        <w:t xml:space="preserve">Table </w:t>
      </w:r>
      <w:r w:rsidR="00543D83">
        <w:t>5</w:t>
      </w:r>
      <w:r>
        <w:t>.8</w:t>
      </w:r>
      <w:r w:rsidR="007B49B9">
        <w:t>a</w:t>
      </w:r>
      <w:r>
        <w:t xml:space="preserve">. </w:t>
      </w:r>
      <w:r w:rsidRPr="00E26FF1">
        <w:t>Naloxone</w:t>
      </w:r>
      <w:r>
        <w:t xml:space="preserve"> provision for opiate-only clients 2023 to 2024.</w:t>
      </w:r>
    </w:p>
    <w:tbl>
      <w:tblPr>
        <w:tblStyle w:val="TableGrid"/>
        <w:tblW w:w="0" w:type="auto"/>
        <w:tblLook w:val="04A0" w:firstRow="1" w:lastRow="0" w:firstColumn="1" w:lastColumn="0" w:noHBand="0" w:noVBand="1"/>
      </w:tblPr>
      <w:tblGrid>
        <w:gridCol w:w="1594"/>
        <w:gridCol w:w="1520"/>
        <w:gridCol w:w="1984"/>
        <w:gridCol w:w="1954"/>
        <w:gridCol w:w="1964"/>
      </w:tblGrid>
      <w:tr w:rsidR="00C20A24" w14:paraId="508F16C3" w14:textId="77777777">
        <w:tc>
          <w:tcPr>
            <w:tcW w:w="1594" w:type="dxa"/>
          </w:tcPr>
          <w:p w14:paraId="0E7CA2DC" w14:textId="77777777" w:rsidR="00C20A24" w:rsidRDefault="00C20A24"/>
        </w:tc>
        <w:tc>
          <w:tcPr>
            <w:tcW w:w="3504" w:type="dxa"/>
            <w:gridSpan w:val="2"/>
          </w:tcPr>
          <w:p w14:paraId="5E808FD0" w14:textId="7A3A7D65" w:rsidR="00C20A24" w:rsidRPr="007D7B27" w:rsidRDefault="00C20A24">
            <w:pPr>
              <w:rPr>
                <w:b/>
                <w:bCs/>
              </w:rPr>
            </w:pPr>
            <w:r w:rsidRPr="007D7B27">
              <w:rPr>
                <w:b/>
                <w:bCs/>
              </w:rPr>
              <w:t>P</w:t>
            </w:r>
            <w:r w:rsidR="007D7B27" w:rsidRPr="007D7B27">
              <w:rPr>
                <w:b/>
                <w:bCs/>
              </w:rPr>
              <w:t>eterborough</w:t>
            </w:r>
          </w:p>
        </w:tc>
        <w:tc>
          <w:tcPr>
            <w:tcW w:w="3918" w:type="dxa"/>
            <w:gridSpan w:val="2"/>
          </w:tcPr>
          <w:p w14:paraId="0519F9C1" w14:textId="3FE1EE77" w:rsidR="00C20A24" w:rsidRPr="007D7B27" w:rsidRDefault="00C20A24">
            <w:pPr>
              <w:rPr>
                <w:b/>
                <w:bCs/>
              </w:rPr>
            </w:pPr>
            <w:r w:rsidRPr="007D7B27">
              <w:rPr>
                <w:b/>
                <w:bCs/>
              </w:rPr>
              <w:t>Eng</w:t>
            </w:r>
            <w:r w:rsidR="007D7B27">
              <w:rPr>
                <w:b/>
                <w:bCs/>
              </w:rPr>
              <w:t>land</w:t>
            </w:r>
          </w:p>
        </w:tc>
      </w:tr>
      <w:tr w:rsidR="00C20A24" w14:paraId="42537F79" w14:textId="77777777">
        <w:tc>
          <w:tcPr>
            <w:tcW w:w="1594" w:type="dxa"/>
          </w:tcPr>
          <w:p w14:paraId="1C6912C8" w14:textId="77777777" w:rsidR="00C20A24" w:rsidRDefault="00C20A24"/>
        </w:tc>
        <w:tc>
          <w:tcPr>
            <w:tcW w:w="1520" w:type="dxa"/>
          </w:tcPr>
          <w:p w14:paraId="06023144" w14:textId="77777777" w:rsidR="00C20A24" w:rsidRDefault="00C20A24">
            <w:r w:rsidRPr="00261920">
              <w:t>Proportion</w:t>
            </w:r>
          </w:p>
        </w:tc>
        <w:tc>
          <w:tcPr>
            <w:tcW w:w="1984" w:type="dxa"/>
          </w:tcPr>
          <w:p w14:paraId="1D28B06F" w14:textId="77777777" w:rsidR="00C20A24" w:rsidRDefault="00C20A24">
            <w:r>
              <w:t>Annual</w:t>
            </w:r>
            <w:r w:rsidRPr="00261920">
              <w:t xml:space="preserve"> Change</w:t>
            </w:r>
          </w:p>
        </w:tc>
        <w:tc>
          <w:tcPr>
            <w:tcW w:w="1954" w:type="dxa"/>
          </w:tcPr>
          <w:p w14:paraId="3D0544AD" w14:textId="77777777" w:rsidR="00C20A24" w:rsidRDefault="00C20A24">
            <w:r w:rsidRPr="00261920">
              <w:t>Proportion</w:t>
            </w:r>
          </w:p>
        </w:tc>
        <w:tc>
          <w:tcPr>
            <w:tcW w:w="1964" w:type="dxa"/>
          </w:tcPr>
          <w:p w14:paraId="0E287D16" w14:textId="77777777" w:rsidR="00C20A24" w:rsidRDefault="00C20A24">
            <w:r>
              <w:t xml:space="preserve">Annual </w:t>
            </w:r>
            <w:r w:rsidRPr="00261920">
              <w:t>Change</w:t>
            </w:r>
          </w:p>
        </w:tc>
      </w:tr>
      <w:tr w:rsidR="00C20A24" w14:paraId="6B19EB1F" w14:textId="77777777">
        <w:tc>
          <w:tcPr>
            <w:tcW w:w="1594" w:type="dxa"/>
          </w:tcPr>
          <w:p w14:paraId="184E0D91" w14:textId="77777777" w:rsidR="00C20A24" w:rsidRDefault="00C20A24">
            <w:r>
              <w:t>Opiate only</w:t>
            </w:r>
          </w:p>
        </w:tc>
        <w:tc>
          <w:tcPr>
            <w:tcW w:w="1520" w:type="dxa"/>
          </w:tcPr>
          <w:p w14:paraId="056B2788" w14:textId="77777777" w:rsidR="00C20A24" w:rsidRDefault="00C20A24">
            <w:r>
              <w:t>86%</w:t>
            </w:r>
          </w:p>
        </w:tc>
        <w:tc>
          <w:tcPr>
            <w:tcW w:w="1984" w:type="dxa"/>
          </w:tcPr>
          <w:p w14:paraId="7AD83431" w14:textId="1CF9460A" w:rsidR="00C20A24" w:rsidRDefault="00C20A24">
            <w:r>
              <w:t>+5.8</w:t>
            </w:r>
            <w:r w:rsidR="00964B8C">
              <w:t xml:space="preserve"> percentage points</w:t>
            </w:r>
          </w:p>
        </w:tc>
        <w:tc>
          <w:tcPr>
            <w:tcW w:w="1954" w:type="dxa"/>
          </w:tcPr>
          <w:p w14:paraId="535726F3" w14:textId="77777777" w:rsidR="00C20A24" w:rsidRDefault="00C20A24">
            <w:r>
              <w:t>76%</w:t>
            </w:r>
          </w:p>
        </w:tc>
        <w:tc>
          <w:tcPr>
            <w:tcW w:w="1964" w:type="dxa"/>
          </w:tcPr>
          <w:p w14:paraId="517E0886" w14:textId="7E4BC150" w:rsidR="00C20A24" w:rsidRDefault="00C20A24">
            <w:r>
              <w:t>+6</w:t>
            </w:r>
            <w:r w:rsidR="00964B8C">
              <w:t xml:space="preserve"> percentage points</w:t>
            </w:r>
          </w:p>
        </w:tc>
      </w:tr>
    </w:tbl>
    <w:p w14:paraId="5C5DFA6C" w14:textId="77777777" w:rsidR="00C20A24" w:rsidRPr="002F38AA" w:rsidRDefault="00C20A24" w:rsidP="00C20A24">
      <w:pPr>
        <w:rPr>
          <w:sz w:val="20"/>
          <w:szCs w:val="20"/>
        </w:rPr>
      </w:pPr>
      <w:r>
        <w:rPr>
          <w:sz w:val="20"/>
          <w:szCs w:val="20"/>
        </w:rPr>
        <w:t>Source NDTMS data.</w:t>
      </w:r>
    </w:p>
    <w:p w14:paraId="1C5CEC4F" w14:textId="2F58E3A0" w:rsidR="00C20A24" w:rsidRDefault="00C20A24" w:rsidP="00C20A24">
      <w:r w:rsidRPr="000152CE">
        <w:t>Th</w:t>
      </w:r>
      <w:r>
        <w:t>e p</w:t>
      </w:r>
      <w:r w:rsidRPr="000152CE">
        <w:t xml:space="preserve">roportion </w:t>
      </w:r>
      <w:r w:rsidRPr="00BD0FB0">
        <w:t xml:space="preserve">of users issued with naloxone </w:t>
      </w:r>
      <w:r w:rsidRPr="000152CE">
        <w:t xml:space="preserve">was similar for males and females </w:t>
      </w:r>
      <w:r w:rsidR="00B81D68" w:rsidRPr="001B2B19">
        <w:rPr>
          <w:b/>
          <w:bCs/>
        </w:rPr>
        <w:t xml:space="preserve">but varied by </w:t>
      </w:r>
      <w:r w:rsidRPr="001B2B19">
        <w:rPr>
          <w:b/>
          <w:bCs/>
        </w:rPr>
        <w:t>17</w:t>
      </w:r>
      <w:r w:rsidR="00B81D68" w:rsidRPr="001B2B19">
        <w:rPr>
          <w:b/>
          <w:bCs/>
        </w:rPr>
        <w:t xml:space="preserve"> percentage points </w:t>
      </w:r>
      <w:r w:rsidRPr="001B2B19">
        <w:rPr>
          <w:b/>
          <w:bCs/>
        </w:rPr>
        <w:t>across different age groups</w:t>
      </w:r>
      <w:r w:rsidR="00B81D68">
        <w:t xml:space="preserve">. </w:t>
      </w:r>
      <w:r w:rsidR="00C6668E">
        <w:t xml:space="preserve">The highest provision was for </w:t>
      </w:r>
      <w:r>
        <w:t xml:space="preserve">those </w:t>
      </w:r>
      <w:r w:rsidR="00C6668E">
        <w:t xml:space="preserve">aged </w:t>
      </w:r>
      <w:r>
        <w:t xml:space="preserve">25-54 (86.9-89.9%), </w:t>
      </w:r>
      <w:r w:rsidR="00C6668E">
        <w:t xml:space="preserve">with </w:t>
      </w:r>
      <w:r>
        <w:t xml:space="preserve">a slightly smaller proportion for those aged 18-24 (81.8%), but </w:t>
      </w:r>
      <w:r w:rsidR="004233E0">
        <w:t xml:space="preserve">a </w:t>
      </w:r>
      <w:r w:rsidR="004233E0" w:rsidRPr="001B2B19">
        <w:rPr>
          <w:b/>
          <w:bCs/>
        </w:rPr>
        <w:t xml:space="preserve">markedly lower proportion for those </w:t>
      </w:r>
      <w:r w:rsidRPr="001B2B19">
        <w:rPr>
          <w:b/>
          <w:bCs/>
        </w:rPr>
        <w:t>aged 55+ at 72.9%.</w:t>
      </w:r>
      <w:r>
        <w:t xml:space="preserve"> </w:t>
      </w:r>
      <w:r w:rsidR="000F79C9" w:rsidRPr="000F79C9">
        <w:t xml:space="preserve">This reflects a notable increase in naloxone provision for younger service users over the last two years (from 46.2% for 18-24-year-olds in 2022), </w:t>
      </w:r>
      <w:r w:rsidR="000F79C9" w:rsidRPr="007B6F3A">
        <w:t>suggesting that further targeted efforts could help improve provision for older age groups.</w:t>
      </w:r>
    </w:p>
    <w:p w14:paraId="33E25BD5" w14:textId="77777777" w:rsidR="00C20A24" w:rsidRDefault="00C20A24" w:rsidP="00C20A24"/>
    <w:p w14:paraId="5C8388AC" w14:textId="653E554E" w:rsidR="00ED580B" w:rsidRDefault="00ED580B" w:rsidP="00ED580B">
      <w:pPr>
        <w:pStyle w:val="Heading4"/>
      </w:pPr>
      <w:r>
        <w:t>CGL &amp; Pharmacies</w:t>
      </w:r>
    </w:p>
    <w:p w14:paraId="16C8D988" w14:textId="2FC11706" w:rsidR="00425DDC" w:rsidRDefault="00425DDC" w:rsidP="00425DDC">
      <w:proofErr w:type="gramStart"/>
      <w:r>
        <w:t>A number of</w:t>
      </w:r>
      <w:proofErr w:type="gramEnd"/>
      <w:r w:rsidRPr="006A038A">
        <w:t xml:space="preserve"> </w:t>
      </w:r>
      <w:r w:rsidR="0090656A">
        <w:t>the</w:t>
      </w:r>
      <w:r w:rsidR="004C615B">
        <w:t xml:space="preserve"> described </w:t>
      </w:r>
      <w:r w:rsidRPr="006A038A">
        <w:t>harm reduction services</w:t>
      </w:r>
      <w:r w:rsidR="0090656A">
        <w:t xml:space="preserve"> </w:t>
      </w:r>
      <w:r w:rsidRPr="006A038A">
        <w:t>are provided by pharmacies through CGL</w:t>
      </w:r>
      <w:r w:rsidR="004C615B">
        <w:t xml:space="preserve"> </w:t>
      </w:r>
      <w:r>
        <w:t xml:space="preserve">in Peterborough. </w:t>
      </w:r>
      <w:r w:rsidRPr="00EA6286">
        <w:t xml:space="preserve">This approach leverages existing pharmacy locations to </w:t>
      </w:r>
      <w:r>
        <w:t xml:space="preserve">provide broad </w:t>
      </w:r>
      <w:r w:rsidRPr="00EA6286">
        <w:t xml:space="preserve">geographical coverage and convenient access for </w:t>
      </w:r>
      <w:proofErr w:type="gramStart"/>
      <w:r w:rsidRPr="00EA6286">
        <w:t>local residents</w:t>
      </w:r>
      <w:proofErr w:type="gramEnd"/>
      <w:r w:rsidRPr="00EA6286">
        <w:t xml:space="preserve"> across the community.</w:t>
      </w:r>
      <w:r>
        <w:t xml:space="preserve"> </w:t>
      </w:r>
    </w:p>
    <w:p w14:paraId="6BE5283E" w14:textId="487E3699" w:rsidR="00440AF8" w:rsidRDefault="00425DDC" w:rsidP="00425DDC">
      <w:r>
        <w:t xml:space="preserve">As of October 2024, </w:t>
      </w:r>
      <w:r w:rsidRPr="001B2B19">
        <w:rPr>
          <w:b/>
          <w:bCs/>
        </w:rPr>
        <w:t>30 pharmacies</w:t>
      </w:r>
      <w:r>
        <w:t xml:space="preserve"> across Peterborough provide CGL services. </w:t>
      </w:r>
      <w:proofErr w:type="gramStart"/>
      <w:r w:rsidRPr="00022D82">
        <w:t>All of</w:t>
      </w:r>
      <w:proofErr w:type="gramEnd"/>
      <w:r w:rsidRPr="00022D82">
        <w:t xml:space="preserve"> these offer Medication-Assisted Treatment (MAT), including annual pharmacist reviews and monitoring of missed or late collections for service users. Of these, </w:t>
      </w:r>
      <w:r>
        <w:t xml:space="preserve">23 </w:t>
      </w:r>
      <w:r w:rsidRPr="00022D82">
        <w:t xml:space="preserve">pharmacies also provide Needle and Syringe Programmes (NSP), and </w:t>
      </w:r>
      <w:r>
        <w:t>21</w:t>
      </w:r>
      <w:r w:rsidRPr="00022D82">
        <w:t xml:space="preserve"> offer a take-home naloxone service</w:t>
      </w:r>
      <w:r w:rsidR="00543D83">
        <w:t>, as shown in Figure 5.8a</w:t>
      </w:r>
      <w:r w:rsidRPr="00022D82">
        <w:t>.</w:t>
      </w:r>
    </w:p>
    <w:p w14:paraId="6181D860" w14:textId="6DC4E56B" w:rsidR="00543D83" w:rsidRDefault="00543D83" w:rsidP="00E10549">
      <w:pPr>
        <w:pStyle w:val="Heading6"/>
      </w:pPr>
      <w:r>
        <w:lastRenderedPageBreak/>
        <w:t xml:space="preserve">Figure 5.8a. </w:t>
      </w:r>
      <w:r w:rsidR="00E10549">
        <w:t>CGL Services in Pharmacies across Peterborough</w:t>
      </w:r>
    </w:p>
    <w:p w14:paraId="3360FF02" w14:textId="3183D8A6" w:rsidR="00782E54" w:rsidRDefault="00FC4338" w:rsidP="00425DDC">
      <w:pPr>
        <w:rPr>
          <w:highlight w:val="yellow"/>
        </w:rPr>
      </w:pPr>
      <w:r>
        <w:rPr>
          <w:rStyle w:val="wacimagecontainer"/>
          <w:rFonts w:ascii="Segoe UI" w:hAnsi="Segoe UI" w:cs="Segoe UI"/>
          <w:noProof/>
          <w:color w:val="000000"/>
          <w:sz w:val="18"/>
          <w:szCs w:val="18"/>
          <w:shd w:val="clear" w:color="auto" w:fill="FFFFFF"/>
        </w:rPr>
        <w:drawing>
          <wp:inline distT="0" distB="0" distL="0" distR="0" wp14:anchorId="22BD52EC" wp14:editId="7C88A522">
            <wp:extent cx="5731510" cy="3312795"/>
            <wp:effectExtent l="0" t="0" r="2540" b="1905"/>
            <wp:docPr id="1432679642" name="Picture 1" descr="A map with many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9642" name="Picture 1" descr="A map with many point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312795"/>
                    </a:xfrm>
                    <a:prstGeom prst="rect">
                      <a:avLst/>
                    </a:prstGeom>
                    <a:noFill/>
                    <a:ln>
                      <a:noFill/>
                    </a:ln>
                  </pic:spPr>
                </pic:pic>
              </a:graphicData>
            </a:graphic>
          </wp:inline>
        </w:drawing>
      </w:r>
      <w:r>
        <w:rPr>
          <w:rFonts w:ascii="Aptos" w:hAnsi="Aptos"/>
          <w:color w:val="000000"/>
          <w:shd w:val="clear" w:color="auto" w:fill="FFFFFF"/>
        </w:rPr>
        <w:br/>
      </w:r>
      <w:r w:rsidR="00782E54" w:rsidRPr="00814337">
        <w:rPr>
          <w:sz w:val="20"/>
          <w:szCs w:val="20"/>
        </w:rPr>
        <w:t>Sup Con = supervised consumption</w:t>
      </w:r>
      <w:r w:rsidR="000120BC" w:rsidRPr="00814337">
        <w:rPr>
          <w:sz w:val="20"/>
          <w:szCs w:val="20"/>
        </w:rPr>
        <w:t>, NSP = Needle and Syringe Pro</w:t>
      </w:r>
      <w:r w:rsidR="00E528D1" w:rsidRPr="00814337">
        <w:rPr>
          <w:sz w:val="20"/>
          <w:szCs w:val="20"/>
        </w:rPr>
        <w:t>vision, Nal = Naloxon</w:t>
      </w:r>
      <w:r w:rsidR="000766B6">
        <w:rPr>
          <w:sz w:val="20"/>
          <w:szCs w:val="20"/>
        </w:rPr>
        <w:t>e</w:t>
      </w:r>
      <w:r w:rsidR="00334132" w:rsidRPr="00814337">
        <w:rPr>
          <w:sz w:val="20"/>
          <w:szCs w:val="20"/>
        </w:rPr>
        <w:t>, Unsupervised con = Unsupervised consumption</w:t>
      </w:r>
      <w:r w:rsidR="005D3899" w:rsidRPr="00814337">
        <w:rPr>
          <w:sz w:val="20"/>
          <w:szCs w:val="20"/>
        </w:rPr>
        <w:t>, CGL = Change Grow Live</w:t>
      </w:r>
      <w:r w:rsidR="00E10549">
        <w:rPr>
          <w:sz w:val="20"/>
          <w:szCs w:val="20"/>
        </w:rPr>
        <w:t>.</w:t>
      </w:r>
    </w:p>
    <w:p w14:paraId="1670B2D0" w14:textId="77777777" w:rsidR="00FC4338" w:rsidRDefault="00FC4338" w:rsidP="00425DDC"/>
    <w:p w14:paraId="752CDE70" w14:textId="4AE3E635" w:rsidR="00CD1AB6" w:rsidRDefault="00CD1AB6" w:rsidP="005A75C6">
      <w:pPr>
        <w:pStyle w:val="Heading4"/>
      </w:pPr>
      <w:proofErr w:type="spellStart"/>
      <w:r>
        <w:t>Nitazene</w:t>
      </w:r>
      <w:proofErr w:type="spellEnd"/>
      <w:r>
        <w:t xml:space="preserve"> Testing</w:t>
      </w:r>
    </w:p>
    <w:p w14:paraId="5AC7FE32" w14:textId="2FD573EB" w:rsidR="002925A1" w:rsidRDefault="00792072" w:rsidP="0031007B">
      <w:r>
        <w:t xml:space="preserve">A </w:t>
      </w:r>
      <w:r w:rsidR="00E009C0" w:rsidRPr="00E009C0">
        <w:t>potent group of synthetic opioids linked to overdose risk</w:t>
      </w:r>
      <w:r w:rsidR="00B11557">
        <w:t xml:space="preserve">, </w:t>
      </w:r>
      <w:proofErr w:type="spellStart"/>
      <w:r w:rsidR="00BD0F47">
        <w:t>nitazenes</w:t>
      </w:r>
      <w:proofErr w:type="spellEnd"/>
      <w:r w:rsidR="00B11557">
        <w:t xml:space="preserve">, </w:t>
      </w:r>
      <w:r w:rsidR="002A5B17">
        <w:t xml:space="preserve">can be tested for using </w:t>
      </w:r>
      <w:r w:rsidR="0008265B" w:rsidRPr="0008265B">
        <w:t xml:space="preserve">point-of-care </w:t>
      </w:r>
      <w:r w:rsidR="00BD0F47">
        <w:t>‘</w:t>
      </w:r>
      <w:proofErr w:type="spellStart"/>
      <w:r w:rsidR="002A5B17">
        <w:t>n</w:t>
      </w:r>
      <w:r w:rsidR="002A5B17" w:rsidRPr="00E009C0">
        <w:t>itazene</w:t>
      </w:r>
      <w:proofErr w:type="spellEnd"/>
      <w:r w:rsidR="002A5B17" w:rsidRPr="00E009C0">
        <w:t xml:space="preserve"> test </w:t>
      </w:r>
      <w:proofErr w:type="gramStart"/>
      <w:r w:rsidR="002A5B17" w:rsidRPr="00E009C0">
        <w:t>strips</w:t>
      </w:r>
      <w:r w:rsidR="00BD0F47">
        <w:t>’</w:t>
      </w:r>
      <w:proofErr w:type="gramEnd"/>
      <w:r w:rsidR="00E009C0" w:rsidRPr="00E009C0">
        <w:t xml:space="preserve">. People who use drugs </w:t>
      </w:r>
      <w:r w:rsidR="00E009C0">
        <w:t>can</w:t>
      </w:r>
      <w:r w:rsidR="00E009C0" w:rsidRPr="00E009C0">
        <w:t xml:space="preserve"> use the</w:t>
      </w:r>
      <w:r w:rsidR="002A5B17">
        <w:t xml:space="preserve">m </w:t>
      </w:r>
      <w:r w:rsidR="00E009C0" w:rsidRPr="00E009C0">
        <w:t>to check for contamination in substances they intend to take, reducing the risk of unintended opioid exposure. The</w:t>
      </w:r>
      <w:r w:rsidR="00F47E6B">
        <w:t>se strips</w:t>
      </w:r>
      <w:r w:rsidR="00E009C0" w:rsidRPr="00E009C0">
        <w:t xml:space="preserve"> are distributed through CGL services</w:t>
      </w:r>
      <w:r w:rsidR="00F47E6B">
        <w:t xml:space="preserve"> </w:t>
      </w:r>
      <w:r w:rsidR="00893751">
        <w:t xml:space="preserve">in Peterborough. </w:t>
      </w:r>
      <w:r w:rsidR="009331FA">
        <w:t>During</w:t>
      </w:r>
      <w:r w:rsidR="00F47E6B">
        <w:t xml:space="preserve"> a 10-month period</w:t>
      </w:r>
      <w:r w:rsidR="00794A58">
        <w:t xml:space="preserve"> ending in January 2025, </w:t>
      </w:r>
      <w:r w:rsidR="00794A58" w:rsidRPr="009331FA">
        <w:rPr>
          <w:b/>
          <w:bCs/>
        </w:rPr>
        <w:t>clients were given test strips on 52 occasions</w:t>
      </w:r>
      <w:r w:rsidR="00794A58" w:rsidRPr="00E009C0">
        <w:t>, along with guidance on their use and other harm reduction measures.</w:t>
      </w:r>
      <w:r w:rsidR="00794A58">
        <w:t xml:space="preserve"> </w:t>
      </w:r>
      <w:r w:rsidR="00F42425">
        <w:t>Further test strips are also distributed to partner agencies, such as pharmacies</w:t>
      </w:r>
      <w:r w:rsidR="002C1A90">
        <w:t xml:space="preserve">, and upcoming expansion of this service will include </w:t>
      </w:r>
      <w:r w:rsidR="00C248C0">
        <w:t xml:space="preserve">test strips for other </w:t>
      </w:r>
      <w:r w:rsidR="00B11557">
        <w:t xml:space="preserve">drugs with associated overdose risk, such as </w:t>
      </w:r>
      <w:r w:rsidR="00C248C0">
        <w:t>fentanyl and xylazine.</w:t>
      </w:r>
    </w:p>
    <w:p w14:paraId="3C68A7F4" w14:textId="2CE18E83" w:rsidR="000139DB" w:rsidRDefault="000139DB" w:rsidP="0031007B">
      <w:r>
        <w:t xml:space="preserve">Although these tests may </w:t>
      </w:r>
      <w:r w:rsidRPr="000139DB">
        <w:t>influenc</w:t>
      </w:r>
      <w:r>
        <w:t>e</w:t>
      </w:r>
      <w:r w:rsidRPr="000139DB">
        <w:t xml:space="preserve"> safer use decisions</w:t>
      </w:r>
      <w:r>
        <w:t xml:space="preserve">, </w:t>
      </w:r>
      <w:r w:rsidRPr="000139DB">
        <w:t>they have significant limitations</w:t>
      </w:r>
      <w:r>
        <w:t xml:space="preserve">. Importantly, their distribution </w:t>
      </w:r>
      <w:r w:rsidR="000F4730">
        <w:t xml:space="preserve">offers an </w:t>
      </w:r>
      <w:r w:rsidR="000F4730" w:rsidRPr="0070153B">
        <w:rPr>
          <w:b/>
          <w:bCs/>
        </w:rPr>
        <w:t>opportunity to provide advi</w:t>
      </w:r>
      <w:r w:rsidR="00266ADE">
        <w:rPr>
          <w:b/>
          <w:bCs/>
        </w:rPr>
        <w:t>c</w:t>
      </w:r>
      <w:r w:rsidR="000F4730" w:rsidRPr="0070153B">
        <w:rPr>
          <w:b/>
          <w:bCs/>
        </w:rPr>
        <w:t>e on safer practices</w:t>
      </w:r>
      <w:r w:rsidR="000F4730" w:rsidRPr="000F4730">
        <w:t>, including not using drugs alone, having naloxone available, and ensuring someone remains sober to seek help if needed</w:t>
      </w:r>
      <w:r w:rsidR="00A60CE7">
        <w:rPr>
          <w:rStyle w:val="FootnoteReference"/>
        </w:rPr>
        <w:footnoteReference w:id="40"/>
      </w:r>
      <w:r w:rsidR="000F4730" w:rsidRPr="000F4730">
        <w:t>.</w:t>
      </w:r>
    </w:p>
    <w:p w14:paraId="42F41AEB" w14:textId="77777777" w:rsidR="00ED7986" w:rsidRPr="0031007B" w:rsidRDefault="00ED7986" w:rsidP="0031007B"/>
    <w:p w14:paraId="11654435" w14:textId="28395890" w:rsidR="00CD1AB6" w:rsidRDefault="00CD1AB6" w:rsidP="005A75C6">
      <w:pPr>
        <w:pStyle w:val="Heading4"/>
      </w:pPr>
      <w:r>
        <w:t>Peer Support</w:t>
      </w:r>
    </w:p>
    <w:p w14:paraId="68FB9C47" w14:textId="272ABE9C" w:rsidR="002925A1" w:rsidRDefault="005362CC" w:rsidP="008C2E3D">
      <w:r w:rsidRPr="005362CC">
        <w:t xml:space="preserve">Peer support is a vital component of harm </w:t>
      </w:r>
      <w:r w:rsidR="00725438">
        <w:t xml:space="preserve">reduction </w:t>
      </w:r>
      <w:r w:rsidRPr="005362CC">
        <w:t xml:space="preserve">because it leverages the lived experiences of individuals who have navigated similar challenges. This helps build trust, reduces stigma, and empowers individuals by offering relatable guidance and practical strategies for managing </w:t>
      </w:r>
      <w:r w:rsidRPr="005362CC">
        <w:lastRenderedPageBreak/>
        <w:t xml:space="preserve">substance use. Within the </w:t>
      </w:r>
      <w:r w:rsidR="00990D57">
        <w:t xml:space="preserve">current </w:t>
      </w:r>
      <w:r w:rsidRPr="005362CC">
        <w:t xml:space="preserve">service model, peer support </w:t>
      </w:r>
      <w:r w:rsidR="00990D57">
        <w:t xml:space="preserve">is </w:t>
      </w:r>
      <w:r w:rsidR="00A71C74">
        <w:t xml:space="preserve">encouraged through mutual aid, is </w:t>
      </w:r>
      <w:r w:rsidRPr="005362CC">
        <w:t xml:space="preserve">integrated </w:t>
      </w:r>
      <w:r w:rsidR="00990D57">
        <w:t>in recover</w:t>
      </w:r>
      <w:r w:rsidR="00106A84">
        <w:t xml:space="preserve">y, </w:t>
      </w:r>
      <w:r w:rsidR="00A71C74">
        <w:t xml:space="preserve">and </w:t>
      </w:r>
      <w:r w:rsidR="00106A84" w:rsidRPr="00106A84">
        <w:t xml:space="preserve">a friends and family group at CGL </w:t>
      </w:r>
      <w:r w:rsidR="00A71C74">
        <w:t xml:space="preserve">offers further </w:t>
      </w:r>
      <w:r w:rsidR="00106A84" w:rsidRPr="00106A84">
        <w:t xml:space="preserve">peer </w:t>
      </w:r>
      <w:r w:rsidR="00A71C74">
        <w:t>support</w:t>
      </w:r>
      <w:r w:rsidR="00106A84" w:rsidRPr="00106A84">
        <w:t>.</w:t>
      </w:r>
    </w:p>
    <w:p w14:paraId="7AB20464" w14:textId="77777777" w:rsidR="00CD43B2" w:rsidRDefault="00CD43B2" w:rsidP="008C2E3D"/>
    <w:p w14:paraId="0C7EFF49" w14:textId="420F722E" w:rsidR="001D3F4F" w:rsidRDefault="001D3F4F" w:rsidP="0013741B">
      <w:pPr>
        <w:pStyle w:val="Heading3"/>
      </w:pPr>
      <w:bookmarkStart w:id="80" w:name="_Toc200479512"/>
      <w:r>
        <w:t>Insights from Service Mapping</w:t>
      </w:r>
      <w:bookmarkEnd w:id="80"/>
    </w:p>
    <w:p w14:paraId="30D232D0" w14:textId="73B08C42" w:rsidR="001D3F4F" w:rsidRDefault="00AB3C3D" w:rsidP="008C2E3D">
      <w:r>
        <w:t xml:space="preserve">A review of </w:t>
      </w:r>
      <w:r w:rsidR="007D0B39">
        <w:t xml:space="preserve">service </w:t>
      </w:r>
      <w:r w:rsidR="00E854A8">
        <w:t>performance</w:t>
      </w:r>
      <w:r w:rsidR="00CD43B2">
        <w:t xml:space="preserve"> using NDTMS and local data</w:t>
      </w:r>
      <w:r w:rsidR="00E854A8">
        <w:t xml:space="preserve"> demonstrated the following key findings</w:t>
      </w:r>
      <w:r w:rsidR="00CD43B2">
        <w:t>:</w:t>
      </w:r>
    </w:p>
    <w:p w14:paraId="1C7CF3C6" w14:textId="355CA4F0" w:rsidR="00E854A8" w:rsidRPr="00E854A8" w:rsidRDefault="00E854A8" w:rsidP="008C2E3D">
      <w:pPr>
        <w:rPr>
          <w:b/>
          <w:bCs/>
        </w:rPr>
      </w:pPr>
      <w:r>
        <w:rPr>
          <w:b/>
          <w:bCs/>
        </w:rPr>
        <w:t>Inpatient</w:t>
      </w:r>
      <w:r w:rsidR="002F16DA">
        <w:rPr>
          <w:b/>
          <w:bCs/>
        </w:rPr>
        <w:t xml:space="preserve"> and Residential Services</w:t>
      </w:r>
    </w:p>
    <w:p w14:paraId="327FC094" w14:textId="47D7DC49" w:rsidR="00EC14F7" w:rsidRDefault="00C20AD7" w:rsidP="00EC14F7">
      <w:r>
        <w:t xml:space="preserve">The proportion of individuals receiving inpatient treatment in Peterborough has remained </w:t>
      </w:r>
      <w:r w:rsidRPr="002627D8">
        <w:rPr>
          <w:b/>
          <w:bCs/>
        </w:rPr>
        <w:t>relatively low</w:t>
      </w:r>
      <w:r>
        <w:t xml:space="preserve"> over the last decade. </w:t>
      </w:r>
      <w:r w:rsidR="00EC14F7">
        <w:t>Currently, detoxification services are available through a dedicated bed at Park House in Birmingham, alongside access to a regional inpatient bed in Essex.</w:t>
      </w:r>
      <w:r w:rsidR="0075242B">
        <w:t xml:space="preserve"> I</w:t>
      </w:r>
      <w:r w:rsidR="00EC14F7">
        <w:t xml:space="preserve">n the year ending March 2024, both the number and proportion of people receiving inpatient treatment </w:t>
      </w:r>
      <w:r w:rsidR="00EC14F7" w:rsidRPr="002627D8">
        <w:rPr>
          <w:b/>
          <w:bCs/>
        </w:rPr>
        <w:t>reached their highest levels, with 26 individuals</w:t>
      </w:r>
      <w:r w:rsidR="00EC14F7">
        <w:t xml:space="preserve"> (1.6% of those in treatment) accessing this support. This remains below the national figure of 2.0%</w:t>
      </w:r>
      <w:r w:rsidR="00A9675A">
        <w:t xml:space="preserve">, </w:t>
      </w:r>
      <w:r w:rsidR="007B368F">
        <w:t xml:space="preserve">but </w:t>
      </w:r>
      <w:r w:rsidR="00A52D2D">
        <w:t xml:space="preserve">relatively higher </w:t>
      </w:r>
      <w:r w:rsidR="001E0500">
        <w:t xml:space="preserve">numbers of people in treatment in </w:t>
      </w:r>
      <w:r w:rsidR="005C03D3">
        <w:t>Peterborough</w:t>
      </w:r>
      <w:r w:rsidR="001E0500">
        <w:t xml:space="preserve"> should be considered in making this comparison</w:t>
      </w:r>
      <w:r w:rsidR="00EC14F7">
        <w:t>.</w:t>
      </w:r>
    </w:p>
    <w:p w14:paraId="7326FAEF" w14:textId="38198093" w:rsidR="00024136" w:rsidRDefault="00EC14F7" w:rsidP="008C2E3D">
      <w:r>
        <w:t xml:space="preserve">Residential rehabilitation in Peterborough has consistently accounted for less than 1% of all treatment episodes, with no formal arrangements in place for provision. While recent funding has enabled some expansion, uptake remains low. </w:t>
      </w:r>
      <w:r w:rsidRPr="002627D8">
        <w:rPr>
          <w:b/>
          <w:bCs/>
        </w:rPr>
        <w:t xml:space="preserve">Fewer than 10 individuals (less than 0.5% of those in treatment) accessed residential rehabilitation </w:t>
      </w:r>
      <w:r>
        <w:t>in the year ending March 2024. This falls below the national average of 1.68% and the Department of Health and Social Care’s (DHSC) ambition for at least 2% of individuals in treatment to receive residential care as part of their recovery journey.</w:t>
      </w:r>
    </w:p>
    <w:p w14:paraId="72835228" w14:textId="6EB6C37E" w:rsidR="00293016" w:rsidRDefault="00293016" w:rsidP="008C2E3D">
      <w:pPr>
        <w:rPr>
          <w:b/>
          <w:bCs/>
        </w:rPr>
      </w:pPr>
      <w:r w:rsidRPr="16F14F99">
        <w:rPr>
          <w:b/>
          <w:bCs/>
        </w:rPr>
        <w:t>Successful Treatment Completion</w:t>
      </w:r>
    </w:p>
    <w:p w14:paraId="0FD198B9" w14:textId="0F8DABA5" w:rsidR="00293016" w:rsidRDefault="00293175" w:rsidP="00293016">
      <w:r>
        <w:t>I</w:t>
      </w:r>
      <w:r w:rsidR="00BA33A6">
        <w:t xml:space="preserve">n the year ending March </w:t>
      </w:r>
      <w:r w:rsidR="00BA33A6" w:rsidRPr="003C13BA">
        <w:t>2024</w:t>
      </w:r>
      <w:r w:rsidR="00BA33A6">
        <w:t xml:space="preserve">, </w:t>
      </w:r>
      <w:r w:rsidR="00293016" w:rsidRPr="00B87677">
        <w:rPr>
          <w:b/>
          <w:bCs/>
        </w:rPr>
        <w:t>40.7%</w:t>
      </w:r>
      <w:r w:rsidR="00293016">
        <w:t xml:space="preserve"> of those that left </w:t>
      </w:r>
      <w:r w:rsidR="00BA33A6">
        <w:t xml:space="preserve">treatment for drugs and/ or alcohol in Peterborough </w:t>
      </w:r>
      <w:r w:rsidR="00293016">
        <w:t xml:space="preserve">had </w:t>
      </w:r>
      <w:r w:rsidR="00293016" w:rsidRPr="00B87677">
        <w:rPr>
          <w:b/>
          <w:bCs/>
        </w:rPr>
        <w:t>successfully completed their treatment</w:t>
      </w:r>
      <w:r w:rsidR="00293016">
        <w:t xml:space="preserve">, free from dependence. This is </w:t>
      </w:r>
      <w:proofErr w:type="gramStart"/>
      <w:r w:rsidR="00293016">
        <w:t>similar to</w:t>
      </w:r>
      <w:proofErr w:type="gramEnd"/>
      <w:r w:rsidR="00293016">
        <w:t xml:space="preserve"> </w:t>
      </w:r>
      <w:r w:rsidR="00293016" w:rsidRPr="0022768F">
        <w:t>the proportion of people who</w:t>
      </w:r>
      <w:r w:rsidR="00293016">
        <w:t xml:space="preserve"> have</w:t>
      </w:r>
      <w:r w:rsidR="00293016" w:rsidRPr="0022768F">
        <w:t xml:space="preserve"> successfully completed treatment </w:t>
      </w:r>
      <w:r w:rsidR="00293016">
        <w:t xml:space="preserve">each year since 2020 (range 38.5-43.2%) but is </w:t>
      </w:r>
      <w:r w:rsidR="00293016" w:rsidRPr="00B87677">
        <w:rPr>
          <w:b/>
          <w:bCs/>
        </w:rPr>
        <w:t>lower than the national successful completion rate</w:t>
      </w:r>
      <w:r w:rsidR="00293016">
        <w:t xml:space="preserve"> of 45.6%.</w:t>
      </w:r>
    </w:p>
    <w:p w14:paraId="7A5955AD" w14:textId="45E2FFD5" w:rsidR="0099392F" w:rsidRDefault="0099392F" w:rsidP="0099392F">
      <w:r>
        <w:t xml:space="preserve">Successful treatment exits are proportionally </w:t>
      </w:r>
      <w:r w:rsidRPr="00B87677">
        <w:rPr>
          <w:b/>
          <w:bCs/>
        </w:rPr>
        <w:t>higher for CYP</w:t>
      </w:r>
      <w:r>
        <w:t xml:space="preserve">. An average of 105 CYP exited treatment yearly over the last three years in Peterborough and the vast majority of these </w:t>
      </w:r>
      <w:r w:rsidRPr="00B87677">
        <w:rPr>
          <w:b/>
          <w:bCs/>
        </w:rPr>
        <w:t>(86.</w:t>
      </w:r>
      <w:r w:rsidR="003E4D6D" w:rsidRPr="00B87677">
        <w:rPr>
          <w:b/>
          <w:bCs/>
        </w:rPr>
        <w:t>2</w:t>
      </w:r>
      <w:r w:rsidRPr="00B87677">
        <w:rPr>
          <w:b/>
          <w:bCs/>
        </w:rPr>
        <w:t>%)</w:t>
      </w:r>
      <w:r>
        <w:t xml:space="preserve"> successfully completed treatment. This is </w:t>
      </w:r>
      <w:proofErr w:type="gramStart"/>
      <w:r>
        <w:t>similar to</w:t>
      </w:r>
      <w:proofErr w:type="gramEnd"/>
      <w:r>
        <w:t xml:space="preserve"> the national average rate of successful completions (83.7%). </w:t>
      </w:r>
    </w:p>
    <w:p w14:paraId="4516878A" w14:textId="77777777" w:rsidR="001D3F4F" w:rsidRDefault="001D3F4F" w:rsidP="008C2E3D"/>
    <w:p w14:paraId="2E3FF131" w14:textId="77777777" w:rsidR="00CD43B2" w:rsidRDefault="00CD43B2" w:rsidP="008C2E3D"/>
    <w:p w14:paraId="5D43A120" w14:textId="10D0ABBA" w:rsidR="007B6F3A" w:rsidRDefault="007B6F3A" w:rsidP="00185E3C">
      <w:pPr>
        <w:pStyle w:val="Heading3"/>
      </w:pPr>
      <w:bookmarkStart w:id="81" w:name="_Toc200479513"/>
      <w:r>
        <w:t>Recommendations</w:t>
      </w:r>
      <w:bookmarkEnd w:id="81"/>
    </w:p>
    <w:p w14:paraId="501618E0" w14:textId="3F7CA829" w:rsidR="00017B89" w:rsidRDefault="00017B89" w:rsidP="00017B89">
      <w:pPr>
        <w:pStyle w:val="Heading7"/>
      </w:pPr>
      <w:r>
        <w:t xml:space="preserve">Recommendation </w:t>
      </w:r>
      <w:r w:rsidR="00A50DC6">
        <w:t>17</w:t>
      </w:r>
    </w:p>
    <w:p w14:paraId="79533529" w14:textId="0F697026" w:rsidR="00CD43B2" w:rsidRDefault="00D75AE0" w:rsidP="00017B89">
      <w:r>
        <w:t>R</w:t>
      </w:r>
      <w:r w:rsidR="009937CB">
        <w:t xml:space="preserve">ecovery </w:t>
      </w:r>
      <w:r w:rsidR="006641B0">
        <w:t>support</w:t>
      </w:r>
      <w:r>
        <w:t xml:space="preserve"> </w:t>
      </w:r>
      <w:r w:rsidR="009937CB">
        <w:t xml:space="preserve">should be embedded throughout </w:t>
      </w:r>
      <w:r>
        <w:t>DA services</w:t>
      </w:r>
      <w:r w:rsidR="009937CB">
        <w:t xml:space="preserve">, with co-location, community-based support, and strong system-wide links. </w:t>
      </w:r>
      <w:r w:rsidR="006641B0" w:rsidRPr="006641B0">
        <w:t>Peer co-designed elements and Lived Experience Recovery Organisations (LEROs) should be integral, ensuring services are culturally competent and responsive to the needs of at-risk and minority groups.</w:t>
      </w:r>
    </w:p>
    <w:p w14:paraId="76FBF120" w14:textId="2F874516" w:rsidR="00017B89" w:rsidRDefault="00017B89" w:rsidP="00017B89">
      <w:pPr>
        <w:pStyle w:val="Heading7"/>
      </w:pPr>
      <w:r>
        <w:lastRenderedPageBreak/>
        <w:t xml:space="preserve">Recommendation </w:t>
      </w:r>
      <w:r w:rsidR="006641B0">
        <w:t>18</w:t>
      </w:r>
    </w:p>
    <w:p w14:paraId="01CC9961" w14:textId="762CACF5" w:rsidR="00A41E60" w:rsidRDefault="00A41E60" w:rsidP="00A41E60">
      <w:r>
        <w:t xml:space="preserve">Services should </w:t>
      </w:r>
      <w:r w:rsidRPr="004C7B35">
        <w:t xml:space="preserve">continue efforts to expand access to inpatient </w:t>
      </w:r>
      <w:r>
        <w:t xml:space="preserve">and residential </w:t>
      </w:r>
      <w:r w:rsidRPr="004C7B35">
        <w:t>treatment for those who need it, working towards the DHSC target of at least 2% of individuals in treatment accessing residential care.</w:t>
      </w:r>
      <w:r>
        <w:t xml:space="preserve"> In balance with cost-effectiveness, an exploration of options could include:</w:t>
      </w:r>
    </w:p>
    <w:p w14:paraId="30A6A37C" w14:textId="77777777" w:rsidR="00A41E60" w:rsidRDefault="00A41E60">
      <w:pPr>
        <w:pStyle w:val="ListParagraph"/>
        <w:numPr>
          <w:ilvl w:val="0"/>
          <w:numId w:val="1"/>
        </w:numPr>
      </w:pPr>
      <w:r>
        <w:t>Strengthening partnerships with existing regional providers to secure additional capacity.</w:t>
      </w:r>
    </w:p>
    <w:p w14:paraId="2854ABE2" w14:textId="77777777" w:rsidR="00A41E60" w:rsidRDefault="00A41E60" w:rsidP="00A41E60">
      <w:pPr>
        <w:pStyle w:val="ListParagraph"/>
        <w:numPr>
          <w:ilvl w:val="0"/>
          <w:numId w:val="1"/>
        </w:numPr>
      </w:pPr>
      <w:r>
        <w:t>Assessing the feasibility and cost implications of commissioning closer facilities.</w:t>
      </w:r>
    </w:p>
    <w:p w14:paraId="5A581625" w14:textId="3F909298" w:rsidR="00A41E60" w:rsidRDefault="00A41E60" w:rsidP="00A41E60">
      <w:pPr>
        <w:pStyle w:val="ListParagraph"/>
        <w:numPr>
          <w:ilvl w:val="0"/>
          <w:numId w:val="1"/>
        </w:numPr>
      </w:pPr>
      <w:r>
        <w:t>Ensuring robust referral pathways and funding mechanisms to maximise use of available beds.</w:t>
      </w:r>
    </w:p>
    <w:p w14:paraId="1F67C6B0" w14:textId="77777777" w:rsidR="00981315" w:rsidRDefault="00981315" w:rsidP="00981315">
      <w:pPr>
        <w:pStyle w:val="ListParagraph"/>
        <w:numPr>
          <w:ilvl w:val="0"/>
          <w:numId w:val="1"/>
        </w:numPr>
      </w:pPr>
      <w:r>
        <w:t>Exploring block-purchasing of inpatient beds as a potential approach to increase provision and improve access to detoxification services.</w:t>
      </w:r>
    </w:p>
    <w:p w14:paraId="6B3E09FD" w14:textId="77777777" w:rsidR="00981315" w:rsidRDefault="00981315" w:rsidP="00981315">
      <w:r>
        <w:t>Funding allocated to residential rehabilitation should not be reduced. Any improvements or changes in rehabilitation service provision should proactively consider equity among vulnerable groups and include support for families of those receiving care.</w:t>
      </w:r>
    </w:p>
    <w:p w14:paraId="55ECC572" w14:textId="3E16B463" w:rsidR="007B6F3A" w:rsidRDefault="007B6F3A" w:rsidP="007B6F3A">
      <w:pPr>
        <w:pStyle w:val="Heading7"/>
      </w:pPr>
      <w:r>
        <w:t xml:space="preserve">Recommendation </w:t>
      </w:r>
      <w:r w:rsidR="003263F3">
        <w:t>19</w:t>
      </w:r>
    </w:p>
    <w:p w14:paraId="4D1585A3" w14:textId="1A409DC1" w:rsidR="00981315" w:rsidRDefault="00FA383C" w:rsidP="00FA383C">
      <w:r>
        <w:t>L</w:t>
      </w:r>
      <w:r w:rsidR="007B6F3A" w:rsidRPr="000E24EC">
        <w:t xml:space="preserve">ong-acting </w:t>
      </w:r>
      <w:r w:rsidR="003263F3">
        <w:t xml:space="preserve">Buprenorphine </w:t>
      </w:r>
      <w:r w:rsidR="007B6F3A" w:rsidRPr="000E24EC">
        <w:t xml:space="preserve">should </w:t>
      </w:r>
      <w:r>
        <w:t>be part of the OST offer</w:t>
      </w:r>
      <w:r w:rsidR="003263F3">
        <w:t xml:space="preserve"> </w:t>
      </w:r>
      <w:r w:rsidR="00981315" w:rsidRPr="00202750">
        <w:t xml:space="preserve">but its use should be targeted, with patient selection strategies </w:t>
      </w:r>
      <w:r w:rsidR="00981315">
        <w:t xml:space="preserve">in </w:t>
      </w:r>
      <w:r w:rsidR="00981315" w:rsidRPr="00202750">
        <w:t xml:space="preserve">balance </w:t>
      </w:r>
      <w:r w:rsidR="00981315">
        <w:t xml:space="preserve">with </w:t>
      </w:r>
      <w:r w:rsidR="00981315" w:rsidRPr="00202750">
        <w:t>patient-centred care and shared decision-making.</w:t>
      </w:r>
    </w:p>
    <w:p w14:paraId="28692536" w14:textId="7B609855" w:rsidR="007B6F3A" w:rsidRPr="007B6F3A" w:rsidRDefault="007B6F3A" w:rsidP="007B6F3A">
      <w:pPr>
        <w:pStyle w:val="Heading7"/>
      </w:pPr>
      <w:r w:rsidRPr="007B6F3A">
        <w:t xml:space="preserve">Recommendation </w:t>
      </w:r>
      <w:r w:rsidR="003263F3">
        <w:t>20</w:t>
      </w:r>
    </w:p>
    <w:p w14:paraId="0A293362" w14:textId="6F5ADA35" w:rsidR="00373B8B" w:rsidRDefault="008E562A" w:rsidP="00E37B80">
      <w:r>
        <w:t xml:space="preserve">A targeted effort should be made to increase distribution of naloxone amongst older adults in treatment services for OCU. </w:t>
      </w:r>
      <w:r w:rsidR="00CE1137">
        <w:t xml:space="preserve">The implementation of updated legislation on </w:t>
      </w:r>
      <w:r w:rsidR="00185E3C">
        <w:t>n</w:t>
      </w:r>
      <w:r w:rsidR="00CE1137">
        <w:t xml:space="preserve">aloxone </w:t>
      </w:r>
      <w:r w:rsidR="00E37B80">
        <w:t xml:space="preserve">distribution </w:t>
      </w:r>
      <w:r w:rsidR="00CE1137" w:rsidRPr="00CE1137">
        <w:t>provid</w:t>
      </w:r>
      <w:r w:rsidR="00CE1137">
        <w:t>es</w:t>
      </w:r>
      <w:r w:rsidR="00CE1137" w:rsidRPr="00CE1137">
        <w:t xml:space="preserve"> a</w:t>
      </w:r>
      <w:r w:rsidR="00185E3C">
        <w:t xml:space="preserve">n </w:t>
      </w:r>
      <w:r w:rsidR="00CE1137" w:rsidRPr="00CE1137">
        <w:t>opportunity to</w:t>
      </w:r>
      <w:r w:rsidR="00CE1137">
        <w:t xml:space="preserve"> </w:t>
      </w:r>
      <w:r w:rsidR="00044D1B">
        <w:t>b</w:t>
      </w:r>
      <w:r w:rsidR="00E37B80">
        <w:t>uild partnerships with local services to expand the reach of harm reduction advice</w:t>
      </w:r>
      <w:r w:rsidR="001D53E6">
        <w:t xml:space="preserve">, </w:t>
      </w:r>
      <w:r w:rsidR="0013091F">
        <w:t xml:space="preserve">which may </w:t>
      </w:r>
      <w:r w:rsidR="001D53E6">
        <w:t>includ</w:t>
      </w:r>
      <w:r w:rsidR="0013091F">
        <w:t>e</w:t>
      </w:r>
      <w:r w:rsidR="001D53E6">
        <w:t xml:space="preserve"> </w:t>
      </w:r>
      <w:r w:rsidR="00044D1B">
        <w:t>t</w:t>
      </w:r>
      <w:r w:rsidR="00E37B80">
        <w:t>rain</w:t>
      </w:r>
      <w:r w:rsidR="001D53E6">
        <w:t>ing of</w:t>
      </w:r>
      <w:r w:rsidR="00E37B80">
        <w:t xml:space="preserve"> partners</w:t>
      </w:r>
      <w:r w:rsidR="001D53E6">
        <w:t>.</w:t>
      </w:r>
    </w:p>
    <w:p w14:paraId="2A4EDC91" w14:textId="454390F6" w:rsidR="005634DC" w:rsidRDefault="005634DC" w:rsidP="005634DC">
      <w:pPr>
        <w:pStyle w:val="Heading7"/>
      </w:pPr>
      <w:r>
        <w:t>Recommendation 21</w:t>
      </w:r>
    </w:p>
    <w:p w14:paraId="1239DBF4" w14:textId="7BFA6F55" w:rsidR="005634DC" w:rsidRDefault="00731276" w:rsidP="00E37B80">
      <w:r w:rsidRPr="00731276">
        <w:t>Continue to monitor the rate of successful treatment completions, ensuring regular feedback from both service users and staff to identify barriers and areas for improvement.</w:t>
      </w:r>
      <w:r w:rsidR="006E7486" w:rsidRPr="006E7486">
        <w:t xml:space="preserve"> Use this insight to refine local treatment pathways and enhance support services, with a view to increasing completion rates. </w:t>
      </w:r>
      <w:r w:rsidR="0008243D" w:rsidRPr="0008243D">
        <w:t>Consider setting a specific target for successful completions if this is seen as a useful way to drive progress</w:t>
      </w:r>
      <w:r w:rsidR="006E7486" w:rsidRPr="006E7486">
        <w:t>.</w:t>
      </w:r>
    </w:p>
    <w:p w14:paraId="23958358" w14:textId="77777777" w:rsidR="00017B89" w:rsidRDefault="00017B89" w:rsidP="009161E0"/>
    <w:p w14:paraId="3CACB1D3" w14:textId="77777777" w:rsidR="00884B38" w:rsidRPr="009161E0" w:rsidRDefault="00884B38" w:rsidP="009161E0"/>
    <w:p w14:paraId="6614A490" w14:textId="77777777" w:rsidR="00CD43B2" w:rsidRDefault="00CD43B2" w:rsidP="006E5273">
      <w:pPr>
        <w:pStyle w:val="Heading2"/>
        <w:sectPr w:rsidR="00CD43B2">
          <w:pgSz w:w="11906" w:h="16838"/>
          <w:pgMar w:top="1440" w:right="1440" w:bottom="1440" w:left="1440" w:header="708" w:footer="708" w:gutter="0"/>
          <w:cols w:space="708"/>
          <w:docGrid w:linePitch="360"/>
        </w:sectPr>
      </w:pPr>
    </w:p>
    <w:p w14:paraId="4FA7DC6D" w14:textId="5735EB63" w:rsidR="006E5273" w:rsidRDefault="001F3A41" w:rsidP="006E5273">
      <w:pPr>
        <w:pStyle w:val="Heading2"/>
      </w:pPr>
      <w:bookmarkStart w:id="82" w:name="_Toc200479514"/>
      <w:r>
        <w:lastRenderedPageBreak/>
        <w:t xml:space="preserve">Peterborough; </w:t>
      </w:r>
      <w:r w:rsidR="006E5273">
        <w:t>Challenges and Opportunities</w:t>
      </w:r>
      <w:bookmarkEnd w:id="82"/>
    </w:p>
    <w:p w14:paraId="3E421C93" w14:textId="03BB1CB8" w:rsidR="00A84C25" w:rsidRDefault="00A84C25" w:rsidP="00A84C25">
      <w:pPr>
        <w:pStyle w:val="Heading3"/>
      </w:pPr>
      <w:bookmarkStart w:id="83" w:name="_Toc200479515"/>
      <w:r w:rsidRPr="00A84C25">
        <w:t>Adult</w:t>
      </w:r>
      <w:r>
        <w:t xml:space="preserve"> Social Care</w:t>
      </w:r>
      <w:bookmarkEnd w:id="83"/>
    </w:p>
    <w:p w14:paraId="14155101" w14:textId="21649DEC" w:rsidR="00182C59" w:rsidRDefault="00A60CE7" w:rsidP="00A84C25">
      <w:pPr>
        <w:spacing w:line="257" w:lineRule="auto"/>
        <w:rPr>
          <w:rFonts w:ascii="Aptos" w:eastAsia="Aptos" w:hAnsi="Aptos" w:cs="Aptos"/>
        </w:rPr>
      </w:pPr>
      <w:r>
        <w:rPr>
          <w:rFonts w:ascii="Aptos" w:eastAsia="Aptos" w:hAnsi="Aptos" w:cs="Aptos"/>
        </w:rPr>
        <w:t xml:space="preserve">Referral source data from NDTMS demonstrates </w:t>
      </w:r>
      <w:r w:rsidR="00182C59" w:rsidRPr="00182C59">
        <w:rPr>
          <w:rFonts w:ascii="Aptos" w:eastAsia="Aptos" w:hAnsi="Aptos" w:cs="Aptos"/>
        </w:rPr>
        <w:t xml:space="preserve">a </w:t>
      </w:r>
      <w:r w:rsidR="00182C59" w:rsidRPr="00D31A37">
        <w:rPr>
          <w:rFonts w:ascii="Aptos" w:eastAsia="Aptos" w:hAnsi="Aptos" w:cs="Aptos"/>
          <w:b/>
          <w:bCs/>
        </w:rPr>
        <w:t>gap in the recognition and referrals</w:t>
      </w:r>
      <w:r w:rsidR="00182C59">
        <w:rPr>
          <w:rFonts w:ascii="Aptos" w:eastAsia="Aptos" w:hAnsi="Aptos" w:cs="Aptos"/>
        </w:rPr>
        <w:t xml:space="preserve"> for </w:t>
      </w:r>
      <w:r w:rsidR="00182C59" w:rsidRPr="00182C59">
        <w:rPr>
          <w:rFonts w:ascii="Aptos" w:eastAsia="Aptos" w:hAnsi="Aptos" w:cs="Aptos"/>
        </w:rPr>
        <w:t xml:space="preserve">drug and alcohol (DA) needs among adults who are in contact with </w:t>
      </w:r>
      <w:r w:rsidR="00182C59" w:rsidRPr="00D31A37">
        <w:rPr>
          <w:rFonts w:ascii="Aptos" w:eastAsia="Aptos" w:hAnsi="Aptos" w:cs="Aptos"/>
          <w:b/>
          <w:bCs/>
        </w:rPr>
        <w:t>social care services</w:t>
      </w:r>
      <w:r w:rsidR="00182C59" w:rsidRPr="00182C59">
        <w:rPr>
          <w:rFonts w:ascii="Aptos" w:eastAsia="Aptos" w:hAnsi="Aptos" w:cs="Aptos"/>
        </w:rPr>
        <w:t xml:space="preserve"> in Peterborough. This suggests that opportunities for early identification and support may not be fully maximised within the current system.</w:t>
      </w:r>
    </w:p>
    <w:p w14:paraId="390C5193" w14:textId="7A1726D3" w:rsidR="00A84C25" w:rsidRPr="00B97F37" w:rsidRDefault="00626561" w:rsidP="00A84C25">
      <w:pPr>
        <w:spacing w:line="257" w:lineRule="auto"/>
        <w:rPr>
          <w:rFonts w:ascii="Aptos" w:eastAsia="Aptos" w:hAnsi="Aptos" w:cs="Aptos"/>
        </w:rPr>
      </w:pPr>
      <w:r w:rsidRPr="16F14F99">
        <w:rPr>
          <w:rFonts w:ascii="Aptos" w:eastAsia="Aptos" w:hAnsi="Aptos" w:cs="Aptos"/>
        </w:rPr>
        <w:t>O</w:t>
      </w:r>
      <w:r w:rsidR="00E17DBC" w:rsidRPr="16F14F99">
        <w:rPr>
          <w:rFonts w:ascii="Aptos" w:eastAsia="Aptos" w:hAnsi="Aptos" w:cs="Aptos"/>
        </w:rPr>
        <w:t xml:space="preserve">ngoing </w:t>
      </w:r>
      <w:r w:rsidRPr="16F14F99">
        <w:rPr>
          <w:rFonts w:ascii="Aptos" w:eastAsia="Aptos" w:hAnsi="Aptos" w:cs="Aptos"/>
        </w:rPr>
        <w:t xml:space="preserve">work </w:t>
      </w:r>
      <w:r w:rsidR="00A84C25" w:rsidRPr="16F14F99">
        <w:rPr>
          <w:rFonts w:ascii="Aptos" w:eastAsia="Aptos" w:hAnsi="Aptos" w:cs="Aptos"/>
        </w:rPr>
        <w:t xml:space="preserve">into recording DA needs in </w:t>
      </w:r>
      <w:r w:rsidR="004F4E5F" w:rsidRPr="16F14F99">
        <w:rPr>
          <w:rFonts w:ascii="Aptos" w:eastAsia="Aptos" w:hAnsi="Aptos" w:cs="Aptos"/>
        </w:rPr>
        <w:t>Peterborough City Council (</w:t>
      </w:r>
      <w:r w:rsidR="00A84C25" w:rsidRPr="16F14F99">
        <w:rPr>
          <w:rFonts w:ascii="Aptos" w:eastAsia="Aptos" w:hAnsi="Aptos" w:cs="Aptos"/>
        </w:rPr>
        <w:t>PCC</w:t>
      </w:r>
      <w:r w:rsidR="004F4E5F" w:rsidRPr="16F14F99">
        <w:rPr>
          <w:rFonts w:ascii="Aptos" w:eastAsia="Aptos" w:hAnsi="Aptos" w:cs="Aptos"/>
        </w:rPr>
        <w:t>)</w:t>
      </w:r>
      <w:r w:rsidR="0046185E" w:rsidRPr="16F14F99">
        <w:rPr>
          <w:rFonts w:ascii="Aptos" w:eastAsia="Aptos" w:hAnsi="Aptos" w:cs="Aptos"/>
        </w:rPr>
        <w:t xml:space="preserve"> services</w:t>
      </w:r>
      <w:r w:rsidR="0049061B" w:rsidRPr="16F14F99">
        <w:rPr>
          <w:rFonts w:ascii="Aptos" w:eastAsia="Aptos" w:hAnsi="Aptos" w:cs="Aptos"/>
        </w:rPr>
        <w:t xml:space="preserve"> ha</w:t>
      </w:r>
      <w:r w:rsidR="0026199D" w:rsidRPr="16F14F99">
        <w:rPr>
          <w:rFonts w:ascii="Aptos" w:eastAsia="Aptos" w:hAnsi="Aptos" w:cs="Aptos"/>
        </w:rPr>
        <w:t xml:space="preserve">s </w:t>
      </w:r>
      <w:r w:rsidR="00A84C25" w:rsidRPr="16F14F99">
        <w:rPr>
          <w:rFonts w:ascii="Aptos" w:eastAsia="Aptos" w:hAnsi="Aptos" w:cs="Aptos"/>
        </w:rPr>
        <w:t xml:space="preserve">identified opportunities to improve the consistency and completeness of data entry, particularly for vulnerable families accessing multiple services. It highlighted the need for </w:t>
      </w:r>
      <w:r w:rsidR="00A84C25" w:rsidRPr="16F14F99">
        <w:rPr>
          <w:rFonts w:ascii="Aptos" w:eastAsia="Aptos" w:hAnsi="Aptos" w:cs="Aptos"/>
          <w:b/>
          <w:bCs/>
        </w:rPr>
        <w:t>better integration of recording systems</w:t>
      </w:r>
      <w:r w:rsidR="00A84C25" w:rsidRPr="16F14F99">
        <w:rPr>
          <w:rFonts w:ascii="Aptos" w:eastAsia="Aptos" w:hAnsi="Aptos" w:cs="Aptos"/>
        </w:rPr>
        <w:t xml:space="preserve"> to allow for a joined-up view of substance misuse across services and recommended </w:t>
      </w:r>
      <w:r w:rsidR="00A84C25" w:rsidRPr="16F14F99">
        <w:rPr>
          <w:rFonts w:ascii="Aptos" w:eastAsia="Aptos" w:hAnsi="Aptos" w:cs="Aptos"/>
          <w:b/>
          <w:bCs/>
        </w:rPr>
        <w:t>regular staff</w:t>
      </w:r>
      <w:r w:rsidR="00A84C25" w:rsidRPr="16F14F99">
        <w:rPr>
          <w:rFonts w:ascii="Aptos" w:eastAsia="Aptos" w:hAnsi="Aptos" w:cs="Aptos"/>
        </w:rPr>
        <w:t xml:space="preserve"> </w:t>
      </w:r>
      <w:r w:rsidR="00A84C25" w:rsidRPr="16F14F99">
        <w:rPr>
          <w:rFonts w:ascii="Aptos" w:eastAsia="Aptos" w:hAnsi="Aptos" w:cs="Aptos"/>
          <w:b/>
          <w:bCs/>
        </w:rPr>
        <w:t>training</w:t>
      </w:r>
      <w:r w:rsidR="00A84C25" w:rsidRPr="16F14F99">
        <w:rPr>
          <w:rFonts w:ascii="Aptos" w:eastAsia="Aptos" w:hAnsi="Aptos" w:cs="Aptos"/>
        </w:rPr>
        <w:t xml:space="preserve"> to enhance the identification and documentation of DA needs during assessments and ongoing support. </w:t>
      </w:r>
      <w:r w:rsidR="00981F62" w:rsidRPr="16F14F99">
        <w:rPr>
          <w:rFonts w:ascii="Aptos" w:eastAsia="Aptos" w:hAnsi="Aptos" w:cs="Aptos"/>
        </w:rPr>
        <w:t xml:space="preserve">This work </w:t>
      </w:r>
      <w:r w:rsidR="004A0158" w:rsidRPr="16F14F99">
        <w:rPr>
          <w:rFonts w:ascii="Aptos" w:eastAsia="Aptos" w:hAnsi="Aptos" w:cs="Aptos"/>
        </w:rPr>
        <w:t xml:space="preserve">has </w:t>
      </w:r>
      <w:r w:rsidR="007865AD" w:rsidRPr="16F14F99">
        <w:rPr>
          <w:rFonts w:ascii="Aptos" w:eastAsia="Aptos" w:hAnsi="Aptos" w:cs="Aptos"/>
        </w:rPr>
        <w:t>fed into ongoing transformation projects</w:t>
      </w:r>
      <w:r w:rsidR="00C71BA0" w:rsidRPr="16F14F99">
        <w:rPr>
          <w:rFonts w:ascii="Aptos" w:eastAsia="Aptos" w:hAnsi="Aptos" w:cs="Aptos"/>
        </w:rPr>
        <w:t xml:space="preserve"> </w:t>
      </w:r>
      <w:r w:rsidR="00E157BF" w:rsidRPr="16F14F99">
        <w:rPr>
          <w:rFonts w:ascii="Aptos" w:eastAsia="Aptos" w:hAnsi="Aptos" w:cs="Aptos"/>
        </w:rPr>
        <w:t xml:space="preserve">at </w:t>
      </w:r>
      <w:proofErr w:type="gramStart"/>
      <w:r w:rsidR="00E157BF" w:rsidRPr="16F14F99">
        <w:rPr>
          <w:rFonts w:ascii="Aptos" w:eastAsia="Aptos" w:hAnsi="Aptos" w:cs="Aptos"/>
        </w:rPr>
        <w:t>PCC,</w:t>
      </w:r>
      <w:r w:rsidR="00772DB1" w:rsidRPr="16F14F99">
        <w:rPr>
          <w:rFonts w:ascii="Aptos" w:eastAsia="Aptos" w:hAnsi="Aptos" w:cs="Aptos"/>
        </w:rPr>
        <w:t xml:space="preserve"> </w:t>
      </w:r>
      <w:r w:rsidR="00B807B5" w:rsidRPr="16F14F99">
        <w:rPr>
          <w:rFonts w:ascii="Aptos" w:eastAsia="Aptos" w:hAnsi="Aptos" w:cs="Aptos"/>
        </w:rPr>
        <w:t>and</w:t>
      </w:r>
      <w:proofErr w:type="gramEnd"/>
      <w:r w:rsidR="00B807B5" w:rsidRPr="16F14F99">
        <w:rPr>
          <w:rFonts w:ascii="Aptos" w:eastAsia="Aptos" w:hAnsi="Aptos" w:cs="Aptos"/>
        </w:rPr>
        <w:t xml:space="preserve"> </w:t>
      </w:r>
      <w:r w:rsidR="00772DB1" w:rsidRPr="16F14F99">
        <w:rPr>
          <w:rFonts w:ascii="Aptos" w:eastAsia="Aptos" w:hAnsi="Aptos" w:cs="Aptos"/>
        </w:rPr>
        <w:t>has</w:t>
      </w:r>
      <w:r w:rsidR="00B807B5" w:rsidRPr="16F14F99">
        <w:rPr>
          <w:rFonts w:ascii="Aptos" w:eastAsia="Aptos" w:hAnsi="Aptos" w:cs="Aptos"/>
        </w:rPr>
        <w:t xml:space="preserve"> </w:t>
      </w:r>
      <w:r w:rsidR="00B97F37" w:rsidRPr="16F14F99">
        <w:rPr>
          <w:rFonts w:ascii="Aptos" w:eastAsia="Aptos" w:hAnsi="Aptos" w:cs="Aptos"/>
        </w:rPr>
        <w:t xml:space="preserve">also </w:t>
      </w:r>
      <w:r w:rsidR="00A84C25" w:rsidRPr="16F14F99">
        <w:rPr>
          <w:rFonts w:ascii="Aptos" w:eastAsia="Aptos" w:hAnsi="Aptos" w:cs="Aptos"/>
        </w:rPr>
        <w:t>emphasise</w:t>
      </w:r>
      <w:r w:rsidR="00772DB1" w:rsidRPr="16F14F99">
        <w:rPr>
          <w:rFonts w:ascii="Aptos" w:eastAsia="Aptos" w:hAnsi="Aptos" w:cs="Aptos"/>
        </w:rPr>
        <w:t>d</w:t>
      </w:r>
      <w:r w:rsidR="00A84C25" w:rsidRPr="16F14F99">
        <w:rPr>
          <w:rFonts w:ascii="Aptos" w:eastAsia="Aptos" w:hAnsi="Aptos" w:cs="Aptos"/>
        </w:rPr>
        <w:t xml:space="preserve"> the importance of </w:t>
      </w:r>
      <w:r w:rsidR="00A84C25" w:rsidRPr="16F14F99">
        <w:rPr>
          <w:rFonts w:ascii="Aptos" w:eastAsia="Aptos" w:hAnsi="Aptos" w:cs="Aptos"/>
          <w:b/>
          <w:bCs/>
        </w:rPr>
        <w:t>embedding routine</w:t>
      </w:r>
      <w:r w:rsidR="00A84C25" w:rsidRPr="16F14F99">
        <w:rPr>
          <w:rFonts w:ascii="Aptos" w:eastAsia="Aptos" w:hAnsi="Aptos" w:cs="Aptos"/>
        </w:rPr>
        <w:t xml:space="preserve"> </w:t>
      </w:r>
      <w:r w:rsidR="00A84C25" w:rsidRPr="16F14F99">
        <w:rPr>
          <w:rFonts w:ascii="Aptos" w:eastAsia="Aptos" w:hAnsi="Aptos" w:cs="Aptos"/>
          <w:b/>
          <w:bCs/>
        </w:rPr>
        <w:t>updates of DA needs</w:t>
      </w:r>
      <w:r w:rsidR="00A84C25" w:rsidRPr="16F14F99">
        <w:rPr>
          <w:rFonts w:ascii="Aptos" w:eastAsia="Aptos" w:hAnsi="Aptos" w:cs="Aptos"/>
        </w:rPr>
        <w:t xml:space="preserve"> </w:t>
      </w:r>
      <w:r w:rsidR="00D5179B" w:rsidRPr="16F14F99">
        <w:rPr>
          <w:rFonts w:ascii="Aptos" w:eastAsia="Aptos" w:hAnsi="Aptos" w:cs="Aptos"/>
        </w:rPr>
        <w:t xml:space="preserve">for </w:t>
      </w:r>
      <w:r w:rsidR="005B603A" w:rsidRPr="16F14F99">
        <w:rPr>
          <w:rFonts w:ascii="Aptos" w:eastAsia="Aptos" w:hAnsi="Aptos" w:cs="Aptos"/>
        </w:rPr>
        <w:t xml:space="preserve">individuals </w:t>
      </w:r>
      <w:r w:rsidR="00A84C25" w:rsidRPr="16F14F99">
        <w:rPr>
          <w:rFonts w:ascii="Aptos" w:eastAsia="Aptos" w:hAnsi="Aptos" w:cs="Aptos"/>
        </w:rPr>
        <w:t>to ensure data reflects changes in family circumstances over time.</w:t>
      </w:r>
      <w:r w:rsidR="00A84C25">
        <w:t xml:space="preserve"> </w:t>
      </w:r>
    </w:p>
    <w:p w14:paraId="28A24D7E" w14:textId="340195C1" w:rsidR="00A84C25" w:rsidRDefault="00A84C25" w:rsidP="00A84C25">
      <w:r>
        <w:t>Adult Social Care (ASC) plays a critical role in supporting individuals with complex needs, including those related to aging, disability, mental health, and recovery. ASC is often a key point of contact for vulnerable individuals, yet substance misuse</w:t>
      </w:r>
      <w:r w:rsidR="00E12C52">
        <w:t xml:space="preserve">, </w:t>
      </w:r>
      <w:r>
        <w:t>whether involving drugs, alcohol, or both</w:t>
      </w:r>
      <w:r w:rsidR="00E12C52">
        <w:t xml:space="preserve">, </w:t>
      </w:r>
      <w:r>
        <w:t xml:space="preserve">can remain </w:t>
      </w:r>
      <w:r w:rsidRPr="002B3550">
        <w:rPr>
          <w:b/>
          <w:bCs/>
        </w:rPr>
        <w:t>hidden or under-acknowledged</w:t>
      </w:r>
      <w:r>
        <w:t xml:space="preserve"> within this population. Recognising and addressing substance misuse at this interface is essential for providing holistic care and maximising opportunities for early intervention.</w:t>
      </w:r>
    </w:p>
    <w:p w14:paraId="7583B37C" w14:textId="0A870AE3" w:rsidR="00A84C25" w:rsidRDefault="007A1DCF" w:rsidP="00A84C25">
      <w:r>
        <w:t xml:space="preserve">Local data from </w:t>
      </w:r>
      <w:r w:rsidR="00A84C25">
        <w:t xml:space="preserve">ASC services in Peterborough </w:t>
      </w:r>
      <w:r>
        <w:t xml:space="preserve">showed high numbers of </w:t>
      </w:r>
      <w:r w:rsidR="00A84C25">
        <w:t>engage</w:t>
      </w:r>
      <w:r>
        <w:t>ment</w:t>
      </w:r>
      <w:r w:rsidR="00A84C25">
        <w:t xml:space="preserve"> with individuals in 2023–24, including </w:t>
      </w:r>
      <w:r w:rsidR="00A84C25" w:rsidRPr="002B3550">
        <w:rPr>
          <w:b/>
          <w:bCs/>
        </w:rPr>
        <w:t>over 11,700 requests for support or advice and 6,500 assessments</w:t>
      </w:r>
      <w:r w:rsidR="00A84C25">
        <w:t xml:space="preserve">. Despite this substantial engagement, the data reveals surprisingly few individuals recorded as having “Substance or alcohol needs”; </w:t>
      </w:r>
      <w:r w:rsidR="00A84C25" w:rsidRPr="002B3550">
        <w:rPr>
          <w:b/>
          <w:bCs/>
        </w:rPr>
        <w:t>fewer than 40 individuals</w:t>
      </w:r>
      <w:r w:rsidR="00A84C25">
        <w:t xml:space="preserve"> in 2023-24. Although this may be interpreted to represent low unmet need, it is more likely that drug and alcohol</w:t>
      </w:r>
      <w:r w:rsidR="00A84C25" w:rsidRPr="4E51CB34">
        <w:rPr>
          <w:b/>
          <w:bCs/>
        </w:rPr>
        <w:t xml:space="preserve"> </w:t>
      </w:r>
      <w:r w:rsidR="00A84C25">
        <w:t xml:space="preserve">issues are </w:t>
      </w:r>
      <w:r w:rsidR="00A84C25" w:rsidRPr="00ED76AE">
        <w:rPr>
          <w:b/>
          <w:bCs/>
        </w:rPr>
        <w:t>not being captured</w:t>
      </w:r>
      <w:r w:rsidR="00A84C25">
        <w:t>, given known prevalence and need insights identified elsewhere. The absence of “Substance Misuse Support” as a primary category for support, combined with the lack of obligation to record additional support needs likely results in an underestimation of the extent of substance misuse treatment need in the ASC population.</w:t>
      </w:r>
    </w:p>
    <w:p w14:paraId="58899EA5" w14:textId="77777777" w:rsidR="00A84C25" w:rsidRDefault="00A84C25" w:rsidP="00A84C25">
      <w:r>
        <w:t>Substance misuse often exacerbates other vulnerabilities, such as mental health or physical disability, so individuals with drug and alcohol needs may be categorised under other support areas. This under-identification highlights a critical challenge in understanding drug and alcohol needs for those interacting with ASC, which may stem from gaps in data systems, staff awareness or in standardised reporting practices.</w:t>
      </w:r>
    </w:p>
    <w:p w14:paraId="52E4FBF6" w14:textId="77777777" w:rsidR="00A84C25" w:rsidRDefault="00A84C25" w:rsidP="00A84C25"/>
    <w:p w14:paraId="3E685167" w14:textId="4ED6A842" w:rsidR="00E3397B" w:rsidRDefault="00957A30" w:rsidP="00517C43">
      <w:pPr>
        <w:pStyle w:val="Heading3"/>
      </w:pPr>
      <w:bookmarkStart w:id="84" w:name="_Toc200479516"/>
      <w:r>
        <w:t>Accessibility of Services</w:t>
      </w:r>
      <w:bookmarkEnd w:id="84"/>
    </w:p>
    <w:p w14:paraId="681037B9" w14:textId="74964CF9" w:rsidR="00957A30" w:rsidRDefault="00957A30" w:rsidP="00957A30">
      <w:r>
        <w:t xml:space="preserve">Recent work has identified that current services are non-complaint with </w:t>
      </w:r>
      <w:r w:rsidRPr="00ED76AE">
        <w:rPr>
          <w:b/>
          <w:bCs/>
        </w:rPr>
        <w:t>Accessibility</w:t>
      </w:r>
      <w:r>
        <w:t xml:space="preserve"> Information Standards</w:t>
      </w:r>
      <w:r w:rsidR="00AB4D54">
        <w:t xml:space="preserve"> from NH</w:t>
      </w:r>
      <w:r w:rsidR="00C259C0">
        <w:t>S</w:t>
      </w:r>
      <w:r w:rsidR="00AB4D54">
        <w:t xml:space="preserve"> England</w:t>
      </w:r>
      <w:r w:rsidR="00AB4D54">
        <w:rPr>
          <w:rStyle w:val="FootnoteReference"/>
        </w:rPr>
        <w:footnoteReference w:id="41"/>
      </w:r>
      <w:r>
        <w:t xml:space="preserve">, which ensure that </w:t>
      </w:r>
      <w:r w:rsidRPr="00631B0E">
        <w:t xml:space="preserve">information </w:t>
      </w:r>
      <w:r>
        <w:t xml:space="preserve">is offered </w:t>
      </w:r>
      <w:r w:rsidRPr="00631B0E">
        <w:t xml:space="preserve">in </w:t>
      </w:r>
      <w:r w:rsidRPr="00631B0E">
        <w:lastRenderedPageBreak/>
        <w:t xml:space="preserve">accessible formats and necessary communication support </w:t>
      </w:r>
      <w:r>
        <w:t xml:space="preserve">is provided </w:t>
      </w:r>
      <w:r w:rsidRPr="00631B0E">
        <w:t>to ensure equal participation.</w:t>
      </w:r>
    </w:p>
    <w:p w14:paraId="5136A9D8" w14:textId="77777777" w:rsidR="00957A30" w:rsidRDefault="00957A30" w:rsidP="00957A30">
      <w:r>
        <w:t xml:space="preserve">An audit has informed an </w:t>
      </w:r>
      <w:r w:rsidRPr="00ED76AE">
        <w:rPr>
          <w:b/>
          <w:bCs/>
        </w:rPr>
        <w:t>ongoing action plan</w:t>
      </w:r>
      <w:r>
        <w:t>, which includes:</w:t>
      </w:r>
    </w:p>
    <w:p w14:paraId="391EA40D" w14:textId="77777777" w:rsidR="00957A30" w:rsidRDefault="00957A30" w:rsidP="00B80EAF">
      <w:pPr>
        <w:pStyle w:val="ListParagraph"/>
        <w:numPr>
          <w:ilvl w:val="0"/>
          <w:numId w:val="3"/>
        </w:numPr>
      </w:pPr>
      <w:r>
        <w:t>E</w:t>
      </w:r>
      <w:r w:rsidRPr="00452AB3">
        <w:t xml:space="preserve">nhancing </w:t>
      </w:r>
      <w:r>
        <w:t xml:space="preserve">the process of </w:t>
      </w:r>
      <w:r w:rsidRPr="00452AB3">
        <w:t xml:space="preserve">documenting communication needs. </w:t>
      </w:r>
    </w:p>
    <w:p w14:paraId="678865BB" w14:textId="77777777" w:rsidR="00957A30" w:rsidRDefault="00957A30" w:rsidP="00B80EAF">
      <w:pPr>
        <w:pStyle w:val="ListParagraph"/>
        <w:numPr>
          <w:ilvl w:val="0"/>
          <w:numId w:val="3"/>
        </w:numPr>
      </w:pPr>
      <w:r>
        <w:t>P</w:t>
      </w:r>
      <w:r w:rsidRPr="00452AB3">
        <w:t xml:space="preserve">roviding targeted staff training. </w:t>
      </w:r>
    </w:p>
    <w:p w14:paraId="76B39D0F" w14:textId="75788143" w:rsidR="00957A30" w:rsidRDefault="00957A30" w:rsidP="00B80EAF">
      <w:pPr>
        <w:pStyle w:val="ListParagraph"/>
        <w:numPr>
          <w:ilvl w:val="0"/>
          <w:numId w:val="3"/>
        </w:numPr>
      </w:pPr>
      <w:r>
        <w:t xml:space="preserve">Ensuring </w:t>
      </w:r>
      <w:r w:rsidRPr="00452AB3">
        <w:t>that key documents are made available in accessible formats</w:t>
      </w:r>
      <w:r w:rsidR="00F00F0F">
        <w:t>.</w:t>
      </w:r>
    </w:p>
    <w:p w14:paraId="639D3864" w14:textId="77777777" w:rsidR="00957A30" w:rsidRDefault="00957A30" w:rsidP="00B80EAF">
      <w:pPr>
        <w:pStyle w:val="ListParagraph"/>
        <w:numPr>
          <w:ilvl w:val="0"/>
          <w:numId w:val="3"/>
        </w:numPr>
      </w:pPr>
      <w:r>
        <w:t xml:space="preserve">Ensuring that </w:t>
      </w:r>
      <w:r w:rsidRPr="00452AB3">
        <w:t>correct procedures for supporting individuals with communication needs are in place.</w:t>
      </w:r>
    </w:p>
    <w:p w14:paraId="4E1F3908" w14:textId="77777777" w:rsidR="00BF3672" w:rsidRPr="00E3397B" w:rsidRDefault="00BF3672" w:rsidP="00E3397B"/>
    <w:p w14:paraId="674DE184" w14:textId="77777777" w:rsidR="001504F0" w:rsidRDefault="001504F0" w:rsidP="00B80EAF">
      <w:pPr>
        <w:pStyle w:val="Heading3"/>
        <w:numPr>
          <w:ilvl w:val="2"/>
          <w:numId w:val="14"/>
        </w:numPr>
      </w:pPr>
      <w:bookmarkStart w:id="85" w:name="_Toc200479517"/>
      <w:bookmarkStart w:id="86" w:name="_Toc190198521"/>
      <w:r>
        <w:t>Opportunities to Engage High-risk Populations</w:t>
      </w:r>
      <w:bookmarkEnd w:id="85"/>
    </w:p>
    <w:bookmarkEnd w:id="86"/>
    <w:p w14:paraId="7C693FF7" w14:textId="77777777" w:rsidR="00E963E0" w:rsidRDefault="005163F0" w:rsidP="005163F0">
      <w:r w:rsidRPr="00ED76AE">
        <w:rPr>
          <w:b/>
          <w:bCs/>
        </w:rPr>
        <w:t>Assertive outreach</w:t>
      </w:r>
      <w:r>
        <w:t xml:space="preserve"> is </w:t>
      </w:r>
      <w:r w:rsidRPr="00673BD1">
        <w:t>a proactive</w:t>
      </w:r>
      <w:r>
        <w:t xml:space="preserve"> </w:t>
      </w:r>
      <w:r w:rsidRPr="00673BD1">
        <w:t>approach where specialist teams</w:t>
      </w:r>
      <w:r>
        <w:t xml:space="preserve"> </w:t>
      </w:r>
      <w:r w:rsidRPr="00D96F51">
        <w:t>actively seek out and engage individuals</w:t>
      </w:r>
      <w:r>
        <w:t xml:space="preserve"> with treatment need,</w:t>
      </w:r>
      <w:r w:rsidRPr="00D96F51">
        <w:t xml:space="preserve"> who are hard to reach through conventional service channels</w:t>
      </w:r>
      <w:r>
        <w:t xml:space="preserve">. </w:t>
      </w:r>
      <w:r w:rsidRPr="00697FF4">
        <w:t>This model is especially valuable in cases where patients are encountered through emergency services</w:t>
      </w:r>
      <w:r>
        <w:t xml:space="preserve"> </w:t>
      </w:r>
      <w:r w:rsidRPr="00112DA0">
        <w:t>where high-risk presentations and elevated mortality rates are common</w:t>
      </w:r>
      <w:r w:rsidR="00E963E0">
        <w:t xml:space="preserve">. </w:t>
      </w:r>
    </w:p>
    <w:p w14:paraId="4C72A986" w14:textId="0818CC53" w:rsidR="005163F0" w:rsidRPr="0098023E" w:rsidRDefault="00E963E0" w:rsidP="005163F0">
      <w:pPr>
        <w:rPr>
          <w:highlight w:val="yellow"/>
        </w:rPr>
      </w:pPr>
      <w:r>
        <w:t xml:space="preserve">A </w:t>
      </w:r>
      <w:r w:rsidR="000D065B" w:rsidRPr="00ED76AE">
        <w:rPr>
          <w:rFonts w:ascii="Aptos" w:eastAsia="Aptos" w:hAnsi="Aptos" w:cs="Aptos"/>
          <w:b/>
          <w:bCs/>
        </w:rPr>
        <w:t>Hospital Alcohol Liaison Programme (HALP)</w:t>
      </w:r>
      <w:r w:rsidR="000D065B" w:rsidRPr="756DEDD6">
        <w:rPr>
          <w:rFonts w:ascii="Aptos" w:eastAsia="Aptos" w:hAnsi="Aptos" w:cs="Aptos"/>
        </w:rPr>
        <w:t xml:space="preserve"> </w:t>
      </w:r>
      <w:r w:rsidR="00731DC5">
        <w:t>provides an opportunity for this</w:t>
      </w:r>
      <w:r w:rsidR="000F497D">
        <w:t xml:space="preserve">. This team is based </w:t>
      </w:r>
      <w:r w:rsidR="000F497D">
        <w:rPr>
          <w:rFonts w:ascii="Aptos" w:eastAsia="Aptos" w:hAnsi="Aptos" w:cs="Aptos"/>
        </w:rPr>
        <w:t xml:space="preserve">in Peterborough hospital and is supported by a DA worker from CGL. </w:t>
      </w:r>
      <w:r w:rsidR="00402257">
        <w:rPr>
          <w:rFonts w:ascii="Aptos" w:eastAsia="Aptos" w:hAnsi="Aptos" w:cs="Aptos"/>
        </w:rPr>
        <w:t>I</w:t>
      </w:r>
      <w:r w:rsidR="00402257" w:rsidRPr="756DEDD6">
        <w:rPr>
          <w:rFonts w:ascii="Aptos" w:eastAsia="Aptos" w:hAnsi="Aptos" w:cs="Aptos"/>
        </w:rPr>
        <w:t>n 2023/24</w:t>
      </w:r>
      <w:r w:rsidR="00E130DA">
        <w:rPr>
          <w:rFonts w:ascii="Aptos" w:eastAsia="Aptos" w:hAnsi="Aptos" w:cs="Aptos"/>
        </w:rPr>
        <w:t xml:space="preserve">, their assessments </w:t>
      </w:r>
      <w:r w:rsidR="00402257" w:rsidRPr="756DEDD6">
        <w:rPr>
          <w:rFonts w:ascii="Aptos" w:eastAsia="Aptos" w:hAnsi="Aptos" w:cs="Aptos"/>
        </w:rPr>
        <w:t xml:space="preserve">led to 55 people entering structured treatment. </w:t>
      </w:r>
    </w:p>
    <w:p w14:paraId="65DE692C" w14:textId="77777777" w:rsidR="005163F0" w:rsidRDefault="005163F0" w:rsidP="005163F0">
      <w:r>
        <w:t xml:space="preserve">The local DA team aims to expand these efforts through links with the </w:t>
      </w:r>
      <w:r w:rsidRPr="00301E61">
        <w:rPr>
          <w:b/>
          <w:bCs/>
        </w:rPr>
        <w:t>ambulance service</w:t>
      </w:r>
      <w:r>
        <w:t xml:space="preserve">. Currently, the DA team have access to case numbers and codes of </w:t>
      </w:r>
      <w:r w:rsidRPr="00694CD7">
        <w:t>substance misuse</w:t>
      </w:r>
      <w:r>
        <w:t xml:space="preserve"> </w:t>
      </w:r>
      <w:r w:rsidRPr="00694CD7">
        <w:t xml:space="preserve">related </w:t>
      </w:r>
      <w:proofErr w:type="gramStart"/>
      <w:r w:rsidRPr="00694CD7">
        <w:t>call</w:t>
      </w:r>
      <w:r>
        <w:t>-</w:t>
      </w:r>
      <w:r w:rsidRPr="00694CD7">
        <w:t>outs</w:t>
      </w:r>
      <w:proofErr w:type="gramEnd"/>
      <w:r>
        <w:t xml:space="preserve">, allowing surveillance of emerging patterns of harm and risk. </w:t>
      </w:r>
      <w:r w:rsidRPr="00B335E2">
        <w:t xml:space="preserve">Ongoing efforts are focused </w:t>
      </w:r>
      <w:r>
        <w:t xml:space="preserve">not only </w:t>
      </w:r>
      <w:r w:rsidRPr="00B335E2">
        <w:t xml:space="preserve">on </w:t>
      </w:r>
      <w:r>
        <w:t xml:space="preserve">improving </w:t>
      </w:r>
      <w:r w:rsidRPr="00B335E2">
        <w:t xml:space="preserve">the quality of </w:t>
      </w:r>
      <w:r>
        <w:t xml:space="preserve">this </w:t>
      </w:r>
      <w:r w:rsidRPr="00B335E2">
        <w:t xml:space="preserve">data </w:t>
      </w:r>
      <w:r>
        <w:t xml:space="preserve">but also </w:t>
      </w:r>
      <w:r w:rsidRPr="00B335E2">
        <w:t xml:space="preserve">exploring </w:t>
      </w:r>
      <w:r w:rsidRPr="00301E61">
        <w:rPr>
          <w:b/>
          <w:bCs/>
        </w:rPr>
        <w:t>additional ways to enhance reach and strengthen harm reduction</w:t>
      </w:r>
      <w:r>
        <w:t xml:space="preserve">. </w:t>
      </w:r>
      <w:r w:rsidRPr="00A95B8A">
        <w:t xml:space="preserve">Key areas for </w:t>
      </w:r>
      <w:r>
        <w:t xml:space="preserve">identified for </w:t>
      </w:r>
      <w:r w:rsidRPr="00A95B8A">
        <w:t>development include naloxone provision by ambulance crews, facilitati</w:t>
      </w:r>
      <w:r>
        <w:t>on of</w:t>
      </w:r>
      <w:r w:rsidRPr="00A95B8A">
        <w:t xml:space="preserve"> direct referrals to DA services, and </w:t>
      </w:r>
      <w:r>
        <w:t xml:space="preserve">exploring how </w:t>
      </w:r>
      <w:r w:rsidRPr="00A95B8A">
        <w:t xml:space="preserve">individuals identified through emergency </w:t>
      </w:r>
      <w:proofErr w:type="gramStart"/>
      <w:r w:rsidRPr="00A95B8A">
        <w:t>call-outs</w:t>
      </w:r>
      <w:proofErr w:type="gramEnd"/>
      <w:r w:rsidRPr="00A95B8A">
        <w:t xml:space="preserve"> </w:t>
      </w:r>
      <w:r>
        <w:t xml:space="preserve">could </w:t>
      </w:r>
      <w:r w:rsidRPr="00A95B8A">
        <w:t>receive appropriate support.</w:t>
      </w:r>
    </w:p>
    <w:p w14:paraId="2075A19E" w14:textId="5311D351" w:rsidR="005163F0" w:rsidRDefault="00AB02DE" w:rsidP="005163F0">
      <w:r>
        <w:t>Peterborough City C</w:t>
      </w:r>
      <w:r w:rsidR="005163F0" w:rsidRPr="007646FF">
        <w:t xml:space="preserve">ouncil launched a </w:t>
      </w:r>
      <w:r w:rsidR="005163F0" w:rsidRPr="00CF3F0C">
        <w:rPr>
          <w:b/>
          <w:bCs/>
        </w:rPr>
        <w:t>High Impact Use Service</w:t>
      </w:r>
      <w:r w:rsidR="005163F0" w:rsidRPr="007646FF">
        <w:t xml:space="preserve"> in October 2024 to support individuals who frequently rely on emergency services.</w:t>
      </w:r>
      <w:r w:rsidR="005163F0" w:rsidRPr="00541642">
        <w:t xml:space="preserve"> This population often faces complex challenges, with substance misuse potentially being a significant factor. Establishing strong </w:t>
      </w:r>
      <w:r w:rsidR="005163F0" w:rsidRPr="00CF3F0C">
        <w:rPr>
          <w:b/>
          <w:bCs/>
        </w:rPr>
        <w:t>links</w:t>
      </w:r>
      <w:r w:rsidR="005163F0" w:rsidRPr="00541642">
        <w:t xml:space="preserve"> with this team </w:t>
      </w:r>
      <w:r w:rsidR="00B96FD9">
        <w:t xml:space="preserve">can also </w:t>
      </w:r>
      <w:r w:rsidR="005163F0" w:rsidRPr="00541642">
        <w:t xml:space="preserve">improve access to support for another high-risk group while providing </w:t>
      </w:r>
      <w:r w:rsidR="00B96FD9">
        <w:t xml:space="preserve">an opportunity to </w:t>
      </w:r>
      <w:r w:rsidR="00B96FD9" w:rsidRPr="00CF3F0C">
        <w:rPr>
          <w:b/>
          <w:bCs/>
        </w:rPr>
        <w:t xml:space="preserve">understand </w:t>
      </w:r>
      <w:r w:rsidR="005163F0" w:rsidRPr="00CF3F0C">
        <w:rPr>
          <w:b/>
          <w:bCs/>
        </w:rPr>
        <w:t>the barriers</w:t>
      </w:r>
      <w:r w:rsidR="005163F0" w:rsidRPr="00541642">
        <w:t xml:space="preserve"> their service users face in engaging with DA treatment. This </w:t>
      </w:r>
      <w:r w:rsidR="00B96FD9">
        <w:t xml:space="preserve">can </w:t>
      </w:r>
      <w:r w:rsidR="005163F0" w:rsidRPr="00541642">
        <w:t xml:space="preserve">help inform strategies to improve service </w:t>
      </w:r>
      <w:r w:rsidR="005163F0" w:rsidRPr="00CF3F0C">
        <w:rPr>
          <w:b/>
          <w:bCs/>
        </w:rPr>
        <w:t>accessibility</w:t>
      </w:r>
      <w:r w:rsidR="005163F0" w:rsidRPr="00541642">
        <w:t xml:space="preserve"> and </w:t>
      </w:r>
      <w:r w:rsidR="005163F0" w:rsidRPr="00CF3F0C">
        <w:rPr>
          <w:b/>
          <w:bCs/>
        </w:rPr>
        <w:t>effectiveness</w:t>
      </w:r>
      <w:r w:rsidR="005163F0" w:rsidRPr="00541642">
        <w:t>.</w:t>
      </w:r>
    </w:p>
    <w:p w14:paraId="291B09D3" w14:textId="1C15932E" w:rsidR="00AE670A" w:rsidRDefault="00AE670A" w:rsidP="00AE670A"/>
    <w:p w14:paraId="01E2ED6C" w14:textId="7015AE28" w:rsidR="00213A3D" w:rsidRDefault="00213A3D" w:rsidP="00211175">
      <w:pPr>
        <w:pStyle w:val="Heading3"/>
      </w:pPr>
      <w:bookmarkStart w:id="87" w:name="_Toc200479518"/>
      <w:r>
        <w:t>Recommendations</w:t>
      </w:r>
      <w:bookmarkEnd w:id="87"/>
    </w:p>
    <w:p w14:paraId="1767203C" w14:textId="370331DA" w:rsidR="00213A3D" w:rsidRDefault="00213A3D" w:rsidP="00213A3D">
      <w:pPr>
        <w:pStyle w:val="Heading7"/>
      </w:pPr>
      <w:r>
        <w:t xml:space="preserve">Recommendation </w:t>
      </w:r>
      <w:r w:rsidR="003263F3">
        <w:t>2</w:t>
      </w:r>
      <w:r w:rsidR="0041625A">
        <w:t>2</w:t>
      </w:r>
    </w:p>
    <w:p w14:paraId="106EC11D" w14:textId="20FC3715" w:rsidR="00BB734F" w:rsidRPr="00BB734F" w:rsidRDefault="00E76465" w:rsidP="00213A3D">
      <w:r w:rsidRPr="00E76465">
        <w:t xml:space="preserve">Individuals receiving adult social care who have drug and alcohol (DA) needs may be particularly vulnerable. Enhancing data systems, staff training, and cross-sector collaboration will improve the identification of substance use treatment needs </w:t>
      </w:r>
      <w:r>
        <w:t xml:space="preserve">to </w:t>
      </w:r>
      <w:r w:rsidRPr="00E76465">
        <w:t>ensure appropriate support is provided.</w:t>
      </w:r>
      <w:r w:rsidR="00931429" w:rsidRPr="00931429">
        <w:t xml:space="preserve"> These steps can be integrated into ongoing transformation programmes within PCC</w:t>
      </w:r>
      <w:r w:rsidR="00931429">
        <w:t>.</w:t>
      </w:r>
    </w:p>
    <w:p w14:paraId="3BD2CC5B" w14:textId="56D90264" w:rsidR="00213A3D" w:rsidRDefault="00213A3D" w:rsidP="00213A3D">
      <w:pPr>
        <w:pStyle w:val="Heading7"/>
      </w:pPr>
      <w:r>
        <w:lastRenderedPageBreak/>
        <w:t xml:space="preserve">Recommendation </w:t>
      </w:r>
      <w:r w:rsidR="003263F3">
        <w:t>2</w:t>
      </w:r>
      <w:r w:rsidR="0041625A">
        <w:t>3</w:t>
      </w:r>
    </w:p>
    <w:p w14:paraId="6D400F00" w14:textId="7932833A" w:rsidR="00211175" w:rsidRDefault="00BD26C8" w:rsidP="00213A3D">
      <w:r>
        <w:t>I</w:t>
      </w:r>
      <w:r w:rsidR="00E45925" w:rsidRPr="00E45925">
        <w:t xml:space="preserve">nformation </w:t>
      </w:r>
      <w:r w:rsidR="00735CB9">
        <w:t xml:space="preserve">throughout DA services </w:t>
      </w:r>
      <w:r w:rsidR="00706A6C">
        <w:t>should be</w:t>
      </w:r>
      <w:r w:rsidR="00E45925" w:rsidRPr="00E45925">
        <w:t xml:space="preserve"> fully accessible</w:t>
      </w:r>
      <w:r w:rsidR="00706A6C">
        <w:t xml:space="preserve">, and this </w:t>
      </w:r>
      <w:r w:rsidR="00E45925" w:rsidRPr="00E45925">
        <w:t>should be standard practice. This includes meeting the communication, literacy, and accessibility needs of all service users</w:t>
      </w:r>
      <w:r w:rsidR="00E0517C" w:rsidRPr="00E0517C">
        <w:t>, which should be identified and recorded by the service.</w:t>
      </w:r>
    </w:p>
    <w:p w14:paraId="1CA00C82" w14:textId="7BBC48AF" w:rsidR="00211175" w:rsidRDefault="00211175" w:rsidP="002E1F03">
      <w:pPr>
        <w:pStyle w:val="Heading7"/>
      </w:pPr>
      <w:r w:rsidRPr="002E1F03">
        <w:t>Recommendation</w:t>
      </w:r>
      <w:r>
        <w:t xml:space="preserve"> </w:t>
      </w:r>
      <w:r w:rsidR="003263F3">
        <w:t>2</w:t>
      </w:r>
      <w:r w:rsidR="0041625A">
        <w:t>4</w:t>
      </w:r>
    </w:p>
    <w:p w14:paraId="167B976F" w14:textId="5AED4EB9" w:rsidR="0011230B" w:rsidRDefault="00E45925" w:rsidP="00BB49B0">
      <w:r w:rsidRPr="00E45925">
        <w:t>Strengthen links with the ambulance service and high impact user service to enhance assertive outreach and facilitate direct referrals for individuals at high risk of mortality.</w:t>
      </w:r>
    </w:p>
    <w:p w14:paraId="326E8449" w14:textId="2BE55525" w:rsidR="00E009D4" w:rsidRDefault="00E009D4" w:rsidP="002E1F03">
      <w:pPr>
        <w:pStyle w:val="Heading7"/>
      </w:pPr>
      <w:r>
        <w:t>Recommendation 2</w:t>
      </w:r>
      <w:r w:rsidR="0041625A">
        <w:t>5</w:t>
      </w:r>
    </w:p>
    <w:p w14:paraId="300AB4E8" w14:textId="6B8B1CAA" w:rsidR="002E1F03" w:rsidRDefault="002E1F03" w:rsidP="002E1F03">
      <w:r>
        <w:t xml:space="preserve">Improved data sharing between drug and alcohol services, healthcare, social care, and criminal justice partners should be prioritised to enhance care coordination and service user outcomes. Strengthening data-sharing agreements </w:t>
      </w:r>
      <w:r w:rsidR="0049412B">
        <w:t xml:space="preserve">or a shared care record </w:t>
      </w:r>
      <w:r>
        <w:t>will:</w:t>
      </w:r>
    </w:p>
    <w:p w14:paraId="04E2A566" w14:textId="77777777" w:rsidR="0049412B" w:rsidRDefault="002E1F03" w:rsidP="00B80EAF">
      <w:pPr>
        <w:pStyle w:val="ListParagraph"/>
        <w:numPr>
          <w:ilvl w:val="0"/>
          <w:numId w:val="3"/>
        </w:numPr>
      </w:pPr>
      <w:r>
        <w:t>Improve continuity of care across different services, reducing duplication and missed opportunities for intervention.</w:t>
      </w:r>
    </w:p>
    <w:p w14:paraId="6D1EF7AF" w14:textId="77777777" w:rsidR="0049412B" w:rsidRDefault="002E1F03" w:rsidP="00B80EAF">
      <w:pPr>
        <w:pStyle w:val="ListParagraph"/>
        <w:numPr>
          <w:ilvl w:val="0"/>
          <w:numId w:val="3"/>
        </w:numPr>
      </w:pPr>
      <w:r>
        <w:t>Support a more integrated approach to co-occurring conditions, ensuring individuals receive holistic, person-centred care.</w:t>
      </w:r>
    </w:p>
    <w:p w14:paraId="327EB22C" w14:textId="5810EBB6" w:rsidR="00E009D4" w:rsidRDefault="002E1F03" w:rsidP="00B80EAF">
      <w:pPr>
        <w:pStyle w:val="ListParagraph"/>
        <w:numPr>
          <w:ilvl w:val="0"/>
          <w:numId w:val="3"/>
        </w:numPr>
      </w:pPr>
      <w:r>
        <w:t>Enable better identification of unmet need and service gaps through more comprehensive data.</w:t>
      </w:r>
    </w:p>
    <w:p w14:paraId="51FE7617" w14:textId="77777777" w:rsidR="0011230B" w:rsidRDefault="0011230B" w:rsidP="00BB49B0"/>
    <w:p w14:paraId="3376B0C9" w14:textId="77777777" w:rsidR="00E009D4" w:rsidRDefault="00E009D4" w:rsidP="00BB49B0">
      <w:pPr>
        <w:sectPr w:rsidR="00E009D4">
          <w:pgSz w:w="11906" w:h="16838"/>
          <w:pgMar w:top="1440" w:right="1440" w:bottom="1440" w:left="1440" w:header="708" w:footer="708" w:gutter="0"/>
          <w:cols w:space="708"/>
          <w:docGrid w:linePitch="360"/>
        </w:sectPr>
      </w:pPr>
    </w:p>
    <w:p w14:paraId="1B4D2DC8" w14:textId="6CC3720E" w:rsidR="00F750A2" w:rsidRDefault="00F750A2" w:rsidP="0011230B">
      <w:pPr>
        <w:pStyle w:val="Heading1"/>
      </w:pPr>
      <w:bookmarkStart w:id="88" w:name="_Toc200479519"/>
      <w:r>
        <w:lastRenderedPageBreak/>
        <w:t>Qualitative</w:t>
      </w:r>
      <w:r w:rsidR="00CD43B2">
        <w:t xml:space="preserve"> </w:t>
      </w:r>
      <w:r w:rsidR="007F587B">
        <w:t>Analysis</w:t>
      </w:r>
      <w:bookmarkEnd w:id="88"/>
    </w:p>
    <w:p w14:paraId="06E50C27" w14:textId="2BAAC226" w:rsidR="00BE4B82" w:rsidRDefault="00586620" w:rsidP="00BE4B82">
      <w:r>
        <w:t xml:space="preserve">The qualitative </w:t>
      </w:r>
      <w:r w:rsidR="005332C2">
        <w:t xml:space="preserve">part of this </w:t>
      </w:r>
      <w:r>
        <w:t xml:space="preserve">needs assessment </w:t>
      </w:r>
      <w:r w:rsidR="005332C2">
        <w:t xml:space="preserve">was </w:t>
      </w:r>
      <w:r>
        <w:t>completed</w:t>
      </w:r>
      <w:r w:rsidR="005332C2">
        <w:t xml:space="preserve"> in 2024-25</w:t>
      </w:r>
      <w:r w:rsidR="006B1BBE">
        <w:t>, in conjunction with the quantitative assessment.</w:t>
      </w:r>
      <w:r w:rsidR="0043355B" w:rsidRPr="0043355B">
        <w:t xml:space="preserve"> </w:t>
      </w:r>
      <w:r w:rsidR="0043355B">
        <w:t>It builds on findings from the interim report that was commissioned in 2022- 2023.</w:t>
      </w:r>
    </w:p>
    <w:p w14:paraId="28819FDF" w14:textId="307FD43D" w:rsidR="00E221DC" w:rsidRDefault="00E221DC" w:rsidP="00E221DC">
      <w:r>
        <w:t xml:space="preserve">The current service was commissioned in 2015, and therefore the proposed new model will be aligned to the Dame Carol Black Drug Strategy and informed by extensive consultation (in depth report </w:t>
      </w:r>
      <w:r w:rsidR="007F587B">
        <w:t xml:space="preserve">available </w:t>
      </w:r>
      <w:r>
        <w:t xml:space="preserve">in </w:t>
      </w:r>
      <w:r w:rsidR="009F1A68">
        <w:t>A</w:t>
      </w:r>
      <w:r>
        <w:t xml:space="preserve">ppendix </w:t>
      </w:r>
      <w:r w:rsidR="009F1A68">
        <w:t>7.</w:t>
      </w:r>
      <w:r w:rsidR="008C3F9E">
        <w:t>3</w:t>
      </w:r>
      <w:r>
        <w:t xml:space="preserve">) with service users, stakeholders and staff. The following report provides a summary of the qualitative findings and recommendations for a new service specification for the core contracted service. </w:t>
      </w:r>
    </w:p>
    <w:p w14:paraId="6D766415" w14:textId="77777777" w:rsidR="007F587B" w:rsidRDefault="007F587B" w:rsidP="00E221DC"/>
    <w:p w14:paraId="2058FF1D" w14:textId="14E179AC" w:rsidR="0062054E" w:rsidRDefault="001F3A41" w:rsidP="0062054E">
      <w:pPr>
        <w:pStyle w:val="Heading2"/>
      </w:pPr>
      <w:bookmarkStart w:id="89" w:name="_Toc200479520"/>
      <w:r>
        <w:t xml:space="preserve">Qualitative; </w:t>
      </w:r>
      <w:r w:rsidR="0062054E">
        <w:t>Methodology</w:t>
      </w:r>
      <w:bookmarkEnd w:id="89"/>
    </w:p>
    <w:p w14:paraId="44EE2AE6" w14:textId="19607FA3" w:rsidR="0062054E" w:rsidRDefault="0062054E" w:rsidP="0062054E">
      <w:r>
        <w:t xml:space="preserve">To ensure a thorough assessment of need across all service users and stakeholders multiple engagement techniques were utilised through Q3 and Q4 of </w:t>
      </w:r>
      <w:r w:rsidR="009F1A68">
        <w:t>20</w:t>
      </w:r>
      <w:r>
        <w:t xml:space="preserve">24/25, a summary is outlined below. A detailed schedule of service user engagement activity is included in </w:t>
      </w:r>
      <w:r w:rsidRPr="00A72486">
        <w:t xml:space="preserve">Appendix </w:t>
      </w:r>
      <w:r w:rsidR="0004171A">
        <w:t>7.</w:t>
      </w:r>
      <w:r w:rsidR="008C3F9E">
        <w:t>3</w:t>
      </w:r>
      <w:r w:rsidRPr="00A72486">
        <w:t>.</w:t>
      </w:r>
      <w:r>
        <w:t xml:space="preserve"> </w:t>
      </w:r>
    </w:p>
    <w:p w14:paraId="7FF08574" w14:textId="11E85E3B" w:rsidR="00390FEC" w:rsidRPr="00996AEB" w:rsidRDefault="0062054E" w:rsidP="00B80EAF">
      <w:pPr>
        <w:pStyle w:val="ListParagraph"/>
        <w:numPr>
          <w:ilvl w:val="0"/>
          <w:numId w:val="25"/>
        </w:numPr>
        <w:spacing w:after="80" w:line="240" w:lineRule="auto"/>
        <w:rPr>
          <w:b/>
          <w:bCs/>
        </w:rPr>
      </w:pPr>
      <w:r w:rsidRPr="00996AEB">
        <w:rPr>
          <w:b/>
          <w:bCs/>
        </w:rPr>
        <w:t>Independent</w:t>
      </w:r>
      <w:r w:rsidR="00390FEC" w:rsidRPr="00996AEB">
        <w:rPr>
          <w:b/>
          <w:bCs/>
        </w:rPr>
        <w:t xml:space="preserve"> Service User voice </w:t>
      </w:r>
    </w:p>
    <w:p w14:paraId="493CB36B" w14:textId="77777777" w:rsidR="00390FEC" w:rsidRDefault="00390FEC" w:rsidP="00B80EAF">
      <w:pPr>
        <w:pStyle w:val="ListParagraph"/>
        <w:numPr>
          <w:ilvl w:val="1"/>
          <w:numId w:val="25"/>
        </w:numPr>
        <w:spacing w:after="80" w:line="240" w:lineRule="auto"/>
      </w:pPr>
      <w:r>
        <w:t>Utilising SUN Network, they were able to provide independent feedback from service users on the current service provision and future provision</w:t>
      </w:r>
    </w:p>
    <w:p w14:paraId="38BBE883" w14:textId="77777777" w:rsidR="00390FEC" w:rsidRPr="00996AEB" w:rsidRDefault="00390FEC" w:rsidP="00B80EAF">
      <w:pPr>
        <w:pStyle w:val="ListParagraph"/>
        <w:numPr>
          <w:ilvl w:val="0"/>
          <w:numId w:val="25"/>
        </w:numPr>
        <w:spacing w:after="80" w:line="240" w:lineRule="auto"/>
        <w:rPr>
          <w:b/>
          <w:bCs/>
        </w:rPr>
      </w:pPr>
      <w:r w:rsidRPr="00996AEB">
        <w:rPr>
          <w:b/>
          <w:bCs/>
        </w:rPr>
        <w:t>Service User questionnaires</w:t>
      </w:r>
    </w:p>
    <w:p w14:paraId="1BD3BEDC" w14:textId="77777777" w:rsidR="00390FEC" w:rsidRDefault="00390FEC" w:rsidP="00B80EAF">
      <w:pPr>
        <w:pStyle w:val="ListParagraph"/>
        <w:numPr>
          <w:ilvl w:val="1"/>
          <w:numId w:val="25"/>
        </w:numPr>
        <w:spacing w:after="80" w:line="240" w:lineRule="auto"/>
      </w:pPr>
      <w:r>
        <w:t xml:space="preserve">Undertaken by our current provider, this method quantified holistic support offered to service users to understand rate of change across key areas of support such as wellbeing, housing, financial wellbeing etc. </w:t>
      </w:r>
    </w:p>
    <w:p w14:paraId="254DCC86" w14:textId="77777777" w:rsidR="00390FEC" w:rsidRPr="00996AEB" w:rsidRDefault="00390FEC" w:rsidP="00B80EAF">
      <w:pPr>
        <w:pStyle w:val="ListParagraph"/>
        <w:numPr>
          <w:ilvl w:val="0"/>
          <w:numId w:val="25"/>
        </w:numPr>
        <w:spacing w:after="80" w:line="240" w:lineRule="auto"/>
        <w:rPr>
          <w:b/>
          <w:bCs/>
        </w:rPr>
      </w:pPr>
      <w:r w:rsidRPr="00996AEB">
        <w:rPr>
          <w:b/>
          <w:bCs/>
        </w:rPr>
        <w:t xml:space="preserve">Service User Interviews </w:t>
      </w:r>
    </w:p>
    <w:p w14:paraId="34ABF8E9" w14:textId="77777777" w:rsidR="00390FEC" w:rsidRPr="000B3D45" w:rsidRDefault="00390FEC" w:rsidP="00B80EAF">
      <w:pPr>
        <w:pStyle w:val="ListParagraph"/>
        <w:numPr>
          <w:ilvl w:val="1"/>
          <w:numId w:val="25"/>
        </w:numPr>
        <w:spacing w:after="80" w:line="240" w:lineRule="auto"/>
      </w:pPr>
      <w:r>
        <w:t xml:space="preserve">Face to face interviews were conducted to deep dive into service users experience of current provision </w:t>
      </w:r>
    </w:p>
    <w:p w14:paraId="4478E061" w14:textId="77777777" w:rsidR="00390FEC" w:rsidRPr="00996AEB" w:rsidRDefault="00390FEC" w:rsidP="00B80EAF">
      <w:pPr>
        <w:pStyle w:val="ListParagraph"/>
        <w:numPr>
          <w:ilvl w:val="0"/>
          <w:numId w:val="25"/>
        </w:numPr>
        <w:spacing w:after="80" w:line="240" w:lineRule="auto"/>
        <w:rPr>
          <w:b/>
          <w:bCs/>
        </w:rPr>
      </w:pPr>
      <w:r w:rsidRPr="00996AEB">
        <w:rPr>
          <w:b/>
          <w:bCs/>
        </w:rPr>
        <w:t>Stakeholder questionnaire</w:t>
      </w:r>
    </w:p>
    <w:p w14:paraId="6C44CBFE" w14:textId="77777777" w:rsidR="00390FEC" w:rsidRDefault="00390FEC" w:rsidP="00B80EAF">
      <w:pPr>
        <w:pStyle w:val="ListParagraph"/>
        <w:numPr>
          <w:ilvl w:val="1"/>
          <w:numId w:val="25"/>
        </w:numPr>
        <w:spacing w:after="80" w:line="240" w:lineRule="auto"/>
      </w:pPr>
      <w:r>
        <w:t xml:space="preserve">A comprehensive survey to quantify key feedback from current stakeholders to further inform future provision </w:t>
      </w:r>
    </w:p>
    <w:p w14:paraId="2652B88D" w14:textId="77777777" w:rsidR="00390FEC" w:rsidRPr="00996AEB" w:rsidRDefault="00390FEC" w:rsidP="00B80EAF">
      <w:pPr>
        <w:pStyle w:val="ListParagraph"/>
        <w:numPr>
          <w:ilvl w:val="0"/>
          <w:numId w:val="25"/>
        </w:numPr>
        <w:spacing w:after="0" w:line="240" w:lineRule="auto"/>
        <w:rPr>
          <w:b/>
          <w:bCs/>
        </w:rPr>
      </w:pPr>
      <w:r w:rsidRPr="00996AEB">
        <w:rPr>
          <w:b/>
          <w:bCs/>
        </w:rPr>
        <w:t xml:space="preserve">Stakeholder workshops feedback </w:t>
      </w:r>
    </w:p>
    <w:p w14:paraId="4E7EB4A4" w14:textId="77777777" w:rsidR="00390FEC" w:rsidRPr="000B3D45" w:rsidRDefault="00390FEC" w:rsidP="00B80EAF">
      <w:pPr>
        <w:pStyle w:val="ListParagraph"/>
        <w:numPr>
          <w:ilvl w:val="1"/>
          <w:numId w:val="25"/>
        </w:numPr>
        <w:spacing w:after="0" w:line="240" w:lineRule="auto"/>
      </w:pPr>
      <w:r>
        <w:t xml:space="preserve">Broadly themed workshops, as well as service specific areas on need seen within our services to support the development of service specifications. </w:t>
      </w:r>
    </w:p>
    <w:p w14:paraId="6DE4D2FD" w14:textId="77777777" w:rsidR="00390FEC" w:rsidRPr="00996AEB" w:rsidRDefault="00390FEC" w:rsidP="00B80EAF">
      <w:pPr>
        <w:pStyle w:val="ListParagraph"/>
        <w:numPr>
          <w:ilvl w:val="0"/>
          <w:numId w:val="25"/>
        </w:numPr>
        <w:spacing w:after="0" w:line="240" w:lineRule="auto"/>
        <w:rPr>
          <w:b/>
          <w:bCs/>
        </w:rPr>
      </w:pPr>
      <w:r w:rsidRPr="00996AEB">
        <w:rPr>
          <w:b/>
          <w:bCs/>
        </w:rPr>
        <w:t>Young Peoples feedback</w:t>
      </w:r>
    </w:p>
    <w:p w14:paraId="7E7F24D3" w14:textId="77777777" w:rsidR="00390FEC" w:rsidRDefault="00390FEC" w:rsidP="00B80EAF">
      <w:pPr>
        <w:pStyle w:val="ListParagraph"/>
        <w:numPr>
          <w:ilvl w:val="1"/>
          <w:numId w:val="25"/>
        </w:numPr>
        <w:spacing w:after="0" w:line="240" w:lineRule="auto"/>
      </w:pPr>
      <w:r>
        <w:t>Undertaken by our current provider to gain feedback on the current offer to children and young people</w:t>
      </w:r>
    </w:p>
    <w:p w14:paraId="6EB4A8A9" w14:textId="77777777" w:rsidR="00390FEC" w:rsidRPr="003B5D05" w:rsidRDefault="00390FEC" w:rsidP="00B80EAF">
      <w:pPr>
        <w:pStyle w:val="ListParagraph"/>
        <w:numPr>
          <w:ilvl w:val="0"/>
          <w:numId w:val="25"/>
        </w:numPr>
        <w:spacing w:after="0" w:line="240" w:lineRule="auto"/>
        <w:rPr>
          <w:b/>
          <w:bCs/>
        </w:rPr>
      </w:pPr>
      <w:r w:rsidRPr="003B5D05">
        <w:rPr>
          <w:b/>
          <w:bCs/>
        </w:rPr>
        <w:t xml:space="preserve">Staff Feedback </w:t>
      </w:r>
    </w:p>
    <w:p w14:paraId="23B75EE5" w14:textId="77777777" w:rsidR="00390FEC" w:rsidRDefault="00390FEC" w:rsidP="00B80EAF">
      <w:pPr>
        <w:pStyle w:val="ListParagraph"/>
        <w:numPr>
          <w:ilvl w:val="1"/>
          <w:numId w:val="25"/>
        </w:numPr>
        <w:spacing w:after="0" w:line="240" w:lineRule="auto"/>
      </w:pPr>
      <w:r>
        <w:t>Feedback from staff at Aspire on key questions around service delivery and future opportunities for development</w:t>
      </w:r>
    </w:p>
    <w:p w14:paraId="14578685" w14:textId="77777777" w:rsidR="00390FEC" w:rsidRPr="00996AEB" w:rsidRDefault="00390FEC" w:rsidP="00B80EAF">
      <w:pPr>
        <w:pStyle w:val="ListParagraph"/>
        <w:numPr>
          <w:ilvl w:val="0"/>
          <w:numId w:val="25"/>
        </w:numPr>
        <w:spacing w:after="80" w:line="240" w:lineRule="auto"/>
        <w:rPr>
          <w:b/>
          <w:bCs/>
        </w:rPr>
      </w:pPr>
      <w:r w:rsidRPr="00996AEB">
        <w:rPr>
          <w:b/>
          <w:bCs/>
        </w:rPr>
        <w:t>Anglia Ruskin secondary research project feedback</w:t>
      </w:r>
    </w:p>
    <w:p w14:paraId="1F2E0E7A" w14:textId="084D30D8" w:rsidR="00390FEC" w:rsidRPr="003D3253" w:rsidRDefault="00390FEC" w:rsidP="00B80EAF">
      <w:pPr>
        <w:pStyle w:val="ListParagraph"/>
        <w:numPr>
          <w:ilvl w:val="1"/>
          <w:numId w:val="25"/>
        </w:numPr>
        <w:spacing w:after="80" w:line="240" w:lineRule="auto"/>
        <w:rPr>
          <w:b/>
        </w:rPr>
      </w:pPr>
      <w:r w:rsidRPr="00E52BC1">
        <w:t>Secondary research project on key areas, including evaluation, LERO’s and best practice in community substance use services</w:t>
      </w:r>
    </w:p>
    <w:p w14:paraId="385E7BFF" w14:textId="77777777" w:rsidR="002536D6" w:rsidRDefault="002536D6" w:rsidP="0062054E"/>
    <w:p w14:paraId="6B72A501" w14:textId="77777777" w:rsidR="007F587B" w:rsidRDefault="007F587B" w:rsidP="0062054E"/>
    <w:p w14:paraId="7CFA97A9" w14:textId="77777777" w:rsidR="007F587B" w:rsidRDefault="007F587B" w:rsidP="0062054E"/>
    <w:p w14:paraId="6CF906AA" w14:textId="7C256296" w:rsidR="00E221DC" w:rsidRDefault="001F3A41" w:rsidP="00F82BEB">
      <w:pPr>
        <w:pStyle w:val="Heading2"/>
      </w:pPr>
      <w:bookmarkStart w:id="90" w:name="_Toc200479521"/>
      <w:r>
        <w:lastRenderedPageBreak/>
        <w:t xml:space="preserve">Qualitative; </w:t>
      </w:r>
      <w:r w:rsidR="00F82BEB">
        <w:t>Participant</w:t>
      </w:r>
      <w:r>
        <w:t>s</w:t>
      </w:r>
      <w:bookmarkEnd w:id="90"/>
    </w:p>
    <w:p w14:paraId="462A9F14" w14:textId="77777777" w:rsidR="00390FEC" w:rsidRDefault="00390FEC" w:rsidP="00390FEC">
      <w:r>
        <w:t xml:space="preserve">Below outlines the participation numbers within each area, where able, we have been able to represent as a % of those in treatment to evidence sample size. </w:t>
      </w:r>
    </w:p>
    <w:tbl>
      <w:tblPr>
        <w:tblStyle w:val="TableGrid"/>
        <w:tblW w:w="9170" w:type="dxa"/>
        <w:tblLook w:val="04A0" w:firstRow="1" w:lastRow="0" w:firstColumn="1" w:lastColumn="0" w:noHBand="0" w:noVBand="1"/>
      </w:tblPr>
      <w:tblGrid>
        <w:gridCol w:w="5382"/>
        <w:gridCol w:w="1559"/>
        <w:gridCol w:w="2229"/>
      </w:tblGrid>
      <w:tr w:rsidR="00416114" w14:paraId="3BD5CA43" w14:textId="77777777" w:rsidTr="007050D4">
        <w:trPr>
          <w:trHeight w:val="624"/>
        </w:trPr>
        <w:tc>
          <w:tcPr>
            <w:tcW w:w="5382" w:type="dxa"/>
            <w:vAlign w:val="bottom"/>
          </w:tcPr>
          <w:p w14:paraId="49A6C1D1" w14:textId="78D4CA4E" w:rsidR="00416114" w:rsidRPr="007050D4" w:rsidRDefault="00416114" w:rsidP="007050D4">
            <w:pPr>
              <w:rPr>
                <w:b/>
                <w:bCs/>
              </w:rPr>
            </w:pPr>
            <w:r w:rsidRPr="007050D4">
              <w:rPr>
                <w:b/>
                <w:bCs/>
              </w:rPr>
              <w:t>Group</w:t>
            </w:r>
          </w:p>
        </w:tc>
        <w:tc>
          <w:tcPr>
            <w:tcW w:w="1559" w:type="dxa"/>
            <w:vAlign w:val="bottom"/>
          </w:tcPr>
          <w:p w14:paraId="1D665DAC" w14:textId="77777777" w:rsidR="00416114" w:rsidRPr="007050D4" w:rsidRDefault="00416114" w:rsidP="007050D4">
            <w:pPr>
              <w:rPr>
                <w:b/>
                <w:bCs/>
              </w:rPr>
            </w:pPr>
            <w:r w:rsidRPr="007050D4">
              <w:rPr>
                <w:b/>
                <w:bCs/>
              </w:rPr>
              <w:t xml:space="preserve">Number consulted </w:t>
            </w:r>
          </w:p>
        </w:tc>
        <w:tc>
          <w:tcPr>
            <w:tcW w:w="2229" w:type="dxa"/>
            <w:vAlign w:val="bottom"/>
          </w:tcPr>
          <w:p w14:paraId="7B2454CA" w14:textId="77777777" w:rsidR="00416114" w:rsidRPr="007050D4" w:rsidRDefault="00416114" w:rsidP="007050D4">
            <w:pPr>
              <w:rPr>
                <w:b/>
                <w:bCs/>
              </w:rPr>
            </w:pPr>
            <w:r w:rsidRPr="007050D4">
              <w:rPr>
                <w:b/>
                <w:bCs/>
              </w:rPr>
              <w:t xml:space="preserve">% of those in treatment </w:t>
            </w:r>
          </w:p>
        </w:tc>
      </w:tr>
      <w:tr w:rsidR="00416114" w14:paraId="4760CE7B" w14:textId="77777777" w:rsidTr="007050D4">
        <w:trPr>
          <w:trHeight w:val="271"/>
        </w:trPr>
        <w:tc>
          <w:tcPr>
            <w:tcW w:w="5382" w:type="dxa"/>
          </w:tcPr>
          <w:p w14:paraId="13BD3001" w14:textId="2808A6D5" w:rsidR="00416114" w:rsidRDefault="00416114" w:rsidP="000046A8">
            <w:r>
              <w:t xml:space="preserve">Stakeholders - questionnaire </w:t>
            </w:r>
          </w:p>
        </w:tc>
        <w:tc>
          <w:tcPr>
            <w:tcW w:w="1559" w:type="dxa"/>
          </w:tcPr>
          <w:p w14:paraId="5BE74AA9" w14:textId="77777777" w:rsidR="00416114" w:rsidRDefault="00416114" w:rsidP="000046A8">
            <w:r>
              <w:t>60</w:t>
            </w:r>
          </w:p>
        </w:tc>
        <w:tc>
          <w:tcPr>
            <w:tcW w:w="2229" w:type="dxa"/>
          </w:tcPr>
          <w:p w14:paraId="53282D5B" w14:textId="77777777" w:rsidR="00416114" w:rsidRPr="006249B8" w:rsidRDefault="00416114" w:rsidP="000046A8">
            <w:r w:rsidRPr="006249B8">
              <w:t>n/a</w:t>
            </w:r>
          </w:p>
        </w:tc>
      </w:tr>
      <w:tr w:rsidR="00416114" w14:paraId="0BFF2FF2" w14:textId="77777777" w:rsidTr="007050D4">
        <w:trPr>
          <w:trHeight w:val="271"/>
        </w:trPr>
        <w:tc>
          <w:tcPr>
            <w:tcW w:w="5382" w:type="dxa"/>
          </w:tcPr>
          <w:p w14:paraId="67DE1707" w14:textId="3129281E" w:rsidR="00416114" w:rsidRDefault="00416114" w:rsidP="000046A8">
            <w:r>
              <w:t>Stakeholders - workshops</w:t>
            </w:r>
          </w:p>
        </w:tc>
        <w:tc>
          <w:tcPr>
            <w:tcW w:w="1559" w:type="dxa"/>
          </w:tcPr>
          <w:p w14:paraId="4E265949" w14:textId="77777777" w:rsidR="00416114" w:rsidRDefault="00416114" w:rsidP="000046A8">
            <w:r>
              <w:t>50</w:t>
            </w:r>
          </w:p>
        </w:tc>
        <w:tc>
          <w:tcPr>
            <w:tcW w:w="2229" w:type="dxa"/>
          </w:tcPr>
          <w:p w14:paraId="303C1505" w14:textId="77777777" w:rsidR="00416114" w:rsidRPr="006249B8" w:rsidRDefault="00416114" w:rsidP="000046A8">
            <w:r w:rsidRPr="006249B8">
              <w:t>n/a</w:t>
            </w:r>
          </w:p>
        </w:tc>
      </w:tr>
      <w:tr w:rsidR="00416114" w14:paraId="51747C16" w14:textId="77777777" w:rsidTr="007050D4">
        <w:trPr>
          <w:trHeight w:val="256"/>
        </w:trPr>
        <w:tc>
          <w:tcPr>
            <w:tcW w:w="5382" w:type="dxa"/>
          </w:tcPr>
          <w:p w14:paraId="57DF0332" w14:textId="687F3DEA" w:rsidR="00416114" w:rsidRDefault="00C95104" w:rsidP="000046A8">
            <w:r>
              <w:t>S</w:t>
            </w:r>
            <w:r w:rsidR="00416114">
              <w:t xml:space="preserve">ervice users </w:t>
            </w:r>
            <w:r>
              <w:t xml:space="preserve">- interviews </w:t>
            </w:r>
          </w:p>
        </w:tc>
        <w:tc>
          <w:tcPr>
            <w:tcW w:w="1559" w:type="dxa"/>
          </w:tcPr>
          <w:p w14:paraId="218A7C6B" w14:textId="77777777" w:rsidR="00416114" w:rsidRDefault="00416114" w:rsidP="000046A8">
            <w:r>
              <w:t>37</w:t>
            </w:r>
          </w:p>
        </w:tc>
        <w:tc>
          <w:tcPr>
            <w:tcW w:w="2229" w:type="dxa"/>
          </w:tcPr>
          <w:p w14:paraId="58D3D3E2" w14:textId="77777777" w:rsidR="00416114" w:rsidRPr="006249B8" w:rsidRDefault="00416114" w:rsidP="000046A8">
            <w:r w:rsidRPr="006249B8">
              <w:t>3%</w:t>
            </w:r>
          </w:p>
        </w:tc>
      </w:tr>
      <w:tr w:rsidR="00416114" w14:paraId="7395CABB" w14:textId="77777777" w:rsidTr="007050D4">
        <w:trPr>
          <w:trHeight w:val="271"/>
        </w:trPr>
        <w:tc>
          <w:tcPr>
            <w:tcW w:w="5382" w:type="dxa"/>
          </w:tcPr>
          <w:p w14:paraId="7CC942E9" w14:textId="53CBBF1D" w:rsidR="00416114" w:rsidRDefault="00C95104" w:rsidP="000046A8">
            <w:r>
              <w:t>S</w:t>
            </w:r>
            <w:r w:rsidR="00416114">
              <w:t xml:space="preserve">ervice users </w:t>
            </w:r>
            <w:r>
              <w:t xml:space="preserve">- </w:t>
            </w:r>
            <w:r w:rsidR="00416114">
              <w:t>questionnaire</w:t>
            </w:r>
          </w:p>
        </w:tc>
        <w:tc>
          <w:tcPr>
            <w:tcW w:w="1559" w:type="dxa"/>
          </w:tcPr>
          <w:p w14:paraId="5018EC90" w14:textId="77777777" w:rsidR="00416114" w:rsidRDefault="00416114" w:rsidP="000046A8">
            <w:r>
              <w:t>59</w:t>
            </w:r>
          </w:p>
        </w:tc>
        <w:tc>
          <w:tcPr>
            <w:tcW w:w="2229" w:type="dxa"/>
          </w:tcPr>
          <w:p w14:paraId="67383D55" w14:textId="77777777" w:rsidR="00416114" w:rsidRPr="006249B8" w:rsidRDefault="00416114" w:rsidP="000046A8">
            <w:r w:rsidRPr="006249B8">
              <w:t>5%</w:t>
            </w:r>
          </w:p>
        </w:tc>
      </w:tr>
      <w:tr w:rsidR="00416114" w14:paraId="0D5AF10E" w14:textId="77777777" w:rsidTr="007050D4">
        <w:trPr>
          <w:trHeight w:val="256"/>
        </w:trPr>
        <w:tc>
          <w:tcPr>
            <w:tcW w:w="5382" w:type="dxa"/>
          </w:tcPr>
          <w:p w14:paraId="548F5481" w14:textId="755D493F" w:rsidR="00416114" w:rsidRDefault="00C95104" w:rsidP="000046A8">
            <w:r>
              <w:t>Y</w:t>
            </w:r>
            <w:r w:rsidR="00416114">
              <w:t xml:space="preserve">oung people </w:t>
            </w:r>
          </w:p>
        </w:tc>
        <w:tc>
          <w:tcPr>
            <w:tcW w:w="1559" w:type="dxa"/>
          </w:tcPr>
          <w:p w14:paraId="19A9BA59" w14:textId="77777777" w:rsidR="00416114" w:rsidRDefault="00416114" w:rsidP="000046A8">
            <w:r>
              <w:t>9</w:t>
            </w:r>
          </w:p>
        </w:tc>
        <w:tc>
          <w:tcPr>
            <w:tcW w:w="2229" w:type="dxa"/>
          </w:tcPr>
          <w:p w14:paraId="1F5EA7E0" w14:textId="77777777" w:rsidR="00416114" w:rsidRPr="006249B8" w:rsidRDefault="00416114" w:rsidP="000046A8">
            <w:r w:rsidRPr="006249B8">
              <w:t>7%</w:t>
            </w:r>
          </w:p>
        </w:tc>
      </w:tr>
      <w:tr w:rsidR="00416114" w14:paraId="60632B73" w14:textId="77777777" w:rsidTr="007050D4">
        <w:trPr>
          <w:trHeight w:val="256"/>
        </w:trPr>
        <w:tc>
          <w:tcPr>
            <w:tcW w:w="5382" w:type="dxa"/>
          </w:tcPr>
          <w:p w14:paraId="74DE4DCC" w14:textId="5C2C3B98" w:rsidR="00416114" w:rsidRDefault="00C95104" w:rsidP="000046A8">
            <w:r>
              <w:t>Staff (consultation)</w:t>
            </w:r>
          </w:p>
        </w:tc>
        <w:tc>
          <w:tcPr>
            <w:tcW w:w="1559" w:type="dxa"/>
          </w:tcPr>
          <w:p w14:paraId="0F5B6F4B" w14:textId="77777777" w:rsidR="00416114" w:rsidRDefault="00416114" w:rsidP="000046A8">
            <w:r>
              <w:t>25</w:t>
            </w:r>
          </w:p>
        </w:tc>
        <w:tc>
          <w:tcPr>
            <w:tcW w:w="2229" w:type="dxa"/>
          </w:tcPr>
          <w:p w14:paraId="41C93E2D" w14:textId="77777777" w:rsidR="00416114" w:rsidRPr="006249B8" w:rsidRDefault="00416114" w:rsidP="000046A8">
            <w:r w:rsidRPr="006249B8">
              <w:t>33% (of workforce)</w:t>
            </w:r>
          </w:p>
        </w:tc>
      </w:tr>
    </w:tbl>
    <w:p w14:paraId="452E472E" w14:textId="77777777" w:rsidR="00390FEC" w:rsidRDefault="00390FEC" w:rsidP="00390FEC"/>
    <w:p w14:paraId="1B5B7079" w14:textId="77777777" w:rsidR="007F587B" w:rsidRDefault="007F587B" w:rsidP="00390FEC"/>
    <w:p w14:paraId="235F9922" w14:textId="4EC02748" w:rsidR="009C22C4" w:rsidRDefault="001F3A41" w:rsidP="009C22C4">
      <w:pPr>
        <w:pStyle w:val="Heading2"/>
      </w:pPr>
      <w:bookmarkStart w:id="91" w:name="_Toc200479522"/>
      <w:r>
        <w:t xml:space="preserve">Qualitative; </w:t>
      </w:r>
      <w:r w:rsidR="009C22C4">
        <w:t>Key Findings</w:t>
      </w:r>
      <w:bookmarkEnd w:id="91"/>
    </w:p>
    <w:p w14:paraId="0EAF72F2" w14:textId="29543F64" w:rsidR="00390FEC" w:rsidRDefault="00390FEC" w:rsidP="00390FEC">
      <w:r>
        <w:t>Below is a summary of the key findings (</w:t>
      </w:r>
      <w:r w:rsidR="00431F9D">
        <w:t xml:space="preserve">see </w:t>
      </w:r>
      <w:r w:rsidR="0004171A">
        <w:t>A</w:t>
      </w:r>
      <w:r w:rsidR="009C22C4">
        <w:t>ppendix</w:t>
      </w:r>
      <w:r w:rsidR="007445A4">
        <w:t>-</w:t>
      </w:r>
      <w:r w:rsidR="009C22C4">
        <w:t xml:space="preserve"> </w:t>
      </w:r>
      <w:r w:rsidR="0004171A">
        <w:t>7.</w:t>
      </w:r>
      <w:r w:rsidR="00EB1DA2">
        <w:t>2</w:t>
      </w:r>
      <w:r w:rsidR="009C22C4">
        <w:t xml:space="preserve"> and </w:t>
      </w:r>
      <w:r w:rsidR="0004171A">
        <w:t>7.</w:t>
      </w:r>
      <w:r w:rsidR="00EB1DA2">
        <w:t>3</w:t>
      </w:r>
      <w:r w:rsidR="009C22C4">
        <w:t xml:space="preserve"> </w:t>
      </w:r>
      <w:r w:rsidR="00431F9D">
        <w:t>for</w:t>
      </w:r>
      <w:r>
        <w:t xml:space="preserve"> detailed commentary) combined from all the qualitative assessment consultation outlined above, grouped into the following themes to support informing the recommissioning priorities. </w:t>
      </w:r>
    </w:p>
    <w:p w14:paraId="7BD95BFE" w14:textId="77777777" w:rsidR="00390FEC" w:rsidRDefault="00390FEC" w:rsidP="00B80EAF">
      <w:pPr>
        <w:pStyle w:val="ListParagraph"/>
        <w:numPr>
          <w:ilvl w:val="0"/>
          <w:numId w:val="26"/>
        </w:numPr>
        <w:spacing w:after="80" w:line="240" w:lineRule="auto"/>
      </w:pPr>
      <w:r>
        <w:rPr>
          <w:b/>
          <w:bCs/>
        </w:rPr>
        <w:t>Individual</w:t>
      </w:r>
      <w:r>
        <w:t xml:space="preserve"> – key considerations in relation to the individual at the centre of drug and alcohol services</w:t>
      </w:r>
    </w:p>
    <w:p w14:paraId="5CAB144F" w14:textId="77777777" w:rsidR="00390FEC" w:rsidRDefault="00390FEC" w:rsidP="00B80EAF">
      <w:pPr>
        <w:pStyle w:val="ListParagraph"/>
        <w:numPr>
          <w:ilvl w:val="0"/>
          <w:numId w:val="26"/>
        </w:numPr>
        <w:spacing w:after="80" w:line="240" w:lineRule="auto"/>
      </w:pPr>
      <w:r w:rsidRPr="00773D17">
        <w:rPr>
          <w:b/>
          <w:bCs/>
        </w:rPr>
        <w:t>Space</w:t>
      </w:r>
      <w:r>
        <w:t xml:space="preserve"> – key considerations around the space used by drug and alcohol services</w:t>
      </w:r>
    </w:p>
    <w:p w14:paraId="2A37106A" w14:textId="6D9D8B24" w:rsidR="009C22C4" w:rsidRDefault="009C22C4" w:rsidP="00B80EAF">
      <w:pPr>
        <w:pStyle w:val="ListParagraph"/>
        <w:numPr>
          <w:ilvl w:val="0"/>
          <w:numId w:val="26"/>
        </w:numPr>
        <w:spacing w:after="80" w:line="240" w:lineRule="auto"/>
      </w:pPr>
      <w:r w:rsidRPr="00773D17">
        <w:rPr>
          <w:b/>
          <w:bCs/>
        </w:rPr>
        <w:t xml:space="preserve">Service in the </w:t>
      </w:r>
      <w:r w:rsidR="00431F9D">
        <w:rPr>
          <w:b/>
          <w:bCs/>
        </w:rPr>
        <w:t>C</w:t>
      </w:r>
      <w:r w:rsidRPr="00773D17">
        <w:rPr>
          <w:b/>
          <w:bCs/>
        </w:rPr>
        <w:t>ommunity</w:t>
      </w:r>
      <w:r>
        <w:t xml:space="preserve"> – how the service interacts with the community</w:t>
      </w:r>
    </w:p>
    <w:p w14:paraId="1D7D73B3" w14:textId="77777777" w:rsidR="00390FEC" w:rsidRDefault="00390FEC" w:rsidP="00B80EAF">
      <w:pPr>
        <w:pStyle w:val="ListParagraph"/>
        <w:numPr>
          <w:ilvl w:val="0"/>
          <w:numId w:val="26"/>
        </w:numPr>
        <w:spacing w:after="80" w:line="240" w:lineRule="auto"/>
      </w:pPr>
      <w:r w:rsidRPr="00773D17">
        <w:rPr>
          <w:b/>
          <w:bCs/>
        </w:rPr>
        <w:t>Partnerships</w:t>
      </w:r>
      <w:r>
        <w:t xml:space="preserve"> – how the service integrates into the wider partnership offer</w:t>
      </w:r>
    </w:p>
    <w:p w14:paraId="70CC4E8D" w14:textId="642655DF" w:rsidR="00390FEC" w:rsidRDefault="009C22C4" w:rsidP="00B80EAF">
      <w:pPr>
        <w:pStyle w:val="ListParagraph"/>
        <w:numPr>
          <w:ilvl w:val="0"/>
          <w:numId w:val="26"/>
        </w:numPr>
        <w:spacing w:after="80" w:line="240" w:lineRule="auto"/>
      </w:pPr>
      <w:r w:rsidRPr="00773D17">
        <w:rPr>
          <w:b/>
          <w:bCs/>
        </w:rPr>
        <w:t xml:space="preserve">Service </w:t>
      </w:r>
      <w:r w:rsidR="00431F9D">
        <w:rPr>
          <w:b/>
          <w:bCs/>
        </w:rPr>
        <w:t>O</w:t>
      </w:r>
      <w:r w:rsidRPr="00773D17">
        <w:rPr>
          <w:b/>
          <w:bCs/>
        </w:rPr>
        <w:t>ffer</w:t>
      </w:r>
      <w:r w:rsidR="00390FEC">
        <w:t xml:space="preserve"> – considerations to a future service offer</w:t>
      </w:r>
    </w:p>
    <w:p w14:paraId="68EE5DB9" w14:textId="0DBD2A86" w:rsidR="00390FEC" w:rsidRPr="007C50D3" w:rsidRDefault="00390FEC" w:rsidP="00B80EAF">
      <w:pPr>
        <w:pStyle w:val="ListParagraph"/>
        <w:numPr>
          <w:ilvl w:val="0"/>
          <w:numId w:val="26"/>
        </w:numPr>
        <w:spacing w:after="80" w:line="240" w:lineRule="auto"/>
      </w:pPr>
      <w:r>
        <w:rPr>
          <w:b/>
          <w:bCs/>
        </w:rPr>
        <w:t xml:space="preserve">Young People </w:t>
      </w:r>
      <w:r>
        <w:t xml:space="preserve">– </w:t>
      </w:r>
      <w:r w:rsidRPr="007C50D3">
        <w:t xml:space="preserve">considerations that relate specifically to a young </w:t>
      </w:r>
      <w:r w:rsidR="00943F0B" w:rsidRPr="007C50D3">
        <w:t>person’s</w:t>
      </w:r>
      <w:r w:rsidRPr="007C50D3">
        <w:t xml:space="preserve"> offer. </w:t>
      </w:r>
    </w:p>
    <w:p w14:paraId="263A9C35" w14:textId="1B8E6EA1" w:rsidR="00390FEC" w:rsidRDefault="00390FEC" w:rsidP="00390FEC">
      <w:r>
        <w:t>These key findings and considerations for inclusion within the recommissioning of substance use services are detailed below.</w:t>
      </w:r>
    </w:p>
    <w:p w14:paraId="6115755C" w14:textId="77777777" w:rsidR="00390FEC" w:rsidRDefault="00390FEC" w:rsidP="00390FEC"/>
    <w:p w14:paraId="058B199C" w14:textId="77777777" w:rsidR="007F587B" w:rsidRDefault="007F587B" w:rsidP="003E272F">
      <w:pPr>
        <w:pStyle w:val="Heading3"/>
        <w:sectPr w:rsidR="007F587B">
          <w:pgSz w:w="11906" w:h="16838"/>
          <w:pgMar w:top="1440" w:right="1440" w:bottom="1440" w:left="1440" w:header="708" w:footer="708" w:gutter="0"/>
          <w:cols w:space="708"/>
          <w:docGrid w:linePitch="360"/>
        </w:sectPr>
      </w:pPr>
    </w:p>
    <w:p w14:paraId="3C30284A" w14:textId="3176BA7F" w:rsidR="001E7D95" w:rsidRDefault="003E272F" w:rsidP="003E272F">
      <w:pPr>
        <w:pStyle w:val="Heading3"/>
      </w:pPr>
      <w:bookmarkStart w:id="92" w:name="_Toc200479523"/>
      <w:r>
        <w:lastRenderedPageBreak/>
        <w:t>Individual</w:t>
      </w:r>
      <w:bookmarkEnd w:id="92"/>
    </w:p>
    <w:p w14:paraId="20523D92" w14:textId="5120CDA5" w:rsidR="005244EE" w:rsidRDefault="00575769" w:rsidP="005244EE">
      <w:r>
        <w:t xml:space="preserve">Feedback around the individual provided clear insight into how service users, stakeholders and staff would like to interact with each other. Service users reported they would like to see an ‘open door’ policy, increased flexibility on the support offered and improved ways of working around trauma informed approaches. Recommendation </w:t>
      </w:r>
      <w:r w:rsidR="00A85278">
        <w:t>3</w:t>
      </w:r>
      <w:r>
        <w:t xml:space="preserve"> of the quantitative report links to the need for increased engagement across the community to support with addressing unmet need, particularly in relation to alcohol use. Taking both data assessments into consideration, </w:t>
      </w:r>
      <w:r w:rsidR="00A85278">
        <w:t xml:space="preserve">Qualitative </w:t>
      </w:r>
      <w:r w:rsidR="00943F0B">
        <w:t>R</w:t>
      </w:r>
      <w:r>
        <w:t>ecommendation 1 outlines some key objectives that could be considered to address these.</w:t>
      </w:r>
    </w:p>
    <w:p w14:paraId="4499FFD4" w14:textId="6B95EC7F" w:rsidR="00575769" w:rsidRDefault="002D5738" w:rsidP="002D5738">
      <w:pPr>
        <w:pStyle w:val="Heading6"/>
      </w:pPr>
      <w:r>
        <w:rPr>
          <w:b/>
          <w:bCs/>
          <w:noProof/>
          <w:u w:val="single"/>
        </w:rPr>
        <w:drawing>
          <wp:anchor distT="0" distB="0" distL="114300" distR="114300" simplePos="0" relativeHeight="251658240" behindDoc="0" locked="0" layoutInCell="1" allowOverlap="1" wp14:anchorId="15704ADF" wp14:editId="0FF50224">
            <wp:simplePos x="0" y="0"/>
            <wp:positionH relativeFrom="margin">
              <wp:posOffset>0</wp:posOffset>
            </wp:positionH>
            <wp:positionV relativeFrom="paragraph">
              <wp:posOffset>286385</wp:posOffset>
            </wp:positionV>
            <wp:extent cx="5734050" cy="3727450"/>
            <wp:effectExtent l="0" t="0" r="0" b="25400"/>
            <wp:wrapSquare wrapText="bothSides"/>
            <wp:docPr id="989280313"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t>Figure 6.3a Qualitative Theme: Individual</w:t>
      </w:r>
    </w:p>
    <w:p w14:paraId="4462380F" w14:textId="77777777" w:rsidR="007F587B" w:rsidRDefault="007F587B" w:rsidP="002277E9">
      <w:pPr>
        <w:pStyle w:val="Heading3"/>
        <w:sectPr w:rsidR="007F587B">
          <w:pgSz w:w="11906" w:h="16838"/>
          <w:pgMar w:top="1440" w:right="1440" w:bottom="1440" w:left="1440" w:header="708" w:footer="708" w:gutter="0"/>
          <w:cols w:space="708"/>
          <w:docGrid w:linePitch="360"/>
        </w:sectPr>
      </w:pPr>
    </w:p>
    <w:p w14:paraId="35E6C43C" w14:textId="35579853" w:rsidR="005244EE" w:rsidRDefault="005244EE" w:rsidP="002277E9">
      <w:pPr>
        <w:pStyle w:val="Heading3"/>
      </w:pPr>
      <w:bookmarkStart w:id="93" w:name="_Toc200479524"/>
      <w:r>
        <w:lastRenderedPageBreak/>
        <w:t>Space</w:t>
      </w:r>
      <w:bookmarkEnd w:id="93"/>
    </w:p>
    <w:p w14:paraId="76177BB0" w14:textId="77777777" w:rsidR="00390FEC" w:rsidRDefault="00390FEC" w:rsidP="00390FEC">
      <w:r>
        <w:t xml:space="preserve">When reviewing both adults and young people’s feedback, how to best utilise the available space across the city was frequently mentioned, including opportunities for co-location. </w:t>
      </w:r>
    </w:p>
    <w:p w14:paraId="7DF0FD27" w14:textId="77777777" w:rsidR="00390FEC" w:rsidRDefault="00390FEC" w:rsidP="00390FEC">
      <w:r>
        <w:t xml:space="preserve">Co-location is key feature throughout the qualitative assessment, with 45% of Stakeholders reporting opportunities for co-location, and 25 out of 60 partners reporting that alcohol interventions in GP surgeries would be beneficial. </w:t>
      </w:r>
    </w:p>
    <w:p w14:paraId="212CC8DE" w14:textId="77777777" w:rsidR="00390FEC" w:rsidRDefault="00390FEC" w:rsidP="00390FEC">
      <w:r>
        <w:t xml:space="preserve">Throughout the Young Persons consultation, both stakeholders and young people requested improved links within Education settings. With an indication that a move to an up to 25 years young person offer would be beneficial this would need to include tertiary education. </w:t>
      </w:r>
    </w:p>
    <w:p w14:paraId="2947FE2C" w14:textId="3831A6E6" w:rsidR="00390FEC" w:rsidRDefault="00A85278" w:rsidP="00390FEC">
      <w:r>
        <w:t xml:space="preserve">Qualitative </w:t>
      </w:r>
      <w:r w:rsidR="009F04AE">
        <w:t>r</w:t>
      </w:r>
      <w:r w:rsidR="00390FEC">
        <w:t xml:space="preserve">ecommendation two of this report highlights the need for maximising the service reach across the </w:t>
      </w:r>
      <w:proofErr w:type="gramStart"/>
      <w:r w:rsidR="00390FEC">
        <w:t>City</w:t>
      </w:r>
      <w:proofErr w:type="gramEnd"/>
      <w:r w:rsidR="00390FEC">
        <w:t xml:space="preserve"> utilising our partners, achieving co-location objectives could then enhance </w:t>
      </w:r>
      <w:r w:rsidR="009F04AE">
        <w:t xml:space="preserve">qualitative </w:t>
      </w:r>
      <w:r w:rsidR="00390FEC">
        <w:t>recommendation 1, by meeting service users at their starting point.</w:t>
      </w:r>
    </w:p>
    <w:p w14:paraId="600A5E47" w14:textId="21608979" w:rsidR="002D5738" w:rsidRDefault="002D5738" w:rsidP="007C4185">
      <w:pPr>
        <w:pStyle w:val="Heading6"/>
      </w:pPr>
      <w:r>
        <w:t>Figure 6.3b Qualitative Theme: Space</w:t>
      </w:r>
    </w:p>
    <w:p w14:paraId="6558547E" w14:textId="760CDBE7" w:rsidR="002D5738" w:rsidRDefault="00793CC3" w:rsidP="005244EE">
      <w:r w:rsidRPr="00793CC3">
        <w:rPr>
          <w:b/>
          <w:bCs/>
          <w:noProof/>
        </w:rPr>
        <w:drawing>
          <wp:inline distT="0" distB="0" distL="0" distR="0" wp14:anchorId="665D356F" wp14:editId="5CAEFD96">
            <wp:extent cx="5731510" cy="3553412"/>
            <wp:effectExtent l="0" t="0" r="0" b="9525"/>
            <wp:docPr id="141271270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70D6EBF" w14:textId="77777777" w:rsidR="007F587B" w:rsidRDefault="007F587B" w:rsidP="002277E9">
      <w:pPr>
        <w:pStyle w:val="Heading3"/>
        <w:sectPr w:rsidR="007F587B">
          <w:pgSz w:w="11906" w:h="16838"/>
          <w:pgMar w:top="1440" w:right="1440" w:bottom="1440" w:left="1440" w:header="708" w:footer="708" w:gutter="0"/>
          <w:cols w:space="708"/>
          <w:docGrid w:linePitch="360"/>
        </w:sectPr>
      </w:pPr>
    </w:p>
    <w:p w14:paraId="624916C7" w14:textId="0235EAF1" w:rsidR="005244EE" w:rsidRDefault="00C91CCD" w:rsidP="002277E9">
      <w:pPr>
        <w:pStyle w:val="Heading3"/>
      </w:pPr>
      <w:bookmarkStart w:id="94" w:name="_Toc200479525"/>
      <w:r>
        <w:lastRenderedPageBreak/>
        <w:t>Service in the Community</w:t>
      </w:r>
      <w:bookmarkEnd w:id="94"/>
    </w:p>
    <w:p w14:paraId="132DF14C" w14:textId="77777777" w:rsidR="00390FEC" w:rsidRDefault="00390FEC" w:rsidP="00390FEC">
      <w:r>
        <w:t xml:space="preserve">Embedding the new service into the community with a sustained and co-productive ethos was mentioned repeatedly through the qualitative consultation. When recommissioning the service, the diagram illustrates key factors service users, staff and stakeholders have asked us to consider. </w:t>
      </w:r>
    </w:p>
    <w:p w14:paraId="648EB65E" w14:textId="77777777" w:rsidR="00390FEC" w:rsidRDefault="00390FEC" w:rsidP="00390FEC">
      <w:r>
        <w:t xml:space="preserve">Linking with the quantitative recommendations, there is a strong correlation between mental health need and substance use. In March 2024, 70.8% of service users had a mental health need whilst in structured treatment. Referencing the rate of change within the qualitative assessment we received from service users, there is a positive rate of change (+7.0) around their wellbeing which could be attributed to the additional holistic support provided in service. </w:t>
      </w:r>
    </w:p>
    <w:p w14:paraId="51F7121C" w14:textId="08539665" w:rsidR="00390FEC" w:rsidRDefault="00390FEC" w:rsidP="00390FEC">
      <w:r>
        <w:t xml:space="preserve">Alongside co-occurring conditions, there is a need to increase community representation. An Equality Impact Assessment has been completed for the recommissioning of the substance use service, and there are clear recommendations on how to ensure representation across the service. </w:t>
      </w:r>
    </w:p>
    <w:p w14:paraId="0E7E8D79" w14:textId="6D758BDF" w:rsidR="00390FEC" w:rsidRDefault="009F04AE" w:rsidP="00390FEC">
      <w:r>
        <w:t>Qualitative Re</w:t>
      </w:r>
      <w:r w:rsidR="00390FEC">
        <w:t xml:space="preserve">commendation 3 brings together the EquIA that was completed for the recommissioning, as well as the service user voice, with key challenges around transport. </w:t>
      </w:r>
    </w:p>
    <w:p w14:paraId="6F6AC87E" w14:textId="77777777" w:rsidR="00390FEC" w:rsidRPr="002D5738" w:rsidRDefault="00390FEC" w:rsidP="00390FEC"/>
    <w:p w14:paraId="58EC9BFA" w14:textId="05C9FA40" w:rsidR="00C91CCD" w:rsidRDefault="002D5738" w:rsidP="007C4185">
      <w:pPr>
        <w:pStyle w:val="Heading6"/>
      </w:pPr>
      <w:r>
        <w:t>Figure 6.3c Qualitative Theme:</w:t>
      </w:r>
      <w:r w:rsidRPr="002D5738">
        <w:t xml:space="preserve"> Service in the Community</w:t>
      </w:r>
    </w:p>
    <w:p w14:paraId="35D7D9BE" w14:textId="28F00128" w:rsidR="002D5738" w:rsidRDefault="00224830" w:rsidP="005244EE">
      <w:r w:rsidRPr="00224830">
        <w:rPr>
          <w:b/>
          <w:bCs/>
          <w:noProof/>
        </w:rPr>
        <w:drawing>
          <wp:inline distT="0" distB="0" distL="0" distR="0" wp14:anchorId="1A691DFF" wp14:editId="238107B8">
            <wp:extent cx="5731510" cy="3800172"/>
            <wp:effectExtent l="0" t="0" r="0" b="10160"/>
            <wp:docPr id="52933407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95E39F4" w14:textId="77777777" w:rsidR="007F587B" w:rsidRDefault="007F587B" w:rsidP="002277E9">
      <w:pPr>
        <w:pStyle w:val="Heading3"/>
        <w:sectPr w:rsidR="007F587B">
          <w:pgSz w:w="11906" w:h="16838"/>
          <w:pgMar w:top="1440" w:right="1440" w:bottom="1440" w:left="1440" w:header="708" w:footer="708" w:gutter="0"/>
          <w:cols w:space="708"/>
          <w:docGrid w:linePitch="360"/>
        </w:sectPr>
      </w:pPr>
    </w:p>
    <w:p w14:paraId="1C592759" w14:textId="0208D7C3" w:rsidR="00C91CCD" w:rsidRDefault="00837232" w:rsidP="002277E9">
      <w:pPr>
        <w:pStyle w:val="Heading3"/>
      </w:pPr>
      <w:bookmarkStart w:id="95" w:name="_Toc200479526"/>
      <w:r>
        <w:lastRenderedPageBreak/>
        <w:t>Partnerships</w:t>
      </w:r>
      <w:bookmarkEnd w:id="95"/>
    </w:p>
    <w:p w14:paraId="105721D9" w14:textId="5428D9DE" w:rsidR="00390FEC" w:rsidRDefault="00390FEC" w:rsidP="00390FEC">
      <w:r>
        <w:t xml:space="preserve">Service user consultation in particular spoke about a wider holistic offer being available to them, with key partnerships being established across the city to join up support offered, as per </w:t>
      </w:r>
      <w:r w:rsidR="00790B6A">
        <w:t xml:space="preserve">qualitative </w:t>
      </w:r>
      <w:r>
        <w:t xml:space="preserve">recommendation 4.  </w:t>
      </w:r>
    </w:p>
    <w:p w14:paraId="79BA49E9" w14:textId="77777777" w:rsidR="00390FEC" w:rsidRDefault="00390FEC" w:rsidP="00390FEC">
      <w:r>
        <w:t xml:space="preserve">Being able to join up services to ensure the right team is being utilised is key, reflecting on the qualitative consultations, the theme of improved partnership working is mentioned frequently within service user consultation.   The quantitative documents an increase in substance use reporting in children’s social care assessments, but, in contrast our adults social care service is not reporting as many cases of substance use as may be expected. </w:t>
      </w:r>
    </w:p>
    <w:p w14:paraId="7AB265CE" w14:textId="77777777" w:rsidR="00390FEC" w:rsidRDefault="00390FEC" w:rsidP="00390FEC">
      <w:r>
        <w:t xml:space="preserve">In relation to continuity of care, there are clear recommendations throughout the quantitative assessment to improve communication within system partners that correlate with feedback received in the qualitative assessments. </w:t>
      </w:r>
    </w:p>
    <w:p w14:paraId="23F41BFE" w14:textId="77777777" w:rsidR="00390FEC" w:rsidRPr="001D40CA" w:rsidRDefault="00390FEC" w:rsidP="00390FEC"/>
    <w:p w14:paraId="083363DC" w14:textId="25164905" w:rsidR="00837232" w:rsidRDefault="002D5738" w:rsidP="007C4185">
      <w:pPr>
        <w:pStyle w:val="Heading6"/>
      </w:pPr>
      <w:r>
        <w:t>Figure 6.3d Qualitative Theme: Partnerships</w:t>
      </w:r>
    </w:p>
    <w:p w14:paraId="78E1165C" w14:textId="777023E0" w:rsidR="002D5738" w:rsidRDefault="00333166" w:rsidP="005244EE">
      <w:r w:rsidRPr="00333166">
        <w:rPr>
          <w:b/>
          <w:bCs/>
          <w:noProof/>
        </w:rPr>
        <w:drawing>
          <wp:inline distT="0" distB="0" distL="0" distR="0" wp14:anchorId="241D4F9F" wp14:editId="58CB4BA5">
            <wp:extent cx="5731510" cy="3640454"/>
            <wp:effectExtent l="0" t="0" r="0" b="17780"/>
            <wp:docPr id="48772916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EE211B2" w14:textId="77777777" w:rsidR="007F587B" w:rsidRDefault="007F587B" w:rsidP="002277E9">
      <w:pPr>
        <w:pStyle w:val="Heading3"/>
        <w:sectPr w:rsidR="007F587B">
          <w:pgSz w:w="11906" w:h="16838"/>
          <w:pgMar w:top="1440" w:right="1440" w:bottom="1440" w:left="1440" w:header="708" w:footer="708" w:gutter="0"/>
          <w:cols w:space="708"/>
          <w:docGrid w:linePitch="360"/>
        </w:sectPr>
      </w:pPr>
    </w:p>
    <w:p w14:paraId="3A9A4504" w14:textId="63D47128" w:rsidR="00837232" w:rsidRDefault="00104D28" w:rsidP="002277E9">
      <w:pPr>
        <w:pStyle w:val="Heading3"/>
      </w:pPr>
      <w:bookmarkStart w:id="96" w:name="_Toc200479527"/>
      <w:r>
        <w:lastRenderedPageBreak/>
        <w:t xml:space="preserve">Service </w:t>
      </w:r>
      <w:r w:rsidR="002D5738">
        <w:t>O</w:t>
      </w:r>
      <w:r>
        <w:t>ffer</w:t>
      </w:r>
      <w:bookmarkEnd w:id="96"/>
    </w:p>
    <w:p w14:paraId="2E2196EA" w14:textId="77777777" w:rsidR="00390FEC" w:rsidRDefault="00390FEC" w:rsidP="00390FEC">
      <w:r>
        <w:t xml:space="preserve">Providing a robust recovery offer was mentioned throughout the qualitative needs assessment, particularly in relation to the transition between ‘structured treatment’ and being in recovery.  Consultation feedback suggests there is a need for a more tailored approach. The quantitative feedback reports Peterborough is 4.9% below national average on successful completions, and therefore increased support at transitions, consistency of key worker, increased flexibility could lead to an increase of successful completions. </w:t>
      </w:r>
    </w:p>
    <w:p w14:paraId="20073272" w14:textId="57477BEA" w:rsidR="00390FEC" w:rsidRDefault="00790B6A" w:rsidP="00390FEC">
      <w:r>
        <w:t>Qualitative r</w:t>
      </w:r>
      <w:r w:rsidR="00827F84">
        <w:t>e</w:t>
      </w:r>
      <w:r w:rsidR="00390FEC">
        <w:t>commendation 5 brings together salient points for holistic and recovery support. All areas consulted provided evidence that the service design is person centred, and the right professionals are involved at the right time.</w:t>
      </w:r>
    </w:p>
    <w:p w14:paraId="6F0CC717" w14:textId="66891E6C" w:rsidR="002D5738" w:rsidRDefault="002D5738" w:rsidP="007C4185">
      <w:pPr>
        <w:pStyle w:val="Heading6"/>
      </w:pPr>
      <w:r>
        <w:t xml:space="preserve">Figure 6.3e Qualitative Theme: Service Offer </w:t>
      </w:r>
    </w:p>
    <w:p w14:paraId="4F17E54E" w14:textId="3A7C5027" w:rsidR="002D5738" w:rsidRDefault="005353EA" w:rsidP="005244EE">
      <w:r w:rsidRPr="005353EA">
        <w:rPr>
          <w:b/>
          <w:bCs/>
          <w:noProof/>
        </w:rPr>
        <w:drawing>
          <wp:inline distT="0" distB="0" distL="0" distR="0" wp14:anchorId="4E1BB989" wp14:editId="5AD4B162">
            <wp:extent cx="5731510" cy="3694063"/>
            <wp:effectExtent l="0" t="0" r="0" b="20955"/>
            <wp:docPr id="63441077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1CD9B26" w14:textId="77777777" w:rsidR="007F587B" w:rsidRDefault="007F587B" w:rsidP="002277E9">
      <w:pPr>
        <w:pStyle w:val="Heading3"/>
        <w:sectPr w:rsidR="007F587B">
          <w:pgSz w:w="11906" w:h="16838"/>
          <w:pgMar w:top="1440" w:right="1440" w:bottom="1440" w:left="1440" w:header="708" w:footer="708" w:gutter="0"/>
          <w:cols w:space="708"/>
          <w:docGrid w:linePitch="360"/>
        </w:sectPr>
      </w:pPr>
    </w:p>
    <w:p w14:paraId="2457E578" w14:textId="2D65A30C" w:rsidR="00104D28" w:rsidRDefault="00104D28" w:rsidP="002277E9">
      <w:pPr>
        <w:pStyle w:val="Heading3"/>
      </w:pPr>
      <w:bookmarkStart w:id="97" w:name="_Toc200479528"/>
      <w:r>
        <w:lastRenderedPageBreak/>
        <w:t>Young People</w:t>
      </w:r>
      <w:bookmarkEnd w:id="97"/>
    </w:p>
    <w:p w14:paraId="552D5719" w14:textId="77777777" w:rsidR="00390FEC" w:rsidRDefault="00390FEC" w:rsidP="00390FEC">
      <w:r>
        <w:t xml:space="preserve">Consultation in relation to young people’s services provided the following suggestions for future service delivery, a key future consideration highlighted embedding the service further into education settings (see finding above). </w:t>
      </w:r>
    </w:p>
    <w:p w14:paraId="47732C81" w14:textId="77777777" w:rsidR="00390FEC" w:rsidRDefault="00390FEC" w:rsidP="00390FEC">
      <w:r>
        <w:t>A further key area to consider with the Young Peoples Service is an increased activity offer, highlighting the need for activities that detract from substance use. Young People (and adults) as well as stakeholders have requested this throughout feedback.</w:t>
      </w:r>
    </w:p>
    <w:p w14:paraId="287F2336" w14:textId="77777777" w:rsidR="00390FEC" w:rsidRDefault="00390FEC" w:rsidP="00390FEC">
      <w:r>
        <w:t xml:space="preserve">Broadening the current Young People’s service to up to 25 years was responded to positively during consultation, increasing the offer to 25years will enable a more tailored approach to support that is required in this age bracket, and increase opportunities for intervention by providing sports, employment and other opportunities into the service. </w:t>
      </w:r>
    </w:p>
    <w:p w14:paraId="667F6716" w14:textId="5DD1D5CB" w:rsidR="00390FEC" w:rsidRDefault="00790B6A" w:rsidP="00390FEC">
      <w:r>
        <w:t>Qualitative r</w:t>
      </w:r>
      <w:r w:rsidR="00390FEC">
        <w:t>ecommendation 6 highlights the two key areas to consider for young people moving forwards.</w:t>
      </w:r>
    </w:p>
    <w:p w14:paraId="1F018629" w14:textId="77777777" w:rsidR="00390FEC" w:rsidRDefault="00390FEC" w:rsidP="00390FEC"/>
    <w:p w14:paraId="491FD270" w14:textId="5B1ADA6F" w:rsidR="002D5738" w:rsidRDefault="002D5738" w:rsidP="007C4185">
      <w:pPr>
        <w:pStyle w:val="Heading6"/>
      </w:pPr>
      <w:r>
        <w:t>Figure 6.3f Qualitative Theme</w:t>
      </w:r>
      <w:r w:rsidR="007C4185">
        <w:t>: Young People</w:t>
      </w:r>
    </w:p>
    <w:p w14:paraId="6FEE549C" w14:textId="3CE49F26" w:rsidR="002D5738" w:rsidRDefault="00D320FD" w:rsidP="005244EE">
      <w:r w:rsidRPr="00D320FD">
        <w:rPr>
          <w:b/>
          <w:bCs/>
          <w:noProof/>
        </w:rPr>
        <w:drawing>
          <wp:inline distT="0" distB="0" distL="0" distR="0" wp14:anchorId="29BA37B8" wp14:editId="16565A79">
            <wp:extent cx="5731510" cy="3565024"/>
            <wp:effectExtent l="0" t="0" r="0" b="54610"/>
            <wp:docPr id="56641194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0B74BB1" w14:textId="77777777" w:rsidR="007F587B" w:rsidRDefault="007F587B" w:rsidP="005244EE"/>
    <w:p w14:paraId="1F23EEC6" w14:textId="3054BA7E" w:rsidR="002277E9" w:rsidRDefault="00B93EF9" w:rsidP="002277E9">
      <w:pPr>
        <w:pStyle w:val="Heading2"/>
      </w:pPr>
      <w:bookmarkStart w:id="98" w:name="_Toc200479529"/>
      <w:r>
        <w:t xml:space="preserve">Qualitative; </w:t>
      </w:r>
      <w:r w:rsidR="002277E9">
        <w:t>Recommendations</w:t>
      </w:r>
      <w:bookmarkEnd w:id="98"/>
    </w:p>
    <w:p w14:paraId="620B98A9" w14:textId="6972C7EF" w:rsidR="00E0563C" w:rsidRDefault="00E0563C" w:rsidP="00E0563C">
      <w:r>
        <w:t>The</w:t>
      </w:r>
      <w:r w:rsidR="00DD64B9">
        <w:t>se</w:t>
      </w:r>
      <w:r>
        <w:t xml:space="preserve"> qualitative findings have informed the recommendations </w:t>
      </w:r>
      <w:r w:rsidR="00DD64B9">
        <w:t xml:space="preserve">detailed </w:t>
      </w:r>
      <w:r w:rsidR="007328AC">
        <w:t>in section 1.7.2</w:t>
      </w:r>
      <w:r w:rsidR="00673833">
        <w:t xml:space="preserve">, </w:t>
      </w:r>
      <w:r>
        <w:t xml:space="preserve">which would enhance the current offer and enable service users to </w:t>
      </w:r>
      <w:r w:rsidR="000C7F5C">
        <w:t>thrive</w:t>
      </w:r>
      <w:r w:rsidR="000D1D78">
        <w:t xml:space="preserve">. </w:t>
      </w:r>
    </w:p>
    <w:p w14:paraId="5B80AE1A" w14:textId="71EC69E0" w:rsidR="00E0563C" w:rsidRPr="00E0563C" w:rsidRDefault="00E0563C" w:rsidP="00E0563C"/>
    <w:p w14:paraId="6E08FEC0" w14:textId="1C0FEFBD" w:rsidR="00F750A2" w:rsidRPr="00F750A2" w:rsidRDefault="00F750A2" w:rsidP="344B8197">
      <w:pPr>
        <w:rPr>
          <w:b/>
          <w:bCs/>
          <w:color w:val="FF0000"/>
        </w:rPr>
      </w:pPr>
    </w:p>
    <w:p w14:paraId="6A220F19" w14:textId="77777777" w:rsidR="006F63C4" w:rsidRPr="006F63C4" w:rsidRDefault="006F63C4" w:rsidP="0011230B">
      <w:pPr>
        <w:pStyle w:val="Heading1"/>
        <w:sectPr w:rsidR="006F63C4" w:rsidRPr="006F63C4">
          <w:pgSz w:w="11906" w:h="16838"/>
          <w:pgMar w:top="1440" w:right="1440" w:bottom="1440" w:left="1440" w:header="708" w:footer="708" w:gutter="0"/>
          <w:cols w:space="708"/>
          <w:docGrid w:linePitch="360"/>
        </w:sectPr>
      </w:pPr>
    </w:p>
    <w:p w14:paraId="612095AC" w14:textId="3C3ACFFF" w:rsidR="0011230B" w:rsidRDefault="0011230B" w:rsidP="0011230B">
      <w:pPr>
        <w:pStyle w:val="Heading1"/>
      </w:pPr>
      <w:bookmarkStart w:id="99" w:name="_Toc200479530"/>
      <w:r>
        <w:lastRenderedPageBreak/>
        <w:t>Appendix</w:t>
      </w:r>
      <w:bookmarkEnd w:id="99"/>
    </w:p>
    <w:p w14:paraId="5E11A9A9" w14:textId="7F04A991" w:rsidR="0011230B" w:rsidRDefault="0011230B" w:rsidP="00520404">
      <w:pPr>
        <w:pStyle w:val="Heading2"/>
      </w:pPr>
      <w:bookmarkStart w:id="100" w:name="_Toc200479531"/>
      <w:r w:rsidRPr="00520404">
        <w:t>Acronyms</w:t>
      </w:r>
      <w:bookmarkEnd w:id="100"/>
    </w:p>
    <w:tbl>
      <w:tblPr>
        <w:tblStyle w:val="TableGrid"/>
        <w:tblW w:w="0" w:type="auto"/>
        <w:tblLook w:val="04A0" w:firstRow="1" w:lastRow="0" w:firstColumn="1" w:lastColumn="0" w:noHBand="0" w:noVBand="1"/>
      </w:tblPr>
      <w:tblGrid>
        <w:gridCol w:w="1555"/>
        <w:gridCol w:w="7461"/>
      </w:tblGrid>
      <w:tr w:rsidR="0007436E" w:rsidRPr="00F35CF9" w14:paraId="20903F8E" w14:textId="77777777">
        <w:trPr>
          <w:trHeight w:val="300"/>
        </w:trPr>
        <w:tc>
          <w:tcPr>
            <w:tcW w:w="1555" w:type="dxa"/>
            <w:noWrap/>
            <w:hideMark/>
          </w:tcPr>
          <w:p w14:paraId="1738C31E" w14:textId="77777777" w:rsidR="0007436E" w:rsidRPr="00F35CF9" w:rsidRDefault="0007436E">
            <w:pPr>
              <w:rPr>
                <w:b/>
                <w:bCs/>
              </w:rPr>
            </w:pPr>
            <w:r w:rsidRPr="00F35CF9">
              <w:rPr>
                <w:b/>
                <w:bCs/>
              </w:rPr>
              <w:t>Acronym</w:t>
            </w:r>
          </w:p>
        </w:tc>
        <w:tc>
          <w:tcPr>
            <w:tcW w:w="7461" w:type="dxa"/>
            <w:noWrap/>
            <w:hideMark/>
          </w:tcPr>
          <w:p w14:paraId="77A2186F" w14:textId="77777777" w:rsidR="0007436E" w:rsidRPr="00F35CF9" w:rsidRDefault="0007436E">
            <w:pPr>
              <w:rPr>
                <w:b/>
                <w:bCs/>
              </w:rPr>
            </w:pPr>
            <w:r w:rsidRPr="00F35CF9">
              <w:rPr>
                <w:b/>
                <w:bCs/>
              </w:rPr>
              <w:t>Definition</w:t>
            </w:r>
          </w:p>
        </w:tc>
      </w:tr>
      <w:tr w:rsidR="0007436E" w:rsidRPr="00F35CF9" w14:paraId="7BF31921" w14:textId="77777777">
        <w:trPr>
          <w:trHeight w:val="300"/>
        </w:trPr>
        <w:tc>
          <w:tcPr>
            <w:tcW w:w="1555" w:type="dxa"/>
            <w:noWrap/>
            <w:hideMark/>
          </w:tcPr>
          <w:p w14:paraId="58E2ED59" w14:textId="77777777" w:rsidR="0007436E" w:rsidRPr="00F35CF9" w:rsidRDefault="0007436E">
            <w:r w:rsidRPr="00F35CF9">
              <w:t>APMS</w:t>
            </w:r>
          </w:p>
        </w:tc>
        <w:tc>
          <w:tcPr>
            <w:tcW w:w="7461" w:type="dxa"/>
            <w:noWrap/>
            <w:hideMark/>
          </w:tcPr>
          <w:p w14:paraId="14B8431B" w14:textId="77777777" w:rsidR="0007436E" w:rsidRPr="00F35CF9" w:rsidRDefault="0007436E">
            <w:r w:rsidRPr="00F35CF9">
              <w:t>Adult Psychiatric Morbidity Survey</w:t>
            </w:r>
          </w:p>
        </w:tc>
      </w:tr>
      <w:tr w:rsidR="0007436E" w:rsidRPr="00F35CF9" w14:paraId="72D49ABA" w14:textId="77777777">
        <w:trPr>
          <w:trHeight w:val="300"/>
        </w:trPr>
        <w:tc>
          <w:tcPr>
            <w:tcW w:w="1555" w:type="dxa"/>
            <w:noWrap/>
            <w:hideMark/>
          </w:tcPr>
          <w:p w14:paraId="3817FB47" w14:textId="77777777" w:rsidR="0007436E" w:rsidRPr="00F35CF9" w:rsidRDefault="0007436E">
            <w:r w:rsidRPr="00F35CF9">
              <w:t>ASB</w:t>
            </w:r>
          </w:p>
        </w:tc>
        <w:tc>
          <w:tcPr>
            <w:tcW w:w="7461" w:type="dxa"/>
            <w:noWrap/>
            <w:hideMark/>
          </w:tcPr>
          <w:p w14:paraId="0B0FA90A" w14:textId="77777777" w:rsidR="0007436E" w:rsidRPr="00F35CF9" w:rsidRDefault="0007436E">
            <w:r w:rsidRPr="00F35CF9">
              <w:t>Antisocial Behaviour</w:t>
            </w:r>
          </w:p>
        </w:tc>
      </w:tr>
      <w:tr w:rsidR="0007436E" w:rsidRPr="00F35CF9" w14:paraId="4DAFEB1D" w14:textId="77777777">
        <w:trPr>
          <w:trHeight w:val="300"/>
        </w:trPr>
        <w:tc>
          <w:tcPr>
            <w:tcW w:w="1555" w:type="dxa"/>
            <w:noWrap/>
            <w:hideMark/>
          </w:tcPr>
          <w:p w14:paraId="6140D751" w14:textId="77777777" w:rsidR="0007436E" w:rsidRPr="00F35CF9" w:rsidRDefault="0007436E">
            <w:r w:rsidRPr="00F35CF9">
              <w:t>ASC</w:t>
            </w:r>
          </w:p>
        </w:tc>
        <w:tc>
          <w:tcPr>
            <w:tcW w:w="7461" w:type="dxa"/>
            <w:noWrap/>
            <w:hideMark/>
          </w:tcPr>
          <w:p w14:paraId="0F91211C" w14:textId="77777777" w:rsidR="0007436E" w:rsidRPr="00F35CF9" w:rsidRDefault="0007436E">
            <w:r w:rsidRPr="00F35CF9">
              <w:t>Adult Social Care</w:t>
            </w:r>
          </w:p>
        </w:tc>
      </w:tr>
      <w:tr w:rsidR="0007436E" w:rsidRPr="00F35CF9" w14:paraId="4F2FBFE7" w14:textId="77777777">
        <w:trPr>
          <w:trHeight w:val="300"/>
        </w:trPr>
        <w:tc>
          <w:tcPr>
            <w:tcW w:w="1555" w:type="dxa"/>
            <w:noWrap/>
            <w:hideMark/>
          </w:tcPr>
          <w:p w14:paraId="70DB9D5C" w14:textId="77777777" w:rsidR="0007436E" w:rsidRPr="00F35CF9" w:rsidRDefault="0007436E">
            <w:r w:rsidRPr="00F35CF9">
              <w:t>AUDIT</w:t>
            </w:r>
          </w:p>
        </w:tc>
        <w:tc>
          <w:tcPr>
            <w:tcW w:w="7461" w:type="dxa"/>
            <w:noWrap/>
            <w:hideMark/>
          </w:tcPr>
          <w:p w14:paraId="3430CCDB" w14:textId="77777777" w:rsidR="0007436E" w:rsidRPr="00F35CF9" w:rsidRDefault="0007436E">
            <w:r w:rsidRPr="00F35CF9">
              <w:t>Alcohol Use Disorders Identification Test</w:t>
            </w:r>
          </w:p>
        </w:tc>
      </w:tr>
      <w:tr w:rsidR="0007436E" w:rsidRPr="00F35CF9" w14:paraId="0D267C65" w14:textId="77777777">
        <w:trPr>
          <w:trHeight w:val="300"/>
        </w:trPr>
        <w:tc>
          <w:tcPr>
            <w:tcW w:w="1555" w:type="dxa"/>
            <w:noWrap/>
            <w:hideMark/>
          </w:tcPr>
          <w:p w14:paraId="75E1F2A8" w14:textId="77777777" w:rsidR="0007436E" w:rsidRPr="00F35CF9" w:rsidRDefault="0007436E">
            <w:r w:rsidRPr="00F35CF9">
              <w:t>BBV</w:t>
            </w:r>
          </w:p>
        </w:tc>
        <w:tc>
          <w:tcPr>
            <w:tcW w:w="7461" w:type="dxa"/>
            <w:noWrap/>
            <w:hideMark/>
          </w:tcPr>
          <w:p w14:paraId="78270CE4" w14:textId="77777777" w:rsidR="0007436E" w:rsidRPr="00F35CF9" w:rsidRDefault="0007436E">
            <w:r w:rsidRPr="00F35CF9">
              <w:t>Blood-Borne Viruses</w:t>
            </w:r>
          </w:p>
        </w:tc>
      </w:tr>
      <w:tr w:rsidR="0007436E" w:rsidRPr="00F35CF9" w14:paraId="76F60BDA" w14:textId="77777777">
        <w:trPr>
          <w:trHeight w:val="300"/>
        </w:trPr>
        <w:tc>
          <w:tcPr>
            <w:tcW w:w="1555" w:type="dxa"/>
            <w:noWrap/>
            <w:hideMark/>
          </w:tcPr>
          <w:p w14:paraId="187EE205" w14:textId="77777777" w:rsidR="0007436E" w:rsidRPr="00F35CF9" w:rsidRDefault="0007436E">
            <w:r w:rsidRPr="00F35CF9">
              <w:t>CGL</w:t>
            </w:r>
          </w:p>
        </w:tc>
        <w:tc>
          <w:tcPr>
            <w:tcW w:w="7461" w:type="dxa"/>
            <w:noWrap/>
            <w:hideMark/>
          </w:tcPr>
          <w:p w14:paraId="56B19D8D" w14:textId="77777777" w:rsidR="0007436E" w:rsidRPr="00F35CF9" w:rsidRDefault="0007436E">
            <w:r w:rsidRPr="00F35CF9">
              <w:t>Change Grow Live</w:t>
            </w:r>
          </w:p>
        </w:tc>
      </w:tr>
      <w:tr w:rsidR="0007436E" w:rsidRPr="00F35CF9" w14:paraId="4C5E24BE" w14:textId="77777777">
        <w:trPr>
          <w:trHeight w:val="300"/>
        </w:trPr>
        <w:tc>
          <w:tcPr>
            <w:tcW w:w="1555" w:type="dxa"/>
            <w:noWrap/>
          </w:tcPr>
          <w:p w14:paraId="58319E09" w14:textId="77777777" w:rsidR="0007436E" w:rsidRPr="00F35CF9" w:rsidRDefault="0007436E">
            <w:proofErr w:type="spellStart"/>
            <w:r>
              <w:t>CiN</w:t>
            </w:r>
            <w:proofErr w:type="spellEnd"/>
          </w:p>
        </w:tc>
        <w:tc>
          <w:tcPr>
            <w:tcW w:w="7461" w:type="dxa"/>
            <w:noWrap/>
          </w:tcPr>
          <w:p w14:paraId="02889238" w14:textId="77777777" w:rsidR="0007436E" w:rsidRPr="00F35CF9" w:rsidRDefault="0007436E">
            <w:r>
              <w:t>Children in Need</w:t>
            </w:r>
          </w:p>
        </w:tc>
      </w:tr>
      <w:tr w:rsidR="0007436E" w:rsidRPr="00F35CF9" w14:paraId="1A98A4E9" w14:textId="77777777">
        <w:trPr>
          <w:trHeight w:val="300"/>
        </w:trPr>
        <w:tc>
          <w:tcPr>
            <w:tcW w:w="1555" w:type="dxa"/>
            <w:noWrap/>
            <w:hideMark/>
          </w:tcPr>
          <w:p w14:paraId="52B461EB" w14:textId="77777777" w:rsidR="0007436E" w:rsidRPr="00F35CF9" w:rsidRDefault="0007436E">
            <w:r w:rsidRPr="00F35CF9">
              <w:t>CJ</w:t>
            </w:r>
          </w:p>
        </w:tc>
        <w:tc>
          <w:tcPr>
            <w:tcW w:w="7461" w:type="dxa"/>
            <w:noWrap/>
            <w:hideMark/>
          </w:tcPr>
          <w:p w14:paraId="6D1D5D7E" w14:textId="77777777" w:rsidR="0007436E" w:rsidRPr="00F35CF9" w:rsidRDefault="0007436E">
            <w:r w:rsidRPr="00F35CF9">
              <w:t>Criminal Justice</w:t>
            </w:r>
          </w:p>
        </w:tc>
      </w:tr>
      <w:tr w:rsidR="0007436E" w:rsidRPr="00F35CF9" w14:paraId="163155FE" w14:textId="77777777">
        <w:trPr>
          <w:trHeight w:val="300"/>
        </w:trPr>
        <w:tc>
          <w:tcPr>
            <w:tcW w:w="1555" w:type="dxa"/>
            <w:noWrap/>
          </w:tcPr>
          <w:p w14:paraId="6CFB351D" w14:textId="77777777" w:rsidR="0007436E" w:rsidRPr="00F35CF9" w:rsidRDefault="0007436E">
            <w:r>
              <w:t>CMO</w:t>
            </w:r>
          </w:p>
        </w:tc>
        <w:tc>
          <w:tcPr>
            <w:tcW w:w="7461" w:type="dxa"/>
            <w:noWrap/>
          </w:tcPr>
          <w:p w14:paraId="7C319BC2" w14:textId="77777777" w:rsidR="0007436E" w:rsidRPr="00F35CF9" w:rsidRDefault="0007436E">
            <w:r w:rsidRPr="00D07802">
              <w:rPr>
                <w:lang w:eastAsia="en-GB"/>
              </w:rPr>
              <w:t>Chief Medical Officer</w:t>
            </w:r>
          </w:p>
        </w:tc>
      </w:tr>
      <w:tr w:rsidR="0007436E" w:rsidRPr="00F35CF9" w14:paraId="6FA39E68" w14:textId="77777777">
        <w:trPr>
          <w:trHeight w:val="300"/>
        </w:trPr>
        <w:tc>
          <w:tcPr>
            <w:tcW w:w="1555" w:type="dxa"/>
            <w:noWrap/>
            <w:hideMark/>
          </w:tcPr>
          <w:p w14:paraId="7DBCB621" w14:textId="77777777" w:rsidR="0007436E" w:rsidRPr="00F35CF9" w:rsidRDefault="0007436E">
            <w:r w:rsidRPr="00F35CF9">
              <w:t>COVID-19</w:t>
            </w:r>
          </w:p>
        </w:tc>
        <w:tc>
          <w:tcPr>
            <w:tcW w:w="7461" w:type="dxa"/>
            <w:noWrap/>
            <w:hideMark/>
          </w:tcPr>
          <w:p w14:paraId="4BA40D6B" w14:textId="77777777" w:rsidR="0007436E" w:rsidRPr="00F35CF9" w:rsidRDefault="0007436E">
            <w:r w:rsidRPr="00F35CF9">
              <w:t>Coronavirus Disease 2019</w:t>
            </w:r>
          </w:p>
        </w:tc>
      </w:tr>
      <w:tr w:rsidR="0007436E" w:rsidRPr="00F35CF9" w14:paraId="2BC87D46" w14:textId="77777777">
        <w:trPr>
          <w:trHeight w:val="300"/>
        </w:trPr>
        <w:tc>
          <w:tcPr>
            <w:tcW w:w="1555" w:type="dxa"/>
            <w:noWrap/>
            <w:hideMark/>
          </w:tcPr>
          <w:p w14:paraId="7300E221" w14:textId="77777777" w:rsidR="0007436E" w:rsidRPr="00F35CF9" w:rsidRDefault="0007436E">
            <w:r w:rsidRPr="00F35CF9">
              <w:t>CSEW</w:t>
            </w:r>
          </w:p>
        </w:tc>
        <w:tc>
          <w:tcPr>
            <w:tcW w:w="7461" w:type="dxa"/>
            <w:noWrap/>
            <w:hideMark/>
          </w:tcPr>
          <w:p w14:paraId="03F010FD" w14:textId="77777777" w:rsidR="0007436E" w:rsidRPr="00F35CF9" w:rsidRDefault="0007436E">
            <w:r w:rsidRPr="00F35CF9">
              <w:t>Crime Survey for England and Wales</w:t>
            </w:r>
          </w:p>
        </w:tc>
      </w:tr>
      <w:tr w:rsidR="0027002A" w:rsidRPr="00F35CF9" w14:paraId="7B14B555" w14:textId="77777777">
        <w:trPr>
          <w:trHeight w:val="300"/>
        </w:trPr>
        <w:tc>
          <w:tcPr>
            <w:tcW w:w="1555" w:type="dxa"/>
            <w:noWrap/>
          </w:tcPr>
          <w:p w14:paraId="4C1C69CB" w14:textId="047F42DB" w:rsidR="0027002A" w:rsidRPr="00F35CF9" w:rsidRDefault="0027002A">
            <w:r>
              <w:t>CSTR</w:t>
            </w:r>
          </w:p>
        </w:tc>
        <w:tc>
          <w:tcPr>
            <w:tcW w:w="7461" w:type="dxa"/>
            <w:noWrap/>
          </w:tcPr>
          <w:p w14:paraId="791378F8" w14:textId="6A875C8D" w:rsidR="0027002A" w:rsidRPr="00F35CF9" w:rsidRDefault="0027002A">
            <w:r>
              <w:t>Community Sentence Treatment Requirements</w:t>
            </w:r>
          </w:p>
        </w:tc>
      </w:tr>
      <w:tr w:rsidR="0007436E" w:rsidRPr="00F35CF9" w14:paraId="4E582185" w14:textId="77777777">
        <w:trPr>
          <w:trHeight w:val="300"/>
        </w:trPr>
        <w:tc>
          <w:tcPr>
            <w:tcW w:w="1555" w:type="dxa"/>
            <w:noWrap/>
            <w:hideMark/>
          </w:tcPr>
          <w:p w14:paraId="457AA538" w14:textId="77777777" w:rsidR="0007436E" w:rsidRPr="00F35CF9" w:rsidRDefault="0007436E">
            <w:r w:rsidRPr="00F35CF9">
              <w:t>CYP</w:t>
            </w:r>
          </w:p>
        </w:tc>
        <w:tc>
          <w:tcPr>
            <w:tcW w:w="7461" w:type="dxa"/>
            <w:noWrap/>
            <w:hideMark/>
          </w:tcPr>
          <w:p w14:paraId="0D21376E" w14:textId="77777777" w:rsidR="0007436E" w:rsidRPr="00F35CF9" w:rsidRDefault="0007436E">
            <w:r w:rsidRPr="00F35CF9">
              <w:t xml:space="preserve">Children </w:t>
            </w:r>
            <w:r>
              <w:t>&amp;</w:t>
            </w:r>
            <w:r w:rsidRPr="00F35CF9">
              <w:t xml:space="preserve"> Young People</w:t>
            </w:r>
          </w:p>
        </w:tc>
      </w:tr>
      <w:tr w:rsidR="0007436E" w:rsidRPr="00F35CF9" w14:paraId="70E447A8" w14:textId="77777777">
        <w:trPr>
          <w:trHeight w:val="300"/>
        </w:trPr>
        <w:tc>
          <w:tcPr>
            <w:tcW w:w="1555" w:type="dxa"/>
            <w:noWrap/>
            <w:hideMark/>
          </w:tcPr>
          <w:p w14:paraId="260ACBC0" w14:textId="77777777" w:rsidR="0007436E" w:rsidRPr="00F35CF9" w:rsidRDefault="0007436E">
            <w:r w:rsidRPr="00F35CF9">
              <w:t>DA</w:t>
            </w:r>
          </w:p>
        </w:tc>
        <w:tc>
          <w:tcPr>
            <w:tcW w:w="7461" w:type="dxa"/>
            <w:noWrap/>
            <w:hideMark/>
          </w:tcPr>
          <w:p w14:paraId="073755D4" w14:textId="77777777" w:rsidR="0007436E" w:rsidRPr="00F35CF9" w:rsidRDefault="0007436E">
            <w:r>
              <w:t>Drug &amp; Alcohol</w:t>
            </w:r>
          </w:p>
        </w:tc>
      </w:tr>
      <w:tr w:rsidR="0007436E" w:rsidRPr="00F35CF9" w14:paraId="0A74DACF" w14:textId="77777777">
        <w:trPr>
          <w:trHeight w:val="300"/>
        </w:trPr>
        <w:tc>
          <w:tcPr>
            <w:tcW w:w="1555" w:type="dxa"/>
            <w:noWrap/>
            <w:hideMark/>
          </w:tcPr>
          <w:p w14:paraId="009DE73B" w14:textId="77777777" w:rsidR="0007436E" w:rsidRPr="00F35CF9" w:rsidRDefault="0007436E">
            <w:r w:rsidRPr="00F35CF9">
              <w:t>DARD</w:t>
            </w:r>
          </w:p>
        </w:tc>
        <w:tc>
          <w:tcPr>
            <w:tcW w:w="7461" w:type="dxa"/>
            <w:noWrap/>
            <w:hideMark/>
          </w:tcPr>
          <w:p w14:paraId="44BC64D3" w14:textId="77777777" w:rsidR="0007436E" w:rsidRPr="00F35CF9" w:rsidRDefault="0007436E">
            <w:r w:rsidRPr="00F35CF9">
              <w:t>Drug &amp; Alcohol</w:t>
            </w:r>
            <w:r>
              <w:t>-</w:t>
            </w:r>
            <w:r w:rsidRPr="00F35CF9">
              <w:t>Related Deaths</w:t>
            </w:r>
          </w:p>
        </w:tc>
      </w:tr>
      <w:tr w:rsidR="0007436E" w:rsidRPr="00F35CF9" w14:paraId="1C16CA10" w14:textId="77777777">
        <w:trPr>
          <w:trHeight w:val="300"/>
        </w:trPr>
        <w:tc>
          <w:tcPr>
            <w:tcW w:w="1555" w:type="dxa"/>
            <w:noWrap/>
            <w:hideMark/>
          </w:tcPr>
          <w:p w14:paraId="3FFAE235" w14:textId="77777777" w:rsidR="0007436E" w:rsidRPr="00F35CF9" w:rsidRDefault="0007436E">
            <w:r w:rsidRPr="00F35CF9">
              <w:t>DASR</w:t>
            </w:r>
          </w:p>
        </w:tc>
        <w:tc>
          <w:tcPr>
            <w:tcW w:w="7461" w:type="dxa"/>
            <w:noWrap/>
            <w:hideMark/>
          </w:tcPr>
          <w:p w14:paraId="16C4EF23" w14:textId="77777777" w:rsidR="0007436E" w:rsidRPr="00F35CF9" w:rsidRDefault="0007436E">
            <w:r w:rsidRPr="00F35CF9">
              <w:t>Directly Age-Standardised Rate</w:t>
            </w:r>
          </w:p>
        </w:tc>
      </w:tr>
      <w:tr w:rsidR="0007436E" w:rsidRPr="00F35CF9" w14:paraId="5670BABC" w14:textId="77777777">
        <w:trPr>
          <w:trHeight w:val="300"/>
        </w:trPr>
        <w:tc>
          <w:tcPr>
            <w:tcW w:w="1555" w:type="dxa"/>
            <w:noWrap/>
            <w:hideMark/>
          </w:tcPr>
          <w:p w14:paraId="31529211" w14:textId="77777777" w:rsidR="0007436E" w:rsidRPr="00F35CF9" w:rsidRDefault="0007436E">
            <w:r w:rsidRPr="00F35CF9">
              <w:t>DHSC</w:t>
            </w:r>
          </w:p>
        </w:tc>
        <w:tc>
          <w:tcPr>
            <w:tcW w:w="7461" w:type="dxa"/>
            <w:noWrap/>
            <w:hideMark/>
          </w:tcPr>
          <w:p w14:paraId="47BA703D" w14:textId="77777777" w:rsidR="0007436E" w:rsidRPr="00F35CF9" w:rsidRDefault="0007436E">
            <w:r w:rsidRPr="00F35CF9">
              <w:t>Department of Health and Social Care</w:t>
            </w:r>
          </w:p>
        </w:tc>
      </w:tr>
      <w:tr w:rsidR="0007436E" w:rsidRPr="00F35CF9" w14:paraId="28FDE412" w14:textId="77777777">
        <w:trPr>
          <w:trHeight w:val="300"/>
        </w:trPr>
        <w:tc>
          <w:tcPr>
            <w:tcW w:w="1555" w:type="dxa"/>
            <w:noWrap/>
            <w:hideMark/>
          </w:tcPr>
          <w:p w14:paraId="3DB8B1B0" w14:textId="77777777" w:rsidR="0007436E" w:rsidRPr="00F35CF9" w:rsidRDefault="0007436E">
            <w:r w:rsidRPr="00F35CF9">
              <w:t>DSR</w:t>
            </w:r>
          </w:p>
        </w:tc>
        <w:tc>
          <w:tcPr>
            <w:tcW w:w="7461" w:type="dxa"/>
            <w:noWrap/>
            <w:hideMark/>
          </w:tcPr>
          <w:p w14:paraId="71857C49" w14:textId="77777777" w:rsidR="0007436E" w:rsidRPr="00F35CF9" w:rsidRDefault="0007436E">
            <w:r w:rsidRPr="00F35CF9">
              <w:t>Directly Standardised Rate</w:t>
            </w:r>
          </w:p>
        </w:tc>
      </w:tr>
      <w:tr w:rsidR="0007436E" w:rsidRPr="00F35CF9" w14:paraId="28887449" w14:textId="77777777">
        <w:trPr>
          <w:trHeight w:val="300"/>
        </w:trPr>
        <w:tc>
          <w:tcPr>
            <w:tcW w:w="1555" w:type="dxa"/>
            <w:noWrap/>
            <w:hideMark/>
          </w:tcPr>
          <w:p w14:paraId="2F236194" w14:textId="77777777" w:rsidR="0007436E" w:rsidRPr="00F35CF9" w:rsidRDefault="0007436E">
            <w:r w:rsidRPr="00F35CF9">
              <w:t>DV</w:t>
            </w:r>
          </w:p>
        </w:tc>
        <w:tc>
          <w:tcPr>
            <w:tcW w:w="7461" w:type="dxa"/>
            <w:noWrap/>
            <w:hideMark/>
          </w:tcPr>
          <w:p w14:paraId="7B6338D6" w14:textId="77777777" w:rsidR="0007436E" w:rsidRPr="00F35CF9" w:rsidRDefault="0007436E">
            <w:r w:rsidRPr="00F35CF9">
              <w:t>Domestic Violence</w:t>
            </w:r>
          </w:p>
        </w:tc>
      </w:tr>
      <w:tr w:rsidR="0007436E" w:rsidRPr="00F35CF9" w14:paraId="137C0334" w14:textId="77777777">
        <w:trPr>
          <w:trHeight w:val="300"/>
        </w:trPr>
        <w:tc>
          <w:tcPr>
            <w:tcW w:w="1555" w:type="dxa"/>
            <w:noWrap/>
            <w:hideMark/>
          </w:tcPr>
          <w:p w14:paraId="15E1E8D1" w14:textId="77777777" w:rsidR="0007436E" w:rsidRPr="00F35CF9" w:rsidRDefault="0007436E">
            <w:r w:rsidRPr="00F35CF9">
              <w:t>DWP</w:t>
            </w:r>
          </w:p>
        </w:tc>
        <w:tc>
          <w:tcPr>
            <w:tcW w:w="7461" w:type="dxa"/>
            <w:noWrap/>
            <w:hideMark/>
          </w:tcPr>
          <w:p w14:paraId="16AD5AAB" w14:textId="77777777" w:rsidR="0007436E" w:rsidRPr="00F35CF9" w:rsidRDefault="0007436E">
            <w:r w:rsidRPr="00F35CF9">
              <w:t>Department for Work and Pensions</w:t>
            </w:r>
          </w:p>
        </w:tc>
      </w:tr>
      <w:tr w:rsidR="0007436E" w:rsidRPr="00F35CF9" w14:paraId="7B89D919" w14:textId="77777777">
        <w:trPr>
          <w:trHeight w:val="300"/>
        </w:trPr>
        <w:tc>
          <w:tcPr>
            <w:tcW w:w="1555" w:type="dxa"/>
            <w:noWrap/>
          </w:tcPr>
          <w:p w14:paraId="17939465" w14:textId="77777777" w:rsidR="0007436E" w:rsidRPr="00F35CF9" w:rsidRDefault="0007436E">
            <w:proofErr w:type="spellStart"/>
            <w:r>
              <w:t>EqIA</w:t>
            </w:r>
            <w:proofErr w:type="spellEnd"/>
          </w:p>
        </w:tc>
        <w:tc>
          <w:tcPr>
            <w:tcW w:w="7461" w:type="dxa"/>
            <w:noWrap/>
          </w:tcPr>
          <w:p w14:paraId="13B0AA81" w14:textId="77777777" w:rsidR="0007436E" w:rsidRPr="00F35CF9" w:rsidRDefault="0007436E">
            <w:r>
              <w:t>Equality Impact Assessment</w:t>
            </w:r>
          </w:p>
        </w:tc>
      </w:tr>
      <w:tr w:rsidR="0007436E" w:rsidRPr="00F35CF9" w14:paraId="4963BF31" w14:textId="77777777">
        <w:trPr>
          <w:trHeight w:val="300"/>
        </w:trPr>
        <w:tc>
          <w:tcPr>
            <w:tcW w:w="1555" w:type="dxa"/>
            <w:noWrap/>
          </w:tcPr>
          <w:p w14:paraId="725A83CC" w14:textId="77777777" w:rsidR="0007436E" w:rsidRDefault="0007436E">
            <w:r>
              <w:t>ERSOU</w:t>
            </w:r>
          </w:p>
        </w:tc>
        <w:tc>
          <w:tcPr>
            <w:tcW w:w="7461" w:type="dxa"/>
            <w:noWrap/>
          </w:tcPr>
          <w:p w14:paraId="157F22B9" w14:textId="77777777" w:rsidR="0007436E" w:rsidRDefault="0007436E">
            <w:r w:rsidRPr="00F36EDF">
              <w:t>Eastern Region Special Operations Unit</w:t>
            </w:r>
          </w:p>
        </w:tc>
      </w:tr>
      <w:tr w:rsidR="0007436E" w:rsidRPr="00F35CF9" w14:paraId="64C680BD" w14:textId="77777777">
        <w:trPr>
          <w:trHeight w:val="300"/>
        </w:trPr>
        <w:tc>
          <w:tcPr>
            <w:tcW w:w="1555" w:type="dxa"/>
            <w:noWrap/>
            <w:hideMark/>
          </w:tcPr>
          <w:p w14:paraId="12AA862F" w14:textId="77777777" w:rsidR="0007436E" w:rsidRPr="00F35CF9" w:rsidRDefault="0007436E">
            <w:r w:rsidRPr="00F35CF9">
              <w:t>EWE</w:t>
            </w:r>
          </w:p>
        </w:tc>
        <w:tc>
          <w:tcPr>
            <w:tcW w:w="7461" w:type="dxa"/>
            <w:noWrap/>
            <w:hideMark/>
          </w:tcPr>
          <w:p w14:paraId="32EA6236" w14:textId="77777777" w:rsidR="0007436E" w:rsidRPr="00F35CF9" w:rsidRDefault="0007436E">
            <w:r w:rsidRPr="00F35CF9">
              <w:t>Empowering Women Everywhere</w:t>
            </w:r>
          </w:p>
        </w:tc>
      </w:tr>
      <w:tr w:rsidR="0007436E" w:rsidRPr="00F35CF9" w14:paraId="00CF8FE5" w14:textId="77777777">
        <w:trPr>
          <w:trHeight w:val="300"/>
        </w:trPr>
        <w:tc>
          <w:tcPr>
            <w:tcW w:w="1555" w:type="dxa"/>
            <w:noWrap/>
            <w:hideMark/>
          </w:tcPr>
          <w:p w14:paraId="2E45CBAC" w14:textId="77777777" w:rsidR="0007436E" w:rsidRPr="00F35CF9" w:rsidRDefault="0007436E">
            <w:r w:rsidRPr="00F35CF9">
              <w:t>FP10</w:t>
            </w:r>
          </w:p>
        </w:tc>
        <w:tc>
          <w:tcPr>
            <w:tcW w:w="7461" w:type="dxa"/>
            <w:noWrap/>
            <w:hideMark/>
          </w:tcPr>
          <w:p w14:paraId="46A3465F" w14:textId="77777777" w:rsidR="0007436E" w:rsidRPr="00F35CF9" w:rsidRDefault="0007436E">
            <w:r w:rsidRPr="00F35CF9">
              <w:t>Prescription Form used in the NHS</w:t>
            </w:r>
          </w:p>
        </w:tc>
      </w:tr>
      <w:tr w:rsidR="0007436E" w:rsidRPr="00F35CF9" w14:paraId="43B76C0C" w14:textId="77777777">
        <w:trPr>
          <w:trHeight w:val="300"/>
        </w:trPr>
        <w:tc>
          <w:tcPr>
            <w:tcW w:w="1555" w:type="dxa"/>
            <w:noWrap/>
            <w:hideMark/>
          </w:tcPr>
          <w:p w14:paraId="35CFEE74" w14:textId="77777777" w:rsidR="0007436E" w:rsidRPr="00F35CF9" w:rsidRDefault="0007436E">
            <w:r w:rsidRPr="00F35CF9">
              <w:t>GABA</w:t>
            </w:r>
          </w:p>
        </w:tc>
        <w:tc>
          <w:tcPr>
            <w:tcW w:w="7461" w:type="dxa"/>
            <w:noWrap/>
            <w:hideMark/>
          </w:tcPr>
          <w:p w14:paraId="04FB9CB5" w14:textId="77777777" w:rsidR="0007436E" w:rsidRPr="00F35CF9" w:rsidRDefault="0007436E">
            <w:r w:rsidRPr="00F35CF9">
              <w:t>Gamma-Aminobutyric Acid</w:t>
            </w:r>
          </w:p>
        </w:tc>
      </w:tr>
      <w:tr w:rsidR="0007436E" w:rsidRPr="00F35CF9" w14:paraId="59799BEB" w14:textId="77777777">
        <w:trPr>
          <w:trHeight w:val="300"/>
        </w:trPr>
        <w:tc>
          <w:tcPr>
            <w:tcW w:w="1555" w:type="dxa"/>
            <w:noWrap/>
            <w:hideMark/>
          </w:tcPr>
          <w:p w14:paraId="6EB8ED36" w14:textId="77777777" w:rsidR="0007436E" w:rsidRPr="00F35CF9" w:rsidRDefault="0007436E">
            <w:r w:rsidRPr="00F35CF9">
              <w:t>GHB/GBL</w:t>
            </w:r>
          </w:p>
        </w:tc>
        <w:tc>
          <w:tcPr>
            <w:tcW w:w="7461" w:type="dxa"/>
            <w:noWrap/>
            <w:hideMark/>
          </w:tcPr>
          <w:p w14:paraId="47711D30" w14:textId="77777777" w:rsidR="0007436E" w:rsidRPr="00F35CF9" w:rsidRDefault="0007436E">
            <w:r w:rsidRPr="00F35CF9">
              <w:t>Gamma-Hydroxybutyrate/</w:t>
            </w:r>
            <w:r>
              <w:t xml:space="preserve"> </w:t>
            </w:r>
            <w:r w:rsidRPr="00F35CF9">
              <w:t>Gamma-Butyrolactone</w:t>
            </w:r>
          </w:p>
        </w:tc>
      </w:tr>
      <w:tr w:rsidR="0007436E" w:rsidRPr="00F35CF9" w14:paraId="6C518DAB" w14:textId="77777777">
        <w:trPr>
          <w:trHeight w:val="300"/>
        </w:trPr>
        <w:tc>
          <w:tcPr>
            <w:tcW w:w="1555" w:type="dxa"/>
            <w:noWrap/>
            <w:hideMark/>
          </w:tcPr>
          <w:p w14:paraId="295F6C46" w14:textId="77777777" w:rsidR="0007436E" w:rsidRPr="00F35CF9" w:rsidRDefault="0007436E">
            <w:r w:rsidRPr="00F35CF9">
              <w:t>GP</w:t>
            </w:r>
          </w:p>
        </w:tc>
        <w:tc>
          <w:tcPr>
            <w:tcW w:w="7461" w:type="dxa"/>
            <w:noWrap/>
            <w:hideMark/>
          </w:tcPr>
          <w:p w14:paraId="4CC99478" w14:textId="77777777" w:rsidR="0007436E" w:rsidRPr="00F35CF9" w:rsidRDefault="0007436E">
            <w:r w:rsidRPr="00F35CF9">
              <w:t>General Practitioner</w:t>
            </w:r>
          </w:p>
        </w:tc>
      </w:tr>
      <w:tr w:rsidR="0007436E" w:rsidRPr="00F35CF9" w14:paraId="5856A2CE" w14:textId="77777777">
        <w:trPr>
          <w:trHeight w:val="300"/>
        </w:trPr>
        <w:tc>
          <w:tcPr>
            <w:tcW w:w="1555" w:type="dxa"/>
            <w:noWrap/>
            <w:hideMark/>
          </w:tcPr>
          <w:p w14:paraId="0FB4BD4E" w14:textId="77777777" w:rsidR="0007436E" w:rsidRPr="00F35CF9" w:rsidRDefault="0007436E">
            <w:r w:rsidRPr="00F35CF9">
              <w:t>HALP</w:t>
            </w:r>
          </w:p>
        </w:tc>
        <w:tc>
          <w:tcPr>
            <w:tcW w:w="7461" w:type="dxa"/>
            <w:noWrap/>
            <w:hideMark/>
          </w:tcPr>
          <w:p w14:paraId="23CF0745" w14:textId="77777777" w:rsidR="0007436E" w:rsidRPr="00F35CF9" w:rsidRDefault="0007436E">
            <w:r w:rsidRPr="00F35CF9">
              <w:t>Hospital Alcohol Liaison Programme</w:t>
            </w:r>
          </w:p>
        </w:tc>
      </w:tr>
      <w:tr w:rsidR="0007436E" w:rsidRPr="00F35CF9" w14:paraId="42073334" w14:textId="77777777">
        <w:trPr>
          <w:trHeight w:val="300"/>
        </w:trPr>
        <w:tc>
          <w:tcPr>
            <w:tcW w:w="1555" w:type="dxa"/>
            <w:noWrap/>
            <w:hideMark/>
          </w:tcPr>
          <w:p w14:paraId="0EB09048" w14:textId="77777777" w:rsidR="0007436E" w:rsidRPr="00F35CF9" w:rsidRDefault="0007436E">
            <w:r w:rsidRPr="00F35CF9">
              <w:t>HBV</w:t>
            </w:r>
          </w:p>
        </w:tc>
        <w:tc>
          <w:tcPr>
            <w:tcW w:w="7461" w:type="dxa"/>
            <w:noWrap/>
            <w:hideMark/>
          </w:tcPr>
          <w:p w14:paraId="269BCCA9" w14:textId="77777777" w:rsidR="0007436E" w:rsidRPr="00F35CF9" w:rsidRDefault="0007436E">
            <w:r w:rsidRPr="00F35CF9">
              <w:t>Hepatitis B Virus</w:t>
            </w:r>
          </w:p>
        </w:tc>
      </w:tr>
      <w:tr w:rsidR="0007436E" w:rsidRPr="00F35CF9" w14:paraId="34586E29" w14:textId="77777777">
        <w:trPr>
          <w:trHeight w:val="300"/>
        </w:trPr>
        <w:tc>
          <w:tcPr>
            <w:tcW w:w="1555" w:type="dxa"/>
            <w:noWrap/>
            <w:hideMark/>
          </w:tcPr>
          <w:p w14:paraId="29443A7E" w14:textId="77777777" w:rsidR="0007436E" w:rsidRPr="00F35CF9" w:rsidRDefault="0007436E">
            <w:r w:rsidRPr="00F35CF9">
              <w:t>HCV</w:t>
            </w:r>
          </w:p>
        </w:tc>
        <w:tc>
          <w:tcPr>
            <w:tcW w:w="7461" w:type="dxa"/>
            <w:noWrap/>
            <w:hideMark/>
          </w:tcPr>
          <w:p w14:paraId="3984BD21" w14:textId="77777777" w:rsidR="0007436E" w:rsidRPr="00F35CF9" w:rsidRDefault="0007436E">
            <w:r w:rsidRPr="00F35CF9">
              <w:t>Hepatitis C Virus</w:t>
            </w:r>
          </w:p>
        </w:tc>
      </w:tr>
      <w:tr w:rsidR="0007436E" w:rsidRPr="00F35CF9" w14:paraId="0C6141B3" w14:textId="77777777">
        <w:trPr>
          <w:trHeight w:val="300"/>
        </w:trPr>
        <w:tc>
          <w:tcPr>
            <w:tcW w:w="1555" w:type="dxa"/>
            <w:noWrap/>
            <w:hideMark/>
          </w:tcPr>
          <w:p w14:paraId="3F86E633" w14:textId="77777777" w:rsidR="0007436E" w:rsidRPr="00F35CF9" w:rsidRDefault="0007436E">
            <w:r w:rsidRPr="00F35CF9">
              <w:t>HIV</w:t>
            </w:r>
          </w:p>
        </w:tc>
        <w:tc>
          <w:tcPr>
            <w:tcW w:w="7461" w:type="dxa"/>
            <w:noWrap/>
            <w:hideMark/>
          </w:tcPr>
          <w:p w14:paraId="3539FB0F" w14:textId="77777777" w:rsidR="0007436E" w:rsidRPr="00F35CF9" w:rsidRDefault="0007436E">
            <w:r w:rsidRPr="00F35CF9">
              <w:t>Human Immunodeficiency Virus</w:t>
            </w:r>
          </w:p>
        </w:tc>
      </w:tr>
      <w:tr w:rsidR="0007436E" w:rsidRPr="00F35CF9" w14:paraId="7F4FE333" w14:textId="77777777">
        <w:trPr>
          <w:trHeight w:val="300"/>
        </w:trPr>
        <w:tc>
          <w:tcPr>
            <w:tcW w:w="1555" w:type="dxa"/>
            <w:noWrap/>
            <w:hideMark/>
          </w:tcPr>
          <w:p w14:paraId="0A221BF0" w14:textId="77777777" w:rsidR="0007436E" w:rsidRPr="00F35CF9" w:rsidRDefault="0007436E">
            <w:r w:rsidRPr="00F35CF9">
              <w:t>HMP</w:t>
            </w:r>
          </w:p>
        </w:tc>
        <w:tc>
          <w:tcPr>
            <w:tcW w:w="7461" w:type="dxa"/>
            <w:noWrap/>
            <w:hideMark/>
          </w:tcPr>
          <w:p w14:paraId="59968A99" w14:textId="77777777" w:rsidR="0007436E" w:rsidRPr="00F35CF9" w:rsidRDefault="0007436E">
            <w:r w:rsidRPr="00F35CF9">
              <w:t>His Majesty's Prison</w:t>
            </w:r>
          </w:p>
        </w:tc>
      </w:tr>
      <w:tr w:rsidR="0007436E" w:rsidRPr="00F35CF9" w14:paraId="236209C1" w14:textId="77777777">
        <w:trPr>
          <w:trHeight w:val="300"/>
        </w:trPr>
        <w:tc>
          <w:tcPr>
            <w:tcW w:w="1555" w:type="dxa"/>
            <w:noWrap/>
            <w:hideMark/>
          </w:tcPr>
          <w:p w14:paraId="36CC10A4" w14:textId="77777777" w:rsidR="0007436E" w:rsidRPr="00F35CF9" w:rsidRDefault="0007436E">
            <w:r w:rsidRPr="00F35CF9">
              <w:t>HRBS</w:t>
            </w:r>
          </w:p>
        </w:tc>
        <w:tc>
          <w:tcPr>
            <w:tcW w:w="7461" w:type="dxa"/>
            <w:noWrap/>
            <w:hideMark/>
          </w:tcPr>
          <w:p w14:paraId="4DA739D2" w14:textId="77777777" w:rsidR="0007436E" w:rsidRPr="00F35CF9" w:rsidRDefault="0007436E">
            <w:r w:rsidRPr="00F35CF9">
              <w:t>Health-Related Behaviour Survey</w:t>
            </w:r>
          </w:p>
        </w:tc>
      </w:tr>
      <w:tr w:rsidR="0007436E" w:rsidRPr="00F35CF9" w14:paraId="7C4B1E57" w14:textId="77777777">
        <w:trPr>
          <w:trHeight w:val="300"/>
        </w:trPr>
        <w:tc>
          <w:tcPr>
            <w:tcW w:w="1555" w:type="dxa"/>
            <w:noWrap/>
            <w:hideMark/>
          </w:tcPr>
          <w:p w14:paraId="031CEA23" w14:textId="77777777" w:rsidR="0007436E" w:rsidRPr="00F35CF9" w:rsidRDefault="0007436E">
            <w:r w:rsidRPr="00F35CF9">
              <w:t>HSE</w:t>
            </w:r>
          </w:p>
        </w:tc>
        <w:tc>
          <w:tcPr>
            <w:tcW w:w="7461" w:type="dxa"/>
            <w:noWrap/>
            <w:hideMark/>
          </w:tcPr>
          <w:p w14:paraId="074EFCF6" w14:textId="77777777" w:rsidR="0007436E" w:rsidRPr="00F35CF9" w:rsidRDefault="0007436E">
            <w:r w:rsidRPr="00F35CF9">
              <w:t>Health and Safety Executive</w:t>
            </w:r>
          </w:p>
        </w:tc>
      </w:tr>
      <w:tr w:rsidR="0007436E" w:rsidRPr="00F35CF9" w14:paraId="4AD5CAFE" w14:textId="77777777">
        <w:trPr>
          <w:trHeight w:val="300"/>
        </w:trPr>
        <w:tc>
          <w:tcPr>
            <w:tcW w:w="1555" w:type="dxa"/>
            <w:noWrap/>
            <w:hideMark/>
          </w:tcPr>
          <w:p w14:paraId="68D7F08C" w14:textId="77777777" w:rsidR="0007436E" w:rsidRPr="00F35CF9" w:rsidRDefault="0007436E">
            <w:r w:rsidRPr="00F35CF9">
              <w:t>ICB</w:t>
            </w:r>
          </w:p>
        </w:tc>
        <w:tc>
          <w:tcPr>
            <w:tcW w:w="7461" w:type="dxa"/>
            <w:noWrap/>
            <w:hideMark/>
          </w:tcPr>
          <w:p w14:paraId="3F340CA4" w14:textId="77777777" w:rsidR="0007436E" w:rsidRPr="00F35CF9" w:rsidRDefault="0007436E">
            <w:r w:rsidRPr="00F35CF9">
              <w:t>Integrated Care Board</w:t>
            </w:r>
          </w:p>
        </w:tc>
      </w:tr>
      <w:tr w:rsidR="0007436E" w:rsidRPr="00F35CF9" w14:paraId="1E2956F3" w14:textId="77777777">
        <w:trPr>
          <w:trHeight w:val="300"/>
        </w:trPr>
        <w:tc>
          <w:tcPr>
            <w:tcW w:w="1555" w:type="dxa"/>
            <w:noWrap/>
            <w:hideMark/>
          </w:tcPr>
          <w:p w14:paraId="06D93CD5" w14:textId="77777777" w:rsidR="0007436E" w:rsidRPr="00F35CF9" w:rsidRDefault="0007436E">
            <w:r w:rsidRPr="00F35CF9">
              <w:t>IMD</w:t>
            </w:r>
          </w:p>
        </w:tc>
        <w:tc>
          <w:tcPr>
            <w:tcW w:w="7461" w:type="dxa"/>
            <w:noWrap/>
            <w:hideMark/>
          </w:tcPr>
          <w:p w14:paraId="56FF6097" w14:textId="77777777" w:rsidR="0007436E" w:rsidRPr="00F35CF9" w:rsidRDefault="0007436E">
            <w:r w:rsidRPr="00F35CF9">
              <w:t>Index of Multiple Deprivation</w:t>
            </w:r>
          </w:p>
        </w:tc>
      </w:tr>
      <w:tr w:rsidR="0007436E" w:rsidRPr="00F35CF9" w14:paraId="2FA566F1" w14:textId="77777777">
        <w:trPr>
          <w:trHeight w:val="300"/>
        </w:trPr>
        <w:tc>
          <w:tcPr>
            <w:tcW w:w="1555" w:type="dxa"/>
            <w:noWrap/>
            <w:hideMark/>
          </w:tcPr>
          <w:p w14:paraId="32F976CE" w14:textId="77777777" w:rsidR="0007436E" w:rsidRPr="00F35CF9" w:rsidRDefault="0007436E">
            <w:r w:rsidRPr="00F35CF9">
              <w:t>IPS</w:t>
            </w:r>
          </w:p>
        </w:tc>
        <w:tc>
          <w:tcPr>
            <w:tcW w:w="7461" w:type="dxa"/>
            <w:noWrap/>
            <w:hideMark/>
          </w:tcPr>
          <w:p w14:paraId="274F7E1A" w14:textId="77777777" w:rsidR="0007436E" w:rsidRPr="00F35CF9" w:rsidRDefault="0007436E">
            <w:r w:rsidRPr="00F35CF9">
              <w:t>Individual Placement and Support</w:t>
            </w:r>
          </w:p>
        </w:tc>
      </w:tr>
      <w:tr w:rsidR="0007436E" w:rsidRPr="00F35CF9" w14:paraId="23F9FBE8" w14:textId="77777777">
        <w:trPr>
          <w:trHeight w:val="300"/>
        </w:trPr>
        <w:tc>
          <w:tcPr>
            <w:tcW w:w="1555" w:type="dxa"/>
            <w:noWrap/>
          </w:tcPr>
          <w:p w14:paraId="776AE791" w14:textId="77777777" w:rsidR="0007436E" w:rsidRPr="00F35CF9" w:rsidRDefault="0007436E">
            <w:r>
              <w:t>IPS-AD</w:t>
            </w:r>
          </w:p>
        </w:tc>
        <w:tc>
          <w:tcPr>
            <w:tcW w:w="7461" w:type="dxa"/>
            <w:noWrap/>
          </w:tcPr>
          <w:p w14:paraId="5B429278" w14:textId="77777777" w:rsidR="0007436E" w:rsidRPr="00F35CF9" w:rsidRDefault="0007436E">
            <w:r>
              <w:t>IPS-Alcohol and Drug</w:t>
            </w:r>
          </w:p>
        </w:tc>
      </w:tr>
      <w:tr w:rsidR="0007436E" w:rsidRPr="00F35CF9" w14:paraId="02615DD3" w14:textId="77777777">
        <w:trPr>
          <w:trHeight w:val="300"/>
        </w:trPr>
        <w:tc>
          <w:tcPr>
            <w:tcW w:w="1555" w:type="dxa"/>
            <w:noWrap/>
            <w:hideMark/>
          </w:tcPr>
          <w:p w14:paraId="4841C5DA" w14:textId="77777777" w:rsidR="0007436E" w:rsidRPr="00F35CF9" w:rsidRDefault="0007436E">
            <w:r w:rsidRPr="00F35CF9">
              <w:t>LD</w:t>
            </w:r>
          </w:p>
        </w:tc>
        <w:tc>
          <w:tcPr>
            <w:tcW w:w="7461" w:type="dxa"/>
            <w:noWrap/>
            <w:hideMark/>
          </w:tcPr>
          <w:p w14:paraId="1E501C7B" w14:textId="77777777" w:rsidR="0007436E" w:rsidRPr="00F35CF9" w:rsidRDefault="0007436E">
            <w:r w:rsidRPr="00F35CF9">
              <w:t>Learning Disabilities</w:t>
            </w:r>
          </w:p>
        </w:tc>
      </w:tr>
      <w:tr w:rsidR="0007436E" w:rsidRPr="00F35CF9" w14:paraId="703C5BDB" w14:textId="77777777">
        <w:trPr>
          <w:trHeight w:val="300"/>
        </w:trPr>
        <w:tc>
          <w:tcPr>
            <w:tcW w:w="1555" w:type="dxa"/>
            <w:noWrap/>
            <w:hideMark/>
          </w:tcPr>
          <w:p w14:paraId="6C591189" w14:textId="77777777" w:rsidR="0007436E" w:rsidRPr="00F35CF9" w:rsidRDefault="0007436E">
            <w:r w:rsidRPr="00F35CF9">
              <w:t>LDIS</w:t>
            </w:r>
          </w:p>
        </w:tc>
        <w:tc>
          <w:tcPr>
            <w:tcW w:w="7461" w:type="dxa"/>
            <w:noWrap/>
            <w:hideMark/>
          </w:tcPr>
          <w:p w14:paraId="3002A338" w14:textId="77777777" w:rsidR="0007436E" w:rsidRPr="00F35CF9" w:rsidRDefault="0007436E">
            <w:r>
              <w:t>Local Drug</w:t>
            </w:r>
            <w:r w:rsidRPr="00F35CF9">
              <w:t xml:space="preserve"> Information System</w:t>
            </w:r>
          </w:p>
        </w:tc>
      </w:tr>
      <w:tr w:rsidR="0007436E" w:rsidRPr="00F35CF9" w14:paraId="31E358FC" w14:textId="77777777">
        <w:trPr>
          <w:trHeight w:val="300"/>
        </w:trPr>
        <w:tc>
          <w:tcPr>
            <w:tcW w:w="1555" w:type="dxa"/>
            <w:noWrap/>
            <w:hideMark/>
          </w:tcPr>
          <w:p w14:paraId="569CC975" w14:textId="77777777" w:rsidR="0007436E" w:rsidRPr="00F35CF9" w:rsidRDefault="0007436E">
            <w:r w:rsidRPr="00F35CF9">
              <w:t>LERO</w:t>
            </w:r>
          </w:p>
        </w:tc>
        <w:tc>
          <w:tcPr>
            <w:tcW w:w="7461" w:type="dxa"/>
            <w:noWrap/>
            <w:hideMark/>
          </w:tcPr>
          <w:p w14:paraId="57E972BB" w14:textId="77777777" w:rsidR="0007436E" w:rsidRPr="00F35CF9" w:rsidRDefault="0007436E">
            <w:r w:rsidRPr="00F35CF9">
              <w:t>Lived Experience Recovery Organisation</w:t>
            </w:r>
          </w:p>
        </w:tc>
      </w:tr>
      <w:tr w:rsidR="0007436E" w:rsidRPr="00F35CF9" w14:paraId="14F5F5A2" w14:textId="77777777">
        <w:trPr>
          <w:trHeight w:val="300"/>
        </w:trPr>
        <w:tc>
          <w:tcPr>
            <w:tcW w:w="1555" w:type="dxa"/>
            <w:noWrap/>
            <w:hideMark/>
          </w:tcPr>
          <w:p w14:paraId="79D98858" w14:textId="77777777" w:rsidR="0007436E" w:rsidRPr="00F35CF9" w:rsidRDefault="0007436E">
            <w:r w:rsidRPr="00F35CF9">
              <w:lastRenderedPageBreak/>
              <w:t>LGBT+</w:t>
            </w:r>
          </w:p>
        </w:tc>
        <w:tc>
          <w:tcPr>
            <w:tcW w:w="7461" w:type="dxa"/>
            <w:noWrap/>
            <w:hideMark/>
          </w:tcPr>
          <w:p w14:paraId="29509F24" w14:textId="77777777" w:rsidR="0007436E" w:rsidRPr="00F35CF9" w:rsidRDefault="0007436E">
            <w:r w:rsidRPr="00F35CF9">
              <w:t>Lesbian, Gay, Bisexual, Transgender</w:t>
            </w:r>
            <w:r>
              <w:t xml:space="preserve"> (+ including Q</w:t>
            </w:r>
            <w:r w:rsidRPr="00382F8B">
              <w:t xml:space="preserve">ueer, </w:t>
            </w:r>
            <w:r>
              <w:t>Q</w:t>
            </w:r>
            <w:r w:rsidRPr="00382F8B">
              <w:t xml:space="preserve">uestioning and </w:t>
            </w:r>
            <w:r>
              <w:t>A</w:t>
            </w:r>
            <w:r w:rsidRPr="00382F8B">
              <w:t>ce</w:t>
            </w:r>
            <w:r>
              <w:t xml:space="preserve"> and I</w:t>
            </w:r>
            <w:r w:rsidRPr="00343E5C">
              <w:t>ntersex</w:t>
            </w:r>
            <w:r>
              <w:t>)</w:t>
            </w:r>
          </w:p>
        </w:tc>
      </w:tr>
      <w:tr w:rsidR="0007436E" w:rsidRPr="00F35CF9" w14:paraId="6C487BEF" w14:textId="77777777">
        <w:trPr>
          <w:trHeight w:val="300"/>
        </w:trPr>
        <w:tc>
          <w:tcPr>
            <w:tcW w:w="1555" w:type="dxa"/>
            <w:noWrap/>
          </w:tcPr>
          <w:p w14:paraId="3ADCFB41" w14:textId="77777777" w:rsidR="0007436E" w:rsidRPr="00F35CF9" w:rsidRDefault="0007436E">
            <w:r>
              <w:t>LSD</w:t>
            </w:r>
          </w:p>
        </w:tc>
        <w:tc>
          <w:tcPr>
            <w:tcW w:w="7461" w:type="dxa"/>
            <w:noWrap/>
          </w:tcPr>
          <w:p w14:paraId="4A9FB751" w14:textId="77777777" w:rsidR="0007436E" w:rsidRPr="00F35CF9" w:rsidRDefault="0007436E">
            <w:r>
              <w:t>Lysergic Acid Diethylamide</w:t>
            </w:r>
          </w:p>
        </w:tc>
      </w:tr>
      <w:tr w:rsidR="0007436E" w:rsidRPr="00F35CF9" w14:paraId="0336EEBD" w14:textId="77777777">
        <w:trPr>
          <w:trHeight w:val="300"/>
        </w:trPr>
        <w:tc>
          <w:tcPr>
            <w:tcW w:w="1555" w:type="dxa"/>
            <w:noWrap/>
            <w:hideMark/>
          </w:tcPr>
          <w:p w14:paraId="33C7740A" w14:textId="77777777" w:rsidR="0007436E" w:rsidRPr="00F35CF9" w:rsidRDefault="0007436E">
            <w:r w:rsidRPr="00F35CF9">
              <w:t>MAT</w:t>
            </w:r>
          </w:p>
        </w:tc>
        <w:tc>
          <w:tcPr>
            <w:tcW w:w="7461" w:type="dxa"/>
            <w:noWrap/>
            <w:hideMark/>
          </w:tcPr>
          <w:p w14:paraId="05BB72FC" w14:textId="77777777" w:rsidR="0007436E" w:rsidRPr="00F35CF9" w:rsidRDefault="0007436E">
            <w:r w:rsidRPr="00F35CF9">
              <w:t>Medication-Assisted Treatment</w:t>
            </w:r>
          </w:p>
        </w:tc>
      </w:tr>
      <w:tr w:rsidR="0007436E" w:rsidRPr="00F35CF9" w14:paraId="618BBCE6" w14:textId="77777777">
        <w:trPr>
          <w:trHeight w:val="300"/>
        </w:trPr>
        <w:tc>
          <w:tcPr>
            <w:tcW w:w="1555" w:type="dxa"/>
            <w:noWrap/>
            <w:hideMark/>
          </w:tcPr>
          <w:p w14:paraId="6D717D2F" w14:textId="77777777" w:rsidR="0007436E" w:rsidRPr="00F35CF9" w:rsidRDefault="0007436E">
            <w:r w:rsidRPr="00F35CF9">
              <w:t>NDTMS</w:t>
            </w:r>
          </w:p>
        </w:tc>
        <w:tc>
          <w:tcPr>
            <w:tcW w:w="7461" w:type="dxa"/>
            <w:noWrap/>
            <w:hideMark/>
          </w:tcPr>
          <w:p w14:paraId="35DC5A94" w14:textId="77777777" w:rsidR="0007436E" w:rsidRPr="00F35CF9" w:rsidRDefault="0007436E">
            <w:r w:rsidRPr="00F35CF9">
              <w:t>National Drug Treatment Monitoring System</w:t>
            </w:r>
          </w:p>
        </w:tc>
      </w:tr>
      <w:tr w:rsidR="0007436E" w:rsidRPr="00F35CF9" w14:paraId="36C7BC8D" w14:textId="77777777">
        <w:trPr>
          <w:trHeight w:val="300"/>
        </w:trPr>
        <w:tc>
          <w:tcPr>
            <w:tcW w:w="1555" w:type="dxa"/>
            <w:noWrap/>
            <w:hideMark/>
          </w:tcPr>
          <w:p w14:paraId="48DABB4A" w14:textId="77777777" w:rsidR="0007436E" w:rsidRPr="00F35CF9" w:rsidRDefault="0007436E">
            <w:r w:rsidRPr="00F35CF9">
              <w:t>NHFT</w:t>
            </w:r>
          </w:p>
        </w:tc>
        <w:tc>
          <w:tcPr>
            <w:tcW w:w="7461" w:type="dxa"/>
            <w:noWrap/>
            <w:hideMark/>
          </w:tcPr>
          <w:p w14:paraId="0A4FE9C4" w14:textId="77777777" w:rsidR="0007436E" w:rsidRPr="00F35CF9" w:rsidRDefault="0007436E">
            <w:r w:rsidRPr="00F35CF9">
              <w:t>Northamptonshire Healthcare NHS Foundation Trust</w:t>
            </w:r>
          </w:p>
        </w:tc>
      </w:tr>
      <w:tr w:rsidR="0007436E" w:rsidRPr="00F35CF9" w14:paraId="525E1F2D" w14:textId="77777777">
        <w:trPr>
          <w:trHeight w:val="300"/>
        </w:trPr>
        <w:tc>
          <w:tcPr>
            <w:tcW w:w="1555" w:type="dxa"/>
            <w:noWrap/>
            <w:hideMark/>
          </w:tcPr>
          <w:p w14:paraId="2799377A" w14:textId="77777777" w:rsidR="0007436E" w:rsidRPr="00F35CF9" w:rsidRDefault="0007436E">
            <w:r w:rsidRPr="00F35CF9">
              <w:t>NHS</w:t>
            </w:r>
          </w:p>
        </w:tc>
        <w:tc>
          <w:tcPr>
            <w:tcW w:w="7461" w:type="dxa"/>
            <w:noWrap/>
            <w:hideMark/>
          </w:tcPr>
          <w:p w14:paraId="3BF21D62" w14:textId="77777777" w:rsidR="0007436E" w:rsidRPr="00F35CF9" w:rsidRDefault="0007436E">
            <w:r w:rsidRPr="00F35CF9">
              <w:t>National Health Service</w:t>
            </w:r>
          </w:p>
        </w:tc>
      </w:tr>
      <w:tr w:rsidR="0007436E" w:rsidRPr="00F35CF9" w14:paraId="203C225B" w14:textId="77777777">
        <w:trPr>
          <w:trHeight w:val="300"/>
        </w:trPr>
        <w:tc>
          <w:tcPr>
            <w:tcW w:w="1555" w:type="dxa"/>
            <w:noWrap/>
            <w:hideMark/>
          </w:tcPr>
          <w:p w14:paraId="7FDEF4BC" w14:textId="77777777" w:rsidR="0007436E" w:rsidRPr="00F35CF9" w:rsidRDefault="0007436E">
            <w:r w:rsidRPr="00F35CF9">
              <w:t>NICE</w:t>
            </w:r>
          </w:p>
        </w:tc>
        <w:tc>
          <w:tcPr>
            <w:tcW w:w="7461" w:type="dxa"/>
            <w:noWrap/>
            <w:hideMark/>
          </w:tcPr>
          <w:p w14:paraId="275FC603" w14:textId="77777777" w:rsidR="0007436E" w:rsidRPr="00F35CF9" w:rsidRDefault="0007436E">
            <w:r w:rsidRPr="00F35CF9">
              <w:t>National Institute for Health and Care Excellence</w:t>
            </w:r>
          </w:p>
        </w:tc>
      </w:tr>
      <w:tr w:rsidR="0007436E" w:rsidRPr="00F35CF9" w14:paraId="05C78FBF" w14:textId="77777777">
        <w:trPr>
          <w:trHeight w:val="300"/>
        </w:trPr>
        <w:tc>
          <w:tcPr>
            <w:tcW w:w="1555" w:type="dxa"/>
            <w:noWrap/>
            <w:hideMark/>
          </w:tcPr>
          <w:p w14:paraId="3DFEB88D" w14:textId="77777777" w:rsidR="0007436E" w:rsidRPr="00F35CF9" w:rsidRDefault="0007436E">
            <w:r w:rsidRPr="00F35CF9">
              <w:t>NSP</w:t>
            </w:r>
          </w:p>
        </w:tc>
        <w:tc>
          <w:tcPr>
            <w:tcW w:w="7461" w:type="dxa"/>
            <w:noWrap/>
            <w:hideMark/>
          </w:tcPr>
          <w:p w14:paraId="6FFADB9A" w14:textId="77777777" w:rsidR="0007436E" w:rsidRPr="00F35CF9" w:rsidRDefault="0007436E">
            <w:r w:rsidRPr="00F35CF9">
              <w:t>Needle and Syringe Program</w:t>
            </w:r>
          </w:p>
        </w:tc>
      </w:tr>
      <w:tr w:rsidR="0007436E" w:rsidRPr="00F35CF9" w14:paraId="54A5F6D3" w14:textId="77777777">
        <w:trPr>
          <w:trHeight w:val="300"/>
        </w:trPr>
        <w:tc>
          <w:tcPr>
            <w:tcW w:w="1555" w:type="dxa"/>
            <w:noWrap/>
            <w:hideMark/>
          </w:tcPr>
          <w:p w14:paraId="53E23BF9" w14:textId="77777777" w:rsidR="0007436E" w:rsidRPr="00F35CF9" w:rsidRDefault="0007436E">
            <w:r w:rsidRPr="00F35CF9">
              <w:t>OCU</w:t>
            </w:r>
          </w:p>
        </w:tc>
        <w:tc>
          <w:tcPr>
            <w:tcW w:w="7461" w:type="dxa"/>
            <w:noWrap/>
            <w:hideMark/>
          </w:tcPr>
          <w:p w14:paraId="29239208" w14:textId="77777777" w:rsidR="0007436E" w:rsidRPr="00F35CF9" w:rsidRDefault="0007436E">
            <w:r w:rsidRPr="00F35CF9">
              <w:t>Opiate and Crack Users</w:t>
            </w:r>
          </w:p>
        </w:tc>
      </w:tr>
      <w:tr w:rsidR="0007436E" w:rsidRPr="00F35CF9" w14:paraId="75A06F06" w14:textId="77777777">
        <w:trPr>
          <w:trHeight w:val="300"/>
        </w:trPr>
        <w:tc>
          <w:tcPr>
            <w:tcW w:w="1555" w:type="dxa"/>
            <w:noWrap/>
            <w:hideMark/>
          </w:tcPr>
          <w:p w14:paraId="7DFAE626" w14:textId="77777777" w:rsidR="0007436E" w:rsidRPr="00F35CF9" w:rsidRDefault="0007436E">
            <w:r w:rsidRPr="00F35CF9">
              <w:t>OHID</w:t>
            </w:r>
          </w:p>
        </w:tc>
        <w:tc>
          <w:tcPr>
            <w:tcW w:w="7461" w:type="dxa"/>
            <w:noWrap/>
            <w:hideMark/>
          </w:tcPr>
          <w:p w14:paraId="1D5C366B" w14:textId="77777777" w:rsidR="0007436E" w:rsidRPr="00F35CF9" w:rsidRDefault="0007436E">
            <w:r w:rsidRPr="00F35CF9">
              <w:t>Office for Health Improvement and Disparities</w:t>
            </w:r>
          </w:p>
        </w:tc>
      </w:tr>
      <w:tr w:rsidR="0007436E" w:rsidRPr="00F35CF9" w14:paraId="1A8BBF0C" w14:textId="77777777">
        <w:trPr>
          <w:trHeight w:val="300"/>
        </w:trPr>
        <w:tc>
          <w:tcPr>
            <w:tcW w:w="1555" w:type="dxa"/>
            <w:noWrap/>
            <w:hideMark/>
          </w:tcPr>
          <w:p w14:paraId="26D03650" w14:textId="77777777" w:rsidR="0007436E" w:rsidRPr="00F35CF9" w:rsidRDefault="0007436E">
            <w:r w:rsidRPr="00F35CF9">
              <w:t>ONS</w:t>
            </w:r>
          </w:p>
        </w:tc>
        <w:tc>
          <w:tcPr>
            <w:tcW w:w="7461" w:type="dxa"/>
            <w:noWrap/>
            <w:hideMark/>
          </w:tcPr>
          <w:p w14:paraId="1CC05BBA" w14:textId="77777777" w:rsidR="0007436E" w:rsidRPr="00F35CF9" w:rsidRDefault="0007436E">
            <w:r w:rsidRPr="00F35CF9">
              <w:t>Office for National Statistics</w:t>
            </w:r>
          </w:p>
        </w:tc>
      </w:tr>
      <w:tr w:rsidR="0007436E" w:rsidRPr="00F35CF9" w14:paraId="0DC2044F" w14:textId="77777777">
        <w:trPr>
          <w:trHeight w:val="300"/>
        </w:trPr>
        <w:tc>
          <w:tcPr>
            <w:tcW w:w="1555" w:type="dxa"/>
            <w:noWrap/>
            <w:hideMark/>
          </w:tcPr>
          <w:p w14:paraId="7E2CE5FB" w14:textId="77777777" w:rsidR="0007436E" w:rsidRPr="00F35CF9" w:rsidRDefault="0007436E">
            <w:r w:rsidRPr="00F35CF9">
              <w:t>OST</w:t>
            </w:r>
          </w:p>
        </w:tc>
        <w:tc>
          <w:tcPr>
            <w:tcW w:w="7461" w:type="dxa"/>
            <w:noWrap/>
            <w:hideMark/>
          </w:tcPr>
          <w:p w14:paraId="1B7FB7FC" w14:textId="77777777" w:rsidR="0007436E" w:rsidRPr="00F35CF9" w:rsidRDefault="0007436E">
            <w:r w:rsidRPr="00F35CF9">
              <w:t>Opioid Substitution Therapy</w:t>
            </w:r>
          </w:p>
        </w:tc>
      </w:tr>
      <w:tr w:rsidR="0007436E" w:rsidRPr="00F35CF9" w14:paraId="07BA1732" w14:textId="77777777">
        <w:trPr>
          <w:trHeight w:val="300"/>
        </w:trPr>
        <w:tc>
          <w:tcPr>
            <w:tcW w:w="1555" w:type="dxa"/>
            <w:noWrap/>
          </w:tcPr>
          <w:p w14:paraId="672C024B" w14:textId="77777777" w:rsidR="0007436E" w:rsidRPr="00F35CF9" w:rsidRDefault="0007436E">
            <w:r>
              <w:t>Q1 (etc)</w:t>
            </w:r>
          </w:p>
        </w:tc>
        <w:tc>
          <w:tcPr>
            <w:tcW w:w="7461" w:type="dxa"/>
            <w:noWrap/>
          </w:tcPr>
          <w:p w14:paraId="1E60EEE9" w14:textId="77777777" w:rsidR="0007436E" w:rsidRPr="00F35CF9" w:rsidRDefault="0007436E">
            <w:r w:rsidRPr="00C10515">
              <w:t>Q1</w:t>
            </w:r>
            <w:r>
              <w:t>-</w:t>
            </w:r>
            <w:r w:rsidRPr="00C10515">
              <w:t>Q4 refer to the fiscal year quarters, where Q1 = April</w:t>
            </w:r>
            <w:r>
              <w:t>-</w:t>
            </w:r>
            <w:r w:rsidRPr="00C10515">
              <w:t>June, Q2 = July</w:t>
            </w:r>
            <w:r>
              <w:t>-</w:t>
            </w:r>
            <w:r w:rsidRPr="00C10515">
              <w:t>September, Q3 = October</w:t>
            </w:r>
            <w:r>
              <w:t>-</w:t>
            </w:r>
            <w:r w:rsidRPr="00C10515">
              <w:t>December, and Q4 = January</w:t>
            </w:r>
            <w:r>
              <w:t>-</w:t>
            </w:r>
            <w:r w:rsidRPr="00C10515">
              <w:t>March</w:t>
            </w:r>
          </w:p>
        </w:tc>
      </w:tr>
      <w:tr w:rsidR="0007436E" w:rsidRPr="00F35CF9" w14:paraId="6D4DB084" w14:textId="77777777">
        <w:trPr>
          <w:trHeight w:val="300"/>
        </w:trPr>
        <w:tc>
          <w:tcPr>
            <w:tcW w:w="1555" w:type="dxa"/>
            <w:noWrap/>
            <w:hideMark/>
          </w:tcPr>
          <w:p w14:paraId="091895A3" w14:textId="77777777" w:rsidR="0007436E" w:rsidRPr="00F35CF9" w:rsidRDefault="0007436E">
            <w:r w:rsidRPr="00F35CF9">
              <w:t>PCC</w:t>
            </w:r>
          </w:p>
        </w:tc>
        <w:tc>
          <w:tcPr>
            <w:tcW w:w="7461" w:type="dxa"/>
            <w:noWrap/>
            <w:hideMark/>
          </w:tcPr>
          <w:p w14:paraId="0F3131BC" w14:textId="77777777" w:rsidR="0007436E" w:rsidRPr="00F35CF9" w:rsidRDefault="0007436E">
            <w:r w:rsidRPr="00F35CF9">
              <w:t>Peterborough City Council</w:t>
            </w:r>
          </w:p>
        </w:tc>
      </w:tr>
      <w:tr w:rsidR="0007436E" w:rsidRPr="00F35CF9" w14:paraId="7BC5F59A" w14:textId="77777777">
        <w:trPr>
          <w:trHeight w:val="300"/>
        </w:trPr>
        <w:tc>
          <w:tcPr>
            <w:tcW w:w="1555" w:type="dxa"/>
            <w:noWrap/>
            <w:hideMark/>
          </w:tcPr>
          <w:p w14:paraId="5879B322" w14:textId="77777777" w:rsidR="0007436E" w:rsidRPr="00F35CF9" w:rsidRDefault="0007436E">
            <w:r w:rsidRPr="00F35CF9">
              <w:t>PCN</w:t>
            </w:r>
          </w:p>
        </w:tc>
        <w:tc>
          <w:tcPr>
            <w:tcW w:w="7461" w:type="dxa"/>
            <w:noWrap/>
            <w:hideMark/>
          </w:tcPr>
          <w:p w14:paraId="4FDA10DE" w14:textId="77777777" w:rsidR="0007436E" w:rsidRPr="00F35CF9" w:rsidRDefault="0007436E">
            <w:r w:rsidRPr="00F35CF9">
              <w:t>Primary Care Network</w:t>
            </w:r>
          </w:p>
        </w:tc>
      </w:tr>
      <w:tr w:rsidR="0007436E" w:rsidRPr="00F35CF9" w14:paraId="09B82F41" w14:textId="77777777">
        <w:trPr>
          <w:trHeight w:val="300"/>
        </w:trPr>
        <w:tc>
          <w:tcPr>
            <w:tcW w:w="1555" w:type="dxa"/>
            <w:noWrap/>
            <w:hideMark/>
          </w:tcPr>
          <w:p w14:paraId="746C16CB" w14:textId="77777777" w:rsidR="0007436E" w:rsidRPr="00F35CF9" w:rsidRDefault="0007436E">
            <w:r w:rsidRPr="00F35CF9">
              <w:t>PHE</w:t>
            </w:r>
          </w:p>
        </w:tc>
        <w:tc>
          <w:tcPr>
            <w:tcW w:w="7461" w:type="dxa"/>
            <w:noWrap/>
            <w:hideMark/>
          </w:tcPr>
          <w:p w14:paraId="71B361B4" w14:textId="77777777" w:rsidR="0007436E" w:rsidRPr="00F35CF9" w:rsidRDefault="0007436E">
            <w:r w:rsidRPr="00F35CF9">
              <w:t>Public Health England</w:t>
            </w:r>
          </w:p>
        </w:tc>
      </w:tr>
      <w:tr w:rsidR="0007436E" w:rsidRPr="00F35CF9" w14:paraId="3BC4C297" w14:textId="77777777">
        <w:trPr>
          <w:trHeight w:val="300"/>
        </w:trPr>
        <w:tc>
          <w:tcPr>
            <w:tcW w:w="1555" w:type="dxa"/>
            <w:noWrap/>
            <w:hideMark/>
          </w:tcPr>
          <w:p w14:paraId="79F983A3" w14:textId="77777777" w:rsidR="0007436E" w:rsidRPr="00F35CF9" w:rsidRDefault="0007436E">
            <w:r w:rsidRPr="00F35CF9">
              <w:t>PWID</w:t>
            </w:r>
          </w:p>
        </w:tc>
        <w:tc>
          <w:tcPr>
            <w:tcW w:w="7461" w:type="dxa"/>
            <w:noWrap/>
            <w:hideMark/>
          </w:tcPr>
          <w:p w14:paraId="743BF8CD" w14:textId="77777777" w:rsidR="0007436E" w:rsidRPr="00F35CF9" w:rsidRDefault="0007436E">
            <w:r w:rsidRPr="00F35CF9">
              <w:t>People Who Inject Drugs</w:t>
            </w:r>
          </w:p>
        </w:tc>
      </w:tr>
      <w:tr w:rsidR="0007436E" w:rsidRPr="00F35CF9" w14:paraId="60DEFABF" w14:textId="77777777">
        <w:trPr>
          <w:trHeight w:val="300"/>
        </w:trPr>
        <w:tc>
          <w:tcPr>
            <w:tcW w:w="1555" w:type="dxa"/>
            <w:noWrap/>
          </w:tcPr>
          <w:p w14:paraId="0669E6E9" w14:textId="77777777" w:rsidR="0007436E" w:rsidRPr="00F35CF9" w:rsidRDefault="0007436E">
            <w:r>
              <w:t>RPT</w:t>
            </w:r>
          </w:p>
        </w:tc>
        <w:tc>
          <w:tcPr>
            <w:tcW w:w="7461" w:type="dxa"/>
            <w:noWrap/>
          </w:tcPr>
          <w:p w14:paraId="27CC3A22" w14:textId="77777777" w:rsidR="0007436E" w:rsidRPr="00F35CF9" w:rsidRDefault="0007436E">
            <w:r>
              <w:t>Rate per 1000</w:t>
            </w:r>
          </w:p>
        </w:tc>
      </w:tr>
      <w:tr w:rsidR="0007436E" w:rsidRPr="00F35CF9" w14:paraId="16A21F03" w14:textId="77777777">
        <w:trPr>
          <w:trHeight w:val="300"/>
        </w:trPr>
        <w:tc>
          <w:tcPr>
            <w:tcW w:w="1555" w:type="dxa"/>
            <w:noWrap/>
            <w:hideMark/>
          </w:tcPr>
          <w:p w14:paraId="65466DC4" w14:textId="77777777" w:rsidR="0007436E" w:rsidRPr="00F35CF9" w:rsidRDefault="0007436E">
            <w:r w:rsidRPr="00F35CF9">
              <w:t>RSDAT</w:t>
            </w:r>
          </w:p>
        </w:tc>
        <w:tc>
          <w:tcPr>
            <w:tcW w:w="7461" w:type="dxa"/>
            <w:noWrap/>
            <w:hideMark/>
          </w:tcPr>
          <w:p w14:paraId="59EDE61F" w14:textId="77777777" w:rsidR="0007436E" w:rsidRPr="00F35CF9" w:rsidRDefault="0007436E">
            <w:r w:rsidRPr="00335CBF">
              <w:t>Rough Sleeper Drug and Alcohol Treatment</w:t>
            </w:r>
          </w:p>
        </w:tc>
      </w:tr>
      <w:tr w:rsidR="0007436E" w:rsidRPr="00F35CF9" w14:paraId="7A40AD91" w14:textId="77777777">
        <w:trPr>
          <w:trHeight w:val="300"/>
        </w:trPr>
        <w:tc>
          <w:tcPr>
            <w:tcW w:w="1555" w:type="dxa"/>
            <w:noWrap/>
            <w:hideMark/>
          </w:tcPr>
          <w:p w14:paraId="648C7135" w14:textId="77777777" w:rsidR="0007436E" w:rsidRPr="00F35CF9" w:rsidRDefault="0007436E">
            <w:r w:rsidRPr="00F35CF9">
              <w:t>SCR</w:t>
            </w:r>
          </w:p>
        </w:tc>
        <w:tc>
          <w:tcPr>
            <w:tcW w:w="7461" w:type="dxa"/>
            <w:noWrap/>
            <w:hideMark/>
          </w:tcPr>
          <w:p w14:paraId="7ADFE427" w14:textId="77777777" w:rsidR="0007436E" w:rsidRPr="00F35CF9" w:rsidRDefault="0007436E">
            <w:r w:rsidRPr="00F35CF9">
              <w:t>Shared Care Record</w:t>
            </w:r>
          </w:p>
        </w:tc>
      </w:tr>
      <w:tr w:rsidR="0007436E" w:rsidRPr="00F35CF9" w14:paraId="69761E76" w14:textId="77777777">
        <w:trPr>
          <w:trHeight w:val="300"/>
        </w:trPr>
        <w:tc>
          <w:tcPr>
            <w:tcW w:w="1555" w:type="dxa"/>
            <w:noWrap/>
            <w:hideMark/>
          </w:tcPr>
          <w:p w14:paraId="1E4F8831" w14:textId="77777777" w:rsidR="0007436E" w:rsidRPr="00F35CF9" w:rsidRDefault="0007436E">
            <w:r w:rsidRPr="00F35CF9">
              <w:t>SDD</w:t>
            </w:r>
          </w:p>
        </w:tc>
        <w:tc>
          <w:tcPr>
            <w:tcW w:w="7461" w:type="dxa"/>
            <w:noWrap/>
            <w:hideMark/>
          </w:tcPr>
          <w:p w14:paraId="6C2884A8" w14:textId="77777777" w:rsidR="0007436E" w:rsidRPr="00F35CF9" w:rsidRDefault="0007436E">
            <w:r w:rsidRPr="00F35CF9">
              <w:t>Smoking, Drinking and Drug (use survey among young people in England)</w:t>
            </w:r>
          </w:p>
        </w:tc>
      </w:tr>
      <w:tr w:rsidR="0007436E" w:rsidRPr="00F35CF9" w14:paraId="466BFE33" w14:textId="77777777">
        <w:trPr>
          <w:trHeight w:val="300"/>
        </w:trPr>
        <w:tc>
          <w:tcPr>
            <w:tcW w:w="1555" w:type="dxa"/>
            <w:noWrap/>
            <w:hideMark/>
          </w:tcPr>
          <w:p w14:paraId="737B7167" w14:textId="77777777" w:rsidR="0007436E" w:rsidRPr="00F35CF9" w:rsidRDefault="0007436E">
            <w:r w:rsidRPr="00F35CF9">
              <w:t>SSMTRG</w:t>
            </w:r>
          </w:p>
        </w:tc>
        <w:tc>
          <w:tcPr>
            <w:tcW w:w="7461" w:type="dxa"/>
            <w:noWrap/>
            <w:hideMark/>
          </w:tcPr>
          <w:p w14:paraId="61BA62C5" w14:textId="77777777" w:rsidR="0007436E" w:rsidRPr="00F35CF9" w:rsidRDefault="0007436E">
            <w:r w:rsidRPr="00F35CF9">
              <w:t>Supplementary Substance Misuse Treatment and Recovery Grant</w:t>
            </w:r>
          </w:p>
        </w:tc>
      </w:tr>
      <w:tr w:rsidR="0007436E" w:rsidRPr="00F35CF9" w14:paraId="54EE679C" w14:textId="77777777">
        <w:trPr>
          <w:trHeight w:val="300"/>
        </w:trPr>
        <w:tc>
          <w:tcPr>
            <w:tcW w:w="1555" w:type="dxa"/>
            <w:noWrap/>
            <w:hideMark/>
          </w:tcPr>
          <w:p w14:paraId="3803D42D" w14:textId="77777777" w:rsidR="0007436E" w:rsidRPr="00F35CF9" w:rsidRDefault="0007436E">
            <w:r w:rsidRPr="00F35CF9">
              <w:t>SUN Network</w:t>
            </w:r>
          </w:p>
        </w:tc>
        <w:tc>
          <w:tcPr>
            <w:tcW w:w="7461" w:type="dxa"/>
            <w:noWrap/>
            <w:hideMark/>
          </w:tcPr>
          <w:p w14:paraId="05EFA089" w14:textId="77777777" w:rsidR="0007436E" w:rsidRPr="00F35CF9" w:rsidRDefault="0007436E">
            <w:r w:rsidRPr="00F35CF9">
              <w:t>Service User Network</w:t>
            </w:r>
          </w:p>
        </w:tc>
      </w:tr>
      <w:tr w:rsidR="0007436E" w:rsidRPr="00F35CF9" w14:paraId="7F3AED49" w14:textId="77777777">
        <w:trPr>
          <w:trHeight w:val="300"/>
        </w:trPr>
        <w:tc>
          <w:tcPr>
            <w:tcW w:w="1555" w:type="dxa"/>
            <w:noWrap/>
            <w:hideMark/>
          </w:tcPr>
          <w:p w14:paraId="59099C38" w14:textId="77777777" w:rsidR="0007436E" w:rsidRPr="00F35CF9" w:rsidRDefault="0007436E">
            <w:r w:rsidRPr="00F35CF9">
              <w:t>UK</w:t>
            </w:r>
          </w:p>
        </w:tc>
        <w:tc>
          <w:tcPr>
            <w:tcW w:w="7461" w:type="dxa"/>
            <w:noWrap/>
            <w:hideMark/>
          </w:tcPr>
          <w:p w14:paraId="60BAF44C" w14:textId="77777777" w:rsidR="0007436E" w:rsidRPr="00F35CF9" w:rsidRDefault="0007436E">
            <w:r w:rsidRPr="00F35CF9">
              <w:t>United Kingdom</w:t>
            </w:r>
          </w:p>
        </w:tc>
      </w:tr>
      <w:tr w:rsidR="0007436E" w:rsidRPr="00F35CF9" w14:paraId="1157FAE3" w14:textId="77777777">
        <w:trPr>
          <w:trHeight w:val="300"/>
        </w:trPr>
        <w:tc>
          <w:tcPr>
            <w:tcW w:w="1555" w:type="dxa"/>
            <w:noWrap/>
          </w:tcPr>
          <w:p w14:paraId="12ADF605" w14:textId="77777777" w:rsidR="0007436E" w:rsidRPr="00F35CF9" w:rsidRDefault="0007436E">
            <w:r>
              <w:t>VCSE</w:t>
            </w:r>
          </w:p>
        </w:tc>
        <w:tc>
          <w:tcPr>
            <w:tcW w:w="7461" w:type="dxa"/>
            <w:noWrap/>
          </w:tcPr>
          <w:p w14:paraId="36C3D1E4" w14:textId="77777777" w:rsidR="0007436E" w:rsidRPr="00F35CF9" w:rsidRDefault="0007436E">
            <w:r w:rsidRPr="0084738D">
              <w:t>Voluntary, Community, and Social Enterprise</w:t>
            </w:r>
          </w:p>
        </w:tc>
      </w:tr>
      <w:tr w:rsidR="0007436E" w:rsidRPr="00F35CF9" w14:paraId="2B4E14E2" w14:textId="77777777">
        <w:trPr>
          <w:trHeight w:val="300"/>
        </w:trPr>
        <w:tc>
          <w:tcPr>
            <w:tcW w:w="1555" w:type="dxa"/>
            <w:noWrap/>
            <w:hideMark/>
          </w:tcPr>
          <w:p w14:paraId="77408EE2" w14:textId="77777777" w:rsidR="0007436E" w:rsidRPr="00F35CF9" w:rsidRDefault="0007436E">
            <w:r w:rsidRPr="00F35CF9">
              <w:t>WHO</w:t>
            </w:r>
          </w:p>
        </w:tc>
        <w:tc>
          <w:tcPr>
            <w:tcW w:w="7461" w:type="dxa"/>
            <w:noWrap/>
            <w:hideMark/>
          </w:tcPr>
          <w:p w14:paraId="02B66BB1" w14:textId="77777777" w:rsidR="0007436E" w:rsidRPr="00F35CF9" w:rsidRDefault="0007436E">
            <w:r w:rsidRPr="00F35CF9">
              <w:t>World Health Organization</w:t>
            </w:r>
          </w:p>
        </w:tc>
      </w:tr>
    </w:tbl>
    <w:p w14:paraId="5ED7A9D6" w14:textId="77777777" w:rsidR="00F72A4F" w:rsidRDefault="00F72A4F" w:rsidP="00F72A4F"/>
    <w:p w14:paraId="59C9B1EC" w14:textId="77777777" w:rsidR="00432783" w:rsidRDefault="00432783" w:rsidP="0011230B"/>
    <w:p w14:paraId="2B9EBCC2" w14:textId="222B4F92" w:rsidR="00782D2F" w:rsidRDefault="002C3773" w:rsidP="00782D2F">
      <w:r>
        <w:t xml:space="preserve"> </w:t>
      </w:r>
    </w:p>
    <w:p w14:paraId="09629C5B" w14:textId="77777777" w:rsidR="0007436E" w:rsidRDefault="0007436E" w:rsidP="006A2D4E">
      <w:pPr>
        <w:pStyle w:val="Heading2"/>
        <w:sectPr w:rsidR="0007436E">
          <w:pgSz w:w="11906" w:h="16838"/>
          <w:pgMar w:top="1440" w:right="1440" w:bottom="1440" w:left="1440" w:header="708" w:footer="708" w:gutter="0"/>
          <w:cols w:space="708"/>
          <w:docGrid w:linePitch="360"/>
        </w:sectPr>
      </w:pPr>
    </w:p>
    <w:p w14:paraId="527E528A" w14:textId="3CFE4A22" w:rsidR="001A5142" w:rsidRPr="001A5142" w:rsidRDefault="00747487" w:rsidP="006A2D4E">
      <w:pPr>
        <w:pStyle w:val="Heading2"/>
      </w:pPr>
      <w:bookmarkStart w:id="101" w:name="_Toc200479533"/>
      <w:r>
        <w:lastRenderedPageBreak/>
        <w:t>Qualitative C</w:t>
      </w:r>
      <w:r w:rsidR="001A5142">
        <w:t>onsultation</w:t>
      </w:r>
      <w:r w:rsidR="000B36DF">
        <w:t>; Summary Themes</w:t>
      </w:r>
      <w:bookmarkEnd w:id="101"/>
    </w:p>
    <w:p w14:paraId="76E636A6" w14:textId="77777777" w:rsidR="00747487" w:rsidRPr="007F587B" w:rsidRDefault="00747487" w:rsidP="00747487">
      <w:pPr>
        <w:rPr>
          <w:sz w:val="4"/>
          <w:szCs w:val="4"/>
        </w:rPr>
      </w:pPr>
    </w:p>
    <w:tbl>
      <w:tblPr>
        <w:tblStyle w:val="TableGrid"/>
        <w:tblW w:w="9209" w:type="dxa"/>
        <w:tblLook w:val="04A0" w:firstRow="1" w:lastRow="0" w:firstColumn="1" w:lastColumn="0" w:noHBand="0" w:noVBand="1"/>
      </w:tblPr>
      <w:tblGrid>
        <w:gridCol w:w="6516"/>
        <w:gridCol w:w="2693"/>
      </w:tblGrid>
      <w:tr w:rsidR="001A5142" w14:paraId="5D880C2F" w14:textId="77777777" w:rsidTr="000046A8">
        <w:tc>
          <w:tcPr>
            <w:tcW w:w="6516" w:type="dxa"/>
          </w:tcPr>
          <w:p w14:paraId="2F0DD8BC" w14:textId="77777777" w:rsidR="001A5142" w:rsidRPr="00D840EB" w:rsidRDefault="001A5142" w:rsidP="000046A8">
            <w:pPr>
              <w:rPr>
                <w:b/>
                <w:bCs/>
              </w:rPr>
            </w:pPr>
            <w:r>
              <w:rPr>
                <w:b/>
                <w:bCs/>
              </w:rPr>
              <w:t>Qualitative assessment t</w:t>
            </w:r>
            <w:r w:rsidRPr="00D840EB">
              <w:rPr>
                <w:b/>
                <w:bCs/>
              </w:rPr>
              <w:t xml:space="preserve">hemes </w:t>
            </w:r>
          </w:p>
        </w:tc>
        <w:tc>
          <w:tcPr>
            <w:tcW w:w="2693" w:type="dxa"/>
          </w:tcPr>
          <w:p w14:paraId="41405EF7" w14:textId="77777777" w:rsidR="001A5142" w:rsidRPr="00D840EB" w:rsidRDefault="001A5142" w:rsidP="000046A8">
            <w:pPr>
              <w:rPr>
                <w:b/>
                <w:bCs/>
              </w:rPr>
            </w:pPr>
            <w:r>
              <w:rPr>
                <w:b/>
                <w:bCs/>
              </w:rPr>
              <w:t>Assessment area</w:t>
            </w:r>
          </w:p>
        </w:tc>
      </w:tr>
      <w:tr w:rsidR="001A5142" w14:paraId="313D64C5" w14:textId="77777777" w:rsidTr="000046A8">
        <w:tc>
          <w:tcPr>
            <w:tcW w:w="6516" w:type="dxa"/>
            <w:shd w:val="clear" w:color="auto" w:fill="D9F2D0" w:themeFill="accent6" w:themeFillTint="33"/>
          </w:tcPr>
          <w:p w14:paraId="47485AD7" w14:textId="77777777" w:rsidR="001A5142" w:rsidRPr="00971CDD" w:rsidRDefault="001A5142" w:rsidP="000046A8">
            <w:r>
              <w:t xml:space="preserve">Office space needs to be fit for purpose, for both staff and service users.  This includes different locations for accessibility. </w:t>
            </w:r>
          </w:p>
        </w:tc>
        <w:tc>
          <w:tcPr>
            <w:tcW w:w="2693" w:type="dxa"/>
            <w:vMerge w:val="restart"/>
            <w:shd w:val="clear" w:color="auto" w:fill="D9F2D0" w:themeFill="accent6" w:themeFillTint="33"/>
          </w:tcPr>
          <w:p w14:paraId="3DD1B5EF" w14:textId="77777777" w:rsidR="001A5142" w:rsidRDefault="001A5142" w:rsidP="000046A8">
            <w:r w:rsidRPr="00D840EB">
              <w:rPr>
                <w:b/>
                <w:bCs/>
              </w:rPr>
              <w:t>Staff feedback</w:t>
            </w:r>
          </w:p>
        </w:tc>
      </w:tr>
      <w:tr w:rsidR="001A5142" w14:paraId="4E2E5344" w14:textId="77777777" w:rsidTr="000046A8">
        <w:tc>
          <w:tcPr>
            <w:tcW w:w="6516" w:type="dxa"/>
            <w:shd w:val="clear" w:color="auto" w:fill="D9F2D0" w:themeFill="accent6" w:themeFillTint="33"/>
          </w:tcPr>
          <w:p w14:paraId="1B4FB655" w14:textId="77777777" w:rsidR="001A5142" w:rsidRPr="00971CDD" w:rsidRDefault="001A5142" w:rsidP="000046A8">
            <w:r>
              <w:t xml:space="preserve">High caseloads </w:t>
            </w:r>
          </w:p>
        </w:tc>
        <w:tc>
          <w:tcPr>
            <w:tcW w:w="2693" w:type="dxa"/>
            <w:vMerge/>
          </w:tcPr>
          <w:p w14:paraId="5C128968" w14:textId="77777777" w:rsidR="001A5142" w:rsidRDefault="001A5142" w:rsidP="000046A8"/>
        </w:tc>
      </w:tr>
      <w:tr w:rsidR="001A5142" w14:paraId="0E299DA4" w14:textId="77777777" w:rsidTr="000046A8">
        <w:tc>
          <w:tcPr>
            <w:tcW w:w="6516" w:type="dxa"/>
            <w:shd w:val="clear" w:color="auto" w:fill="D9F2D0" w:themeFill="accent6" w:themeFillTint="33"/>
          </w:tcPr>
          <w:p w14:paraId="623D348A" w14:textId="77777777" w:rsidR="001A5142" w:rsidRPr="00971CDD" w:rsidRDefault="001A5142" w:rsidP="000046A8">
            <w:r>
              <w:t>Opportunity to undertake outreach and home visits</w:t>
            </w:r>
          </w:p>
        </w:tc>
        <w:tc>
          <w:tcPr>
            <w:tcW w:w="2693" w:type="dxa"/>
            <w:vMerge/>
          </w:tcPr>
          <w:p w14:paraId="61156DFE" w14:textId="77777777" w:rsidR="001A5142" w:rsidRDefault="001A5142" w:rsidP="000046A8"/>
        </w:tc>
      </w:tr>
      <w:tr w:rsidR="001A5142" w14:paraId="07D95B06" w14:textId="77777777" w:rsidTr="000046A8">
        <w:tc>
          <w:tcPr>
            <w:tcW w:w="6516" w:type="dxa"/>
            <w:shd w:val="clear" w:color="auto" w:fill="CAEDFB" w:themeFill="accent4" w:themeFillTint="33"/>
          </w:tcPr>
          <w:p w14:paraId="6D91536C" w14:textId="77777777" w:rsidR="001A5142" w:rsidRPr="00971CDD" w:rsidRDefault="001A5142" w:rsidP="000046A8">
            <w:r>
              <w:t>S</w:t>
            </w:r>
            <w:r w:rsidRPr="001D372C">
              <w:t>mallest increases in rate of change have been reported in ASB/ Criminality, abusive relationship and drug and alcohol use. </w:t>
            </w:r>
          </w:p>
        </w:tc>
        <w:tc>
          <w:tcPr>
            <w:tcW w:w="2693" w:type="dxa"/>
            <w:vMerge w:val="restart"/>
            <w:shd w:val="clear" w:color="auto" w:fill="CAEDFB" w:themeFill="accent4" w:themeFillTint="33"/>
          </w:tcPr>
          <w:p w14:paraId="7B3A54EF" w14:textId="77777777" w:rsidR="001A5142" w:rsidRDefault="001A5142" w:rsidP="000046A8">
            <w:r w:rsidRPr="00D840EB">
              <w:rPr>
                <w:b/>
                <w:bCs/>
              </w:rPr>
              <w:t xml:space="preserve">Service user questionnaire </w:t>
            </w:r>
          </w:p>
        </w:tc>
      </w:tr>
      <w:tr w:rsidR="001A5142" w14:paraId="26BDD6DA" w14:textId="77777777" w:rsidTr="000046A8">
        <w:tc>
          <w:tcPr>
            <w:tcW w:w="6516" w:type="dxa"/>
            <w:shd w:val="clear" w:color="auto" w:fill="CAEDFB" w:themeFill="accent4" w:themeFillTint="33"/>
          </w:tcPr>
          <w:p w14:paraId="3885B4F2" w14:textId="77777777" w:rsidR="001A5142" w:rsidRPr="00971CDD" w:rsidRDefault="001A5142" w:rsidP="000046A8">
            <w:r>
              <w:t>Positive</w:t>
            </w:r>
            <w:r w:rsidRPr="001D372C">
              <w:t xml:space="preserve"> rates of change are seen in safe accommodation (+5.0), evidencing that whilst in treatment service users are feeling safer in their accommodation.  </w:t>
            </w:r>
          </w:p>
        </w:tc>
        <w:tc>
          <w:tcPr>
            <w:tcW w:w="2693" w:type="dxa"/>
            <w:vMerge/>
            <w:shd w:val="clear" w:color="auto" w:fill="CAEDFB" w:themeFill="accent4" w:themeFillTint="33"/>
          </w:tcPr>
          <w:p w14:paraId="7C7B717E" w14:textId="77777777" w:rsidR="001A5142" w:rsidRDefault="001A5142" w:rsidP="000046A8"/>
        </w:tc>
      </w:tr>
      <w:tr w:rsidR="001A5142" w14:paraId="773ED8B2" w14:textId="77777777" w:rsidTr="000046A8">
        <w:tc>
          <w:tcPr>
            <w:tcW w:w="6516" w:type="dxa"/>
            <w:shd w:val="clear" w:color="auto" w:fill="CAEDFB" w:themeFill="accent4" w:themeFillTint="33"/>
          </w:tcPr>
          <w:p w14:paraId="5BE82835" w14:textId="77777777" w:rsidR="001A5142" w:rsidRDefault="001A5142" w:rsidP="000046A8">
            <w:pPr>
              <w:spacing w:after="160" w:line="259" w:lineRule="auto"/>
            </w:pPr>
            <w:r>
              <w:t xml:space="preserve">Free text responses provided the following </w:t>
            </w:r>
            <w:proofErr w:type="gramStart"/>
            <w:r>
              <w:t>responses;</w:t>
            </w:r>
            <w:proofErr w:type="gramEnd"/>
            <w:r>
              <w:t xml:space="preserve"> </w:t>
            </w:r>
          </w:p>
          <w:p w14:paraId="745B703D" w14:textId="77777777" w:rsidR="001A5142" w:rsidRPr="001D372C" w:rsidRDefault="001A5142" w:rsidP="000046A8">
            <w:pPr>
              <w:spacing w:after="160" w:line="259" w:lineRule="auto"/>
              <w:rPr>
                <w:b/>
                <w:bCs/>
              </w:rPr>
            </w:pPr>
            <w:r w:rsidRPr="001D372C">
              <w:rPr>
                <w:b/>
                <w:bCs/>
              </w:rPr>
              <w:t>What is working well-  </w:t>
            </w:r>
          </w:p>
          <w:p w14:paraId="72EDBF14" w14:textId="77777777" w:rsidR="001A5142" w:rsidRDefault="001A5142" w:rsidP="001A5142">
            <w:pPr>
              <w:numPr>
                <w:ilvl w:val="0"/>
                <w:numId w:val="29"/>
              </w:numPr>
              <w:spacing w:after="160" w:line="259" w:lineRule="auto"/>
            </w:pPr>
            <w:r w:rsidRPr="001D372C">
              <w:t>Opportunity to talk to another person and find solutions  </w:t>
            </w:r>
          </w:p>
          <w:p w14:paraId="25C86A43" w14:textId="77777777" w:rsidR="001A5142" w:rsidRPr="001D372C" w:rsidRDefault="001A5142" w:rsidP="001A5142">
            <w:pPr>
              <w:numPr>
                <w:ilvl w:val="0"/>
                <w:numId w:val="29"/>
              </w:numPr>
              <w:spacing w:after="160" w:line="259" w:lineRule="auto"/>
            </w:pPr>
            <w:r w:rsidRPr="001D372C">
              <w:t>Group work </w:t>
            </w:r>
          </w:p>
          <w:p w14:paraId="14A159E5" w14:textId="77777777" w:rsidR="001A5142" w:rsidRPr="001D372C" w:rsidRDefault="001A5142" w:rsidP="001A5142">
            <w:pPr>
              <w:numPr>
                <w:ilvl w:val="0"/>
                <w:numId w:val="30"/>
              </w:numPr>
              <w:spacing w:after="160" w:line="259" w:lineRule="auto"/>
            </w:pPr>
            <w:r w:rsidRPr="001D372C">
              <w:t>Relationships with keyworkers </w:t>
            </w:r>
          </w:p>
          <w:p w14:paraId="0D025998" w14:textId="77777777" w:rsidR="001A5142" w:rsidRPr="001D372C" w:rsidRDefault="001A5142" w:rsidP="000046A8">
            <w:pPr>
              <w:spacing w:after="160" w:line="259" w:lineRule="auto"/>
              <w:rPr>
                <w:b/>
                <w:bCs/>
              </w:rPr>
            </w:pPr>
            <w:r w:rsidRPr="001D372C">
              <w:rPr>
                <w:b/>
                <w:bCs/>
              </w:rPr>
              <w:t>What could be better-  </w:t>
            </w:r>
          </w:p>
          <w:p w14:paraId="2E33E6EC" w14:textId="77777777" w:rsidR="001A5142" w:rsidRPr="001D372C" w:rsidRDefault="001A5142" w:rsidP="001A5142">
            <w:pPr>
              <w:numPr>
                <w:ilvl w:val="0"/>
                <w:numId w:val="31"/>
              </w:numPr>
              <w:spacing w:after="160" w:line="259" w:lineRule="auto"/>
            </w:pPr>
            <w:r w:rsidRPr="001D372C">
              <w:t>Increased activity offer  </w:t>
            </w:r>
          </w:p>
          <w:p w14:paraId="182EC93F" w14:textId="77777777" w:rsidR="001A5142" w:rsidRPr="001D372C" w:rsidRDefault="001A5142" w:rsidP="001A5142">
            <w:pPr>
              <w:numPr>
                <w:ilvl w:val="0"/>
                <w:numId w:val="32"/>
              </w:numPr>
              <w:spacing w:after="160" w:line="259" w:lineRule="auto"/>
            </w:pPr>
            <w:r w:rsidRPr="001D372C">
              <w:t xml:space="preserve">More 1:1 </w:t>
            </w:r>
            <w:proofErr w:type="gramStart"/>
            <w:r w:rsidRPr="001D372C">
              <w:t>sessions</w:t>
            </w:r>
            <w:proofErr w:type="gramEnd"/>
            <w:r w:rsidRPr="001D372C">
              <w:t>  </w:t>
            </w:r>
          </w:p>
          <w:p w14:paraId="55EB43BC" w14:textId="77777777" w:rsidR="001A5142" w:rsidRPr="001D372C" w:rsidRDefault="001A5142" w:rsidP="000046A8">
            <w:pPr>
              <w:spacing w:after="160" w:line="259" w:lineRule="auto"/>
              <w:rPr>
                <w:b/>
                <w:bCs/>
              </w:rPr>
            </w:pPr>
            <w:r w:rsidRPr="00D840EB">
              <w:rPr>
                <w:b/>
                <w:bCs/>
              </w:rPr>
              <w:t>S</w:t>
            </w:r>
            <w:r w:rsidRPr="001D372C">
              <w:rPr>
                <w:b/>
                <w:bCs/>
              </w:rPr>
              <w:t>uitability of location –  </w:t>
            </w:r>
          </w:p>
          <w:p w14:paraId="3D9278EF" w14:textId="77777777" w:rsidR="001A5142" w:rsidRPr="001D372C" w:rsidRDefault="001A5142" w:rsidP="001A5142">
            <w:pPr>
              <w:numPr>
                <w:ilvl w:val="0"/>
                <w:numId w:val="33"/>
              </w:numPr>
              <w:spacing w:after="160" w:line="259" w:lineRule="auto"/>
            </w:pPr>
            <w:r w:rsidRPr="001D372C">
              <w:t>Most service users use the central location, and reported no issues </w:t>
            </w:r>
          </w:p>
          <w:p w14:paraId="37364968" w14:textId="77777777" w:rsidR="001A5142" w:rsidRPr="001D372C" w:rsidRDefault="001A5142" w:rsidP="000046A8">
            <w:pPr>
              <w:spacing w:after="160" w:line="259" w:lineRule="auto"/>
              <w:rPr>
                <w:b/>
                <w:bCs/>
              </w:rPr>
            </w:pPr>
            <w:r w:rsidRPr="001D372C">
              <w:rPr>
                <w:b/>
                <w:bCs/>
              </w:rPr>
              <w:t>Any further comments-</w:t>
            </w:r>
          </w:p>
          <w:p w14:paraId="38AAF9CB" w14:textId="77777777" w:rsidR="001A5142" w:rsidRPr="001D372C" w:rsidRDefault="001A5142" w:rsidP="001A5142">
            <w:pPr>
              <w:numPr>
                <w:ilvl w:val="0"/>
                <w:numId w:val="34"/>
              </w:numPr>
              <w:spacing w:after="160" w:line="259" w:lineRule="auto"/>
            </w:pPr>
            <w:r w:rsidRPr="001D372C">
              <w:t>There were several responses primarily report</w:t>
            </w:r>
            <w:r>
              <w:t>ing</w:t>
            </w:r>
            <w:r w:rsidRPr="001D372C">
              <w:t xml:space="preserve"> that they would like to see an ‘open ‘door policy.   </w:t>
            </w:r>
          </w:p>
          <w:p w14:paraId="123DA083" w14:textId="77777777" w:rsidR="001A5142" w:rsidRPr="00971CDD" w:rsidRDefault="001A5142" w:rsidP="000046A8"/>
        </w:tc>
        <w:tc>
          <w:tcPr>
            <w:tcW w:w="2693" w:type="dxa"/>
            <w:vMerge/>
            <w:shd w:val="clear" w:color="auto" w:fill="CAEDFB" w:themeFill="accent4" w:themeFillTint="33"/>
          </w:tcPr>
          <w:p w14:paraId="61438B2B" w14:textId="77777777" w:rsidR="001A5142" w:rsidRDefault="001A5142" w:rsidP="000046A8">
            <w:pPr>
              <w:spacing w:after="160" w:line="259" w:lineRule="auto"/>
            </w:pPr>
          </w:p>
        </w:tc>
      </w:tr>
      <w:tr w:rsidR="001A5142" w14:paraId="1278E66F" w14:textId="77777777" w:rsidTr="000046A8">
        <w:tc>
          <w:tcPr>
            <w:tcW w:w="6516" w:type="dxa"/>
            <w:shd w:val="clear" w:color="auto" w:fill="F2CEED" w:themeFill="accent5" w:themeFillTint="33"/>
          </w:tcPr>
          <w:p w14:paraId="410C09F8" w14:textId="77777777" w:rsidR="001A5142" w:rsidRDefault="001A5142" w:rsidP="000046A8">
            <w:r>
              <w:t xml:space="preserve">Alcohol and cannabis are seen prevalently across services </w:t>
            </w:r>
          </w:p>
        </w:tc>
        <w:tc>
          <w:tcPr>
            <w:tcW w:w="2693" w:type="dxa"/>
            <w:vMerge w:val="restart"/>
            <w:shd w:val="clear" w:color="auto" w:fill="F2CEED" w:themeFill="accent5" w:themeFillTint="33"/>
          </w:tcPr>
          <w:p w14:paraId="05E738C1" w14:textId="77777777" w:rsidR="001A5142" w:rsidRDefault="001A5142" w:rsidP="000046A8">
            <w:r w:rsidRPr="006C6ED5">
              <w:rPr>
                <w:b/>
                <w:bCs/>
              </w:rPr>
              <w:t xml:space="preserve">Stakeholder Questionnaire </w:t>
            </w:r>
          </w:p>
        </w:tc>
      </w:tr>
      <w:tr w:rsidR="001A5142" w14:paraId="66294B1D" w14:textId="77777777" w:rsidTr="000046A8">
        <w:tc>
          <w:tcPr>
            <w:tcW w:w="6516" w:type="dxa"/>
            <w:shd w:val="clear" w:color="auto" w:fill="F2CEED" w:themeFill="accent5" w:themeFillTint="33"/>
          </w:tcPr>
          <w:p w14:paraId="432CEB25" w14:textId="77777777" w:rsidR="001A5142" w:rsidRDefault="001A5142" w:rsidP="000046A8">
            <w:r>
              <w:t xml:space="preserve">45% of partners believed there is an option for co-location within their service.  </w:t>
            </w:r>
          </w:p>
        </w:tc>
        <w:tc>
          <w:tcPr>
            <w:tcW w:w="2693" w:type="dxa"/>
            <w:vMerge/>
            <w:shd w:val="clear" w:color="auto" w:fill="F2CEED" w:themeFill="accent5" w:themeFillTint="33"/>
          </w:tcPr>
          <w:p w14:paraId="2D45B479" w14:textId="77777777" w:rsidR="001A5142" w:rsidRDefault="001A5142" w:rsidP="000046A8"/>
        </w:tc>
      </w:tr>
      <w:tr w:rsidR="001A5142" w14:paraId="1EB102A0" w14:textId="77777777" w:rsidTr="000046A8">
        <w:tc>
          <w:tcPr>
            <w:tcW w:w="6516" w:type="dxa"/>
            <w:shd w:val="clear" w:color="auto" w:fill="F2CEED" w:themeFill="accent5" w:themeFillTint="33"/>
          </w:tcPr>
          <w:p w14:paraId="59338A79" w14:textId="77777777" w:rsidR="001A5142" w:rsidRDefault="001A5142" w:rsidP="000046A8">
            <w:r>
              <w:t xml:space="preserve">Increased promotion of services needed, including improving partner confidence in drug and alcohol offer. </w:t>
            </w:r>
          </w:p>
        </w:tc>
        <w:tc>
          <w:tcPr>
            <w:tcW w:w="2693" w:type="dxa"/>
            <w:vMerge/>
            <w:shd w:val="clear" w:color="auto" w:fill="F2CEED" w:themeFill="accent5" w:themeFillTint="33"/>
          </w:tcPr>
          <w:p w14:paraId="29543639" w14:textId="77777777" w:rsidR="001A5142" w:rsidRDefault="001A5142" w:rsidP="000046A8"/>
        </w:tc>
      </w:tr>
      <w:tr w:rsidR="001A5142" w14:paraId="664FF889" w14:textId="77777777" w:rsidTr="000046A8">
        <w:tc>
          <w:tcPr>
            <w:tcW w:w="6516" w:type="dxa"/>
            <w:shd w:val="clear" w:color="auto" w:fill="F2CEED" w:themeFill="accent5" w:themeFillTint="33"/>
          </w:tcPr>
          <w:p w14:paraId="07BE6668" w14:textId="77777777" w:rsidR="001A5142" w:rsidRDefault="001A5142" w:rsidP="000046A8">
            <w:r>
              <w:t>Services report engagement from their service users is based on them feeling ready to engage and motivation for change</w:t>
            </w:r>
          </w:p>
        </w:tc>
        <w:tc>
          <w:tcPr>
            <w:tcW w:w="2693" w:type="dxa"/>
            <w:vMerge/>
            <w:shd w:val="clear" w:color="auto" w:fill="F2CEED" w:themeFill="accent5" w:themeFillTint="33"/>
          </w:tcPr>
          <w:p w14:paraId="2E6B52B0" w14:textId="77777777" w:rsidR="001A5142" w:rsidRDefault="001A5142" w:rsidP="000046A8"/>
        </w:tc>
      </w:tr>
      <w:tr w:rsidR="001A5142" w14:paraId="5AFEC812" w14:textId="77777777" w:rsidTr="000046A8">
        <w:tc>
          <w:tcPr>
            <w:tcW w:w="6516" w:type="dxa"/>
            <w:shd w:val="clear" w:color="auto" w:fill="F2CEED" w:themeFill="accent5" w:themeFillTint="33"/>
          </w:tcPr>
          <w:p w14:paraId="24FE8E5E" w14:textId="77777777" w:rsidR="001A5142" w:rsidRDefault="001A5142" w:rsidP="000046A8">
            <w:pPr>
              <w:spacing w:after="160" w:line="259" w:lineRule="auto"/>
            </w:pPr>
            <w:r w:rsidRPr="001D372C">
              <w:t xml:space="preserve">Where </w:t>
            </w:r>
            <w:r>
              <w:t>services report engagement</w:t>
            </w:r>
            <w:r w:rsidRPr="001D372C">
              <w:t xml:space="preserve"> at a person level, rationales </w:t>
            </w:r>
            <w:r>
              <w:t xml:space="preserve">for disengagement </w:t>
            </w:r>
            <w:proofErr w:type="gramStart"/>
            <w:r>
              <w:t xml:space="preserve">are </w:t>
            </w:r>
            <w:r w:rsidRPr="001D372C">
              <w:t xml:space="preserve"> </w:t>
            </w:r>
            <w:r>
              <w:t>not</w:t>
            </w:r>
            <w:proofErr w:type="gramEnd"/>
            <w:r>
              <w:t xml:space="preserve"> wanting </w:t>
            </w:r>
            <w:proofErr w:type="gramStart"/>
            <w:r>
              <w:t xml:space="preserve">to </w:t>
            </w:r>
            <w:r w:rsidRPr="001D372C">
              <w:t xml:space="preserve"> ‘</w:t>
            </w:r>
            <w:proofErr w:type="gramEnd"/>
            <w:r w:rsidRPr="001D372C">
              <w:t>tell their story again’, motivation for change, consistency of staffing and sentiments of wishing for a fresh start.  </w:t>
            </w:r>
          </w:p>
        </w:tc>
        <w:tc>
          <w:tcPr>
            <w:tcW w:w="2693" w:type="dxa"/>
            <w:vMerge/>
            <w:shd w:val="clear" w:color="auto" w:fill="F2CEED" w:themeFill="accent5" w:themeFillTint="33"/>
          </w:tcPr>
          <w:p w14:paraId="54A86385" w14:textId="77777777" w:rsidR="001A5142" w:rsidRPr="001D372C" w:rsidRDefault="001A5142" w:rsidP="000046A8">
            <w:pPr>
              <w:spacing w:after="160" w:line="259" w:lineRule="auto"/>
            </w:pPr>
          </w:p>
        </w:tc>
      </w:tr>
      <w:tr w:rsidR="001A5142" w14:paraId="18EF7F83" w14:textId="77777777" w:rsidTr="000046A8">
        <w:tc>
          <w:tcPr>
            <w:tcW w:w="6516" w:type="dxa"/>
            <w:shd w:val="clear" w:color="auto" w:fill="FAE2D5" w:themeFill="accent2" w:themeFillTint="33"/>
          </w:tcPr>
          <w:p w14:paraId="7B4E43CF" w14:textId="77777777" w:rsidR="001A5142" w:rsidRPr="001D372C" w:rsidRDefault="001A5142" w:rsidP="000046A8">
            <w:pPr>
              <w:spacing w:after="160" w:line="259" w:lineRule="auto"/>
            </w:pPr>
            <w:r>
              <w:t xml:space="preserve">Young People had positive rates of change across physical health, wellbeing and knowledge of substances. </w:t>
            </w:r>
          </w:p>
        </w:tc>
        <w:tc>
          <w:tcPr>
            <w:tcW w:w="2693" w:type="dxa"/>
            <w:vMerge w:val="restart"/>
            <w:shd w:val="clear" w:color="auto" w:fill="FAE2D5" w:themeFill="accent2" w:themeFillTint="33"/>
          </w:tcPr>
          <w:p w14:paraId="048C6446" w14:textId="77777777" w:rsidR="001A5142" w:rsidRDefault="001A5142" w:rsidP="000046A8">
            <w:pPr>
              <w:spacing w:after="160" w:line="259" w:lineRule="auto"/>
            </w:pPr>
            <w:r w:rsidRPr="00EC0A9A">
              <w:rPr>
                <w:b/>
                <w:bCs/>
              </w:rPr>
              <w:t xml:space="preserve">Young Peoples questionnaire </w:t>
            </w:r>
          </w:p>
        </w:tc>
      </w:tr>
      <w:tr w:rsidR="001A5142" w14:paraId="70718588" w14:textId="77777777" w:rsidTr="000046A8">
        <w:tc>
          <w:tcPr>
            <w:tcW w:w="6516" w:type="dxa"/>
            <w:shd w:val="clear" w:color="auto" w:fill="FAE2D5" w:themeFill="accent2" w:themeFillTint="33"/>
          </w:tcPr>
          <w:p w14:paraId="36FB9344" w14:textId="77777777" w:rsidR="001A5142" w:rsidRPr="001D372C" w:rsidRDefault="001A5142" w:rsidP="000046A8">
            <w:pPr>
              <w:spacing w:after="160" w:line="259" w:lineRule="auto"/>
            </w:pPr>
            <w:r>
              <w:lastRenderedPageBreak/>
              <w:t xml:space="preserve">Young people requested booking sessions at school and more physical activities would be a benefit. </w:t>
            </w:r>
          </w:p>
        </w:tc>
        <w:tc>
          <w:tcPr>
            <w:tcW w:w="2693" w:type="dxa"/>
            <w:vMerge/>
          </w:tcPr>
          <w:p w14:paraId="6C4D66E6" w14:textId="77777777" w:rsidR="001A5142" w:rsidRDefault="001A5142" w:rsidP="000046A8">
            <w:pPr>
              <w:spacing w:after="160" w:line="259" w:lineRule="auto"/>
            </w:pPr>
          </w:p>
        </w:tc>
      </w:tr>
    </w:tbl>
    <w:p w14:paraId="4E1C9589" w14:textId="77777777" w:rsidR="001A5142" w:rsidRDefault="001A5142" w:rsidP="001A5142">
      <w:pPr>
        <w:rPr>
          <w:b/>
          <w:bCs/>
          <w:u w:val="single"/>
        </w:rPr>
      </w:pPr>
    </w:p>
    <w:p w14:paraId="39A18E99" w14:textId="2D3458DE" w:rsidR="001A5142" w:rsidRDefault="003A60D1" w:rsidP="00747487">
      <w:pPr>
        <w:pStyle w:val="Heading3"/>
      </w:pPr>
      <w:bookmarkStart w:id="102" w:name="_Toc200479534"/>
      <w:r>
        <w:t>Overarching</w:t>
      </w:r>
      <w:r w:rsidR="001A5142">
        <w:t xml:space="preserve"> </w:t>
      </w:r>
      <w:r w:rsidR="00747487">
        <w:t xml:space="preserve">Qualitative </w:t>
      </w:r>
      <w:r w:rsidR="001A5142">
        <w:t>Recommendations:</w:t>
      </w:r>
      <w:bookmarkEnd w:id="102"/>
      <w:r w:rsidR="001A5142">
        <w:t xml:space="preserve"> </w:t>
      </w:r>
    </w:p>
    <w:p w14:paraId="331A0375" w14:textId="77777777" w:rsidR="00747487" w:rsidRPr="007F587B" w:rsidRDefault="00747487" w:rsidP="00747487">
      <w:pPr>
        <w:rPr>
          <w:sz w:val="6"/>
          <w:szCs w:val="6"/>
        </w:rPr>
      </w:pPr>
    </w:p>
    <w:tbl>
      <w:tblPr>
        <w:tblStyle w:val="TableGrid"/>
        <w:tblW w:w="9209" w:type="dxa"/>
        <w:tblLook w:val="04A0" w:firstRow="1" w:lastRow="0" w:firstColumn="1" w:lastColumn="0" w:noHBand="0" w:noVBand="1"/>
      </w:tblPr>
      <w:tblGrid>
        <w:gridCol w:w="6516"/>
        <w:gridCol w:w="2693"/>
      </w:tblGrid>
      <w:tr w:rsidR="001A5142" w14:paraId="2AA4C917" w14:textId="77777777" w:rsidTr="000046A8">
        <w:tc>
          <w:tcPr>
            <w:tcW w:w="6516" w:type="dxa"/>
            <w:shd w:val="clear" w:color="auto" w:fill="D9F2D0" w:themeFill="accent6" w:themeFillTint="33"/>
          </w:tcPr>
          <w:p w14:paraId="05E857A8" w14:textId="77777777" w:rsidR="001A5142" w:rsidRDefault="001A5142" w:rsidP="000046A8">
            <w:r w:rsidRPr="001D372C">
              <w:t xml:space="preserve">Way in which the building is being used needs to be considered, to enable staff to </w:t>
            </w:r>
            <w:proofErr w:type="gramStart"/>
            <w:r w:rsidRPr="001D372C">
              <w:t>working</w:t>
            </w:r>
            <w:proofErr w:type="gramEnd"/>
            <w:r w:rsidRPr="001D372C">
              <w:t>, respond to service user feedback, increase confidentiality and appropriate space for assessments</w:t>
            </w:r>
          </w:p>
        </w:tc>
        <w:tc>
          <w:tcPr>
            <w:tcW w:w="2693" w:type="dxa"/>
            <w:shd w:val="clear" w:color="auto" w:fill="D9F2D0" w:themeFill="accent6" w:themeFillTint="33"/>
          </w:tcPr>
          <w:p w14:paraId="3D7773DD" w14:textId="77777777" w:rsidR="001A5142" w:rsidRDefault="001A5142" w:rsidP="000046A8">
            <w:r>
              <w:t>Staff feedback</w:t>
            </w:r>
          </w:p>
        </w:tc>
      </w:tr>
      <w:tr w:rsidR="001A5142" w14:paraId="1F4A1BFA" w14:textId="77777777" w:rsidTr="000046A8">
        <w:tc>
          <w:tcPr>
            <w:tcW w:w="6516" w:type="dxa"/>
            <w:shd w:val="clear" w:color="auto" w:fill="D9F2D0" w:themeFill="accent6" w:themeFillTint="33"/>
          </w:tcPr>
          <w:p w14:paraId="0EC34F1A" w14:textId="77777777" w:rsidR="001A5142" w:rsidRPr="001D372C" w:rsidRDefault="001A5142" w:rsidP="000046A8">
            <w:pPr>
              <w:spacing w:after="160" w:line="259" w:lineRule="auto"/>
            </w:pPr>
            <w:r w:rsidRPr="001D372C">
              <w:t>Consideration needs to be given to increased outreach offer, which would reduce the practical barriers staff are reporting service users have.  </w:t>
            </w:r>
          </w:p>
          <w:p w14:paraId="75BE4074" w14:textId="77777777" w:rsidR="001A5142" w:rsidRDefault="001A5142" w:rsidP="000046A8"/>
        </w:tc>
        <w:tc>
          <w:tcPr>
            <w:tcW w:w="2693" w:type="dxa"/>
            <w:shd w:val="clear" w:color="auto" w:fill="D9F2D0" w:themeFill="accent6" w:themeFillTint="33"/>
          </w:tcPr>
          <w:p w14:paraId="1EBBA232" w14:textId="77777777" w:rsidR="001A5142" w:rsidRDefault="001A5142" w:rsidP="000046A8">
            <w:r>
              <w:t>Staff feedback</w:t>
            </w:r>
          </w:p>
        </w:tc>
      </w:tr>
      <w:tr w:rsidR="001A5142" w14:paraId="41F111E6" w14:textId="77777777" w:rsidTr="000046A8">
        <w:tc>
          <w:tcPr>
            <w:tcW w:w="6516" w:type="dxa"/>
            <w:shd w:val="clear" w:color="auto" w:fill="D9F2D0" w:themeFill="accent6" w:themeFillTint="33"/>
          </w:tcPr>
          <w:p w14:paraId="7920080E" w14:textId="77777777" w:rsidR="001A5142" w:rsidRDefault="001A5142" w:rsidP="000046A8">
            <w:r w:rsidRPr="001D372C">
              <w:t>Consideration to case sizes needs to be considered, benchmarking against other services would seem appropriate.  </w:t>
            </w:r>
          </w:p>
          <w:p w14:paraId="5CE1F0CD" w14:textId="77777777" w:rsidR="001A5142" w:rsidRDefault="001A5142" w:rsidP="000046A8"/>
        </w:tc>
        <w:tc>
          <w:tcPr>
            <w:tcW w:w="2693" w:type="dxa"/>
            <w:shd w:val="clear" w:color="auto" w:fill="D9F2D0" w:themeFill="accent6" w:themeFillTint="33"/>
          </w:tcPr>
          <w:p w14:paraId="62DFE214" w14:textId="77777777" w:rsidR="001A5142" w:rsidRDefault="001A5142" w:rsidP="000046A8">
            <w:r>
              <w:t>Staff feedback</w:t>
            </w:r>
          </w:p>
        </w:tc>
      </w:tr>
      <w:tr w:rsidR="001A5142" w14:paraId="04F4697A" w14:textId="77777777" w:rsidTr="000046A8">
        <w:tc>
          <w:tcPr>
            <w:tcW w:w="6516" w:type="dxa"/>
            <w:shd w:val="clear" w:color="auto" w:fill="CAEDFB" w:themeFill="accent4" w:themeFillTint="33"/>
          </w:tcPr>
          <w:p w14:paraId="58488F54" w14:textId="77777777" w:rsidR="001A5142" w:rsidRPr="001D372C" w:rsidRDefault="001A5142" w:rsidP="000046A8">
            <w:pPr>
              <w:spacing w:after="160" w:line="259" w:lineRule="auto"/>
            </w:pPr>
            <w:r w:rsidRPr="001D372C">
              <w:t xml:space="preserve">Consider ways to positively impact service </w:t>
            </w:r>
            <w:proofErr w:type="gramStart"/>
            <w:r w:rsidRPr="001D372C">
              <w:t>users</w:t>
            </w:r>
            <w:proofErr w:type="gramEnd"/>
            <w:r w:rsidRPr="001D372C">
              <w:t xml:space="preserve"> perception of their drug and alcohol use whilst in treatment. Consideration needs to be given to a comprehensive strength-based approach to treatment that is asset based. </w:t>
            </w:r>
          </w:p>
          <w:p w14:paraId="72AF5D22" w14:textId="77777777" w:rsidR="001A5142" w:rsidRDefault="001A5142" w:rsidP="000046A8"/>
        </w:tc>
        <w:tc>
          <w:tcPr>
            <w:tcW w:w="2693" w:type="dxa"/>
            <w:shd w:val="clear" w:color="auto" w:fill="CAEDFB" w:themeFill="accent4" w:themeFillTint="33"/>
          </w:tcPr>
          <w:p w14:paraId="4C94D677" w14:textId="77777777" w:rsidR="001A5142" w:rsidRDefault="001A5142" w:rsidP="000046A8">
            <w:r>
              <w:t xml:space="preserve">Service user questionnaire </w:t>
            </w:r>
          </w:p>
        </w:tc>
      </w:tr>
      <w:tr w:rsidR="001A5142" w14:paraId="03B06339" w14:textId="77777777" w:rsidTr="000046A8">
        <w:tc>
          <w:tcPr>
            <w:tcW w:w="6516" w:type="dxa"/>
            <w:shd w:val="clear" w:color="auto" w:fill="CAEDFB" w:themeFill="accent4" w:themeFillTint="33"/>
          </w:tcPr>
          <w:p w14:paraId="2F7F236B" w14:textId="77777777" w:rsidR="001A5142" w:rsidRDefault="001A5142" w:rsidP="000046A8">
            <w:r w:rsidRPr="001D372C">
              <w:t>Continue to maximise the positive impacts on wellbeing, support network and motivation and find innovative solutions to promote these further.  </w:t>
            </w:r>
          </w:p>
        </w:tc>
        <w:tc>
          <w:tcPr>
            <w:tcW w:w="2693" w:type="dxa"/>
            <w:shd w:val="clear" w:color="auto" w:fill="CAEDFB" w:themeFill="accent4" w:themeFillTint="33"/>
          </w:tcPr>
          <w:p w14:paraId="3B7E9F41" w14:textId="77777777" w:rsidR="001A5142" w:rsidRDefault="001A5142" w:rsidP="000046A8">
            <w:r>
              <w:t>Service user questionnaire</w:t>
            </w:r>
          </w:p>
        </w:tc>
      </w:tr>
      <w:tr w:rsidR="001A5142" w14:paraId="2EC64797" w14:textId="77777777" w:rsidTr="000046A8">
        <w:tc>
          <w:tcPr>
            <w:tcW w:w="6516" w:type="dxa"/>
            <w:shd w:val="clear" w:color="auto" w:fill="CAEDFB" w:themeFill="accent4" w:themeFillTint="33"/>
          </w:tcPr>
          <w:p w14:paraId="20DB36AF" w14:textId="77777777" w:rsidR="001A5142" w:rsidRDefault="001A5142" w:rsidP="000046A8">
            <w:r w:rsidRPr="001D372C">
              <w:t>Consideration needs to be given to increasing money management skills, this could be incorporated into a wider skills programme that focuses on holistic support whilst in treatment across all service areas.  </w:t>
            </w:r>
          </w:p>
        </w:tc>
        <w:tc>
          <w:tcPr>
            <w:tcW w:w="2693" w:type="dxa"/>
            <w:shd w:val="clear" w:color="auto" w:fill="CAEDFB" w:themeFill="accent4" w:themeFillTint="33"/>
          </w:tcPr>
          <w:p w14:paraId="14CD9B2A" w14:textId="77777777" w:rsidR="001A5142" w:rsidRDefault="001A5142" w:rsidP="000046A8">
            <w:r>
              <w:t>Service user questionnaire</w:t>
            </w:r>
          </w:p>
        </w:tc>
      </w:tr>
      <w:tr w:rsidR="001A5142" w14:paraId="0049EFA6" w14:textId="77777777" w:rsidTr="000046A8">
        <w:tc>
          <w:tcPr>
            <w:tcW w:w="6516" w:type="dxa"/>
            <w:shd w:val="clear" w:color="auto" w:fill="F2CEED" w:themeFill="accent5" w:themeFillTint="33"/>
          </w:tcPr>
          <w:p w14:paraId="07B54194" w14:textId="77777777" w:rsidR="001A5142" w:rsidRDefault="001A5142" w:rsidP="000046A8">
            <w:r w:rsidRPr="001D372C">
              <w:t>Increase promotion of substance use services across the city </w:t>
            </w:r>
          </w:p>
        </w:tc>
        <w:tc>
          <w:tcPr>
            <w:tcW w:w="2693" w:type="dxa"/>
            <w:shd w:val="clear" w:color="auto" w:fill="F2CEED" w:themeFill="accent5" w:themeFillTint="33"/>
          </w:tcPr>
          <w:p w14:paraId="4FA17673" w14:textId="77777777" w:rsidR="001A5142" w:rsidRDefault="001A5142" w:rsidP="000046A8">
            <w:r>
              <w:t xml:space="preserve">Stakeholder questionnaire </w:t>
            </w:r>
          </w:p>
        </w:tc>
      </w:tr>
      <w:tr w:rsidR="001A5142" w14:paraId="225FE154" w14:textId="77777777" w:rsidTr="000046A8">
        <w:tc>
          <w:tcPr>
            <w:tcW w:w="6516" w:type="dxa"/>
            <w:shd w:val="clear" w:color="auto" w:fill="F2CEED" w:themeFill="accent5" w:themeFillTint="33"/>
          </w:tcPr>
          <w:p w14:paraId="2F7B6CED" w14:textId="77777777" w:rsidR="001A5142" w:rsidRDefault="001A5142" w:rsidP="000046A8">
            <w:r w:rsidRPr="001D372C">
              <w:t>Increase opportunities for co-location across the city, taking into consideration rurality </w:t>
            </w:r>
          </w:p>
        </w:tc>
        <w:tc>
          <w:tcPr>
            <w:tcW w:w="2693" w:type="dxa"/>
            <w:shd w:val="clear" w:color="auto" w:fill="F2CEED" w:themeFill="accent5" w:themeFillTint="33"/>
          </w:tcPr>
          <w:p w14:paraId="2D0E8DBA" w14:textId="77777777" w:rsidR="001A5142" w:rsidRDefault="001A5142" w:rsidP="000046A8">
            <w:r>
              <w:t>Stakeholder questionnaire</w:t>
            </w:r>
          </w:p>
        </w:tc>
      </w:tr>
      <w:tr w:rsidR="001A5142" w14:paraId="4002916C" w14:textId="77777777" w:rsidTr="000046A8">
        <w:tc>
          <w:tcPr>
            <w:tcW w:w="6516" w:type="dxa"/>
            <w:shd w:val="clear" w:color="auto" w:fill="F2CEED" w:themeFill="accent5" w:themeFillTint="33"/>
          </w:tcPr>
          <w:p w14:paraId="5354154D" w14:textId="77777777" w:rsidR="001A5142" w:rsidRDefault="001A5142" w:rsidP="000046A8">
            <w:r w:rsidRPr="001D372C">
              <w:t>Continue to develop pathways with housing, mental health and employment for this cohort </w:t>
            </w:r>
          </w:p>
        </w:tc>
        <w:tc>
          <w:tcPr>
            <w:tcW w:w="2693" w:type="dxa"/>
            <w:shd w:val="clear" w:color="auto" w:fill="F2CEED" w:themeFill="accent5" w:themeFillTint="33"/>
          </w:tcPr>
          <w:p w14:paraId="5BC2173E" w14:textId="77777777" w:rsidR="001A5142" w:rsidRDefault="001A5142" w:rsidP="000046A8">
            <w:r>
              <w:t>Stakeholder questionnaire</w:t>
            </w:r>
          </w:p>
        </w:tc>
      </w:tr>
      <w:tr w:rsidR="001A5142" w14:paraId="7A38E148" w14:textId="77777777" w:rsidTr="000046A8">
        <w:tc>
          <w:tcPr>
            <w:tcW w:w="6516" w:type="dxa"/>
            <w:shd w:val="clear" w:color="auto" w:fill="F2CEED" w:themeFill="accent5" w:themeFillTint="33"/>
          </w:tcPr>
          <w:p w14:paraId="3D91A54A" w14:textId="77777777" w:rsidR="001A5142" w:rsidRDefault="001A5142" w:rsidP="000046A8">
            <w:r w:rsidRPr="001D372C">
              <w:t xml:space="preserve">Utilise co-production techniques to understand how to engage service users earlier or re- engage. In addition to this, utilise lived experience offers to ensure services can be brought alongside service </w:t>
            </w:r>
            <w:proofErr w:type="gramStart"/>
            <w:r w:rsidRPr="001D372C">
              <w:t>user</w:t>
            </w:r>
            <w:proofErr w:type="gramEnd"/>
            <w:r w:rsidRPr="001D372C">
              <w:t xml:space="preserve"> so they are ready to engage when they feel ready.   </w:t>
            </w:r>
          </w:p>
        </w:tc>
        <w:tc>
          <w:tcPr>
            <w:tcW w:w="2693" w:type="dxa"/>
            <w:shd w:val="clear" w:color="auto" w:fill="F2CEED" w:themeFill="accent5" w:themeFillTint="33"/>
          </w:tcPr>
          <w:p w14:paraId="177EE58C" w14:textId="77777777" w:rsidR="001A5142" w:rsidRDefault="001A5142" w:rsidP="000046A8">
            <w:r>
              <w:t>Stakeholder questionnaire</w:t>
            </w:r>
          </w:p>
        </w:tc>
      </w:tr>
      <w:tr w:rsidR="001A5142" w14:paraId="1966EDA1" w14:textId="77777777" w:rsidTr="000046A8">
        <w:tc>
          <w:tcPr>
            <w:tcW w:w="6516" w:type="dxa"/>
            <w:shd w:val="clear" w:color="auto" w:fill="FAE2D5" w:themeFill="accent2" w:themeFillTint="33"/>
          </w:tcPr>
          <w:p w14:paraId="7327748C" w14:textId="77777777" w:rsidR="001A5142" w:rsidRPr="001D372C" w:rsidRDefault="001A5142" w:rsidP="000046A8">
            <w:r w:rsidRPr="001D372C">
              <w:t xml:space="preserve">Review impact physical health and activity could be improved for young </w:t>
            </w:r>
            <w:proofErr w:type="spellStart"/>
            <w:r w:rsidRPr="001D372C">
              <w:t>peoples</w:t>
            </w:r>
            <w:proofErr w:type="spellEnd"/>
            <w:r w:rsidRPr="001D372C">
              <w:t xml:space="preserve"> offer </w:t>
            </w:r>
          </w:p>
        </w:tc>
        <w:tc>
          <w:tcPr>
            <w:tcW w:w="2693" w:type="dxa"/>
            <w:shd w:val="clear" w:color="auto" w:fill="FAE2D5" w:themeFill="accent2" w:themeFillTint="33"/>
          </w:tcPr>
          <w:p w14:paraId="4BAF268E" w14:textId="77777777" w:rsidR="001A5142" w:rsidRDefault="001A5142" w:rsidP="000046A8">
            <w:r>
              <w:t xml:space="preserve">Young Peoples questionnaire </w:t>
            </w:r>
          </w:p>
        </w:tc>
      </w:tr>
      <w:tr w:rsidR="001A5142" w14:paraId="63EC8BDC" w14:textId="77777777" w:rsidTr="000046A8">
        <w:tc>
          <w:tcPr>
            <w:tcW w:w="6516" w:type="dxa"/>
            <w:shd w:val="clear" w:color="auto" w:fill="FAE2D5" w:themeFill="accent2" w:themeFillTint="33"/>
          </w:tcPr>
          <w:p w14:paraId="1CB6FD60" w14:textId="77777777" w:rsidR="001A5142" w:rsidRPr="001D372C" w:rsidRDefault="001A5142" w:rsidP="000046A8">
            <w:r w:rsidRPr="001D372C">
              <w:t xml:space="preserve">Ensure that young </w:t>
            </w:r>
            <w:proofErr w:type="spellStart"/>
            <w:r w:rsidRPr="001D372C">
              <w:t>peoples</w:t>
            </w:r>
            <w:proofErr w:type="spellEnd"/>
            <w:r w:rsidRPr="001D372C">
              <w:t xml:space="preserve"> service is linked in with all education providers across the city, and that there is the opportunity for sessions to be booked there if a young person requests it.  </w:t>
            </w:r>
          </w:p>
        </w:tc>
        <w:tc>
          <w:tcPr>
            <w:tcW w:w="2693" w:type="dxa"/>
            <w:shd w:val="clear" w:color="auto" w:fill="FAE2D5" w:themeFill="accent2" w:themeFillTint="33"/>
          </w:tcPr>
          <w:p w14:paraId="33231515" w14:textId="77777777" w:rsidR="001A5142" w:rsidRDefault="001A5142" w:rsidP="000046A8">
            <w:r>
              <w:t>Young Peoples questionnaire</w:t>
            </w:r>
          </w:p>
        </w:tc>
      </w:tr>
    </w:tbl>
    <w:p w14:paraId="04BE70D6" w14:textId="77777777" w:rsidR="001A5142" w:rsidRPr="001D372C" w:rsidRDefault="001A5142" w:rsidP="001A5142">
      <w:r w:rsidRPr="001D372C">
        <w:t> </w:t>
      </w:r>
    </w:p>
    <w:p w14:paraId="18FB632A" w14:textId="77777777" w:rsidR="001A5142" w:rsidRPr="001D372C" w:rsidRDefault="001A5142" w:rsidP="001A5142">
      <w:pPr>
        <w:rPr>
          <w:b/>
        </w:rPr>
      </w:pPr>
      <w:r>
        <w:t> </w:t>
      </w:r>
    </w:p>
    <w:p w14:paraId="7F17F62E" w14:textId="77777777" w:rsidR="001A5142" w:rsidRDefault="001A5142" w:rsidP="001A5142"/>
    <w:p w14:paraId="3DE4FEC7" w14:textId="77777777" w:rsidR="007F587B" w:rsidRDefault="007F587B" w:rsidP="1D720D6F">
      <w:pPr>
        <w:pStyle w:val="Heading2"/>
        <w:numPr>
          <w:ilvl w:val="0"/>
          <w:numId w:val="0"/>
        </w:numPr>
        <w:sectPr w:rsidR="007F587B">
          <w:pgSz w:w="11906" w:h="16838"/>
          <w:pgMar w:top="1440" w:right="1440" w:bottom="1440" w:left="1440" w:header="708" w:footer="708" w:gutter="0"/>
          <w:cols w:space="708"/>
          <w:docGrid w:linePitch="360"/>
        </w:sectPr>
      </w:pPr>
    </w:p>
    <w:p w14:paraId="775DC97C" w14:textId="3111E715" w:rsidR="001A5142" w:rsidRDefault="004E0EE3" w:rsidP="00966782">
      <w:pPr>
        <w:pStyle w:val="Heading2"/>
        <w:rPr>
          <w:lang w:eastAsia="en-GB"/>
        </w:rPr>
      </w:pPr>
      <w:bookmarkStart w:id="103" w:name="_Toc200479535"/>
      <w:r>
        <w:lastRenderedPageBreak/>
        <w:t>Qualitative</w:t>
      </w:r>
      <w:r w:rsidR="001A5142">
        <w:t xml:space="preserve"> </w:t>
      </w:r>
      <w:r w:rsidR="001A5142" w:rsidRPr="001523AF">
        <w:rPr>
          <w:lang w:eastAsia="en-GB"/>
        </w:rPr>
        <w:t>Consultation Overview</w:t>
      </w:r>
      <w:bookmarkEnd w:id="10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9"/>
        <w:gridCol w:w="1631"/>
        <w:gridCol w:w="3799"/>
        <w:gridCol w:w="1481"/>
      </w:tblGrid>
      <w:tr w:rsidR="005929A3" w:rsidRPr="005929A3" w14:paraId="084A2C5D"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333A3517"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Consultation area </w:t>
            </w:r>
          </w:p>
        </w:tc>
        <w:tc>
          <w:tcPr>
            <w:tcW w:w="2070" w:type="dxa"/>
            <w:tcBorders>
              <w:top w:val="single" w:sz="6" w:space="0" w:color="auto"/>
              <w:left w:val="single" w:sz="6" w:space="0" w:color="auto"/>
              <w:bottom w:val="single" w:sz="6" w:space="0" w:color="auto"/>
              <w:right w:val="single" w:sz="6" w:space="0" w:color="auto"/>
            </w:tcBorders>
            <w:hideMark/>
          </w:tcPr>
          <w:p w14:paraId="5B138CB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Lead  </w:t>
            </w:r>
          </w:p>
        </w:tc>
        <w:tc>
          <w:tcPr>
            <w:tcW w:w="7230" w:type="dxa"/>
            <w:tcBorders>
              <w:top w:val="single" w:sz="6" w:space="0" w:color="auto"/>
              <w:left w:val="single" w:sz="6" w:space="0" w:color="auto"/>
              <w:bottom w:val="single" w:sz="6" w:space="0" w:color="auto"/>
              <w:right w:val="single" w:sz="6" w:space="0" w:color="auto"/>
            </w:tcBorders>
            <w:hideMark/>
          </w:tcPr>
          <w:p w14:paraId="180B499D"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Activity  </w:t>
            </w:r>
          </w:p>
        </w:tc>
        <w:tc>
          <w:tcPr>
            <w:tcW w:w="2130" w:type="dxa"/>
            <w:tcBorders>
              <w:top w:val="single" w:sz="6" w:space="0" w:color="auto"/>
              <w:left w:val="single" w:sz="6" w:space="0" w:color="auto"/>
              <w:bottom w:val="single" w:sz="6" w:space="0" w:color="auto"/>
              <w:right w:val="single" w:sz="6" w:space="0" w:color="auto"/>
            </w:tcBorders>
            <w:hideMark/>
          </w:tcPr>
          <w:p w14:paraId="0413D7CB"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Comments </w:t>
            </w:r>
          </w:p>
        </w:tc>
      </w:tr>
      <w:tr w:rsidR="005929A3" w:rsidRPr="005929A3" w14:paraId="7E915C3F"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2094A64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All service users </w:t>
            </w:r>
          </w:p>
          <w:p w14:paraId="01BCD2DC"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Questionnaire </w:t>
            </w:r>
          </w:p>
        </w:tc>
        <w:tc>
          <w:tcPr>
            <w:tcW w:w="2070" w:type="dxa"/>
            <w:tcBorders>
              <w:top w:val="single" w:sz="6" w:space="0" w:color="auto"/>
              <w:left w:val="single" w:sz="6" w:space="0" w:color="auto"/>
              <w:bottom w:val="single" w:sz="6" w:space="0" w:color="auto"/>
              <w:right w:val="single" w:sz="6" w:space="0" w:color="auto"/>
            </w:tcBorders>
            <w:hideMark/>
          </w:tcPr>
          <w:p w14:paraId="43F1F134"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Aspire  </w:t>
            </w:r>
          </w:p>
        </w:tc>
        <w:tc>
          <w:tcPr>
            <w:tcW w:w="7230" w:type="dxa"/>
            <w:tcBorders>
              <w:top w:val="single" w:sz="6" w:space="0" w:color="auto"/>
              <w:left w:val="single" w:sz="6" w:space="0" w:color="auto"/>
              <w:bottom w:val="single" w:sz="6" w:space="0" w:color="auto"/>
              <w:right w:val="single" w:sz="6" w:space="0" w:color="auto"/>
            </w:tcBorders>
            <w:hideMark/>
          </w:tcPr>
          <w:p w14:paraId="33BF22F9"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Complete consultation questionnaire which reviews pre- and post-holistic rate of change </w:t>
            </w:r>
          </w:p>
          <w:p w14:paraId="46AD7516"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0771A38A"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Responses will be collated using excel to give a clear representation of rate of change in key holistic areas.  </w:t>
            </w:r>
          </w:p>
        </w:tc>
        <w:tc>
          <w:tcPr>
            <w:tcW w:w="2130" w:type="dxa"/>
            <w:tcBorders>
              <w:top w:val="single" w:sz="6" w:space="0" w:color="auto"/>
              <w:left w:val="single" w:sz="6" w:space="0" w:color="auto"/>
              <w:bottom w:val="single" w:sz="6" w:space="0" w:color="auto"/>
              <w:right w:val="single" w:sz="6" w:space="0" w:color="auto"/>
            </w:tcBorders>
            <w:hideMark/>
          </w:tcPr>
          <w:p w14:paraId="2D9B90B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Aspire to ensure consultation is available to all service users to complete.  </w:t>
            </w:r>
          </w:p>
          <w:p w14:paraId="440C97EC"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322D1CD7"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Housing Support Grant rate of change to be included.  </w:t>
            </w:r>
          </w:p>
          <w:p w14:paraId="07B8315C"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404A5450"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TOPS data to be included </w:t>
            </w:r>
          </w:p>
        </w:tc>
      </w:tr>
      <w:tr w:rsidR="005929A3" w:rsidRPr="005929A3" w14:paraId="17FF9B56"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298CDF43"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Group Work  </w:t>
            </w:r>
          </w:p>
        </w:tc>
        <w:tc>
          <w:tcPr>
            <w:tcW w:w="2070" w:type="dxa"/>
            <w:tcBorders>
              <w:top w:val="single" w:sz="6" w:space="0" w:color="auto"/>
              <w:left w:val="single" w:sz="6" w:space="0" w:color="auto"/>
              <w:bottom w:val="single" w:sz="6" w:space="0" w:color="auto"/>
              <w:right w:val="single" w:sz="6" w:space="0" w:color="auto"/>
            </w:tcBorders>
            <w:hideMark/>
          </w:tcPr>
          <w:p w14:paraId="1C5DE948"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w:t>
            </w:r>
          </w:p>
        </w:tc>
        <w:tc>
          <w:tcPr>
            <w:tcW w:w="7230" w:type="dxa"/>
            <w:tcBorders>
              <w:top w:val="single" w:sz="6" w:space="0" w:color="auto"/>
              <w:left w:val="single" w:sz="6" w:space="0" w:color="auto"/>
              <w:bottom w:val="single" w:sz="6" w:space="0" w:color="auto"/>
              <w:right w:val="single" w:sz="6" w:space="0" w:color="auto"/>
            </w:tcBorders>
            <w:hideMark/>
          </w:tcPr>
          <w:p w14:paraId="59CB1DC3"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xml:space="preserve">Work with service users to understand the </w:t>
            </w:r>
            <w:proofErr w:type="gramStart"/>
            <w:r w:rsidRPr="005929A3">
              <w:rPr>
                <w:rFonts w:ascii="Segoe UI" w:eastAsia="Times New Roman" w:hAnsi="Segoe UI" w:cs="Segoe UI"/>
                <w:sz w:val="18"/>
                <w:szCs w:val="18"/>
                <w:lang w:eastAsia="en-GB"/>
              </w:rPr>
              <w:t>following;</w:t>
            </w:r>
            <w:proofErr w:type="gramEnd"/>
            <w:r w:rsidRPr="005929A3">
              <w:rPr>
                <w:rFonts w:ascii="Segoe UI" w:eastAsia="Times New Roman" w:hAnsi="Segoe UI" w:cs="Segoe UI"/>
                <w:sz w:val="18"/>
                <w:szCs w:val="18"/>
                <w:lang w:eastAsia="en-GB"/>
              </w:rPr>
              <w:t>  </w:t>
            </w:r>
          </w:p>
          <w:p w14:paraId="60419AEE" w14:textId="77777777" w:rsidR="005929A3" w:rsidRPr="005929A3" w:rsidRDefault="005929A3" w:rsidP="005929A3">
            <w:pPr>
              <w:numPr>
                <w:ilvl w:val="0"/>
                <w:numId w:val="40"/>
              </w:num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Gaps </w:t>
            </w:r>
          </w:p>
          <w:p w14:paraId="4FE1752D" w14:textId="77777777" w:rsidR="005929A3" w:rsidRPr="005929A3" w:rsidRDefault="005929A3" w:rsidP="005929A3">
            <w:pPr>
              <w:numPr>
                <w:ilvl w:val="0"/>
                <w:numId w:val="41"/>
              </w:num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What is working well </w:t>
            </w:r>
          </w:p>
          <w:p w14:paraId="17591B96" w14:textId="77777777" w:rsidR="005929A3" w:rsidRPr="005929A3" w:rsidRDefault="005929A3" w:rsidP="005929A3">
            <w:pPr>
              <w:numPr>
                <w:ilvl w:val="0"/>
                <w:numId w:val="42"/>
              </w:num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What they would like to see in the next service </w:t>
            </w:r>
          </w:p>
          <w:p w14:paraId="508413F8" w14:textId="77777777" w:rsidR="005929A3" w:rsidRPr="005929A3" w:rsidRDefault="005929A3" w:rsidP="005929A3">
            <w:pPr>
              <w:numPr>
                <w:ilvl w:val="0"/>
                <w:numId w:val="43"/>
              </w:num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Service User end to end journey </w:t>
            </w:r>
          </w:p>
          <w:p w14:paraId="75FF000F"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52B24006"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is working with Aspire to be able to access groups, ensuring a representative sample of service users. </w:t>
            </w:r>
          </w:p>
          <w:p w14:paraId="1B4F1AB2"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44BFE373"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will produce a detailed report to outline responses.  </w:t>
            </w:r>
          </w:p>
          <w:p w14:paraId="108582E1"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6CFAABE1"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Access to group work within treatment services to be shared </w:t>
            </w:r>
          </w:p>
        </w:tc>
        <w:tc>
          <w:tcPr>
            <w:tcW w:w="2130" w:type="dxa"/>
            <w:tcBorders>
              <w:top w:val="single" w:sz="6" w:space="0" w:color="auto"/>
              <w:left w:val="single" w:sz="6" w:space="0" w:color="auto"/>
              <w:bottom w:val="single" w:sz="6" w:space="0" w:color="auto"/>
              <w:right w:val="single" w:sz="6" w:space="0" w:color="auto"/>
            </w:tcBorders>
            <w:hideMark/>
          </w:tcPr>
          <w:p w14:paraId="67A0D524"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Key areas have been documented for SUN Network to use as a prompt if needed.  </w:t>
            </w:r>
          </w:p>
          <w:p w14:paraId="201DB067"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2E052F98"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attending Hub and Aspire building.  </w:t>
            </w:r>
          </w:p>
        </w:tc>
      </w:tr>
      <w:tr w:rsidR="005929A3" w:rsidRPr="005929A3" w14:paraId="3931003E"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43F6DFCC"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Service User Interviews  </w:t>
            </w:r>
          </w:p>
        </w:tc>
        <w:tc>
          <w:tcPr>
            <w:tcW w:w="2070" w:type="dxa"/>
            <w:tcBorders>
              <w:top w:val="single" w:sz="6" w:space="0" w:color="auto"/>
              <w:left w:val="single" w:sz="6" w:space="0" w:color="auto"/>
              <w:bottom w:val="single" w:sz="6" w:space="0" w:color="auto"/>
              <w:right w:val="single" w:sz="6" w:space="0" w:color="auto"/>
            </w:tcBorders>
            <w:hideMark/>
          </w:tcPr>
          <w:p w14:paraId="70F47FBB"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Commissioners  </w:t>
            </w:r>
          </w:p>
        </w:tc>
        <w:tc>
          <w:tcPr>
            <w:tcW w:w="7230" w:type="dxa"/>
            <w:tcBorders>
              <w:top w:val="single" w:sz="6" w:space="0" w:color="auto"/>
              <w:left w:val="single" w:sz="6" w:space="0" w:color="auto"/>
              <w:bottom w:val="single" w:sz="6" w:space="0" w:color="auto"/>
              <w:right w:val="single" w:sz="6" w:space="0" w:color="auto"/>
            </w:tcBorders>
            <w:hideMark/>
          </w:tcPr>
          <w:p w14:paraId="6ED514FA"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SUN Network to support service users to attend conversations with Service Users to understand further their hopes for the service.  </w:t>
            </w:r>
          </w:p>
        </w:tc>
        <w:tc>
          <w:tcPr>
            <w:tcW w:w="2130" w:type="dxa"/>
            <w:tcBorders>
              <w:top w:val="single" w:sz="6" w:space="0" w:color="auto"/>
              <w:left w:val="single" w:sz="6" w:space="0" w:color="auto"/>
              <w:bottom w:val="single" w:sz="6" w:space="0" w:color="auto"/>
              <w:right w:val="single" w:sz="6" w:space="0" w:color="auto"/>
            </w:tcBorders>
            <w:hideMark/>
          </w:tcPr>
          <w:p w14:paraId="7F92B852"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Dates:  </w:t>
            </w:r>
          </w:p>
          <w:p w14:paraId="3AB62B95"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8</w:t>
            </w:r>
            <w:r w:rsidRPr="005929A3">
              <w:rPr>
                <w:rFonts w:ascii="Segoe UI" w:eastAsia="Times New Roman" w:hAnsi="Segoe UI" w:cs="Segoe UI"/>
                <w:sz w:val="18"/>
                <w:szCs w:val="18"/>
                <w:vertAlign w:val="superscript"/>
                <w:lang w:eastAsia="en-GB"/>
              </w:rPr>
              <w:t>th</w:t>
            </w:r>
            <w:r w:rsidRPr="005929A3">
              <w:rPr>
                <w:rFonts w:ascii="Segoe UI" w:eastAsia="Times New Roman" w:hAnsi="Segoe UI" w:cs="Segoe UI"/>
                <w:sz w:val="18"/>
                <w:szCs w:val="18"/>
                <w:lang w:eastAsia="en-GB"/>
              </w:rPr>
              <w:t xml:space="preserve"> November  </w:t>
            </w:r>
          </w:p>
          <w:p w14:paraId="79B2CE77"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15</w:t>
            </w:r>
            <w:r w:rsidRPr="005929A3">
              <w:rPr>
                <w:rFonts w:ascii="Segoe UI" w:eastAsia="Times New Roman" w:hAnsi="Segoe UI" w:cs="Segoe UI"/>
                <w:sz w:val="18"/>
                <w:szCs w:val="18"/>
                <w:vertAlign w:val="superscript"/>
                <w:lang w:eastAsia="en-GB"/>
              </w:rPr>
              <w:t>th</w:t>
            </w:r>
            <w:r w:rsidRPr="005929A3">
              <w:rPr>
                <w:rFonts w:ascii="Segoe UI" w:eastAsia="Times New Roman" w:hAnsi="Segoe UI" w:cs="Segoe UI"/>
                <w:sz w:val="18"/>
                <w:szCs w:val="18"/>
                <w:lang w:eastAsia="en-GB"/>
              </w:rPr>
              <w:t xml:space="preserve"> November </w:t>
            </w:r>
          </w:p>
          <w:p w14:paraId="5BA7952D"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18</w:t>
            </w:r>
            <w:r w:rsidRPr="005929A3">
              <w:rPr>
                <w:rFonts w:ascii="Segoe UI" w:eastAsia="Times New Roman" w:hAnsi="Segoe UI" w:cs="Segoe UI"/>
                <w:sz w:val="18"/>
                <w:szCs w:val="18"/>
                <w:vertAlign w:val="superscript"/>
                <w:lang w:eastAsia="en-GB"/>
              </w:rPr>
              <w:t>th</w:t>
            </w:r>
            <w:r w:rsidRPr="005929A3">
              <w:rPr>
                <w:rFonts w:ascii="Segoe UI" w:eastAsia="Times New Roman" w:hAnsi="Segoe UI" w:cs="Segoe UI"/>
                <w:sz w:val="18"/>
                <w:szCs w:val="18"/>
                <w:lang w:eastAsia="en-GB"/>
              </w:rPr>
              <w:t xml:space="preserve"> November </w:t>
            </w:r>
          </w:p>
          <w:p w14:paraId="4712D98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tc>
      </w:tr>
      <w:tr w:rsidR="005929A3" w:rsidRPr="005929A3" w14:paraId="7C1260A8"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27E31454"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Service users not in treatment </w:t>
            </w:r>
          </w:p>
        </w:tc>
        <w:tc>
          <w:tcPr>
            <w:tcW w:w="2070" w:type="dxa"/>
            <w:tcBorders>
              <w:top w:val="single" w:sz="6" w:space="0" w:color="auto"/>
              <w:left w:val="single" w:sz="6" w:space="0" w:color="auto"/>
              <w:bottom w:val="single" w:sz="6" w:space="0" w:color="auto"/>
              <w:right w:val="single" w:sz="6" w:space="0" w:color="auto"/>
            </w:tcBorders>
            <w:hideMark/>
          </w:tcPr>
          <w:p w14:paraId="4D8FB122"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Commissioners  </w:t>
            </w:r>
          </w:p>
        </w:tc>
        <w:tc>
          <w:tcPr>
            <w:tcW w:w="7230" w:type="dxa"/>
            <w:tcBorders>
              <w:top w:val="single" w:sz="6" w:space="0" w:color="auto"/>
              <w:left w:val="single" w:sz="6" w:space="0" w:color="auto"/>
              <w:bottom w:val="single" w:sz="6" w:space="0" w:color="auto"/>
              <w:right w:val="single" w:sz="6" w:space="0" w:color="auto"/>
            </w:tcBorders>
            <w:hideMark/>
          </w:tcPr>
          <w:p w14:paraId="1C8B3E4B"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Discussions with stakeholders to explore potential opportunities to access those who are not in treatment. </w:t>
            </w:r>
          </w:p>
        </w:tc>
        <w:tc>
          <w:tcPr>
            <w:tcW w:w="2130" w:type="dxa"/>
            <w:tcBorders>
              <w:top w:val="single" w:sz="6" w:space="0" w:color="auto"/>
              <w:left w:val="single" w:sz="6" w:space="0" w:color="auto"/>
              <w:bottom w:val="single" w:sz="6" w:space="0" w:color="auto"/>
              <w:right w:val="single" w:sz="6" w:space="0" w:color="auto"/>
            </w:tcBorders>
            <w:hideMark/>
          </w:tcPr>
          <w:p w14:paraId="24E18E07"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tc>
      </w:tr>
      <w:tr w:rsidR="005929A3" w:rsidRPr="005929A3" w14:paraId="16A0605A"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6812FD1F"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Stakeholders </w:t>
            </w:r>
          </w:p>
        </w:tc>
        <w:tc>
          <w:tcPr>
            <w:tcW w:w="2070" w:type="dxa"/>
            <w:tcBorders>
              <w:top w:val="single" w:sz="6" w:space="0" w:color="auto"/>
              <w:left w:val="single" w:sz="6" w:space="0" w:color="auto"/>
              <w:bottom w:val="single" w:sz="6" w:space="0" w:color="auto"/>
              <w:right w:val="single" w:sz="6" w:space="0" w:color="auto"/>
            </w:tcBorders>
            <w:hideMark/>
          </w:tcPr>
          <w:p w14:paraId="3B858446"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Commissioners  </w:t>
            </w:r>
          </w:p>
        </w:tc>
        <w:tc>
          <w:tcPr>
            <w:tcW w:w="7230" w:type="dxa"/>
            <w:tcBorders>
              <w:top w:val="single" w:sz="6" w:space="0" w:color="auto"/>
              <w:left w:val="single" w:sz="6" w:space="0" w:color="auto"/>
              <w:bottom w:val="single" w:sz="6" w:space="0" w:color="auto"/>
              <w:right w:val="single" w:sz="6" w:space="0" w:color="auto"/>
            </w:tcBorders>
            <w:hideMark/>
          </w:tcPr>
          <w:p w14:paraId="0C304E7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Questionnaire and stakeholder workshops to understand views on drug and alcohol services within the city.  </w:t>
            </w:r>
          </w:p>
        </w:tc>
        <w:tc>
          <w:tcPr>
            <w:tcW w:w="2130" w:type="dxa"/>
            <w:tcBorders>
              <w:top w:val="single" w:sz="6" w:space="0" w:color="auto"/>
              <w:left w:val="single" w:sz="6" w:space="0" w:color="auto"/>
              <w:bottom w:val="single" w:sz="6" w:space="0" w:color="auto"/>
              <w:right w:val="single" w:sz="6" w:space="0" w:color="auto"/>
            </w:tcBorders>
            <w:hideMark/>
          </w:tcPr>
          <w:p w14:paraId="3440022E"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tc>
      </w:tr>
      <w:tr w:rsidR="005929A3" w:rsidRPr="005929A3" w14:paraId="7583EC1F" w14:textId="77777777" w:rsidTr="005929A3">
        <w:trPr>
          <w:trHeight w:val="300"/>
        </w:trPr>
        <w:tc>
          <w:tcPr>
            <w:tcW w:w="3405" w:type="dxa"/>
            <w:tcBorders>
              <w:top w:val="single" w:sz="6" w:space="0" w:color="auto"/>
              <w:left w:val="single" w:sz="6" w:space="0" w:color="auto"/>
              <w:bottom w:val="single" w:sz="6" w:space="0" w:color="auto"/>
              <w:right w:val="single" w:sz="6" w:space="0" w:color="auto"/>
            </w:tcBorders>
            <w:hideMark/>
          </w:tcPr>
          <w:p w14:paraId="219D14AB"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Best practice in Community drug and alcohol services </w:t>
            </w:r>
          </w:p>
        </w:tc>
        <w:tc>
          <w:tcPr>
            <w:tcW w:w="2070" w:type="dxa"/>
            <w:tcBorders>
              <w:top w:val="single" w:sz="6" w:space="0" w:color="auto"/>
              <w:left w:val="single" w:sz="6" w:space="0" w:color="auto"/>
              <w:bottom w:val="single" w:sz="6" w:space="0" w:color="auto"/>
              <w:right w:val="single" w:sz="6" w:space="0" w:color="auto"/>
            </w:tcBorders>
            <w:hideMark/>
          </w:tcPr>
          <w:p w14:paraId="222EB1E6"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Anglia Ruskin University </w:t>
            </w:r>
          </w:p>
        </w:tc>
        <w:tc>
          <w:tcPr>
            <w:tcW w:w="7230" w:type="dxa"/>
            <w:tcBorders>
              <w:top w:val="single" w:sz="6" w:space="0" w:color="auto"/>
              <w:left w:val="single" w:sz="6" w:space="0" w:color="auto"/>
              <w:bottom w:val="single" w:sz="6" w:space="0" w:color="auto"/>
              <w:right w:val="single" w:sz="6" w:space="0" w:color="auto"/>
            </w:tcBorders>
            <w:hideMark/>
          </w:tcPr>
          <w:p w14:paraId="746B8CDC"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Secondary research project to look at best practice in community drug and alcohol services.  </w:t>
            </w:r>
          </w:p>
        </w:tc>
        <w:tc>
          <w:tcPr>
            <w:tcW w:w="2130" w:type="dxa"/>
            <w:tcBorders>
              <w:top w:val="single" w:sz="6" w:space="0" w:color="auto"/>
              <w:left w:val="single" w:sz="6" w:space="0" w:color="auto"/>
              <w:bottom w:val="single" w:sz="6" w:space="0" w:color="auto"/>
              <w:right w:val="single" w:sz="6" w:space="0" w:color="auto"/>
            </w:tcBorders>
            <w:hideMark/>
          </w:tcPr>
          <w:p w14:paraId="5D07B8A0"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p w14:paraId="0C42B0C3" w14:textId="77777777" w:rsidR="005929A3" w:rsidRPr="005929A3" w:rsidRDefault="005929A3" w:rsidP="005929A3">
            <w:pPr>
              <w:spacing w:after="0"/>
              <w:textAlignment w:val="baseline"/>
              <w:rPr>
                <w:rFonts w:ascii="Segoe UI" w:eastAsia="Times New Roman" w:hAnsi="Segoe UI" w:cs="Segoe UI"/>
                <w:sz w:val="18"/>
                <w:szCs w:val="18"/>
                <w:lang w:eastAsia="en-GB"/>
              </w:rPr>
            </w:pPr>
            <w:r w:rsidRPr="005929A3">
              <w:rPr>
                <w:rFonts w:ascii="Segoe UI" w:eastAsia="Times New Roman" w:hAnsi="Segoe UI" w:cs="Segoe UI"/>
                <w:sz w:val="18"/>
                <w:szCs w:val="18"/>
                <w:lang w:eastAsia="en-GB"/>
              </w:rPr>
              <w:t> </w:t>
            </w:r>
          </w:p>
        </w:tc>
      </w:tr>
    </w:tbl>
    <w:p w14:paraId="64079D65" w14:textId="77777777" w:rsidR="001A5142" w:rsidRPr="001523AF" w:rsidRDefault="001A5142" w:rsidP="001A5142">
      <w:pPr>
        <w:spacing w:after="0"/>
        <w:textAlignment w:val="baseline"/>
        <w:rPr>
          <w:rFonts w:ascii="Segoe UI" w:eastAsia="Times New Roman" w:hAnsi="Segoe UI" w:cs="Segoe UI"/>
          <w:sz w:val="18"/>
          <w:szCs w:val="18"/>
          <w:lang w:eastAsia="en-GB"/>
        </w:rPr>
      </w:pPr>
    </w:p>
    <w:p w14:paraId="22745214" w14:textId="77777777" w:rsidR="001A5142" w:rsidRPr="001523AF" w:rsidRDefault="3DB5FF22" w:rsidP="001A5142">
      <w:pPr>
        <w:spacing w:after="0"/>
        <w:textAlignment w:val="baseline"/>
        <w:rPr>
          <w:rFonts w:ascii="Segoe UI" w:eastAsia="Times New Roman" w:hAnsi="Segoe UI" w:cs="Segoe UI"/>
          <w:sz w:val="18"/>
          <w:szCs w:val="18"/>
          <w:lang w:eastAsia="en-GB"/>
        </w:rPr>
      </w:pPr>
      <w:r w:rsidRPr="1D720D6F">
        <w:rPr>
          <w:rFonts w:ascii="Aptos" w:eastAsia="Times New Roman" w:hAnsi="Aptos" w:cs="Segoe UI"/>
          <w:lang w:eastAsia="en-GB"/>
        </w:rPr>
        <w:t> </w:t>
      </w:r>
    </w:p>
    <w:p w14:paraId="208F41AA" w14:textId="32316486" w:rsidR="1D720D6F" w:rsidRDefault="1D720D6F" w:rsidP="1D720D6F">
      <w:pPr>
        <w:spacing w:after="0"/>
        <w:rPr>
          <w:rFonts w:ascii="Aptos" w:eastAsia="Times New Roman" w:hAnsi="Aptos" w:cs="Segoe UI"/>
          <w:lang w:eastAsia="en-GB"/>
        </w:rPr>
      </w:pPr>
    </w:p>
    <w:p w14:paraId="5F9814CA" w14:textId="7DEFB22E" w:rsidR="1D720D6F" w:rsidRDefault="1D720D6F" w:rsidP="1D720D6F">
      <w:pPr>
        <w:spacing w:after="0"/>
        <w:rPr>
          <w:rFonts w:ascii="Aptos" w:eastAsia="Times New Roman" w:hAnsi="Aptos" w:cs="Segoe UI"/>
          <w:lang w:eastAsia="en-GB"/>
        </w:rPr>
      </w:pPr>
    </w:p>
    <w:p w14:paraId="6312B512" w14:textId="5ECFB7F5" w:rsidR="001A5142" w:rsidRDefault="0053223F" w:rsidP="00966782">
      <w:pPr>
        <w:pStyle w:val="Heading2"/>
      </w:pPr>
      <w:bookmarkStart w:id="104" w:name="_Toc200479536"/>
      <w:r>
        <w:lastRenderedPageBreak/>
        <w:t xml:space="preserve">Qualitative - </w:t>
      </w:r>
      <w:r w:rsidR="00D668EF">
        <w:t>S</w:t>
      </w:r>
      <w:r w:rsidR="001A5142">
        <w:t xml:space="preserve">ummary </w:t>
      </w:r>
      <w:r w:rsidR="00D668EF">
        <w:t>D</w:t>
      </w:r>
      <w:r w:rsidR="001A5142">
        <w:t>ocuments</w:t>
      </w:r>
      <w:bookmarkEnd w:id="104"/>
      <w:r w:rsidR="001A5142">
        <w:t xml:space="preserve"> </w:t>
      </w:r>
    </w:p>
    <w:p w14:paraId="4C8F9A54" w14:textId="77777777" w:rsidR="00966782" w:rsidRPr="00966782" w:rsidRDefault="00966782" w:rsidP="00966782"/>
    <w:tbl>
      <w:tblPr>
        <w:tblStyle w:val="TableGrid"/>
        <w:tblW w:w="9778" w:type="dxa"/>
        <w:tblLook w:val="04A0" w:firstRow="1" w:lastRow="0" w:firstColumn="1" w:lastColumn="0" w:noHBand="0" w:noVBand="1"/>
      </w:tblPr>
      <w:tblGrid>
        <w:gridCol w:w="4106"/>
        <w:gridCol w:w="5672"/>
      </w:tblGrid>
      <w:tr w:rsidR="005079C9" w14:paraId="00ABEA60" w14:textId="77777777" w:rsidTr="665D5B8A">
        <w:trPr>
          <w:trHeight w:val="275"/>
        </w:trPr>
        <w:tc>
          <w:tcPr>
            <w:tcW w:w="4106" w:type="dxa"/>
          </w:tcPr>
          <w:p w14:paraId="0E7E8E82" w14:textId="2F17F858" w:rsidR="005079C9" w:rsidRPr="005079C9" w:rsidRDefault="005079C9" w:rsidP="001A5142">
            <w:pPr>
              <w:rPr>
                <w:b/>
                <w:bCs/>
              </w:rPr>
            </w:pPr>
            <w:r w:rsidRPr="005079C9">
              <w:rPr>
                <w:b/>
                <w:bCs/>
              </w:rPr>
              <w:t>Document</w:t>
            </w:r>
          </w:p>
        </w:tc>
        <w:tc>
          <w:tcPr>
            <w:tcW w:w="5672" w:type="dxa"/>
          </w:tcPr>
          <w:p w14:paraId="282DD0B1" w14:textId="16A60DF9" w:rsidR="005079C9" w:rsidRPr="005079C9" w:rsidRDefault="005079C9" w:rsidP="001A5142">
            <w:pPr>
              <w:rPr>
                <w:b/>
                <w:bCs/>
              </w:rPr>
            </w:pPr>
            <w:r w:rsidRPr="005079C9">
              <w:rPr>
                <w:b/>
                <w:bCs/>
              </w:rPr>
              <w:t>Link</w:t>
            </w:r>
          </w:p>
        </w:tc>
      </w:tr>
      <w:tr w:rsidR="001A5142" w14:paraId="2F23EC94" w14:textId="77777777" w:rsidTr="665D5B8A">
        <w:trPr>
          <w:trHeight w:val="275"/>
        </w:trPr>
        <w:tc>
          <w:tcPr>
            <w:tcW w:w="4106" w:type="dxa"/>
          </w:tcPr>
          <w:p w14:paraId="5FB94FA0" w14:textId="77777777" w:rsidR="001A5142" w:rsidRDefault="001A5142" w:rsidP="000046A8">
            <w:r>
              <w:t xml:space="preserve">Service User interviews summary </w:t>
            </w:r>
          </w:p>
        </w:tc>
        <w:tc>
          <w:tcPr>
            <w:tcW w:w="5672" w:type="dxa"/>
          </w:tcPr>
          <w:p w14:paraId="1F8B850C" w14:textId="2329E4D2" w:rsidR="00B360D5" w:rsidRDefault="00B360D5" w:rsidP="1D720D6F">
            <w:hyperlink r:id="rId82" w:history="1">
              <w:r w:rsidRPr="00285A79">
                <w:rPr>
                  <w:rStyle w:val="Hyperlink"/>
                </w:rPr>
                <w:t>https://cambridgeshireinsight.org.uk/wp-content/uploads/2025/06/Service-User-Interview-Feedback-.docx</w:t>
              </w:r>
            </w:hyperlink>
          </w:p>
          <w:p w14:paraId="591253C1" w14:textId="5294F166" w:rsidR="00B360D5" w:rsidRPr="00B360D5" w:rsidRDefault="00B360D5" w:rsidP="1D720D6F"/>
        </w:tc>
      </w:tr>
      <w:tr w:rsidR="001A5142" w14:paraId="685AB90E" w14:textId="77777777" w:rsidTr="665D5B8A">
        <w:trPr>
          <w:trHeight w:val="420"/>
        </w:trPr>
        <w:tc>
          <w:tcPr>
            <w:tcW w:w="4106" w:type="dxa"/>
          </w:tcPr>
          <w:p w14:paraId="1037BEF6" w14:textId="77777777" w:rsidR="001A5142" w:rsidRDefault="001A5142" w:rsidP="000046A8">
            <w:r>
              <w:t xml:space="preserve">Service User questionnaire summary </w:t>
            </w:r>
          </w:p>
        </w:tc>
        <w:tc>
          <w:tcPr>
            <w:tcW w:w="5672" w:type="dxa"/>
          </w:tcPr>
          <w:p w14:paraId="4EBAB67E" w14:textId="473DFE5E" w:rsidR="001A5142" w:rsidRDefault="00B360D5" w:rsidP="1D720D6F">
            <w:hyperlink r:id="rId83" w:history="1">
              <w:r w:rsidRPr="00285A79">
                <w:rPr>
                  <w:rStyle w:val="Hyperlink"/>
                </w:rPr>
                <w:t>https://cambridgeshireinsight.org.uk/wp-content/uploads/2025/06/Service-User-consultation-summary-Dec-24.docx</w:t>
              </w:r>
            </w:hyperlink>
          </w:p>
          <w:p w14:paraId="7F9DEB59" w14:textId="1BBB658A" w:rsidR="00B360D5" w:rsidRDefault="00B360D5" w:rsidP="1D720D6F">
            <w:pPr>
              <w:rPr>
                <w:rFonts w:ascii="Aptos" w:eastAsia="Aptos" w:hAnsi="Aptos" w:cs="Aptos"/>
              </w:rPr>
            </w:pPr>
          </w:p>
        </w:tc>
      </w:tr>
      <w:tr w:rsidR="001A5142" w14:paraId="5D328D09" w14:textId="77777777" w:rsidTr="665D5B8A">
        <w:trPr>
          <w:trHeight w:val="562"/>
        </w:trPr>
        <w:tc>
          <w:tcPr>
            <w:tcW w:w="4106" w:type="dxa"/>
          </w:tcPr>
          <w:p w14:paraId="7B7A3482" w14:textId="77777777" w:rsidR="001A5142" w:rsidRDefault="001A5142" w:rsidP="000046A8">
            <w:r>
              <w:t xml:space="preserve">Service User voice summary </w:t>
            </w:r>
          </w:p>
        </w:tc>
        <w:tc>
          <w:tcPr>
            <w:tcW w:w="5672" w:type="dxa"/>
          </w:tcPr>
          <w:p w14:paraId="20E53465" w14:textId="5071FC45" w:rsidR="001A5142" w:rsidRDefault="00B360D5" w:rsidP="000046A8">
            <w:hyperlink r:id="rId84" w:history="1">
              <w:r w:rsidRPr="00285A79">
                <w:rPr>
                  <w:rStyle w:val="Hyperlink"/>
                </w:rPr>
                <w:t>https://cambridgeshireinsight.org.uk/wp-content/uploads/2025/06/Consolidated-service-user-voice.docx</w:t>
              </w:r>
            </w:hyperlink>
          </w:p>
          <w:p w14:paraId="41405CBD" w14:textId="22496BA2" w:rsidR="00B360D5" w:rsidRDefault="00B360D5" w:rsidP="000046A8"/>
        </w:tc>
      </w:tr>
      <w:tr w:rsidR="001A5142" w14:paraId="2F1326D2" w14:textId="77777777" w:rsidTr="665D5B8A">
        <w:trPr>
          <w:trHeight w:val="562"/>
        </w:trPr>
        <w:tc>
          <w:tcPr>
            <w:tcW w:w="4106" w:type="dxa"/>
          </w:tcPr>
          <w:p w14:paraId="77596BF5" w14:textId="77777777" w:rsidR="001A5142" w:rsidRDefault="001A5142" w:rsidP="000046A8">
            <w:r>
              <w:t xml:space="preserve">Stakeholder consultation summary </w:t>
            </w:r>
          </w:p>
        </w:tc>
        <w:tc>
          <w:tcPr>
            <w:tcW w:w="5672" w:type="dxa"/>
          </w:tcPr>
          <w:p w14:paraId="58E4FA7A" w14:textId="50CD8C59" w:rsidR="00B4353C" w:rsidRDefault="00B4353C" w:rsidP="665D5B8A">
            <w:hyperlink r:id="rId85" w:history="1">
              <w:r w:rsidRPr="00285A79">
                <w:rPr>
                  <w:rStyle w:val="Hyperlink"/>
                </w:rPr>
                <w:t>https://cambridgeshireinsight.org.uk/wp-content/uploads/2025/06/Final-Stakeholder-feedback.pptx</w:t>
              </w:r>
            </w:hyperlink>
          </w:p>
          <w:p w14:paraId="73A804FB" w14:textId="77777777" w:rsidR="00B360D5" w:rsidRDefault="00B360D5" w:rsidP="665D5B8A"/>
          <w:p w14:paraId="5BFD7B8C" w14:textId="678476E4" w:rsidR="001A5142" w:rsidRDefault="00B360D5" w:rsidP="000046A8">
            <w:hyperlink r:id="rId86" w:history="1">
              <w:r w:rsidRPr="00285A79">
                <w:rPr>
                  <w:rStyle w:val="Hyperlink"/>
                </w:rPr>
                <w:t>https://cambridgeshireinsight.org.uk/wp-content/uploads/2025/06/Consolidated-stakeholder-feedback.docx</w:t>
              </w:r>
            </w:hyperlink>
          </w:p>
          <w:p w14:paraId="6BDD97BD" w14:textId="54E2A642" w:rsidR="00B360D5" w:rsidRDefault="00B360D5" w:rsidP="000046A8"/>
        </w:tc>
      </w:tr>
      <w:tr w:rsidR="001A5142" w14:paraId="3CCDE6B7" w14:textId="77777777" w:rsidTr="665D5B8A">
        <w:trPr>
          <w:trHeight w:val="550"/>
        </w:trPr>
        <w:tc>
          <w:tcPr>
            <w:tcW w:w="4106" w:type="dxa"/>
          </w:tcPr>
          <w:p w14:paraId="0CC51531" w14:textId="77777777" w:rsidR="001A5142" w:rsidRDefault="001A5142" w:rsidP="000046A8">
            <w:r>
              <w:t xml:space="preserve">Staff feedback summary </w:t>
            </w:r>
          </w:p>
        </w:tc>
        <w:tc>
          <w:tcPr>
            <w:tcW w:w="5672" w:type="dxa"/>
          </w:tcPr>
          <w:p w14:paraId="5BCB6032" w14:textId="755CFBA0" w:rsidR="001A5142" w:rsidRDefault="00B360D5" w:rsidP="00AF1C47">
            <w:hyperlink r:id="rId87" w:history="1">
              <w:r w:rsidRPr="00285A79">
                <w:rPr>
                  <w:rStyle w:val="Hyperlink"/>
                </w:rPr>
                <w:t>https://cambridgeshireinsight.org.uk/wp-content/uploads/2025/06/Consolidated-staff-feedback.docx</w:t>
              </w:r>
            </w:hyperlink>
          </w:p>
          <w:p w14:paraId="1EC9BFC0" w14:textId="18D4ADA6" w:rsidR="00B360D5" w:rsidRDefault="00B360D5" w:rsidP="00AF1C47"/>
        </w:tc>
      </w:tr>
      <w:tr w:rsidR="001A5142" w14:paraId="4C3637B5" w14:textId="77777777" w:rsidTr="665D5B8A">
        <w:trPr>
          <w:trHeight w:val="562"/>
        </w:trPr>
        <w:tc>
          <w:tcPr>
            <w:tcW w:w="4106" w:type="dxa"/>
          </w:tcPr>
          <w:p w14:paraId="4218DCA3" w14:textId="77777777" w:rsidR="001A5142" w:rsidRDefault="001A5142" w:rsidP="000046A8">
            <w:r>
              <w:t xml:space="preserve">Young Peoples Summary </w:t>
            </w:r>
          </w:p>
        </w:tc>
        <w:tc>
          <w:tcPr>
            <w:tcW w:w="5672" w:type="dxa"/>
          </w:tcPr>
          <w:p w14:paraId="45CFEE50" w14:textId="7C8AE5F4" w:rsidR="001A5142" w:rsidRDefault="00B360D5" w:rsidP="00AF1C47">
            <w:hyperlink r:id="rId88" w:history="1">
              <w:r w:rsidRPr="00285A79">
                <w:rPr>
                  <w:rStyle w:val="Hyperlink"/>
                </w:rPr>
                <w:t>https://cambridgeshireinsight.org.uk/wp-content/uploads/2025/06/Young-Peoples-Summary-.docx</w:t>
              </w:r>
            </w:hyperlink>
          </w:p>
          <w:p w14:paraId="63C9B51E" w14:textId="1AE743C7" w:rsidR="00B360D5" w:rsidRDefault="00B360D5" w:rsidP="00AF1C47"/>
        </w:tc>
      </w:tr>
      <w:tr w:rsidR="001A5142" w14:paraId="464AE099" w14:textId="77777777" w:rsidTr="665D5B8A">
        <w:trPr>
          <w:trHeight w:val="275"/>
        </w:trPr>
        <w:tc>
          <w:tcPr>
            <w:tcW w:w="4106" w:type="dxa"/>
          </w:tcPr>
          <w:p w14:paraId="5704059A" w14:textId="77777777" w:rsidR="001A5142" w:rsidRDefault="001A5142" w:rsidP="000046A8">
            <w:r>
              <w:t xml:space="preserve">Anglia Ruskin Report </w:t>
            </w:r>
          </w:p>
        </w:tc>
        <w:tc>
          <w:tcPr>
            <w:tcW w:w="5672" w:type="dxa"/>
          </w:tcPr>
          <w:p w14:paraId="50C6F0EE" w14:textId="5054F585" w:rsidR="001A5142" w:rsidRDefault="00B360D5" w:rsidP="00845B1D">
            <w:hyperlink r:id="rId89" w:history="1">
              <w:r w:rsidRPr="00285A79">
                <w:rPr>
                  <w:rStyle w:val="Hyperlink"/>
                </w:rPr>
                <w:t>https://cambridgeshireinsight.org.uk/wp-content/uploads/2025/06/Shoke-Final-Nov-24-Recovery-in-the-community.pdf</w:t>
              </w:r>
            </w:hyperlink>
          </w:p>
          <w:p w14:paraId="515BB566" w14:textId="642793B6" w:rsidR="00B360D5" w:rsidRDefault="00B360D5" w:rsidP="00845B1D"/>
        </w:tc>
      </w:tr>
    </w:tbl>
    <w:p w14:paraId="41971F8E" w14:textId="77777777" w:rsidR="001A5142" w:rsidRDefault="001A5142" w:rsidP="001A5142"/>
    <w:p w14:paraId="68D42AB7" w14:textId="77777777" w:rsidR="003C1506" w:rsidRPr="003F2A7D" w:rsidRDefault="003C1506" w:rsidP="00782D2F"/>
    <w:sectPr w:rsidR="003C1506" w:rsidRPr="003F2A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94FC4" w14:textId="77777777" w:rsidR="00D12145" w:rsidRDefault="00D12145" w:rsidP="00895994">
      <w:pPr>
        <w:spacing w:after="0" w:line="240" w:lineRule="auto"/>
      </w:pPr>
      <w:r>
        <w:separator/>
      </w:r>
    </w:p>
  </w:endnote>
  <w:endnote w:type="continuationSeparator" w:id="0">
    <w:p w14:paraId="1E5B1CCC" w14:textId="77777777" w:rsidR="00D12145" w:rsidRDefault="00D12145" w:rsidP="00895994">
      <w:pPr>
        <w:spacing w:after="0" w:line="240" w:lineRule="auto"/>
      </w:pPr>
      <w:r>
        <w:continuationSeparator/>
      </w:r>
    </w:p>
  </w:endnote>
  <w:endnote w:type="continuationNotice" w:id="1">
    <w:p w14:paraId="6428CF55" w14:textId="77777777" w:rsidR="00D12145" w:rsidRDefault="00D121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37360" w14:textId="2ADE6EA2" w:rsidR="00895994" w:rsidRDefault="0089599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6276" w14:textId="2052605A" w:rsidR="00781F6C" w:rsidRDefault="003749FB" w:rsidP="0053553B">
    <w:pPr>
      <w:pStyle w:val="Footer"/>
    </w:pPr>
    <w:fldSimple w:instr="STYLEREF  &quot;Heading 2&quot; \l  \* MERGEFORMAT">
      <w:r w:rsidR="00235D38">
        <w:rPr>
          <w:noProof/>
        </w:rPr>
        <w:t>Qualitative Consultation Overview</w:t>
      </w:r>
    </w:fldSimple>
    <w:r w:rsidR="000F0AE1">
      <w:tab/>
    </w:r>
    <w:r w:rsidR="001F3A41">
      <w:tab/>
    </w:r>
    <w:r w:rsidR="0053553B">
      <w:t xml:space="preserve">Back to </w:t>
    </w:r>
    <w:sdt>
      <w:sdtPr>
        <w:id w:val="-1461652373"/>
        <w:docPartObj>
          <w:docPartGallery w:val="Page Numbers (Bottom of Page)"/>
          <w:docPartUnique/>
        </w:docPartObj>
      </w:sdtPr>
      <w:sdtEndPr>
        <w:rPr>
          <w:noProof/>
        </w:rPr>
      </w:sdtEndPr>
      <w:sdtContent>
        <w:r w:rsidR="009B4ECB">
          <w:fldChar w:fldCharType="begin"/>
        </w:r>
        <w:r w:rsidR="009B4ECB">
          <w:instrText xml:space="preserve"> REF _Ref196812507 \h </w:instrText>
        </w:r>
        <w:r w:rsidR="009B4ECB">
          <w:fldChar w:fldCharType="separate"/>
        </w:r>
        <w:r w:rsidR="009B4ECB">
          <w:t>Contents</w:t>
        </w:r>
        <w:r w:rsidR="009B4ECB">
          <w:fldChar w:fldCharType="end"/>
        </w:r>
        <w:r w:rsidR="001F3A41">
          <w:t xml:space="preserve">           Pg </w:t>
        </w:r>
        <w:r w:rsidR="00781F6C">
          <w:fldChar w:fldCharType="begin"/>
        </w:r>
        <w:r w:rsidR="00781F6C">
          <w:instrText xml:space="preserve"> PAGE   \* MERGEFORMAT </w:instrText>
        </w:r>
        <w:r w:rsidR="00781F6C">
          <w:fldChar w:fldCharType="separate"/>
        </w:r>
        <w:r w:rsidR="00781F6C">
          <w:rPr>
            <w:noProof/>
          </w:rPr>
          <w:t>2</w:t>
        </w:r>
        <w:r w:rsidR="00781F6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F5B87" w14:textId="77777777" w:rsidR="00D12145" w:rsidRDefault="00D12145" w:rsidP="00895994">
      <w:pPr>
        <w:spacing w:after="0" w:line="240" w:lineRule="auto"/>
      </w:pPr>
      <w:r>
        <w:separator/>
      </w:r>
    </w:p>
  </w:footnote>
  <w:footnote w:type="continuationSeparator" w:id="0">
    <w:p w14:paraId="7AB0C611" w14:textId="77777777" w:rsidR="00D12145" w:rsidRDefault="00D12145" w:rsidP="00895994">
      <w:pPr>
        <w:spacing w:after="0" w:line="240" w:lineRule="auto"/>
      </w:pPr>
      <w:r>
        <w:continuationSeparator/>
      </w:r>
    </w:p>
  </w:footnote>
  <w:footnote w:type="continuationNotice" w:id="1">
    <w:p w14:paraId="4F6BAE05" w14:textId="77777777" w:rsidR="00D12145" w:rsidRDefault="00D12145">
      <w:pPr>
        <w:spacing w:after="0" w:line="240" w:lineRule="auto"/>
      </w:pPr>
    </w:p>
  </w:footnote>
  <w:footnote w:id="2">
    <w:p w14:paraId="636AAAFF" w14:textId="32621210" w:rsidR="00247F06" w:rsidRDefault="00247F06" w:rsidP="009D1C77">
      <w:pPr>
        <w:pStyle w:val="FootnoteText"/>
      </w:pPr>
      <w:r>
        <w:rPr>
          <w:rStyle w:val="FootnoteReference"/>
        </w:rPr>
        <w:footnoteRef/>
      </w:r>
      <w:r>
        <w:t xml:space="preserve"> </w:t>
      </w:r>
      <w:r w:rsidR="00D124B6" w:rsidRPr="001C5A5D">
        <w:t>The National Treatment Agency for Substance Misuse</w:t>
      </w:r>
      <w:r w:rsidR="00D124B6">
        <w:t xml:space="preserve"> (2012). </w:t>
      </w:r>
      <w:r w:rsidR="001C5A5D">
        <w:t>E</w:t>
      </w:r>
      <w:r w:rsidR="009D1C77">
        <w:t>stimating the crime reduction benefits of drug treatment and recovery</w:t>
      </w:r>
      <w:r w:rsidR="001C5A5D">
        <w:t>. Available at</w:t>
      </w:r>
      <w:r w:rsidR="006B1855">
        <w:t>:</w:t>
      </w:r>
      <w:r w:rsidR="001C5A5D">
        <w:t xml:space="preserve"> </w:t>
      </w:r>
      <w:hyperlink r:id="rId1" w:history="1">
        <w:r w:rsidR="001C5A5D" w:rsidRPr="001B015C">
          <w:rPr>
            <w:rStyle w:val="Hyperlink"/>
          </w:rPr>
          <w:t>https://webarchive.nationalarchives.gov.uk/ukgwa/20170807150623/http://www.nta.nhs.uk/uploads/vfm2012.pdf</w:t>
        </w:r>
      </w:hyperlink>
    </w:p>
  </w:footnote>
  <w:footnote w:id="3">
    <w:p w14:paraId="6B95145F" w14:textId="03E34D2B" w:rsidR="00247F06" w:rsidRDefault="00247F06">
      <w:pPr>
        <w:pStyle w:val="FootnoteText"/>
      </w:pPr>
      <w:r>
        <w:rPr>
          <w:rStyle w:val="FootnoteReference"/>
        </w:rPr>
        <w:footnoteRef/>
      </w:r>
      <w:r>
        <w:t xml:space="preserve"> </w:t>
      </w:r>
      <w:r w:rsidR="00D124B6">
        <w:t xml:space="preserve">Public Health England (PHE) (2018). </w:t>
      </w:r>
      <w:r w:rsidR="000B254F" w:rsidRPr="000B254F">
        <w:t>Alcohol and drug prevention, treatment and recovery: why invest?</w:t>
      </w:r>
      <w:r w:rsidR="000B254F">
        <w:t xml:space="preserve"> Available a</w:t>
      </w:r>
      <w:r w:rsidR="00D124B6">
        <w:t>t</w:t>
      </w:r>
      <w:r w:rsidR="006B1855">
        <w:t xml:space="preserve">: </w:t>
      </w:r>
      <w:hyperlink r:id="rId2" w:history="1">
        <w:r w:rsidR="00D9644E" w:rsidRPr="001B015C">
          <w:rPr>
            <w:rStyle w:val="Hyperlink"/>
          </w:rPr>
          <w:t>https://www.gov.uk/government/publications/alcohol-and-drug-prevention-treatment-and-recovery-why-invest</w:t>
        </w:r>
      </w:hyperlink>
    </w:p>
  </w:footnote>
  <w:footnote w:id="4">
    <w:p w14:paraId="6EF9EAAE" w14:textId="570691E0" w:rsidR="00324A8D" w:rsidRDefault="00324A8D">
      <w:pPr>
        <w:pStyle w:val="FootnoteText"/>
      </w:pPr>
      <w:r>
        <w:rPr>
          <w:rStyle w:val="FootnoteReference"/>
        </w:rPr>
        <w:footnoteRef/>
      </w:r>
      <w:r>
        <w:t xml:space="preserve"> </w:t>
      </w:r>
      <w:r w:rsidR="00D124B6">
        <w:t xml:space="preserve">PHE (2016). </w:t>
      </w:r>
      <w:r w:rsidR="007435C9" w:rsidRPr="007435C9">
        <w:t>Substance misuse in people with learning disabilities: reasonable adjustments guidance</w:t>
      </w:r>
      <w:r w:rsidR="00D124B6">
        <w:t xml:space="preserve">. </w:t>
      </w:r>
      <w:r w:rsidR="007435C9">
        <w:t xml:space="preserve">Available at: </w:t>
      </w:r>
      <w:hyperlink r:id="rId3" w:history="1">
        <w:r w:rsidR="007435C9" w:rsidRPr="001B015C">
          <w:rPr>
            <w:rStyle w:val="Hyperlink"/>
          </w:rPr>
          <w:t>https://www.gov.uk/government/publications/substance-misuse-and-people-with-learning-disabilities/substance-misuse-in-people-with-learning-disabilities-reasonable-adjustments-guidance</w:t>
        </w:r>
      </w:hyperlink>
    </w:p>
  </w:footnote>
  <w:footnote w:id="5">
    <w:p w14:paraId="1C9A20DD" w14:textId="25037A11" w:rsidR="00324A8D" w:rsidRDefault="00324A8D">
      <w:pPr>
        <w:pStyle w:val="FootnoteText"/>
      </w:pPr>
      <w:r>
        <w:rPr>
          <w:rStyle w:val="FootnoteReference"/>
        </w:rPr>
        <w:footnoteRef/>
      </w:r>
      <w:r>
        <w:t xml:space="preserve"> </w:t>
      </w:r>
      <w:r w:rsidR="00D124B6">
        <w:t xml:space="preserve">NHS England (2023). </w:t>
      </w:r>
      <w:r w:rsidR="00717BBA" w:rsidRPr="00717BBA">
        <w:t>Smoking, Drinking and Drug Use among Young People in England</w:t>
      </w:r>
      <w:r w:rsidR="00577649">
        <w:t xml:space="preserve"> (SDD)</w:t>
      </w:r>
      <w:r w:rsidR="00717BBA">
        <w:t xml:space="preserve">. </w:t>
      </w:r>
      <w:r w:rsidR="00111047">
        <w:t xml:space="preserve">Available at: </w:t>
      </w:r>
      <w:hyperlink r:id="rId4" w:history="1">
        <w:r w:rsidR="00111047" w:rsidRPr="001B015C">
          <w:rPr>
            <w:rStyle w:val="Hyperlink"/>
          </w:rPr>
          <w:t>https://digital.nhs.uk/data-and-information/publications/statistical/smoking-drinking-and-drug-use-among-young-people-in-england</w:t>
        </w:r>
      </w:hyperlink>
    </w:p>
  </w:footnote>
  <w:footnote w:id="6">
    <w:p w14:paraId="5BDED292" w14:textId="78833F9A" w:rsidR="00324A8D" w:rsidRDefault="00324A8D" w:rsidP="008C2AB0">
      <w:pPr>
        <w:pStyle w:val="FootnoteText"/>
      </w:pPr>
      <w:r>
        <w:rPr>
          <w:rStyle w:val="FootnoteReference"/>
        </w:rPr>
        <w:footnoteRef/>
      </w:r>
      <w:r>
        <w:t xml:space="preserve"> </w:t>
      </w:r>
      <w:r w:rsidR="008C2AB0">
        <w:t>UK Chief Medical Officers’ Low Risk Drinking Guidelines</w:t>
      </w:r>
      <w:r w:rsidR="008342FA">
        <w:t xml:space="preserve"> </w:t>
      </w:r>
      <w:r w:rsidR="008C2AB0">
        <w:t xml:space="preserve">(2016). Available at: </w:t>
      </w:r>
      <w:hyperlink r:id="rId5" w:history="1">
        <w:r w:rsidR="008C2AB0" w:rsidRPr="001B015C">
          <w:rPr>
            <w:rStyle w:val="Hyperlink"/>
          </w:rPr>
          <w:t>https://assets.publishing.service.gov.uk/government/uploads/system/uploads/attachment_data/file/545937/UK_CMOs__report.pdf</w:t>
        </w:r>
      </w:hyperlink>
    </w:p>
  </w:footnote>
  <w:footnote w:id="7">
    <w:p w14:paraId="631B3546" w14:textId="26B31F8D" w:rsidR="00A201D2" w:rsidRDefault="00A201D2">
      <w:pPr>
        <w:pStyle w:val="FootnoteText"/>
      </w:pPr>
      <w:r>
        <w:rPr>
          <w:rStyle w:val="FootnoteReference"/>
        </w:rPr>
        <w:footnoteRef/>
      </w:r>
      <w:r>
        <w:t xml:space="preserve"> </w:t>
      </w:r>
      <w:r w:rsidR="00D124B6">
        <w:t xml:space="preserve">ONS (2024). </w:t>
      </w:r>
      <w:r w:rsidR="00BF7884" w:rsidRPr="00BF7884">
        <w:t>Deaths related to drug poisoning in England and Wales: 2023 registrations</w:t>
      </w:r>
      <w:r w:rsidR="00BF7884">
        <w:t xml:space="preserve">. Available at: </w:t>
      </w:r>
      <w:hyperlink r:id="rId6" w:history="1">
        <w:r w:rsidR="00BF7884" w:rsidRPr="001B015C">
          <w:rPr>
            <w:rStyle w:val="Hyperlink"/>
          </w:rPr>
          <w:t>https://www.ons.gov.uk/peoplepopulationandcommunity/birthsdeathsandmarriages/deaths/bulletins/deathsrelatedtodrugpoisoninginenglandandwales/2023registrations</w:t>
        </w:r>
      </w:hyperlink>
    </w:p>
  </w:footnote>
  <w:footnote w:id="8">
    <w:p w14:paraId="12FE8FE6" w14:textId="1B97EAF9" w:rsidR="00510ED0" w:rsidRPr="007B775D" w:rsidRDefault="00510ED0">
      <w:pPr>
        <w:pStyle w:val="FootnoteText"/>
        <w:rPr>
          <w:sz w:val="22"/>
          <w:szCs w:val="22"/>
        </w:rPr>
      </w:pPr>
      <w:r>
        <w:rPr>
          <w:rStyle w:val="FootnoteReference"/>
        </w:rPr>
        <w:footnoteRef/>
      </w:r>
      <w:r>
        <w:t xml:space="preserve"> </w:t>
      </w:r>
      <w:r w:rsidR="005C395C" w:rsidRPr="00892AE8">
        <w:t>Office for Health Improvement and Disparities</w:t>
      </w:r>
      <w:r w:rsidR="005C395C">
        <w:t xml:space="preserve"> (OHID) (2024). </w:t>
      </w:r>
      <w:r w:rsidR="007B775D" w:rsidRPr="007B775D">
        <w:t>Deaths linked to potent synthetic opioids</w:t>
      </w:r>
      <w:r w:rsidR="007B775D">
        <w:t xml:space="preserve">. Available at: </w:t>
      </w:r>
      <w:hyperlink r:id="rId7" w:history="1">
        <w:r w:rsidR="007B775D" w:rsidRPr="001B015C">
          <w:rPr>
            <w:rStyle w:val="Hyperlink"/>
          </w:rPr>
          <w:t>https://www.gov.uk/government/publications/deaths-linked-to-potent-synthetic-opioids/deaths-linked-to-potent-synthetic-opioids</w:t>
        </w:r>
      </w:hyperlink>
    </w:p>
  </w:footnote>
  <w:footnote w:id="9">
    <w:p w14:paraId="71C40D2D" w14:textId="084689C6" w:rsidR="00510ED0" w:rsidRDefault="00510ED0">
      <w:pPr>
        <w:pStyle w:val="FootnoteText"/>
      </w:pPr>
      <w:r>
        <w:rPr>
          <w:rStyle w:val="FootnoteReference"/>
        </w:rPr>
        <w:footnoteRef/>
      </w:r>
      <w:r>
        <w:t xml:space="preserve"> </w:t>
      </w:r>
      <w:r w:rsidR="00D124B6">
        <w:t xml:space="preserve">OHID (2024). </w:t>
      </w:r>
      <w:r w:rsidR="008342FA">
        <w:t>A</w:t>
      </w:r>
      <w:r w:rsidR="008342FA" w:rsidRPr="008342FA">
        <w:t>lcohol profile: short statistical commentary, December 2024</w:t>
      </w:r>
      <w:r w:rsidR="008342FA">
        <w:t xml:space="preserve">. </w:t>
      </w:r>
      <w:r w:rsidR="006B1855">
        <w:t xml:space="preserve">Available at: </w:t>
      </w:r>
      <w:hyperlink r:id="rId8" w:history="1">
        <w:r w:rsidR="006B1855" w:rsidRPr="002C3917">
          <w:rPr>
            <w:rStyle w:val="Hyperlink"/>
          </w:rPr>
          <w:t>https://www.gov.uk/government/statistics/alcohol-profiles-for-england-december-2024-update/alcohol-profiles-for-england-short-statistical-commentary-december-2024</w:t>
        </w:r>
      </w:hyperlink>
    </w:p>
  </w:footnote>
  <w:footnote w:id="10">
    <w:p w14:paraId="7508D0E0" w14:textId="482637CE" w:rsidR="001C796C" w:rsidRDefault="001C796C">
      <w:pPr>
        <w:pStyle w:val="FootnoteText"/>
      </w:pPr>
      <w:r>
        <w:rPr>
          <w:rStyle w:val="FootnoteReference"/>
        </w:rPr>
        <w:footnoteRef/>
      </w:r>
      <w:r>
        <w:t xml:space="preserve"> Available at: </w:t>
      </w:r>
      <w:hyperlink r:id="rId9" w:history="1">
        <w:r w:rsidR="00716C15" w:rsidRPr="00832D02">
          <w:rPr>
            <w:rStyle w:val="Hyperlink"/>
          </w:rPr>
          <w:t>https://cambridgeshireinsight.org.uk/jsna-2023/</w:t>
        </w:r>
      </w:hyperlink>
      <w:r w:rsidR="00716C15">
        <w:t xml:space="preserve"> </w:t>
      </w:r>
    </w:p>
  </w:footnote>
  <w:footnote w:id="11">
    <w:p w14:paraId="25C414FE" w14:textId="0D1B79FF" w:rsidR="00510ED0" w:rsidRDefault="00510ED0">
      <w:pPr>
        <w:pStyle w:val="FootnoteText"/>
      </w:pPr>
      <w:r>
        <w:rPr>
          <w:rStyle w:val="FootnoteReference"/>
        </w:rPr>
        <w:footnoteRef/>
      </w:r>
      <w:r>
        <w:t xml:space="preserve"> </w:t>
      </w:r>
      <w:r w:rsidR="00254649" w:rsidRPr="00F35CF9">
        <w:t>Office for National Statistics</w:t>
      </w:r>
      <w:r w:rsidR="00254649">
        <w:t xml:space="preserve"> </w:t>
      </w:r>
      <w:r w:rsidR="005C395C">
        <w:t xml:space="preserve">(2023). </w:t>
      </w:r>
      <w:r w:rsidR="005F25A7" w:rsidRPr="005F25A7">
        <w:t>How life has changed in Peterborough: Census 2021</w:t>
      </w:r>
      <w:r w:rsidR="005F25A7">
        <w:t>.</w:t>
      </w:r>
      <w:r w:rsidR="005C395C">
        <w:t xml:space="preserve"> </w:t>
      </w:r>
      <w:r w:rsidR="005F25A7">
        <w:t>Available at</w:t>
      </w:r>
      <w:r w:rsidR="006B1855">
        <w:t>:</w:t>
      </w:r>
      <w:r w:rsidR="005F25A7">
        <w:t xml:space="preserve"> </w:t>
      </w:r>
      <w:hyperlink r:id="rId10" w:history="1">
        <w:r w:rsidR="006B1855" w:rsidRPr="002C3917">
          <w:rPr>
            <w:rStyle w:val="Hyperlink"/>
          </w:rPr>
          <w:t>https://www.ons.gov.uk/visualisations/censusareachanges/E06000031/</w:t>
        </w:r>
      </w:hyperlink>
    </w:p>
  </w:footnote>
  <w:footnote w:id="12">
    <w:p w14:paraId="3AC93599" w14:textId="1C1BAFD9" w:rsidR="00335F20" w:rsidRDefault="00335F20">
      <w:pPr>
        <w:pStyle w:val="FootnoteText"/>
      </w:pPr>
      <w:r>
        <w:rPr>
          <w:rStyle w:val="FootnoteReference"/>
        </w:rPr>
        <w:footnoteRef/>
      </w:r>
      <w:r>
        <w:t xml:space="preserve"> </w:t>
      </w:r>
      <w:r w:rsidR="00246161" w:rsidRPr="00246161">
        <w:t xml:space="preserve">ONS (2023) Census 2021: </w:t>
      </w:r>
      <w:r w:rsidR="008C29FD" w:rsidRPr="008C29FD">
        <w:t>People, population and community</w:t>
      </w:r>
      <w:r w:rsidR="00246161" w:rsidRPr="00246161">
        <w:t xml:space="preserve">. Available at: </w:t>
      </w:r>
      <w:hyperlink r:id="rId11" w:history="1">
        <w:r w:rsidR="0000093A" w:rsidRPr="00150A6D">
          <w:rPr>
            <w:rStyle w:val="Hyperlink"/>
          </w:rPr>
          <w:t>https://www.ons.gov.uk/peoplepopulationandcommunity</w:t>
        </w:r>
      </w:hyperlink>
      <w:r w:rsidR="0000093A">
        <w:t xml:space="preserve"> </w:t>
      </w:r>
      <w:r w:rsidR="00246161">
        <w:t xml:space="preserve"> </w:t>
      </w:r>
    </w:p>
  </w:footnote>
  <w:footnote w:id="13">
    <w:p w14:paraId="39531791" w14:textId="6F7264AE" w:rsidR="00E06B50" w:rsidRDefault="00E06B50">
      <w:pPr>
        <w:pStyle w:val="FootnoteText"/>
      </w:pPr>
      <w:r>
        <w:rPr>
          <w:rStyle w:val="FootnoteReference"/>
        </w:rPr>
        <w:footnoteRef/>
      </w:r>
      <w:r>
        <w:t xml:space="preserve"> </w:t>
      </w:r>
      <w:r w:rsidR="00FD2F60">
        <w:t xml:space="preserve">Consumer Data Research Centre (2024). </w:t>
      </w:r>
      <w:r w:rsidR="00232CDE" w:rsidRPr="00232CDE">
        <w:t>Index of Multiple Deprivation (IMD)</w:t>
      </w:r>
      <w:r w:rsidR="00232CDE">
        <w:t xml:space="preserve">. Available at: </w:t>
      </w:r>
      <w:hyperlink r:id="rId12" w:history="1">
        <w:r w:rsidR="00232CDE" w:rsidRPr="001B015C">
          <w:rPr>
            <w:rStyle w:val="Hyperlink"/>
          </w:rPr>
          <w:t>https://data.cdrc.ac.uk/dataset/index-multiple-deprivation-imd</w:t>
        </w:r>
      </w:hyperlink>
    </w:p>
  </w:footnote>
  <w:footnote w:id="14">
    <w:p w14:paraId="15A3BFEB" w14:textId="0F2B7753" w:rsidR="00EE1B47" w:rsidRDefault="00EE1B47">
      <w:pPr>
        <w:pStyle w:val="FootnoteText"/>
      </w:pPr>
      <w:r>
        <w:rPr>
          <w:rStyle w:val="FootnoteReference"/>
        </w:rPr>
        <w:footnoteRef/>
      </w:r>
      <w:r>
        <w:t xml:space="preserve"> Health Related Behaviour Survey </w:t>
      </w:r>
      <w:r w:rsidR="00214518" w:rsidRPr="00214518">
        <w:t xml:space="preserve">Peterborough </w:t>
      </w:r>
      <w:r>
        <w:t>(2024)</w:t>
      </w:r>
      <w:r w:rsidR="005D42DD">
        <w:t xml:space="preserve">. </w:t>
      </w:r>
      <w:r w:rsidR="00214518">
        <w:t xml:space="preserve">Summary available at </w:t>
      </w:r>
      <w:hyperlink r:id="rId13" w:history="1">
        <w:r w:rsidR="00214518" w:rsidRPr="00E26B82">
          <w:rPr>
            <w:rStyle w:val="Hyperlink"/>
          </w:rPr>
          <w:t>https://cambridgeshireinsight.org.uk/health-and-wellbeing-hub/cyp/</w:t>
        </w:r>
      </w:hyperlink>
      <w:r w:rsidR="00214518">
        <w:t xml:space="preserve"> </w:t>
      </w:r>
    </w:p>
  </w:footnote>
  <w:footnote w:id="15">
    <w:p w14:paraId="73E7295A" w14:textId="3FF34C81" w:rsidR="00E06B50" w:rsidRDefault="00E06B50" w:rsidP="007A7AB2">
      <w:pPr>
        <w:pStyle w:val="FootnoteText"/>
      </w:pPr>
      <w:r>
        <w:rPr>
          <w:rStyle w:val="FootnoteReference"/>
        </w:rPr>
        <w:footnoteRef/>
      </w:r>
      <w:r>
        <w:t xml:space="preserve"> </w:t>
      </w:r>
      <w:r w:rsidR="00FD2F60">
        <w:t xml:space="preserve">ONS (2025). </w:t>
      </w:r>
      <w:r w:rsidR="007A7AB2">
        <w:t xml:space="preserve">Sexual orientation. Quality and methodology information. Available at: </w:t>
      </w:r>
      <w:hyperlink r:id="rId14" w:history="1">
        <w:r w:rsidR="007A7AB2" w:rsidRPr="001B015C">
          <w:rPr>
            <w:rStyle w:val="Hyperlink"/>
          </w:rPr>
          <w:t>https://www.ons.gov.uk/peoplepopulationandcommunity/culturalidentity/sexuality/methodologies/sexualidentityukqmi</w:t>
        </w:r>
      </w:hyperlink>
    </w:p>
  </w:footnote>
  <w:footnote w:id="16">
    <w:p w14:paraId="181F4D9C" w14:textId="0EA8A14B" w:rsidR="00E06B50" w:rsidRDefault="00E06B50">
      <w:pPr>
        <w:pStyle w:val="FootnoteText"/>
      </w:pPr>
      <w:r>
        <w:rPr>
          <w:rStyle w:val="FootnoteReference"/>
        </w:rPr>
        <w:footnoteRef/>
      </w:r>
      <w:r>
        <w:t xml:space="preserve"> </w:t>
      </w:r>
      <w:r w:rsidR="00FD2F60">
        <w:t xml:space="preserve">ONS (2023). </w:t>
      </w:r>
      <w:r w:rsidR="009A774A" w:rsidRPr="009A774A">
        <w:t>Gender identity</w:t>
      </w:r>
      <w:r w:rsidR="009A774A">
        <w:t xml:space="preserve">. </w:t>
      </w:r>
      <w:r w:rsidR="006B1855">
        <w:t xml:space="preserve">Available at: </w:t>
      </w:r>
      <w:hyperlink r:id="rId15" w:history="1">
        <w:r w:rsidR="009A774A" w:rsidRPr="002C3917">
          <w:rPr>
            <w:rStyle w:val="Hyperlink"/>
          </w:rPr>
          <w:t>https://www.ons.gov.uk/datasets/TS078/editions/2021/versions/1</w:t>
        </w:r>
      </w:hyperlink>
      <w:r>
        <w:t xml:space="preserve"> </w:t>
      </w:r>
    </w:p>
  </w:footnote>
  <w:footnote w:id="17">
    <w:p w14:paraId="58A852ED" w14:textId="2620C992" w:rsidR="00E06B50" w:rsidRDefault="00E06B50">
      <w:pPr>
        <w:pStyle w:val="FootnoteText"/>
      </w:pPr>
      <w:r>
        <w:rPr>
          <w:rStyle w:val="FootnoteReference"/>
        </w:rPr>
        <w:footnoteRef/>
      </w:r>
      <w:r>
        <w:t xml:space="preserve"> </w:t>
      </w:r>
      <w:r w:rsidR="00FD2F60">
        <w:t xml:space="preserve">ONS (2024). </w:t>
      </w:r>
      <w:r w:rsidR="003172EB" w:rsidRPr="003172EB">
        <w:t>Drug misuse in England and Wales: year ending March 2024</w:t>
      </w:r>
      <w:r w:rsidR="003172EB">
        <w:t xml:space="preserve">. Available at: </w:t>
      </w:r>
      <w:hyperlink r:id="rId16" w:history="1">
        <w:r w:rsidR="003172EB" w:rsidRPr="002C3917">
          <w:rPr>
            <w:rStyle w:val="Hyperlink"/>
          </w:rPr>
          <w:t>https://www.ons.gov.uk/peoplepopulationandcommunity/crimeandjustice/articles/drugmisuseinenglandandwales/yearendingmarch2024</w:t>
        </w:r>
      </w:hyperlink>
      <w:r>
        <w:t xml:space="preserve"> </w:t>
      </w:r>
    </w:p>
  </w:footnote>
  <w:footnote w:id="18">
    <w:p w14:paraId="2BB175B3" w14:textId="7213B9F1" w:rsidR="00A5464B" w:rsidRDefault="00A5464B">
      <w:pPr>
        <w:pStyle w:val="FootnoteText"/>
      </w:pPr>
      <w:r>
        <w:rPr>
          <w:rStyle w:val="FootnoteReference"/>
        </w:rPr>
        <w:footnoteRef/>
      </w:r>
      <w:r>
        <w:t xml:space="preserve"> </w:t>
      </w:r>
      <w:r w:rsidR="00055E69">
        <w:t xml:space="preserve">OHID (2023). </w:t>
      </w:r>
      <w:r w:rsidR="002F4E35" w:rsidRPr="002F4E35">
        <w:t>Adult substance misuse treatment statistics 2022 to 2023: report</w:t>
      </w:r>
      <w:r w:rsidR="002F4E35">
        <w:t xml:space="preserve">. Available at: </w:t>
      </w:r>
      <w:hyperlink r:id="rId17" w:history="1">
        <w:r w:rsidR="002F4E35" w:rsidRPr="002C3917">
          <w:rPr>
            <w:rStyle w:val="Hyperlink"/>
          </w:rPr>
          <w:t>https://www.gov.uk/government/statistics/substance-misuse-treatment-for-adults-statistics-2022-to-2023/adult-substance-misuse-treatment-statistics-2022-to-2023-report</w:t>
        </w:r>
      </w:hyperlink>
      <w:r>
        <w:t xml:space="preserve"> </w:t>
      </w:r>
    </w:p>
  </w:footnote>
  <w:footnote w:id="19">
    <w:p w14:paraId="7464A2C4" w14:textId="74A1ADD9" w:rsidR="006425C0" w:rsidRDefault="006425C0" w:rsidP="006425C0">
      <w:pPr>
        <w:pStyle w:val="FootnoteText"/>
      </w:pPr>
      <w:r>
        <w:rPr>
          <w:rStyle w:val="FootnoteReference"/>
        </w:rPr>
        <w:footnoteRef/>
      </w:r>
      <w:r>
        <w:t xml:space="preserve"> </w:t>
      </w:r>
      <w:r w:rsidR="00667812">
        <w:t xml:space="preserve">OHID (2024). </w:t>
      </w:r>
      <w:r w:rsidR="00523238" w:rsidRPr="00523238">
        <w:t>Estimates of alcohol dependent adults in England: summary</w:t>
      </w:r>
      <w:r w:rsidR="00523238">
        <w:t xml:space="preserve">. </w:t>
      </w:r>
      <w:r w:rsidR="002F4E35">
        <w:t xml:space="preserve">Available at: </w:t>
      </w:r>
      <w:hyperlink r:id="rId18" w:history="1">
        <w:r w:rsidR="002F4E35" w:rsidRPr="002C3917">
          <w:rPr>
            <w:rStyle w:val="Hyperlink"/>
          </w:rPr>
          <w:t>https://www.gov.uk/government/publications/alcohol-dependence-prevalence-in-england/estimates-of-alcohol-dependent-adults-in-england-summary</w:t>
        </w:r>
      </w:hyperlink>
      <w:r>
        <w:t xml:space="preserve"> </w:t>
      </w:r>
    </w:p>
  </w:footnote>
  <w:footnote w:id="20">
    <w:p w14:paraId="55B314FE" w14:textId="6727F7D0" w:rsidR="00922AE6" w:rsidRDefault="00922AE6">
      <w:pPr>
        <w:pStyle w:val="FootnoteText"/>
      </w:pPr>
      <w:r>
        <w:rPr>
          <w:rStyle w:val="FootnoteReference"/>
        </w:rPr>
        <w:footnoteRef/>
      </w:r>
      <w:r>
        <w:t xml:space="preserve"> </w:t>
      </w:r>
      <w:r w:rsidR="00872579" w:rsidRPr="00872579">
        <w:t>Alcohol use disorders identification test (AUDIT)</w:t>
      </w:r>
      <w:r w:rsidR="002C6428">
        <w:t xml:space="preserve">. Available at: </w:t>
      </w:r>
      <w:hyperlink r:id="rId19" w:history="1">
        <w:r w:rsidR="00C935B8" w:rsidRPr="00A04014">
          <w:rPr>
            <w:rStyle w:val="Hyperlink"/>
          </w:rPr>
          <w:t>https://assets.publishing.service.gov.uk/government/uploads/system/uploads/attachment_data/file/1113175/Alcohol-use-disorders-identification-test-AUDIT_for-print.pdf</w:t>
        </w:r>
      </w:hyperlink>
      <w:r w:rsidR="00C935B8">
        <w:t xml:space="preserve"> </w:t>
      </w:r>
    </w:p>
  </w:footnote>
  <w:footnote w:id="21">
    <w:p w14:paraId="109DB791" w14:textId="548D80AF" w:rsidR="003500F8" w:rsidRDefault="003500F8">
      <w:pPr>
        <w:pStyle w:val="FootnoteText"/>
      </w:pPr>
      <w:r>
        <w:rPr>
          <w:rStyle w:val="FootnoteReference"/>
        </w:rPr>
        <w:footnoteRef/>
      </w:r>
      <w:r>
        <w:t xml:space="preserve"> </w:t>
      </w:r>
      <w:r w:rsidR="00667812">
        <w:t xml:space="preserve">Drinkaware (2021). </w:t>
      </w:r>
      <w:r w:rsidR="00523238" w:rsidRPr="00523238">
        <w:t>Drinkaware Monitor 2021</w:t>
      </w:r>
      <w:r w:rsidR="00523238">
        <w:t xml:space="preserve">. Available at: </w:t>
      </w:r>
      <w:hyperlink r:id="rId20" w:history="1">
        <w:r w:rsidR="00523238" w:rsidRPr="002C3917">
          <w:rPr>
            <w:rStyle w:val="Hyperlink"/>
          </w:rPr>
          <w:t>https://www.drinkaware.co.uk/research/drinkaware-monitors/drinkaware-monitor-2021</w:t>
        </w:r>
      </w:hyperlink>
      <w:r>
        <w:t xml:space="preserve"> </w:t>
      </w:r>
    </w:p>
  </w:footnote>
  <w:footnote w:id="22">
    <w:p w14:paraId="48AD7F49" w14:textId="178F5C42" w:rsidR="004B4564" w:rsidRDefault="004B4564">
      <w:pPr>
        <w:pStyle w:val="FootnoteText"/>
      </w:pPr>
      <w:r>
        <w:rPr>
          <w:rStyle w:val="FootnoteReference"/>
        </w:rPr>
        <w:footnoteRef/>
      </w:r>
      <w:r>
        <w:t xml:space="preserve"> Note that </w:t>
      </w:r>
      <w:r w:rsidR="00FB50BD">
        <w:t xml:space="preserve">this </w:t>
      </w:r>
      <w:r w:rsidR="00B60DCE">
        <w:t xml:space="preserve">is </w:t>
      </w:r>
      <w:r w:rsidR="00847B0C">
        <w:t xml:space="preserve">a comparison </w:t>
      </w:r>
      <w:r w:rsidR="00B60DCE">
        <w:t xml:space="preserve">of treatment numbers </w:t>
      </w:r>
      <w:r w:rsidR="00847B0C">
        <w:t xml:space="preserve">with </w:t>
      </w:r>
      <w:r w:rsidR="00181CB7">
        <w:t>20</w:t>
      </w:r>
      <w:r w:rsidR="00B60DCE">
        <w:t>19-20</w:t>
      </w:r>
      <w:r w:rsidR="00847B0C">
        <w:t xml:space="preserve"> </w:t>
      </w:r>
      <w:r w:rsidR="00D86CA6">
        <w:t xml:space="preserve">prevalence estimates </w:t>
      </w:r>
      <w:r w:rsidR="00847B0C">
        <w:t xml:space="preserve">(the </w:t>
      </w:r>
      <w:r w:rsidR="00177CE7">
        <w:t>most recent available)</w:t>
      </w:r>
      <w:r w:rsidR="00CE659C">
        <w:t xml:space="preserve">, so should be </w:t>
      </w:r>
      <w:r w:rsidR="005F2280">
        <w:t xml:space="preserve">interpreted </w:t>
      </w:r>
      <w:r w:rsidR="00CE659C">
        <w:t>with caution</w:t>
      </w:r>
      <w:r w:rsidR="00E265FD">
        <w:t>.</w:t>
      </w:r>
    </w:p>
  </w:footnote>
  <w:footnote w:id="23">
    <w:p w14:paraId="273E7AB2" w14:textId="3A9313FC" w:rsidR="00202A23" w:rsidRDefault="00202A23">
      <w:pPr>
        <w:pStyle w:val="FootnoteText"/>
      </w:pPr>
      <w:r>
        <w:rPr>
          <w:rStyle w:val="FootnoteReference"/>
        </w:rPr>
        <w:footnoteRef/>
      </w:r>
      <w:r>
        <w:t xml:space="preserve"> </w:t>
      </w:r>
      <w:r w:rsidR="00667812">
        <w:t xml:space="preserve">PHE (2016). </w:t>
      </w:r>
      <w:r w:rsidR="005101CF" w:rsidRPr="005101CF">
        <w:t>Health inequalities: Substance misuse</w:t>
      </w:r>
      <w:r w:rsidR="005101CF">
        <w:t xml:space="preserve">. </w:t>
      </w:r>
      <w:r w:rsidR="00203AE2">
        <w:t xml:space="preserve">Available at: </w:t>
      </w:r>
      <w:hyperlink r:id="rId21" w:history="1">
        <w:r w:rsidR="00203AE2" w:rsidRPr="002C3917">
          <w:rPr>
            <w:rStyle w:val="Hyperlink"/>
          </w:rPr>
          <w:t>https://fingertips.phe.org.uk/documents/Health_inequalities_substance_misuse.pdf</w:t>
        </w:r>
      </w:hyperlink>
      <w:r>
        <w:t xml:space="preserve"> </w:t>
      </w:r>
    </w:p>
  </w:footnote>
  <w:footnote w:id="24">
    <w:p w14:paraId="5CDFA677" w14:textId="3B0DB2A8" w:rsidR="00575A2B" w:rsidRDefault="00575A2B" w:rsidP="00575A2B">
      <w:pPr>
        <w:pStyle w:val="FootnoteText"/>
      </w:pPr>
      <w:r>
        <w:rPr>
          <w:rStyle w:val="FootnoteReference"/>
        </w:rPr>
        <w:footnoteRef/>
      </w:r>
      <w:r>
        <w:t xml:space="preserve"> A shared care record is a secure way of bringing electronic records from different health and care organisations together digitally in one place. It joins up information based on the individual rather than the organisation. </w:t>
      </w:r>
      <w:r w:rsidR="00A40987">
        <w:t>S</w:t>
      </w:r>
      <w:r>
        <w:t>hared care records facilitate sharing of patient data and information across organisations</w:t>
      </w:r>
      <w:r w:rsidR="00A40987">
        <w:t xml:space="preserve"> in line with the NHS Long Term Plan</w:t>
      </w:r>
      <w:r>
        <w:t>. </w:t>
      </w:r>
      <w:hyperlink r:id="rId22" w:history="1">
        <w:r w:rsidR="00A40987" w:rsidRPr="0068705D">
          <w:rPr>
            <w:rStyle w:val="Hyperlink"/>
          </w:rPr>
          <w:t>https://digital.nhs.uk/services/connecting-care-records</w:t>
        </w:r>
      </w:hyperlink>
      <w:r w:rsidR="00A40987">
        <w:t xml:space="preserve"> </w:t>
      </w:r>
    </w:p>
  </w:footnote>
  <w:footnote w:id="25">
    <w:p w14:paraId="0D29BB59" w14:textId="3BED4368" w:rsidR="00D10A4C" w:rsidRDefault="00D10A4C">
      <w:pPr>
        <w:pStyle w:val="FootnoteText"/>
      </w:pPr>
      <w:r>
        <w:rPr>
          <w:rStyle w:val="FootnoteReference"/>
        </w:rPr>
        <w:footnoteRef/>
      </w:r>
      <w:r>
        <w:t xml:space="preserve"> </w:t>
      </w:r>
      <w:r w:rsidR="00314E6D" w:rsidRPr="00314E6D">
        <w:t xml:space="preserve">Maxwell, S., </w:t>
      </w:r>
      <w:r w:rsidR="00667812">
        <w:t>et al.</w:t>
      </w:r>
      <w:r w:rsidR="00314E6D" w:rsidRPr="00314E6D">
        <w:t xml:space="preserve"> </w:t>
      </w:r>
      <w:r w:rsidR="00136D20">
        <w:t>(</w:t>
      </w:r>
      <w:r w:rsidR="00314E6D" w:rsidRPr="00314E6D">
        <w:t>2019</w:t>
      </w:r>
      <w:r w:rsidR="00136D20">
        <w:t>)</w:t>
      </w:r>
      <w:r w:rsidR="00314E6D" w:rsidRPr="00314E6D">
        <w:t>. Chemsex behaviours among men who have sex with men: a systematic review of the literature. International Journal of Drug Policy, 63, pp.74-89.</w:t>
      </w:r>
      <w:r w:rsidR="004C0C04">
        <w:t xml:space="preserve"> </w:t>
      </w:r>
      <w:r w:rsidR="00430F19">
        <w:t xml:space="preserve">Available at: </w:t>
      </w:r>
      <w:hyperlink r:id="rId23" w:history="1">
        <w:r>
          <w:rPr>
            <w:rStyle w:val="Hyperlink"/>
          </w:rPr>
          <w:t>Chemsex%20behaviours%20among%20men%20who%20have%20sex%20with%20men:%20A%20systematic%20review%20of%20the%20literature</w:t>
        </w:r>
      </w:hyperlink>
    </w:p>
  </w:footnote>
  <w:footnote w:id="26">
    <w:p w14:paraId="13A0269F" w14:textId="33AAD498" w:rsidR="00D10A4C" w:rsidRDefault="00D10A4C" w:rsidP="00C01BCB">
      <w:pPr>
        <w:pStyle w:val="FootnoteText"/>
      </w:pPr>
      <w:r>
        <w:rPr>
          <w:rStyle w:val="FootnoteReference"/>
        </w:rPr>
        <w:footnoteRef/>
      </w:r>
      <w:r>
        <w:t xml:space="preserve"> </w:t>
      </w:r>
      <w:r w:rsidR="00C01BCB">
        <w:t xml:space="preserve">PHE (2016). Drug alerts and local drug information systems. Available at: </w:t>
      </w:r>
      <w:hyperlink r:id="rId24" w:history="1">
        <w:r w:rsidR="00C01BCB" w:rsidRPr="002C3917">
          <w:rPr>
            <w:rStyle w:val="Hyperlink"/>
          </w:rPr>
          <w:t>https://assets.publishing.service.gov.uk/media/5a7483b440f0b616bcb1717c/Drug_alerts_and_local_drug_information_systems_guidance.pdf</w:t>
        </w:r>
      </w:hyperlink>
      <w:r>
        <w:t xml:space="preserve"> </w:t>
      </w:r>
    </w:p>
  </w:footnote>
  <w:footnote w:id="27">
    <w:p w14:paraId="5A1D7BD4" w14:textId="2B4A22DB" w:rsidR="008B6EDF" w:rsidRDefault="008B6EDF">
      <w:pPr>
        <w:pStyle w:val="FootnoteText"/>
      </w:pPr>
      <w:r>
        <w:rPr>
          <w:rStyle w:val="FootnoteReference"/>
        </w:rPr>
        <w:footnoteRef/>
      </w:r>
      <w:r>
        <w:t xml:space="preserve"> </w:t>
      </w:r>
      <w:r w:rsidR="00F46FCA" w:rsidRPr="00F46FCA">
        <w:t>NHS England Adult Social Care Statistics Team</w:t>
      </w:r>
      <w:r w:rsidR="00306659">
        <w:t xml:space="preserve">. </w:t>
      </w:r>
      <w:hyperlink r:id="rId25" w:history="1">
        <w:r w:rsidR="00306659" w:rsidRPr="002C3917">
          <w:rPr>
            <w:rStyle w:val="Hyperlink"/>
          </w:rPr>
          <w:t>https://github.com/NHSDigital/ASC_LA_Peer_Groups</w:t>
        </w:r>
      </w:hyperlink>
      <w:r>
        <w:t xml:space="preserve"> </w:t>
      </w:r>
    </w:p>
  </w:footnote>
  <w:footnote w:id="28">
    <w:p w14:paraId="0BF764C5" w14:textId="4CA9D5E2" w:rsidR="00731BC0" w:rsidRDefault="00731BC0">
      <w:pPr>
        <w:pStyle w:val="FootnoteText"/>
      </w:pPr>
      <w:r>
        <w:rPr>
          <w:rStyle w:val="FootnoteReference"/>
        </w:rPr>
        <w:footnoteRef/>
      </w:r>
      <w:r>
        <w:t xml:space="preserve"> </w:t>
      </w:r>
      <w:r w:rsidR="007D68A5">
        <w:t>J. Davies</w:t>
      </w:r>
      <w:r w:rsidR="003B53D9">
        <w:t xml:space="preserve"> (2023). </w:t>
      </w:r>
      <w:r w:rsidR="003B53D9" w:rsidRPr="003B53D9">
        <w:t>Suicide Audit for Cambridgeshire and Peterborough 2020-2022</w:t>
      </w:r>
      <w:r w:rsidR="007900A3">
        <w:t>.</w:t>
      </w:r>
    </w:p>
  </w:footnote>
  <w:footnote w:id="29">
    <w:p w14:paraId="191524EE" w14:textId="3DA87893" w:rsidR="004C264C" w:rsidRDefault="004C264C" w:rsidP="001E713F">
      <w:pPr>
        <w:pStyle w:val="FootnoteText"/>
      </w:pPr>
      <w:r>
        <w:rPr>
          <w:rStyle w:val="FootnoteReference"/>
        </w:rPr>
        <w:footnoteRef/>
      </w:r>
      <w:r>
        <w:t xml:space="preserve"> Institute for Alcohol Studies</w:t>
      </w:r>
      <w:r w:rsidR="001E713F">
        <w:t xml:space="preserve"> </w:t>
      </w:r>
      <w:r w:rsidR="002F3537">
        <w:t xml:space="preserve">(2025). </w:t>
      </w:r>
      <w:r w:rsidR="001E713F">
        <w:t>Spending Review submission 2025</w:t>
      </w:r>
      <w:r w:rsidR="002F3537">
        <w:t xml:space="preserve">. Available at: </w:t>
      </w:r>
      <w:hyperlink r:id="rId26" w:history="1">
        <w:r w:rsidR="002F3537" w:rsidRPr="002C3917">
          <w:rPr>
            <w:rStyle w:val="Hyperlink"/>
          </w:rPr>
          <w:t>https://www.ias.org.uk/wp-content/uploads/2025/01/Spending-Review-submission-2025-Institute-of-Alcohol-Studies.pdf</w:t>
        </w:r>
      </w:hyperlink>
      <w:r w:rsidR="002F3537">
        <w:t xml:space="preserve"> </w:t>
      </w:r>
    </w:p>
  </w:footnote>
  <w:footnote w:id="30">
    <w:p w14:paraId="5350F775" w14:textId="67708184" w:rsidR="005F0287" w:rsidRDefault="005F0287">
      <w:pPr>
        <w:pStyle w:val="FootnoteText"/>
      </w:pPr>
      <w:r>
        <w:rPr>
          <w:rStyle w:val="FootnoteReference"/>
        </w:rPr>
        <w:footnoteRef/>
      </w:r>
      <w:r>
        <w:t xml:space="preserve"> </w:t>
      </w:r>
      <w:r w:rsidR="00C7051F">
        <w:t xml:space="preserve">OHID definition: </w:t>
      </w:r>
      <w:r w:rsidRPr="005F0287">
        <w:t xml:space="preserve">Alcohol-related admissions include cases of accidental poisoning, intentional self-harm (suicide), and poisoning of undetermined intent. For drugs, opiate-related admissions encompass </w:t>
      </w:r>
      <w:r w:rsidR="00A42349">
        <w:t xml:space="preserve">numerous </w:t>
      </w:r>
      <w:r w:rsidRPr="005F0287">
        <w:t>substances. The measure includes the number of instances in which a person has been admitted for drug or alcohol poisoning within the past 12 months (rather than counting the individuals themselves).</w:t>
      </w:r>
    </w:p>
  </w:footnote>
  <w:footnote w:id="31">
    <w:p w14:paraId="0204C51C" w14:textId="6E49338D" w:rsidR="00C7650F" w:rsidRDefault="00C7650F">
      <w:pPr>
        <w:pStyle w:val="FootnoteText"/>
      </w:pPr>
      <w:r>
        <w:rPr>
          <w:rStyle w:val="FootnoteReference"/>
        </w:rPr>
        <w:footnoteRef/>
      </w:r>
      <w:r>
        <w:t xml:space="preserve"> </w:t>
      </w:r>
      <w:r w:rsidR="00C7051F" w:rsidRPr="000B2260">
        <w:t>Ramya Ravindrane; Clare Oliver-Williams; Kathryn Faulkner</w:t>
      </w:r>
      <w:r w:rsidR="00C7051F">
        <w:t>. (202</w:t>
      </w:r>
      <w:r w:rsidR="00F13575">
        <w:t>4).</w:t>
      </w:r>
      <w:r w:rsidR="00C7051F">
        <w:t xml:space="preserve"> </w:t>
      </w:r>
      <w:r w:rsidRPr="00C7650F">
        <w:t xml:space="preserve">Dual Diagnosis Services Across Cambridgeshire </w:t>
      </w:r>
      <w:r>
        <w:t>a</w:t>
      </w:r>
      <w:r w:rsidRPr="00C7650F">
        <w:t>nd Peterborough</w:t>
      </w:r>
      <w:r>
        <w:t xml:space="preserve">. </w:t>
      </w:r>
      <w:r w:rsidR="000B2260" w:rsidRPr="000B2260">
        <w:t>A summary of the various models of dual diagnosis care across Cambridgeshire and Peterborough with strengths and weaknesses of each. Recommendations for next steps</w:t>
      </w:r>
      <w:r w:rsidR="000B2260">
        <w:t>.</w:t>
      </w:r>
    </w:p>
  </w:footnote>
  <w:footnote w:id="32">
    <w:p w14:paraId="1C12D490" w14:textId="23022E37" w:rsidR="000B2260" w:rsidRDefault="000B2260">
      <w:pPr>
        <w:pStyle w:val="FootnoteText"/>
      </w:pPr>
      <w:r>
        <w:rPr>
          <w:rStyle w:val="FootnoteReference"/>
        </w:rPr>
        <w:footnoteRef/>
      </w:r>
      <w:r w:rsidR="004861B0">
        <w:t xml:space="preserve"> </w:t>
      </w:r>
      <w:r w:rsidR="00D27108" w:rsidRPr="00D27108">
        <w:t>Ministry of Justice and HM Prison and Probation Service</w:t>
      </w:r>
      <w:r w:rsidR="0062644F">
        <w:t xml:space="preserve"> (2023). </w:t>
      </w:r>
      <w:r w:rsidR="004861B0" w:rsidRPr="004861B0">
        <w:t>Addiction crackdown sees huge rise in prisoners getting clean</w:t>
      </w:r>
      <w:r w:rsidR="004861B0">
        <w:t xml:space="preserve">. Available at: </w:t>
      </w:r>
      <w:hyperlink r:id="rId27" w:history="1">
        <w:r w:rsidR="004861B0" w:rsidRPr="002C3917">
          <w:rPr>
            <w:rStyle w:val="Hyperlink"/>
          </w:rPr>
          <w:t>https://www.gov.uk/government/news/addiction-crackdown-sees-huge-rise-in-prisoners-getting-clean</w:t>
        </w:r>
      </w:hyperlink>
      <w:r>
        <w:t xml:space="preserve"> </w:t>
      </w:r>
    </w:p>
  </w:footnote>
  <w:footnote w:id="33">
    <w:p w14:paraId="0966E747" w14:textId="6D5E2159" w:rsidR="00CC3109" w:rsidRDefault="00CC3109">
      <w:pPr>
        <w:pStyle w:val="FootnoteText"/>
      </w:pPr>
      <w:r>
        <w:rPr>
          <w:rStyle w:val="FootnoteReference"/>
        </w:rPr>
        <w:footnoteRef/>
      </w:r>
      <w:r>
        <w:t xml:space="preserve"> </w:t>
      </w:r>
      <w:r w:rsidR="00790986">
        <w:t>HM</w:t>
      </w:r>
      <w:r w:rsidR="002505C9">
        <w:t xml:space="preserve"> Government (2021). </w:t>
      </w:r>
      <w:r w:rsidR="002505C9" w:rsidRPr="002505C9">
        <w:t>From harm to hope: a 10-year drugs plan to cut crime and save lives</w:t>
      </w:r>
      <w:r w:rsidR="002505C9">
        <w:t xml:space="preserve">. Available at: </w:t>
      </w:r>
      <w:hyperlink r:id="rId28" w:history="1">
        <w:r w:rsidR="00335A6C" w:rsidRPr="00D75079">
          <w:rPr>
            <w:rStyle w:val="Hyperlink"/>
          </w:rPr>
          <w:t>https://assets.publishing.service.gov.uk/media/629078bad3bf7f036fc492d1/From_harm_to_hope_PDF.pdf</w:t>
        </w:r>
      </w:hyperlink>
      <w:r w:rsidR="00335A6C">
        <w:t xml:space="preserve"> </w:t>
      </w:r>
    </w:p>
  </w:footnote>
  <w:footnote w:id="34">
    <w:p w14:paraId="5BFF6201" w14:textId="6DE068FA" w:rsidR="00F718F9" w:rsidRDefault="00F718F9" w:rsidP="008B16E0">
      <w:pPr>
        <w:pStyle w:val="FootnoteText"/>
      </w:pPr>
      <w:r>
        <w:rPr>
          <w:rStyle w:val="FootnoteReference"/>
        </w:rPr>
        <w:footnoteRef/>
      </w:r>
      <w:r>
        <w:t xml:space="preserve"> </w:t>
      </w:r>
      <w:r w:rsidR="008B16E0">
        <w:t xml:space="preserve">Campbell Tickell (2023). Peterborough – Rough Sleeper Drug and Alcohol Treatment Grant (RSDATG) Evaluation. Available at: </w:t>
      </w:r>
      <w:hyperlink r:id="rId29" w:history="1">
        <w:r w:rsidR="008B16E0" w:rsidRPr="002C3917">
          <w:rPr>
            <w:rStyle w:val="Hyperlink"/>
          </w:rPr>
          <w:t>https://cambridgeshireinsight.org.uk/wp-content/uploads/2024/09/RSDATG-Peterborough-Evaluation-Report-FINAL-07.12.23.pdf</w:t>
        </w:r>
      </w:hyperlink>
      <w:r w:rsidR="00DF6A9E">
        <w:t xml:space="preserve"> </w:t>
      </w:r>
    </w:p>
  </w:footnote>
  <w:footnote w:id="35">
    <w:p w14:paraId="001A7C1A" w14:textId="423C3A50" w:rsidR="00062160" w:rsidRDefault="00062160">
      <w:pPr>
        <w:pStyle w:val="FootnoteText"/>
      </w:pPr>
      <w:r>
        <w:rPr>
          <w:rStyle w:val="FootnoteReference"/>
        </w:rPr>
        <w:footnoteRef/>
      </w:r>
      <w:r>
        <w:t xml:space="preserve"> </w:t>
      </w:r>
      <w:r w:rsidR="00FF3757">
        <w:t xml:space="preserve">Department for Education (2024). </w:t>
      </w:r>
      <w:r w:rsidR="00FF3757" w:rsidRPr="00FF3757">
        <w:t>Children in need</w:t>
      </w:r>
      <w:r w:rsidR="00FF3757">
        <w:t xml:space="preserve">. Available at: </w:t>
      </w:r>
      <w:hyperlink r:id="rId30" w:history="1">
        <w:r w:rsidR="00FF3757" w:rsidRPr="002C3917">
          <w:rPr>
            <w:rStyle w:val="Hyperlink"/>
          </w:rPr>
          <w:t>https://explore-education-statistics.service.gov.uk/find-statistics/children-in-need</w:t>
        </w:r>
      </w:hyperlink>
      <w:r>
        <w:t xml:space="preserve"> </w:t>
      </w:r>
    </w:p>
  </w:footnote>
  <w:footnote w:id="36">
    <w:p w14:paraId="3A72A050" w14:textId="2AFDBC09" w:rsidR="00543ED7" w:rsidRDefault="00543ED7">
      <w:pPr>
        <w:pStyle w:val="FootnoteText"/>
      </w:pPr>
      <w:r>
        <w:rPr>
          <w:rStyle w:val="FootnoteReference"/>
        </w:rPr>
        <w:footnoteRef/>
      </w:r>
      <w:r>
        <w:t xml:space="preserve"> </w:t>
      </w:r>
      <w:r w:rsidR="007064CE">
        <w:t xml:space="preserve">PHE (2021). </w:t>
      </w:r>
      <w:r w:rsidR="007064CE" w:rsidRPr="007064CE">
        <w:t>Parents with alcohol and drug problems: adult treatment and children and family services</w:t>
      </w:r>
      <w:r w:rsidR="007064CE">
        <w:t xml:space="preserve">. Available at: </w:t>
      </w:r>
      <w:hyperlink r:id="rId31" w:anchor=":~:text=DfE%20analysed%20serious%20case%20reviews,term%20and%20later%20in%20life" w:history="1">
        <w:r w:rsidR="002E5556" w:rsidRPr="002C3917">
          <w:rPr>
            <w:rStyle w:val="Hyperlink"/>
          </w:rPr>
          <w:t>https://www.gov.uk/government/publications/parents-with-alcohol-and-drug-problems-support-resources/parents-with-alcohol-and-drug-problems-guidance-for-adult-treatment-and-children-and-family-services#:~:text=DfE%20analysed%20serious%20case%20reviews,term%20and%20later%20in%20life</w:t>
        </w:r>
      </w:hyperlink>
      <w:r w:rsidRPr="00543ED7">
        <w:t>.</w:t>
      </w:r>
      <w:r>
        <w:t xml:space="preserve"> </w:t>
      </w:r>
    </w:p>
  </w:footnote>
  <w:footnote w:id="37">
    <w:p w14:paraId="6382D299" w14:textId="5D4D0899" w:rsidR="00543ED7" w:rsidRDefault="00543ED7">
      <w:pPr>
        <w:pStyle w:val="FootnoteText"/>
      </w:pPr>
      <w:r>
        <w:rPr>
          <w:rStyle w:val="FootnoteReference"/>
        </w:rPr>
        <w:footnoteRef/>
      </w:r>
      <w:r>
        <w:t xml:space="preserve"> </w:t>
      </w:r>
      <w:r w:rsidR="002E5556">
        <w:t xml:space="preserve">ONS (2024). </w:t>
      </w:r>
      <w:r w:rsidR="002E5556" w:rsidRPr="002E5556">
        <w:t>Employment, unemployment and economic inactivity in Peterborough</w:t>
      </w:r>
      <w:r w:rsidR="002E5556">
        <w:t xml:space="preserve">. Available at: </w:t>
      </w:r>
      <w:hyperlink r:id="rId32" w:history="1">
        <w:r w:rsidR="002E5556" w:rsidRPr="002C3917">
          <w:rPr>
            <w:rStyle w:val="Hyperlink"/>
          </w:rPr>
          <w:t>https://www.ons.gov.uk/visualisations/labourmarketlocal/E06000031/</w:t>
        </w:r>
      </w:hyperlink>
    </w:p>
  </w:footnote>
  <w:footnote w:id="38">
    <w:p w14:paraId="48C14F2C" w14:textId="185B9D26" w:rsidR="00146BA3" w:rsidRDefault="00146BA3">
      <w:pPr>
        <w:pStyle w:val="FootnoteText"/>
      </w:pPr>
      <w:r>
        <w:rPr>
          <w:rStyle w:val="FootnoteReference"/>
        </w:rPr>
        <w:footnoteRef/>
      </w:r>
      <w:r>
        <w:t xml:space="preserve"> </w:t>
      </w:r>
      <w:r w:rsidR="0013692F">
        <w:t xml:space="preserve">OHIC (2024). </w:t>
      </w:r>
      <w:r w:rsidR="0013692F" w:rsidRPr="0013692F">
        <w:t>Individual Placement and Support - Alcohol and Drug study: main findings</w:t>
      </w:r>
      <w:r w:rsidR="0013692F">
        <w:t xml:space="preserve">. Available at: </w:t>
      </w:r>
      <w:hyperlink r:id="rId33" w:history="1">
        <w:r w:rsidR="0013692F" w:rsidRPr="002C3917">
          <w:rPr>
            <w:rStyle w:val="Hyperlink"/>
          </w:rPr>
          <w:t>https://www.gov.uk/government/publications/helping-people-in-alcohol-and-drug-treatment-services-into-work/individual-placement-and-support-alcohol-and-drug-study-main-findings--2</w:t>
        </w:r>
      </w:hyperlink>
    </w:p>
  </w:footnote>
  <w:footnote w:id="39">
    <w:p w14:paraId="02ED2384" w14:textId="64DFDFEA" w:rsidR="00146BA3" w:rsidRDefault="00146BA3">
      <w:pPr>
        <w:pStyle w:val="FootnoteText"/>
      </w:pPr>
      <w:r>
        <w:rPr>
          <w:rStyle w:val="FootnoteReference"/>
        </w:rPr>
        <w:footnoteRef/>
      </w:r>
      <w:r>
        <w:t xml:space="preserve"> </w:t>
      </w:r>
      <w:r w:rsidR="0013692F">
        <w:t xml:space="preserve">OHID (2023). </w:t>
      </w:r>
      <w:r w:rsidR="0013692F" w:rsidRPr="0013692F">
        <w:t>Additional drug and alcohol treatment funding allocations: 2024 to 2025</w:t>
      </w:r>
      <w:r w:rsidR="0013692F">
        <w:t xml:space="preserve">. Available at: </w:t>
      </w:r>
      <w:hyperlink r:id="rId34" w:history="1">
        <w:r w:rsidR="00BA7E7E" w:rsidRPr="002C3917">
          <w:rPr>
            <w:rStyle w:val="Hyperlink"/>
          </w:rPr>
          <w:t>https://www.gov.uk/government/publications/extra-funding-for-drug-and-alcohol-treatment-2024-to-2025/additional-drug-and-alcohol-treatment-funding-allocations-2024-to-2025</w:t>
        </w:r>
      </w:hyperlink>
    </w:p>
  </w:footnote>
  <w:footnote w:id="40">
    <w:p w14:paraId="642515B3" w14:textId="790E71CA" w:rsidR="00A60CE7" w:rsidRDefault="00A60CE7">
      <w:pPr>
        <w:pStyle w:val="FootnoteText"/>
      </w:pPr>
      <w:r>
        <w:rPr>
          <w:rStyle w:val="FootnoteReference"/>
        </w:rPr>
        <w:footnoteRef/>
      </w:r>
      <w:r>
        <w:t xml:space="preserve"> OHID: </w:t>
      </w:r>
      <w:r w:rsidRPr="00A60CE7">
        <w:t>Guidance for local areas on planning to deal with potent synthetic opioids</w:t>
      </w:r>
      <w:r>
        <w:t xml:space="preserve"> (2024)</w:t>
      </w:r>
      <w:r w:rsidR="00E549CA">
        <w:t xml:space="preserve">. Available at: </w:t>
      </w:r>
      <w:hyperlink r:id="rId35" w:history="1">
        <w:r w:rsidR="00E549CA" w:rsidRPr="002C3917">
          <w:rPr>
            <w:rStyle w:val="Hyperlink"/>
          </w:rPr>
          <w:t>https://www.gov.uk/government/publications/fentanyl-preparing-for-a-future-threat/guidance-for-local-areas-on-planning-to-deal-with-fentanyl-or-another-potent-opioid</w:t>
        </w:r>
      </w:hyperlink>
      <w:r w:rsidR="00E549CA">
        <w:t xml:space="preserve"> </w:t>
      </w:r>
    </w:p>
  </w:footnote>
  <w:footnote w:id="41">
    <w:p w14:paraId="2F751154" w14:textId="09C7B053" w:rsidR="00AB4D54" w:rsidRDefault="00AB4D54">
      <w:pPr>
        <w:pStyle w:val="FootnoteText"/>
      </w:pPr>
      <w:r>
        <w:rPr>
          <w:rStyle w:val="FootnoteReference"/>
        </w:rPr>
        <w:footnoteRef/>
      </w:r>
      <w:r>
        <w:t xml:space="preserve"> </w:t>
      </w:r>
      <w:r w:rsidR="00670990">
        <w:t xml:space="preserve">NHS England (2017). </w:t>
      </w:r>
      <w:r w:rsidR="009F34F2" w:rsidRPr="009F34F2">
        <w:t>Accessible Information Standard</w:t>
      </w:r>
      <w:r w:rsidR="009F34F2">
        <w:t xml:space="preserve">. </w:t>
      </w:r>
      <w:r w:rsidR="00670990">
        <w:t xml:space="preserve">Available at: </w:t>
      </w:r>
      <w:hyperlink r:id="rId36" w:history="1">
        <w:r w:rsidR="00670990" w:rsidRPr="002C3917">
          <w:rPr>
            <w:rStyle w:val="Hyperlink"/>
          </w:rPr>
          <w:t>https://www.england.nhs.uk/about/equality/equality-hub/patient-equalities-programme/equality-frameworks-and-information-standards/accessibleinfo/</w:t>
        </w:r>
      </w:hyperlink>
      <w:r w:rsidR="0067099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03E7" w14:textId="1991B4D1" w:rsidR="00334154" w:rsidRDefault="00100A7F" w:rsidP="00334154">
    <w:pPr>
      <w:pStyle w:val="Header"/>
      <w:jc w:val="center"/>
    </w:pPr>
    <w:r>
      <w:t>PCC Drug and Alcohol Needs Assessment 2024/25</w:t>
    </w:r>
    <w:r>
      <w:tab/>
    </w:r>
    <w:r w:rsidR="00334154" w:rsidRPr="00334154">
      <w:t xml:space="preserve"> </w:t>
    </w:r>
  </w:p>
  <w:p w14:paraId="3D9D379A" w14:textId="091887DE" w:rsidR="003F7822" w:rsidRPr="00D61CEC" w:rsidRDefault="003F7822" w:rsidP="0033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D24"/>
    <w:multiLevelType w:val="hybridMultilevel"/>
    <w:tmpl w:val="7BACE94E"/>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6F29AC"/>
    <w:multiLevelType w:val="hybridMultilevel"/>
    <w:tmpl w:val="334A2A1C"/>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2C71E1"/>
    <w:multiLevelType w:val="multilevel"/>
    <w:tmpl w:val="445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B5A94"/>
    <w:multiLevelType w:val="multilevel"/>
    <w:tmpl w:val="64D8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1555C8"/>
    <w:multiLevelType w:val="multilevel"/>
    <w:tmpl w:val="357E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0C40E2"/>
    <w:multiLevelType w:val="hybridMultilevel"/>
    <w:tmpl w:val="CBB807AC"/>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8166ED"/>
    <w:multiLevelType w:val="hybridMultilevel"/>
    <w:tmpl w:val="C5AA8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D20D0"/>
    <w:multiLevelType w:val="multilevel"/>
    <w:tmpl w:val="1EC85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E5B326D"/>
    <w:multiLevelType w:val="hybridMultilevel"/>
    <w:tmpl w:val="ACE0AC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640940"/>
    <w:multiLevelType w:val="hybridMultilevel"/>
    <w:tmpl w:val="3F6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71863"/>
    <w:multiLevelType w:val="multilevel"/>
    <w:tmpl w:val="A5E003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45A59C2"/>
    <w:multiLevelType w:val="hybridMultilevel"/>
    <w:tmpl w:val="9CCE2AE4"/>
    <w:lvl w:ilvl="0" w:tplc="B0CC358C">
      <w:start w:val="5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C52A3"/>
    <w:multiLevelType w:val="hybridMultilevel"/>
    <w:tmpl w:val="E45A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0D612D"/>
    <w:multiLevelType w:val="multilevel"/>
    <w:tmpl w:val="753A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4371F1"/>
    <w:multiLevelType w:val="hybridMultilevel"/>
    <w:tmpl w:val="200CD424"/>
    <w:lvl w:ilvl="0" w:tplc="E396ADB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248B0"/>
    <w:multiLevelType w:val="hybridMultilevel"/>
    <w:tmpl w:val="88A83FC6"/>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1B0D28"/>
    <w:multiLevelType w:val="multilevel"/>
    <w:tmpl w:val="DFDE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D76E75"/>
    <w:multiLevelType w:val="multilevel"/>
    <w:tmpl w:val="771A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7628B0"/>
    <w:multiLevelType w:val="hybridMultilevel"/>
    <w:tmpl w:val="2F50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F19FE"/>
    <w:multiLevelType w:val="hybridMultilevel"/>
    <w:tmpl w:val="65DC1E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4536D"/>
    <w:multiLevelType w:val="hybridMultilevel"/>
    <w:tmpl w:val="76FC03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260F9B"/>
    <w:multiLevelType w:val="multilevel"/>
    <w:tmpl w:val="41FA8F2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141" w:hanging="432"/>
      </w:pPr>
      <w:rPr>
        <w:rFonts w:hint="default"/>
      </w:rPr>
    </w:lvl>
    <w:lvl w:ilvl="2">
      <w:start w:val="1"/>
      <w:numFmt w:val="decimal"/>
      <w:pStyle w:val="Heading3"/>
      <w:lvlText w:val="%1.%2.%3."/>
      <w:lvlJc w:val="left"/>
      <w:pPr>
        <w:ind w:left="851" w:hanging="131"/>
      </w:pPr>
      <w:rPr>
        <w:rFonts w:hint="default"/>
      </w:rPr>
    </w:lvl>
    <w:lvl w:ilvl="3">
      <w:start w:val="1"/>
      <w:numFmt w:val="lowerLetter"/>
      <w:pStyle w:val="Heading4"/>
      <w:lvlText w:val="%1.%2.%3.%4."/>
      <w:lvlJc w:val="left"/>
      <w:pPr>
        <w:ind w:left="907" w:firstLine="173"/>
      </w:pPr>
      <w:rPr>
        <w:rFonts w:hint="default"/>
      </w:rPr>
    </w:lvl>
    <w:lvl w:ilvl="4">
      <w:start w:val="1"/>
      <w:numFmt w:val="lowerRoman"/>
      <w:pStyle w:val="Heading5"/>
      <w:lvlText w:val="%1.%2.%3.%4.%5."/>
      <w:lvlJc w:val="left"/>
      <w:pPr>
        <w:ind w:left="964" w:firstLine="476"/>
      </w:pPr>
      <w:rPr>
        <w:rFonts w:hint="default"/>
      </w:rPr>
    </w:lvl>
    <w:lvl w:ilvl="5">
      <w:start w:val="1"/>
      <w:numFmt w:val="decimal"/>
      <w:lvlText w:val="%1.%2.%3.%4.%5.%6."/>
      <w:lvlJc w:val="left"/>
      <w:pPr>
        <w:ind w:left="1021" w:firstLine="779"/>
      </w:pPr>
      <w:rPr>
        <w:rFonts w:hint="default"/>
      </w:rPr>
    </w:lvl>
    <w:lvl w:ilvl="6">
      <w:start w:val="1"/>
      <w:numFmt w:val="decimal"/>
      <w:lvlText w:val="%1.%2.%3.%4.%5.%6.%7."/>
      <w:lvlJc w:val="left"/>
      <w:pPr>
        <w:ind w:left="1077" w:firstLine="10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B27FF7"/>
    <w:multiLevelType w:val="hybridMultilevel"/>
    <w:tmpl w:val="A4F84BD4"/>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8C1EEF"/>
    <w:multiLevelType w:val="hybridMultilevel"/>
    <w:tmpl w:val="F2F43350"/>
    <w:lvl w:ilvl="0" w:tplc="B83206B6">
      <w:start w:val="10"/>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2770F"/>
    <w:multiLevelType w:val="hybridMultilevel"/>
    <w:tmpl w:val="855CAF68"/>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DD342D"/>
    <w:multiLevelType w:val="hybridMultilevel"/>
    <w:tmpl w:val="D11CA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95CF8"/>
    <w:multiLevelType w:val="multilevel"/>
    <w:tmpl w:val="B1848C7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04B5CFB"/>
    <w:multiLevelType w:val="multilevel"/>
    <w:tmpl w:val="849E329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14977C8"/>
    <w:multiLevelType w:val="multilevel"/>
    <w:tmpl w:val="E6D632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1914ECD"/>
    <w:multiLevelType w:val="hybridMultilevel"/>
    <w:tmpl w:val="C60AF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53BB7"/>
    <w:multiLevelType w:val="hybridMultilevel"/>
    <w:tmpl w:val="34CCD1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CA6382"/>
    <w:multiLevelType w:val="hybridMultilevel"/>
    <w:tmpl w:val="6BD6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E2C03"/>
    <w:multiLevelType w:val="multilevel"/>
    <w:tmpl w:val="41B4EDA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85D72D5"/>
    <w:multiLevelType w:val="hybridMultilevel"/>
    <w:tmpl w:val="24D44B16"/>
    <w:lvl w:ilvl="0" w:tplc="2AAA1000">
      <w:start w:val="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A6465F"/>
    <w:multiLevelType w:val="hybridMultilevel"/>
    <w:tmpl w:val="D76C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F942C8"/>
    <w:multiLevelType w:val="multilevel"/>
    <w:tmpl w:val="5B7E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C24A2C"/>
    <w:multiLevelType w:val="hybridMultilevel"/>
    <w:tmpl w:val="701ECD66"/>
    <w:lvl w:ilvl="0" w:tplc="D71E135E">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6C09D2"/>
    <w:multiLevelType w:val="hybridMultilevel"/>
    <w:tmpl w:val="6DB415E0"/>
    <w:lvl w:ilvl="0" w:tplc="3CEEFB7C">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701B93"/>
    <w:multiLevelType w:val="multilevel"/>
    <w:tmpl w:val="131C88B8"/>
    <w:lvl w:ilvl="0">
      <w:start w:val="7"/>
      <w:numFmt w:val="decimal"/>
      <w:lvlText w:val="%1"/>
      <w:lvlJc w:val="left"/>
      <w:pPr>
        <w:ind w:left="360" w:hanging="360"/>
      </w:pPr>
      <w:rPr>
        <w:rFonts w:eastAsiaTheme="majorEastAsia" w:hint="default"/>
      </w:rPr>
    </w:lvl>
    <w:lvl w:ilvl="1">
      <w:start w:val="3"/>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39" w15:restartNumberingAfterBreak="0">
    <w:nsid w:val="7EFB2980"/>
    <w:multiLevelType w:val="multilevel"/>
    <w:tmpl w:val="B6A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0041606">
    <w:abstractNumId w:val="23"/>
  </w:num>
  <w:num w:numId="2" w16cid:durableId="1820733651">
    <w:abstractNumId w:val="18"/>
  </w:num>
  <w:num w:numId="3" w16cid:durableId="326902733">
    <w:abstractNumId w:val="37"/>
  </w:num>
  <w:num w:numId="4" w16cid:durableId="1276405013">
    <w:abstractNumId w:val="33"/>
  </w:num>
  <w:num w:numId="5" w16cid:durableId="912203519">
    <w:abstractNumId w:val="11"/>
  </w:num>
  <w:num w:numId="6" w16cid:durableId="685714634">
    <w:abstractNumId w:val="36"/>
  </w:num>
  <w:num w:numId="7" w16cid:durableId="1426070514">
    <w:abstractNumId w:val="21"/>
  </w:num>
  <w:num w:numId="8" w16cid:durableId="2863923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3040677">
    <w:abstractNumId w:val="34"/>
  </w:num>
  <w:num w:numId="10" w16cid:durableId="2098018623">
    <w:abstractNumId w:val="25"/>
  </w:num>
  <w:num w:numId="11" w16cid:durableId="959722017">
    <w:abstractNumId w:val="29"/>
  </w:num>
  <w:num w:numId="12" w16cid:durableId="657222837">
    <w:abstractNumId w:val="6"/>
  </w:num>
  <w:num w:numId="13" w16cid:durableId="792749054">
    <w:abstractNumId w:val="31"/>
  </w:num>
  <w:num w:numId="14" w16cid:durableId="1082067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7669309">
    <w:abstractNumId w:val="14"/>
  </w:num>
  <w:num w:numId="16" w16cid:durableId="800615608">
    <w:abstractNumId w:val="9"/>
  </w:num>
  <w:num w:numId="17" w16cid:durableId="2062750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3341838">
    <w:abstractNumId w:val="8"/>
  </w:num>
  <w:num w:numId="19" w16cid:durableId="1058094512">
    <w:abstractNumId w:val="15"/>
  </w:num>
  <w:num w:numId="20" w16cid:durableId="1644118414">
    <w:abstractNumId w:val="5"/>
  </w:num>
  <w:num w:numId="21" w16cid:durableId="1696805037">
    <w:abstractNumId w:val="1"/>
  </w:num>
  <w:num w:numId="22" w16cid:durableId="1546483854">
    <w:abstractNumId w:val="24"/>
  </w:num>
  <w:num w:numId="23" w16cid:durableId="309484704">
    <w:abstractNumId w:val="0"/>
  </w:num>
  <w:num w:numId="24" w16cid:durableId="78256638">
    <w:abstractNumId w:val="22"/>
  </w:num>
  <w:num w:numId="25" w16cid:durableId="1860462139">
    <w:abstractNumId w:val="19"/>
  </w:num>
  <w:num w:numId="26" w16cid:durableId="774712240">
    <w:abstractNumId w:val="12"/>
  </w:num>
  <w:num w:numId="27" w16cid:durableId="32577105">
    <w:abstractNumId w:val="20"/>
  </w:num>
  <w:num w:numId="28" w16cid:durableId="1380589929">
    <w:abstractNumId w:val="30"/>
  </w:num>
  <w:num w:numId="29" w16cid:durableId="1368330877">
    <w:abstractNumId w:val="26"/>
  </w:num>
  <w:num w:numId="30" w16cid:durableId="435103217">
    <w:abstractNumId w:val="27"/>
  </w:num>
  <w:num w:numId="31" w16cid:durableId="2054690573">
    <w:abstractNumId w:val="7"/>
  </w:num>
  <w:num w:numId="32" w16cid:durableId="1583684193">
    <w:abstractNumId w:val="32"/>
  </w:num>
  <w:num w:numId="33" w16cid:durableId="686951117">
    <w:abstractNumId w:val="10"/>
  </w:num>
  <w:num w:numId="34" w16cid:durableId="1444689934">
    <w:abstractNumId w:val="28"/>
  </w:num>
  <w:num w:numId="35" w16cid:durableId="730349212">
    <w:abstractNumId w:val="13"/>
  </w:num>
  <w:num w:numId="36" w16cid:durableId="1342973452">
    <w:abstractNumId w:val="17"/>
  </w:num>
  <w:num w:numId="37" w16cid:durableId="1983658608">
    <w:abstractNumId w:val="39"/>
  </w:num>
  <w:num w:numId="38" w16cid:durableId="2023780471">
    <w:abstractNumId w:val="3"/>
  </w:num>
  <w:num w:numId="39" w16cid:durableId="1330478959">
    <w:abstractNumId w:val="38"/>
  </w:num>
  <w:num w:numId="40" w16cid:durableId="1420181204">
    <w:abstractNumId w:val="16"/>
  </w:num>
  <w:num w:numId="41" w16cid:durableId="36635060">
    <w:abstractNumId w:val="2"/>
  </w:num>
  <w:num w:numId="42" w16cid:durableId="1942178594">
    <w:abstractNumId w:val="4"/>
  </w:num>
  <w:num w:numId="43" w16cid:durableId="554514412">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1"/>
    <w:rsid w:val="00000210"/>
    <w:rsid w:val="0000093A"/>
    <w:rsid w:val="000013F9"/>
    <w:rsid w:val="0000188E"/>
    <w:rsid w:val="00001FCB"/>
    <w:rsid w:val="00003169"/>
    <w:rsid w:val="00003383"/>
    <w:rsid w:val="00004131"/>
    <w:rsid w:val="0000460B"/>
    <w:rsid w:val="000046A8"/>
    <w:rsid w:val="00005519"/>
    <w:rsid w:val="000055D9"/>
    <w:rsid w:val="0000575C"/>
    <w:rsid w:val="000058E5"/>
    <w:rsid w:val="0000630B"/>
    <w:rsid w:val="000063DF"/>
    <w:rsid w:val="0000663A"/>
    <w:rsid w:val="00006ADC"/>
    <w:rsid w:val="00006C5D"/>
    <w:rsid w:val="00006D0E"/>
    <w:rsid w:val="0000777A"/>
    <w:rsid w:val="00007987"/>
    <w:rsid w:val="00011698"/>
    <w:rsid w:val="00011D09"/>
    <w:rsid w:val="00011E22"/>
    <w:rsid w:val="000120BC"/>
    <w:rsid w:val="0001287C"/>
    <w:rsid w:val="00012BE1"/>
    <w:rsid w:val="00012D8E"/>
    <w:rsid w:val="00013043"/>
    <w:rsid w:val="000133A4"/>
    <w:rsid w:val="000133E0"/>
    <w:rsid w:val="00013769"/>
    <w:rsid w:val="000139DB"/>
    <w:rsid w:val="00013C03"/>
    <w:rsid w:val="00013F6B"/>
    <w:rsid w:val="00014C5F"/>
    <w:rsid w:val="00014F76"/>
    <w:rsid w:val="00015034"/>
    <w:rsid w:val="0001510B"/>
    <w:rsid w:val="000152F3"/>
    <w:rsid w:val="00015652"/>
    <w:rsid w:val="00015683"/>
    <w:rsid w:val="00015DA7"/>
    <w:rsid w:val="00016516"/>
    <w:rsid w:val="00016E0A"/>
    <w:rsid w:val="00017706"/>
    <w:rsid w:val="00017B89"/>
    <w:rsid w:val="00017E70"/>
    <w:rsid w:val="00020CDA"/>
    <w:rsid w:val="00020CFF"/>
    <w:rsid w:val="00020D68"/>
    <w:rsid w:val="00020F77"/>
    <w:rsid w:val="00021471"/>
    <w:rsid w:val="00022169"/>
    <w:rsid w:val="000239B9"/>
    <w:rsid w:val="00023B04"/>
    <w:rsid w:val="00023DC4"/>
    <w:rsid w:val="00024136"/>
    <w:rsid w:val="00024655"/>
    <w:rsid w:val="00026DCD"/>
    <w:rsid w:val="000278CF"/>
    <w:rsid w:val="00030130"/>
    <w:rsid w:val="000301B2"/>
    <w:rsid w:val="000308D0"/>
    <w:rsid w:val="00030F8A"/>
    <w:rsid w:val="00031639"/>
    <w:rsid w:val="00031714"/>
    <w:rsid w:val="00031923"/>
    <w:rsid w:val="00031ACB"/>
    <w:rsid w:val="00032EB5"/>
    <w:rsid w:val="000333DF"/>
    <w:rsid w:val="00033B1C"/>
    <w:rsid w:val="000345BD"/>
    <w:rsid w:val="0003463D"/>
    <w:rsid w:val="00034690"/>
    <w:rsid w:val="000348A1"/>
    <w:rsid w:val="00034AFE"/>
    <w:rsid w:val="000350E6"/>
    <w:rsid w:val="00035818"/>
    <w:rsid w:val="000360B8"/>
    <w:rsid w:val="00036260"/>
    <w:rsid w:val="00036759"/>
    <w:rsid w:val="000367E5"/>
    <w:rsid w:val="00036A79"/>
    <w:rsid w:val="00036FD8"/>
    <w:rsid w:val="000371B7"/>
    <w:rsid w:val="000371FF"/>
    <w:rsid w:val="000379DE"/>
    <w:rsid w:val="00040AA5"/>
    <w:rsid w:val="00040B3C"/>
    <w:rsid w:val="00040CC6"/>
    <w:rsid w:val="00041325"/>
    <w:rsid w:val="0004171A"/>
    <w:rsid w:val="0004186C"/>
    <w:rsid w:val="00041CCD"/>
    <w:rsid w:val="0004207E"/>
    <w:rsid w:val="0004316D"/>
    <w:rsid w:val="000434EE"/>
    <w:rsid w:val="0004378E"/>
    <w:rsid w:val="00043BC0"/>
    <w:rsid w:val="00043D4A"/>
    <w:rsid w:val="00043F56"/>
    <w:rsid w:val="0004476C"/>
    <w:rsid w:val="00044C05"/>
    <w:rsid w:val="00044D1B"/>
    <w:rsid w:val="00045107"/>
    <w:rsid w:val="0004528D"/>
    <w:rsid w:val="00046B92"/>
    <w:rsid w:val="00046CF5"/>
    <w:rsid w:val="00047458"/>
    <w:rsid w:val="000476AC"/>
    <w:rsid w:val="00047AD6"/>
    <w:rsid w:val="00047C76"/>
    <w:rsid w:val="00047E5D"/>
    <w:rsid w:val="00050634"/>
    <w:rsid w:val="00050DCD"/>
    <w:rsid w:val="000512FD"/>
    <w:rsid w:val="0005131F"/>
    <w:rsid w:val="000516B4"/>
    <w:rsid w:val="00051907"/>
    <w:rsid w:val="00051A99"/>
    <w:rsid w:val="00052276"/>
    <w:rsid w:val="000522C3"/>
    <w:rsid w:val="00052502"/>
    <w:rsid w:val="0005324F"/>
    <w:rsid w:val="00053447"/>
    <w:rsid w:val="00053692"/>
    <w:rsid w:val="00053BCC"/>
    <w:rsid w:val="00053BEC"/>
    <w:rsid w:val="000542D0"/>
    <w:rsid w:val="00054436"/>
    <w:rsid w:val="00055C99"/>
    <w:rsid w:val="00055E69"/>
    <w:rsid w:val="00056CA2"/>
    <w:rsid w:val="00057259"/>
    <w:rsid w:val="000572AF"/>
    <w:rsid w:val="00057C25"/>
    <w:rsid w:val="00057E56"/>
    <w:rsid w:val="00057E72"/>
    <w:rsid w:val="00060406"/>
    <w:rsid w:val="00060D50"/>
    <w:rsid w:val="00060E25"/>
    <w:rsid w:val="00061086"/>
    <w:rsid w:val="00061318"/>
    <w:rsid w:val="00061BF0"/>
    <w:rsid w:val="00061F4E"/>
    <w:rsid w:val="00062160"/>
    <w:rsid w:val="00062235"/>
    <w:rsid w:val="00062318"/>
    <w:rsid w:val="0006292D"/>
    <w:rsid w:val="000634BF"/>
    <w:rsid w:val="0006359F"/>
    <w:rsid w:val="000637AC"/>
    <w:rsid w:val="00063860"/>
    <w:rsid w:val="0006400B"/>
    <w:rsid w:val="00064304"/>
    <w:rsid w:val="00064D26"/>
    <w:rsid w:val="00064FD0"/>
    <w:rsid w:val="000652AA"/>
    <w:rsid w:val="00065B0F"/>
    <w:rsid w:val="0006660C"/>
    <w:rsid w:val="0006685E"/>
    <w:rsid w:val="00066927"/>
    <w:rsid w:val="00066B66"/>
    <w:rsid w:val="00067082"/>
    <w:rsid w:val="000673BE"/>
    <w:rsid w:val="0006741C"/>
    <w:rsid w:val="000674E7"/>
    <w:rsid w:val="00067640"/>
    <w:rsid w:val="00070397"/>
    <w:rsid w:val="00070A00"/>
    <w:rsid w:val="00070AB3"/>
    <w:rsid w:val="00070F58"/>
    <w:rsid w:val="000718BB"/>
    <w:rsid w:val="00071A8D"/>
    <w:rsid w:val="00072124"/>
    <w:rsid w:val="00072361"/>
    <w:rsid w:val="00072DAE"/>
    <w:rsid w:val="000733D2"/>
    <w:rsid w:val="000738FD"/>
    <w:rsid w:val="0007436E"/>
    <w:rsid w:val="000744A5"/>
    <w:rsid w:val="000753B5"/>
    <w:rsid w:val="00075AB1"/>
    <w:rsid w:val="00076664"/>
    <w:rsid w:val="000766B6"/>
    <w:rsid w:val="00076EB9"/>
    <w:rsid w:val="00077C5C"/>
    <w:rsid w:val="00080197"/>
    <w:rsid w:val="0008243D"/>
    <w:rsid w:val="00082598"/>
    <w:rsid w:val="000825DE"/>
    <w:rsid w:val="0008265B"/>
    <w:rsid w:val="00082E51"/>
    <w:rsid w:val="00082EE2"/>
    <w:rsid w:val="00082F9C"/>
    <w:rsid w:val="000839E1"/>
    <w:rsid w:val="0008455D"/>
    <w:rsid w:val="0008464E"/>
    <w:rsid w:val="000849D4"/>
    <w:rsid w:val="00085BF1"/>
    <w:rsid w:val="00085D6D"/>
    <w:rsid w:val="00085D7A"/>
    <w:rsid w:val="00085F4A"/>
    <w:rsid w:val="00086007"/>
    <w:rsid w:val="000862A7"/>
    <w:rsid w:val="000868EA"/>
    <w:rsid w:val="00086B3C"/>
    <w:rsid w:val="0008757E"/>
    <w:rsid w:val="00090627"/>
    <w:rsid w:val="00090641"/>
    <w:rsid w:val="00090E41"/>
    <w:rsid w:val="00090FDB"/>
    <w:rsid w:val="000912F0"/>
    <w:rsid w:val="00091BCF"/>
    <w:rsid w:val="00092997"/>
    <w:rsid w:val="00092E5E"/>
    <w:rsid w:val="00092EA1"/>
    <w:rsid w:val="00093539"/>
    <w:rsid w:val="00093A69"/>
    <w:rsid w:val="00093DD5"/>
    <w:rsid w:val="00094536"/>
    <w:rsid w:val="000947C3"/>
    <w:rsid w:val="00094B9D"/>
    <w:rsid w:val="00094D2F"/>
    <w:rsid w:val="00095540"/>
    <w:rsid w:val="000959C4"/>
    <w:rsid w:val="00095D59"/>
    <w:rsid w:val="00096A29"/>
    <w:rsid w:val="00096C09"/>
    <w:rsid w:val="00096DE3"/>
    <w:rsid w:val="00096F2E"/>
    <w:rsid w:val="00096FA9"/>
    <w:rsid w:val="00097162"/>
    <w:rsid w:val="0009733A"/>
    <w:rsid w:val="000A004F"/>
    <w:rsid w:val="000A0397"/>
    <w:rsid w:val="000A0892"/>
    <w:rsid w:val="000A0956"/>
    <w:rsid w:val="000A0BAF"/>
    <w:rsid w:val="000A0CEC"/>
    <w:rsid w:val="000A2816"/>
    <w:rsid w:val="000A2BA7"/>
    <w:rsid w:val="000A3083"/>
    <w:rsid w:val="000A4ACD"/>
    <w:rsid w:val="000A4D97"/>
    <w:rsid w:val="000A4F2F"/>
    <w:rsid w:val="000A6A51"/>
    <w:rsid w:val="000A6C37"/>
    <w:rsid w:val="000A737B"/>
    <w:rsid w:val="000A74DD"/>
    <w:rsid w:val="000A7E85"/>
    <w:rsid w:val="000AC9FF"/>
    <w:rsid w:val="000B0B24"/>
    <w:rsid w:val="000B0DB5"/>
    <w:rsid w:val="000B0F56"/>
    <w:rsid w:val="000B11B3"/>
    <w:rsid w:val="000B12BF"/>
    <w:rsid w:val="000B2260"/>
    <w:rsid w:val="000B254F"/>
    <w:rsid w:val="000B2FE6"/>
    <w:rsid w:val="000B3431"/>
    <w:rsid w:val="000B365B"/>
    <w:rsid w:val="000B366E"/>
    <w:rsid w:val="000B36DF"/>
    <w:rsid w:val="000B4628"/>
    <w:rsid w:val="000B4C9F"/>
    <w:rsid w:val="000B50E8"/>
    <w:rsid w:val="000B5121"/>
    <w:rsid w:val="000B7EA8"/>
    <w:rsid w:val="000C0DFF"/>
    <w:rsid w:val="000C0E42"/>
    <w:rsid w:val="000C2137"/>
    <w:rsid w:val="000C354C"/>
    <w:rsid w:val="000C37B6"/>
    <w:rsid w:val="000C3CA1"/>
    <w:rsid w:val="000C3D81"/>
    <w:rsid w:val="000C40BB"/>
    <w:rsid w:val="000C428D"/>
    <w:rsid w:val="000C4B0E"/>
    <w:rsid w:val="000C4CD6"/>
    <w:rsid w:val="000C55D0"/>
    <w:rsid w:val="000C56AC"/>
    <w:rsid w:val="000C58D6"/>
    <w:rsid w:val="000C59A8"/>
    <w:rsid w:val="000C60EA"/>
    <w:rsid w:val="000C61D6"/>
    <w:rsid w:val="000C6F1D"/>
    <w:rsid w:val="000C7265"/>
    <w:rsid w:val="000C75EF"/>
    <w:rsid w:val="000C7A5D"/>
    <w:rsid w:val="000C7F5C"/>
    <w:rsid w:val="000D029C"/>
    <w:rsid w:val="000D065B"/>
    <w:rsid w:val="000D06CD"/>
    <w:rsid w:val="000D13FD"/>
    <w:rsid w:val="000D1505"/>
    <w:rsid w:val="000D155C"/>
    <w:rsid w:val="000D1D4C"/>
    <w:rsid w:val="000D1D78"/>
    <w:rsid w:val="000D1E01"/>
    <w:rsid w:val="000D2242"/>
    <w:rsid w:val="000D25FB"/>
    <w:rsid w:val="000D2809"/>
    <w:rsid w:val="000D2846"/>
    <w:rsid w:val="000D2B63"/>
    <w:rsid w:val="000D2CAF"/>
    <w:rsid w:val="000D3DEC"/>
    <w:rsid w:val="000D3FA6"/>
    <w:rsid w:val="000D43F6"/>
    <w:rsid w:val="000D449D"/>
    <w:rsid w:val="000D4730"/>
    <w:rsid w:val="000D476B"/>
    <w:rsid w:val="000D4E71"/>
    <w:rsid w:val="000D5023"/>
    <w:rsid w:val="000D528C"/>
    <w:rsid w:val="000D5A77"/>
    <w:rsid w:val="000D635F"/>
    <w:rsid w:val="000D682D"/>
    <w:rsid w:val="000D6A9A"/>
    <w:rsid w:val="000D6F8B"/>
    <w:rsid w:val="000D7561"/>
    <w:rsid w:val="000D78FD"/>
    <w:rsid w:val="000E04D6"/>
    <w:rsid w:val="000E075F"/>
    <w:rsid w:val="000E1237"/>
    <w:rsid w:val="000E1549"/>
    <w:rsid w:val="000E169D"/>
    <w:rsid w:val="000E16DC"/>
    <w:rsid w:val="000E2447"/>
    <w:rsid w:val="000E24EC"/>
    <w:rsid w:val="000E2B99"/>
    <w:rsid w:val="000E3ECF"/>
    <w:rsid w:val="000E420A"/>
    <w:rsid w:val="000E4436"/>
    <w:rsid w:val="000E48B1"/>
    <w:rsid w:val="000E4E4C"/>
    <w:rsid w:val="000E4E9A"/>
    <w:rsid w:val="000E4F3D"/>
    <w:rsid w:val="000E5617"/>
    <w:rsid w:val="000E5E8A"/>
    <w:rsid w:val="000E62C9"/>
    <w:rsid w:val="000E6FB5"/>
    <w:rsid w:val="000E75BD"/>
    <w:rsid w:val="000E7D22"/>
    <w:rsid w:val="000E7D84"/>
    <w:rsid w:val="000F03FF"/>
    <w:rsid w:val="000F0886"/>
    <w:rsid w:val="000F0AE1"/>
    <w:rsid w:val="000F0C6A"/>
    <w:rsid w:val="000F2E28"/>
    <w:rsid w:val="000F2EDD"/>
    <w:rsid w:val="000F3444"/>
    <w:rsid w:val="000F3688"/>
    <w:rsid w:val="000F3975"/>
    <w:rsid w:val="000F3B56"/>
    <w:rsid w:val="000F3C34"/>
    <w:rsid w:val="000F3FA2"/>
    <w:rsid w:val="000F3FD4"/>
    <w:rsid w:val="000F4730"/>
    <w:rsid w:val="000F497D"/>
    <w:rsid w:val="000F51DE"/>
    <w:rsid w:val="000F5553"/>
    <w:rsid w:val="000F55F6"/>
    <w:rsid w:val="000F58C2"/>
    <w:rsid w:val="000F631F"/>
    <w:rsid w:val="000F65EE"/>
    <w:rsid w:val="000F6619"/>
    <w:rsid w:val="000F6A97"/>
    <w:rsid w:val="000F6B95"/>
    <w:rsid w:val="000F6BBC"/>
    <w:rsid w:val="000F738B"/>
    <w:rsid w:val="000F79C9"/>
    <w:rsid w:val="001004F8"/>
    <w:rsid w:val="0010051E"/>
    <w:rsid w:val="00100982"/>
    <w:rsid w:val="00100A7F"/>
    <w:rsid w:val="00100AC2"/>
    <w:rsid w:val="00100C5F"/>
    <w:rsid w:val="00100E4C"/>
    <w:rsid w:val="00100EDF"/>
    <w:rsid w:val="00101556"/>
    <w:rsid w:val="001016D6"/>
    <w:rsid w:val="00101E06"/>
    <w:rsid w:val="00102330"/>
    <w:rsid w:val="00102449"/>
    <w:rsid w:val="00102E83"/>
    <w:rsid w:val="00103168"/>
    <w:rsid w:val="0010372F"/>
    <w:rsid w:val="0010439E"/>
    <w:rsid w:val="0010458B"/>
    <w:rsid w:val="00104938"/>
    <w:rsid w:val="00104D28"/>
    <w:rsid w:val="00104E6F"/>
    <w:rsid w:val="00105510"/>
    <w:rsid w:val="00105F18"/>
    <w:rsid w:val="001061D5"/>
    <w:rsid w:val="0010691D"/>
    <w:rsid w:val="00106A84"/>
    <w:rsid w:val="00106D51"/>
    <w:rsid w:val="00110C2E"/>
    <w:rsid w:val="00110E67"/>
    <w:rsid w:val="00111047"/>
    <w:rsid w:val="0011112A"/>
    <w:rsid w:val="001112CD"/>
    <w:rsid w:val="00111952"/>
    <w:rsid w:val="001120C5"/>
    <w:rsid w:val="0011230B"/>
    <w:rsid w:val="00112503"/>
    <w:rsid w:val="00112507"/>
    <w:rsid w:val="00112C25"/>
    <w:rsid w:val="00113B2D"/>
    <w:rsid w:val="001145FB"/>
    <w:rsid w:val="00114649"/>
    <w:rsid w:val="001151C3"/>
    <w:rsid w:val="001154F7"/>
    <w:rsid w:val="00115D56"/>
    <w:rsid w:val="001164C0"/>
    <w:rsid w:val="001167B7"/>
    <w:rsid w:val="001169CF"/>
    <w:rsid w:val="00116E5D"/>
    <w:rsid w:val="00116F61"/>
    <w:rsid w:val="00117359"/>
    <w:rsid w:val="00120D1D"/>
    <w:rsid w:val="001219A2"/>
    <w:rsid w:val="00121C8B"/>
    <w:rsid w:val="00123ED7"/>
    <w:rsid w:val="00124530"/>
    <w:rsid w:val="001246FF"/>
    <w:rsid w:val="0012481B"/>
    <w:rsid w:val="00124C6C"/>
    <w:rsid w:val="00125137"/>
    <w:rsid w:val="001256A4"/>
    <w:rsid w:val="00125D24"/>
    <w:rsid w:val="001265EE"/>
    <w:rsid w:val="00126869"/>
    <w:rsid w:val="00126AFB"/>
    <w:rsid w:val="00127247"/>
    <w:rsid w:val="00127376"/>
    <w:rsid w:val="00130376"/>
    <w:rsid w:val="001305EB"/>
    <w:rsid w:val="0013091F"/>
    <w:rsid w:val="001309FD"/>
    <w:rsid w:val="00131C75"/>
    <w:rsid w:val="00131F97"/>
    <w:rsid w:val="00132F24"/>
    <w:rsid w:val="0013374A"/>
    <w:rsid w:val="00133E81"/>
    <w:rsid w:val="00133F9D"/>
    <w:rsid w:val="0013403F"/>
    <w:rsid w:val="00134302"/>
    <w:rsid w:val="00134372"/>
    <w:rsid w:val="0013483A"/>
    <w:rsid w:val="001366D3"/>
    <w:rsid w:val="001367AE"/>
    <w:rsid w:val="001368DA"/>
    <w:rsid w:val="0013692F"/>
    <w:rsid w:val="00136D20"/>
    <w:rsid w:val="0013741B"/>
    <w:rsid w:val="0013746C"/>
    <w:rsid w:val="00137856"/>
    <w:rsid w:val="00137C99"/>
    <w:rsid w:val="00137CD6"/>
    <w:rsid w:val="00137F9A"/>
    <w:rsid w:val="001403AE"/>
    <w:rsid w:val="0014089A"/>
    <w:rsid w:val="00141875"/>
    <w:rsid w:val="00141AAD"/>
    <w:rsid w:val="00142102"/>
    <w:rsid w:val="0014274E"/>
    <w:rsid w:val="001428CD"/>
    <w:rsid w:val="00143258"/>
    <w:rsid w:val="001434B4"/>
    <w:rsid w:val="001438FA"/>
    <w:rsid w:val="00143B33"/>
    <w:rsid w:val="00143EE1"/>
    <w:rsid w:val="00144AE3"/>
    <w:rsid w:val="001458B6"/>
    <w:rsid w:val="001461CC"/>
    <w:rsid w:val="001465D8"/>
    <w:rsid w:val="00146BA3"/>
    <w:rsid w:val="001473C2"/>
    <w:rsid w:val="00147B47"/>
    <w:rsid w:val="001501A9"/>
    <w:rsid w:val="001504F0"/>
    <w:rsid w:val="00150588"/>
    <w:rsid w:val="00150E43"/>
    <w:rsid w:val="00151C9B"/>
    <w:rsid w:val="001522B8"/>
    <w:rsid w:val="001522E6"/>
    <w:rsid w:val="001526EF"/>
    <w:rsid w:val="001527CE"/>
    <w:rsid w:val="001529F7"/>
    <w:rsid w:val="00153F4F"/>
    <w:rsid w:val="001541E3"/>
    <w:rsid w:val="00154C88"/>
    <w:rsid w:val="00154F01"/>
    <w:rsid w:val="00154F94"/>
    <w:rsid w:val="00155827"/>
    <w:rsid w:val="00156422"/>
    <w:rsid w:val="0015673F"/>
    <w:rsid w:val="00156A98"/>
    <w:rsid w:val="001576B8"/>
    <w:rsid w:val="00157719"/>
    <w:rsid w:val="00157D97"/>
    <w:rsid w:val="00157E57"/>
    <w:rsid w:val="00160231"/>
    <w:rsid w:val="0016054C"/>
    <w:rsid w:val="00160775"/>
    <w:rsid w:val="001609A4"/>
    <w:rsid w:val="001618A5"/>
    <w:rsid w:val="00161B62"/>
    <w:rsid w:val="00161B76"/>
    <w:rsid w:val="00161D2A"/>
    <w:rsid w:val="00162226"/>
    <w:rsid w:val="00162AE2"/>
    <w:rsid w:val="00162FAB"/>
    <w:rsid w:val="001630B9"/>
    <w:rsid w:val="001633D8"/>
    <w:rsid w:val="001639F1"/>
    <w:rsid w:val="00163AAE"/>
    <w:rsid w:val="00163CC1"/>
    <w:rsid w:val="001655CB"/>
    <w:rsid w:val="00165650"/>
    <w:rsid w:val="0016580A"/>
    <w:rsid w:val="0016581E"/>
    <w:rsid w:val="00165A9C"/>
    <w:rsid w:val="0016690C"/>
    <w:rsid w:val="00166F5E"/>
    <w:rsid w:val="0016765D"/>
    <w:rsid w:val="00170066"/>
    <w:rsid w:val="00170AFA"/>
    <w:rsid w:val="001710E3"/>
    <w:rsid w:val="001713C1"/>
    <w:rsid w:val="001717B7"/>
    <w:rsid w:val="00171F1A"/>
    <w:rsid w:val="0017219B"/>
    <w:rsid w:val="001723C4"/>
    <w:rsid w:val="00172DB0"/>
    <w:rsid w:val="0017302A"/>
    <w:rsid w:val="00174243"/>
    <w:rsid w:val="0017485F"/>
    <w:rsid w:val="00174EBD"/>
    <w:rsid w:val="00175170"/>
    <w:rsid w:val="001755C4"/>
    <w:rsid w:val="001756FF"/>
    <w:rsid w:val="00175ED6"/>
    <w:rsid w:val="0017677B"/>
    <w:rsid w:val="0017699F"/>
    <w:rsid w:val="00177CE7"/>
    <w:rsid w:val="00180608"/>
    <w:rsid w:val="00180760"/>
    <w:rsid w:val="00180765"/>
    <w:rsid w:val="00181CB7"/>
    <w:rsid w:val="00182103"/>
    <w:rsid w:val="00182556"/>
    <w:rsid w:val="001828A3"/>
    <w:rsid w:val="00182A1C"/>
    <w:rsid w:val="00182C59"/>
    <w:rsid w:val="0018421F"/>
    <w:rsid w:val="00184511"/>
    <w:rsid w:val="00184537"/>
    <w:rsid w:val="001848B3"/>
    <w:rsid w:val="00184FEE"/>
    <w:rsid w:val="0018504F"/>
    <w:rsid w:val="001851E0"/>
    <w:rsid w:val="00185E3C"/>
    <w:rsid w:val="0018602E"/>
    <w:rsid w:val="001868C1"/>
    <w:rsid w:val="00186909"/>
    <w:rsid w:val="001878F2"/>
    <w:rsid w:val="00187D75"/>
    <w:rsid w:val="00187F24"/>
    <w:rsid w:val="00190440"/>
    <w:rsid w:val="00190A6E"/>
    <w:rsid w:val="00191E72"/>
    <w:rsid w:val="00192704"/>
    <w:rsid w:val="00192B55"/>
    <w:rsid w:val="00192C23"/>
    <w:rsid w:val="0019310B"/>
    <w:rsid w:val="0019344C"/>
    <w:rsid w:val="00193DE6"/>
    <w:rsid w:val="00194B87"/>
    <w:rsid w:val="00194B94"/>
    <w:rsid w:val="00195670"/>
    <w:rsid w:val="00196284"/>
    <w:rsid w:val="00196AF7"/>
    <w:rsid w:val="001978B4"/>
    <w:rsid w:val="00197E63"/>
    <w:rsid w:val="001A0E27"/>
    <w:rsid w:val="001A142D"/>
    <w:rsid w:val="001A1C8A"/>
    <w:rsid w:val="001A27C7"/>
    <w:rsid w:val="001A285F"/>
    <w:rsid w:val="001A28F5"/>
    <w:rsid w:val="001A2AA0"/>
    <w:rsid w:val="001A33FB"/>
    <w:rsid w:val="001A363A"/>
    <w:rsid w:val="001A3672"/>
    <w:rsid w:val="001A4169"/>
    <w:rsid w:val="001A4260"/>
    <w:rsid w:val="001A46AE"/>
    <w:rsid w:val="001A4813"/>
    <w:rsid w:val="001A4BE0"/>
    <w:rsid w:val="001A5142"/>
    <w:rsid w:val="001A52DC"/>
    <w:rsid w:val="001A5904"/>
    <w:rsid w:val="001A5B30"/>
    <w:rsid w:val="001A5B6E"/>
    <w:rsid w:val="001A65CD"/>
    <w:rsid w:val="001A6737"/>
    <w:rsid w:val="001A6C58"/>
    <w:rsid w:val="001A6D80"/>
    <w:rsid w:val="001A79E5"/>
    <w:rsid w:val="001A7C73"/>
    <w:rsid w:val="001A7E49"/>
    <w:rsid w:val="001B0489"/>
    <w:rsid w:val="001B050E"/>
    <w:rsid w:val="001B1250"/>
    <w:rsid w:val="001B1DCB"/>
    <w:rsid w:val="001B2B19"/>
    <w:rsid w:val="001B2DE4"/>
    <w:rsid w:val="001B2EF1"/>
    <w:rsid w:val="001B2F54"/>
    <w:rsid w:val="001B3826"/>
    <w:rsid w:val="001B3A48"/>
    <w:rsid w:val="001B3B51"/>
    <w:rsid w:val="001B4911"/>
    <w:rsid w:val="001B57BC"/>
    <w:rsid w:val="001B5A0A"/>
    <w:rsid w:val="001B5BE8"/>
    <w:rsid w:val="001B5DE8"/>
    <w:rsid w:val="001B65AD"/>
    <w:rsid w:val="001B6653"/>
    <w:rsid w:val="001B6B08"/>
    <w:rsid w:val="001B7761"/>
    <w:rsid w:val="001B7E2A"/>
    <w:rsid w:val="001C0D56"/>
    <w:rsid w:val="001C0D58"/>
    <w:rsid w:val="001C128A"/>
    <w:rsid w:val="001C1BA7"/>
    <w:rsid w:val="001C2B65"/>
    <w:rsid w:val="001C2BD9"/>
    <w:rsid w:val="001C381D"/>
    <w:rsid w:val="001C3CAC"/>
    <w:rsid w:val="001C434D"/>
    <w:rsid w:val="001C4CE0"/>
    <w:rsid w:val="001C4D10"/>
    <w:rsid w:val="001C5459"/>
    <w:rsid w:val="001C5950"/>
    <w:rsid w:val="001C59F1"/>
    <w:rsid w:val="001C5A5D"/>
    <w:rsid w:val="001C6067"/>
    <w:rsid w:val="001C6C15"/>
    <w:rsid w:val="001C750F"/>
    <w:rsid w:val="001C796C"/>
    <w:rsid w:val="001D004E"/>
    <w:rsid w:val="001D01D6"/>
    <w:rsid w:val="001D0313"/>
    <w:rsid w:val="001D048A"/>
    <w:rsid w:val="001D179E"/>
    <w:rsid w:val="001D17FA"/>
    <w:rsid w:val="001D1FEC"/>
    <w:rsid w:val="001D2B47"/>
    <w:rsid w:val="001D2D82"/>
    <w:rsid w:val="001D2E43"/>
    <w:rsid w:val="001D356B"/>
    <w:rsid w:val="001D39E8"/>
    <w:rsid w:val="001D3F4F"/>
    <w:rsid w:val="001D3F5C"/>
    <w:rsid w:val="001D43EE"/>
    <w:rsid w:val="001D488C"/>
    <w:rsid w:val="001D4B2B"/>
    <w:rsid w:val="001D53E6"/>
    <w:rsid w:val="001D6138"/>
    <w:rsid w:val="001D6176"/>
    <w:rsid w:val="001D66AD"/>
    <w:rsid w:val="001D6F7B"/>
    <w:rsid w:val="001D7231"/>
    <w:rsid w:val="001D726E"/>
    <w:rsid w:val="001D728C"/>
    <w:rsid w:val="001D73C7"/>
    <w:rsid w:val="001D7839"/>
    <w:rsid w:val="001D7E92"/>
    <w:rsid w:val="001E0500"/>
    <w:rsid w:val="001E0D8B"/>
    <w:rsid w:val="001E0E2B"/>
    <w:rsid w:val="001E0E52"/>
    <w:rsid w:val="001E12CB"/>
    <w:rsid w:val="001E14B6"/>
    <w:rsid w:val="001E1792"/>
    <w:rsid w:val="001E1DA6"/>
    <w:rsid w:val="001E2061"/>
    <w:rsid w:val="001E2751"/>
    <w:rsid w:val="001E2CCB"/>
    <w:rsid w:val="001E39D1"/>
    <w:rsid w:val="001E4385"/>
    <w:rsid w:val="001E44A5"/>
    <w:rsid w:val="001E4B5D"/>
    <w:rsid w:val="001E50CE"/>
    <w:rsid w:val="001E635A"/>
    <w:rsid w:val="001E713F"/>
    <w:rsid w:val="001E7242"/>
    <w:rsid w:val="001E72BD"/>
    <w:rsid w:val="001E7D95"/>
    <w:rsid w:val="001E7F6D"/>
    <w:rsid w:val="001F0C94"/>
    <w:rsid w:val="001F11AE"/>
    <w:rsid w:val="001F1D58"/>
    <w:rsid w:val="001F1E4B"/>
    <w:rsid w:val="001F2491"/>
    <w:rsid w:val="001F2512"/>
    <w:rsid w:val="001F348A"/>
    <w:rsid w:val="001F3A41"/>
    <w:rsid w:val="001F3C40"/>
    <w:rsid w:val="001F3FCA"/>
    <w:rsid w:val="001F4577"/>
    <w:rsid w:val="001F4821"/>
    <w:rsid w:val="001F4D87"/>
    <w:rsid w:val="001F5E7D"/>
    <w:rsid w:val="001F610B"/>
    <w:rsid w:val="001F6269"/>
    <w:rsid w:val="001F67E0"/>
    <w:rsid w:val="001F7098"/>
    <w:rsid w:val="001F711E"/>
    <w:rsid w:val="001F732F"/>
    <w:rsid w:val="001F74E9"/>
    <w:rsid w:val="001F75B9"/>
    <w:rsid w:val="001F77C1"/>
    <w:rsid w:val="001F78F6"/>
    <w:rsid w:val="001F7E14"/>
    <w:rsid w:val="002006A2"/>
    <w:rsid w:val="002006ED"/>
    <w:rsid w:val="00200B24"/>
    <w:rsid w:val="002012C0"/>
    <w:rsid w:val="0020168C"/>
    <w:rsid w:val="00202457"/>
    <w:rsid w:val="00202750"/>
    <w:rsid w:val="002028DD"/>
    <w:rsid w:val="00202A23"/>
    <w:rsid w:val="00202E52"/>
    <w:rsid w:val="0020329B"/>
    <w:rsid w:val="00203AE2"/>
    <w:rsid w:val="002049BF"/>
    <w:rsid w:val="00204FF4"/>
    <w:rsid w:val="002058E9"/>
    <w:rsid w:val="002066E2"/>
    <w:rsid w:val="0020672E"/>
    <w:rsid w:val="00206B4E"/>
    <w:rsid w:val="00206C11"/>
    <w:rsid w:val="00206FDC"/>
    <w:rsid w:val="00207731"/>
    <w:rsid w:val="00210091"/>
    <w:rsid w:val="00210476"/>
    <w:rsid w:val="00211175"/>
    <w:rsid w:val="002113EC"/>
    <w:rsid w:val="0021153C"/>
    <w:rsid w:val="002116A7"/>
    <w:rsid w:val="002121D2"/>
    <w:rsid w:val="00212678"/>
    <w:rsid w:val="00212EE6"/>
    <w:rsid w:val="002134AD"/>
    <w:rsid w:val="00213A3D"/>
    <w:rsid w:val="00214518"/>
    <w:rsid w:val="00214992"/>
    <w:rsid w:val="002150F1"/>
    <w:rsid w:val="00215A33"/>
    <w:rsid w:val="00215AF7"/>
    <w:rsid w:val="00216599"/>
    <w:rsid w:val="00216F26"/>
    <w:rsid w:val="002173C7"/>
    <w:rsid w:val="00217800"/>
    <w:rsid w:val="00217887"/>
    <w:rsid w:val="00217BD7"/>
    <w:rsid w:val="00217DF1"/>
    <w:rsid w:val="00220045"/>
    <w:rsid w:val="002204D8"/>
    <w:rsid w:val="002209B0"/>
    <w:rsid w:val="00220A16"/>
    <w:rsid w:val="00220AFB"/>
    <w:rsid w:val="00222803"/>
    <w:rsid w:val="00222E4C"/>
    <w:rsid w:val="00223C27"/>
    <w:rsid w:val="00223CF9"/>
    <w:rsid w:val="00223E0E"/>
    <w:rsid w:val="00224830"/>
    <w:rsid w:val="00225056"/>
    <w:rsid w:val="00226294"/>
    <w:rsid w:val="00226701"/>
    <w:rsid w:val="002270DE"/>
    <w:rsid w:val="002277E9"/>
    <w:rsid w:val="002279B0"/>
    <w:rsid w:val="00227B23"/>
    <w:rsid w:val="00227D28"/>
    <w:rsid w:val="00227E9E"/>
    <w:rsid w:val="002317B0"/>
    <w:rsid w:val="00231BE4"/>
    <w:rsid w:val="002325CD"/>
    <w:rsid w:val="00232824"/>
    <w:rsid w:val="00232C9C"/>
    <w:rsid w:val="00232CDE"/>
    <w:rsid w:val="00233F80"/>
    <w:rsid w:val="00234514"/>
    <w:rsid w:val="002349AE"/>
    <w:rsid w:val="00234CE5"/>
    <w:rsid w:val="00234D18"/>
    <w:rsid w:val="002351C0"/>
    <w:rsid w:val="0023572C"/>
    <w:rsid w:val="00235D38"/>
    <w:rsid w:val="00235E12"/>
    <w:rsid w:val="0023650C"/>
    <w:rsid w:val="0023676A"/>
    <w:rsid w:val="00237766"/>
    <w:rsid w:val="00237CA6"/>
    <w:rsid w:val="00240032"/>
    <w:rsid w:val="0024034C"/>
    <w:rsid w:val="00240649"/>
    <w:rsid w:val="00241BA1"/>
    <w:rsid w:val="00242253"/>
    <w:rsid w:val="00242614"/>
    <w:rsid w:val="00242E32"/>
    <w:rsid w:val="00243025"/>
    <w:rsid w:val="00244002"/>
    <w:rsid w:val="00244190"/>
    <w:rsid w:val="0024471A"/>
    <w:rsid w:val="00244D2B"/>
    <w:rsid w:val="00245A76"/>
    <w:rsid w:val="00246161"/>
    <w:rsid w:val="00246694"/>
    <w:rsid w:val="00246759"/>
    <w:rsid w:val="002471E6"/>
    <w:rsid w:val="00247F06"/>
    <w:rsid w:val="00250112"/>
    <w:rsid w:val="002505C9"/>
    <w:rsid w:val="002507A7"/>
    <w:rsid w:val="00250A32"/>
    <w:rsid w:val="00250DDB"/>
    <w:rsid w:val="00250E52"/>
    <w:rsid w:val="002512C9"/>
    <w:rsid w:val="00251DF5"/>
    <w:rsid w:val="0025266C"/>
    <w:rsid w:val="00252AF9"/>
    <w:rsid w:val="00252B4F"/>
    <w:rsid w:val="00252D92"/>
    <w:rsid w:val="002536D6"/>
    <w:rsid w:val="00253B62"/>
    <w:rsid w:val="00253D5B"/>
    <w:rsid w:val="00253E49"/>
    <w:rsid w:val="00253E6C"/>
    <w:rsid w:val="00254649"/>
    <w:rsid w:val="00255202"/>
    <w:rsid w:val="00255397"/>
    <w:rsid w:val="002554DD"/>
    <w:rsid w:val="002561E9"/>
    <w:rsid w:val="00256518"/>
    <w:rsid w:val="0025658A"/>
    <w:rsid w:val="00256688"/>
    <w:rsid w:val="00256705"/>
    <w:rsid w:val="0026015B"/>
    <w:rsid w:val="002606C3"/>
    <w:rsid w:val="00260B65"/>
    <w:rsid w:val="00260CB6"/>
    <w:rsid w:val="00260DA6"/>
    <w:rsid w:val="0026182A"/>
    <w:rsid w:val="0026199D"/>
    <w:rsid w:val="00261D3F"/>
    <w:rsid w:val="00262350"/>
    <w:rsid w:val="002627D8"/>
    <w:rsid w:val="00262962"/>
    <w:rsid w:val="00263163"/>
    <w:rsid w:val="00263822"/>
    <w:rsid w:val="00263932"/>
    <w:rsid w:val="0026442E"/>
    <w:rsid w:val="00264DCA"/>
    <w:rsid w:val="00265373"/>
    <w:rsid w:val="00265B23"/>
    <w:rsid w:val="00266ADE"/>
    <w:rsid w:val="00266B45"/>
    <w:rsid w:val="002670E1"/>
    <w:rsid w:val="002671DA"/>
    <w:rsid w:val="0026728D"/>
    <w:rsid w:val="0027002A"/>
    <w:rsid w:val="00270524"/>
    <w:rsid w:val="00270EB5"/>
    <w:rsid w:val="00270F83"/>
    <w:rsid w:val="002710DE"/>
    <w:rsid w:val="00271269"/>
    <w:rsid w:val="00271704"/>
    <w:rsid w:val="00271FF1"/>
    <w:rsid w:val="0027231F"/>
    <w:rsid w:val="0027319A"/>
    <w:rsid w:val="00273496"/>
    <w:rsid w:val="00273B62"/>
    <w:rsid w:val="002748B3"/>
    <w:rsid w:val="00275666"/>
    <w:rsid w:val="0027597F"/>
    <w:rsid w:val="00276006"/>
    <w:rsid w:val="00276162"/>
    <w:rsid w:val="00276186"/>
    <w:rsid w:val="002762C9"/>
    <w:rsid w:val="002765EE"/>
    <w:rsid w:val="00276A0A"/>
    <w:rsid w:val="00276AA2"/>
    <w:rsid w:val="0027713B"/>
    <w:rsid w:val="002774B8"/>
    <w:rsid w:val="00277D61"/>
    <w:rsid w:val="00277FE9"/>
    <w:rsid w:val="00280384"/>
    <w:rsid w:val="002817BE"/>
    <w:rsid w:val="00281B20"/>
    <w:rsid w:val="00282114"/>
    <w:rsid w:val="002829D2"/>
    <w:rsid w:val="00282C94"/>
    <w:rsid w:val="002830FD"/>
    <w:rsid w:val="0028318E"/>
    <w:rsid w:val="002832B3"/>
    <w:rsid w:val="002836CB"/>
    <w:rsid w:val="00283F86"/>
    <w:rsid w:val="00283FD9"/>
    <w:rsid w:val="00284604"/>
    <w:rsid w:val="00284D70"/>
    <w:rsid w:val="00284FBA"/>
    <w:rsid w:val="0028538F"/>
    <w:rsid w:val="002855A0"/>
    <w:rsid w:val="00285C2C"/>
    <w:rsid w:val="00285EE1"/>
    <w:rsid w:val="002872F8"/>
    <w:rsid w:val="00290669"/>
    <w:rsid w:val="002906C7"/>
    <w:rsid w:val="00290C71"/>
    <w:rsid w:val="00290F73"/>
    <w:rsid w:val="002912BA"/>
    <w:rsid w:val="00291A01"/>
    <w:rsid w:val="002922FF"/>
    <w:rsid w:val="002923A0"/>
    <w:rsid w:val="002925A1"/>
    <w:rsid w:val="002928F9"/>
    <w:rsid w:val="00292C8A"/>
    <w:rsid w:val="00292FB2"/>
    <w:rsid w:val="00293016"/>
    <w:rsid w:val="00293175"/>
    <w:rsid w:val="00293213"/>
    <w:rsid w:val="002932B0"/>
    <w:rsid w:val="00293558"/>
    <w:rsid w:val="00293B1E"/>
    <w:rsid w:val="00293DFA"/>
    <w:rsid w:val="00293FAC"/>
    <w:rsid w:val="002940C5"/>
    <w:rsid w:val="0029418E"/>
    <w:rsid w:val="002947CE"/>
    <w:rsid w:val="00294C91"/>
    <w:rsid w:val="002950C7"/>
    <w:rsid w:val="00295753"/>
    <w:rsid w:val="002959CE"/>
    <w:rsid w:val="00295A98"/>
    <w:rsid w:val="00296E71"/>
    <w:rsid w:val="00297104"/>
    <w:rsid w:val="00297E98"/>
    <w:rsid w:val="002A1153"/>
    <w:rsid w:val="002A130F"/>
    <w:rsid w:val="002A14F4"/>
    <w:rsid w:val="002A151F"/>
    <w:rsid w:val="002A15C2"/>
    <w:rsid w:val="002A17BE"/>
    <w:rsid w:val="002A204C"/>
    <w:rsid w:val="002A23B6"/>
    <w:rsid w:val="002A2568"/>
    <w:rsid w:val="002A25A0"/>
    <w:rsid w:val="002A2B20"/>
    <w:rsid w:val="002A2E14"/>
    <w:rsid w:val="002A4292"/>
    <w:rsid w:val="002A4D9E"/>
    <w:rsid w:val="002A4F93"/>
    <w:rsid w:val="002A56AF"/>
    <w:rsid w:val="002A59EB"/>
    <w:rsid w:val="002A5B17"/>
    <w:rsid w:val="002A5B2D"/>
    <w:rsid w:val="002A6653"/>
    <w:rsid w:val="002A7F7C"/>
    <w:rsid w:val="002B06A0"/>
    <w:rsid w:val="002B0BBC"/>
    <w:rsid w:val="002B0E90"/>
    <w:rsid w:val="002B0F9A"/>
    <w:rsid w:val="002B1044"/>
    <w:rsid w:val="002B2334"/>
    <w:rsid w:val="002B2602"/>
    <w:rsid w:val="002B34B3"/>
    <w:rsid w:val="002B3550"/>
    <w:rsid w:val="002B467E"/>
    <w:rsid w:val="002B4AD5"/>
    <w:rsid w:val="002B50BD"/>
    <w:rsid w:val="002B6AEE"/>
    <w:rsid w:val="002B6F7A"/>
    <w:rsid w:val="002B7104"/>
    <w:rsid w:val="002B744A"/>
    <w:rsid w:val="002B7B49"/>
    <w:rsid w:val="002C072D"/>
    <w:rsid w:val="002C0FE0"/>
    <w:rsid w:val="002C1259"/>
    <w:rsid w:val="002C1A90"/>
    <w:rsid w:val="002C1B6A"/>
    <w:rsid w:val="002C1CC8"/>
    <w:rsid w:val="002C1D64"/>
    <w:rsid w:val="002C347B"/>
    <w:rsid w:val="002C3773"/>
    <w:rsid w:val="002C3B95"/>
    <w:rsid w:val="002C3D76"/>
    <w:rsid w:val="002C4401"/>
    <w:rsid w:val="002C45B0"/>
    <w:rsid w:val="002C5444"/>
    <w:rsid w:val="002C5507"/>
    <w:rsid w:val="002C5838"/>
    <w:rsid w:val="002C59C4"/>
    <w:rsid w:val="002C6428"/>
    <w:rsid w:val="002C6774"/>
    <w:rsid w:val="002C6859"/>
    <w:rsid w:val="002C6C4E"/>
    <w:rsid w:val="002C6ED1"/>
    <w:rsid w:val="002C6F12"/>
    <w:rsid w:val="002C758D"/>
    <w:rsid w:val="002C792C"/>
    <w:rsid w:val="002D0830"/>
    <w:rsid w:val="002D1216"/>
    <w:rsid w:val="002D137A"/>
    <w:rsid w:val="002D16DF"/>
    <w:rsid w:val="002D19CB"/>
    <w:rsid w:val="002D1DAC"/>
    <w:rsid w:val="002D2D9A"/>
    <w:rsid w:val="002D3C65"/>
    <w:rsid w:val="002D3C7F"/>
    <w:rsid w:val="002D4848"/>
    <w:rsid w:val="002D4B77"/>
    <w:rsid w:val="002D4ED8"/>
    <w:rsid w:val="002D5460"/>
    <w:rsid w:val="002D5738"/>
    <w:rsid w:val="002D5B4E"/>
    <w:rsid w:val="002D62A9"/>
    <w:rsid w:val="002D67AB"/>
    <w:rsid w:val="002D74C8"/>
    <w:rsid w:val="002D7E61"/>
    <w:rsid w:val="002E08BF"/>
    <w:rsid w:val="002E0DEA"/>
    <w:rsid w:val="002E0E20"/>
    <w:rsid w:val="002E172D"/>
    <w:rsid w:val="002E198B"/>
    <w:rsid w:val="002E1F03"/>
    <w:rsid w:val="002E233A"/>
    <w:rsid w:val="002E2388"/>
    <w:rsid w:val="002E24CC"/>
    <w:rsid w:val="002E26F7"/>
    <w:rsid w:val="002E2712"/>
    <w:rsid w:val="002E27C5"/>
    <w:rsid w:val="002E2C3F"/>
    <w:rsid w:val="002E3153"/>
    <w:rsid w:val="002E35E7"/>
    <w:rsid w:val="002E3792"/>
    <w:rsid w:val="002E44B2"/>
    <w:rsid w:val="002E487C"/>
    <w:rsid w:val="002E4DC0"/>
    <w:rsid w:val="002E5556"/>
    <w:rsid w:val="002E5777"/>
    <w:rsid w:val="002E64BD"/>
    <w:rsid w:val="002E64E6"/>
    <w:rsid w:val="002E67A1"/>
    <w:rsid w:val="002E6A6D"/>
    <w:rsid w:val="002E6E8C"/>
    <w:rsid w:val="002F017C"/>
    <w:rsid w:val="002F070B"/>
    <w:rsid w:val="002F16DA"/>
    <w:rsid w:val="002F1923"/>
    <w:rsid w:val="002F1EAE"/>
    <w:rsid w:val="002F25AC"/>
    <w:rsid w:val="002F26C1"/>
    <w:rsid w:val="002F270A"/>
    <w:rsid w:val="002F2D2C"/>
    <w:rsid w:val="002F3537"/>
    <w:rsid w:val="002F3827"/>
    <w:rsid w:val="002F38AA"/>
    <w:rsid w:val="002F3DF4"/>
    <w:rsid w:val="002F3E76"/>
    <w:rsid w:val="002F3FA2"/>
    <w:rsid w:val="002F4ABB"/>
    <w:rsid w:val="002F4BE5"/>
    <w:rsid w:val="002F4E35"/>
    <w:rsid w:val="002F5010"/>
    <w:rsid w:val="002F5468"/>
    <w:rsid w:val="002F5DC1"/>
    <w:rsid w:val="002F64C6"/>
    <w:rsid w:val="002F6B9C"/>
    <w:rsid w:val="002F6D59"/>
    <w:rsid w:val="002F76A8"/>
    <w:rsid w:val="002F76C5"/>
    <w:rsid w:val="002F7C9C"/>
    <w:rsid w:val="002F7DFF"/>
    <w:rsid w:val="003006A7"/>
    <w:rsid w:val="00300BD5"/>
    <w:rsid w:val="00301116"/>
    <w:rsid w:val="00301A52"/>
    <w:rsid w:val="00301AA5"/>
    <w:rsid w:val="00301E61"/>
    <w:rsid w:val="00302194"/>
    <w:rsid w:val="00302D67"/>
    <w:rsid w:val="0030317F"/>
    <w:rsid w:val="00303718"/>
    <w:rsid w:val="003042D9"/>
    <w:rsid w:val="0030499B"/>
    <w:rsid w:val="0030514B"/>
    <w:rsid w:val="0030551B"/>
    <w:rsid w:val="00305EF2"/>
    <w:rsid w:val="00306659"/>
    <w:rsid w:val="003066E2"/>
    <w:rsid w:val="00306836"/>
    <w:rsid w:val="00306C03"/>
    <w:rsid w:val="00306CD6"/>
    <w:rsid w:val="0030726E"/>
    <w:rsid w:val="003076F9"/>
    <w:rsid w:val="00307E7F"/>
    <w:rsid w:val="00307F0A"/>
    <w:rsid w:val="0031007B"/>
    <w:rsid w:val="003102CF"/>
    <w:rsid w:val="003106D3"/>
    <w:rsid w:val="00310AF5"/>
    <w:rsid w:val="00310BAF"/>
    <w:rsid w:val="003115F6"/>
    <w:rsid w:val="003120BC"/>
    <w:rsid w:val="00312838"/>
    <w:rsid w:val="0031291A"/>
    <w:rsid w:val="00313FBC"/>
    <w:rsid w:val="00314B7B"/>
    <w:rsid w:val="00314CC1"/>
    <w:rsid w:val="00314E6D"/>
    <w:rsid w:val="00315300"/>
    <w:rsid w:val="00315CFC"/>
    <w:rsid w:val="003163BC"/>
    <w:rsid w:val="00316570"/>
    <w:rsid w:val="00316862"/>
    <w:rsid w:val="00316FF7"/>
    <w:rsid w:val="003172EB"/>
    <w:rsid w:val="003176AD"/>
    <w:rsid w:val="0032038C"/>
    <w:rsid w:val="00320782"/>
    <w:rsid w:val="003209BF"/>
    <w:rsid w:val="0032119D"/>
    <w:rsid w:val="0032121D"/>
    <w:rsid w:val="00321966"/>
    <w:rsid w:val="00322179"/>
    <w:rsid w:val="0032223E"/>
    <w:rsid w:val="003224DE"/>
    <w:rsid w:val="003228A8"/>
    <w:rsid w:val="00322CCB"/>
    <w:rsid w:val="00323881"/>
    <w:rsid w:val="00323B57"/>
    <w:rsid w:val="00323BE5"/>
    <w:rsid w:val="00324896"/>
    <w:rsid w:val="00324A8D"/>
    <w:rsid w:val="00324DF5"/>
    <w:rsid w:val="0032541C"/>
    <w:rsid w:val="00325678"/>
    <w:rsid w:val="0032568F"/>
    <w:rsid w:val="0032590F"/>
    <w:rsid w:val="003263F3"/>
    <w:rsid w:val="00326DFF"/>
    <w:rsid w:val="00326EC3"/>
    <w:rsid w:val="0032701F"/>
    <w:rsid w:val="0032702E"/>
    <w:rsid w:val="003273DD"/>
    <w:rsid w:val="003302CC"/>
    <w:rsid w:val="003307A7"/>
    <w:rsid w:val="0033105F"/>
    <w:rsid w:val="0033258E"/>
    <w:rsid w:val="003325A5"/>
    <w:rsid w:val="00332668"/>
    <w:rsid w:val="00333166"/>
    <w:rsid w:val="0033393E"/>
    <w:rsid w:val="00334132"/>
    <w:rsid w:val="00334154"/>
    <w:rsid w:val="00334502"/>
    <w:rsid w:val="003349C3"/>
    <w:rsid w:val="00334AB8"/>
    <w:rsid w:val="00334B9E"/>
    <w:rsid w:val="00335023"/>
    <w:rsid w:val="0033520B"/>
    <w:rsid w:val="00335A6C"/>
    <w:rsid w:val="00335BEB"/>
    <w:rsid w:val="00335CBF"/>
    <w:rsid w:val="00335F20"/>
    <w:rsid w:val="00335F40"/>
    <w:rsid w:val="00336BC4"/>
    <w:rsid w:val="00336BD1"/>
    <w:rsid w:val="00337C66"/>
    <w:rsid w:val="00337D81"/>
    <w:rsid w:val="003403A4"/>
    <w:rsid w:val="00340BB1"/>
    <w:rsid w:val="00340C1F"/>
    <w:rsid w:val="00340DF7"/>
    <w:rsid w:val="00342405"/>
    <w:rsid w:val="00342447"/>
    <w:rsid w:val="00342597"/>
    <w:rsid w:val="00343E5C"/>
    <w:rsid w:val="0034447A"/>
    <w:rsid w:val="00344A75"/>
    <w:rsid w:val="00344BC0"/>
    <w:rsid w:val="00344C1A"/>
    <w:rsid w:val="003454E2"/>
    <w:rsid w:val="003455E9"/>
    <w:rsid w:val="0034586C"/>
    <w:rsid w:val="00347521"/>
    <w:rsid w:val="00347DBC"/>
    <w:rsid w:val="00347FE1"/>
    <w:rsid w:val="003500F8"/>
    <w:rsid w:val="00350443"/>
    <w:rsid w:val="00350625"/>
    <w:rsid w:val="00350D70"/>
    <w:rsid w:val="003513B0"/>
    <w:rsid w:val="00351476"/>
    <w:rsid w:val="0035199E"/>
    <w:rsid w:val="00351FB1"/>
    <w:rsid w:val="0035244E"/>
    <w:rsid w:val="0035292D"/>
    <w:rsid w:val="00352AFE"/>
    <w:rsid w:val="00352DA3"/>
    <w:rsid w:val="003530E3"/>
    <w:rsid w:val="00353119"/>
    <w:rsid w:val="00353236"/>
    <w:rsid w:val="00353ACB"/>
    <w:rsid w:val="00353B98"/>
    <w:rsid w:val="00353C39"/>
    <w:rsid w:val="0035420E"/>
    <w:rsid w:val="0035467B"/>
    <w:rsid w:val="00354748"/>
    <w:rsid w:val="0035481F"/>
    <w:rsid w:val="00354C61"/>
    <w:rsid w:val="003552C9"/>
    <w:rsid w:val="00355618"/>
    <w:rsid w:val="00355D9B"/>
    <w:rsid w:val="00356742"/>
    <w:rsid w:val="00356F52"/>
    <w:rsid w:val="00357D26"/>
    <w:rsid w:val="0036087A"/>
    <w:rsid w:val="003613A6"/>
    <w:rsid w:val="00361584"/>
    <w:rsid w:val="003619D1"/>
    <w:rsid w:val="00364080"/>
    <w:rsid w:val="00364823"/>
    <w:rsid w:val="00364F7C"/>
    <w:rsid w:val="00364F82"/>
    <w:rsid w:val="00365240"/>
    <w:rsid w:val="00365607"/>
    <w:rsid w:val="00365A95"/>
    <w:rsid w:val="00366FA1"/>
    <w:rsid w:val="00367B88"/>
    <w:rsid w:val="00370257"/>
    <w:rsid w:val="003703CD"/>
    <w:rsid w:val="00370729"/>
    <w:rsid w:val="00370B2C"/>
    <w:rsid w:val="00370F50"/>
    <w:rsid w:val="0037117C"/>
    <w:rsid w:val="0037135D"/>
    <w:rsid w:val="00371371"/>
    <w:rsid w:val="003713FA"/>
    <w:rsid w:val="0037140E"/>
    <w:rsid w:val="00372152"/>
    <w:rsid w:val="00372D22"/>
    <w:rsid w:val="003731CA"/>
    <w:rsid w:val="00373B8B"/>
    <w:rsid w:val="0037411A"/>
    <w:rsid w:val="00374140"/>
    <w:rsid w:val="003749FB"/>
    <w:rsid w:val="003754EA"/>
    <w:rsid w:val="00375DB2"/>
    <w:rsid w:val="0037729E"/>
    <w:rsid w:val="00377664"/>
    <w:rsid w:val="003778F9"/>
    <w:rsid w:val="00377EF8"/>
    <w:rsid w:val="003802F4"/>
    <w:rsid w:val="003803B7"/>
    <w:rsid w:val="00380C40"/>
    <w:rsid w:val="00381125"/>
    <w:rsid w:val="00381625"/>
    <w:rsid w:val="00382160"/>
    <w:rsid w:val="00382218"/>
    <w:rsid w:val="00382F8B"/>
    <w:rsid w:val="0038318B"/>
    <w:rsid w:val="00383F18"/>
    <w:rsid w:val="00384248"/>
    <w:rsid w:val="00384974"/>
    <w:rsid w:val="003849AA"/>
    <w:rsid w:val="00385544"/>
    <w:rsid w:val="00385E39"/>
    <w:rsid w:val="00386182"/>
    <w:rsid w:val="00387695"/>
    <w:rsid w:val="003900DE"/>
    <w:rsid w:val="003903DD"/>
    <w:rsid w:val="00390FEC"/>
    <w:rsid w:val="00391016"/>
    <w:rsid w:val="00391841"/>
    <w:rsid w:val="00391ADD"/>
    <w:rsid w:val="003920F7"/>
    <w:rsid w:val="0039224B"/>
    <w:rsid w:val="00392699"/>
    <w:rsid w:val="00392A93"/>
    <w:rsid w:val="00392B37"/>
    <w:rsid w:val="00393902"/>
    <w:rsid w:val="00393E61"/>
    <w:rsid w:val="00395DCE"/>
    <w:rsid w:val="00396303"/>
    <w:rsid w:val="003964B3"/>
    <w:rsid w:val="00396D45"/>
    <w:rsid w:val="00397A2B"/>
    <w:rsid w:val="003A0131"/>
    <w:rsid w:val="003A0450"/>
    <w:rsid w:val="003A05EA"/>
    <w:rsid w:val="003A07FE"/>
    <w:rsid w:val="003A0851"/>
    <w:rsid w:val="003A19E9"/>
    <w:rsid w:val="003A2640"/>
    <w:rsid w:val="003A3A8B"/>
    <w:rsid w:val="003A3BED"/>
    <w:rsid w:val="003A3E99"/>
    <w:rsid w:val="003A4680"/>
    <w:rsid w:val="003A473A"/>
    <w:rsid w:val="003A49A4"/>
    <w:rsid w:val="003A5085"/>
    <w:rsid w:val="003A511B"/>
    <w:rsid w:val="003A5D83"/>
    <w:rsid w:val="003A5E6C"/>
    <w:rsid w:val="003A60D1"/>
    <w:rsid w:val="003A644B"/>
    <w:rsid w:val="003A6E71"/>
    <w:rsid w:val="003A70F7"/>
    <w:rsid w:val="003A761A"/>
    <w:rsid w:val="003B01E7"/>
    <w:rsid w:val="003B05CE"/>
    <w:rsid w:val="003B096A"/>
    <w:rsid w:val="003B098D"/>
    <w:rsid w:val="003B0A02"/>
    <w:rsid w:val="003B0B35"/>
    <w:rsid w:val="003B13A9"/>
    <w:rsid w:val="003B17B9"/>
    <w:rsid w:val="003B214F"/>
    <w:rsid w:val="003B2950"/>
    <w:rsid w:val="003B305B"/>
    <w:rsid w:val="003B345D"/>
    <w:rsid w:val="003B46D7"/>
    <w:rsid w:val="003B4DA2"/>
    <w:rsid w:val="003B53D9"/>
    <w:rsid w:val="003B5462"/>
    <w:rsid w:val="003B58E0"/>
    <w:rsid w:val="003B60EF"/>
    <w:rsid w:val="003B679C"/>
    <w:rsid w:val="003B6B7B"/>
    <w:rsid w:val="003B7838"/>
    <w:rsid w:val="003B7E73"/>
    <w:rsid w:val="003B7EB3"/>
    <w:rsid w:val="003C00A7"/>
    <w:rsid w:val="003C0413"/>
    <w:rsid w:val="003C1506"/>
    <w:rsid w:val="003C1614"/>
    <w:rsid w:val="003C18D2"/>
    <w:rsid w:val="003C23FD"/>
    <w:rsid w:val="003C3572"/>
    <w:rsid w:val="003C3604"/>
    <w:rsid w:val="003C3BF4"/>
    <w:rsid w:val="003C3F9E"/>
    <w:rsid w:val="003C49E3"/>
    <w:rsid w:val="003C56E5"/>
    <w:rsid w:val="003C5760"/>
    <w:rsid w:val="003C5B78"/>
    <w:rsid w:val="003C5F72"/>
    <w:rsid w:val="003C643B"/>
    <w:rsid w:val="003C6642"/>
    <w:rsid w:val="003D042E"/>
    <w:rsid w:val="003D0AEE"/>
    <w:rsid w:val="003D1040"/>
    <w:rsid w:val="003D13ED"/>
    <w:rsid w:val="003D1F20"/>
    <w:rsid w:val="003D21C9"/>
    <w:rsid w:val="003D3253"/>
    <w:rsid w:val="003D35B5"/>
    <w:rsid w:val="003D3AA4"/>
    <w:rsid w:val="003D3F2D"/>
    <w:rsid w:val="003D49BC"/>
    <w:rsid w:val="003D5037"/>
    <w:rsid w:val="003D5ADA"/>
    <w:rsid w:val="003D5E14"/>
    <w:rsid w:val="003D5F09"/>
    <w:rsid w:val="003D66D2"/>
    <w:rsid w:val="003D6942"/>
    <w:rsid w:val="003D7207"/>
    <w:rsid w:val="003D728A"/>
    <w:rsid w:val="003D7A6D"/>
    <w:rsid w:val="003E0881"/>
    <w:rsid w:val="003E0939"/>
    <w:rsid w:val="003E0DB7"/>
    <w:rsid w:val="003E1126"/>
    <w:rsid w:val="003E1A28"/>
    <w:rsid w:val="003E272F"/>
    <w:rsid w:val="003E29C9"/>
    <w:rsid w:val="003E3461"/>
    <w:rsid w:val="003E4109"/>
    <w:rsid w:val="003E44BA"/>
    <w:rsid w:val="003E45F8"/>
    <w:rsid w:val="003E46EF"/>
    <w:rsid w:val="003E4D6D"/>
    <w:rsid w:val="003E586C"/>
    <w:rsid w:val="003E58FD"/>
    <w:rsid w:val="003E6133"/>
    <w:rsid w:val="003E6214"/>
    <w:rsid w:val="003E63FC"/>
    <w:rsid w:val="003E6F7F"/>
    <w:rsid w:val="003E7243"/>
    <w:rsid w:val="003E79F6"/>
    <w:rsid w:val="003E7DDC"/>
    <w:rsid w:val="003F02D2"/>
    <w:rsid w:val="003F0ED3"/>
    <w:rsid w:val="003F124B"/>
    <w:rsid w:val="003F13E6"/>
    <w:rsid w:val="003F1455"/>
    <w:rsid w:val="003F15F7"/>
    <w:rsid w:val="003F2991"/>
    <w:rsid w:val="003F29A8"/>
    <w:rsid w:val="003F29D2"/>
    <w:rsid w:val="003F2A7D"/>
    <w:rsid w:val="003F363A"/>
    <w:rsid w:val="003F38F5"/>
    <w:rsid w:val="003F47C0"/>
    <w:rsid w:val="003F567F"/>
    <w:rsid w:val="003F6070"/>
    <w:rsid w:val="003F6537"/>
    <w:rsid w:val="003F6BCB"/>
    <w:rsid w:val="003F72DD"/>
    <w:rsid w:val="003F746D"/>
    <w:rsid w:val="003F7822"/>
    <w:rsid w:val="003F7A43"/>
    <w:rsid w:val="003F7E45"/>
    <w:rsid w:val="003F7FF1"/>
    <w:rsid w:val="00400578"/>
    <w:rsid w:val="00400A7E"/>
    <w:rsid w:val="00400D42"/>
    <w:rsid w:val="00401211"/>
    <w:rsid w:val="0040129D"/>
    <w:rsid w:val="0040137D"/>
    <w:rsid w:val="00401FB5"/>
    <w:rsid w:val="00402257"/>
    <w:rsid w:val="00402282"/>
    <w:rsid w:val="00402F3A"/>
    <w:rsid w:val="00404C76"/>
    <w:rsid w:val="00405303"/>
    <w:rsid w:val="004055DC"/>
    <w:rsid w:val="00405F8A"/>
    <w:rsid w:val="00406447"/>
    <w:rsid w:val="00406BE6"/>
    <w:rsid w:val="00406FD0"/>
    <w:rsid w:val="004070AF"/>
    <w:rsid w:val="0040736C"/>
    <w:rsid w:val="004075D9"/>
    <w:rsid w:val="00407755"/>
    <w:rsid w:val="00410B82"/>
    <w:rsid w:val="004118FD"/>
    <w:rsid w:val="004121FA"/>
    <w:rsid w:val="00412263"/>
    <w:rsid w:val="00412282"/>
    <w:rsid w:val="0041256E"/>
    <w:rsid w:val="004126D2"/>
    <w:rsid w:val="004126F3"/>
    <w:rsid w:val="00412B25"/>
    <w:rsid w:val="00412C5B"/>
    <w:rsid w:val="00413AA3"/>
    <w:rsid w:val="00415391"/>
    <w:rsid w:val="004154DB"/>
    <w:rsid w:val="00415DEF"/>
    <w:rsid w:val="00416114"/>
    <w:rsid w:val="0041625A"/>
    <w:rsid w:val="00416839"/>
    <w:rsid w:val="00416E31"/>
    <w:rsid w:val="0041707E"/>
    <w:rsid w:val="00417F79"/>
    <w:rsid w:val="00420B73"/>
    <w:rsid w:val="00420BD4"/>
    <w:rsid w:val="00420E85"/>
    <w:rsid w:val="00421EA8"/>
    <w:rsid w:val="00422C86"/>
    <w:rsid w:val="00422E2F"/>
    <w:rsid w:val="004233D2"/>
    <w:rsid w:val="004233E0"/>
    <w:rsid w:val="0042366E"/>
    <w:rsid w:val="004242E2"/>
    <w:rsid w:val="004250CE"/>
    <w:rsid w:val="004251D0"/>
    <w:rsid w:val="00425BCA"/>
    <w:rsid w:val="00425DDC"/>
    <w:rsid w:val="004264BD"/>
    <w:rsid w:val="00426D06"/>
    <w:rsid w:val="00427492"/>
    <w:rsid w:val="00427635"/>
    <w:rsid w:val="004302D8"/>
    <w:rsid w:val="004307DE"/>
    <w:rsid w:val="00430999"/>
    <w:rsid w:val="00430CAD"/>
    <w:rsid w:val="00430F19"/>
    <w:rsid w:val="00431015"/>
    <w:rsid w:val="00431319"/>
    <w:rsid w:val="004313AB"/>
    <w:rsid w:val="00431B65"/>
    <w:rsid w:val="00431F9D"/>
    <w:rsid w:val="004321C4"/>
    <w:rsid w:val="00432783"/>
    <w:rsid w:val="00432C3A"/>
    <w:rsid w:val="00432F40"/>
    <w:rsid w:val="0043355B"/>
    <w:rsid w:val="00433DC9"/>
    <w:rsid w:val="0043465C"/>
    <w:rsid w:val="0043471C"/>
    <w:rsid w:val="00434D6B"/>
    <w:rsid w:val="00434DCE"/>
    <w:rsid w:val="00434EE8"/>
    <w:rsid w:val="00434F50"/>
    <w:rsid w:val="0043555E"/>
    <w:rsid w:val="00435567"/>
    <w:rsid w:val="00435D07"/>
    <w:rsid w:val="00436013"/>
    <w:rsid w:val="004362E2"/>
    <w:rsid w:val="00436A5E"/>
    <w:rsid w:val="00436CD4"/>
    <w:rsid w:val="004375B8"/>
    <w:rsid w:val="004407E0"/>
    <w:rsid w:val="00440A61"/>
    <w:rsid w:val="00440AF8"/>
    <w:rsid w:val="004418FB"/>
    <w:rsid w:val="00442704"/>
    <w:rsid w:val="004437E9"/>
    <w:rsid w:val="00443C3E"/>
    <w:rsid w:val="00445933"/>
    <w:rsid w:val="00445EFA"/>
    <w:rsid w:val="004479B1"/>
    <w:rsid w:val="00447A09"/>
    <w:rsid w:val="00447A77"/>
    <w:rsid w:val="0045000A"/>
    <w:rsid w:val="0045013C"/>
    <w:rsid w:val="004506B3"/>
    <w:rsid w:val="00450AAA"/>
    <w:rsid w:val="00451167"/>
    <w:rsid w:val="00451AFA"/>
    <w:rsid w:val="00451BAF"/>
    <w:rsid w:val="00452AB3"/>
    <w:rsid w:val="00452F92"/>
    <w:rsid w:val="00453B5A"/>
    <w:rsid w:val="00453D34"/>
    <w:rsid w:val="00455393"/>
    <w:rsid w:val="00455C04"/>
    <w:rsid w:val="00456217"/>
    <w:rsid w:val="0045644E"/>
    <w:rsid w:val="00456466"/>
    <w:rsid w:val="00457540"/>
    <w:rsid w:val="004575E5"/>
    <w:rsid w:val="00457627"/>
    <w:rsid w:val="00457FCE"/>
    <w:rsid w:val="0046084E"/>
    <w:rsid w:val="0046115D"/>
    <w:rsid w:val="0046185E"/>
    <w:rsid w:val="00461E89"/>
    <w:rsid w:val="004625D3"/>
    <w:rsid w:val="00462661"/>
    <w:rsid w:val="00462720"/>
    <w:rsid w:val="00462886"/>
    <w:rsid w:val="00462ECA"/>
    <w:rsid w:val="004633C4"/>
    <w:rsid w:val="00463B8A"/>
    <w:rsid w:val="00464234"/>
    <w:rsid w:val="0046437C"/>
    <w:rsid w:val="0046587A"/>
    <w:rsid w:val="0046614A"/>
    <w:rsid w:val="00466519"/>
    <w:rsid w:val="004668D4"/>
    <w:rsid w:val="00466C2E"/>
    <w:rsid w:val="00466E41"/>
    <w:rsid w:val="00466FF1"/>
    <w:rsid w:val="00467F5F"/>
    <w:rsid w:val="00470540"/>
    <w:rsid w:val="00470587"/>
    <w:rsid w:val="004708FE"/>
    <w:rsid w:val="0047149E"/>
    <w:rsid w:val="00471974"/>
    <w:rsid w:val="00471A09"/>
    <w:rsid w:val="00471B6C"/>
    <w:rsid w:val="004723C8"/>
    <w:rsid w:val="00472C4E"/>
    <w:rsid w:val="00473153"/>
    <w:rsid w:val="00473FD9"/>
    <w:rsid w:val="004747D7"/>
    <w:rsid w:val="00474BD8"/>
    <w:rsid w:val="00474C8A"/>
    <w:rsid w:val="0047593B"/>
    <w:rsid w:val="00475E85"/>
    <w:rsid w:val="0047600C"/>
    <w:rsid w:val="00476FEC"/>
    <w:rsid w:val="0047725C"/>
    <w:rsid w:val="00477437"/>
    <w:rsid w:val="00477C4F"/>
    <w:rsid w:val="00477DBE"/>
    <w:rsid w:val="004805C4"/>
    <w:rsid w:val="0048086D"/>
    <w:rsid w:val="00480938"/>
    <w:rsid w:val="00481DEA"/>
    <w:rsid w:val="004821B2"/>
    <w:rsid w:val="00482AB2"/>
    <w:rsid w:val="00482C82"/>
    <w:rsid w:val="00483659"/>
    <w:rsid w:val="00483EEF"/>
    <w:rsid w:val="004841E0"/>
    <w:rsid w:val="004842C9"/>
    <w:rsid w:val="004855A6"/>
    <w:rsid w:val="00485E3B"/>
    <w:rsid w:val="0048612F"/>
    <w:rsid w:val="004861B0"/>
    <w:rsid w:val="0048726F"/>
    <w:rsid w:val="00490101"/>
    <w:rsid w:val="00490154"/>
    <w:rsid w:val="0049061B"/>
    <w:rsid w:val="004908FD"/>
    <w:rsid w:val="004915F1"/>
    <w:rsid w:val="004917A8"/>
    <w:rsid w:val="00491B33"/>
    <w:rsid w:val="004926D5"/>
    <w:rsid w:val="00492850"/>
    <w:rsid w:val="00493255"/>
    <w:rsid w:val="00493993"/>
    <w:rsid w:val="00493E2F"/>
    <w:rsid w:val="0049408E"/>
    <w:rsid w:val="0049412B"/>
    <w:rsid w:val="0049456D"/>
    <w:rsid w:val="004945BA"/>
    <w:rsid w:val="0049573F"/>
    <w:rsid w:val="00495927"/>
    <w:rsid w:val="0049594F"/>
    <w:rsid w:val="004961AA"/>
    <w:rsid w:val="004966C0"/>
    <w:rsid w:val="00496705"/>
    <w:rsid w:val="0049687F"/>
    <w:rsid w:val="004A0158"/>
    <w:rsid w:val="004A0912"/>
    <w:rsid w:val="004A11BE"/>
    <w:rsid w:val="004A16A3"/>
    <w:rsid w:val="004A177E"/>
    <w:rsid w:val="004A1BDB"/>
    <w:rsid w:val="004A3DA3"/>
    <w:rsid w:val="004A45CE"/>
    <w:rsid w:val="004A5328"/>
    <w:rsid w:val="004A683A"/>
    <w:rsid w:val="004A6B2D"/>
    <w:rsid w:val="004A7211"/>
    <w:rsid w:val="004A7DDC"/>
    <w:rsid w:val="004B020E"/>
    <w:rsid w:val="004B033A"/>
    <w:rsid w:val="004B05E0"/>
    <w:rsid w:val="004B07F1"/>
    <w:rsid w:val="004B0AF4"/>
    <w:rsid w:val="004B1AEA"/>
    <w:rsid w:val="004B1D79"/>
    <w:rsid w:val="004B20CB"/>
    <w:rsid w:val="004B2829"/>
    <w:rsid w:val="004B28C2"/>
    <w:rsid w:val="004B2C76"/>
    <w:rsid w:val="004B3224"/>
    <w:rsid w:val="004B3A4A"/>
    <w:rsid w:val="004B4564"/>
    <w:rsid w:val="004B4A97"/>
    <w:rsid w:val="004B5006"/>
    <w:rsid w:val="004B50CD"/>
    <w:rsid w:val="004B5722"/>
    <w:rsid w:val="004B588F"/>
    <w:rsid w:val="004B5B88"/>
    <w:rsid w:val="004B5EAF"/>
    <w:rsid w:val="004B6267"/>
    <w:rsid w:val="004B643B"/>
    <w:rsid w:val="004B6B72"/>
    <w:rsid w:val="004B6CE6"/>
    <w:rsid w:val="004B7CDC"/>
    <w:rsid w:val="004C0420"/>
    <w:rsid w:val="004C05FE"/>
    <w:rsid w:val="004C0C04"/>
    <w:rsid w:val="004C0F95"/>
    <w:rsid w:val="004C12E6"/>
    <w:rsid w:val="004C170F"/>
    <w:rsid w:val="004C1729"/>
    <w:rsid w:val="004C1958"/>
    <w:rsid w:val="004C1A9E"/>
    <w:rsid w:val="004C1AE3"/>
    <w:rsid w:val="004C1BA7"/>
    <w:rsid w:val="004C264C"/>
    <w:rsid w:val="004C2897"/>
    <w:rsid w:val="004C2A57"/>
    <w:rsid w:val="004C2EA8"/>
    <w:rsid w:val="004C3389"/>
    <w:rsid w:val="004C3F49"/>
    <w:rsid w:val="004C4014"/>
    <w:rsid w:val="004C4057"/>
    <w:rsid w:val="004C4075"/>
    <w:rsid w:val="004C40CC"/>
    <w:rsid w:val="004C4830"/>
    <w:rsid w:val="004C4BC5"/>
    <w:rsid w:val="004C4F08"/>
    <w:rsid w:val="004C4F43"/>
    <w:rsid w:val="004C55AF"/>
    <w:rsid w:val="004C615B"/>
    <w:rsid w:val="004C7B35"/>
    <w:rsid w:val="004C7BF4"/>
    <w:rsid w:val="004D0950"/>
    <w:rsid w:val="004D14F2"/>
    <w:rsid w:val="004D1A20"/>
    <w:rsid w:val="004D21FD"/>
    <w:rsid w:val="004D257F"/>
    <w:rsid w:val="004D2C39"/>
    <w:rsid w:val="004D2CB9"/>
    <w:rsid w:val="004D2FE0"/>
    <w:rsid w:val="004D354C"/>
    <w:rsid w:val="004D4253"/>
    <w:rsid w:val="004D439D"/>
    <w:rsid w:val="004D43FC"/>
    <w:rsid w:val="004D4EF3"/>
    <w:rsid w:val="004D5DA4"/>
    <w:rsid w:val="004D62E2"/>
    <w:rsid w:val="004D6D31"/>
    <w:rsid w:val="004D6EA4"/>
    <w:rsid w:val="004D70B5"/>
    <w:rsid w:val="004D7140"/>
    <w:rsid w:val="004D73C3"/>
    <w:rsid w:val="004D7BEE"/>
    <w:rsid w:val="004E021C"/>
    <w:rsid w:val="004E084F"/>
    <w:rsid w:val="004E0A99"/>
    <w:rsid w:val="004E0CC0"/>
    <w:rsid w:val="004E0D1F"/>
    <w:rsid w:val="004E0EE3"/>
    <w:rsid w:val="004E18D9"/>
    <w:rsid w:val="004E1EFF"/>
    <w:rsid w:val="004E21AB"/>
    <w:rsid w:val="004E25C7"/>
    <w:rsid w:val="004E32A7"/>
    <w:rsid w:val="004E3B90"/>
    <w:rsid w:val="004E3F15"/>
    <w:rsid w:val="004E4425"/>
    <w:rsid w:val="004E4D3F"/>
    <w:rsid w:val="004E5280"/>
    <w:rsid w:val="004E56A7"/>
    <w:rsid w:val="004E599F"/>
    <w:rsid w:val="004E5FE5"/>
    <w:rsid w:val="004E62BC"/>
    <w:rsid w:val="004E6729"/>
    <w:rsid w:val="004E6DA4"/>
    <w:rsid w:val="004E721F"/>
    <w:rsid w:val="004E77F3"/>
    <w:rsid w:val="004F05EB"/>
    <w:rsid w:val="004F06D1"/>
    <w:rsid w:val="004F13BB"/>
    <w:rsid w:val="004F198C"/>
    <w:rsid w:val="004F1DC3"/>
    <w:rsid w:val="004F26E6"/>
    <w:rsid w:val="004F2C95"/>
    <w:rsid w:val="004F2F7F"/>
    <w:rsid w:val="004F349D"/>
    <w:rsid w:val="004F4C5A"/>
    <w:rsid w:val="004F4E5F"/>
    <w:rsid w:val="004F609A"/>
    <w:rsid w:val="004F73C0"/>
    <w:rsid w:val="00500556"/>
    <w:rsid w:val="0050114D"/>
    <w:rsid w:val="005015EE"/>
    <w:rsid w:val="00501F2E"/>
    <w:rsid w:val="00502D00"/>
    <w:rsid w:val="00502DA5"/>
    <w:rsid w:val="00502EBA"/>
    <w:rsid w:val="00503731"/>
    <w:rsid w:val="00503B5E"/>
    <w:rsid w:val="00504099"/>
    <w:rsid w:val="0050446C"/>
    <w:rsid w:val="0050494C"/>
    <w:rsid w:val="00504A39"/>
    <w:rsid w:val="00505ABA"/>
    <w:rsid w:val="00506C5A"/>
    <w:rsid w:val="0050718D"/>
    <w:rsid w:val="005072ED"/>
    <w:rsid w:val="005073E2"/>
    <w:rsid w:val="005074E6"/>
    <w:rsid w:val="005079B1"/>
    <w:rsid w:val="005079C9"/>
    <w:rsid w:val="00507A03"/>
    <w:rsid w:val="00507BEA"/>
    <w:rsid w:val="005101CF"/>
    <w:rsid w:val="005107B6"/>
    <w:rsid w:val="00510808"/>
    <w:rsid w:val="00510ED0"/>
    <w:rsid w:val="00511669"/>
    <w:rsid w:val="00512A57"/>
    <w:rsid w:val="00512AC3"/>
    <w:rsid w:val="00512D1C"/>
    <w:rsid w:val="00512E25"/>
    <w:rsid w:val="00512F1D"/>
    <w:rsid w:val="00513088"/>
    <w:rsid w:val="0051315B"/>
    <w:rsid w:val="00513437"/>
    <w:rsid w:val="0051360F"/>
    <w:rsid w:val="005138AE"/>
    <w:rsid w:val="005141DB"/>
    <w:rsid w:val="00514265"/>
    <w:rsid w:val="005142EF"/>
    <w:rsid w:val="005146AE"/>
    <w:rsid w:val="00514763"/>
    <w:rsid w:val="00514801"/>
    <w:rsid w:val="00514B09"/>
    <w:rsid w:val="005154ED"/>
    <w:rsid w:val="00515886"/>
    <w:rsid w:val="00515BE2"/>
    <w:rsid w:val="005163F0"/>
    <w:rsid w:val="005164C1"/>
    <w:rsid w:val="00516886"/>
    <w:rsid w:val="00516A7B"/>
    <w:rsid w:val="00516ABF"/>
    <w:rsid w:val="00516E93"/>
    <w:rsid w:val="0051717E"/>
    <w:rsid w:val="005179D8"/>
    <w:rsid w:val="00517B8E"/>
    <w:rsid w:val="00517C43"/>
    <w:rsid w:val="005202D1"/>
    <w:rsid w:val="00520404"/>
    <w:rsid w:val="005204D8"/>
    <w:rsid w:val="00520A46"/>
    <w:rsid w:val="00520E63"/>
    <w:rsid w:val="00521898"/>
    <w:rsid w:val="00522D35"/>
    <w:rsid w:val="00523238"/>
    <w:rsid w:val="005232D4"/>
    <w:rsid w:val="005244EE"/>
    <w:rsid w:val="00524ACD"/>
    <w:rsid w:val="00524E2D"/>
    <w:rsid w:val="005256E6"/>
    <w:rsid w:val="00525EC1"/>
    <w:rsid w:val="005263CB"/>
    <w:rsid w:val="00526B1F"/>
    <w:rsid w:val="0052704E"/>
    <w:rsid w:val="0052737D"/>
    <w:rsid w:val="00527C76"/>
    <w:rsid w:val="00527CB1"/>
    <w:rsid w:val="0053015F"/>
    <w:rsid w:val="0053069C"/>
    <w:rsid w:val="0053105A"/>
    <w:rsid w:val="005310B6"/>
    <w:rsid w:val="005310EC"/>
    <w:rsid w:val="00531267"/>
    <w:rsid w:val="005317DB"/>
    <w:rsid w:val="00531E9A"/>
    <w:rsid w:val="00531F4E"/>
    <w:rsid w:val="005320D2"/>
    <w:rsid w:val="0053223F"/>
    <w:rsid w:val="00532290"/>
    <w:rsid w:val="00533041"/>
    <w:rsid w:val="00533136"/>
    <w:rsid w:val="00533264"/>
    <w:rsid w:val="005332C2"/>
    <w:rsid w:val="005332EB"/>
    <w:rsid w:val="0053337F"/>
    <w:rsid w:val="00534709"/>
    <w:rsid w:val="00534749"/>
    <w:rsid w:val="005353EA"/>
    <w:rsid w:val="005354D5"/>
    <w:rsid w:val="0053553B"/>
    <w:rsid w:val="00535BB0"/>
    <w:rsid w:val="00535DC4"/>
    <w:rsid w:val="005362CC"/>
    <w:rsid w:val="005363DC"/>
    <w:rsid w:val="005369D1"/>
    <w:rsid w:val="00536CCA"/>
    <w:rsid w:val="00536EAC"/>
    <w:rsid w:val="005372D9"/>
    <w:rsid w:val="0053759E"/>
    <w:rsid w:val="00537BFC"/>
    <w:rsid w:val="005404CD"/>
    <w:rsid w:val="00540A04"/>
    <w:rsid w:val="00540AE7"/>
    <w:rsid w:val="00540CF2"/>
    <w:rsid w:val="005415E6"/>
    <w:rsid w:val="00541BFA"/>
    <w:rsid w:val="005421A1"/>
    <w:rsid w:val="005421EE"/>
    <w:rsid w:val="0054249C"/>
    <w:rsid w:val="0054275B"/>
    <w:rsid w:val="005433FF"/>
    <w:rsid w:val="005435DC"/>
    <w:rsid w:val="0054377B"/>
    <w:rsid w:val="00543D83"/>
    <w:rsid w:val="00543ED7"/>
    <w:rsid w:val="00545898"/>
    <w:rsid w:val="00545AE6"/>
    <w:rsid w:val="00546024"/>
    <w:rsid w:val="005461D3"/>
    <w:rsid w:val="005464ED"/>
    <w:rsid w:val="00546C0C"/>
    <w:rsid w:val="005472B3"/>
    <w:rsid w:val="005473C7"/>
    <w:rsid w:val="005479D2"/>
    <w:rsid w:val="00547CBE"/>
    <w:rsid w:val="00550B41"/>
    <w:rsid w:val="00551447"/>
    <w:rsid w:val="00551B9C"/>
    <w:rsid w:val="00551C24"/>
    <w:rsid w:val="00551D56"/>
    <w:rsid w:val="00552100"/>
    <w:rsid w:val="00552301"/>
    <w:rsid w:val="005529DD"/>
    <w:rsid w:val="0055325D"/>
    <w:rsid w:val="00553330"/>
    <w:rsid w:val="005535A5"/>
    <w:rsid w:val="0055361C"/>
    <w:rsid w:val="00553C7C"/>
    <w:rsid w:val="00555449"/>
    <w:rsid w:val="005556EB"/>
    <w:rsid w:val="00555ACE"/>
    <w:rsid w:val="00555B02"/>
    <w:rsid w:val="00555C58"/>
    <w:rsid w:val="00556015"/>
    <w:rsid w:val="005563E7"/>
    <w:rsid w:val="00556AB1"/>
    <w:rsid w:val="00556DAF"/>
    <w:rsid w:val="00556DFA"/>
    <w:rsid w:val="00557B38"/>
    <w:rsid w:val="00560B81"/>
    <w:rsid w:val="0056195C"/>
    <w:rsid w:val="00561A1D"/>
    <w:rsid w:val="00561EB7"/>
    <w:rsid w:val="005627FA"/>
    <w:rsid w:val="005634DC"/>
    <w:rsid w:val="00563D08"/>
    <w:rsid w:val="00564310"/>
    <w:rsid w:val="00564692"/>
    <w:rsid w:val="005649CC"/>
    <w:rsid w:val="00564BF7"/>
    <w:rsid w:val="00564DFA"/>
    <w:rsid w:val="00565017"/>
    <w:rsid w:val="00566093"/>
    <w:rsid w:val="0056626D"/>
    <w:rsid w:val="00566467"/>
    <w:rsid w:val="00566BE1"/>
    <w:rsid w:val="00566C9D"/>
    <w:rsid w:val="00567614"/>
    <w:rsid w:val="005676A3"/>
    <w:rsid w:val="005702E3"/>
    <w:rsid w:val="005704B5"/>
    <w:rsid w:val="00571318"/>
    <w:rsid w:val="00571A88"/>
    <w:rsid w:val="00571D03"/>
    <w:rsid w:val="00572278"/>
    <w:rsid w:val="005725CE"/>
    <w:rsid w:val="0057289A"/>
    <w:rsid w:val="00572AFE"/>
    <w:rsid w:val="00572FC8"/>
    <w:rsid w:val="005731ED"/>
    <w:rsid w:val="00573525"/>
    <w:rsid w:val="00574518"/>
    <w:rsid w:val="00575769"/>
    <w:rsid w:val="00575A2B"/>
    <w:rsid w:val="005765CF"/>
    <w:rsid w:val="00576997"/>
    <w:rsid w:val="00576BCE"/>
    <w:rsid w:val="00576BFE"/>
    <w:rsid w:val="005771D9"/>
    <w:rsid w:val="0057750E"/>
    <w:rsid w:val="00577649"/>
    <w:rsid w:val="005776F5"/>
    <w:rsid w:val="00577C16"/>
    <w:rsid w:val="005801DC"/>
    <w:rsid w:val="005803B0"/>
    <w:rsid w:val="00580B83"/>
    <w:rsid w:val="00580D72"/>
    <w:rsid w:val="005821E3"/>
    <w:rsid w:val="005823CF"/>
    <w:rsid w:val="0058259C"/>
    <w:rsid w:val="00582C2E"/>
    <w:rsid w:val="00583ABD"/>
    <w:rsid w:val="00583E89"/>
    <w:rsid w:val="00584F9E"/>
    <w:rsid w:val="005854C7"/>
    <w:rsid w:val="0058565F"/>
    <w:rsid w:val="00585943"/>
    <w:rsid w:val="00585C93"/>
    <w:rsid w:val="00586620"/>
    <w:rsid w:val="00586C18"/>
    <w:rsid w:val="00587A1D"/>
    <w:rsid w:val="00587BE4"/>
    <w:rsid w:val="00587E82"/>
    <w:rsid w:val="00590554"/>
    <w:rsid w:val="0059075D"/>
    <w:rsid w:val="0059118A"/>
    <w:rsid w:val="00591417"/>
    <w:rsid w:val="005925DD"/>
    <w:rsid w:val="0059266A"/>
    <w:rsid w:val="005929A3"/>
    <w:rsid w:val="00593985"/>
    <w:rsid w:val="00594098"/>
    <w:rsid w:val="00594AEA"/>
    <w:rsid w:val="00594F84"/>
    <w:rsid w:val="005952A1"/>
    <w:rsid w:val="005957DB"/>
    <w:rsid w:val="00595B08"/>
    <w:rsid w:val="00595B60"/>
    <w:rsid w:val="00596508"/>
    <w:rsid w:val="00597016"/>
    <w:rsid w:val="00597302"/>
    <w:rsid w:val="0059730D"/>
    <w:rsid w:val="005976E2"/>
    <w:rsid w:val="00597899"/>
    <w:rsid w:val="00597CD5"/>
    <w:rsid w:val="00597E94"/>
    <w:rsid w:val="005A1C9A"/>
    <w:rsid w:val="005A25D2"/>
    <w:rsid w:val="005A2B5F"/>
    <w:rsid w:val="005A392A"/>
    <w:rsid w:val="005A3FB8"/>
    <w:rsid w:val="005A43EC"/>
    <w:rsid w:val="005A44CD"/>
    <w:rsid w:val="005A53E0"/>
    <w:rsid w:val="005A56C5"/>
    <w:rsid w:val="005A56E1"/>
    <w:rsid w:val="005A61EA"/>
    <w:rsid w:val="005A6476"/>
    <w:rsid w:val="005A6BE6"/>
    <w:rsid w:val="005A6C43"/>
    <w:rsid w:val="005A7099"/>
    <w:rsid w:val="005A712D"/>
    <w:rsid w:val="005A75C6"/>
    <w:rsid w:val="005A7CD7"/>
    <w:rsid w:val="005A7ECD"/>
    <w:rsid w:val="005B03E1"/>
    <w:rsid w:val="005B0665"/>
    <w:rsid w:val="005B0F3E"/>
    <w:rsid w:val="005B16FB"/>
    <w:rsid w:val="005B205C"/>
    <w:rsid w:val="005B2290"/>
    <w:rsid w:val="005B2302"/>
    <w:rsid w:val="005B2BE5"/>
    <w:rsid w:val="005B3241"/>
    <w:rsid w:val="005B3EB7"/>
    <w:rsid w:val="005B41A9"/>
    <w:rsid w:val="005B47F1"/>
    <w:rsid w:val="005B5A84"/>
    <w:rsid w:val="005B5B7B"/>
    <w:rsid w:val="005B5EA6"/>
    <w:rsid w:val="005B603A"/>
    <w:rsid w:val="005B725F"/>
    <w:rsid w:val="005C03D3"/>
    <w:rsid w:val="005C0A87"/>
    <w:rsid w:val="005C0BDC"/>
    <w:rsid w:val="005C0BFF"/>
    <w:rsid w:val="005C1340"/>
    <w:rsid w:val="005C1526"/>
    <w:rsid w:val="005C192E"/>
    <w:rsid w:val="005C1AD0"/>
    <w:rsid w:val="005C1E36"/>
    <w:rsid w:val="005C258A"/>
    <w:rsid w:val="005C2860"/>
    <w:rsid w:val="005C2B7B"/>
    <w:rsid w:val="005C2C3C"/>
    <w:rsid w:val="005C34DD"/>
    <w:rsid w:val="005C3615"/>
    <w:rsid w:val="005C395C"/>
    <w:rsid w:val="005C4BD2"/>
    <w:rsid w:val="005C4BF4"/>
    <w:rsid w:val="005C4FC6"/>
    <w:rsid w:val="005C4FCD"/>
    <w:rsid w:val="005C5B68"/>
    <w:rsid w:val="005C6497"/>
    <w:rsid w:val="005C6753"/>
    <w:rsid w:val="005C6ADA"/>
    <w:rsid w:val="005C6B8C"/>
    <w:rsid w:val="005C6E3D"/>
    <w:rsid w:val="005C71B1"/>
    <w:rsid w:val="005C769C"/>
    <w:rsid w:val="005C76AA"/>
    <w:rsid w:val="005C7CFD"/>
    <w:rsid w:val="005C7E1B"/>
    <w:rsid w:val="005D0105"/>
    <w:rsid w:val="005D17F1"/>
    <w:rsid w:val="005D2A15"/>
    <w:rsid w:val="005D2DCA"/>
    <w:rsid w:val="005D3051"/>
    <w:rsid w:val="005D3436"/>
    <w:rsid w:val="005D34AC"/>
    <w:rsid w:val="005D3899"/>
    <w:rsid w:val="005D3CA1"/>
    <w:rsid w:val="005D416A"/>
    <w:rsid w:val="005D429B"/>
    <w:rsid w:val="005D42DD"/>
    <w:rsid w:val="005D465A"/>
    <w:rsid w:val="005D4882"/>
    <w:rsid w:val="005D48D9"/>
    <w:rsid w:val="005D4A40"/>
    <w:rsid w:val="005D4A65"/>
    <w:rsid w:val="005D57DE"/>
    <w:rsid w:val="005D5926"/>
    <w:rsid w:val="005D5DE4"/>
    <w:rsid w:val="005D64D5"/>
    <w:rsid w:val="005D74C1"/>
    <w:rsid w:val="005D750C"/>
    <w:rsid w:val="005D7653"/>
    <w:rsid w:val="005E034D"/>
    <w:rsid w:val="005E0BDF"/>
    <w:rsid w:val="005E12E5"/>
    <w:rsid w:val="005E17DA"/>
    <w:rsid w:val="005E226C"/>
    <w:rsid w:val="005E2531"/>
    <w:rsid w:val="005E28E0"/>
    <w:rsid w:val="005E2966"/>
    <w:rsid w:val="005E511C"/>
    <w:rsid w:val="005E56DB"/>
    <w:rsid w:val="005E5F05"/>
    <w:rsid w:val="005E760E"/>
    <w:rsid w:val="005E7B34"/>
    <w:rsid w:val="005F01EE"/>
    <w:rsid w:val="005F0216"/>
    <w:rsid w:val="005F0287"/>
    <w:rsid w:val="005F02B4"/>
    <w:rsid w:val="005F05E8"/>
    <w:rsid w:val="005F102A"/>
    <w:rsid w:val="005F13AA"/>
    <w:rsid w:val="005F2280"/>
    <w:rsid w:val="005F2439"/>
    <w:rsid w:val="005F25A7"/>
    <w:rsid w:val="005F28CF"/>
    <w:rsid w:val="005F2C26"/>
    <w:rsid w:val="005F2E48"/>
    <w:rsid w:val="005F33BC"/>
    <w:rsid w:val="005F3C6C"/>
    <w:rsid w:val="005F3CD6"/>
    <w:rsid w:val="005F3CF8"/>
    <w:rsid w:val="005F3FE7"/>
    <w:rsid w:val="005F4888"/>
    <w:rsid w:val="005F4B50"/>
    <w:rsid w:val="005F533B"/>
    <w:rsid w:val="005F5DEC"/>
    <w:rsid w:val="005F6EDD"/>
    <w:rsid w:val="005F7804"/>
    <w:rsid w:val="005FA93B"/>
    <w:rsid w:val="00600B37"/>
    <w:rsid w:val="00601231"/>
    <w:rsid w:val="00601F9F"/>
    <w:rsid w:val="00602548"/>
    <w:rsid w:val="0060258C"/>
    <w:rsid w:val="0060280C"/>
    <w:rsid w:val="0060314E"/>
    <w:rsid w:val="00603579"/>
    <w:rsid w:val="006035FC"/>
    <w:rsid w:val="00603B0F"/>
    <w:rsid w:val="00603C6F"/>
    <w:rsid w:val="00603FA3"/>
    <w:rsid w:val="0060426B"/>
    <w:rsid w:val="0060490A"/>
    <w:rsid w:val="00604A21"/>
    <w:rsid w:val="00604C80"/>
    <w:rsid w:val="006050D5"/>
    <w:rsid w:val="00605578"/>
    <w:rsid w:val="00605A87"/>
    <w:rsid w:val="00606B94"/>
    <w:rsid w:val="00607C34"/>
    <w:rsid w:val="00607CD9"/>
    <w:rsid w:val="00607FBD"/>
    <w:rsid w:val="006109AC"/>
    <w:rsid w:val="00610B7B"/>
    <w:rsid w:val="00611074"/>
    <w:rsid w:val="00611213"/>
    <w:rsid w:val="006113E4"/>
    <w:rsid w:val="00611A5F"/>
    <w:rsid w:val="00611CDD"/>
    <w:rsid w:val="00611DC9"/>
    <w:rsid w:val="00612D76"/>
    <w:rsid w:val="00614247"/>
    <w:rsid w:val="006147F9"/>
    <w:rsid w:val="0061517D"/>
    <w:rsid w:val="006157D3"/>
    <w:rsid w:val="006158B2"/>
    <w:rsid w:val="00615E29"/>
    <w:rsid w:val="0061661D"/>
    <w:rsid w:val="0061661F"/>
    <w:rsid w:val="00616BA8"/>
    <w:rsid w:val="0061710F"/>
    <w:rsid w:val="00617E7D"/>
    <w:rsid w:val="00620381"/>
    <w:rsid w:val="0062054E"/>
    <w:rsid w:val="00620889"/>
    <w:rsid w:val="00620A6B"/>
    <w:rsid w:val="00620EA5"/>
    <w:rsid w:val="00621049"/>
    <w:rsid w:val="006211E3"/>
    <w:rsid w:val="006216F4"/>
    <w:rsid w:val="00621AD9"/>
    <w:rsid w:val="0062254D"/>
    <w:rsid w:val="00622B72"/>
    <w:rsid w:val="00623124"/>
    <w:rsid w:val="00623437"/>
    <w:rsid w:val="00624041"/>
    <w:rsid w:val="00624B8C"/>
    <w:rsid w:val="00625733"/>
    <w:rsid w:val="006257C8"/>
    <w:rsid w:val="0062595D"/>
    <w:rsid w:val="00625FDB"/>
    <w:rsid w:val="0062644F"/>
    <w:rsid w:val="00626561"/>
    <w:rsid w:val="006272C0"/>
    <w:rsid w:val="0062780E"/>
    <w:rsid w:val="00631019"/>
    <w:rsid w:val="00631458"/>
    <w:rsid w:val="00631AD7"/>
    <w:rsid w:val="00631B0E"/>
    <w:rsid w:val="00631CC7"/>
    <w:rsid w:val="0063293D"/>
    <w:rsid w:val="006330FB"/>
    <w:rsid w:val="006332CD"/>
    <w:rsid w:val="00633960"/>
    <w:rsid w:val="00634246"/>
    <w:rsid w:val="00634500"/>
    <w:rsid w:val="006351B3"/>
    <w:rsid w:val="00635F58"/>
    <w:rsid w:val="00636459"/>
    <w:rsid w:val="00636CD2"/>
    <w:rsid w:val="00636E6C"/>
    <w:rsid w:val="00636F1B"/>
    <w:rsid w:val="00636FFC"/>
    <w:rsid w:val="0063777D"/>
    <w:rsid w:val="00637CFD"/>
    <w:rsid w:val="00641641"/>
    <w:rsid w:val="00642143"/>
    <w:rsid w:val="006421D2"/>
    <w:rsid w:val="00642201"/>
    <w:rsid w:val="006425C0"/>
    <w:rsid w:val="00643757"/>
    <w:rsid w:val="00643D21"/>
    <w:rsid w:val="00643DA6"/>
    <w:rsid w:val="006441C2"/>
    <w:rsid w:val="00644E33"/>
    <w:rsid w:val="006450D8"/>
    <w:rsid w:val="00645DE5"/>
    <w:rsid w:val="00646E46"/>
    <w:rsid w:val="00646F85"/>
    <w:rsid w:val="006475E9"/>
    <w:rsid w:val="00647789"/>
    <w:rsid w:val="006503B5"/>
    <w:rsid w:val="0065092B"/>
    <w:rsid w:val="00650ACE"/>
    <w:rsid w:val="00650D82"/>
    <w:rsid w:val="006510E5"/>
    <w:rsid w:val="006511D5"/>
    <w:rsid w:val="00651569"/>
    <w:rsid w:val="00651F41"/>
    <w:rsid w:val="00652493"/>
    <w:rsid w:val="0065299A"/>
    <w:rsid w:val="00652DBA"/>
    <w:rsid w:val="00652EDA"/>
    <w:rsid w:val="00653C1F"/>
    <w:rsid w:val="006548EC"/>
    <w:rsid w:val="00654D6D"/>
    <w:rsid w:val="00654ED6"/>
    <w:rsid w:val="00655464"/>
    <w:rsid w:val="00655E35"/>
    <w:rsid w:val="006572F1"/>
    <w:rsid w:val="00657613"/>
    <w:rsid w:val="00657BEA"/>
    <w:rsid w:val="00657ECC"/>
    <w:rsid w:val="00657F74"/>
    <w:rsid w:val="0066013B"/>
    <w:rsid w:val="00662882"/>
    <w:rsid w:val="00662A3C"/>
    <w:rsid w:val="00662A54"/>
    <w:rsid w:val="00662F3C"/>
    <w:rsid w:val="006641B0"/>
    <w:rsid w:val="0066510A"/>
    <w:rsid w:val="00666398"/>
    <w:rsid w:val="00666683"/>
    <w:rsid w:val="00666B43"/>
    <w:rsid w:val="00666C82"/>
    <w:rsid w:val="00666EC0"/>
    <w:rsid w:val="00666F72"/>
    <w:rsid w:val="00667812"/>
    <w:rsid w:val="00667C6C"/>
    <w:rsid w:val="00670990"/>
    <w:rsid w:val="006711E8"/>
    <w:rsid w:val="00672254"/>
    <w:rsid w:val="006726D7"/>
    <w:rsid w:val="00673833"/>
    <w:rsid w:val="00673A46"/>
    <w:rsid w:val="006744A9"/>
    <w:rsid w:val="006749F4"/>
    <w:rsid w:val="00674B1D"/>
    <w:rsid w:val="00675685"/>
    <w:rsid w:val="00675D2B"/>
    <w:rsid w:val="00677760"/>
    <w:rsid w:val="0067779D"/>
    <w:rsid w:val="00677996"/>
    <w:rsid w:val="006779A9"/>
    <w:rsid w:val="00677A58"/>
    <w:rsid w:val="00677D94"/>
    <w:rsid w:val="00677FD9"/>
    <w:rsid w:val="00680CEA"/>
    <w:rsid w:val="00680E84"/>
    <w:rsid w:val="00680FB7"/>
    <w:rsid w:val="00681413"/>
    <w:rsid w:val="006814B5"/>
    <w:rsid w:val="0068192E"/>
    <w:rsid w:val="00681BA3"/>
    <w:rsid w:val="00681E34"/>
    <w:rsid w:val="00681F61"/>
    <w:rsid w:val="0068200D"/>
    <w:rsid w:val="006823F4"/>
    <w:rsid w:val="00682687"/>
    <w:rsid w:val="00684B03"/>
    <w:rsid w:val="00685383"/>
    <w:rsid w:val="00685CC8"/>
    <w:rsid w:val="006863B6"/>
    <w:rsid w:val="006866EC"/>
    <w:rsid w:val="00687005"/>
    <w:rsid w:val="006909D5"/>
    <w:rsid w:val="00690D39"/>
    <w:rsid w:val="006910A1"/>
    <w:rsid w:val="00691637"/>
    <w:rsid w:val="006920C9"/>
    <w:rsid w:val="006924C4"/>
    <w:rsid w:val="006934B0"/>
    <w:rsid w:val="006936EB"/>
    <w:rsid w:val="00693AD1"/>
    <w:rsid w:val="00693CED"/>
    <w:rsid w:val="00693D59"/>
    <w:rsid w:val="00694229"/>
    <w:rsid w:val="00694564"/>
    <w:rsid w:val="00694774"/>
    <w:rsid w:val="006950E9"/>
    <w:rsid w:val="00695156"/>
    <w:rsid w:val="00696097"/>
    <w:rsid w:val="00696AD0"/>
    <w:rsid w:val="00696E41"/>
    <w:rsid w:val="00697822"/>
    <w:rsid w:val="00697F2E"/>
    <w:rsid w:val="006A0639"/>
    <w:rsid w:val="006A1712"/>
    <w:rsid w:val="006A2562"/>
    <w:rsid w:val="006A2878"/>
    <w:rsid w:val="006A2D2C"/>
    <w:rsid w:val="006A2D4E"/>
    <w:rsid w:val="006A33D9"/>
    <w:rsid w:val="006A35FB"/>
    <w:rsid w:val="006A3C42"/>
    <w:rsid w:val="006A3C4F"/>
    <w:rsid w:val="006A3E98"/>
    <w:rsid w:val="006A45D5"/>
    <w:rsid w:val="006A4A0C"/>
    <w:rsid w:val="006A5163"/>
    <w:rsid w:val="006A5582"/>
    <w:rsid w:val="006A5D8C"/>
    <w:rsid w:val="006A5E0F"/>
    <w:rsid w:val="006A6013"/>
    <w:rsid w:val="006A6B54"/>
    <w:rsid w:val="006A6FB7"/>
    <w:rsid w:val="006A7867"/>
    <w:rsid w:val="006A7AE0"/>
    <w:rsid w:val="006A7C5F"/>
    <w:rsid w:val="006B0D3A"/>
    <w:rsid w:val="006B15F4"/>
    <w:rsid w:val="006B1855"/>
    <w:rsid w:val="006B1BBE"/>
    <w:rsid w:val="006B22D0"/>
    <w:rsid w:val="006B271D"/>
    <w:rsid w:val="006B3608"/>
    <w:rsid w:val="006B3C3B"/>
    <w:rsid w:val="006B40B8"/>
    <w:rsid w:val="006B444E"/>
    <w:rsid w:val="006B4CC6"/>
    <w:rsid w:val="006B5A87"/>
    <w:rsid w:val="006B613C"/>
    <w:rsid w:val="006B62DE"/>
    <w:rsid w:val="006B66BC"/>
    <w:rsid w:val="006B7890"/>
    <w:rsid w:val="006B7EE8"/>
    <w:rsid w:val="006C008F"/>
    <w:rsid w:val="006C093A"/>
    <w:rsid w:val="006C0B57"/>
    <w:rsid w:val="006C1792"/>
    <w:rsid w:val="006C2B7C"/>
    <w:rsid w:val="006C389A"/>
    <w:rsid w:val="006C3F84"/>
    <w:rsid w:val="006C4098"/>
    <w:rsid w:val="006C4157"/>
    <w:rsid w:val="006C4999"/>
    <w:rsid w:val="006C4BA7"/>
    <w:rsid w:val="006C61DB"/>
    <w:rsid w:val="006C61F4"/>
    <w:rsid w:val="006C729B"/>
    <w:rsid w:val="006C78F0"/>
    <w:rsid w:val="006D0917"/>
    <w:rsid w:val="006D0F9E"/>
    <w:rsid w:val="006D14B6"/>
    <w:rsid w:val="006D25A1"/>
    <w:rsid w:val="006D307A"/>
    <w:rsid w:val="006D3A9C"/>
    <w:rsid w:val="006D4740"/>
    <w:rsid w:val="006D4D97"/>
    <w:rsid w:val="006D5B21"/>
    <w:rsid w:val="006D6F7B"/>
    <w:rsid w:val="006D7AB5"/>
    <w:rsid w:val="006D7BAB"/>
    <w:rsid w:val="006E01E8"/>
    <w:rsid w:val="006E08A1"/>
    <w:rsid w:val="006E0A31"/>
    <w:rsid w:val="006E0D6A"/>
    <w:rsid w:val="006E180E"/>
    <w:rsid w:val="006E18DA"/>
    <w:rsid w:val="006E1F33"/>
    <w:rsid w:val="006E2B25"/>
    <w:rsid w:val="006E2F33"/>
    <w:rsid w:val="006E3316"/>
    <w:rsid w:val="006E33F6"/>
    <w:rsid w:val="006E39B8"/>
    <w:rsid w:val="006E3B5E"/>
    <w:rsid w:val="006E3DCB"/>
    <w:rsid w:val="006E4526"/>
    <w:rsid w:val="006E46B4"/>
    <w:rsid w:val="006E486A"/>
    <w:rsid w:val="006E4DD5"/>
    <w:rsid w:val="006E4EA6"/>
    <w:rsid w:val="006E51C3"/>
    <w:rsid w:val="006E5273"/>
    <w:rsid w:val="006E5952"/>
    <w:rsid w:val="006E5D24"/>
    <w:rsid w:val="006E63DF"/>
    <w:rsid w:val="006E6EBA"/>
    <w:rsid w:val="006E70F1"/>
    <w:rsid w:val="006E7486"/>
    <w:rsid w:val="006E75A1"/>
    <w:rsid w:val="006E76F6"/>
    <w:rsid w:val="006E7854"/>
    <w:rsid w:val="006E7954"/>
    <w:rsid w:val="006F06F5"/>
    <w:rsid w:val="006F0878"/>
    <w:rsid w:val="006F0C42"/>
    <w:rsid w:val="006F1073"/>
    <w:rsid w:val="006F18B2"/>
    <w:rsid w:val="006F1D9B"/>
    <w:rsid w:val="006F31BF"/>
    <w:rsid w:val="006F335A"/>
    <w:rsid w:val="006F356B"/>
    <w:rsid w:val="006F3813"/>
    <w:rsid w:val="006F3A7E"/>
    <w:rsid w:val="006F3A8F"/>
    <w:rsid w:val="006F3AC6"/>
    <w:rsid w:val="006F3DC7"/>
    <w:rsid w:val="006F45FF"/>
    <w:rsid w:val="006F5082"/>
    <w:rsid w:val="006F51D0"/>
    <w:rsid w:val="006F539D"/>
    <w:rsid w:val="006F5473"/>
    <w:rsid w:val="006F63C4"/>
    <w:rsid w:val="006F6718"/>
    <w:rsid w:val="006F68D5"/>
    <w:rsid w:val="006F69AF"/>
    <w:rsid w:val="006F76B5"/>
    <w:rsid w:val="007000E0"/>
    <w:rsid w:val="0070042B"/>
    <w:rsid w:val="007004C5"/>
    <w:rsid w:val="00700D65"/>
    <w:rsid w:val="00700DAF"/>
    <w:rsid w:val="00700DD5"/>
    <w:rsid w:val="00701443"/>
    <w:rsid w:val="0070153B"/>
    <w:rsid w:val="00701B5C"/>
    <w:rsid w:val="00701BDD"/>
    <w:rsid w:val="00702AE5"/>
    <w:rsid w:val="00702DCA"/>
    <w:rsid w:val="007044B3"/>
    <w:rsid w:val="00704882"/>
    <w:rsid w:val="00704DB1"/>
    <w:rsid w:val="00704E0F"/>
    <w:rsid w:val="007050D4"/>
    <w:rsid w:val="00705264"/>
    <w:rsid w:val="007064A1"/>
    <w:rsid w:val="007064CE"/>
    <w:rsid w:val="00706A6C"/>
    <w:rsid w:val="00707CD4"/>
    <w:rsid w:val="00710675"/>
    <w:rsid w:val="007107B5"/>
    <w:rsid w:val="007108A0"/>
    <w:rsid w:val="00711B9F"/>
    <w:rsid w:val="00712A65"/>
    <w:rsid w:val="00712CAE"/>
    <w:rsid w:val="00712E9E"/>
    <w:rsid w:val="00713766"/>
    <w:rsid w:val="00713B2F"/>
    <w:rsid w:val="0071440E"/>
    <w:rsid w:val="00714592"/>
    <w:rsid w:val="00714988"/>
    <w:rsid w:val="007149D4"/>
    <w:rsid w:val="007149DD"/>
    <w:rsid w:val="00714D54"/>
    <w:rsid w:val="00714F33"/>
    <w:rsid w:val="007153F0"/>
    <w:rsid w:val="00715770"/>
    <w:rsid w:val="00715D27"/>
    <w:rsid w:val="00716117"/>
    <w:rsid w:val="00716333"/>
    <w:rsid w:val="00716404"/>
    <w:rsid w:val="00716C15"/>
    <w:rsid w:val="00716D7D"/>
    <w:rsid w:val="007174BC"/>
    <w:rsid w:val="007175D1"/>
    <w:rsid w:val="00717676"/>
    <w:rsid w:val="00717BBA"/>
    <w:rsid w:val="0072058C"/>
    <w:rsid w:val="007221AA"/>
    <w:rsid w:val="007222E5"/>
    <w:rsid w:val="007234C7"/>
    <w:rsid w:val="0072383E"/>
    <w:rsid w:val="00723FFD"/>
    <w:rsid w:val="0072419E"/>
    <w:rsid w:val="00725280"/>
    <w:rsid w:val="00725438"/>
    <w:rsid w:val="00725799"/>
    <w:rsid w:val="007268C9"/>
    <w:rsid w:val="00726BAA"/>
    <w:rsid w:val="00726C59"/>
    <w:rsid w:val="00726CF8"/>
    <w:rsid w:val="0072732C"/>
    <w:rsid w:val="00727BBB"/>
    <w:rsid w:val="00730102"/>
    <w:rsid w:val="00730281"/>
    <w:rsid w:val="0073042E"/>
    <w:rsid w:val="00730BD4"/>
    <w:rsid w:val="00730F23"/>
    <w:rsid w:val="00731276"/>
    <w:rsid w:val="00731716"/>
    <w:rsid w:val="007319BB"/>
    <w:rsid w:val="00731BC0"/>
    <w:rsid w:val="00731CAA"/>
    <w:rsid w:val="00731DC5"/>
    <w:rsid w:val="0073210E"/>
    <w:rsid w:val="0073233C"/>
    <w:rsid w:val="007328AC"/>
    <w:rsid w:val="0073327C"/>
    <w:rsid w:val="00733365"/>
    <w:rsid w:val="00733AB9"/>
    <w:rsid w:val="00733B09"/>
    <w:rsid w:val="00734A52"/>
    <w:rsid w:val="00734C17"/>
    <w:rsid w:val="00734F8D"/>
    <w:rsid w:val="007351E2"/>
    <w:rsid w:val="007353C4"/>
    <w:rsid w:val="00735B9F"/>
    <w:rsid w:val="00735CB9"/>
    <w:rsid w:val="00736257"/>
    <w:rsid w:val="007373AC"/>
    <w:rsid w:val="007376B3"/>
    <w:rsid w:val="007378EC"/>
    <w:rsid w:val="00737CEF"/>
    <w:rsid w:val="00737DE7"/>
    <w:rsid w:val="00742C27"/>
    <w:rsid w:val="00742E3B"/>
    <w:rsid w:val="0074312C"/>
    <w:rsid w:val="007435C9"/>
    <w:rsid w:val="00743E36"/>
    <w:rsid w:val="00743FAB"/>
    <w:rsid w:val="007445A4"/>
    <w:rsid w:val="0074468E"/>
    <w:rsid w:val="00744A0B"/>
    <w:rsid w:val="0074577E"/>
    <w:rsid w:val="00745BC1"/>
    <w:rsid w:val="00745FD7"/>
    <w:rsid w:val="007468D0"/>
    <w:rsid w:val="0074690D"/>
    <w:rsid w:val="00747487"/>
    <w:rsid w:val="00747BE6"/>
    <w:rsid w:val="00750773"/>
    <w:rsid w:val="0075242B"/>
    <w:rsid w:val="00752FF5"/>
    <w:rsid w:val="00753B90"/>
    <w:rsid w:val="007540FD"/>
    <w:rsid w:val="00754AA0"/>
    <w:rsid w:val="00754AB5"/>
    <w:rsid w:val="00755A5D"/>
    <w:rsid w:val="00755BA6"/>
    <w:rsid w:val="0075600A"/>
    <w:rsid w:val="00756276"/>
    <w:rsid w:val="007562A5"/>
    <w:rsid w:val="00756321"/>
    <w:rsid w:val="00756510"/>
    <w:rsid w:val="00757511"/>
    <w:rsid w:val="007601DB"/>
    <w:rsid w:val="00760480"/>
    <w:rsid w:val="0076116B"/>
    <w:rsid w:val="00761F4D"/>
    <w:rsid w:val="0076204A"/>
    <w:rsid w:val="0076217A"/>
    <w:rsid w:val="0076427E"/>
    <w:rsid w:val="00764443"/>
    <w:rsid w:val="00764B2D"/>
    <w:rsid w:val="0076536B"/>
    <w:rsid w:val="00765838"/>
    <w:rsid w:val="007662FD"/>
    <w:rsid w:val="00767FA0"/>
    <w:rsid w:val="00771605"/>
    <w:rsid w:val="00771716"/>
    <w:rsid w:val="00771837"/>
    <w:rsid w:val="00771BF6"/>
    <w:rsid w:val="00771E27"/>
    <w:rsid w:val="0077202E"/>
    <w:rsid w:val="00772199"/>
    <w:rsid w:val="00772DB1"/>
    <w:rsid w:val="0077375F"/>
    <w:rsid w:val="00773D0F"/>
    <w:rsid w:val="00774611"/>
    <w:rsid w:val="007752D1"/>
    <w:rsid w:val="007754B9"/>
    <w:rsid w:val="00775E65"/>
    <w:rsid w:val="0077659A"/>
    <w:rsid w:val="00776822"/>
    <w:rsid w:val="00776957"/>
    <w:rsid w:val="0077696F"/>
    <w:rsid w:val="00776C36"/>
    <w:rsid w:val="0077776C"/>
    <w:rsid w:val="00777773"/>
    <w:rsid w:val="00777E84"/>
    <w:rsid w:val="00777E93"/>
    <w:rsid w:val="0078033C"/>
    <w:rsid w:val="00780758"/>
    <w:rsid w:val="00780921"/>
    <w:rsid w:val="00780E21"/>
    <w:rsid w:val="00781B91"/>
    <w:rsid w:val="00781F6C"/>
    <w:rsid w:val="00782141"/>
    <w:rsid w:val="0078235B"/>
    <w:rsid w:val="00782D2F"/>
    <w:rsid w:val="00782E54"/>
    <w:rsid w:val="00783F65"/>
    <w:rsid w:val="0078487C"/>
    <w:rsid w:val="00784B06"/>
    <w:rsid w:val="00784C5B"/>
    <w:rsid w:val="007856C6"/>
    <w:rsid w:val="00785D82"/>
    <w:rsid w:val="00785EE4"/>
    <w:rsid w:val="007865AD"/>
    <w:rsid w:val="00786EEB"/>
    <w:rsid w:val="0078714F"/>
    <w:rsid w:val="007900A3"/>
    <w:rsid w:val="0079040B"/>
    <w:rsid w:val="0079082E"/>
    <w:rsid w:val="00790986"/>
    <w:rsid w:val="00790B6A"/>
    <w:rsid w:val="00790DC4"/>
    <w:rsid w:val="007917F6"/>
    <w:rsid w:val="00792072"/>
    <w:rsid w:val="007924A1"/>
    <w:rsid w:val="007928B0"/>
    <w:rsid w:val="00793276"/>
    <w:rsid w:val="0079362E"/>
    <w:rsid w:val="00793CAE"/>
    <w:rsid w:val="00793CC3"/>
    <w:rsid w:val="00794012"/>
    <w:rsid w:val="0079444B"/>
    <w:rsid w:val="00794A58"/>
    <w:rsid w:val="00794A96"/>
    <w:rsid w:val="00794B22"/>
    <w:rsid w:val="00795268"/>
    <w:rsid w:val="00795ED9"/>
    <w:rsid w:val="00796308"/>
    <w:rsid w:val="00796A48"/>
    <w:rsid w:val="007978CB"/>
    <w:rsid w:val="007A0195"/>
    <w:rsid w:val="007A045F"/>
    <w:rsid w:val="007A04EA"/>
    <w:rsid w:val="007A052D"/>
    <w:rsid w:val="007A0533"/>
    <w:rsid w:val="007A0A31"/>
    <w:rsid w:val="007A0CC6"/>
    <w:rsid w:val="007A1310"/>
    <w:rsid w:val="007A1597"/>
    <w:rsid w:val="007A1DCF"/>
    <w:rsid w:val="007A1E00"/>
    <w:rsid w:val="007A39F4"/>
    <w:rsid w:val="007A3A05"/>
    <w:rsid w:val="007A3FBF"/>
    <w:rsid w:val="007A4560"/>
    <w:rsid w:val="007A471A"/>
    <w:rsid w:val="007A4975"/>
    <w:rsid w:val="007A4A19"/>
    <w:rsid w:val="007A50B5"/>
    <w:rsid w:val="007A529B"/>
    <w:rsid w:val="007A56E6"/>
    <w:rsid w:val="007A67BA"/>
    <w:rsid w:val="007A7103"/>
    <w:rsid w:val="007A7355"/>
    <w:rsid w:val="007A7AB2"/>
    <w:rsid w:val="007A7BA8"/>
    <w:rsid w:val="007A7CC0"/>
    <w:rsid w:val="007A7E86"/>
    <w:rsid w:val="007B0527"/>
    <w:rsid w:val="007B05A3"/>
    <w:rsid w:val="007B096E"/>
    <w:rsid w:val="007B09C1"/>
    <w:rsid w:val="007B1350"/>
    <w:rsid w:val="007B1C51"/>
    <w:rsid w:val="007B2793"/>
    <w:rsid w:val="007B28FA"/>
    <w:rsid w:val="007B2B96"/>
    <w:rsid w:val="007B301D"/>
    <w:rsid w:val="007B368F"/>
    <w:rsid w:val="007B39A6"/>
    <w:rsid w:val="007B3A3C"/>
    <w:rsid w:val="007B4300"/>
    <w:rsid w:val="007B47B1"/>
    <w:rsid w:val="007B49B9"/>
    <w:rsid w:val="007B6A3C"/>
    <w:rsid w:val="007B6D90"/>
    <w:rsid w:val="007B6F3A"/>
    <w:rsid w:val="007B707B"/>
    <w:rsid w:val="007B775D"/>
    <w:rsid w:val="007C000B"/>
    <w:rsid w:val="007C02EC"/>
    <w:rsid w:val="007C0883"/>
    <w:rsid w:val="007C0EA1"/>
    <w:rsid w:val="007C167E"/>
    <w:rsid w:val="007C2400"/>
    <w:rsid w:val="007C2E9A"/>
    <w:rsid w:val="007C3B60"/>
    <w:rsid w:val="007C3FF7"/>
    <w:rsid w:val="007C4185"/>
    <w:rsid w:val="007C4617"/>
    <w:rsid w:val="007C4DFC"/>
    <w:rsid w:val="007C5D53"/>
    <w:rsid w:val="007C5DC0"/>
    <w:rsid w:val="007C67A2"/>
    <w:rsid w:val="007C7ED6"/>
    <w:rsid w:val="007D0B39"/>
    <w:rsid w:val="007D1526"/>
    <w:rsid w:val="007D1A23"/>
    <w:rsid w:val="007D1B87"/>
    <w:rsid w:val="007D233A"/>
    <w:rsid w:val="007D2D40"/>
    <w:rsid w:val="007D40F9"/>
    <w:rsid w:val="007D461E"/>
    <w:rsid w:val="007D4AD8"/>
    <w:rsid w:val="007D4F2E"/>
    <w:rsid w:val="007D52D7"/>
    <w:rsid w:val="007D64BB"/>
    <w:rsid w:val="007D68A5"/>
    <w:rsid w:val="007D6CB7"/>
    <w:rsid w:val="007D7B27"/>
    <w:rsid w:val="007E17D0"/>
    <w:rsid w:val="007E180E"/>
    <w:rsid w:val="007E229B"/>
    <w:rsid w:val="007E2583"/>
    <w:rsid w:val="007E2EC9"/>
    <w:rsid w:val="007E31E4"/>
    <w:rsid w:val="007E342C"/>
    <w:rsid w:val="007E3885"/>
    <w:rsid w:val="007E3B8D"/>
    <w:rsid w:val="007E3E24"/>
    <w:rsid w:val="007E442B"/>
    <w:rsid w:val="007E449E"/>
    <w:rsid w:val="007E4D1A"/>
    <w:rsid w:val="007E55A7"/>
    <w:rsid w:val="007E5CE8"/>
    <w:rsid w:val="007E6C0E"/>
    <w:rsid w:val="007E6E42"/>
    <w:rsid w:val="007E6FC2"/>
    <w:rsid w:val="007E7799"/>
    <w:rsid w:val="007E796F"/>
    <w:rsid w:val="007F0693"/>
    <w:rsid w:val="007F08C9"/>
    <w:rsid w:val="007F0DF4"/>
    <w:rsid w:val="007F151C"/>
    <w:rsid w:val="007F1C85"/>
    <w:rsid w:val="007F1F6B"/>
    <w:rsid w:val="007F2310"/>
    <w:rsid w:val="007F25B2"/>
    <w:rsid w:val="007F2D40"/>
    <w:rsid w:val="007F39B6"/>
    <w:rsid w:val="007F420B"/>
    <w:rsid w:val="007F43C3"/>
    <w:rsid w:val="007F46C5"/>
    <w:rsid w:val="007F490B"/>
    <w:rsid w:val="007F587B"/>
    <w:rsid w:val="007F69E9"/>
    <w:rsid w:val="007F6B08"/>
    <w:rsid w:val="007F728E"/>
    <w:rsid w:val="007F7E8B"/>
    <w:rsid w:val="0080071C"/>
    <w:rsid w:val="00800D68"/>
    <w:rsid w:val="00800D81"/>
    <w:rsid w:val="008011D1"/>
    <w:rsid w:val="0080221D"/>
    <w:rsid w:val="0080296B"/>
    <w:rsid w:val="00802AA4"/>
    <w:rsid w:val="00802BA5"/>
    <w:rsid w:val="0080377E"/>
    <w:rsid w:val="0080463B"/>
    <w:rsid w:val="008046F9"/>
    <w:rsid w:val="00804E04"/>
    <w:rsid w:val="008058BA"/>
    <w:rsid w:val="00806C39"/>
    <w:rsid w:val="0080786B"/>
    <w:rsid w:val="00811018"/>
    <w:rsid w:val="008117F1"/>
    <w:rsid w:val="00812079"/>
    <w:rsid w:val="00812460"/>
    <w:rsid w:val="00812AFD"/>
    <w:rsid w:val="00814337"/>
    <w:rsid w:val="0081433A"/>
    <w:rsid w:val="008144BC"/>
    <w:rsid w:val="008146CC"/>
    <w:rsid w:val="00814CFB"/>
    <w:rsid w:val="008153C3"/>
    <w:rsid w:val="00815762"/>
    <w:rsid w:val="00815DC2"/>
    <w:rsid w:val="0081712E"/>
    <w:rsid w:val="008172E8"/>
    <w:rsid w:val="0081738A"/>
    <w:rsid w:val="00820DDB"/>
    <w:rsid w:val="008216B3"/>
    <w:rsid w:val="008222A7"/>
    <w:rsid w:val="008222BB"/>
    <w:rsid w:val="0082239F"/>
    <w:rsid w:val="00823E70"/>
    <w:rsid w:val="00823F3D"/>
    <w:rsid w:val="008244F4"/>
    <w:rsid w:val="008247B0"/>
    <w:rsid w:val="0082526A"/>
    <w:rsid w:val="008253DC"/>
    <w:rsid w:val="0082580D"/>
    <w:rsid w:val="00825EA3"/>
    <w:rsid w:val="00825FD5"/>
    <w:rsid w:val="008266D7"/>
    <w:rsid w:val="00826A85"/>
    <w:rsid w:val="00827F84"/>
    <w:rsid w:val="0083024F"/>
    <w:rsid w:val="008305F5"/>
    <w:rsid w:val="00830783"/>
    <w:rsid w:val="00831053"/>
    <w:rsid w:val="008315CD"/>
    <w:rsid w:val="00831DDD"/>
    <w:rsid w:val="00832038"/>
    <w:rsid w:val="00832422"/>
    <w:rsid w:val="00832810"/>
    <w:rsid w:val="00832AF2"/>
    <w:rsid w:val="00832B5B"/>
    <w:rsid w:val="00832B64"/>
    <w:rsid w:val="00832F4B"/>
    <w:rsid w:val="00833008"/>
    <w:rsid w:val="008342FA"/>
    <w:rsid w:val="00834802"/>
    <w:rsid w:val="0083487B"/>
    <w:rsid w:val="00834C79"/>
    <w:rsid w:val="0083542B"/>
    <w:rsid w:val="00837232"/>
    <w:rsid w:val="00837A30"/>
    <w:rsid w:val="00837FAC"/>
    <w:rsid w:val="008402DB"/>
    <w:rsid w:val="008407D7"/>
    <w:rsid w:val="0084100A"/>
    <w:rsid w:val="008416A3"/>
    <w:rsid w:val="008419D7"/>
    <w:rsid w:val="00841C24"/>
    <w:rsid w:val="0084208E"/>
    <w:rsid w:val="00842154"/>
    <w:rsid w:val="00842642"/>
    <w:rsid w:val="00842917"/>
    <w:rsid w:val="00842ADB"/>
    <w:rsid w:val="00843A5B"/>
    <w:rsid w:val="00843B0D"/>
    <w:rsid w:val="0084451C"/>
    <w:rsid w:val="008449A1"/>
    <w:rsid w:val="00844C7E"/>
    <w:rsid w:val="00845225"/>
    <w:rsid w:val="00845326"/>
    <w:rsid w:val="008453E0"/>
    <w:rsid w:val="0084593A"/>
    <w:rsid w:val="00845B1D"/>
    <w:rsid w:val="00845CDE"/>
    <w:rsid w:val="008461F4"/>
    <w:rsid w:val="008465CF"/>
    <w:rsid w:val="00846B51"/>
    <w:rsid w:val="00847007"/>
    <w:rsid w:val="008473D5"/>
    <w:rsid w:val="0084743E"/>
    <w:rsid w:val="00847B0C"/>
    <w:rsid w:val="00847EA3"/>
    <w:rsid w:val="008500EA"/>
    <w:rsid w:val="008506B4"/>
    <w:rsid w:val="00850A36"/>
    <w:rsid w:val="00851513"/>
    <w:rsid w:val="008515DF"/>
    <w:rsid w:val="008516D9"/>
    <w:rsid w:val="00851D34"/>
    <w:rsid w:val="008530DB"/>
    <w:rsid w:val="00853277"/>
    <w:rsid w:val="00853DCC"/>
    <w:rsid w:val="0085424C"/>
    <w:rsid w:val="0085525A"/>
    <w:rsid w:val="008554E8"/>
    <w:rsid w:val="00855940"/>
    <w:rsid w:val="00855E93"/>
    <w:rsid w:val="00856E72"/>
    <w:rsid w:val="0085718E"/>
    <w:rsid w:val="008572B1"/>
    <w:rsid w:val="00857408"/>
    <w:rsid w:val="00857BCB"/>
    <w:rsid w:val="00857F0D"/>
    <w:rsid w:val="00857F3D"/>
    <w:rsid w:val="0086002F"/>
    <w:rsid w:val="00860A29"/>
    <w:rsid w:val="00860D80"/>
    <w:rsid w:val="00861B61"/>
    <w:rsid w:val="00861DDB"/>
    <w:rsid w:val="00861E39"/>
    <w:rsid w:val="0086313B"/>
    <w:rsid w:val="0086314A"/>
    <w:rsid w:val="008631B5"/>
    <w:rsid w:val="008646DB"/>
    <w:rsid w:val="00864B81"/>
    <w:rsid w:val="00865177"/>
    <w:rsid w:val="0086599E"/>
    <w:rsid w:val="00865A9C"/>
    <w:rsid w:val="008669BB"/>
    <w:rsid w:val="008678FD"/>
    <w:rsid w:val="00870499"/>
    <w:rsid w:val="00870D27"/>
    <w:rsid w:val="008723FC"/>
    <w:rsid w:val="00872579"/>
    <w:rsid w:val="00872809"/>
    <w:rsid w:val="00873A73"/>
    <w:rsid w:val="00873DC1"/>
    <w:rsid w:val="00873F4C"/>
    <w:rsid w:val="008742DD"/>
    <w:rsid w:val="00874B2A"/>
    <w:rsid w:val="00875434"/>
    <w:rsid w:val="00875625"/>
    <w:rsid w:val="008758A6"/>
    <w:rsid w:val="008770A6"/>
    <w:rsid w:val="00877210"/>
    <w:rsid w:val="008776D7"/>
    <w:rsid w:val="00877DE5"/>
    <w:rsid w:val="00880460"/>
    <w:rsid w:val="00881EEF"/>
    <w:rsid w:val="00882619"/>
    <w:rsid w:val="0088331C"/>
    <w:rsid w:val="0088344C"/>
    <w:rsid w:val="00883B0A"/>
    <w:rsid w:val="00884B38"/>
    <w:rsid w:val="00885AB3"/>
    <w:rsid w:val="00885F56"/>
    <w:rsid w:val="00885FF3"/>
    <w:rsid w:val="0088626C"/>
    <w:rsid w:val="00886AF2"/>
    <w:rsid w:val="00886F23"/>
    <w:rsid w:val="008870D3"/>
    <w:rsid w:val="0088738C"/>
    <w:rsid w:val="0089067F"/>
    <w:rsid w:val="00890AEC"/>
    <w:rsid w:val="00890EBC"/>
    <w:rsid w:val="0089110D"/>
    <w:rsid w:val="00891168"/>
    <w:rsid w:val="008914F5"/>
    <w:rsid w:val="00891B5B"/>
    <w:rsid w:val="00891DE2"/>
    <w:rsid w:val="00891F1C"/>
    <w:rsid w:val="00892860"/>
    <w:rsid w:val="008929AE"/>
    <w:rsid w:val="00892AE8"/>
    <w:rsid w:val="00892DC9"/>
    <w:rsid w:val="00892FB6"/>
    <w:rsid w:val="008930D8"/>
    <w:rsid w:val="008931D0"/>
    <w:rsid w:val="00893751"/>
    <w:rsid w:val="00893769"/>
    <w:rsid w:val="00893A42"/>
    <w:rsid w:val="00893DDB"/>
    <w:rsid w:val="008941E2"/>
    <w:rsid w:val="00894290"/>
    <w:rsid w:val="00894AFF"/>
    <w:rsid w:val="008953BA"/>
    <w:rsid w:val="00895716"/>
    <w:rsid w:val="00895994"/>
    <w:rsid w:val="00896ED5"/>
    <w:rsid w:val="008972BC"/>
    <w:rsid w:val="00897BC9"/>
    <w:rsid w:val="008A0341"/>
    <w:rsid w:val="008A03F1"/>
    <w:rsid w:val="008A0C64"/>
    <w:rsid w:val="008A0D7D"/>
    <w:rsid w:val="008A0DE9"/>
    <w:rsid w:val="008A1E0C"/>
    <w:rsid w:val="008A25BB"/>
    <w:rsid w:val="008A268B"/>
    <w:rsid w:val="008A2A1C"/>
    <w:rsid w:val="008A2ADA"/>
    <w:rsid w:val="008A447A"/>
    <w:rsid w:val="008A53E1"/>
    <w:rsid w:val="008A5852"/>
    <w:rsid w:val="008A5C32"/>
    <w:rsid w:val="008A669F"/>
    <w:rsid w:val="008A66F6"/>
    <w:rsid w:val="008A6F48"/>
    <w:rsid w:val="008A7CCE"/>
    <w:rsid w:val="008A7FF4"/>
    <w:rsid w:val="008B015B"/>
    <w:rsid w:val="008B0A31"/>
    <w:rsid w:val="008B0FB4"/>
    <w:rsid w:val="008B0FE5"/>
    <w:rsid w:val="008B16E0"/>
    <w:rsid w:val="008B20BC"/>
    <w:rsid w:val="008B3743"/>
    <w:rsid w:val="008B39BD"/>
    <w:rsid w:val="008B3AD4"/>
    <w:rsid w:val="008B3C3C"/>
    <w:rsid w:val="008B3E35"/>
    <w:rsid w:val="008B3F8B"/>
    <w:rsid w:val="008B4ACE"/>
    <w:rsid w:val="008B4B71"/>
    <w:rsid w:val="008B5AD2"/>
    <w:rsid w:val="008B5BC0"/>
    <w:rsid w:val="008B5DA4"/>
    <w:rsid w:val="008B693A"/>
    <w:rsid w:val="008B6D7C"/>
    <w:rsid w:val="008B6EDF"/>
    <w:rsid w:val="008B73E7"/>
    <w:rsid w:val="008C0030"/>
    <w:rsid w:val="008C04C3"/>
    <w:rsid w:val="008C0614"/>
    <w:rsid w:val="008C0815"/>
    <w:rsid w:val="008C1B9D"/>
    <w:rsid w:val="008C2705"/>
    <w:rsid w:val="008C2878"/>
    <w:rsid w:val="008C29FD"/>
    <w:rsid w:val="008C2AB0"/>
    <w:rsid w:val="008C2C21"/>
    <w:rsid w:val="008C2E3D"/>
    <w:rsid w:val="008C2E76"/>
    <w:rsid w:val="008C3F9E"/>
    <w:rsid w:val="008C46BF"/>
    <w:rsid w:val="008C4706"/>
    <w:rsid w:val="008C5242"/>
    <w:rsid w:val="008C533B"/>
    <w:rsid w:val="008C554D"/>
    <w:rsid w:val="008C6178"/>
    <w:rsid w:val="008C7090"/>
    <w:rsid w:val="008C7907"/>
    <w:rsid w:val="008C79A0"/>
    <w:rsid w:val="008D06CF"/>
    <w:rsid w:val="008D0734"/>
    <w:rsid w:val="008D0AD4"/>
    <w:rsid w:val="008D0E2E"/>
    <w:rsid w:val="008D1790"/>
    <w:rsid w:val="008D1CD2"/>
    <w:rsid w:val="008D2459"/>
    <w:rsid w:val="008D2613"/>
    <w:rsid w:val="008D2BAD"/>
    <w:rsid w:val="008D3040"/>
    <w:rsid w:val="008D36EC"/>
    <w:rsid w:val="008D3F50"/>
    <w:rsid w:val="008D4118"/>
    <w:rsid w:val="008D463F"/>
    <w:rsid w:val="008D4657"/>
    <w:rsid w:val="008D5E4F"/>
    <w:rsid w:val="008D7335"/>
    <w:rsid w:val="008D7577"/>
    <w:rsid w:val="008D7D64"/>
    <w:rsid w:val="008D7EA0"/>
    <w:rsid w:val="008E0A22"/>
    <w:rsid w:val="008E0DF8"/>
    <w:rsid w:val="008E1E29"/>
    <w:rsid w:val="008E30EE"/>
    <w:rsid w:val="008E37A9"/>
    <w:rsid w:val="008E3ABC"/>
    <w:rsid w:val="008E5589"/>
    <w:rsid w:val="008E562A"/>
    <w:rsid w:val="008E5BA4"/>
    <w:rsid w:val="008E5C0B"/>
    <w:rsid w:val="008E7434"/>
    <w:rsid w:val="008E76D8"/>
    <w:rsid w:val="008E7C92"/>
    <w:rsid w:val="008F0FB2"/>
    <w:rsid w:val="008F13BA"/>
    <w:rsid w:val="008F1A9C"/>
    <w:rsid w:val="008F234B"/>
    <w:rsid w:val="008F2B97"/>
    <w:rsid w:val="008F35BB"/>
    <w:rsid w:val="008F3623"/>
    <w:rsid w:val="008F3C45"/>
    <w:rsid w:val="008F416D"/>
    <w:rsid w:val="008F4C5C"/>
    <w:rsid w:val="008F54F5"/>
    <w:rsid w:val="008F5767"/>
    <w:rsid w:val="008F5907"/>
    <w:rsid w:val="008F6191"/>
    <w:rsid w:val="008F7288"/>
    <w:rsid w:val="008F764F"/>
    <w:rsid w:val="008F7D9D"/>
    <w:rsid w:val="008F7FE4"/>
    <w:rsid w:val="00900F85"/>
    <w:rsid w:val="00902835"/>
    <w:rsid w:val="009035E9"/>
    <w:rsid w:val="0090360D"/>
    <w:rsid w:val="00903E24"/>
    <w:rsid w:val="00903F71"/>
    <w:rsid w:val="00904723"/>
    <w:rsid w:val="0090497B"/>
    <w:rsid w:val="009055F5"/>
    <w:rsid w:val="00905D19"/>
    <w:rsid w:val="0090629A"/>
    <w:rsid w:val="0090656A"/>
    <w:rsid w:val="00906961"/>
    <w:rsid w:val="00906967"/>
    <w:rsid w:val="009069C5"/>
    <w:rsid w:val="009071E6"/>
    <w:rsid w:val="009078F0"/>
    <w:rsid w:val="009109CE"/>
    <w:rsid w:val="00911FDD"/>
    <w:rsid w:val="00912E08"/>
    <w:rsid w:val="0091321C"/>
    <w:rsid w:val="0091455E"/>
    <w:rsid w:val="00914687"/>
    <w:rsid w:val="00915806"/>
    <w:rsid w:val="0091588C"/>
    <w:rsid w:val="00915FAE"/>
    <w:rsid w:val="00915FF7"/>
    <w:rsid w:val="009161E0"/>
    <w:rsid w:val="00916807"/>
    <w:rsid w:val="009176F9"/>
    <w:rsid w:val="00917934"/>
    <w:rsid w:val="0092013D"/>
    <w:rsid w:val="00920153"/>
    <w:rsid w:val="009201D6"/>
    <w:rsid w:val="00920BD8"/>
    <w:rsid w:val="00920E5F"/>
    <w:rsid w:val="00921F9F"/>
    <w:rsid w:val="009222BC"/>
    <w:rsid w:val="009227B4"/>
    <w:rsid w:val="00922AE6"/>
    <w:rsid w:val="0092333E"/>
    <w:rsid w:val="00923921"/>
    <w:rsid w:val="00924574"/>
    <w:rsid w:val="009247BE"/>
    <w:rsid w:val="00924CCF"/>
    <w:rsid w:val="00924F0F"/>
    <w:rsid w:val="00925711"/>
    <w:rsid w:val="00925CF8"/>
    <w:rsid w:val="009265EA"/>
    <w:rsid w:val="00926C53"/>
    <w:rsid w:val="00926F54"/>
    <w:rsid w:val="009279C8"/>
    <w:rsid w:val="00927A59"/>
    <w:rsid w:val="00930132"/>
    <w:rsid w:val="00930249"/>
    <w:rsid w:val="009304CE"/>
    <w:rsid w:val="00930B14"/>
    <w:rsid w:val="00931429"/>
    <w:rsid w:val="00931D77"/>
    <w:rsid w:val="00931D83"/>
    <w:rsid w:val="00931DB7"/>
    <w:rsid w:val="0093202B"/>
    <w:rsid w:val="0093312F"/>
    <w:rsid w:val="009331FA"/>
    <w:rsid w:val="009336B7"/>
    <w:rsid w:val="00933D42"/>
    <w:rsid w:val="009355F8"/>
    <w:rsid w:val="0093625D"/>
    <w:rsid w:val="00936681"/>
    <w:rsid w:val="00936B79"/>
    <w:rsid w:val="009372E1"/>
    <w:rsid w:val="00940082"/>
    <w:rsid w:val="009400C4"/>
    <w:rsid w:val="00940B08"/>
    <w:rsid w:val="00940DCA"/>
    <w:rsid w:val="00941A5F"/>
    <w:rsid w:val="009426FC"/>
    <w:rsid w:val="00943C01"/>
    <w:rsid w:val="00943F0B"/>
    <w:rsid w:val="00944324"/>
    <w:rsid w:val="00944BA5"/>
    <w:rsid w:val="0094510A"/>
    <w:rsid w:val="00945832"/>
    <w:rsid w:val="00945B07"/>
    <w:rsid w:val="00945E97"/>
    <w:rsid w:val="00946141"/>
    <w:rsid w:val="00946C8E"/>
    <w:rsid w:val="0094747F"/>
    <w:rsid w:val="00947A02"/>
    <w:rsid w:val="00947F9F"/>
    <w:rsid w:val="00950938"/>
    <w:rsid w:val="00950D0E"/>
    <w:rsid w:val="009512D7"/>
    <w:rsid w:val="009513E9"/>
    <w:rsid w:val="00951598"/>
    <w:rsid w:val="009516C7"/>
    <w:rsid w:val="00951A68"/>
    <w:rsid w:val="0095281A"/>
    <w:rsid w:val="009531D0"/>
    <w:rsid w:val="0095472C"/>
    <w:rsid w:val="0095497A"/>
    <w:rsid w:val="00955FFE"/>
    <w:rsid w:val="00956503"/>
    <w:rsid w:val="00956B23"/>
    <w:rsid w:val="00956C30"/>
    <w:rsid w:val="0095725C"/>
    <w:rsid w:val="00957A30"/>
    <w:rsid w:val="00960899"/>
    <w:rsid w:val="00961491"/>
    <w:rsid w:val="00961554"/>
    <w:rsid w:val="00961D8A"/>
    <w:rsid w:val="00962369"/>
    <w:rsid w:val="0096240A"/>
    <w:rsid w:val="00962449"/>
    <w:rsid w:val="009624B2"/>
    <w:rsid w:val="00962BF0"/>
    <w:rsid w:val="0096313D"/>
    <w:rsid w:val="009632B6"/>
    <w:rsid w:val="00963387"/>
    <w:rsid w:val="00963763"/>
    <w:rsid w:val="00963994"/>
    <w:rsid w:val="00963F06"/>
    <w:rsid w:val="00964276"/>
    <w:rsid w:val="009642BA"/>
    <w:rsid w:val="009645B1"/>
    <w:rsid w:val="00964B8C"/>
    <w:rsid w:val="00965386"/>
    <w:rsid w:val="0096571A"/>
    <w:rsid w:val="0096586B"/>
    <w:rsid w:val="00965E40"/>
    <w:rsid w:val="00966057"/>
    <w:rsid w:val="00966570"/>
    <w:rsid w:val="00966782"/>
    <w:rsid w:val="0097033D"/>
    <w:rsid w:val="0097089A"/>
    <w:rsid w:val="00970EA9"/>
    <w:rsid w:val="00971112"/>
    <w:rsid w:val="00971A96"/>
    <w:rsid w:val="00971BDF"/>
    <w:rsid w:val="00971FD9"/>
    <w:rsid w:val="0097280A"/>
    <w:rsid w:val="009735F1"/>
    <w:rsid w:val="009747CF"/>
    <w:rsid w:val="00975163"/>
    <w:rsid w:val="00975592"/>
    <w:rsid w:val="009757B6"/>
    <w:rsid w:val="00977DE4"/>
    <w:rsid w:val="00977F84"/>
    <w:rsid w:val="0098023E"/>
    <w:rsid w:val="00980463"/>
    <w:rsid w:val="0098059A"/>
    <w:rsid w:val="00981315"/>
    <w:rsid w:val="0098139D"/>
    <w:rsid w:val="00981457"/>
    <w:rsid w:val="00981954"/>
    <w:rsid w:val="00981AED"/>
    <w:rsid w:val="00981F62"/>
    <w:rsid w:val="00982707"/>
    <w:rsid w:val="00982D76"/>
    <w:rsid w:val="00982E6F"/>
    <w:rsid w:val="0098376E"/>
    <w:rsid w:val="00984317"/>
    <w:rsid w:val="009844DB"/>
    <w:rsid w:val="0098511A"/>
    <w:rsid w:val="00985173"/>
    <w:rsid w:val="009851C2"/>
    <w:rsid w:val="0098557C"/>
    <w:rsid w:val="00985AEB"/>
    <w:rsid w:val="00985BEE"/>
    <w:rsid w:val="00985E39"/>
    <w:rsid w:val="00986119"/>
    <w:rsid w:val="00986142"/>
    <w:rsid w:val="0098780D"/>
    <w:rsid w:val="009878AD"/>
    <w:rsid w:val="009908B6"/>
    <w:rsid w:val="00990D57"/>
    <w:rsid w:val="00990E9F"/>
    <w:rsid w:val="00991375"/>
    <w:rsid w:val="00991C69"/>
    <w:rsid w:val="00992D53"/>
    <w:rsid w:val="009931DF"/>
    <w:rsid w:val="00993260"/>
    <w:rsid w:val="009937CB"/>
    <w:rsid w:val="0099392F"/>
    <w:rsid w:val="00993A5E"/>
    <w:rsid w:val="00993F78"/>
    <w:rsid w:val="0099429B"/>
    <w:rsid w:val="009946A8"/>
    <w:rsid w:val="00994A7B"/>
    <w:rsid w:val="009951B2"/>
    <w:rsid w:val="00995240"/>
    <w:rsid w:val="009967B2"/>
    <w:rsid w:val="009969B9"/>
    <w:rsid w:val="00997083"/>
    <w:rsid w:val="00997650"/>
    <w:rsid w:val="009A060A"/>
    <w:rsid w:val="009A0CFC"/>
    <w:rsid w:val="009A102B"/>
    <w:rsid w:val="009A24B4"/>
    <w:rsid w:val="009A2647"/>
    <w:rsid w:val="009A3173"/>
    <w:rsid w:val="009A323B"/>
    <w:rsid w:val="009A34DC"/>
    <w:rsid w:val="009A374F"/>
    <w:rsid w:val="009A3CF6"/>
    <w:rsid w:val="009A3D0A"/>
    <w:rsid w:val="009A4587"/>
    <w:rsid w:val="009A4816"/>
    <w:rsid w:val="009A4C2D"/>
    <w:rsid w:val="009A4F80"/>
    <w:rsid w:val="009A569B"/>
    <w:rsid w:val="009A56A4"/>
    <w:rsid w:val="009A5C80"/>
    <w:rsid w:val="009A628E"/>
    <w:rsid w:val="009A62F7"/>
    <w:rsid w:val="009A641F"/>
    <w:rsid w:val="009A6445"/>
    <w:rsid w:val="009A65E9"/>
    <w:rsid w:val="009A6929"/>
    <w:rsid w:val="009A774A"/>
    <w:rsid w:val="009A779F"/>
    <w:rsid w:val="009A7BCD"/>
    <w:rsid w:val="009A7E33"/>
    <w:rsid w:val="009B00FB"/>
    <w:rsid w:val="009B0666"/>
    <w:rsid w:val="009B09DF"/>
    <w:rsid w:val="009B0E8A"/>
    <w:rsid w:val="009B10E9"/>
    <w:rsid w:val="009B1881"/>
    <w:rsid w:val="009B1DD8"/>
    <w:rsid w:val="009B1F3F"/>
    <w:rsid w:val="009B2373"/>
    <w:rsid w:val="009B2C0E"/>
    <w:rsid w:val="009B3598"/>
    <w:rsid w:val="009B39D2"/>
    <w:rsid w:val="009B41D6"/>
    <w:rsid w:val="009B46FF"/>
    <w:rsid w:val="009B4ECB"/>
    <w:rsid w:val="009B5019"/>
    <w:rsid w:val="009B5041"/>
    <w:rsid w:val="009B5301"/>
    <w:rsid w:val="009B55DD"/>
    <w:rsid w:val="009B5916"/>
    <w:rsid w:val="009B5BC8"/>
    <w:rsid w:val="009B67F7"/>
    <w:rsid w:val="009B766D"/>
    <w:rsid w:val="009B773E"/>
    <w:rsid w:val="009B7C26"/>
    <w:rsid w:val="009B7D54"/>
    <w:rsid w:val="009C0C34"/>
    <w:rsid w:val="009C1000"/>
    <w:rsid w:val="009C1265"/>
    <w:rsid w:val="009C1EDA"/>
    <w:rsid w:val="009C22C4"/>
    <w:rsid w:val="009C2A1A"/>
    <w:rsid w:val="009C374F"/>
    <w:rsid w:val="009C377E"/>
    <w:rsid w:val="009C4340"/>
    <w:rsid w:val="009C6079"/>
    <w:rsid w:val="009C63CB"/>
    <w:rsid w:val="009C644F"/>
    <w:rsid w:val="009C65CF"/>
    <w:rsid w:val="009C6E42"/>
    <w:rsid w:val="009C73A2"/>
    <w:rsid w:val="009C77A5"/>
    <w:rsid w:val="009C7DF1"/>
    <w:rsid w:val="009D0272"/>
    <w:rsid w:val="009D0755"/>
    <w:rsid w:val="009D0ADE"/>
    <w:rsid w:val="009D0EAD"/>
    <w:rsid w:val="009D150C"/>
    <w:rsid w:val="009D1C77"/>
    <w:rsid w:val="009D1D1C"/>
    <w:rsid w:val="009D1F3C"/>
    <w:rsid w:val="009D2325"/>
    <w:rsid w:val="009D23AB"/>
    <w:rsid w:val="009D2693"/>
    <w:rsid w:val="009D28C5"/>
    <w:rsid w:val="009D31DC"/>
    <w:rsid w:val="009D3627"/>
    <w:rsid w:val="009D59D9"/>
    <w:rsid w:val="009D5E6B"/>
    <w:rsid w:val="009D6D87"/>
    <w:rsid w:val="009D6F5E"/>
    <w:rsid w:val="009D770E"/>
    <w:rsid w:val="009D7814"/>
    <w:rsid w:val="009D7924"/>
    <w:rsid w:val="009E0902"/>
    <w:rsid w:val="009E1365"/>
    <w:rsid w:val="009E17BE"/>
    <w:rsid w:val="009E199D"/>
    <w:rsid w:val="009E371E"/>
    <w:rsid w:val="009E3861"/>
    <w:rsid w:val="009E39BE"/>
    <w:rsid w:val="009E457C"/>
    <w:rsid w:val="009E4E84"/>
    <w:rsid w:val="009E58D6"/>
    <w:rsid w:val="009E5CF8"/>
    <w:rsid w:val="009E5D86"/>
    <w:rsid w:val="009E6BF1"/>
    <w:rsid w:val="009E75EF"/>
    <w:rsid w:val="009E774E"/>
    <w:rsid w:val="009F00B2"/>
    <w:rsid w:val="009F04AE"/>
    <w:rsid w:val="009F08E3"/>
    <w:rsid w:val="009F0A25"/>
    <w:rsid w:val="009F0B53"/>
    <w:rsid w:val="009F1A68"/>
    <w:rsid w:val="009F1E0C"/>
    <w:rsid w:val="009F2CC8"/>
    <w:rsid w:val="009F2E7D"/>
    <w:rsid w:val="009F3244"/>
    <w:rsid w:val="009F331E"/>
    <w:rsid w:val="009F34F2"/>
    <w:rsid w:val="009F3839"/>
    <w:rsid w:val="009F4219"/>
    <w:rsid w:val="009F443A"/>
    <w:rsid w:val="009F44AB"/>
    <w:rsid w:val="009F4655"/>
    <w:rsid w:val="009F46E4"/>
    <w:rsid w:val="009F4F3A"/>
    <w:rsid w:val="009F5473"/>
    <w:rsid w:val="009F64EB"/>
    <w:rsid w:val="009F67D1"/>
    <w:rsid w:val="009F7534"/>
    <w:rsid w:val="009F75EF"/>
    <w:rsid w:val="00A00CF9"/>
    <w:rsid w:val="00A01097"/>
    <w:rsid w:val="00A014FA"/>
    <w:rsid w:val="00A01F71"/>
    <w:rsid w:val="00A021C4"/>
    <w:rsid w:val="00A027A2"/>
    <w:rsid w:val="00A0288B"/>
    <w:rsid w:val="00A02EA4"/>
    <w:rsid w:val="00A03FC4"/>
    <w:rsid w:val="00A04796"/>
    <w:rsid w:val="00A049E5"/>
    <w:rsid w:val="00A05C62"/>
    <w:rsid w:val="00A06281"/>
    <w:rsid w:val="00A06747"/>
    <w:rsid w:val="00A069D3"/>
    <w:rsid w:val="00A06DAF"/>
    <w:rsid w:val="00A06E7D"/>
    <w:rsid w:val="00A075AB"/>
    <w:rsid w:val="00A10440"/>
    <w:rsid w:val="00A1061E"/>
    <w:rsid w:val="00A11097"/>
    <w:rsid w:val="00A118D5"/>
    <w:rsid w:val="00A127E9"/>
    <w:rsid w:val="00A137CF"/>
    <w:rsid w:val="00A138B7"/>
    <w:rsid w:val="00A13A23"/>
    <w:rsid w:val="00A1401D"/>
    <w:rsid w:val="00A14A09"/>
    <w:rsid w:val="00A14B5F"/>
    <w:rsid w:val="00A153AA"/>
    <w:rsid w:val="00A153E5"/>
    <w:rsid w:val="00A16123"/>
    <w:rsid w:val="00A167FE"/>
    <w:rsid w:val="00A16902"/>
    <w:rsid w:val="00A178F2"/>
    <w:rsid w:val="00A179AA"/>
    <w:rsid w:val="00A17C59"/>
    <w:rsid w:val="00A17CB5"/>
    <w:rsid w:val="00A2011B"/>
    <w:rsid w:val="00A201D2"/>
    <w:rsid w:val="00A20318"/>
    <w:rsid w:val="00A207FC"/>
    <w:rsid w:val="00A20C60"/>
    <w:rsid w:val="00A20CA1"/>
    <w:rsid w:val="00A20CFC"/>
    <w:rsid w:val="00A210E4"/>
    <w:rsid w:val="00A21291"/>
    <w:rsid w:val="00A221DB"/>
    <w:rsid w:val="00A22E9E"/>
    <w:rsid w:val="00A237D6"/>
    <w:rsid w:val="00A23AD4"/>
    <w:rsid w:val="00A247C6"/>
    <w:rsid w:val="00A24B40"/>
    <w:rsid w:val="00A25463"/>
    <w:rsid w:val="00A25A07"/>
    <w:rsid w:val="00A25C0B"/>
    <w:rsid w:val="00A25C3A"/>
    <w:rsid w:val="00A26C93"/>
    <w:rsid w:val="00A26ED7"/>
    <w:rsid w:val="00A27019"/>
    <w:rsid w:val="00A2773D"/>
    <w:rsid w:val="00A27D51"/>
    <w:rsid w:val="00A27EED"/>
    <w:rsid w:val="00A27FDD"/>
    <w:rsid w:val="00A30DC6"/>
    <w:rsid w:val="00A31472"/>
    <w:rsid w:val="00A3151F"/>
    <w:rsid w:val="00A32086"/>
    <w:rsid w:val="00A32B64"/>
    <w:rsid w:val="00A333B9"/>
    <w:rsid w:val="00A3346E"/>
    <w:rsid w:val="00A334C3"/>
    <w:rsid w:val="00A3355F"/>
    <w:rsid w:val="00A339FA"/>
    <w:rsid w:val="00A342A3"/>
    <w:rsid w:val="00A34539"/>
    <w:rsid w:val="00A34739"/>
    <w:rsid w:val="00A34CEB"/>
    <w:rsid w:val="00A3570E"/>
    <w:rsid w:val="00A3630F"/>
    <w:rsid w:val="00A364FB"/>
    <w:rsid w:val="00A368FD"/>
    <w:rsid w:val="00A40987"/>
    <w:rsid w:val="00A409DA"/>
    <w:rsid w:val="00A40A2A"/>
    <w:rsid w:val="00A4168E"/>
    <w:rsid w:val="00A41E60"/>
    <w:rsid w:val="00A42349"/>
    <w:rsid w:val="00A425FF"/>
    <w:rsid w:val="00A42C0A"/>
    <w:rsid w:val="00A43CF6"/>
    <w:rsid w:val="00A45252"/>
    <w:rsid w:val="00A4536C"/>
    <w:rsid w:val="00A45835"/>
    <w:rsid w:val="00A46B11"/>
    <w:rsid w:val="00A5004E"/>
    <w:rsid w:val="00A50BC0"/>
    <w:rsid w:val="00A50DC6"/>
    <w:rsid w:val="00A50DEA"/>
    <w:rsid w:val="00A5108D"/>
    <w:rsid w:val="00A51747"/>
    <w:rsid w:val="00A51959"/>
    <w:rsid w:val="00A52535"/>
    <w:rsid w:val="00A52D2D"/>
    <w:rsid w:val="00A53B75"/>
    <w:rsid w:val="00A53E5D"/>
    <w:rsid w:val="00A5464B"/>
    <w:rsid w:val="00A548C3"/>
    <w:rsid w:val="00A54F2E"/>
    <w:rsid w:val="00A5524D"/>
    <w:rsid w:val="00A55439"/>
    <w:rsid w:val="00A5549B"/>
    <w:rsid w:val="00A556B4"/>
    <w:rsid w:val="00A55ADA"/>
    <w:rsid w:val="00A55CAA"/>
    <w:rsid w:val="00A55F19"/>
    <w:rsid w:val="00A55FAD"/>
    <w:rsid w:val="00A56497"/>
    <w:rsid w:val="00A56858"/>
    <w:rsid w:val="00A56E19"/>
    <w:rsid w:val="00A57009"/>
    <w:rsid w:val="00A57264"/>
    <w:rsid w:val="00A5757F"/>
    <w:rsid w:val="00A6033E"/>
    <w:rsid w:val="00A604CC"/>
    <w:rsid w:val="00A60BC3"/>
    <w:rsid w:val="00A60CE7"/>
    <w:rsid w:val="00A60E2F"/>
    <w:rsid w:val="00A6112F"/>
    <w:rsid w:val="00A6120D"/>
    <w:rsid w:val="00A615A3"/>
    <w:rsid w:val="00A616FD"/>
    <w:rsid w:val="00A630F3"/>
    <w:rsid w:val="00A63C26"/>
    <w:rsid w:val="00A63CA3"/>
    <w:rsid w:val="00A6461D"/>
    <w:rsid w:val="00A6465B"/>
    <w:rsid w:val="00A65816"/>
    <w:rsid w:val="00A65F15"/>
    <w:rsid w:val="00A66EF4"/>
    <w:rsid w:val="00A67CAF"/>
    <w:rsid w:val="00A67FF1"/>
    <w:rsid w:val="00A701EC"/>
    <w:rsid w:val="00A70352"/>
    <w:rsid w:val="00A71049"/>
    <w:rsid w:val="00A713EB"/>
    <w:rsid w:val="00A719A4"/>
    <w:rsid w:val="00A71C74"/>
    <w:rsid w:val="00A723B7"/>
    <w:rsid w:val="00A72AC9"/>
    <w:rsid w:val="00A730C1"/>
    <w:rsid w:val="00A73700"/>
    <w:rsid w:val="00A74048"/>
    <w:rsid w:val="00A741E1"/>
    <w:rsid w:val="00A742D8"/>
    <w:rsid w:val="00A74988"/>
    <w:rsid w:val="00A74DE2"/>
    <w:rsid w:val="00A75663"/>
    <w:rsid w:val="00A75B8A"/>
    <w:rsid w:val="00A75FFE"/>
    <w:rsid w:val="00A769A6"/>
    <w:rsid w:val="00A76D85"/>
    <w:rsid w:val="00A76E01"/>
    <w:rsid w:val="00A774ED"/>
    <w:rsid w:val="00A77F6D"/>
    <w:rsid w:val="00A804F7"/>
    <w:rsid w:val="00A80AD3"/>
    <w:rsid w:val="00A80D8B"/>
    <w:rsid w:val="00A812E9"/>
    <w:rsid w:val="00A820DF"/>
    <w:rsid w:val="00A83695"/>
    <w:rsid w:val="00A844D1"/>
    <w:rsid w:val="00A848FF"/>
    <w:rsid w:val="00A84BFD"/>
    <w:rsid w:val="00A84C25"/>
    <w:rsid w:val="00A85278"/>
    <w:rsid w:val="00A852D0"/>
    <w:rsid w:val="00A867F2"/>
    <w:rsid w:val="00A8743E"/>
    <w:rsid w:val="00A87687"/>
    <w:rsid w:val="00A87D61"/>
    <w:rsid w:val="00A90002"/>
    <w:rsid w:val="00A9035A"/>
    <w:rsid w:val="00A906ED"/>
    <w:rsid w:val="00A907F1"/>
    <w:rsid w:val="00A90F17"/>
    <w:rsid w:val="00A911E1"/>
    <w:rsid w:val="00A913A6"/>
    <w:rsid w:val="00A91960"/>
    <w:rsid w:val="00A91D8C"/>
    <w:rsid w:val="00A929B0"/>
    <w:rsid w:val="00A92F33"/>
    <w:rsid w:val="00A92FF0"/>
    <w:rsid w:val="00A938BD"/>
    <w:rsid w:val="00A940B2"/>
    <w:rsid w:val="00A943FE"/>
    <w:rsid w:val="00A94449"/>
    <w:rsid w:val="00A95A7B"/>
    <w:rsid w:val="00A962B9"/>
    <w:rsid w:val="00A9675A"/>
    <w:rsid w:val="00A96D0E"/>
    <w:rsid w:val="00A96F37"/>
    <w:rsid w:val="00A972B9"/>
    <w:rsid w:val="00A9731A"/>
    <w:rsid w:val="00A97DD0"/>
    <w:rsid w:val="00AA0A0A"/>
    <w:rsid w:val="00AA0A22"/>
    <w:rsid w:val="00AA1055"/>
    <w:rsid w:val="00AA16BE"/>
    <w:rsid w:val="00AA187C"/>
    <w:rsid w:val="00AA1E7B"/>
    <w:rsid w:val="00AA3B69"/>
    <w:rsid w:val="00AA4052"/>
    <w:rsid w:val="00AA416D"/>
    <w:rsid w:val="00AA41C2"/>
    <w:rsid w:val="00AA4C85"/>
    <w:rsid w:val="00AA509C"/>
    <w:rsid w:val="00AA5290"/>
    <w:rsid w:val="00AA5AF6"/>
    <w:rsid w:val="00AA5B13"/>
    <w:rsid w:val="00AA69FD"/>
    <w:rsid w:val="00AA6CB5"/>
    <w:rsid w:val="00AA6DBC"/>
    <w:rsid w:val="00AA7F3A"/>
    <w:rsid w:val="00AB02DE"/>
    <w:rsid w:val="00AB0655"/>
    <w:rsid w:val="00AB1612"/>
    <w:rsid w:val="00AB16DB"/>
    <w:rsid w:val="00AB20C4"/>
    <w:rsid w:val="00AB25E5"/>
    <w:rsid w:val="00AB2FA5"/>
    <w:rsid w:val="00AB33E5"/>
    <w:rsid w:val="00AB39D2"/>
    <w:rsid w:val="00AB3C3D"/>
    <w:rsid w:val="00AB431A"/>
    <w:rsid w:val="00AB43D5"/>
    <w:rsid w:val="00AB46B8"/>
    <w:rsid w:val="00AB48CE"/>
    <w:rsid w:val="00AB4D54"/>
    <w:rsid w:val="00AB4FC9"/>
    <w:rsid w:val="00AB568C"/>
    <w:rsid w:val="00AB5A2A"/>
    <w:rsid w:val="00AB5C09"/>
    <w:rsid w:val="00AB62C6"/>
    <w:rsid w:val="00AB698E"/>
    <w:rsid w:val="00AB6BD6"/>
    <w:rsid w:val="00AB6C3D"/>
    <w:rsid w:val="00AB71E8"/>
    <w:rsid w:val="00AB74ED"/>
    <w:rsid w:val="00AB752C"/>
    <w:rsid w:val="00AB77B2"/>
    <w:rsid w:val="00AB7951"/>
    <w:rsid w:val="00AB7FA7"/>
    <w:rsid w:val="00AC057F"/>
    <w:rsid w:val="00AC062C"/>
    <w:rsid w:val="00AC13C1"/>
    <w:rsid w:val="00AC1CC1"/>
    <w:rsid w:val="00AC2A91"/>
    <w:rsid w:val="00AC2C1D"/>
    <w:rsid w:val="00AC3330"/>
    <w:rsid w:val="00AC3DC2"/>
    <w:rsid w:val="00AC4CEC"/>
    <w:rsid w:val="00AC4D1F"/>
    <w:rsid w:val="00AC554A"/>
    <w:rsid w:val="00AC5962"/>
    <w:rsid w:val="00AC5CEC"/>
    <w:rsid w:val="00AC5E8A"/>
    <w:rsid w:val="00AC7A20"/>
    <w:rsid w:val="00AC7D1A"/>
    <w:rsid w:val="00AC7E17"/>
    <w:rsid w:val="00AD05D7"/>
    <w:rsid w:val="00AD0A59"/>
    <w:rsid w:val="00AD0AE9"/>
    <w:rsid w:val="00AD0E85"/>
    <w:rsid w:val="00AD163E"/>
    <w:rsid w:val="00AD2C7A"/>
    <w:rsid w:val="00AD34B3"/>
    <w:rsid w:val="00AD36F0"/>
    <w:rsid w:val="00AD3E00"/>
    <w:rsid w:val="00AD4497"/>
    <w:rsid w:val="00AD4832"/>
    <w:rsid w:val="00AD48A0"/>
    <w:rsid w:val="00AD4DC3"/>
    <w:rsid w:val="00AD57AB"/>
    <w:rsid w:val="00AD5A2B"/>
    <w:rsid w:val="00AD5E21"/>
    <w:rsid w:val="00AD62B0"/>
    <w:rsid w:val="00AD6A6F"/>
    <w:rsid w:val="00AD78E8"/>
    <w:rsid w:val="00AD7B4E"/>
    <w:rsid w:val="00AD7CAD"/>
    <w:rsid w:val="00AE0488"/>
    <w:rsid w:val="00AE0B8F"/>
    <w:rsid w:val="00AE1066"/>
    <w:rsid w:val="00AE1069"/>
    <w:rsid w:val="00AE1A2A"/>
    <w:rsid w:val="00AE1D00"/>
    <w:rsid w:val="00AE3066"/>
    <w:rsid w:val="00AE3B66"/>
    <w:rsid w:val="00AE3C89"/>
    <w:rsid w:val="00AE42A3"/>
    <w:rsid w:val="00AE4A80"/>
    <w:rsid w:val="00AE5584"/>
    <w:rsid w:val="00AE5746"/>
    <w:rsid w:val="00AE5972"/>
    <w:rsid w:val="00AE61A0"/>
    <w:rsid w:val="00AE6345"/>
    <w:rsid w:val="00AE65C7"/>
    <w:rsid w:val="00AE670A"/>
    <w:rsid w:val="00AE7FC2"/>
    <w:rsid w:val="00AF018E"/>
    <w:rsid w:val="00AF0309"/>
    <w:rsid w:val="00AF0530"/>
    <w:rsid w:val="00AF061F"/>
    <w:rsid w:val="00AF0948"/>
    <w:rsid w:val="00AF0AF0"/>
    <w:rsid w:val="00AF15A7"/>
    <w:rsid w:val="00AF1C47"/>
    <w:rsid w:val="00AF2C58"/>
    <w:rsid w:val="00AF30C5"/>
    <w:rsid w:val="00AF3955"/>
    <w:rsid w:val="00AF3ECE"/>
    <w:rsid w:val="00AF3F2D"/>
    <w:rsid w:val="00AF3F31"/>
    <w:rsid w:val="00AF403F"/>
    <w:rsid w:val="00AF4863"/>
    <w:rsid w:val="00AF4953"/>
    <w:rsid w:val="00AF4CA6"/>
    <w:rsid w:val="00AF552A"/>
    <w:rsid w:val="00AF59F1"/>
    <w:rsid w:val="00AF5E7E"/>
    <w:rsid w:val="00AF63DE"/>
    <w:rsid w:val="00AF6782"/>
    <w:rsid w:val="00AF6CE0"/>
    <w:rsid w:val="00AF6CF7"/>
    <w:rsid w:val="00AF7113"/>
    <w:rsid w:val="00AF712D"/>
    <w:rsid w:val="00AF7233"/>
    <w:rsid w:val="00AF7266"/>
    <w:rsid w:val="00AF7651"/>
    <w:rsid w:val="00AF79BF"/>
    <w:rsid w:val="00AF7C17"/>
    <w:rsid w:val="00B0005C"/>
    <w:rsid w:val="00B000EC"/>
    <w:rsid w:val="00B0056C"/>
    <w:rsid w:val="00B00770"/>
    <w:rsid w:val="00B00840"/>
    <w:rsid w:val="00B0170D"/>
    <w:rsid w:val="00B023EC"/>
    <w:rsid w:val="00B02676"/>
    <w:rsid w:val="00B026F7"/>
    <w:rsid w:val="00B02C31"/>
    <w:rsid w:val="00B0310B"/>
    <w:rsid w:val="00B03296"/>
    <w:rsid w:val="00B04664"/>
    <w:rsid w:val="00B05563"/>
    <w:rsid w:val="00B05C8D"/>
    <w:rsid w:val="00B05D88"/>
    <w:rsid w:val="00B076BB"/>
    <w:rsid w:val="00B07C1A"/>
    <w:rsid w:val="00B07C44"/>
    <w:rsid w:val="00B107C9"/>
    <w:rsid w:val="00B1082F"/>
    <w:rsid w:val="00B11557"/>
    <w:rsid w:val="00B116CF"/>
    <w:rsid w:val="00B125E8"/>
    <w:rsid w:val="00B126AA"/>
    <w:rsid w:val="00B12CEE"/>
    <w:rsid w:val="00B133B4"/>
    <w:rsid w:val="00B1378B"/>
    <w:rsid w:val="00B14163"/>
    <w:rsid w:val="00B1467A"/>
    <w:rsid w:val="00B156FD"/>
    <w:rsid w:val="00B1597E"/>
    <w:rsid w:val="00B162BC"/>
    <w:rsid w:val="00B165A1"/>
    <w:rsid w:val="00B173E4"/>
    <w:rsid w:val="00B207E8"/>
    <w:rsid w:val="00B20E56"/>
    <w:rsid w:val="00B20F14"/>
    <w:rsid w:val="00B21682"/>
    <w:rsid w:val="00B2226E"/>
    <w:rsid w:val="00B2253C"/>
    <w:rsid w:val="00B228C5"/>
    <w:rsid w:val="00B22DB3"/>
    <w:rsid w:val="00B23D6C"/>
    <w:rsid w:val="00B2476F"/>
    <w:rsid w:val="00B24C5E"/>
    <w:rsid w:val="00B251C2"/>
    <w:rsid w:val="00B259E1"/>
    <w:rsid w:val="00B301E8"/>
    <w:rsid w:val="00B30531"/>
    <w:rsid w:val="00B313C2"/>
    <w:rsid w:val="00B314AD"/>
    <w:rsid w:val="00B318BA"/>
    <w:rsid w:val="00B31B04"/>
    <w:rsid w:val="00B31B8E"/>
    <w:rsid w:val="00B333A2"/>
    <w:rsid w:val="00B33B1C"/>
    <w:rsid w:val="00B3405E"/>
    <w:rsid w:val="00B3479D"/>
    <w:rsid w:val="00B34A4D"/>
    <w:rsid w:val="00B34D4C"/>
    <w:rsid w:val="00B34FA4"/>
    <w:rsid w:val="00B3545F"/>
    <w:rsid w:val="00B35EB7"/>
    <w:rsid w:val="00B360D5"/>
    <w:rsid w:val="00B363B2"/>
    <w:rsid w:val="00B363BA"/>
    <w:rsid w:val="00B363CF"/>
    <w:rsid w:val="00B373E1"/>
    <w:rsid w:val="00B376CD"/>
    <w:rsid w:val="00B378E5"/>
    <w:rsid w:val="00B37ED2"/>
    <w:rsid w:val="00B40189"/>
    <w:rsid w:val="00B40E1C"/>
    <w:rsid w:val="00B429FF"/>
    <w:rsid w:val="00B42CF7"/>
    <w:rsid w:val="00B4345C"/>
    <w:rsid w:val="00B4353C"/>
    <w:rsid w:val="00B43814"/>
    <w:rsid w:val="00B43CF0"/>
    <w:rsid w:val="00B44087"/>
    <w:rsid w:val="00B4429A"/>
    <w:rsid w:val="00B44504"/>
    <w:rsid w:val="00B44B11"/>
    <w:rsid w:val="00B44F0B"/>
    <w:rsid w:val="00B454AF"/>
    <w:rsid w:val="00B45A0D"/>
    <w:rsid w:val="00B45B78"/>
    <w:rsid w:val="00B45E04"/>
    <w:rsid w:val="00B46DB4"/>
    <w:rsid w:val="00B47E42"/>
    <w:rsid w:val="00B50129"/>
    <w:rsid w:val="00B5019C"/>
    <w:rsid w:val="00B51602"/>
    <w:rsid w:val="00B5223A"/>
    <w:rsid w:val="00B52A36"/>
    <w:rsid w:val="00B52B0D"/>
    <w:rsid w:val="00B52B33"/>
    <w:rsid w:val="00B534B6"/>
    <w:rsid w:val="00B53B43"/>
    <w:rsid w:val="00B545C9"/>
    <w:rsid w:val="00B54E63"/>
    <w:rsid w:val="00B55625"/>
    <w:rsid w:val="00B55C1E"/>
    <w:rsid w:val="00B5610D"/>
    <w:rsid w:val="00B56A06"/>
    <w:rsid w:val="00B56BC0"/>
    <w:rsid w:val="00B572C6"/>
    <w:rsid w:val="00B57742"/>
    <w:rsid w:val="00B57823"/>
    <w:rsid w:val="00B57C8B"/>
    <w:rsid w:val="00B6001B"/>
    <w:rsid w:val="00B60098"/>
    <w:rsid w:val="00B601E4"/>
    <w:rsid w:val="00B603C1"/>
    <w:rsid w:val="00B606AD"/>
    <w:rsid w:val="00B609BC"/>
    <w:rsid w:val="00B60DCE"/>
    <w:rsid w:val="00B60EF3"/>
    <w:rsid w:val="00B61062"/>
    <w:rsid w:val="00B61444"/>
    <w:rsid w:val="00B61C6E"/>
    <w:rsid w:val="00B61FFB"/>
    <w:rsid w:val="00B63872"/>
    <w:rsid w:val="00B63CA6"/>
    <w:rsid w:val="00B6430E"/>
    <w:rsid w:val="00B6434A"/>
    <w:rsid w:val="00B6453F"/>
    <w:rsid w:val="00B64569"/>
    <w:rsid w:val="00B64780"/>
    <w:rsid w:val="00B64FAD"/>
    <w:rsid w:val="00B658D2"/>
    <w:rsid w:val="00B6598E"/>
    <w:rsid w:val="00B65A1E"/>
    <w:rsid w:val="00B66331"/>
    <w:rsid w:val="00B66A0A"/>
    <w:rsid w:val="00B6758A"/>
    <w:rsid w:val="00B679AB"/>
    <w:rsid w:val="00B704A7"/>
    <w:rsid w:val="00B7082B"/>
    <w:rsid w:val="00B70976"/>
    <w:rsid w:val="00B710E3"/>
    <w:rsid w:val="00B7127B"/>
    <w:rsid w:val="00B72085"/>
    <w:rsid w:val="00B72CA0"/>
    <w:rsid w:val="00B72F7E"/>
    <w:rsid w:val="00B733B9"/>
    <w:rsid w:val="00B73941"/>
    <w:rsid w:val="00B73D9C"/>
    <w:rsid w:val="00B73F80"/>
    <w:rsid w:val="00B743D2"/>
    <w:rsid w:val="00B7469B"/>
    <w:rsid w:val="00B7469E"/>
    <w:rsid w:val="00B74D42"/>
    <w:rsid w:val="00B74EB3"/>
    <w:rsid w:val="00B75A24"/>
    <w:rsid w:val="00B75D82"/>
    <w:rsid w:val="00B767B8"/>
    <w:rsid w:val="00B76B34"/>
    <w:rsid w:val="00B77082"/>
    <w:rsid w:val="00B77A54"/>
    <w:rsid w:val="00B77FF3"/>
    <w:rsid w:val="00B803F9"/>
    <w:rsid w:val="00B807B5"/>
    <w:rsid w:val="00B80EAF"/>
    <w:rsid w:val="00B817CA"/>
    <w:rsid w:val="00B81ADD"/>
    <w:rsid w:val="00B81BBE"/>
    <w:rsid w:val="00B81D68"/>
    <w:rsid w:val="00B82160"/>
    <w:rsid w:val="00B8279A"/>
    <w:rsid w:val="00B82A5F"/>
    <w:rsid w:val="00B82BE4"/>
    <w:rsid w:val="00B835D7"/>
    <w:rsid w:val="00B844AF"/>
    <w:rsid w:val="00B844E4"/>
    <w:rsid w:val="00B84777"/>
    <w:rsid w:val="00B84908"/>
    <w:rsid w:val="00B8539F"/>
    <w:rsid w:val="00B85BF8"/>
    <w:rsid w:val="00B85D25"/>
    <w:rsid w:val="00B85FE3"/>
    <w:rsid w:val="00B86294"/>
    <w:rsid w:val="00B86559"/>
    <w:rsid w:val="00B866DE"/>
    <w:rsid w:val="00B86814"/>
    <w:rsid w:val="00B86B0B"/>
    <w:rsid w:val="00B87677"/>
    <w:rsid w:val="00B90834"/>
    <w:rsid w:val="00B91854"/>
    <w:rsid w:val="00B9185C"/>
    <w:rsid w:val="00B91A0B"/>
    <w:rsid w:val="00B91A2F"/>
    <w:rsid w:val="00B924CF"/>
    <w:rsid w:val="00B93EF9"/>
    <w:rsid w:val="00B941E2"/>
    <w:rsid w:val="00B942DD"/>
    <w:rsid w:val="00B94395"/>
    <w:rsid w:val="00B95599"/>
    <w:rsid w:val="00B956CA"/>
    <w:rsid w:val="00B95F3D"/>
    <w:rsid w:val="00B96FD9"/>
    <w:rsid w:val="00B97447"/>
    <w:rsid w:val="00B97939"/>
    <w:rsid w:val="00B97F37"/>
    <w:rsid w:val="00BA0441"/>
    <w:rsid w:val="00BA04BF"/>
    <w:rsid w:val="00BA0F34"/>
    <w:rsid w:val="00BA190E"/>
    <w:rsid w:val="00BA33A6"/>
    <w:rsid w:val="00BA3EA8"/>
    <w:rsid w:val="00BA4142"/>
    <w:rsid w:val="00BA431B"/>
    <w:rsid w:val="00BA4514"/>
    <w:rsid w:val="00BA4583"/>
    <w:rsid w:val="00BA4774"/>
    <w:rsid w:val="00BA4C76"/>
    <w:rsid w:val="00BA4D70"/>
    <w:rsid w:val="00BA4DB7"/>
    <w:rsid w:val="00BA5E2A"/>
    <w:rsid w:val="00BA640A"/>
    <w:rsid w:val="00BA64A3"/>
    <w:rsid w:val="00BA75DF"/>
    <w:rsid w:val="00BA7E7E"/>
    <w:rsid w:val="00BB0010"/>
    <w:rsid w:val="00BB0965"/>
    <w:rsid w:val="00BB0F53"/>
    <w:rsid w:val="00BB0F85"/>
    <w:rsid w:val="00BB153F"/>
    <w:rsid w:val="00BB206D"/>
    <w:rsid w:val="00BB30B6"/>
    <w:rsid w:val="00BB3135"/>
    <w:rsid w:val="00BB35BB"/>
    <w:rsid w:val="00BB3C7F"/>
    <w:rsid w:val="00BB48F8"/>
    <w:rsid w:val="00BB49B0"/>
    <w:rsid w:val="00BB4AF5"/>
    <w:rsid w:val="00BB4DC0"/>
    <w:rsid w:val="00BB50B5"/>
    <w:rsid w:val="00BB512A"/>
    <w:rsid w:val="00BB5314"/>
    <w:rsid w:val="00BB569C"/>
    <w:rsid w:val="00BB58AB"/>
    <w:rsid w:val="00BB64A9"/>
    <w:rsid w:val="00BB69F2"/>
    <w:rsid w:val="00BB6EBD"/>
    <w:rsid w:val="00BB734F"/>
    <w:rsid w:val="00BB77D1"/>
    <w:rsid w:val="00BC01C0"/>
    <w:rsid w:val="00BC02BE"/>
    <w:rsid w:val="00BC0882"/>
    <w:rsid w:val="00BC0E85"/>
    <w:rsid w:val="00BC0EA0"/>
    <w:rsid w:val="00BC0FE0"/>
    <w:rsid w:val="00BC1686"/>
    <w:rsid w:val="00BC28F6"/>
    <w:rsid w:val="00BC3C40"/>
    <w:rsid w:val="00BC3E22"/>
    <w:rsid w:val="00BC40D1"/>
    <w:rsid w:val="00BC4311"/>
    <w:rsid w:val="00BC447A"/>
    <w:rsid w:val="00BC4548"/>
    <w:rsid w:val="00BC4565"/>
    <w:rsid w:val="00BC4EF7"/>
    <w:rsid w:val="00BC5D43"/>
    <w:rsid w:val="00BC694D"/>
    <w:rsid w:val="00BC75CB"/>
    <w:rsid w:val="00BC7678"/>
    <w:rsid w:val="00BD034B"/>
    <w:rsid w:val="00BD06D1"/>
    <w:rsid w:val="00BD0BB0"/>
    <w:rsid w:val="00BD0D3D"/>
    <w:rsid w:val="00BD0F47"/>
    <w:rsid w:val="00BD1246"/>
    <w:rsid w:val="00BD1A2B"/>
    <w:rsid w:val="00BD1BBD"/>
    <w:rsid w:val="00BD1F0E"/>
    <w:rsid w:val="00BD212A"/>
    <w:rsid w:val="00BD26C8"/>
    <w:rsid w:val="00BD26CF"/>
    <w:rsid w:val="00BD312B"/>
    <w:rsid w:val="00BD31B5"/>
    <w:rsid w:val="00BD34BD"/>
    <w:rsid w:val="00BD4302"/>
    <w:rsid w:val="00BD4FD4"/>
    <w:rsid w:val="00BD5739"/>
    <w:rsid w:val="00BD5E76"/>
    <w:rsid w:val="00BD604D"/>
    <w:rsid w:val="00BD6799"/>
    <w:rsid w:val="00BD68C2"/>
    <w:rsid w:val="00BD72E0"/>
    <w:rsid w:val="00BD74AE"/>
    <w:rsid w:val="00BD7831"/>
    <w:rsid w:val="00BD7A34"/>
    <w:rsid w:val="00BD7A5E"/>
    <w:rsid w:val="00BD7AE8"/>
    <w:rsid w:val="00BE03E0"/>
    <w:rsid w:val="00BE0429"/>
    <w:rsid w:val="00BE0527"/>
    <w:rsid w:val="00BE145E"/>
    <w:rsid w:val="00BE1520"/>
    <w:rsid w:val="00BE257B"/>
    <w:rsid w:val="00BE2DEF"/>
    <w:rsid w:val="00BE3001"/>
    <w:rsid w:val="00BE3166"/>
    <w:rsid w:val="00BE324F"/>
    <w:rsid w:val="00BE3C6A"/>
    <w:rsid w:val="00BE4241"/>
    <w:rsid w:val="00BE4B82"/>
    <w:rsid w:val="00BE53B3"/>
    <w:rsid w:val="00BE5B0F"/>
    <w:rsid w:val="00BE5DEB"/>
    <w:rsid w:val="00BE5E5B"/>
    <w:rsid w:val="00BE5EB7"/>
    <w:rsid w:val="00BE62C3"/>
    <w:rsid w:val="00BE69C6"/>
    <w:rsid w:val="00BE69D8"/>
    <w:rsid w:val="00BE708F"/>
    <w:rsid w:val="00BE78D6"/>
    <w:rsid w:val="00BE790B"/>
    <w:rsid w:val="00BF0198"/>
    <w:rsid w:val="00BF04FE"/>
    <w:rsid w:val="00BF0AB0"/>
    <w:rsid w:val="00BF0F17"/>
    <w:rsid w:val="00BF0FCE"/>
    <w:rsid w:val="00BF13DB"/>
    <w:rsid w:val="00BF1A5F"/>
    <w:rsid w:val="00BF2169"/>
    <w:rsid w:val="00BF2428"/>
    <w:rsid w:val="00BF2520"/>
    <w:rsid w:val="00BF3672"/>
    <w:rsid w:val="00BF4E10"/>
    <w:rsid w:val="00BF5DDA"/>
    <w:rsid w:val="00BF6308"/>
    <w:rsid w:val="00BF6799"/>
    <w:rsid w:val="00BF6C96"/>
    <w:rsid w:val="00BF7884"/>
    <w:rsid w:val="00C00A67"/>
    <w:rsid w:val="00C01BCB"/>
    <w:rsid w:val="00C01FD4"/>
    <w:rsid w:val="00C021F2"/>
    <w:rsid w:val="00C024F1"/>
    <w:rsid w:val="00C02586"/>
    <w:rsid w:val="00C0356B"/>
    <w:rsid w:val="00C038F2"/>
    <w:rsid w:val="00C03A6B"/>
    <w:rsid w:val="00C04349"/>
    <w:rsid w:val="00C04A71"/>
    <w:rsid w:val="00C04A86"/>
    <w:rsid w:val="00C04AD5"/>
    <w:rsid w:val="00C04F7B"/>
    <w:rsid w:val="00C053B7"/>
    <w:rsid w:val="00C056D3"/>
    <w:rsid w:val="00C05C20"/>
    <w:rsid w:val="00C06468"/>
    <w:rsid w:val="00C067E6"/>
    <w:rsid w:val="00C070C0"/>
    <w:rsid w:val="00C07C26"/>
    <w:rsid w:val="00C103D2"/>
    <w:rsid w:val="00C1056A"/>
    <w:rsid w:val="00C10950"/>
    <w:rsid w:val="00C10DAB"/>
    <w:rsid w:val="00C11683"/>
    <w:rsid w:val="00C116DE"/>
    <w:rsid w:val="00C11C23"/>
    <w:rsid w:val="00C11F9B"/>
    <w:rsid w:val="00C1220A"/>
    <w:rsid w:val="00C122A7"/>
    <w:rsid w:val="00C126A4"/>
    <w:rsid w:val="00C133A1"/>
    <w:rsid w:val="00C137E9"/>
    <w:rsid w:val="00C13900"/>
    <w:rsid w:val="00C141C4"/>
    <w:rsid w:val="00C14F6A"/>
    <w:rsid w:val="00C15F12"/>
    <w:rsid w:val="00C16263"/>
    <w:rsid w:val="00C16D3F"/>
    <w:rsid w:val="00C17082"/>
    <w:rsid w:val="00C17690"/>
    <w:rsid w:val="00C1785B"/>
    <w:rsid w:val="00C20540"/>
    <w:rsid w:val="00C20850"/>
    <w:rsid w:val="00C20A24"/>
    <w:rsid w:val="00C20AD7"/>
    <w:rsid w:val="00C20C5B"/>
    <w:rsid w:val="00C21065"/>
    <w:rsid w:val="00C21865"/>
    <w:rsid w:val="00C223F2"/>
    <w:rsid w:val="00C2343A"/>
    <w:rsid w:val="00C23C2F"/>
    <w:rsid w:val="00C248C0"/>
    <w:rsid w:val="00C2567C"/>
    <w:rsid w:val="00C25682"/>
    <w:rsid w:val="00C259C0"/>
    <w:rsid w:val="00C2635A"/>
    <w:rsid w:val="00C2636A"/>
    <w:rsid w:val="00C2703A"/>
    <w:rsid w:val="00C27364"/>
    <w:rsid w:val="00C27542"/>
    <w:rsid w:val="00C277BC"/>
    <w:rsid w:val="00C27F37"/>
    <w:rsid w:val="00C30C6A"/>
    <w:rsid w:val="00C31126"/>
    <w:rsid w:val="00C315B6"/>
    <w:rsid w:val="00C319A5"/>
    <w:rsid w:val="00C31B39"/>
    <w:rsid w:val="00C320FF"/>
    <w:rsid w:val="00C328C4"/>
    <w:rsid w:val="00C32D3E"/>
    <w:rsid w:val="00C32D68"/>
    <w:rsid w:val="00C32F12"/>
    <w:rsid w:val="00C33489"/>
    <w:rsid w:val="00C337FE"/>
    <w:rsid w:val="00C342FF"/>
    <w:rsid w:val="00C347B0"/>
    <w:rsid w:val="00C34918"/>
    <w:rsid w:val="00C34C47"/>
    <w:rsid w:val="00C34DC4"/>
    <w:rsid w:val="00C35052"/>
    <w:rsid w:val="00C356D7"/>
    <w:rsid w:val="00C35ED5"/>
    <w:rsid w:val="00C35FE8"/>
    <w:rsid w:val="00C365FB"/>
    <w:rsid w:val="00C366C7"/>
    <w:rsid w:val="00C37351"/>
    <w:rsid w:val="00C37A3E"/>
    <w:rsid w:val="00C40278"/>
    <w:rsid w:val="00C409C5"/>
    <w:rsid w:val="00C40CA2"/>
    <w:rsid w:val="00C41213"/>
    <w:rsid w:val="00C41CC2"/>
    <w:rsid w:val="00C421C9"/>
    <w:rsid w:val="00C42E6C"/>
    <w:rsid w:val="00C43279"/>
    <w:rsid w:val="00C4381B"/>
    <w:rsid w:val="00C43B55"/>
    <w:rsid w:val="00C4402B"/>
    <w:rsid w:val="00C44A9E"/>
    <w:rsid w:val="00C44BC7"/>
    <w:rsid w:val="00C45258"/>
    <w:rsid w:val="00C452E1"/>
    <w:rsid w:val="00C467C3"/>
    <w:rsid w:val="00C46AB2"/>
    <w:rsid w:val="00C46BA2"/>
    <w:rsid w:val="00C473B2"/>
    <w:rsid w:val="00C4743D"/>
    <w:rsid w:val="00C47652"/>
    <w:rsid w:val="00C50027"/>
    <w:rsid w:val="00C505F5"/>
    <w:rsid w:val="00C507E2"/>
    <w:rsid w:val="00C5088D"/>
    <w:rsid w:val="00C5097D"/>
    <w:rsid w:val="00C51200"/>
    <w:rsid w:val="00C5143F"/>
    <w:rsid w:val="00C514CB"/>
    <w:rsid w:val="00C516C3"/>
    <w:rsid w:val="00C52078"/>
    <w:rsid w:val="00C52159"/>
    <w:rsid w:val="00C526E4"/>
    <w:rsid w:val="00C52C86"/>
    <w:rsid w:val="00C52D37"/>
    <w:rsid w:val="00C52DAB"/>
    <w:rsid w:val="00C5303E"/>
    <w:rsid w:val="00C54337"/>
    <w:rsid w:val="00C54588"/>
    <w:rsid w:val="00C56FE8"/>
    <w:rsid w:val="00C57751"/>
    <w:rsid w:val="00C57B17"/>
    <w:rsid w:val="00C60B11"/>
    <w:rsid w:val="00C6168B"/>
    <w:rsid w:val="00C62AF0"/>
    <w:rsid w:val="00C62D0C"/>
    <w:rsid w:val="00C63176"/>
    <w:rsid w:val="00C631EB"/>
    <w:rsid w:val="00C63262"/>
    <w:rsid w:val="00C63517"/>
    <w:rsid w:val="00C63B6E"/>
    <w:rsid w:val="00C63FBF"/>
    <w:rsid w:val="00C64895"/>
    <w:rsid w:val="00C64FFE"/>
    <w:rsid w:val="00C6668E"/>
    <w:rsid w:val="00C66C0F"/>
    <w:rsid w:val="00C67654"/>
    <w:rsid w:val="00C67C69"/>
    <w:rsid w:val="00C67D4E"/>
    <w:rsid w:val="00C67FFA"/>
    <w:rsid w:val="00C7051F"/>
    <w:rsid w:val="00C70A8C"/>
    <w:rsid w:val="00C70CB5"/>
    <w:rsid w:val="00C71A0C"/>
    <w:rsid w:val="00C71BA0"/>
    <w:rsid w:val="00C71BFA"/>
    <w:rsid w:val="00C71D4F"/>
    <w:rsid w:val="00C722F6"/>
    <w:rsid w:val="00C72853"/>
    <w:rsid w:val="00C72A62"/>
    <w:rsid w:val="00C74887"/>
    <w:rsid w:val="00C75222"/>
    <w:rsid w:val="00C753A0"/>
    <w:rsid w:val="00C75C7B"/>
    <w:rsid w:val="00C7625E"/>
    <w:rsid w:val="00C7650F"/>
    <w:rsid w:val="00C766E5"/>
    <w:rsid w:val="00C77698"/>
    <w:rsid w:val="00C77970"/>
    <w:rsid w:val="00C77F4A"/>
    <w:rsid w:val="00C80096"/>
    <w:rsid w:val="00C80199"/>
    <w:rsid w:val="00C81430"/>
    <w:rsid w:val="00C81DB8"/>
    <w:rsid w:val="00C827F4"/>
    <w:rsid w:val="00C82D51"/>
    <w:rsid w:val="00C8314D"/>
    <w:rsid w:val="00C83D55"/>
    <w:rsid w:val="00C843C8"/>
    <w:rsid w:val="00C849F5"/>
    <w:rsid w:val="00C85293"/>
    <w:rsid w:val="00C858CC"/>
    <w:rsid w:val="00C85A56"/>
    <w:rsid w:val="00C85E36"/>
    <w:rsid w:val="00C86667"/>
    <w:rsid w:val="00C86CDC"/>
    <w:rsid w:val="00C86FCB"/>
    <w:rsid w:val="00C87093"/>
    <w:rsid w:val="00C8733F"/>
    <w:rsid w:val="00C879A8"/>
    <w:rsid w:val="00C87A96"/>
    <w:rsid w:val="00C90142"/>
    <w:rsid w:val="00C90641"/>
    <w:rsid w:val="00C91A67"/>
    <w:rsid w:val="00C91CCD"/>
    <w:rsid w:val="00C91D90"/>
    <w:rsid w:val="00C925BF"/>
    <w:rsid w:val="00C92662"/>
    <w:rsid w:val="00C92960"/>
    <w:rsid w:val="00C93561"/>
    <w:rsid w:val="00C935B8"/>
    <w:rsid w:val="00C93A62"/>
    <w:rsid w:val="00C93CCD"/>
    <w:rsid w:val="00C93E36"/>
    <w:rsid w:val="00C95104"/>
    <w:rsid w:val="00C95419"/>
    <w:rsid w:val="00C95973"/>
    <w:rsid w:val="00C95CA7"/>
    <w:rsid w:val="00C961CD"/>
    <w:rsid w:val="00C9627A"/>
    <w:rsid w:val="00C962D1"/>
    <w:rsid w:val="00C963D0"/>
    <w:rsid w:val="00C965C0"/>
    <w:rsid w:val="00C969E2"/>
    <w:rsid w:val="00C96DA3"/>
    <w:rsid w:val="00C97C96"/>
    <w:rsid w:val="00CA18A5"/>
    <w:rsid w:val="00CA250D"/>
    <w:rsid w:val="00CA25BE"/>
    <w:rsid w:val="00CA29BA"/>
    <w:rsid w:val="00CA2E89"/>
    <w:rsid w:val="00CA313D"/>
    <w:rsid w:val="00CA3AC3"/>
    <w:rsid w:val="00CA3DEA"/>
    <w:rsid w:val="00CA40A4"/>
    <w:rsid w:val="00CA40E1"/>
    <w:rsid w:val="00CA469A"/>
    <w:rsid w:val="00CA492F"/>
    <w:rsid w:val="00CA4ACC"/>
    <w:rsid w:val="00CA5882"/>
    <w:rsid w:val="00CA5A6F"/>
    <w:rsid w:val="00CA5BCE"/>
    <w:rsid w:val="00CA5DFE"/>
    <w:rsid w:val="00CA631D"/>
    <w:rsid w:val="00CA6B1D"/>
    <w:rsid w:val="00CA6C4F"/>
    <w:rsid w:val="00CA6EE3"/>
    <w:rsid w:val="00CA76AD"/>
    <w:rsid w:val="00CA7A3E"/>
    <w:rsid w:val="00CB11E6"/>
    <w:rsid w:val="00CB15FB"/>
    <w:rsid w:val="00CB17DB"/>
    <w:rsid w:val="00CB1E24"/>
    <w:rsid w:val="00CB1FA3"/>
    <w:rsid w:val="00CB291F"/>
    <w:rsid w:val="00CB2B58"/>
    <w:rsid w:val="00CB2C47"/>
    <w:rsid w:val="00CB3436"/>
    <w:rsid w:val="00CB34F9"/>
    <w:rsid w:val="00CB38B7"/>
    <w:rsid w:val="00CB3C13"/>
    <w:rsid w:val="00CB3C5B"/>
    <w:rsid w:val="00CB43BF"/>
    <w:rsid w:val="00CB458C"/>
    <w:rsid w:val="00CB4DF9"/>
    <w:rsid w:val="00CB5034"/>
    <w:rsid w:val="00CB50B0"/>
    <w:rsid w:val="00CB5240"/>
    <w:rsid w:val="00CB575D"/>
    <w:rsid w:val="00CB602D"/>
    <w:rsid w:val="00CB66D1"/>
    <w:rsid w:val="00CB6E3A"/>
    <w:rsid w:val="00CB7BC8"/>
    <w:rsid w:val="00CC00B1"/>
    <w:rsid w:val="00CC08DC"/>
    <w:rsid w:val="00CC0C37"/>
    <w:rsid w:val="00CC1099"/>
    <w:rsid w:val="00CC133F"/>
    <w:rsid w:val="00CC1511"/>
    <w:rsid w:val="00CC1AA6"/>
    <w:rsid w:val="00CC1AE5"/>
    <w:rsid w:val="00CC2176"/>
    <w:rsid w:val="00CC2805"/>
    <w:rsid w:val="00CC2A26"/>
    <w:rsid w:val="00CC2D29"/>
    <w:rsid w:val="00CC2E8F"/>
    <w:rsid w:val="00CC3109"/>
    <w:rsid w:val="00CC37C3"/>
    <w:rsid w:val="00CC38F4"/>
    <w:rsid w:val="00CC405F"/>
    <w:rsid w:val="00CC4664"/>
    <w:rsid w:val="00CC47B9"/>
    <w:rsid w:val="00CC48ED"/>
    <w:rsid w:val="00CC53F0"/>
    <w:rsid w:val="00CC5BC9"/>
    <w:rsid w:val="00CC5D6F"/>
    <w:rsid w:val="00CC5DEC"/>
    <w:rsid w:val="00CC64B0"/>
    <w:rsid w:val="00CC67A2"/>
    <w:rsid w:val="00CC6878"/>
    <w:rsid w:val="00CC70B8"/>
    <w:rsid w:val="00CC71B7"/>
    <w:rsid w:val="00CC7D0F"/>
    <w:rsid w:val="00CD049A"/>
    <w:rsid w:val="00CD093F"/>
    <w:rsid w:val="00CD09DD"/>
    <w:rsid w:val="00CD0D3E"/>
    <w:rsid w:val="00CD0F21"/>
    <w:rsid w:val="00CD152B"/>
    <w:rsid w:val="00CD1AB6"/>
    <w:rsid w:val="00CD2833"/>
    <w:rsid w:val="00CD2A2B"/>
    <w:rsid w:val="00CD2C4E"/>
    <w:rsid w:val="00CD2EBD"/>
    <w:rsid w:val="00CD41E7"/>
    <w:rsid w:val="00CD43B2"/>
    <w:rsid w:val="00CD443F"/>
    <w:rsid w:val="00CD4BC4"/>
    <w:rsid w:val="00CD6C42"/>
    <w:rsid w:val="00CD701D"/>
    <w:rsid w:val="00CD701F"/>
    <w:rsid w:val="00CD7A67"/>
    <w:rsid w:val="00CE0033"/>
    <w:rsid w:val="00CE0201"/>
    <w:rsid w:val="00CE02B0"/>
    <w:rsid w:val="00CE0D37"/>
    <w:rsid w:val="00CE1113"/>
    <w:rsid w:val="00CE1137"/>
    <w:rsid w:val="00CE1376"/>
    <w:rsid w:val="00CE1C0C"/>
    <w:rsid w:val="00CE2389"/>
    <w:rsid w:val="00CE242C"/>
    <w:rsid w:val="00CE2D2B"/>
    <w:rsid w:val="00CE3151"/>
    <w:rsid w:val="00CE36D1"/>
    <w:rsid w:val="00CE37A4"/>
    <w:rsid w:val="00CE3DE0"/>
    <w:rsid w:val="00CE520D"/>
    <w:rsid w:val="00CE5C8E"/>
    <w:rsid w:val="00CE659C"/>
    <w:rsid w:val="00CE67F9"/>
    <w:rsid w:val="00CE68F6"/>
    <w:rsid w:val="00CE754B"/>
    <w:rsid w:val="00CE7625"/>
    <w:rsid w:val="00CE7629"/>
    <w:rsid w:val="00CE7840"/>
    <w:rsid w:val="00CF044C"/>
    <w:rsid w:val="00CF0C1C"/>
    <w:rsid w:val="00CF0EA3"/>
    <w:rsid w:val="00CF0FBA"/>
    <w:rsid w:val="00CF0FE2"/>
    <w:rsid w:val="00CF1227"/>
    <w:rsid w:val="00CF1401"/>
    <w:rsid w:val="00CF1505"/>
    <w:rsid w:val="00CF27E5"/>
    <w:rsid w:val="00CF2984"/>
    <w:rsid w:val="00CF3149"/>
    <w:rsid w:val="00CF3307"/>
    <w:rsid w:val="00CF3DD4"/>
    <w:rsid w:val="00CF3EF0"/>
    <w:rsid w:val="00CF3F0C"/>
    <w:rsid w:val="00CF3F38"/>
    <w:rsid w:val="00CF4F90"/>
    <w:rsid w:val="00CF57EE"/>
    <w:rsid w:val="00CF5A8C"/>
    <w:rsid w:val="00CF5C4F"/>
    <w:rsid w:val="00CF636E"/>
    <w:rsid w:val="00CF747C"/>
    <w:rsid w:val="00CF7A8A"/>
    <w:rsid w:val="00CF7CB2"/>
    <w:rsid w:val="00D00529"/>
    <w:rsid w:val="00D01778"/>
    <w:rsid w:val="00D01F27"/>
    <w:rsid w:val="00D02D62"/>
    <w:rsid w:val="00D02ED3"/>
    <w:rsid w:val="00D032A5"/>
    <w:rsid w:val="00D035C8"/>
    <w:rsid w:val="00D03930"/>
    <w:rsid w:val="00D03C32"/>
    <w:rsid w:val="00D03C35"/>
    <w:rsid w:val="00D0417E"/>
    <w:rsid w:val="00D04D58"/>
    <w:rsid w:val="00D05B9F"/>
    <w:rsid w:val="00D066F4"/>
    <w:rsid w:val="00D068F9"/>
    <w:rsid w:val="00D06F41"/>
    <w:rsid w:val="00D07206"/>
    <w:rsid w:val="00D10111"/>
    <w:rsid w:val="00D10A4C"/>
    <w:rsid w:val="00D10DD9"/>
    <w:rsid w:val="00D11206"/>
    <w:rsid w:val="00D1161D"/>
    <w:rsid w:val="00D12145"/>
    <w:rsid w:val="00D124B6"/>
    <w:rsid w:val="00D12E38"/>
    <w:rsid w:val="00D12E3C"/>
    <w:rsid w:val="00D13809"/>
    <w:rsid w:val="00D13846"/>
    <w:rsid w:val="00D14399"/>
    <w:rsid w:val="00D15289"/>
    <w:rsid w:val="00D160D6"/>
    <w:rsid w:val="00D16E49"/>
    <w:rsid w:val="00D17067"/>
    <w:rsid w:val="00D17C10"/>
    <w:rsid w:val="00D17F49"/>
    <w:rsid w:val="00D20150"/>
    <w:rsid w:val="00D205ED"/>
    <w:rsid w:val="00D20C7A"/>
    <w:rsid w:val="00D216F8"/>
    <w:rsid w:val="00D21D13"/>
    <w:rsid w:val="00D22196"/>
    <w:rsid w:val="00D2237F"/>
    <w:rsid w:val="00D225B6"/>
    <w:rsid w:val="00D22789"/>
    <w:rsid w:val="00D22B8C"/>
    <w:rsid w:val="00D23BF2"/>
    <w:rsid w:val="00D24667"/>
    <w:rsid w:val="00D24DF6"/>
    <w:rsid w:val="00D25148"/>
    <w:rsid w:val="00D25639"/>
    <w:rsid w:val="00D2566A"/>
    <w:rsid w:val="00D25F52"/>
    <w:rsid w:val="00D26150"/>
    <w:rsid w:val="00D26479"/>
    <w:rsid w:val="00D266FD"/>
    <w:rsid w:val="00D27108"/>
    <w:rsid w:val="00D2718C"/>
    <w:rsid w:val="00D2737E"/>
    <w:rsid w:val="00D30370"/>
    <w:rsid w:val="00D30421"/>
    <w:rsid w:val="00D30EEF"/>
    <w:rsid w:val="00D31A37"/>
    <w:rsid w:val="00D31B9A"/>
    <w:rsid w:val="00D31BD5"/>
    <w:rsid w:val="00D320FD"/>
    <w:rsid w:val="00D32601"/>
    <w:rsid w:val="00D3407A"/>
    <w:rsid w:val="00D34147"/>
    <w:rsid w:val="00D3445F"/>
    <w:rsid w:val="00D34927"/>
    <w:rsid w:val="00D356D3"/>
    <w:rsid w:val="00D35834"/>
    <w:rsid w:val="00D3635C"/>
    <w:rsid w:val="00D36974"/>
    <w:rsid w:val="00D3699A"/>
    <w:rsid w:val="00D36B50"/>
    <w:rsid w:val="00D40949"/>
    <w:rsid w:val="00D41F4F"/>
    <w:rsid w:val="00D424CC"/>
    <w:rsid w:val="00D42B43"/>
    <w:rsid w:val="00D42DCE"/>
    <w:rsid w:val="00D431EC"/>
    <w:rsid w:val="00D43760"/>
    <w:rsid w:val="00D4390B"/>
    <w:rsid w:val="00D43AB7"/>
    <w:rsid w:val="00D43BF2"/>
    <w:rsid w:val="00D44444"/>
    <w:rsid w:val="00D4453F"/>
    <w:rsid w:val="00D450AF"/>
    <w:rsid w:val="00D4549D"/>
    <w:rsid w:val="00D45A4E"/>
    <w:rsid w:val="00D45C9A"/>
    <w:rsid w:val="00D45CBC"/>
    <w:rsid w:val="00D461A8"/>
    <w:rsid w:val="00D463D6"/>
    <w:rsid w:val="00D47303"/>
    <w:rsid w:val="00D47BE8"/>
    <w:rsid w:val="00D50BCE"/>
    <w:rsid w:val="00D51548"/>
    <w:rsid w:val="00D5179B"/>
    <w:rsid w:val="00D51C80"/>
    <w:rsid w:val="00D5203D"/>
    <w:rsid w:val="00D5207C"/>
    <w:rsid w:val="00D52B83"/>
    <w:rsid w:val="00D547E0"/>
    <w:rsid w:val="00D5488D"/>
    <w:rsid w:val="00D54E6D"/>
    <w:rsid w:val="00D55036"/>
    <w:rsid w:val="00D5574C"/>
    <w:rsid w:val="00D55B43"/>
    <w:rsid w:val="00D566EF"/>
    <w:rsid w:val="00D56827"/>
    <w:rsid w:val="00D57C34"/>
    <w:rsid w:val="00D6018B"/>
    <w:rsid w:val="00D60E72"/>
    <w:rsid w:val="00D6124A"/>
    <w:rsid w:val="00D6198F"/>
    <w:rsid w:val="00D61CEC"/>
    <w:rsid w:val="00D6256E"/>
    <w:rsid w:val="00D62719"/>
    <w:rsid w:val="00D62B80"/>
    <w:rsid w:val="00D62EAF"/>
    <w:rsid w:val="00D639E8"/>
    <w:rsid w:val="00D645FB"/>
    <w:rsid w:val="00D64B7B"/>
    <w:rsid w:val="00D64CA0"/>
    <w:rsid w:val="00D64E27"/>
    <w:rsid w:val="00D652F2"/>
    <w:rsid w:val="00D65858"/>
    <w:rsid w:val="00D65E9C"/>
    <w:rsid w:val="00D666BB"/>
    <w:rsid w:val="00D668EF"/>
    <w:rsid w:val="00D66EC0"/>
    <w:rsid w:val="00D67E08"/>
    <w:rsid w:val="00D7041A"/>
    <w:rsid w:val="00D708E7"/>
    <w:rsid w:val="00D71382"/>
    <w:rsid w:val="00D72035"/>
    <w:rsid w:val="00D72482"/>
    <w:rsid w:val="00D7256C"/>
    <w:rsid w:val="00D725F1"/>
    <w:rsid w:val="00D72853"/>
    <w:rsid w:val="00D72F7B"/>
    <w:rsid w:val="00D735D8"/>
    <w:rsid w:val="00D73746"/>
    <w:rsid w:val="00D73AFC"/>
    <w:rsid w:val="00D73D57"/>
    <w:rsid w:val="00D75583"/>
    <w:rsid w:val="00D75900"/>
    <w:rsid w:val="00D75AE0"/>
    <w:rsid w:val="00D75D11"/>
    <w:rsid w:val="00D761BD"/>
    <w:rsid w:val="00D76556"/>
    <w:rsid w:val="00D76B12"/>
    <w:rsid w:val="00D76BB7"/>
    <w:rsid w:val="00D76D52"/>
    <w:rsid w:val="00D770F7"/>
    <w:rsid w:val="00D7732C"/>
    <w:rsid w:val="00D773C2"/>
    <w:rsid w:val="00D77F37"/>
    <w:rsid w:val="00D80358"/>
    <w:rsid w:val="00D80AA2"/>
    <w:rsid w:val="00D8195A"/>
    <w:rsid w:val="00D81D61"/>
    <w:rsid w:val="00D8253D"/>
    <w:rsid w:val="00D834A9"/>
    <w:rsid w:val="00D83530"/>
    <w:rsid w:val="00D83627"/>
    <w:rsid w:val="00D84A60"/>
    <w:rsid w:val="00D84ECA"/>
    <w:rsid w:val="00D8553C"/>
    <w:rsid w:val="00D85B33"/>
    <w:rsid w:val="00D85C7A"/>
    <w:rsid w:val="00D86BB7"/>
    <w:rsid w:val="00D86CA6"/>
    <w:rsid w:val="00D8705E"/>
    <w:rsid w:val="00D877E8"/>
    <w:rsid w:val="00D87B10"/>
    <w:rsid w:val="00D87BD1"/>
    <w:rsid w:val="00D87FE3"/>
    <w:rsid w:val="00D902E5"/>
    <w:rsid w:val="00D90453"/>
    <w:rsid w:val="00D91249"/>
    <w:rsid w:val="00D9125E"/>
    <w:rsid w:val="00D91619"/>
    <w:rsid w:val="00D922CC"/>
    <w:rsid w:val="00D92469"/>
    <w:rsid w:val="00D9294F"/>
    <w:rsid w:val="00D93141"/>
    <w:rsid w:val="00D9416D"/>
    <w:rsid w:val="00D94323"/>
    <w:rsid w:val="00D945BA"/>
    <w:rsid w:val="00D94FDD"/>
    <w:rsid w:val="00D95285"/>
    <w:rsid w:val="00D95548"/>
    <w:rsid w:val="00D957E7"/>
    <w:rsid w:val="00D95E42"/>
    <w:rsid w:val="00D9619B"/>
    <w:rsid w:val="00D9624A"/>
    <w:rsid w:val="00D9644E"/>
    <w:rsid w:val="00D96A3C"/>
    <w:rsid w:val="00D96B1B"/>
    <w:rsid w:val="00D96E00"/>
    <w:rsid w:val="00D97095"/>
    <w:rsid w:val="00D97444"/>
    <w:rsid w:val="00D9786D"/>
    <w:rsid w:val="00D97CA4"/>
    <w:rsid w:val="00DA0886"/>
    <w:rsid w:val="00DA0BEF"/>
    <w:rsid w:val="00DA12B4"/>
    <w:rsid w:val="00DA175F"/>
    <w:rsid w:val="00DA22F2"/>
    <w:rsid w:val="00DA2C80"/>
    <w:rsid w:val="00DA3008"/>
    <w:rsid w:val="00DA3819"/>
    <w:rsid w:val="00DA3CDE"/>
    <w:rsid w:val="00DA4081"/>
    <w:rsid w:val="00DA4190"/>
    <w:rsid w:val="00DA43AF"/>
    <w:rsid w:val="00DA547E"/>
    <w:rsid w:val="00DA5861"/>
    <w:rsid w:val="00DA6390"/>
    <w:rsid w:val="00DA676F"/>
    <w:rsid w:val="00DA6BA1"/>
    <w:rsid w:val="00DA6F08"/>
    <w:rsid w:val="00DA761F"/>
    <w:rsid w:val="00DA7DAC"/>
    <w:rsid w:val="00DB016C"/>
    <w:rsid w:val="00DB0603"/>
    <w:rsid w:val="00DB0A11"/>
    <w:rsid w:val="00DB108E"/>
    <w:rsid w:val="00DB12AB"/>
    <w:rsid w:val="00DB1352"/>
    <w:rsid w:val="00DB13EC"/>
    <w:rsid w:val="00DB1990"/>
    <w:rsid w:val="00DB32D8"/>
    <w:rsid w:val="00DB351D"/>
    <w:rsid w:val="00DB3836"/>
    <w:rsid w:val="00DB3C0E"/>
    <w:rsid w:val="00DB4C97"/>
    <w:rsid w:val="00DB51C9"/>
    <w:rsid w:val="00DB5729"/>
    <w:rsid w:val="00DB5B82"/>
    <w:rsid w:val="00DB6399"/>
    <w:rsid w:val="00DB6418"/>
    <w:rsid w:val="00DB659D"/>
    <w:rsid w:val="00DB6AB9"/>
    <w:rsid w:val="00DB6D27"/>
    <w:rsid w:val="00DB6F31"/>
    <w:rsid w:val="00DB7A94"/>
    <w:rsid w:val="00DC095C"/>
    <w:rsid w:val="00DC0D99"/>
    <w:rsid w:val="00DC14C4"/>
    <w:rsid w:val="00DC1674"/>
    <w:rsid w:val="00DC16F1"/>
    <w:rsid w:val="00DC2924"/>
    <w:rsid w:val="00DC2B9C"/>
    <w:rsid w:val="00DC2C49"/>
    <w:rsid w:val="00DC30A4"/>
    <w:rsid w:val="00DC3EFB"/>
    <w:rsid w:val="00DC3FA1"/>
    <w:rsid w:val="00DC402C"/>
    <w:rsid w:val="00DC4C20"/>
    <w:rsid w:val="00DC4DBA"/>
    <w:rsid w:val="00DC4DC2"/>
    <w:rsid w:val="00DC530C"/>
    <w:rsid w:val="00DC546E"/>
    <w:rsid w:val="00DC62AD"/>
    <w:rsid w:val="00DC648A"/>
    <w:rsid w:val="00DC7B13"/>
    <w:rsid w:val="00DD0E5A"/>
    <w:rsid w:val="00DD1222"/>
    <w:rsid w:val="00DD1C08"/>
    <w:rsid w:val="00DD1E8F"/>
    <w:rsid w:val="00DD1E9B"/>
    <w:rsid w:val="00DD1EB5"/>
    <w:rsid w:val="00DD1EC1"/>
    <w:rsid w:val="00DD2F75"/>
    <w:rsid w:val="00DD2F7F"/>
    <w:rsid w:val="00DD3816"/>
    <w:rsid w:val="00DD3E7A"/>
    <w:rsid w:val="00DD42B9"/>
    <w:rsid w:val="00DD4C00"/>
    <w:rsid w:val="00DD4F50"/>
    <w:rsid w:val="00DD51EE"/>
    <w:rsid w:val="00DD5F25"/>
    <w:rsid w:val="00DD5F9B"/>
    <w:rsid w:val="00DD64B9"/>
    <w:rsid w:val="00DD66B0"/>
    <w:rsid w:val="00DD6AC1"/>
    <w:rsid w:val="00DD6FFF"/>
    <w:rsid w:val="00DD7782"/>
    <w:rsid w:val="00DD79D7"/>
    <w:rsid w:val="00DD7BB3"/>
    <w:rsid w:val="00DE1DA3"/>
    <w:rsid w:val="00DE1DCB"/>
    <w:rsid w:val="00DE2105"/>
    <w:rsid w:val="00DE2F4D"/>
    <w:rsid w:val="00DE36B5"/>
    <w:rsid w:val="00DE38A0"/>
    <w:rsid w:val="00DE397B"/>
    <w:rsid w:val="00DE44B6"/>
    <w:rsid w:val="00DE4913"/>
    <w:rsid w:val="00DE4C7C"/>
    <w:rsid w:val="00DE4C9B"/>
    <w:rsid w:val="00DE4EFE"/>
    <w:rsid w:val="00DE50AB"/>
    <w:rsid w:val="00DE540F"/>
    <w:rsid w:val="00DE57DC"/>
    <w:rsid w:val="00DE5DCD"/>
    <w:rsid w:val="00DE5E8E"/>
    <w:rsid w:val="00DE6738"/>
    <w:rsid w:val="00DE6BE9"/>
    <w:rsid w:val="00DE6E07"/>
    <w:rsid w:val="00DE6F16"/>
    <w:rsid w:val="00DE716C"/>
    <w:rsid w:val="00DE72DB"/>
    <w:rsid w:val="00DE7785"/>
    <w:rsid w:val="00DF02FA"/>
    <w:rsid w:val="00DF04E7"/>
    <w:rsid w:val="00DF0502"/>
    <w:rsid w:val="00DF06E7"/>
    <w:rsid w:val="00DF08AD"/>
    <w:rsid w:val="00DF0E45"/>
    <w:rsid w:val="00DF15B2"/>
    <w:rsid w:val="00DF1B18"/>
    <w:rsid w:val="00DF2110"/>
    <w:rsid w:val="00DF233A"/>
    <w:rsid w:val="00DF2384"/>
    <w:rsid w:val="00DF23C4"/>
    <w:rsid w:val="00DF2462"/>
    <w:rsid w:val="00DF2736"/>
    <w:rsid w:val="00DF2BDA"/>
    <w:rsid w:val="00DF34B9"/>
    <w:rsid w:val="00DF37BE"/>
    <w:rsid w:val="00DF3A92"/>
    <w:rsid w:val="00DF4066"/>
    <w:rsid w:val="00DF48A2"/>
    <w:rsid w:val="00DF48E9"/>
    <w:rsid w:val="00DF4950"/>
    <w:rsid w:val="00DF512F"/>
    <w:rsid w:val="00DF51A9"/>
    <w:rsid w:val="00DF52C7"/>
    <w:rsid w:val="00DF5529"/>
    <w:rsid w:val="00DF5545"/>
    <w:rsid w:val="00DF57B1"/>
    <w:rsid w:val="00DF620F"/>
    <w:rsid w:val="00DF6405"/>
    <w:rsid w:val="00DF6501"/>
    <w:rsid w:val="00DF6A9E"/>
    <w:rsid w:val="00DF7075"/>
    <w:rsid w:val="00E0045E"/>
    <w:rsid w:val="00E009C0"/>
    <w:rsid w:val="00E009D4"/>
    <w:rsid w:val="00E00DBA"/>
    <w:rsid w:val="00E00EA2"/>
    <w:rsid w:val="00E01ADC"/>
    <w:rsid w:val="00E02D4E"/>
    <w:rsid w:val="00E0326C"/>
    <w:rsid w:val="00E04052"/>
    <w:rsid w:val="00E040E9"/>
    <w:rsid w:val="00E0517C"/>
    <w:rsid w:val="00E05417"/>
    <w:rsid w:val="00E0563C"/>
    <w:rsid w:val="00E06777"/>
    <w:rsid w:val="00E06794"/>
    <w:rsid w:val="00E068A2"/>
    <w:rsid w:val="00E06B50"/>
    <w:rsid w:val="00E07109"/>
    <w:rsid w:val="00E0759A"/>
    <w:rsid w:val="00E07D82"/>
    <w:rsid w:val="00E10461"/>
    <w:rsid w:val="00E10549"/>
    <w:rsid w:val="00E10AED"/>
    <w:rsid w:val="00E10C30"/>
    <w:rsid w:val="00E1115D"/>
    <w:rsid w:val="00E1274A"/>
    <w:rsid w:val="00E12C35"/>
    <w:rsid w:val="00E12C52"/>
    <w:rsid w:val="00E130DA"/>
    <w:rsid w:val="00E13827"/>
    <w:rsid w:val="00E13A00"/>
    <w:rsid w:val="00E15475"/>
    <w:rsid w:val="00E157BF"/>
    <w:rsid w:val="00E15FB9"/>
    <w:rsid w:val="00E16174"/>
    <w:rsid w:val="00E17593"/>
    <w:rsid w:val="00E17DBC"/>
    <w:rsid w:val="00E17E4B"/>
    <w:rsid w:val="00E17F13"/>
    <w:rsid w:val="00E20362"/>
    <w:rsid w:val="00E20A0E"/>
    <w:rsid w:val="00E20DEA"/>
    <w:rsid w:val="00E21609"/>
    <w:rsid w:val="00E21734"/>
    <w:rsid w:val="00E21A7F"/>
    <w:rsid w:val="00E21B77"/>
    <w:rsid w:val="00E21FA3"/>
    <w:rsid w:val="00E221DC"/>
    <w:rsid w:val="00E2287C"/>
    <w:rsid w:val="00E22B83"/>
    <w:rsid w:val="00E22BF3"/>
    <w:rsid w:val="00E2315D"/>
    <w:rsid w:val="00E23519"/>
    <w:rsid w:val="00E25BB9"/>
    <w:rsid w:val="00E25F36"/>
    <w:rsid w:val="00E261FC"/>
    <w:rsid w:val="00E265FD"/>
    <w:rsid w:val="00E26CD1"/>
    <w:rsid w:val="00E26CDD"/>
    <w:rsid w:val="00E26DFE"/>
    <w:rsid w:val="00E26FF1"/>
    <w:rsid w:val="00E275B7"/>
    <w:rsid w:val="00E27950"/>
    <w:rsid w:val="00E27D50"/>
    <w:rsid w:val="00E302C7"/>
    <w:rsid w:val="00E304AA"/>
    <w:rsid w:val="00E30E04"/>
    <w:rsid w:val="00E32411"/>
    <w:rsid w:val="00E325F7"/>
    <w:rsid w:val="00E32764"/>
    <w:rsid w:val="00E33111"/>
    <w:rsid w:val="00E33663"/>
    <w:rsid w:val="00E3397B"/>
    <w:rsid w:val="00E33F72"/>
    <w:rsid w:val="00E33F9B"/>
    <w:rsid w:val="00E3400D"/>
    <w:rsid w:val="00E35132"/>
    <w:rsid w:val="00E354D2"/>
    <w:rsid w:val="00E36D59"/>
    <w:rsid w:val="00E372BC"/>
    <w:rsid w:val="00E37B80"/>
    <w:rsid w:val="00E37D84"/>
    <w:rsid w:val="00E408E3"/>
    <w:rsid w:val="00E41A0F"/>
    <w:rsid w:val="00E41F9A"/>
    <w:rsid w:val="00E424AC"/>
    <w:rsid w:val="00E42891"/>
    <w:rsid w:val="00E42D6A"/>
    <w:rsid w:val="00E4334A"/>
    <w:rsid w:val="00E45043"/>
    <w:rsid w:val="00E45350"/>
    <w:rsid w:val="00E45520"/>
    <w:rsid w:val="00E455D0"/>
    <w:rsid w:val="00E45698"/>
    <w:rsid w:val="00E457D9"/>
    <w:rsid w:val="00E4588E"/>
    <w:rsid w:val="00E45925"/>
    <w:rsid w:val="00E45A71"/>
    <w:rsid w:val="00E45BC6"/>
    <w:rsid w:val="00E46632"/>
    <w:rsid w:val="00E469EA"/>
    <w:rsid w:val="00E4765E"/>
    <w:rsid w:val="00E478C5"/>
    <w:rsid w:val="00E50678"/>
    <w:rsid w:val="00E51030"/>
    <w:rsid w:val="00E51260"/>
    <w:rsid w:val="00E516C5"/>
    <w:rsid w:val="00E5170E"/>
    <w:rsid w:val="00E52048"/>
    <w:rsid w:val="00E52824"/>
    <w:rsid w:val="00E528D1"/>
    <w:rsid w:val="00E53D19"/>
    <w:rsid w:val="00E549CA"/>
    <w:rsid w:val="00E54C97"/>
    <w:rsid w:val="00E55029"/>
    <w:rsid w:val="00E5629C"/>
    <w:rsid w:val="00E563B8"/>
    <w:rsid w:val="00E56BED"/>
    <w:rsid w:val="00E57292"/>
    <w:rsid w:val="00E57C1D"/>
    <w:rsid w:val="00E57F0E"/>
    <w:rsid w:val="00E603D3"/>
    <w:rsid w:val="00E61406"/>
    <w:rsid w:val="00E61ECD"/>
    <w:rsid w:val="00E6223D"/>
    <w:rsid w:val="00E6269C"/>
    <w:rsid w:val="00E62846"/>
    <w:rsid w:val="00E62A0B"/>
    <w:rsid w:val="00E63147"/>
    <w:rsid w:val="00E63854"/>
    <w:rsid w:val="00E63D3C"/>
    <w:rsid w:val="00E64934"/>
    <w:rsid w:val="00E649ED"/>
    <w:rsid w:val="00E64C42"/>
    <w:rsid w:val="00E64C7B"/>
    <w:rsid w:val="00E64D59"/>
    <w:rsid w:val="00E64EFE"/>
    <w:rsid w:val="00E65684"/>
    <w:rsid w:val="00E65951"/>
    <w:rsid w:val="00E66435"/>
    <w:rsid w:val="00E6678B"/>
    <w:rsid w:val="00E66A40"/>
    <w:rsid w:val="00E66F4F"/>
    <w:rsid w:val="00E66F71"/>
    <w:rsid w:val="00E67692"/>
    <w:rsid w:val="00E70AE0"/>
    <w:rsid w:val="00E71407"/>
    <w:rsid w:val="00E71F1A"/>
    <w:rsid w:val="00E72D81"/>
    <w:rsid w:val="00E73512"/>
    <w:rsid w:val="00E73998"/>
    <w:rsid w:val="00E73D79"/>
    <w:rsid w:val="00E741C0"/>
    <w:rsid w:val="00E74E3D"/>
    <w:rsid w:val="00E757B9"/>
    <w:rsid w:val="00E757FE"/>
    <w:rsid w:val="00E75A03"/>
    <w:rsid w:val="00E75AA3"/>
    <w:rsid w:val="00E75C05"/>
    <w:rsid w:val="00E761B0"/>
    <w:rsid w:val="00E7622E"/>
    <w:rsid w:val="00E76465"/>
    <w:rsid w:val="00E76BAA"/>
    <w:rsid w:val="00E77892"/>
    <w:rsid w:val="00E77D44"/>
    <w:rsid w:val="00E8055B"/>
    <w:rsid w:val="00E80999"/>
    <w:rsid w:val="00E80BA5"/>
    <w:rsid w:val="00E80BFC"/>
    <w:rsid w:val="00E81566"/>
    <w:rsid w:val="00E81C46"/>
    <w:rsid w:val="00E82EB5"/>
    <w:rsid w:val="00E835FC"/>
    <w:rsid w:val="00E83D39"/>
    <w:rsid w:val="00E84D55"/>
    <w:rsid w:val="00E85006"/>
    <w:rsid w:val="00E854A8"/>
    <w:rsid w:val="00E85537"/>
    <w:rsid w:val="00E85ED4"/>
    <w:rsid w:val="00E875DD"/>
    <w:rsid w:val="00E875F9"/>
    <w:rsid w:val="00E8791F"/>
    <w:rsid w:val="00E909E7"/>
    <w:rsid w:val="00E90B2A"/>
    <w:rsid w:val="00E90F82"/>
    <w:rsid w:val="00E91385"/>
    <w:rsid w:val="00E91403"/>
    <w:rsid w:val="00E91F45"/>
    <w:rsid w:val="00E93297"/>
    <w:rsid w:val="00E94421"/>
    <w:rsid w:val="00E949FA"/>
    <w:rsid w:val="00E94B45"/>
    <w:rsid w:val="00E94BA1"/>
    <w:rsid w:val="00E963E0"/>
    <w:rsid w:val="00E96424"/>
    <w:rsid w:val="00E967EB"/>
    <w:rsid w:val="00E96871"/>
    <w:rsid w:val="00E96F56"/>
    <w:rsid w:val="00E97246"/>
    <w:rsid w:val="00E973FD"/>
    <w:rsid w:val="00E97C12"/>
    <w:rsid w:val="00EA00AD"/>
    <w:rsid w:val="00EA05A2"/>
    <w:rsid w:val="00EA07E5"/>
    <w:rsid w:val="00EA0931"/>
    <w:rsid w:val="00EA0A24"/>
    <w:rsid w:val="00EA0D4C"/>
    <w:rsid w:val="00EA0E19"/>
    <w:rsid w:val="00EA0EC1"/>
    <w:rsid w:val="00EA1180"/>
    <w:rsid w:val="00EA1522"/>
    <w:rsid w:val="00EA2444"/>
    <w:rsid w:val="00EA24EE"/>
    <w:rsid w:val="00EA2932"/>
    <w:rsid w:val="00EA2CEB"/>
    <w:rsid w:val="00EA372A"/>
    <w:rsid w:val="00EA3B2E"/>
    <w:rsid w:val="00EA47FB"/>
    <w:rsid w:val="00EA481B"/>
    <w:rsid w:val="00EA4976"/>
    <w:rsid w:val="00EA517A"/>
    <w:rsid w:val="00EA51AE"/>
    <w:rsid w:val="00EA61AC"/>
    <w:rsid w:val="00EA670D"/>
    <w:rsid w:val="00EA6886"/>
    <w:rsid w:val="00EA6C93"/>
    <w:rsid w:val="00EA6DFF"/>
    <w:rsid w:val="00EA7F72"/>
    <w:rsid w:val="00EB0B28"/>
    <w:rsid w:val="00EB0DF2"/>
    <w:rsid w:val="00EB1A92"/>
    <w:rsid w:val="00EB1DA2"/>
    <w:rsid w:val="00EB2B21"/>
    <w:rsid w:val="00EB46C5"/>
    <w:rsid w:val="00EB4A3F"/>
    <w:rsid w:val="00EB5242"/>
    <w:rsid w:val="00EB5385"/>
    <w:rsid w:val="00EB577D"/>
    <w:rsid w:val="00EB5A04"/>
    <w:rsid w:val="00EB5DFA"/>
    <w:rsid w:val="00EB6540"/>
    <w:rsid w:val="00EB671A"/>
    <w:rsid w:val="00EB6D06"/>
    <w:rsid w:val="00EB6D1E"/>
    <w:rsid w:val="00EB78DB"/>
    <w:rsid w:val="00EB7D25"/>
    <w:rsid w:val="00EB7ECB"/>
    <w:rsid w:val="00EC00B7"/>
    <w:rsid w:val="00EC0422"/>
    <w:rsid w:val="00EC058B"/>
    <w:rsid w:val="00EC14F7"/>
    <w:rsid w:val="00EC1786"/>
    <w:rsid w:val="00EC1BBF"/>
    <w:rsid w:val="00EC1E64"/>
    <w:rsid w:val="00EC1EA4"/>
    <w:rsid w:val="00EC1EAC"/>
    <w:rsid w:val="00EC25F6"/>
    <w:rsid w:val="00EC37A7"/>
    <w:rsid w:val="00EC389F"/>
    <w:rsid w:val="00EC4615"/>
    <w:rsid w:val="00EC4F56"/>
    <w:rsid w:val="00EC560B"/>
    <w:rsid w:val="00EC6A45"/>
    <w:rsid w:val="00EC6F22"/>
    <w:rsid w:val="00EC6FE2"/>
    <w:rsid w:val="00EC713B"/>
    <w:rsid w:val="00EC726B"/>
    <w:rsid w:val="00EC72DA"/>
    <w:rsid w:val="00EC772E"/>
    <w:rsid w:val="00EC7753"/>
    <w:rsid w:val="00ED02A9"/>
    <w:rsid w:val="00ED02DD"/>
    <w:rsid w:val="00ED039E"/>
    <w:rsid w:val="00ED2844"/>
    <w:rsid w:val="00ED2C7E"/>
    <w:rsid w:val="00ED3B2E"/>
    <w:rsid w:val="00ED3FF0"/>
    <w:rsid w:val="00ED431A"/>
    <w:rsid w:val="00ED488D"/>
    <w:rsid w:val="00ED49EA"/>
    <w:rsid w:val="00ED4B18"/>
    <w:rsid w:val="00ED4FD5"/>
    <w:rsid w:val="00ED580B"/>
    <w:rsid w:val="00ED5A6C"/>
    <w:rsid w:val="00ED6AC7"/>
    <w:rsid w:val="00ED6CC0"/>
    <w:rsid w:val="00ED76AE"/>
    <w:rsid w:val="00ED7986"/>
    <w:rsid w:val="00ED7D69"/>
    <w:rsid w:val="00EE013A"/>
    <w:rsid w:val="00EE066A"/>
    <w:rsid w:val="00EE077D"/>
    <w:rsid w:val="00EE0BAD"/>
    <w:rsid w:val="00EE0E6B"/>
    <w:rsid w:val="00EE118C"/>
    <w:rsid w:val="00EE11A6"/>
    <w:rsid w:val="00EE1213"/>
    <w:rsid w:val="00EE1B47"/>
    <w:rsid w:val="00EE1EEA"/>
    <w:rsid w:val="00EE2280"/>
    <w:rsid w:val="00EE233A"/>
    <w:rsid w:val="00EE234D"/>
    <w:rsid w:val="00EE2B08"/>
    <w:rsid w:val="00EE2E57"/>
    <w:rsid w:val="00EE303A"/>
    <w:rsid w:val="00EE377A"/>
    <w:rsid w:val="00EE3A29"/>
    <w:rsid w:val="00EE42DB"/>
    <w:rsid w:val="00EE4683"/>
    <w:rsid w:val="00EE49B5"/>
    <w:rsid w:val="00EE5ABB"/>
    <w:rsid w:val="00EE5DA4"/>
    <w:rsid w:val="00EE6D33"/>
    <w:rsid w:val="00EE708D"/>
    <w:rsid w:val="00EE70D8"/>
    <w:rsid w:val="00EE7964"/>
    <w:rsid w:val="00EF05F4"/>
    <w:rsid w:val="00EF0CDB"/>
    <w:rsid w:val="00EF0F7E"/>
    <w:rsid w:val="00EF1454"/>
    <w:rsid w:val="00EF2782"/>
    <w:rsid w:val="00EF304C"/>
    <w:rsid w:val="00EF3085"/>
    <w:rsid w:val="00EF3625"/>
    <w:rsid w:val="00EF3664"/>
    <w:rsid w:val="00EF372A"/>
    <w:rsid w:val="00EF3E77"/>
    <w:rsid w:val="00EF3EA2"/>
    <w:rsid w:val="00EF410E"/>
    <w:rsid w:val="00EF44DA"/>
    <w:rsid w:val="00EF450B"/>
    <w:rsid w:val="00EF590D"/>
    <w:rsid w:val="00EF5980"/>
    <w:rsid w:val="00EF6BF7"/>
    <w:rsid w:val="00EF7281"/>
    <w:rsid w:val="00EF7366"/>
    <w:rsid w:val="00EF7814"/>
    <w:rsid w:val="00F00238"/>
    <w:rsid w:val="00F0042E"/>
    <w:rsid w:val="00F004BC"/>
    <w:rsid w:val="00F00F0F"/>
    <w:rsid w:val="00F00FEB"/>
    <w:rsid w:val="00F01590"/>
    <w:rsid w:val="00F025DC"/>
    <w:rsid w:val="00F0266C"/>
    <w:rsid w:val="00F03180"/>
    <w:rsid w:val="00F03B35"/>
    <w:rsid w:val="00F053E0"/>
    <w:rsid w:val="00F056F6"/>
    <w:rsid w:val="00F05E7C"/>
    <w:rsid w:val="00F06040"/>
    <w:rsid w:val="00F065F9"/>
    <w:rsid w:val="00F065FC"/>
    <w:rsid w:val="00F06D35"/>
    <w:rsid w:val="00F072A4"/>
    <w:rsid w:val="00F073C5"/>
    <w:rsid w:val="00F07C64"/>
    <w:rsid w:val="00F07DC5"/>
    <w:rsid w:val="00F11099"/>
    <w:rsid w:val="00F113C3"/>
    <w:rsid w:val="00F11608"/>
    <w:rsid w:val="00F116DE"/>
    <w:rsid w:val="00F1288F"/>
    <w:rsid w:val="00F12890"/>
    <w:rsid w:val="00F12E46"/>
    <w:rsid w:val="00F12FC6"/>
    <w:rsid w:val="00F133F6"/>
    <w:rsid w:val="00F13575"/>
    <w:rsid w:val="00F138A0"/>
    <w:rsid w:val="00F13AB8"/>
    <w:rsid w:val="00F14169"/>
    <w:rsid w:val="00F141C4"/>
    <w:rsid w:val="00F14527"/>
    <w:rsid w:val="00F1467C"/>
    <w:rsid w:val="00F1495F"/>
    <w:rsid w:val="00F14E14"/>
    <w:rsid w:val="00F155D0"/>
    <w:rsid w:val="00F15C72"/>
    <w:rsid w:val="00F15E22"/>
    <w:rsid w:val="00F15E52"/>
    <w:rsid w:val="00F15FBD"/>
    <w:rsid w:val="00F16704"/>
    <w:rsid w:val="00F16F3E"/>
    <w:rsid w:val="00F17421"/>
    <w:rsid w:val="00F17F55"/>
    <w:rsid w:val="00F2063F"/>
    <w:rsid w:val="00F20AD4"/>
    <w:rsid w:val="00F212E2"/>
    <w:rsid w:val="00F2158D"/>
    <w:rsid w:val="00F21BC3"/>
    <w:rsid w:val="00F2238E"/>
    <w:rsid w:val="00F2255A"/>
    <w:rsid w:val="00F22680"/>
    <w:rsid w:val="00F22718"/>
    <w:rsid w:val="00F23496"/>
    <w:rsid w:val="00F23A46"/>
    <w:rsid w:val="00F24681"/>
    <w:rsid w:val="00F2490B"/>
    <w:rsid w:val="00F24C02"/>
    <w:rsid w:val="00F25575"/>
    <w:rsid w:val="00F25A53"/>
    <w:rsid w:val="00F26C16"/>
    <w:rsid w:val="00F26CF2"/>
    <w:rsid w:val="00F26DF0"/>
    <w:rsid w:val="00F271EB"/>
    <w:rsid w:val="00F274A4"/>
    <w:rsid w:val="00F27942"/>
    <w:rsid w:val="00F27A04"/>
    <w:rsid w:val="00F306CB"/>
    <w:rsid w:val="00F30C97"/>
    <w:rsid w:val="00F30D5F"/>
    <w:rsid w:val="00F30EF8"/>
    <w:rsid w:val="00F3119E"/>
    <w:rsid w:val="00F315F3"/>
    <w:rsid w:val="00F31E70"/>
    <w:rsid w:val="00F3200C"/>
    <w:rsid w:val="00F32215"/>
    <w:rsid w:val="00F32DF0"/>
    <w:rsid w:val="00F3343A"/>
    <w:rsid w:val="00F3435B"/>
    <w:rsid w:val="00F34E25"/>
    <w:rsid w:val="00F350CD"/>
    <w:rsid w:val="00F35585"/>
    <w:rsid w:val="00F35CF9"/>
    <w:rsid w:val="00F36B77"/>
    <w:rsid w:val="00F36E7D"/>
    <w:rsid w:val="00F37119"/>
    <w:rsid w:val="00F373E7"/>
    <w:rsid w:val="00F379C6"/>
    <w:rsid w:val="00F37A2D"/>
    <w:rsid w:val="00F37B9E"/>
    <w:rsid w:val="00F40618"/>
    <w:rsid w:val="00F40F2C"/>
    <w:rsid w:val="00F41394"/>
    <w:rsid w:val="00F41583"/>
    <w:rsid w:val="00F4216B"/>
    <w:rsid w:val="00F42425"/>
    <w:rsid w:val="00F43940"/>
    <w:rsid w:val="00F453CB"/>
    <w:rsid w:val="00F46FCA"/>
    <w:rsid w:val="00F47D09"/>
    <w:rsid w:val="00F47E6B"/>
    <w:rsid w:val="00F47F0E"/>
    <w:rsid w:val="00F50205"/>
    <w:rsid w:val="00F50370"/>
    <w:rsid w:val="00F503D4"/>
    <w:rsid w:val="00F50677"/>
    <w:rsid w:val="00F506CF"/>
    <w:rsid w:val="00F50DA3"/>
    <w:rsid w:val="00F517F6"/>
    <w:rsid w:val="00F52AD6"/>
    <w:rsid w:val="00F52D0C"/>
    <w:rsid w:val="00F535D7"/>
    <w:rsid w:val="00F5368D"/>
    <w:rsid w:val="00F53D47"/>
    <w:rsid w:val="00F54777"/>
    <w:rsid w:val="00F54860"/>
    <w:rsid w:val="00F548E9"/>
    <w:rsid w:val="00F54EED"/>
    <w:rsid w:val="00F555B1"/>
    <w:rsid w:val="00F55A0A"/>
    <w:rsid w:val="00F56289"/>
    <w:rsid w:val="00F56870"/>
    <w:rsid w:val="00F56DC5"/>
    <w:rsid w:val="00F5758B"/>
    <w:rsid w:val="00F603A0"/>
    <w:rsid w:val="00F61115"/>
    <w:rsid w:val="00F613CE"/>
    <w:rsid w:val="00F61815"/>
    <w:rsid w:val="00F61920"/>
    <w:rsid w:val="00F61E1A"/>
    <w:rsid w:val="00F62B49"/>
    <w:rsid w:val="00F62E73"/>
    <w:rsid w:val="00F63020"/>
    <w:rsid w:val="00F639D6"/>
    <w:rsid w:val="00F63AEA"/>
    <w:rsid w:val="00F65522"/>
    <w:rsid w:val="00F657A3"/>
    <w:rsid w:val="00F65B5F"/>
    <w:rsid w:val="00F65E1C"/>
    <w:rsid w:val="00F65F6D"/>
    <w:rsid w:val="00F66668"/>
    <w:rsid w:val="00F66FB8"/>
    <w:rsid w:val="00F6792C"/>
    <w:rsid w:val="00F67AF9"/>
    <w:rsid w:val="00F7081C"/>
    <w:rsid w:val="00F70912"/>
    <w:rsid w:val="00F70AFC"/>
    <w:rsid w:val="00F71672"/>
    <w:rsid w:val="00F71776"/>
    <w:rsid w:val="00F718F9"/>
    <w:rsid w:val="00F72A4F"/>
    <w:rsid w:val="00F72E3B"/>
    <w:rsid w:val="00F73BB6"/>
    <w:rsid w:val="00F73D6F"/>
    <w:rsid w:val="00F73F09"/>
    <w:rsid w:val="00F74172"/>
    <w:rsid w:val="00F743B1"/>
    <w:rsid w:val="00F7460F"/>
    <w:rsid w:val="00F750A2"/>
    <w:rsid w:val="00F756D4"/>
    <w:rsid w:val="00F76EB2"/>
    <w:rsid w:val="00F809D2"/>
    <w:rsid w:val="00F812D7"/>
    <w:rsid w:val="00F82BEB"/>
    <w:rsid w:val="00F837AB"/>
    <w:rsid w:val="00F85082"/>
    <w:rsid w:val="00F85178"/>
    <w:rsid w:val="00F85AA6"/>
    <w:rsid w:val="00F85EB4"/>
    <w:rsid w:val="00F864E8"/>
    <w:rsid w:val="00F86524"/>
    <w:rsid w:val="00F86B43"/>
    <w:rsid w:val="00F86BD2"/>
    <w:rsid w:val="00F86EEC"/>
    <w:rsid w:val="00F871F9"/>
    <w:rsid w:val="00F876AF"/>
    <w:rsid w:val="00F90285"/>
    <w:rsid w:val="00F92119"/>
    <w:rsid w:val="00F925FF"/>
    <w:rsid w:val="00F92D29"/>
    <w:rsid w:val="00F92E5A"/>
    <w:rsid w:val="00F938F7"/>
    <w:rsid w:val="00F93A57"/>
    <w:rsid w:val="00F94D81"/>
    <w:rsid w:val="00F94E7B"/>
    <w:rsid w:val="00F9535F"/>
    <w:rsid w:val="00F95A26"/>
    <w:rsid w:val="00F95E10"/>
    <w:rsid w:val="00F95F04"/>
    <w:rsid w:val="00F9799E"/>
    <w:rsid w:val="00F97A85"/>
    <w:rsid w:val="00F97C52"/>
    <w:rsid w:val="00F97F33"/>
    <w:rsid w:val="00FA02E7"/>
    <w:rsid w:val="00FA200A"/>
    <w:rsid w:val="00FA223A"/>
    <w:rsid w:val="00FA383C"/>
    <w:rsid w:val="00FA3F5F"/>
    <w:rsid w:val="00FA402C"/>
    <w:rsid w:val="00FA4B0C"/>
    <w:rsid w:val="00FA4EB1"/>
    <w:rsid w:val="00FA5123"/>
    <w:rsid w:val="00FA541E"/>
    <w:rsid w:val="00FA619A"/>
    <w:rsid w:val="00FA7F6F"/>
    <w:rsid w:val="00FB0281"/>
    <w:rsid w:val="00FB0645"/>
    <w:rsid w:val="00FB0D4E"/>
    <w:rsid w:val="00FB0D9C"/>
    <w:rsid w:val="00FB1003"/>
    <w:rsid w:val="00FB13FE"/>
    <w:rsid w:val="00FB1A28"/>
    <w:rsid w:val="00FB1D27"/>
    <w:rsid w:val="00FB1DC4"/>
    <w:rsid w:val="00FB1FF6"/>
    <w:rsid w:val="00FB2164"/>
    <w:rsid w:val="00FB222D"/>
    <w:rsid w:val="00FB27CE"/>
    <w:rsid w:val="00FB343E"/>
    <w:rsid w:val="00FB3557"/>
    <w:rsid w:val="00FB3D28"/>
    <w:rsid w:val="00FB4300"/>
    <w:rsid w:val="00FB46FF"/>
    <w:rsid w:val="00FB50BD"/>
    <w:rsid w:val="00FB52D1"/>
    <w:rsid w:val="00FB67AB"/>
    <w:rsid w:val="00FB6807"/>
    <w:rsid w:val="00FB6C2D"/>
    <w:rsid w:val="00FB78F9"/>
    <w:rsid w:val="00FB7FC7"/>
    <w:rsid w:val="00FC0680"/>
    <w:rsid w:val="00FC0D05"/>
    <w:rsid w:val="00FC1572"/>
    <w:rsid w:val="00FC1877"/>
    <w:rsid w:val="00FC1F99"/>
    <w:rsid w:val="00FC20F0"/>
    <w:rsid w:val="00FC23D4"/>
    <w:rsid w:val="00FC2867"/>
    <w:rsid w:val="00FC2F6A"/>
    <w:rsid w:val="00FC368E"/>
    <w:rsid w:val="00FC4236"/>
    <w:rsid w:val="00FC427C"/>
    <w:rsid w:val="00FC4338"/>
    <w:rsid w:val="00FC50E0"/>
    <w:rsid w:val="00FC5AF8"/>
    <w:rsid w:val="00FC5D50"/>
    <w:rsid w:val="00FC6CDB"/>
    <w:rsid w:val="00FC6FA5"/>
    <w:rsid w:val="00FD002C"/>
    <w:rsid w:val="00FD01E9"/>
    <w:rsid w:val="00FD1402"/>
    <w:rsid w:val="00FD16B8"/>
    <w:rsid w:val="00FD228B"/>
    <w:rsid w:val="00FD261E"/>
    <w:rsid w:val="00FD2EF8"/>
    <w:rsid w:val="00FD2F60"/>
    <w:rsid w:val="00FD32C1"/>
    <w:rsid w:val="00FD34EA"/>
    <w:rsid w:val="00FD357C"/>
    <w:rsid w:val="00FD36A9"/>
    <w:rsid w:val="00FD3C41"/>
    <w:rsid w:val="00FD4825"/>
    <w:rsid w:val="00FD4B75"/>
    <w:rsid w:val="00FD4EBE"/>
    <w:rsid w:val="00FD5C51"/>
    <w:rsid w:val="00FD6A6D"/>
    <w:rsid w:val="00FD6AB9"/>
    <w:rsid w:val="00FD6E0F"/>
    <w:rsid w:val="00FD726D"/>
    <w:rsid w:val="00FE08A5"/>
    <w:rsid w:val="00FE1138"/>
    <w:rsid w:val="00FE126E"/>
    <w:rsid w:val="00FE131D"/>
    <w:rsid w:val="00FE2789"/>
    <w:rsid w:val="00FE2CA0"/>
    <w:rsid w:val="00FE3841"/>
    <w:rsid w:val="00FE3D5D"/>
    <w:rsid w:val="00FE444C"/>
    <w:rsid w:val="00FE44E4"/>
    <w:rsid w:val="00FE49CE"/>
    <w:rsid w:val="00FE54D5"/>
    <w:rsid w:val="00FE580E"/>
    <w:rsid w:val="00FE591E"/>
    <w:rsid w:val="00FE5D3E"/>
    <w:rsid w:val="00FE68BC"/>
    <w:rsid w:val="00FE6AB1"/>
    <w:rsid w:val="00FE7991"/>
    <w:rsid w:val="00FE79E9"/>
    <w:rsid w:val="00FF05D2"/>
    <w:rsid w:val="00FF0F6C"/>
    <w:rsid w:val="00FF206D"/>
    <w:rsid w:val="00FF2690"/>
    <w:rsid w:val="00FF2A28"/>
    <w:rsid w:val="00FF3757"/>
    <w:rsid w:val="00FF3D3F"/>
    <w:rsid w:val="00FF3F74"/>
    <w:rsid w:val="00FF417C"/>
    <w:rsid w:val="00FF4A07"/>
    <w:rsid w:val="00FF4BDB"/>
    <w:rsid w:val="00FF5417"/>
    <w:rsid w:val="00FF57D3"/>
    <w:rsid w:val="00FF589D"/>
    <w:rsid w:val="00FF67D8"/>
    <w:rsid w:val="00FF6B14"/>
    <w:rsid w:val="00FF75E4"/>
    <w:rsid w:val="011DF5E0"/>
    <w:rsid w:val="013DA0A3"/>
    <w:rsid w:val="02B4B49E"/>
    <w:rsid w:val="02D5E5CF"/>
    <w:rsid w:val="03979D71"/>
    <w:rsid w:val="03CEDE56"/>
    <w:rsid w:val="03DCEB34"/>
    <w:rsid w:val="045436C1"/>
    <w:rsid w:val="04DAF537"/>
    <w:rsid w:val="050D6622"/>
    <w:rsid w:val="05B11795"/>
    <w:rsid w:val="0637AE7F"/>
    <w:rsid w:val="063ABE87"/>
    <w:rsid w:val="063E6D5C"/>
    <w:rsid w:val="069B230E"/>
    <w:rsid w:val="0712F927"/>
    <w:rsid w:val="07777C8B"/>
    <w:rsid w:val="07DA3A98"/>
    <w:rsid w:val="080364B6"/>
    <w:rsid w:val="08191468"/>
    <w:rsid w:val="081EF7E0"/>
    <w:rsid w:val="082EEBE3"/>
    <w:rsid w:val="09063380"/>
    <w:rsid w:val="095A7944"/>
    <w:rsid w:val="09C74750"/>
    <w:rsid w:val="0A5CCA96"/>
    <w:rsid w:val="0AA41661"/>
    <w:rsid w:val="0B78010E"/>
    <w:rsid w:val="0CD41905"/>
    <w:rsid w:val="0CE47506"/>
    <w:rsid w:val="0D9B4B13"/>
    <w:rsid w:val="0DACE5FC"/>
    <w:rsid w:val="0DE2AE95"/>
    <w:rsid w:val="0DF38492"/>
    <w:rsid w:val="0DF86BD9"/>
    <w:rsid w:val="0E3A9C59"/>
    <w:rsid w:val="0E7E7424"/>
    <w:rsid w:val="0EDB31AC"/>
    <w:rsid w:val="0F061462"/>
    <w:rsid w:val="1053EAED"/>
    <w:rsid w:val="11676DFA"/>
    <w:rsid w:val="11AADF2E"/>
    <w:rsid w:val="121738FC"/>
    <w:rsid w:val="12CCBEE3"/>
    <w:rsid w:val="135D6E5A"/>
    <w:rsid w:val="136B8307"/>
    <w:rsid w:val="13E0502E"/>
    <w:rsid w:val="1422FACA"/>
    <w:rsid w:val="14285787"/>
    <w:rsid w:val="1444B4CE"/>
    <w:rsid w:val="146B15B5"/>
    <w:rsid w:val="148C42BF"/>
    <w:rsid w:val="14B03219"/>
    <w:rsid w:val="15252FF5"/>
    <w:rsid w:val="15EFF4DA"/>
    <w:rsid w:val="16A9F1EB"/>
    <w:rsid w:val="16C6AFC9"/>
    <w:rsid w:val="16F14F99"/>
    <w:rsid w:val="17EFE77C"/>
    <w:rsid w:val="18B7F3E6"/>
    <w:rsid w:val="190670EE"/>
    <w:rsid w:val="1A1C4950"/>
    <w:rsid w:val="1A653596"/>
    <w:rsid w:val="1AEDCFD6"/>
    <w:rsid w:val="1C9555E7"/>
    <w:rsid w:val="1CC9D90C"/>
    <w:rsid w:val="1CD0DD74"/>
    <w:rsid w:val="1D3031D1"/>
    <w:rsid w:val="1D47C091"/>
    <w:rsid w:val="1D67A0B3"/>
    <w:rsid w:val="1D720D6F"/>
    <w:rsid w:val="1D85DEAE"/>
    <w:rsid w:val="1EA988DE"/>
    <w:rsid w:val="203C6A23"/>
    <w:rsid w:val="204AE9BF"/>
    <w:rsid w:val="2089112E"/>
    <w:rsid w:val="20B17133"/>
    <w:rsid w:val="20D4601D"/>
    <w:rsid w:val="210FE6DB"/>
    <w:rsid w:val="212E5357"/>
    <w:rsid w:val="21DA19DF"/>
    <w:rsid w:val="2215FD69"/>
    <w:rsid w:val="226F1912"/>
    <w:rsid w:val="2279D31A"/>
    <w:rsid w:val="22E484CF"/>
    <w:rsid w:val="233EBB0C"/>
    <w:rsid w:val="23F88FF7"/>
    <w:rsid w:val="23FB5A77"/>
    <w:rsid w:val="2531A484"/>
    <w:rsid w:val="255B99AB"/>
    <w:rsid w:val="258F799B"/>
    <w:rsid w:val="25B06457"/>
    <w:rsid w:val="2657383F"/>
    <w:rsid w:val="265A644A"/>
    <w:rsid w:val="26E5C052"/>
    <w:rsid w:val="2789BDFA"/>
    <w:rsid w:val="278C22B5"/>
    <w:rsid w:val="27DE4F65"/>
    <w:rsid w:val="29AF95AD"/>
    <w:rsid w:val="2AD79AAD"/>
    <w:rsid w:val="2ADBD36C"/>
    <w:rsid w:val="2B99DD56"/>
    <w:rsid w:val="2BF73F48"/>
    <w:rsid w:val="2D4D393F"/>
    <w:rsid w:val="2D5AD26F"/>
    <w:rsid w:val="2D721978"/>
    <w:rsid w:val="2E720E8F"/>
    <w:rsid w:val="2EC83A77"/>
    <w:rsid w:val="2F7E663F"/>
    <w:rsid w:val="2FC32853"/>
    <w:rsid w:val="2FCF2ED2"/>
    <w:rsid w:val="30834279"/>
    <w:rsid w:val="308C689F"/>
    <w:rsid w:val="30C09772"/>
    <w:rsid w:val="31421868"/>
    <w:rsid w:val="31448E99"/>
    <w:rsid w:val="31815BFC"/>
    <w:rsid w:val="32AE50EB"/>
    <w:rsid w:val="32D47206"/>
    <w:rsid w:val="3340781E"/>
    <w:rsid w:val="33CE734D"/>
    <w:rsid w:val="33EB5D64"/>
    <w:rsid w:val="344B8197"/>
    <w:rsid w:val="34849506"/>
    <w:rsid w:val="34996175"/>
    <w:rsid w:val="34D24D8A"/>
    <w:rsid w:val="35714150"/>
    <w:rsid w:val="3621D384"/>
    <w:rsid w:val="3635F1A8"/>
    <w:rsid w:val="3873EB4A"/>
    <w:rsid w:val="387CC066"/>
    <w:rsid w:val="3897878A"/>
    <w:rsid w:val="393EBB83"/>
    <w:rsid w:val="39AC6CD6"/>
    <w:rsid w:val="3A0F432D"/>
    <w:rsid w:val="3A532D76"/>
    <w:rsid w:val="3A8CB24A"/>
    <w:rsid w:val="3A9069ED"/>
    <w:rsid w:val="3AD5BE82"/>
    <w:rsid w:val="3B1D3EC7"/>
    <w:rsid w:val="3B23A16D"/>
    <w:rsid w:val="3DA44F87"/>
    <w:rsid w:val="3DB5FF22"/>
    <w:rsid w:val="3E0EAB6B"/>
    <w:rsid w:val="3E1B3656"/>
    <w:rsid w:val="3EFD3AA4"/>
    <w:rsid w:val="3F16FBF2"/>
    <w:rsid w:val="3FE9C251"/>
    <w:rsid w:val="40485E81"/>
    <w:rsid w:val="4163B37B"/>
    <w:rsid w:val="41ECC284"/>
    <w:rsid w:val="427D3518"/>
    <w:rsid w:val="42976548"/>
    <w:rsid w:val="43CE0D07"/>
    <w:rsid w:val="43DBDC2A"/>
    <w:rsid w:val="43FF4FE2"/>
    <w:rsid w:val="44197101"/>
    <w:rsid w:val="445D0B83"/>
    <w:rsid w:val="4499655F"/>
    <w:rsid w:val="44A1169E"/>
    <w:rsid w:val="44EC1563"/>
    <w:rsid w:val="45CF4A76"/>
    <w:rsid w:val="46489466"/>
    <w:rsid w:val="466CE7A5"/>
    <w:rsid w:val="4720795B"/>
    <w:rsid w:val="47B311E2"/>
    <w:rsid w:val="48160857"/>
    <w:rsid w:val="48495DC0"/>
    <w:rsid w:val="489A45C2"/>
    <w:rsid w:val="4933A1DB"/>
    <w:rsid w:val="493849CE"/>
    <w:rsid w:val="496A6F15"/>
    <w:rsid w:val="49A7A4CA"/>
    <w:rsid w:val="49AC8AD9"/>
    <w:rsid w:val="4A20A786"/>
    <w:rsid w:val="4A2CA83D"/>
    <w:rsid w:val="4B110B22"/>
    <w:rsid w:val="4B1202FA"/>
    <w:rsid w:val="4B4FDAF3"/>
    <w:rsid w:val="4B6310F6"/>
    <w:rsid w:val="4BC82162"/>
    <w:rsid w:val="4C30D21D"/>
    <w:rsid w:val="4CD967D1"/>
    <w:rsid w:val="4CDE8EE0"/>
    <w:rsid w:val="4D67A212"/>
    <w:rsid w:val="4D7DF05B"/>
    <w:rsid w:val="4DF56F6F"/>
    <w:rsid w:val="4E1CEA81"/>
    <w:rsid w:val="4E51CB34"/>
    <w:rsid w:val="500DF728"/>
    <w:rsid w:val="50F96D6D"/>
    <w:rsid w:val="514C9356"/>
    <w:rsid w:val="51D3E1EA"/>
    <w:rsid w:val="5205A05F"/>
    <w:rsid w:val="5211D704"/>
    <w:rsid w:val="523D0E36"/>
    <w:rsid w:val="527B02E4"/>
    <w:rsid w:val="5281F4AC"/>
    <w:rsid w:val="52B8FCAF"/>
    <w:rsid w:val="53042BBD"/>
    <w:rsid w:val="534D9932"/>
    <w:rsid w:val="535B8FA7"/>
    <w:rsid w:val="53AF9383"/>
    <w:rsid w:val="53D08A18"/>
    <w:rsid w:val="5455DDDC"/>
    <w:rsid w:val="54EC8928"/>
    <w:rsid w:val="56A02FB6"/>
    <w:rsid w:val="56D2BDCA"/>
    <w:rsid w:val="5740E168"/>
    <w:rsid w:val="57F0E848"/>
    <w:rsid w:val="589B7D49"/>
    <w:rsid w:val="58B666D4"/>
    <w:rsid w:val="58BD8CFC"/>
    <w:rsid w:val="5943C929"/>
    <w:rsid w:val="59676743"/>
    <w:rsid w:val="59BDEED5"/>
    <w:rsid w:val="5A27FA0D"/>
    <w:rsid w:val="5A92ABF5"/>
    <w:rsid w:val="5AF3DAE5"/>
    <w:rsid w:val="5B1CD576"/>
    <w:rsid w:val="5B4E4607"/>
    <w:rsid w:val="5BBAC002"/>
    <w:rsid w:val="5C04E3D0"/>
    <w:rsid w:val="5C0B7E4F"/>
    <w:rsid w:val="5CDED55C"/>
    <w:rsid w:val="5D0549CF"/>
    <w:rsid w:val="5D51377A"/>
    <w:rsid w:val="5DE5D6C7"/>
    <w:rsid w:val="5E26F37A"/>
    <w:rsid w:val="5EC7FF97"/>
    <w:rsid w:val="5F020435"/>
    <w:rsid w:val="5F48870B"/>
    <w:rsid w:val="60007E5C"/>
    <w:rsid w:val="6050D0B9"/>
    <w:rsid w:val="60E5DF48"/>
    <w:rsid w:val="61786AF5"/>
    <w:rsid w:val="61966E35"/>
    <w:rsid w:val="6244B6A6"/>
    <w:rsid w:val="6294D84A"/>
    <w:rsid w:val="62E21DD3"/>
    <w:rsid w:val="639D1509"/>
    <w:rsid w:val="63B59EE9"/>
    <w:rsid w:val="63F696C7"/>
    <w:rsid w:val="6449881C"/>
    <w:rsid w:val="65040AB8"/>
    <w:rsid w:val="651492CA"/>
    <w:rsid w:val="654757EF"/>
    <w:rsid w:val="6577D706"/>
    <w:rsid w:val="65FC129F"/>
    <w:rsid w:val="66348BC3"/>
    <w:rsid w:val="665D5B8A"/>
    <w:rsid w:val="66764311"/>
    <w:rsid w:val="673867AB"/>
    <w:rsid w:val="67454E0F"/>
    <w:rsid w:val="674691FD"/>
    <w:rsid w:val="6897CC75"/>
    <w:rsid w:val="6A0275A0"/>
    <w:rsid w:val="6A183C24"/>
    <w:rsid w:val="6A6579AB"/>
    <w:rsid w:val="6A85AE43"/>
    <w:rsid w:val="6AA09D51"/>
    <w:rsid w:val="6ACB54D5"/>
    <w:rsid w:val="6BA02FAF"/>
    <w:rsid w:val="6BF0CCE3"/>
    <w:rsid w:val="6CAA746A"/>
    <w:rsid w:val="6CAFA01B"/>
    <w:rsid w:val="6D1D0FD3"/>
    <w:rsid w:val="6E872148"/>
    <w:rsid w:val="6E8D3BC7"/>
    <w:rsid w:val="6EC9BBC0"/>
    <w:rsid w:val="6EE6F405"/>
    <w:rsid w:val="6EED8B4A"/>
    <w:rsid w:val="6F4E86D1"/>
    <w:rsid w:val="6FD281C6"/>
    <w:rsid w:val="6FE8AD57"/>
    <w:rsid w:val="70002D6A"/>
    <w:rsid w:val="70350F3C"/>
    <w:rsid w:val="703C3A28"/>
    <w:rsid w:val="704EE62A"/>
    <w:rsid w:val="705036CD"/>
    <w:rsid w:val="717DEA7B"/>
    <w:rsid w:val="718C19A5"/>
    <w:rsid w:val="72856012"/>
    <w:rsid w:val="72CA1320"/>
    <w:rsid w:val="7300EABD"/>
    <w:rsid w:val="7327EFEF"/>
    <w:rsid w:val="741C5DDB"/>
    <w:rsid w:val="746054CE"/>
    <w:rsid w:val="74FD85CD"/>
    <w:rsid w:val="7501275B"/>
    <w:rsid w:val="75069836"/>
    <w:rsid w:val="76D39635"/>
    <w:rsid w:val="771E238B"/>
    <w:rsid w:val="78320FF0"/>
    <w:rsid w:val="786CDE85"/>
    <w:rsid w:val="78B95AC2"/>
    <w:rsid w:val="78CF46DD"/>
    <w:rsid w:val="791DCFE6"/>
    <w:rsid w:val="792D96A3"/>
    <w:rsid w:val="79DAB889"/>
    <w:rsid w:val="7B356DB6"/>
    <w:rsid w:val="7B801C8B"/>
    <w:rsid w:val="7BC143BB"/>
    <w:rsid w:val="7C074F98"/>
    <w:rsid w:val="7C9A4962"/>
    <w:rsid w:val="7CA1706B"/>
    <w:rsid w:val="7CC140C4"/>
    <w:rsid w:val="7D4CEECF"/>
    <w:rsid w:val="7D59A0B8"/>
    <w:rsid w:val="7D7F4517"/>
    <w:rsid w:val="7DF573F6"/>
    <w:rsid w:val="7E0AEA99"/>
    <w:rsid w:val="7E2AE208"/>
    <w:rsid w:val="7E362C59"/>
    <w:rsid w:val="7E7E0B90"/>
    <w:rsid w:val="7EDB77A0"/>
    <w:rsid w:val="7F8A1175"/>
    <w:rsid w:val="7FB023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07C57"/>
  <w15:chartTrackingRefBased/>
  <w15:docId w15:val="{D0A27425-E8B3-488A-A902-FA45CB60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4B2"/>
  </w:style>
  <w:style w:type="paragraph" w:styleId="Heading1">
    <w:name w:val="heading 1"/>
    <w:basedOn w:val="Normal"/>
    <w:next w:val="Normal"/>
    <w:link w:val="Heading1Char"/>
    <w:uiPriority w:val="9"/>
    <w:qFormat/>
    <w:rsid w:val="00F16F3E"/>
    <w:pPr>
      <w:keepNext/>
      <w:keepLines/>
      <w:numPr>
        <w:numId w:val="7"/>
      </w:numPr>
      <w:spacing w:after="12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F16F3E"/>
    <w:pPr>
      <w:keepNext/>
      <w:keepLines/>
      <w:numPr>
        <w:ilvl w:val="1"/>
        <w:numId w:val="7"/>
      </w:numPr>
      <w:spacing w:after="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EE708D"/>
    <w:pPr>
      <w:keepNext/>
      <w:keepLines/>
      <w:numPr>
        <w:ilvl w:val="2"/>
        <w:numId w:val="7"/>
      </w:numPr>
      <w:spacing w:before="160" w:after="80"/>
      <w:outlineLvl w:val="2"/>
    </w:pPr>
    <w:rPr>
      <w:rFonts w:eastAsiaTheme="majorEastAsia" w:cstheme="majorBidi"/>
      <w:color w:val="0F4761" w:themeColor="accent1" w:themeShade="BF"/>
      <w:sz w:val="24"/>
      <w:szCs w:val="24"/>
    </w:rPr>
  </w:style>
  <w:style w:type="paragraph" w:styleId="Heading4">
    <w:name w:val="heading 4"/>
    <w:basedOn w:val="Normal"/>
    <w:next w:val="Normal"/>
    <w:link w:val="Heading4Char"/>
    <w:uiPriority w:val="9"/>
    <w:unhideWhenUsed/>
    <w:qFormat/>
    <w:rsid w:val="009C7DF1"/>
    <w:pPr>
      <w:keepNext/>
      <w:keepLines/>
      <w:numPr>
        <w:ilvl w:val="3"/>
        <w:numId w:val="7"/>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D52B83"/>
    <w:pPr>
      <w:keepNext/>
      <w:keepLines/>
      <w:numPr>
        <w:ilvl w:val="4"/>
        <w:numId w:val="7"/>
      </w:numPr>
      <w:spacing w:before="40" w:after="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unhideWhenUsed/>
    <w:qFormat/>
    <w:rsid w:val="001F1D58"/>
    <w:pPr>
      <w:keepNext/>
      <w:keepLines/>
      <w:spacing w:before="40" w:after="8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78235B"/>
    <w:pPr>
      <w:keepNext/>
      <w:keepLines/>
      <w:spacing w:before="40" w:after="0"/>
      <w:outlineLvl w:val="6"/>
    </w:pPr>
    <w:rPr>
      <w:rFonts w:eastAsiaTheme="majorEastAsia" w:cstheme="majorBidi"/>
      <w:b/>
      <w:bCs/>
      <w:color w:val="595959" w:themeColor="text1" w:themeTint="A6"/>
    </w:rPr>
  </w:style>
  <w:style w:type="paragraph" w:styleId="Heading8">
    <w:name w:val="heading 8"/>
    <w:basedOn w:val="Normal"/>
    <w:next w:val="Normal"/>
    <w:link w:val="Heading8Char"/>
    <w:uiPriority w:val="9"/>
    <w:semiHidden/>
    <w:unhideWhenUsed/>
    <w:qFormat/>
    <w:rsid w:val="009C7D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D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F3E"/>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F16F3E"/>
    <w:rPr>
      <w:rFonts w:asciiTheme="majorHAnsi" w:eastAsiaTheme="majorEastAsia" w:hAnsiTheme="majorHAnsi" w:cstheme="majorBidi"/>
      <w:sz w:val="26"/>
      <w:szCs w:val="26"/>
    </w:rPr>
  </w:style>
  <w:style w:type="character" w:customStyle="1" w:styleId="Heading5Char">
    <w:name w:val="Heading 5 Char"/>
    <w:basedOn w:val="DefaultParagraphFont"/>
    <w:link w:val="Heading5"/>
    <w:uiPriority w:val="9"/>
    <w:rsid w:val="00D52B83"/>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rsid w:val="00EE708D"/>
    <w:rPr>
      <w:rFonts w:eastAsiaTheme="majorEastAsia" w:cstheme="majorBidi"/>
      <w:color w:val="0F4761" w:themeColor="accent1" w:themeShade="BF"/>
      <w:sz w:val="24"/>
      <w:szCs w:val="24"/>
    </w:rPr>
  </w:style>
  <w:style w:type="character" w:customStyle="1" w:styleId="Heading4Char">
    <w:name w:val="Heading 4 Char"/>
    <w:basedOn w:val="DefaultParagraphFont"/>
    <w:link w:val="Heading4"/>
    <w:uiPriority w:val="9"/>
    <w:rsid w:val="009C7DF1"/>
    <w:rPr>
      <w:rFonts w:eastAsiaTheme="majorEastAsia" w:cstheme="majorBidi"/>
      <w:i/>
      <w:iCs/>
      <w:color w:val="0F4761" w:themeColor="accent1" w:themeShade="BF"/>
    </w:rPr>
  </w:style>
  <w:style w:type="character" w:customStyle="1" w:styleId="Heading6Char">
    <w:name w:val="Heading 6 Char"/>
    <w:basedOn w:val="DefaultParagraphFont"/>
    <w:link w:val="Heading6"/>
    <w:uiPriority w:val="9"/>
    <w:rsid w:val="001F1D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78235B"/>
    <w:rPr>
      <w:rFonts w:eastAsiaTheme="majorEastAsia" w:cstheme="majorBidi"/>
      <w:b/>
      <w:bCs/>
      <w:color w:val="595959" w:themeColor="text1" w:themeTint="A6"/>
    </w:rPr>
  </w:style>
  <w:style w:type="character" w:customStyle="1" w:styleId="Heading8Char">
    <w:name w:val="Heading 8 Char"/>
    <w:basedOn w:val="DefaultParagraphFont"/>
    <w:link w:val="Heading8"/>
    <w:uiPriority w:val="9"/>
    <w:semiHidden/>
    <w:rsid w:val="009C7D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DF1"/>
    <w:rPr>
      <w:rFonts w:eastAsiaTheme="majorEastAsia" w:cstheme="majorBidi"/>
      <w:color w:val="272727" w:themeColor="text1" w:themeTint="D8"/>
    </w:rPr>
  </w:style>
  <w:style w:type="paragraph" w:styleId="Title">
    <w:name w:val="Title"/>
    <w:basedOn w:val="Normal"/>
    <w:next w:val="Normal"/>
    <w:link w:val="TitleChar"/>
    <w:uiPriority w:val="10"/>
    <w:qFormat/>
    <w:rsid w:val="009C7D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D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D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D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DF1"/>
    <w:pPr>
      <w:spacing w:before="160"/>
      <w:jc w:val="center"/>
    </w:pPr>
    <w:rPr>
      <w:i/>
      <w:iCs/>
      <w:color w:val="404040" w:themeColor="text1" w:themeTint="BF"/>
    </w:rPr>
  </w:style>
  <w:style w:type="character" w:customStyle="1" w:styleId="QuoteChar">
    <w:name w:val="Quote Char"/>
    <w:basedOn w:val="DefaultParagraphFont"/>
    <w:link w:val="Quote"/>
    <w:uiPriority w:val="29"/>
    <w:rsid w:val="009C7DF1"/>
    <w:rPr>
      <w:i/>
      <w:iCs/>
      <w:color w:val="404040" w:themeColor="text1" w:themeTint="BF"/>
    </w:rPr>
  </w:style>
  <w:style w:type="paragraph" w:styleId="ListParagraph">
    <w:name w:val="List Paragraph"/>
    <w:basedOn w:val="Normal"/>
    <w:uiPriority w:val="34"/>
    <w:qFormat/>
    <w:rsid w:val="009C7DF1"/>
    <w:pPr>
      <w:ind w:left="720"/>
      <w:contextualSpacing/>
    </w:pPr>
  </w:style>
  <w:style w:type="character" w:styleId="IntenseEmphasis">
    <w:name w:val="Intense Emphasis"/>
    <w:basedOn w:val="DefaultParagraphFont"/>
    <w:uiPriority w:val="21"/>
    <w:qFormat/>
    <w:rsid w:val="009C7DF1"/>
    <w:rPr>
      <w:i/>
      <w:iCs/>
      <w:color w:val="0F4761" w:themeColor="accent1" w:themeShade="BF"/>
    </w:rPr>
  </w:style>
  <w:style w:type="paragraph" w:styleId="IntenseQuote">
    <w:name w:val="Intense Quote"/>
    <w:basedOn w:val="Normal"/>
    <w:next w:val="Normal"/>
    <w:link w:val="IntenseQuoteChar"/>
    <w:uiPriority w:val="30"/>
    <w:qFormat/>
    <w:rsid w:val="009C7D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DF1"/>
    <w:rPr>
      <w:i/>
      <w:iCs/>
      <w:color w:val="0F4761" w:themeColor="accent1" w:themeShade="BF"/>
    </w:rPr>
  </w:style>
  <w:style w:type="character" w:styleId="IntenseReference">
    <w:name w:val="Intense Reference"/>
    <w:basedOn w:val="DefaultParagraphFont"/>
    <w:uiPriority w:val="32"/>
    <w:qFormat/>
    <w:rsid w:val="009C7DF1"/>
    <w:rPr>
      <w:b/>
      <w:bCs/>
      <w:smallCaps/>
      <w:color w:val="0F4761" w:themeColor="accent1" w:themeShade="BF"/>
      <w:spacing w:val="5"/>
    </w:rPr>
  </w:style>
  <w:style w:type="paragraph" w:styleId="TOCHeading">
    <w:name w:val="TOC Heading"/>
    <w:basedOn w:val="Heading1"/>
    <w:next w:val="Normal"/>
    <w:uiPriority w:val="39"/>
    <w:unhideWhenUsed/>
    <w:qFormat/>
    <w:rsid w:val="00795268"/>
    <w:pPr>
      <w:spacing w:before="240" w:after="0"/>
      <w:outlineLvl w:val="9"/>
    </w:pPr>
    <w:rPr>
      <w:lang w:val="en-US"/>
    </w:rPr>
  </w:style>
  <w:style w:type="paragraph" w:styleId="TOC1">
    <w:name w:val="toc 1"/>
    <w:basedOn w:val="Normal"/>
    <w:next w:val="Normal"/>
    <w:autoRedefine/>
    <w:uiPriority w:val="39"/>
    <w:unhideWhenUsed/>
    <w:rsid w:val="006E5273"/>
    <w:pPr>
      <w:spacing w:after="100"/>
    </w:pPr>
  </w:style>
  <w:style w:type="paragraph" w:styleId="TOC2">
    <w:name w:val="toc 2"/>
    <w:basedOn w:val="Normal"/>
    <w:next w:val="Normal"/>
    <w:autoRedefine/>
    <w:uiPriority w:val="39"/>
    <w:unhideWhenUsed/>
    <w:rsid w:val="006E5273"/>
    <w:pPr>
      <w:spacing w:after="100"/>
      <w:ind w:left="220"/>
    </w:pPr>
  </w:style>
  <w:style w:type="character" w:styleId="Hyperlink">
    <w:name w:val="Hyperlink"/>
    <w:basedOn w:val="DefaultParagraphFont"/>
    <w:uiPriority w:val="99"/>
    <w:unhideWhenUsed/>
    <w:rsid w:val="006E5273"/>
    <w:rPr>
      <w:color w:val="467886" w:themeColor="hyperlink"/>
      <w:u w:val="single"/>
    </w:rPr>
  </w:style>
  <w:style w:type="paragraph" w:styleId="TOC3">
    <w:name w:val="toc 3"/>
    <w:basedOn w:val="Normal"/>
    <w:next w:val="Normal"/>
    <w:autoRedefine/>
    <w:uiPriority w:val="39"/>
    <w:unhideWhenUsed/>
    <w:rsid w:val="002150F1"/>
    <w:pPr>
      <w:spacing w:after="100"/>
      <w:ind w:left="440"/>
    </w:pPr>
  </w:style>
  <w:style w:type="character" w:customStyle="1" w:styleId="wacimagecontainer">
    <w:name w:val="wacimagecontainer"/>
    <w:basedOn w:val="DefaultParagraphFont"/>
    <w:rsid w:val="00E06777"/>
  </w:style>
  <w:style w:type="table" w:styleId="TableGrid">
    <w:name w:val="Table Grid"/>
    <w:basedOn w:val="TableNormal"/>
    <w:uiPriority w:val="39"/>
    <w:rsid w:val="008B5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E6B"/>
    <w:rPr>
      <w:sz w:val="16"/>
      <w:szCs w:val="16"/>
    </w:rPr>
  </w:style>
  <w:style w:type="paragraph" w:styleId="CommentText">
    <w:name w:val="annotation text"/>
    <w:basedOn w:val="Normal"/>
    <w:link w:val="CommentTextChar"/>
    <w:uiPriority w:val="99"/>
    <w:unhideWhenUsed/>
    <w:rsid w:val="00EE0E6B"/>
    <w:pPr>
      <w:spacing w:line="240" w:lineRule="auto"/>
    </w:pPr>
    <w:rPr>
      <w:sz w:val="20"/>
      <w:szCs w:val="20"/>
    </w:rPr>
  </w:style>
  <w:style w:type="character" w:customStyle="1" w:styleId="CommentTextChar">
    <w:name w:val="Comment Text Char"/>
    <w:basedOn w:val="DefaultParagraphFont"/>
    <w:link w:val="CommentText"/>
    <w:uiPriority w:val="99"/>
    <w:rsid w:val="00EE0E6B"/>
    <w:rPr>
      <w:sz w:val="20"/>
      <w:szCs w:val="20"/>
    </w:rPr>
  </w:style>
  <w:style w:type="table" w:styleId="TableGridLight">
    <w:name w:val="Grid Table Light"/>
    <w:basedOn w:val="TableNormal"/>
    <w:uiPriority w:val="40"/>
    <w:rsid w:val="006D7B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F1A9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C6C15"/>
    <w:rPr>
      <w:b/>
      <w:bCs/>
    </w:rPr>
  </w:style>
  <w:style w:type="character" w:customStyle="1" w:styleId="CommentSubjectChar">
    <w:name w:val="Comment Subject Char"/>
    <w:basedOn w:val="CommentTextChar"/>
    <w:link w:val="CommentSubject"/>
    <w:uiPriority w:val="99"/>
    <w:semiHidden/>
    <w:rsid w:val="001C6C15"/>
    <w:rPr>
      <w:b/>
      <w:bCs/>
      <w:sz w:val="20"/>
      <w:szCs w:val="20"/>
    </w:rPr>
  </w:style>
  <w:style w:type="table" w:customStyle="1" w:styleId="TableGrid1">
    <w:name w:val="Table Grid1"/>
    <w:basedOn w:val="TableNormal"/>
    <w:next w:val="TableGrid"/>
    <w:uiPriority w:val="39"/>
    <w:rsid w:val="00520E63"/>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D3DEC"/>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A179AA"/>
    <w:rPr>
      <w:color w:val="2B579A"/>
      <w:shd w:val="clear" w:color="auto" w:fill="E1DFDD"/>
    </w:rPr>
  </w:style>
  <w:style w:type="paragraph" w:styleId="Header">
    <w:name w:val="header"/>
    <w:basedOn w:val="Normal"/>
    <w:link w:val="HeaderChar"/>
    <w:uiPriority w:val="99"/>
    <w:unhideWhenUsed/>
    <w:rsid w:val="00895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994"/>
  </w:style>
  <w:style w:type="paragraph" w:styleId="Footer">
    <w:name w:val="footer"/>
    <w:basedOn w:val="Normal"/>
    <w:link w:val="FooterChar"/>
    <w:uiPriority w:val="99"/>
    <w:unhideWhenUsed/>
    <w:rsid w:val="00895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994"/>
  </w:style>
  <w:style w:type="paragraph" w:styleId="NormalWeb">
    <w:name w:val="Normal (Web)"/>
    <w:basedOn w:val="Normal"/>
    <w:uiPriority w:val="99"/>
    <w:semiHidden/>
    <w:unhideWhenUsed/>
    <w:rsid w:val="00A06D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6F31BF"/>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6F31BF"/>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6F31BF"/>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6F31BF"/>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6F31BF"/>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6F31BF"/>
    <w:pPr>
      <w:spacing w:after="100" w:line="278" w:lineRule="auto"/>
      <w:ind w:left="1920"/>
    </w:pPr>
    <w:rPr>
      <w:rFonts w:eastAsiaTheme="minorEastAsia"/>
      <w:kern w:val="2"/>
      <w:sz w:val="24"/>
      <w:szCs w:val="24"/>
      <w:lang w:eastAsia="en-GB"/>
      <w14:ligatures w14:val="standardContextual"/>
    </w:rPr>
  </w:style>
  <w:style w:type="paragraph" w:styleId="FootnoteText">
    <w:name w:val="footnote text"/>
    <w:basedOn w:val="Normal"/>
    <w:link w:val="FootnoteTextChar"/>
    <w:uiPriority w:val="99"/>
    <w:semiHidden/>
    <w:unhideWhenUsed/>
    <w:rsid w:val="00247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7F06"/>
    <w:rPr>
      <w:sz w:val="20"/>
      <w:szCs w:val="20"/>
    </w:rPr>
  </w:style>
  <w:style w:type="character" w:styleId="FootnoteReference">
    <w:name w:val="footnote reference"/>
    <w:basedOn w:val="DefaultParagraphFont"/>
    <w:uiPriority w:val="99"/>
    <w:unhideWhenUsed/>
    <w:rsid w:val="00247F06"/>
    <w:rPr>
      <w:vertAlign w:val="superscript"/>
    </w:rPr>
  </w:style>
  <w:style w:type="character" w:styleId="FollowedHyperlink">
    <w:name w:val="FollowedHyperlink"/>
    <w:basedOn w:val="DefaultParagraphFont"/>
    <w:uiPriority w:val="99"/>
    <w:semiHidden/>
    <w:unhideWhenUsed/>
    <w:rsid w:val="009531D0"/>
    <w:rPr>
      <w:color w:val="96607D" w:themeColor="followedHyperlink"/>
      <w:u w:val="single"/>
    </w:rPr>
  </w:style>
  <w:style w:type="paragraph" w:styleId="Revision">
    <w:name w:val="Revision"/>
    <w:hidden/>
    <w:uiPriority w:val="99"/>
    <w:semiHidden/>
    <w:rsid w:val="0077375F"/>
    <w:pPr>
      <w:spacing w:after="0" w:line="240" w:lineRule="auto"/>
    </w:pPr>
  </w:style>
  <w:style w:type="character" w:styleId="Strong">
    <w:name w:val="Strong"/>
    <w:basedOn w:val="DefaultParagraphFont"/>
    <w:uiPriority w:val="22"/>
    <w:qFormat/>
    <w:rsid w:val="00A92F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132">
      <w:bodyDiv w:val="1"/>
      <w:marLeft w:val="0"/>
      <w:marRight w:val="0"/>
      <w:marTop w:val="0"/>
      <w:marBottom w:val="0"/>
      <w:divBdr>
        <w:top w:val="none" w:sz="0" w:space="0" w:color="auto"/>
        <w:left w:val="none" w:sz="0" w:space="0" w:color="auto"/>
        <w:bottom w:val="none" w:sz="0" w:space="0" w:color="auto"/>
        <w:right w:val="none" w:sz="0" w:space="0" w:color="auto"/>
      </w:divBdr>
    </w:div>
    <w:div w:id="43985869">
      <w:bodyDiv w:val="1"/>
      <w:marLeft w:val="0"/>
      <w:marRight w:val="0"/>
      <w:marTop w:val="0"/>
      <w:marBottom w:val="0"/>
      <w:divBdr>
        <w:top w:val="none" w:sz="0" w:space="0" w:color="auto"/>
        <w:left w:val="none" w:sz="0" w:space="0" w:color="auto"/>
        <w:bottom w:val="none" w:sz="0" w:space="0" w:color="auto"/>
        <w:right w:val="none" w:sz="0" w:space="0" w:color="auto"/>
      </w:divBdr>
    </w:div>
    <w:div w:id="45683766">
      <w:bodyDiv w:val="1"/>
      <w:marLeft w:val="0"/>
      <w:marRight w:val="0"/>
      <w:marTop w:val="0"/>
      <w:marBottom w:val="0"/>
      <w:divBdr>
        <w:top w:val="none" w:sz="0" w:space="0" w:color="auto"/>
        <w:left w:val="none" w:sz="0" w:space="0" w:color="auto"/>
        <w:bottom w:val="none" w:sz="0" w:space="0" w:color="auto"/>
        <w:right w:val="none" w:sz="0" w:space="0" w:color="auto"/>
      </w:divBdr>
    </w:div>
    <w:div w:id="67113188">
      <w:bodyDiv w:val="1"/>
      <w:marLeft w:val="0"/>
      <w:marRight w:val="0"/>
      <w:marTop w:val="0"/>
      <w:marBottom w:val="0"/>
      <w:divBdr>
        <w:top w:val="none" w:sz="0" w:space="0" w:color="auto"/>
        <w:left w:val="none" w:sz="0" w:space="0" w:color="auto"/>
        <w:bottom w:val="none" w:sz="0" w:space="0" w:color="auto"/>
        <w:right w:val="none" w:sz="0" w:space="0" w:color="auto"/>
      </w:divBdr>
      <w:divsChild>
        <w:div w:id="341325273">
          <w:marLeft w:val="0"/>
          <w:marRight w:val="0"/>
          <w:marTop w:val="0"/>
          <w:marBottom w:val="0"/>
          <w:divBdr>
            <w:top w:val="none" w:sz="0" w:space="0" w:color="auto"/>
            <w:left w:val="none" w:sz="0" w:space="0" w:color="auto"/>
            <w:bottom w:val="none" w:sz="0" w:space="0" w:color="auto"/>
            <w:right w:val="none" w:sz="0" w:space="0" w:color="auto"/>
          </w:divBdr>
        </w:div>
        <w:div w:id="429470952">
          <w:marLeft w:val="0"/>
          <w:marRight w:val="0"/>
          <w:marTop w:val="0"/>
          <w:marBottom w:val="0"/>
          <w:divBdr>
            <w:top w:val="none" w:sz="0" w:space="0" w:color="auto"/>
            <w:left w:val="none" w:sz="0" w:space="0" w:color="auto"/>
            <w:bottom w:val="none" w:sz="0" w:space="0" w:color="auto"/>
            <w:right w:val="none" w:sz="0" w:space="0" w:color="auto"/>
          </w:divBdr>
        </w:div>
        <w:div w:id="827674215">
          <w:marLeft w:val="0"/>
          <w:marRight w:val="0"/>
          <w:marTop w:val="0"/>
          <w:marBottom w:val="0"/>
          <w:divBdr>
            <w:top w:val="none" w:sz="0" w:space="0" w:color="auto"/>
            <w:left w:val="none" w:sz="0" w:space="0" w:color="auto"/>
            <w:bottom w:val="none" w:sz="0" w:space="0" w:color="auto"/>
            <w:right w:val="none" w:sz="0" w:space="0" w:color="auto"/>
          </w:divBdr>
        </w:div>
        <w:div w:id="916330537">
          <w:marLeft w:val="0"/>
          <w:marRight w:val="0"/>
          <w:marTop w:val="0"/>
          <w:marBottom w:val="0"/>
          <w:divBdr>
            <w:top w:val="none" w:sz="0" w:space="0" w:color="auto"/>
            <w:left w:val="none" w:sz="0" w:space="0" w:color="auto"/>
            <w:bottom w:val="none" w:sz="0" w:space="0" w:color="auto"/>
            <w:right w:val="none" w:sz="0" w:space="0" w:color="auto"/>
          </w:divBdr>
        </w:div>
        <w:div w:id="1360475257">
          <w:marLeft w:val="0"/>
          <w:marRight w:val="0"/>
          <w:marTop w:val="0"/>
          <w:marBottom w:val="0"/>
          <w:divBdr>
            <w:top w:val="none" w:sz="0" w:space="0" w:color="auto"/>
            <w:left w:val="none" w:sz="0" w:space="0" w:color="auto"/>
            <w:bottom w:val="none" w:sz="0" w:space="0" w:color="auto"/>
            <w:right w:val="none" w:sz="0" w:space="0" w:color="auto"/>
          </w:divBdr>
        </w:div>
        <w:div w:id="1572496554">
          <w:marLeft w:val="0"/>
          <w:marRight w:val="0"/>
          <w:marTop w:val="0"/>
          <w:marBottom w:val="0"/>
          <w:divBdr>
            <w:top w:val="none" w:sz="0" w:space="0" w:color="auto"/>
            <w:left w:val="none" w:sz="0" w:space="0" w:color="auto"/>
            <w:bottom w:val="none" w:sz="0" w:space="0" w:color="auto"/>
            <w:right w:val="none" w:sz="0" w:space="0" w:color="auto"/>
          </w:divBdr>
        </w:div>
        <w:div w:id="1604344070">
          <w:marLeft w:val="0"/>
          <w:marRight w:val="0"/>
          <w:marTop w:val="0"/>
          <w:marBottom w:val="0"/>
          <w:divBdr>
            <w:top w:val="none" w:sz="0" w:space="0" w:color="auto"/>
            <w:left w:val="none" w:sz="0" w:space="0" w:color="auto"/>
            <w:bottom w:val="none" w:sz="0" w:space="0" w:color="auto"/>
            <w:right w:val="none" w:sz="0" w:space="0" w:color="auto"/>
          </w:divBdr>
        </w:div>
        <w:div w:id="1665351579">
          <w:marLeft w:val="0"/>
          <w:marRight w:val="0"/>
          <w:marTop w:val="0"/>
          <w:marBottom w:val="0"/>
          <w:divBdr>
            <w:top w:val="none" w:sz="0" w:space="0" w:color="auto"/>
            <w:left w:val="none" w:sz="0" w:space="0" w:color="auto"/>
            <w:bottom w:val="none" w:sz="0" w:space="0" w:color="auto"/>
            <w:right w:val="none" w:sz="0" w:space="0" w:color="auto"/>
          </w:divBdr>
        </w:div>
        <w:div w:id="1682931344">
          <w:marLeft w:val="0"/>
          <w:marRight w:val="0"/>
          <w:marTop w:val="0"/>
          <w:marBottom w:val="0"/>
          <w:divBdr>
            <w:top w:val="none" w:sz="0" w:space="0" w:color="auto"/>
            <w:left w:val="none" w:sz="0" w:space="0" w:color="auto"/>
            <w:bottom w:val="none" w:sz="0" w:space="0" w:color="auto"/>
            <w:right w:val="none" w:sz="0" w:space="0" w:color="auto"/>
          </w:divBdr>
        </w:div>
        <w:div w:id="1899977408">
          <w:marLeft w:val="0"/>
          <w:marRight w:val="0"/>
          <w:marTop w:val="0"/>
          <w:marBottom w:val="0"/>
          <w:divBdr>
            <w:top w:val="none" w:sz="0" w:space="0" w:color="auto"/>
            <w:left w:val="none" w:sz="0" w:space="0" w:color="auto"/>
            <w:bottom w:val="none" w:sz="0" w:space="0" w:color="auto"/>
            <w:right w:val="none" w:sz="0" w:space="0" w:color="auto"/>
          </w:divBdr>
        </w:div>
      </w:divsChild>
    </w:div>
    <w:div w:id="80682366">
      <w:bodyDiv w:val="1"/>
      <w:marLeft w:val="0"/>
      <w:marRight w:val="0"/>
      <w:marTop w:val="0"/>
      <w:marBottom w:val="0"/>
      <w:divBdr>
        <w:top w:val="none" w:sz="0" w:space="0" w:color="auto"/>
        <w:left w:val="none" w:sz="0" w:space="0" w:color="auto"/>
        <w:bottom w:val="none" w:sz="0" w:space="0" w:color="auto"/>
        <w:right w:val="none" w:sz="0" w:space="0" w:color="auto"/>
      </w:divBdr>
    </w:div>
    <w:div w:id="94641117">
      <w:bodyDiv w:val="1"/>
      <w:marLeft w:val="0"/>
      <w:marRight w:val="0"/>
      <w:marTop w:val="0"/>
      <w:marBottom w:val="0"/>
      <w:divBdr>
        <w:top w:val="none" w:sz="0" w:space="0" w:color="auto"/>
        <w:left w:val="none" w:sz="0" w:space="0" w:color="auto"/>
        <w:bottom w:val="none" w:sz="0" w:space="0" w:color="auto"/>
        <w:right w:val="none" w:sz="0" w:space="0" w:color="auto"/>
      </w:divBdr>
    </w:div>
    <w:div w:id="105738759">
      <w:bodyDiv w:val="1"/>
      <w:marLeft w:val="0"/>
      <w:marRight w:val="0"/>
      <w:marTop w:val="0"/>
      <w:marBottom w:val="0"/>
      <w:divBdr>
        <w:top w:val="none" w:sz="0" w:space="0" w:color="auto"/>
        <w:left w:val="none" w:sz="0" w:space="0" w:color="auto"/>
        <w:bottom w:val="none" w:sz="0" w:space="0" w:color="auto"/>
        <w:right w:val="none" w:sz="0" w:space="0" w:color="auto"/>
      </w:divBdr>
    </w:div>
    <w:div w:id="107629579">
      <w:bodyDiv w:val="1"/>
      <w:marLeft w:val="0"/>
      <w:marRight w:val="0"/>
      <w:marTop w:val="0"/>
      <w:marBottom w:val="0"/>
      <w:divBdr>
        <w:top w:val="none" w:sz="0" w:space="0" w:color="auto"/>
        <w:left w:val="none" w:sz="0" w:space="0" w:color="auto"/>
        <w:bottom w:val="none" w:sz="0" w:space="0" w:color="auto"/>
        <w:right w:val="none" w:sz="0" w:space="0" w:color="auto"/>
      </w:divBdr>
    </w:div>
    <w:div w:id="142891038">
      <w:bodyDiv w:val="1"/>
      <w:marLeft w:val="0"/>
      <w:marRight w:val="0"/>
      <w:marTop w:val="0"/>
      <w:marBottom w:val="0"/>
      <w:divBdr>
        <w:top w:val="none" w:sz="0" w:space="0" w:color="auto"/>
        <w:left w:val="none" w:sz="0" w:space="0" w:color="auto"/>
        <w:bottom w:val="none" w:sz="0" w:space="0" w:color="auto"/>
        <w:right w:val="none" w:sz="0" w:space="0" w:color="auto"/>
      </w:divBdr>
    </w:div>
    <w:div w:id="145517466">
      <w:bodyDiv w:val="1"/>
      <w:marLeft w:val="0"/>
      <w:marRight w:val="0"/>
      <w:marTop w:val="0"/>
      <w:marBottom w:val="0"/>
      <w:divBdr>
        <w:top w:val="none" w:sz="0" w:space="0" w:color="auto"/>
        <w:left w:val="none" w:sz="0" w:space="0" w:color="auto"/>
        <w:bottom w:val="none" w:sz="0" w:space="0" w:color="auto"/>
        <w:right w:val="none" w:sz="0" w:space="0" w:color="auto"/>
      </w:divBdr>
    </w:div>
    <w:div w:id="183445780">
      <w:bodyDiv w:val="1"/>
      <w:marLeft w:val="0"/>
      <w:marRight w:val="0"/>
      <w:marTop w:val="0"/>
      <w:marBottom w:val="0"/>
      <w:divBdr>
        <w:top w:val="none" w:sz="0" w:space="0" w:color="auto"/>
        <w:left w:val="none" w:sz="0" w:space="0" w:color="auto"/>
        <w:bottom w:val="none" w:sz="0" w:space="0" w:color="auto"/>
        <w:right w:val="none" w:sz="0" w:space="0" w:color="auto"/>
      </w:divBdr>
    </w:div>
    <w:div w:id="196234200">
      <w:bodyDiv w:val="1"/>
      <w:marLeft w:val="0"/>
      <w:marRight w:val="0"/>
      <w:marTop w:val="0"/>
      <w:marBottom w:val="0"/>
      <w:divBdr>
        <w:top w:val="none" w:sz="0" w:space="0" w:color="auto"/>
        <w:left w:val="none" w:sz="0" w:space="0" w:color="auto"/>
        <w:bottom w:val="none" w:sz="0" w:space="0" w:color="auto"/>
        <w:right w:val="none" w:sz="0" w:space="0" w:color="auto"/>
      </w:divBdr>
      <w:divsChild>
        <w:div w:id="137503583">
          <w:marLeft w:val="0"/>
          <w:marRight w:val="0"/>
          <w:marTop w:val="0"/>
          <w:marBottom w:val="0"/>
          <w:divBdr>
            <w:top w:val="none" w:sz="0" w:space="0" w:color="auto"/>
            <w:left w:val="none" w:sz="0" w:space="0" w:color="auto"/>
            <w:bottom w:val="none" w:sz="0" w:space="0" w:color="auto"/>
            <w:right w:val="none" w:sz="0" w:space="0" w:color="auto"/>
          </w:divBdr>
          <w:divsChild>
            <w:div w:id="1221862873">
              <w:marLeft w:val="0"/>
              <w:marRight w:val="0"/>
              <w:marTop w:val="0"/>
              <w:marBottom w:val="0"/>
              <w:divBdr>
                <w:top w:val="none" w:sz="0" w:space="0" w:color="auto"/>
                <w:left w:val="none" w:sz="0" w:space="0" w:color="auto"/>
                <w:bottom w:val="none" w:sz="0" w:space="0" w:color="auto"/>
                <w:right w:val="none" w:sz="0" w:space="0" w:color="auto"/>
              </w:divBdr>
            </w:div>
          </w:divsChild>
        </w:div>
        <w:div w:id="146020717">
          <w:marLeft w:val="0"/>
          <w:marRight w:val="0"/>
          <w:marTop w:val="0"/>
          <w:marBottom w:val="0"/>
          <w:divBdr>
            <w:top w:val="none" w:sz="0" w:space="0" w:color="auto"/>
            <w:left w:val="none" w:sz="0" w:space="0" w:color="auto"/>
            <w:bottom w:val="none" w:sz="0" w:space="0" w:color="auto"/>
            <w:right w:val="none" w:sz="0" w:space="0" w:color="auto"/>
          </w:divBdr>
          <w:divsChild>
            <w:div w:id="209146888">
              <w:marLeft w:val="0"/>
              <w:marRight w:val="0"/>
              <w:marTop w:val="0"/>
              <w:marBottom w:val="0"/>
              <w:divBdr>
                <w:top w:val="none" w:sz="0" w:space="0" w:color="auto"/>
                <w:left w:val="none" w:sz="0" w:space="0" w:color="auto"/>
                <w:bottom w:val="none" w:sz="0" w:space="0" w:color="auto"/>
                <w:right w:val="none" w:sz="0" w:space="0" w:color="auto"/>
              </w:divBdr>
            </w:div>
            <w:div w:id="249193609">
              <w:marLeft w:val="0"/>
              <w:marRight w:val="0"/>
              <w:marTop w:val="0"/>
              <w:marBottom w:val="0"/>
              <w:divBdr>
                <w:top w:val="none" w:sz="0" w:space="0" w:color="auto"/>
                <w:left w:val="none" w:sz="0" w:space="0" w:color="auto"/>
                <w:bottom w:val="none" w:sz="0" w:space="0" w:color="auto"/>
                <w:right w:val="none" w:sz="0" w:space="0" w:color="auto"/>
              </w:divBdr>
            </w:div>
            <w:div w:id="296108894">
              <w:marLeft w:val="0"/>
              <w:marRight w:val="0"/>
              <w:marTop w:val="0"/>
              <w:marBottom w:val="0"/>
              <w:divBdr>
                <w:top w:val="none" w:sz="0" w:space="0" w:color="auto"/>
                <w:left w:val="none" w:sz="0" w:space="0" w:color="auto"/>
                <w:bottom w:val="none" w:sz="0" w:space="0" w:color="auto"/>
                <w:right w:val="none" w:sz="0" w:space="0" w:color="auto"/>
              </w:divBdr>
            </w:div>
            <w:div w:id="358434321">
              <w:marLeft w:val="0"/>
              <w:marRight w:val="0"/>
              <w:marTop w:val="0"/>
              <w:marBottom w:val="0"/>
              <w:divBdr>
                <w:top w:val="none" w:sz="0" w:space="0" w:color="auto"/>
                <w:left w:val="none" w:sz="0" w:space="0" w:color="auto"/>
                <w:bottom w:val="none" w:sz="0" w:space="0" w:color="auto"/>
                <w:right w:val="none" w:sz="0" w:space="0" w:color="auto"/>
              </w:divBdr>
            </w:div>
            <w:div w:id="367606892">
              <w:marLeft w:val="0"/>
              <w:marRight w:val="0"/>
              <w:marTop w:val="0"/>
              <w:marBottom w:val="0"/>
              <w:divBdr>
                <w:top w:val="none" w:sz="0" w:space="0" w:color="auto"/>
                <w:left w:val="none" w:sz="0" w:space="0" w:color="auto"/>
                <w:bottom w:val="none" w:sz="0" w:space="0" w:color="auto"/>
                <w:right w:val="none" w:sz="0" w:space="0" w:color="auto"/>
              </w:divBdr>
            </w:div>
            <w:div w:id="376901580">
              <w:marLeft w:val="0"/>
              <w:marRight w:val="0"/>
              <w:marTop w:val="0"/>
              <w:marBottom w:val="0"/>
              <w:divBdr>
                <w:top w:val="none" w:sz="0" w:space="0" w:color="auto"/>
                <w:left w:val="none" w:sz="0" w:space="0" w:color="auto"/>
                <w:bottom w:val="none" w:sz="0" w:space="0" w:color="auto"/>
                <w:right w:val="none" w:sz="0" w:space="0" w:color="auto"/>
              </w:divBdr>
            </w:div>
            <w:div w:id="630523711">
              <w:marLeft w:val="0"/>
              <w:marRight w:val="0"/>
              <w:marTop w:val="0"/>
              <w:marBottom w:val="0"/>
              <w:divBdr>
                <w:top w:val="none" w:sz="0" w:space="0" w:color="auto"/>
                <w:left w:val="none" w:sz="0" w:space="0" w:color="auto"/>
                <w:bottom w:val="none" w:sz="0" w:space="0" w:color="auto"/>
                <w:right w:val="none" w:sz="0" w:space="0" w:color="auto"/>
              </w:divBdr>
            </w:div>
            <w:div w:id="1229615255">
              <w:marLeft w:val="0"/>
              <w:marRight w:val="0"/>
              <w:marTop w:val="0"/>
              <w:marBottom w:val="0"/>
              <w:divBdr>
                <w:top w:val="none" w:sz="0" w:space="0" w:color="auto"/>
                <w:left w:val="none" w:sz="0" w:space="0" w:color="auto"/>
                <w:bottom w:val="none" w:sz="0" w:space="0" w:color="auto"/>
                <w:right w:val="none" w:sz="0" w:space="0" w:color="auto"/>
              </w:divBdr>
            </w:div>
            <w:div w:id="1697152152">
              <w:marLeft w:val="0"/>
              <w:marRight w:val="0"/>
              <w:marTop w:val="0"/>
              <w:marBottom w:val="0"/>
              <w:divBdr>
                <w:top w:val="none" w:sz="0" w:space="0" w:color="auto"/>
                <w:left w:val="none" w:sz="0" w:space="0" w:color="auto"/>
                <w:bottom w:val="none" w:sz="0" w:space="0" w:color="auto"/>
                <w:right w:val="none" w:sz="0" w:space="0" w:color="auto"/>
              </w:divBdr>
            </w:div>
            <w:div w:id="1811901407">
              <w:marLeft w:val="0"/>
              <w:marRight w:val="0"/>
              <w:marTop w:val="0"/>
              <w:marBottom w:val="0"/>
              <w:divBdr>
                <w:top w:val="none" w:sz="0" w:space="0" w:color="auto"/>
                <w:left w:val="none" w:sz="0" w:space="0" w:color="auto"/>
                <w:bottom w:val="none" w:sz="0" w:space="0" w:color="auto"/>
                <w:right w:val="none" w:sz="0" w:space="0" w:color="auto"/>
              </w:divBdr>
            </w:div>
            <w:div w:id="2118478610">
              <w:marLeft w:val="0"/>
              <w:marRight w:val="0"/>
              <w:marTop w:val="0"/>
              <w:marBottom w:val="0"/>
              <w:divBdr>
                <w:top w:val="none" w:sz="0" w:space="0" w:color="auto"/>
                <w:left w:val="none" w:sz="0" w:space="0" w:color="auto"/>
                <w:bottom w:val="none" w:sz="0" w:space="0" w:color="auto"/>
                <w:right w:val="none" w:sz="0" w:space="0" w:color="auto"/>
              </w:divBdr>
            </w:div>
          </w:divsChild>
        </w:div>
        <w:div w:id="316030245">
          <w:marLeft w:val="0"/>
          <w:marRight w:val="0"/>
          <w:marTop w:val="0"/>
          <w:marBottom w:val="0"/>
          <w:divBdr>
            <w:top w:val="none" w:sz="0" w:space="0" w:color="auto"/>
            <w:left w:val="none" w:sz="0" w:space="0" w:color="auto"/>
            <w:bottom w:val="none" w:sz="0" w:space="0" w:color="auto"/>
            <w:right w:val="none" w:sz="0" w:space="0" w:color="auto"/>
          </w:divBdr>
          <w:divsChild>
            <w:div w:id="1522477793">
              <w:marLeft w:val="0"/>
              <w:marRight w:val="0"/>
              <w:marTop w:val="0"/>
              <w:marBottom w:val="0"/>
              <w:divBdr>
                <w:top w:val="none" w:sz="0" w:space="0" w:color="auto"/>
                <w:left w:val="none" w:sz="0" w:space="0" w:color="auto"/>
                <w:bottom w:val="none" w:sz="0" w:space="0" w:color="auto"/>
                <w:right w:val="none" w:sz="0" w:space="0" w:color="auto"/>
              </w:divBdr>
            </w:div>
          </w:divsChild>
        </w:div>
        <w:div w:id="371001844">
          <w:marLeft w:val="0"/>
          <w:marRight w:val="0"/>
          <w:marTop w:val="0"/>
          <w:marBottom w:val="0"/>
          <w:divBdr>
            <w:top w:val="none" w:sz="0" w:space="0" w:color="auto"/>
            <w:left w:val="none" w:sz="0" w:space="0" w:color="auto"/>
            <w:bottom w:val="none" w:sz="0" w:space="0" w:color="auto"/>
            <w:right w:val="none" w:sz="0" w:space="0" w:color="auto"/>
          </w:divBdr>
          <w:divsChild>
            <w:div w:id="1623002060">
              <w:marLeft w:val="0"/>
              <w:marRight w:val="0"/>
              <w:marTop w:val="0"/>
              <w:marBottom w:val="0"/>
              <w:divBdr>
                <w:top w:val="none" w:sz="0" w:space="0" w:color="auto"/>
                <w:left w:val="none" w:sz="0" w:space="0" w:color="auto"/>
                <w:bottom w:val="none" w:sz="0" w:space="0" w:color="auto"/>
                <w:right w:val="none" w:sz="0" w:space="0" w:color="auto"/>
              </w:divBdr>
            </w:div>
          </w:divsChild>
        </w:div>
        <w:div w:id="530460597">
          <w:marLeft w:val="0"/>
          <w:marRight w:val="0"/>
          <w:marTop w:val="0"/>
          <w:marBottom w:val="0"/>
          <w:divBdr>
            <w:top w:val="none" w:sz="0" w:space="0" w:color="auto"/>
            <w:left w:val="none" w:sz="0" w:space="0" w:color="auto"/>
            <w:bottom w:val="none" w:sz="0" w:space="0" w:color="auto"/>
            <w:right w:val="none" w:sz="0" w:space="0" w:color="auto"/>
          </w:divBdr>
          <w:divsChild>
            <w:div w:id="44646952">
              <w:marLeft w:val="0"/>
              <w:marRight w:val="0"/>
              <w:marTop w:val="0"/>
              <w:marBottom w:val="0"/>
              <w:divBdr>
                <w:top w:val="none" w:sz="0" w:space="0" w:color="auto"/>
                <w:left w:val="none" w:sz="0" w:space="0" w:color="auto"/>
                <w:bottom w:val="none" w:sz="0" w:space="0" w:color="auto"/>
                <w:right w:val="none" w:sz="0" w:space="0" w:color="auto"/>
              </w:divBdr>
            </w:div>
          </w:divsChild>
        </w:div>
        <w:div w:id="568810294">
          <w:marLeft w:val="0"/>
          <w:marRight w:val="0"/>
          <w:marTop w:val="0"/>
          <w:marBottom w:val="0"/>
          <w:divBdr>
            <w:top w:val="none" w:sz="0" w:space="0" w:color="auto"/>
            <w:left w:val="none" w:sz="0" w:space="0" w:color="auto"/>
            <w:bottom w:val="none" w:sz="0" w:space="0" w:color="auto"/>
            <w:right w:val="none" w:sz="0" w:space="0" w:color="auto"/>
          </w:divBdr>
          <w:divsChild>
            <w:div w:id="1957172770">
              <w:marLeft w:val="0"/>
              <w:marRight w:val="0"/>
              <w:marTop w:val="0"/>
              <w:marBottom w:val="0"/>
              <w:divBdr>
                <w:top w:val="none" w:sz="0" w:space="0" w:color="auto"/>
                <w:left w:val="none" w:sz="0" w:space="0" w:color="auto"/>
                <w:bottom w:val="none" w:sz="0" w:space="0" w:color="auto"/>
                <w:right w:val="none" w:sz="0" w:space="0" w:color="auto"/>
              </w:divBdr>
            </w:div>
          </w:divsChild>
        </w:div>
        <w:div w:id="643201550">
          <w:marLeft w:val="0"/>
          <w:marRight w:val="0"/>
          <w:marTop w:val="0"/>
          <w:marBottom w:val="0"/>
          <w:divBdr>
            <w:top w:val="none" w:sz="0" w:space="0" w:color="auto"/>
            <w:left w:val="none" w:sz="0" w:space="0" w:color="auto"/>
            <w:bottom w:val="none" w:sz="0" w:space="0" w:color="auto"/>
            <w:right w:val="none" w:sz="0" w:space="0" w:color="auto"/>
          </w:divBdr>
          <w:divsChild>
            <w:div w:id="912013474">
              <w:marLeft w:val="0"/>
              <w:marRight w:val="0"/>
              <w:marTop w:val="0"/>
              <w:marBottom w:val="0"/>
              <w:divBdr>
                <w:top w:val="none" w:sz="0" w:space="0" w:color="auto"/>
                <w:left w:val="none" w:sz="0" w:space="0" w:color="auto"/>
                <w:bottom w:val="none" w:sz="0" w:space="0" w:color="auto"/>
                <w:right w:val="none" w:sz="0" w:space="0" w:color="auto"/>
              </w:divBdr>
            </w:div>
          </w:divsChild>
        </w:div>
        <w:div w:id="717824501">
          <w:marLeft w:val="0"/>
          <w:marRight w:val="0"/>
          <w:marTop w:val="0"/>
          <w:marBottom w:val="0"/>
          <w:divBdr>
            <w:top w:val="none" w:sz="0" w:space="0" w:color="auto"/>
            <w:left w:val="none" w:sz="0" w:space="0" w:color="auto"/>
            <w:bottom w:val="none" w:sz="0" w:space="0" w:color="auto"/>
            <w:right w:val="none" w:sz="0" w:space="0" w:color="auto"/>
          </w:divBdr>
          <w:divsChild>
            <w:div w:id="877202877">
              <w:marLeft w:val="0"/>
              <w:marRight w:val="0"/>
              <w:marTop w:val="0"/>
              <w:marBottom w:val="0"/>
              <w:divBdr>
                <w:top w:val="none" w:sz="0" w:space="0" w:color="auto"/>
                <w:left w:val="none" w:sz="0" w:space="0" w:color="auto"/>
                <w:bottom w:val="none" w:sz="0" w:space="0" w:color="auto"/>
                <w:right w:val="none" w:sz="0" w:space="0" w:color="auto"/>
              </w:divBdr>
            </w:div>
          </w:divsChild>
        </w:div>
        <w:div w:id="742265516">
          <w:marLeft w:val="0"/>
          <w:marRight w:val="0"/>
          <w:marTop w:val="0"/>
          <w:marBottom w:val="0"/>
          <w:divBdr>
            <w:top w:val="none" w:sz="0" w:space="0" w:color="auto"/>
            <w:left w:val="none" w:sz="0" w:space="0" w:color="auto"/>
            <w:bottom w:val="none" w:sz="0" w:space="0" w:color="auto"/>
            <w:right w:val="none" w:sz="0" w:space="0" w:color="auto"/>
          </w:divBdr>
          <w:divsChild>
            <w:div w:id="1163664874">
              <w:marLeft w:val="0"/>
              <w:marRight w:val="0"/>
              <w:marTop w:val="0"/>
              <w:marBottom w:val="0"/>
              <w:divBdr>
                <w:top w:val="none" w:sz="0" w:space="0" w:color="auto"/>
                <w:left w:val="none" w:sz="0" w:space="0" w:color="auto"/>
                <w:bottom w:val="none" w:sz="0" w:space="0" w:color="auto"/>
                <w:right w:val="none" w:sz="0" w:space="0" w:color="auto"/>
              </w:divBdr>
            </w:div>
          </w:divsChild>
        </w:div>
        <w:div w:id="745880987">
          <w:marLeft w:val="0"/>
          <w:marRight w:val="0"/>
          <w:marTop w:val="0"/>
          <w:marBottom w:val="0"/>
          <w:divBdr>
            <w:top w:val="none" w:sz="0" w:space="0" w:color="auto"/>
            <w:left w:val="none" w:sz="0" w:space="0" w:color="auto"/>
            <w:bottom w:val="none" w:sz="0" w:space="0" w:color="auto"/>
            <w:right w:val="none" w:sz="0" w:space="0" w:color="auto"/>
          </w:divBdr>
          <w:divsChild>
            <w:div w:id="413744003">
              <w:marLeft w:val="0"/>
              <w:marRight w:val="0"/>
              <w:marTop w:val="0"/>
              <w:marBottom w:val="0"/>
              <w:divBdr>
                <w:top w:val="none" w:sz="0" w:space="0" w:color="auto"/>
                <w:left w:val="none" w:sz="0" w:space="0" w:color="auto"/>
                <w:bottom w:val="none" w:sz="0" w:space="0" w:color="auto"/>
                <w:right w:val="none" w:sz="0" w:space="0" w:color="auto"/>
              </w:divBdr>
            </w:div>
          </w:divsChild>
        </w:div>
        <w:div w:id="828440754">
          <w:marLeft w:val="0"/>
          <w:marRight w:val="0"/>
          <w:marTop w:val="0"/>
          <w:marBottom w:val="0"/>
          <w:divBdr>
            <w:top w:val="none" w:sz="0" w:space="0" w:color="auto"/>
            <w:left w:val="none" w:sz="0" w:space="0" w:color="auto"/>
            <w:bottom w:val="none" w:sz="0" w:space="0" w:color="auto"/>
            <w:right w:val="none" w:sz="0" w:space="0" w:color="auto"/>
          </w:divBdr>
          <w:divsChild>
            <w:div w:id="1954366069">
              <w:marLeft w:val="0"/>
              <w:marRight w:val="0"/>
              <w:marTop w:val="0"/>
              <w:marBottom w:val="0"/>
              <w:divBdr>
                <w:top w:val="none" w:sz="0" w:space="0" w:color="auto"/>
                <w:left w:val="none" w:sz="0" w:space="0" w:color="auto"/>
                <w:bottom w:val="none" w:sz="0" w:space="0" w:color="auto"/>
                <w:right w:val="none" w:sz="0" w:space="0" w:color="auto"/>
              </w:divBdr>
            </w:div>
          </w:divsChild>
        </w:div>
        <w:div w:id="905531881">
          <w:marLeft w:val="0"/>
          <w:marRight w:val="0"/>
          <w:marTop w:val="0"/>
          <w:marBottom w:val="0"/>
          <w:divBdr>
            <w:top w:val="none" w:sz="0" w:space="0" w:color="auto"/>
            <w:left w:val="none" w:sz="0" w:space="0" w:color="auto"/>
            <w:bottom w:val="none" w:sz="0" w:space="0" w:color="auto"/>
            <w:right w:val="none" w:sz="0" w:space="0" w:color="auto"/>
          </w:divBdr>
          <w:divsChild>
            <w:div w:id="79955426">
              <w:marLeft w:val="0"/>
              <w:marRight w:val="0"/>
              <w:marTop w:val="0"/>
              <w:marBottom w:val="0"/>
              <w:divBdr>
                <w:top w:val="none" w:sz="0" w:space="0" w:color="auto"/>
                <w:left w:val="none" w:sz="0" w:space="0" w:color="auto"/>
                <w:bottom w:val="none" w:sz="0" w:space="0" w:color="auto"/>
                <w:right w:val="none" w:sz="0" w:space="0" w:color="auto"/>
              </w:divBdr>
            </w:div>
          </w:divsChild>
        </w:div>
        <w:div w:id="934628740">
          <w:marLeft w:val="0"/>
          <w:marRight w:val="0"/>
          <w:marTop w:val="0"/>
          <w:marBottom w:val="0"/>
          <w:divBdr>
            <w:top w:val="none" w:sz="0" w:space="0" w:color="auto"/>
            <w:left w:val="none" w:sz="0" w:space="0" w:color="auto"/>
            <w:bottom w:val="none" w:sz="0" w:space="0" w:color="auto"/>
            <w:right w:val="none" w:sz="0" w:space="0" w:color="auto"/>
          </w:divBdr>
          <w:divsChild>
            <w:div w:id="1129861361">
              <w:marLeft w:val="0"/>
              <w:marRight w:val="0"/>
              <w:marTop w:val="0"/>
              <w:marBottom w:val="0"/>
              <w:divBdr>
                <w:top w:val="none" w:sz="0" w:space="0" w:color="auto"/>
                <w:left w:val="none" w:sz="0" w:space="0" w:color="auto"/>
                <w:bottom w:val="none" w:sz="0" w:space="0" w:color="auto"/>
                <w:right w:val="none" w:sz="0" w:space="0" w:color="auto"/>
              </w:divBdr>
            </w:div>
            <w:div w:id="1338583211">
              <w:marLeft w:val="0"/>
              <w:marRight w:val="0"/>
              <w:marTop w:val="0"/>
              <w:marBottom w:val="0"/>
              <w:divBdr>
                <w:top w:val="none" w:sz="0" w:space="0" w:color="auto"/>
                <w:left w:val="none" w:sz="0" w:space="0" w:color="auto"/>
                <w:bottom w:val="none" w:sz="0" w:space="0" w:color="auto"/>
                <w:right w:val="none" w:sz="0" w:space="0" w:color="auto"/>
              </w:divBdr>
            </w:div>
            <w:div w:id="1839005818">
              <w:marLeft w:val="0"/>
              <w:marRight w:val="0"/>
              <w:marTop w:val="0"/>
              <w:marBottom w:val="0"/>
              <w:divBdr>
                <w:top w:val="none" w:sz="0" w:space="0" w:color="auto"/>
                <w:left w:val="none" w:sz="0" w:space="0" w:color="auto"/>
                <w:bottom w:val="none" w:sz="0" w:space="0" w:color="auto"/>
                <w:right w:val="none" w:sz="0" w:space="0" w:color="auto"/>
              </w:divBdr>
            </w:div>
          </w:divsChild>
        </w:div>
        <w:div w:id="937299708">
          <w:marLeft w:val="0"/>
          <w:marRight w:val="0"/>
          <w:marTop w:val="0"/>
          <w:marBottom w:val="0"/>
          <w:divBdr>
            <w:top w:val="none" w:sz="0" w:space="0" w:color="auto"/>
            <w:left w:val="none" w:sz="0" w:space="0" w:color="auto"/>
            <w:bottom w:val="none" w:sz="0" w:space="0" w:color="auto"/>
            <w:right w:val="none" w:sz="0" w:space="0" w:color="auto"/>
          </w:divBdr>
          <w:divsChild>
            <w:div w:id="202135646">
              <w:marLeft w:val="0"/>
              <w:marRight w:val="0"/>
              <w:marTop w:val="0"/>
              <w:marBottom w:val="0"/>
              <w:divBdr>
                <w:top w:val="none" w:sz="0" w:space="0" w:color="auto"/>
                <w:left w:val="none" w:sz="0" w:space="0" w:color="auto"/>
                <w:bottom w:val="none" w:sz="0" w:space="0" w:color="auto"/>
                <w:right w:val="none" w:sz="0" w:space="0" w:color="auto"/>
              </w:divBdr>
            </w:div>
            <w:div w:id="510878761">
              <w:marLeft w:val="0"/>
              <w:marRight w:val="0"/>
              <w:marTop w:val="0"/>
              <w:marBottom w:val="0"/>
              <w:divBdr>
                <w:top w:val="none" w:sz="0" w:space="0" w:color="auto"/>
                <w:left w:val="none" w:sz="0" w:space="0" w:color="auto"/>
                <w:bottom w:val="none" w:sz="0" w:space="0" w:color="auto"/>
                <w:right w:val="none" w:sz="0" w:space="0" w:color="auto"/>
              </w:divBdr>
            </w:div>
          </w:divsChild>
        </w:div>
        <w:div w:id="1027953472">
          <w:marLeft w:val="0"/>
          <w:marRight w:val="0"/>
          <w:marTop w:val="0"/>
          <w:marBottom w:val="0"/>
          <w:divBdr>
            <w:top w:val="none" w:sz="0" w:space="0" w:color="auto"/>
            <w:left w:val="none" w:sz="0" w:space="0" w:color="auto"/>
            <w:bottom w:val="none" w:sz="0" w:space="0" w:color="auto"/>
            <w:right w:val="none" w:sz="0" w:space="0" w:color="auto"/>
          </w:divBdr>
          <w:divsChild>
            <w:div w:id="1671251668">
              <w:marLeft w:val="0"/>
              <w:marRight w:val="0"/>
              <w:marTop w:val="0"/>
              <w:marBottom w:val="0"/>
              <w:divBdr>
                <w:top w:val="none" w:sz="0" w:space="0" w:color="auto"/>
                <w:left w:val="none" w:sz="0" w:space="0" w:color="auto"/>
                <w:bottom w:val="none" w:sz="0" w:space="0" w:color="auto"/>
                <w:right w:val="none" w:sz="0" w:space="0" w:color="auto"/>
              </w:divBdr>
            </w:div>
          </w:divsChild>
        </w:div>
        <w:div w:id="1203439356">
          <w:marLeft w:val="0"/>
          <w:marRight w:val="0"/>
          <w:marTop w:val="0"/>
          <w:marBottom w:val="0"/>
          <w:divBdr>
            <w:top w:val="none" w:sz="0" w:space="0" w:color="auto"/>
            <w:left w:val="none" w:sz="0" w:space="0" w:color="auto"/>
            <w:bottom w:val="none" w:sz="0" w:space="0" w:color="auto"/>
            <w:right w:val="none" w:sz="0" w:space="0" w:color="auto"/>
          </w:divBdr>
          <w:divsChild>
            <w:div w:id="1837768738">
              <w:marLeft w:val="0"/>
              <w:marRight w:val="0"/>
              <w:marTop w:val="0"/>
              <w:marBottom w:val="0"/>
              <w:divBdr>
                <w:top w:val="none" w:sz="0" w:space="0" w:color="auto"/>
                <w:left w:val="none" w:sz="0" w:space="0" w:color="auto"/>
                <w:bottom w:val="none" w:sz="0" w:space="0" w:color="auto"/>
                <w:right w:val="none" w:sz="0" w:space="0" w:color="auto"/>
              </w:divBdr>
            </w:div>
          </w:divsChild>
        </w:div>
        <w:div w:id="1241404191">
          <w:marLeft w:val="0"/>
          <w:marRight w:val="0"/>
          <w:marTop w:val="0"/>
          <w:marBottom w:val="0"/>
          <w:divBdr>
            <w:top w:val="none" w:sz="0" w:space="0" w:color="auto"/>
            <w:left w:val="none" w:sz="0" w:space="0" w:color="auto"/>
            <w:bottom w:val="none" w:sz="0" w:space="0" w:color="auto"/>
            <w:right w:val="none" w:sz="0" w:space="0" w:color="auto"/>
          </w:divBdr>
          <w:divsChild>
            <w:div w:id="223756941">
              <w:marLeft w:val="0"/>
              <w:marRight w:val="0"/>
              <w:marTop w:val="0"/>
              <w:marBottom w:val="0"/>
              <w:divBdr>
                <w:top w:val="none" w:sz="0" w:space="0" w:color="auto"/>
                <w:left w:val="none" w:sz="0" w:space="0" w:color="auto"/>
                <w:bottom w:val="none" w:sz="0" w:space="0" w:color="auto"/>
                <w:right w:val="none" w:sz="0" w:space="0" w:color="auto"/>
              </w:divBdr>
            </w:div>
          </w:divsChild>
        </w:div>
        <w:div w:id="1468937790">
          <w:marLeft w:val="0"/>
          <w:marRight w:val="0"/>
          <w:marTop w:val="0"/>
          <w:marBottom w:val="0"/>
          <w:divBdr>
            <w:top w:val="none" w:sz="0" w:space="0" w:color="auto"/>
            <w:left w:val="none" w:sz="0" w:space="0" w:color="auto"/>
            <w:bottom w:val="none" w:sz="0" w:space="0" w:color="auto"/>
            <w:right w:val="none" w:sz="0" w:space="0" w:color="auto"/>
          </w:divBdr>
          <w:divsChild>
            <w:div w:id="873268607">
              <w:marLeft w:val="0"/>
              <w:marRight w:val="0"/>
              <w:marTop w:val="0"/>
              <w:marBottom w:val="0"/>
              <w:divBdr>
                <w:top w:val="none" w:sz="0" w:space="0" w:color="auto"/>
                <w:left w:val="none" w:sz="0" w:space="0" w:color="auto"/>
                <w:bottom w:val="none" w:sz="0" w:space="0" w:color="auto"/>
                <w:right w:val="none" w:sz="0" w:space="0" w:color="auto"/>
              </w:divBdr>
            </w:div>
          </w:divsChild>
        </w:div>
        <w:div w:id="1471051201">
          <w:marLeft w:val="0"/>
          <w:marRight w:val="0"/>
          <w:marTop w:val="0"/>
          <w:marBottom w:val="0"/>
          <w:divBdr>
            <w:top w:val="none" w:sz="0" w:space="0" w:color="auto"/>
            <w:left w:val="none" w:sz="0" w:space="0" w:color="auto"/>
            <w:bottom w:val="none" w:sz="0" w:space="0" w:color="auto"/>
            <w:right w:val="none" w:sz="0" w:space="0" w:color="auto"/>
          </w:divBdr>
          <w:divsChild>
            <w:div w:id="1009452935">
              <w:marLeft w:val="0"/>
              <w:marRight w:val="0"/>
              <w:marTop w:val="0"/>
              <w:marBottom w:val="0"/>
              <w:divBdr>
                <w:top w:val="none" w:sz="0" w:space="0" w:color="auto"/>
                <w:left w:val="none" w:sz="0" w:space="0" w:color="auto"/>
                <w:bottom w:val="none" w:sz="0" w:space="0" w:color="auto"/>
                <w:right w:val="none" w:sz="0" w:space="0" w:color="auto"/>
              </w:divBdr>
            </w:div>
          </w:divsChild>
        </w:div>
        <w:div w:id="1763605068">
          <w:marLeft w:val="0"/>
          <w:marRight w:val="0"/>
          <w:marTop w:val="0"/>
          <w:marBottom w:val="0"/>
          <w:divBdr>
            <w:top w:val="none" w:sz="0" w:space="0" w:color="auto"/>
            <w:left w:val="none" w:sz="0" w:space="0" w:color="auto"/>
            <w:bottom w:val="none" w:sz="0" w:space="0" w:color="auto"/>
            <w:right w:val="none" w:sz="0" w:space="0" w:color="auto"/>
          </w:divBdr>
          <w:divsChild>
            <w:div w:id="358052">
              <w:marLeft w:val="0"/>
              <w:marRight w:val="0"/>
              <w:marTop w:val="0"/>
              <w:marBottom w:val="0"/>
              <w:divBdr>
                <w:top w:val="none" w:sz="0" w:space="0" w:color="auto"/>
                <w:left w:val="none" w:sz="0" w:space="0" w:color="auto"/>
                <w:bottom w:val="none" w:sz="0" w:space="0" w:color="auto"/>
                <w:right w:val="none" w:sz="0" w:space="0" w:color="auto"/>
              </w:divBdr>
            </w:div>
            <w:div w:id="696588162">
              <w:marLeft w:val="0"/>
              <w:marRight w:val="0"/>
              <w:marTop w:val="0"/>
              <w:marBottom w:val="0"/>
              <w:divBdr>
                <w:top w:val="none" w:sz="0" w:space="0" w:color="auto"/>
                <w:left w:val="none" w:sz="0" w:space="0" w:color="auto"/>
                <w:bottom w:val="none" w:sz="0" w:space="0" w:color="auto"/>
                <w:right w:val="none" w:sz="0" w:space="0" w:color="auto"/>
              </w:divBdr>
            </w:div>
            <w:div w:id="738404065">
              <w:marLeft w:val="0"/>
              <w:marRight w:val="0"/>
              <w:marTop w:val="0"/>
              <w:marBottom w:val="0"/>
              <w:divBdr>
                <w:top w:val="none" w:sz="0" w:space="0" w:color="auto"/>
                <w:left w:val="none" w:sz="0" w:space="0" w:color="auto"/>
                <w:bottom w:val="none" w:sz="0" w:space="0" w:color="auto"/>
                <w:right w:val="none" w:sz="0" w:space="0" w:color="auto"/>
              </w:divBdr>
            </w:div>
          </w:divsChild>
        </w:div>
        <w:div w:id="1941718321">
          <w:marLeft w:val="0"/>
          <w:marRight w:val="0"/>
          <w:marTop w:val="0"/>
          <w:marBottom w:val="0"/>
          <w:divBdr>
            <w:top w:val="none" w:sz="0" w:space="0" w:color="auto"/>
            <w:left w:val="none" w:sz="0" w:space="0" w:color="auto"/>
            <w:bottom w:val="none" w:sz="0" w:space="0" w:color="auto"/>
            <w:right w:val="none" w:sz="0" w:space="0" w:color="auto"/>
          </w:divBdr>
          <w:divsChild>
            <w:div w:id="627124807">
              <w:marLeft w:val="0"/>
              <w:marRight w:val="0"/>
              <w:marTop w:val="0"/>
              <w:marBottom w:val="0"/>
              <w:divBdr>
                <w:top w:val="none" w:sz="0" w:space="0" w:color="auto"/>
                <w:left w:val="none" w:sz="0" w:space="0" w:color="auto"/>
                <w:bottom w:val="none" w:sz="0" w:space="0" w:color="auto"/>
                <w:right w:val="none" w:sz="0" w:space="0" w:color="auto"/>
              </w:divBdr>
            </w:div>
          </w:divsChild>
        </w:div>
        <w:div w:id="2001082154">
          <w:marLeft w:val="0"/>
          <w:marRight w:val="0"/>
          <w:marTop w:val="0"/>
          <w:marBottom w:val="0"/>
          <w:divBdr>
            <w:top w:val="none" w:sz="0" w:space="0" w:color="auto"/>
            <w:left w:val="none" w:sz="0" w:space="0" w:color="auto"/>
            <w:bottom w:val="none" w:sz="0" w:space="0" w:color="auto"/>
            <w:right w:val="none" w:sz="0" w:space="0" w:color="auto"/>
          </w:divBdr>
          <w:divsChild>
            <w:div w:id="1083918080">
              <w:marLeft w:val="0"/>
              <w:marRight w:val="0"/>
              <w:marTop w:val="0"/>
              <w:marBottom w:val="0"/>
              <w:divBdr>
                <w:top w:val="none" w:sz="0" w:space="0" w:color="auto"/>
                <w:left w:val="none" w:sz="0" w:space="0" w:color="auto"/>
                <w:bottom w:val="none" w:sz="0" w:space="0" w:color="auto"/>
                <w:right w:val="none" w:sz="0" w:space="0" w:color="auto"/>
              </w:divBdr>
            </w:div>
          </w:divsChild>
        </w:div>
        <w:div w:id="2006280374">
          <w:marLeft w:val="0"/>
          <w:marRight w:val="0"/>
          <w:marTop w:val="0"/>
          <w:marBottom w:val="0"/>
          <w:divBdr>
            <w:top w:val="none" w:sz="0" w:space="0" w:color="auto"/>
            <w:left w:val="none" w:sz="0" w:space="0" w:color="auto"/>
            <w:bottom w:val="none" w:sz="0" w:space="0" w:color="auto"/>
            <w:right w:val="none" w:sz="0" w:space="0" w:color="auto"/>
          </w:divBdr>
          <w:divsChild>
            <w:div w:id="1896504480">
              <w:marLeft w:val="0"/>
              <w:marRight w:val="0"/>
              <w:marTop w:val="0"/>
              <w:marBottom w:val="0"/>
              <w:divBdr>
                <w:top w:val="none" w:sz="0" w:space="0" w:color="auto"/>
                <w:left w:val="none" w:sz="0" w:space="0" w:color="auto"/>
                <w:bottom w:val="none" w:sz="0" w:space="0" w:color="auto"/>
                <w:right w:val="none" w:sz="0" w:space="0" w:color="auto"/>
              </w:divBdr>
            </w:div>
          </w:divsChild>
        </w:div>
        <w:div w:id="2012489910">
          <w:marLeft w:val="0"/>
          <w:marRight w:val="0"/>
          <w:marTop w:val="0"/>
          <w:marBottom w:val="0"/>
          <w:divBdr>
            <w:top w:val="none" w:sz="0" w:space="0" w:color="auto"/>
            <w:left w:val="none" w:sz="0" w:space="0" w:color="auto"/>
            <w:bottom w:val="none" w:sz="0" w:space="0" w:color="auto"/>
            <w:right w:val="none" w:sz="0" w:space="0" w:color="auto"/>
          </w:divBdr>
          <w:divsChild>
            <w:div w:id="398214802">
              <w:marLeft w:val="0"/>
              <w:marRight w:val="0"/>
              <w:marTop w:val="0"/>
              <w:marBottom w:val="0"/>
              <w:divBdr>
                <w:top w:val="none" w:sz="0" w:space="0" w:color="auto"/>
                <w:left w:val="none" w:sz="0" w:space="0" w:color="auto"/>
                <w:bottom w:val="none" w:sz="0" w:space="0" w:color="auto"/>
                <w:right w:val="none" w:sz="0" w:space="0" w:color="auto"/>
              </w:divBdr>
            </w:div>
            <w:div w:id="478040359">
              <w:marLeft w:val="0"/>
              <w:marRight w:val="0"/>
              <w:marTop w:val="0"/>
              <w:marBottom w:val="0"/>
              <w:divBdr>
                <w:top w:val="none" w:sz="0" w:space="0" w:color="auto"/>
                <w:left w:val="none" w:sz="0" w:space="0" w:color="auto"/>
                <w:bottom w:val="none" w:sz="0" w:space="0" w:color="auto"/>
                <w:right w:val="none" w:sz="0" w:space="0" w:color="auto"/>
              </w:divBdr>
            </w:div>
            <w:div w:id="1493181139">
              <w:marLeft w:val="0"/>
              <w:marRight w:val="0"/>
              <w:marTop w:val="0"/>
              <w:marBottom w:val="0"/>
              <w:divBdr>
                <w:top w:val="none" w:sz="0" w:space="0" w:color="auto"/>
                <w:left w:val="none" w:sz="0" w:space="0" w:color="auto"/>
                <w:bottom w:val="none" w:sz="0" w:space="0" w:color="auto"/>
                <w:right w:val="none" w:sz="0" w:space="0" w:color="auto"/>
              </w:divBdr>
            </w:div>
            <w:div w:id="1908029570">
              <w:marLeft w:val="0"/>
              <w:marRight w:val="0"/>
              <w:marTop w:val="0"/>
              <w:marBottom w:val="0"/>
              <w:divBdr>
                <w:top w:val="none" w:sz="0" w:space="0" w:color="auto"/>
                <w:left w:val="none" w:sz="0" w:space="0" w:color="auto"/>
                <w:bottom w:val="none" w:sz="0" w:space="0" w:color="auto"/>
                <w:right w:val="none" w:sz="0" w:space="0" w:color="auto"/>
              </w:divBdr>
            </w:div>
            <w:div w:id="2025013650">
              <w:marLeft w:val="0"/>
              <w:marRight w:val="0"/>
              <w:marTop w:val="0"/>
              <w:marBottom w:val="0"/>
              <w:divBdr>
                <w:top w:val="none" w:sz="0" w:space="0" w:color="auto"/>
                <w:left w:val="none" w:sz="0" w:space="0" w:color="auto"/>
                <w:bottom w:val="none" w:sz="0" w:space="0" w:color="auto"/>
                <w:right w:val="none" w:sz="0" w:space="0" w:color="auto"/>
              </w:divBdr>
            </w:div>
          </w:divsChild>
        </w:div>
        <w:div w:id="2058119929">
          <w:marLeft w:val="0"/>
          <w:marRight w:val="0"/>
          <w:marTop w:val="0"/>
          <w:marBottom w:val="0"/>
          <w:divBdr>
            <w:top w:val="none" w:sz="0" w:space="0" w:color="auto"/>
            <w:left w:val="none" w:sz="0" w:space="0" w:color="auto"/>
            <w:bottom w:val="none" w:sz="0" w:space="0" w:color="auto"/>
            <w:right w:val="none" w:sz="0" w:space="0" w:color="auto"/>
          </w:divBdr>
          <w:divsChild>
            <w:div w:id="1669283457">
              <w:marLeft w:val="0"/>
              <w:marRight w:val="0"/>
              <w:marTop w:val="0"/>
              <w:marBottom w:val="0"/>
              <w:divBdr>
                <w:top w:val="none" w:sz="0" w:space="0" w:color="auto"/>
                <w:left w:val="none" w:sz="0" w:space="0" w:color="auto"/>
                <w:bottom w:val="none" w:sz="0" w:space="0" w:color="auto"/>
                <w:right w:val="none" w:sz="0" w:space="0" w:color="auto"/>
              </w:divBdr>
            </w:div>
          </w:divsChild>
        </w:div>
        <w:div w:id="2073384683">
          <w:marLeft w:val="0"/>
          <w:marRight w:val="0"/>
          <w:marTop w:val="0"/>
          <w:marBottom w:val="0"/>
          <w:divBdr>
            <w:top w:val="none" w:sz="0" w:space="0" w:color="auto"/>
            <w:left w:val="none" w:sz="0" w:space="0" w:color="auto"/>
            <w:bottom w:val="none" w:sz="0" w:space="0" w:color="auto"/>
            <w:right w:val="none" w:sz="0" w:space="0" w:color="auto"/>
          </w:divBdr>
          <w:divsChild>
            <w:div w:id="1868641987">
              <w:marLeft w:val="0"/>
              <w:marRight w:val="0"/>
              <w:marTop w:val="0"/>
              <w:marBottom w:val="0"/>
              <w:divBdr>
                <w:top w:val="none" w:sz="0" w:space="0" w:color="auto"/>
                <w:left w:val="none" w:sz="0" w:space="0" w:color="auto"/>
                <w:bottom w:val="none" w:sz="0" w:space="0" w:color="auto"/>
                <w:right w:val="none" w:sz="0" w:space="0" w:color="auto"/>
              </w:divBdr>
            </w:div>
          </w:divsChild>
        </w:div>
        <w:div w:id="2117942645">
          <w:marLeft w:val="0"/>
          <w:marRight w:val="0"/>
          <w:marTop w:val="0"/>
          <w:marBottom w:val="0"/>
          <w:divBdr>
            <w:top w:val="none" w:sz="0" w:space="0" w:color="auto"/>
            <w:left w:val="none" w:sz="0" w:space="0" w:color="auto"/>
            <w:bottom w:val="none" w:sz="0" w:space="0" w:color="auto"/>
            <w:right w:val="none" w:sz="0" w:space="0" w:color="auto"/>
          </w:divBdr>
          <w:divsChild>
            <w:div w:id="6323862">
              <w:marLeft w:val="0"/>
              <w:marRight w:val="0"/>
              <w:marTop w:val="0"/>
              <w:marBottom w:val="0"/>
              <w:divBdr>
                <w:top w:val="none" w:sz="0" w:space="0" w:color="auto"/>
                <w:left w:val="none" w:sz="0" w:space="0" w:color="auto"/>
                <w:bottom w:val="none" w:sz="0" w:space="0" w:color="auto"/>
                <w:right w:val="none" w:sz="0" w:space="0" w:color="auto"/>
              </w:divBdr>
            </w:div>
            <w:div w:id="1206599417">
              <w:marLeft w:val="0"/>
              <w:marRight w:val="0"/>
              <w:marTop w:val="0"/>
              <w:marBottom w:val="0"/>
              <w:divBdr>
                <w:top w:val="none" w:sz="0" w:space="0" w:color="auto"/>
                <w:left w:val="none" w:sz="0" w:space="0" w:color="auto"/>
                <w:bottom w:val="none" w:sz="0" w:space="0" w:color="auto"/>
                <w:right w:val="none" w:sz="0" w:space="0" w:color="auto"/>
              </w:divBdr>
            </w:div>
            <w:div w:id="1556575666">
              <w:marLeft w:val="0"/>
              <w:marRight w:val="0"/>
              <w:marTop w:val="0"/>
              <w:marBottom w:val="0"/>
              <w:divBdr>
                <w:top w:val="none" w:sz="0" w:space="0" w:color="auto"/>
                <w:left w:val="none" w:sz="0" w:space="0" w:color="auto"/>
                <w:bottom w:val="none" w:sz="0" w:space="0" w:color="auto"/>
                <w:right w:val="none" w:sz="0" w:space="0" w:color="auto"/>
              </w:divBdr>
            </w:div>
            <w:div w:id="1683707073">
              <w:marLeft w:val="0"/>
              <w:marRight w:val="0"/>
              <w:marTop w:val="0"/>
              <w:marBottom w:val="0"/>
              <w:divBdr>
                <w:top w:val="none" w:sz="0" w:space="0" w:color="auto"/>
                <w:left w:val="none" w:sz="0" w:space="0" w:color="auto"/>
                <w:bottom w:val="none" w:sz="0" w:space="0" w:color="auto"/>
                <w:right w:val="none" w:sz="0" w:space="0" w:color="auto"/>
              </w:divBdr>
            </w:div>
            <w:div w:id="1946498932">
              <w:marLeft w:val="0"/>
              <w:marRight w:val="0"/>
              <w:marTop w:val="0"/>
              <w:marBottom w:val="0"/>
              <w:divBdr>
                <w:top w:val="none" w:sz="0" w:space="0" w:color="auto"/>
                <w:left w:val="none" w:sz="0" w:space="0" w:color="auto"/>
                <w:bottom w:val="none" w:sz="0" w:space="0" w:color="auto"/>
                <w:right w:val="none" w:sz="0" w:space="0" w:color="auto"/>
              </w:divBdr>
            </w:div>
          </w:divsChild>
        </w:div>
        <w:div w:id="2120442740">
          <w:marLeft w:val="0"/>
          <w:marRight w:val="0"/>
          <w:marTop w:val="0"/>
          <w:marBottom w:val="0"/>
          <w:divBdr>
            <w:top w:val="none" w:sz="0" w:space="0" w:color="auto"/>
            <w:left w:val="none" w:sz="0" w:space="0" w:color="auto"/>
            <w:bottom w:val="none" w:sz="0" w:space="0" w:color="auto"/>
            <w:right w:val="none" w:sz="0" w:space="0" w:color="auto"/>
          </w:divBdr>
          <w:divsChild>
            <w:div w:id="200174552">
              <w:marLeft w:val="0"/>
              <w:marRight w:val="0"/>
              <w:marTop w:val="0"/>
              <w:marBottom w:val="0"/>
              <w:divBdr>
                <w:top w:val="none" w:sz="0" w:space="0" w:color="auto"/>
                <w:left w:val="none" w:sz="0" w:space="0" w:color="auto"/>
                <w:bottom w:val="none" w:sz="0" w:space="0" w:color="auto"/>
                <w:right w:val="none" w:sz="0" w:space="0" w:color="auto"/>
              </w:divBdr>
            </w:div>
            <w:div w:id="19580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7015">
      <w:bodyDiv w:val="1"/>
      <w:marLeft w:val="0"/>
      <w:marRight w:val="0"/>
      <w:marTop w:val="0"/>
      <w:marBottom w:val="0"/>
      <w:divBdr>
        <w:top w:val="none" w:sz="0" w:space="0" w:color="auto"/>
        <w:left w:val="none" w:sz="0" w:space="0" w:color="auto"/>
        <w:bottom w:val="none" w:sz="0" w:space="0" w:color="auto"/>
        <w:right w:val="none" w:sz="0" w:space="0" w:color="auto"/>
      </w:divBdr>
    </w:div>
    <w:div w:id="212742057">
      <w:bodyDiv w:val="1"/>
      <w:marLeft w:val="0"/>
      <w:marRight w:val="0"/>
      <w:marTop w:val="0"/>
      <w:marBottom w:val="0"/>
      <w:divBdr>
        <w:top w:val="none" w:sz="0" w:space="0" w:color="auto"/>
        <w:left w:val="none" w:sz="0" w:space="0" w:color="auto"/>
        <w:bottom w:val="none" w:sz="0" w:space="0" w:color="auto"/>
        <w:right w:val="none" w:sz="0" w:space="0" w:color="auto"/>
      </w:divBdr>
    </w:div>
    <w:div w:id="220484016">
      <w:bodyDiv w:val="1"/>
      <w:marLeft w:val="0"/>
      <w:marRight w:val="0"/>
      <w:marTop w:val="0"/>
      <w:marBottom w:val="0"/>
      <w:divBdr>
        <w:top w:val="none" w:sz="0" w:space="0" w:color="auto"/>
        <w:left w:val="none" w:sz="0" w:space="0" w:color="auto"/>
        <w:bottom w:val="none" w:sz="0" w:space="0" w:color="auto"/>
        <w:right w:val="none" w:sz="0" w:space="0" w:color="auto"/>
      </w:divBdr>
    </w:div>
    <w:div w:id="244266489">
      <w:bodyDiv w:val="1"/>
      <w:marLeft w:val="0"/>
      <w:marRight w:val="0"/>
      <w:marTop w:val="0"/>
      <w:marBottom w:val="0"/>
      <w:divBdr>
        <w:top w:val="none" w:sz="0" w:space="0" w:color="auto"/>
        <w:left w:val="none" w:sz="0" w:space="0" w:color="auto"/>
        <w:bottom w:val="none" w:sz="0" w:space="0" w:color="auto"/>
        <w:right w:val="none" w:sz="0" w:space="0" w:color="auto"/>
      </w:divBdr>
    </w:div>
    <w:div w:id="245579124">
      <w:bodyDiv w:val="1"/>
      <w:marLeft w:val="0"/>
      <w:marRight w:val="0"/>
      <w:marTop w:val="0"/>
      <w:marBottom w:val="0"/>
      <w:divBdr>
        <w:top w:val="none" w:sz="0" w:space="0" w:color="auto"/>
        <w:left w:val="none" w:sz="0" w:space="0" w:color="auto"/>
        <w:bottom w:val="none" w:sz="0" w:space="0" w:color="auto"/>
        <w:right w:val="none" w:sz="0" w:space="0" w:color="auto"/>
      </w:divBdr>
    </w:div>
    <w:div w:id="257064816">
      <w:bodyDiv w:val="1"/>
      <w:marLeft w:val="0"/>
      <w:marRight w:val="0"/>
      <w:marTop w:val="0"/>
      <w:marBottom w:val="0"/>
      <w:divBdr>
        <w:top w:val="none" w:sz="0" w:space="0" w:color="auto"/>
        <w:left w:val="none" w:sz="0" w:space="0" w:color="auto"/>
        <w:bottom w:val="none" w:sz="0" w:space="0" w:color="auto"/>
        <w:right w:val="none" w:sz="0" w:space="0" w:color="auto"/>
      </w:divBdr>
    </w:div>
    <w:div w:id="260377857">
      <w:bodyDiv w:val="1"/>
      <w:marLeft w:val="0"/>
      <w:marRight w:val="0"/>
      <w:marTop w:val="0"/>
      <w:marBottom w:val="0"/>
      <w:divBdr>
        <w:top w:val="none" w:sz="0" w:space="0" w:color="auto"/>
        <w:left w:val="none" w:sz="0" w:space="0" w:color="auto"/>
        <w:bottom w:val="none" w:sz="0" w:space="0" w:color="auto"/>
        <w:right w:val="none" w:sz="0" w:space="0" w:color="auto"/>
      </w:divBdr>
    </w:div>
    <w:div w:id="265697549">
      <w:bodyDiv w:val="1"/>
      <w:marLeft w:val="0"/>
      <w:marRight w:val="0"/>
      <w:marTop w:val="0"/>
      <w:marBottom w:val="0"/>
      <w:divBdr>
        <w:top w:val="none" w:sz="0" w:space="0" w:color="auto"/>
        <w:left w:val="none" w:sz="0" w:space="0" w:color="auto"/>
        <w:bottom w:val="none" w:sz="0" w:space="0" w:color="auto"/>
        <w:right w:val="none" w:sz="0" w:space="0" w:color="auto"/>
      </w:divBdr>
    </w:div>
    <w:div w:id="274556766">
      <w:bodyDiv w:val="1"/>
      <w:marLeft w:val="0"/>
      <w:marRight w:val="0"/>
      <w:marTop w:val="0"/>
      <w:marBottom w:val="0"/>
      <w:divBdr>
        <w:top w:val="none" w:sz="0" w:space="0" w:color="auto"/>
        <w:left w:val="none" w:sz="0" w:space="0" w:color="auto"/>
        <w:bottom w:val="none" w:sz="0" w:space="0" w:color="auto"/>
        <w:right w:val="none" w:sz="0" w:space="0" w:color="auto"/>
      </w:divBdr>
    </w:div>
    <w:div w:id="303656372">
      <w:bodyDiv w:val="1"/>
      <w:marLeft w:val="0"/>
      <w:marRight w:val="0"/>
      <w:marTop w:val="0"/>
      <w:marBottom w:val="0"/>
      <w:divBdr>
        <w:top w:val="none" w:sz="0" w:space="0" w:color="auto"/>
        <w:left w:val="none" w:sz="0" w:space="0" w:color="auto"/>
        <w:bottom w:val="none" w:sz="0" w:space="0" w:color="auto"/>
        <w:right w:val="none" w:sz="0" w:space="0" w:color="auto"/>
      </w:divBdr>
    </w:div>
    <w:div w:id="315375329">
      <w:bodyDiv w:val="1"/>
      <w:marLeft w:val="0"/>
      <w:marRight w:val="0"/>
      <w:marTop w:val="0"/>
      <w:marBottom w:val="0"/>
      <w:divBdr>
        <w:top w:val="none" w:sz="0" w:space="0" w:color="auto"/>
        <w:left w:val="none" w:sz="0" w:space="0" w:color="auto"/>
        <w:bottom w:val="none" w:sz="0" w:space="0" w:color="auto"/>
        <w:right w:val="none" w:sz="0" w:space="0" w:color="auto"/>
      </w:divBdr>
      <w:divsChild>
        <w:div w:id="59912035">
          <w:marLeft w:val="0"/>
          <w:marRight w:val="0"/>
          <w:marTop w:val="0"/>
          <w:marBottom w:val="0"/>
          <w:divBdr>
            <w:top w:val="none" w:sz="0" w:space="0" w:color="auto"/>
            <w:left w:val="none" w:sz="0" w:space="0" w:color="auto"/>
            <w:bottom w:val="none" w:sz="0" w:space="0" w:color="auto"/>
            <w:right w:val="none" w:sz="0" w:space="0" w:color="auto"/>
          </w:divBdr>
        </w:div>
        <w:div w:id="127942761">
          <w:marLeft w:val="0"/>
          <w:marRight w:val="0"/>
          <w:marTop w:val="0"/>
          <w:marBottom w:val="0"/>
          <w:divBdr>
            <w:top w:val="none" w:sz="0" w:space="0" w:color="auto"/>
            <w:left w:val="none" w:sz="0" w:space="0" w:color="auto"/>
            <w:bottom w:val="none" w:sz="0" w:space="0" w:color="auto"/>
            <w:right w:val="none" w:sz="0" w:space="0" w:color="auto"/>
          </w:divBdr>
        </w:div>
        <w:div w:id="203173754">
          <w:marLeft w:val="0"/>
          <w:marRight w:val="0"/>
          <w:marTop w:val="0"/>
          <w:marBottom w:val="0"/>
          <w:divBdr>
            <w:top w:val="none" w:sz="0" w:space="0" w:color="auto"/>
            <w:left w:val="none" w:sz="0" w:space="0" w:color="auto"/>
            <w:bottom w:val="none" w:sz="0" w:space="0" w:color="auto"/>
            <w:right w:val="none" w:sz="0" w:space="0" w:color="auto"/>
          </w:divBdr>
        </w:div>
        <w:div w:id="341979294">
          <w:marLeft w:val="0"/>
          <w:marRight w:val="0"/>
          <w:marTop w:val="0"/>
          <w:marBottom w:val="0"/>
          <w:divBdr>
            <w:top w:val="none" w:sz="0" w:space="0" w:color="auto"/>
            <w:left w:val="none" w:sz="0" w:space="0" w:color="auto"/>
            <w:bottom w:val="none" w:sz="0" w:space="0" w:color="auto"/>
            <w:right w:val="none" w:sz="0" w:space="0" w:color="auto"/>
          </w:divBdr>
        </w:div>
        <w:div w:id="477502937">
          <w:marLeft w:val="0"/>
          <w:marRight w:val="0"/>
          <w:marTop w:val="0"/>
          <w:marBottom w:val="0"/>
          <w:divBdr>
            <w:top w:val="none" w:sz="0" w:space="0" w:color="auto"/>
            <w:left w:val="none" w:sz="0" w:space="0" w:color="auto"/>
            <w:bottom w:val="none" w:sz="0" w:space="0" w:color="auto"/>
            <w:right w:val="none" w:sz="0" w:space="0" w:color="auto"/>
          </w:divBdr>
        </w:div>
        <w:div w:id="487327458">
          <w:marLeft w:val="0"/>
          <w:marRight w:val="0"/>
          <w:marTop w:val="0"/>
          <w:marBottom w:val="0"/>
          <w:divBdr>
            <w:top w:val="none" w:sz="0" w:space="0" w:color="auto"/>
            <w:left w:val="none" w:sz="0" w:space="0" w:color="auto"/>
            <w:bottom w:val="none" w:sz="0" w:space="0" w:color="auto"/>
            <w:right w:val="none" w:sz="0" w:space="0" w:color="auto"/>
          </w:divBdr>
        </w:div>
        <w:div w:id="656685784">
          <w:marLeft w:val="0"/>
          <w:marRight w:val="0"/>
          <w:marTop w:val="0"/>
          <w:marBottom w:val="0"/>
          <w:divBdr>
            <w:top w:val="none" w:sz="0" w:space="0" w:color="auto"/>
            <w:left w:val="none" w:sz="0" w:space="0" w:color="auto"/>
            <w:bottom w:val="none" w:sz="0" w:space="0" w:color="auto"/>
            <w:right w:val="none" w:sz="0" w:space="0" w:color="auto"/>
          </w:divBdr>
        </w:div>
        <w:div w:id="672995847">
          <w:marLeft w:val="0"/>
          <w:marRight w:val="0"/>
          <w:marTop w:val="0"/>
          <w:marBottom w:val="0"/>
          <w:divBdr>
            <w:top w:val="none" w:sz="0" w:space="0" w:color="auto"/>
            <w:left w:val="none" w:sz="0" w:space="0" w:color="auto"/>
            <w:bottom w:val="none" w:sz="0" w:space="0" w:color="auto"/>
            <w:right w:val="none" w:sz="0" w:space="0" w:color="auto"/>
          </w:divBdr>
        </w:div>
        <w:div w:id="722948945">
          <w:marLeft w:val="0"/>
          <w:marRight w:val="0"/>
          <w:marTop w:val="0"/>
          <w:marBottom w:val="0"/>
          <w:divBdr>
            <w:top w:val="none" w:sz="0" w:space="0" w:color="auto"/>
            <w:left w:val="none" w:sz="0" w:space="0" w:color="auto"/>
            <w:bottom w:val="none" w:sz="0" w:space="0" w:color="auto"/>
            <w:right w:val="none" w:sz="0" w:space="0" w:color="auto"/>
          </w:divBdr>
        </w:div>
        <w:div w:id="825246003">
          <w:marLeft w:val="0"/>
          <w:marRight w:val="0"/>
          <w:marTop w:val="0"/>
          <w:marBottom w:val="0"/>
          <w:divBdr>
            <w:top w:val="none" w:sz="0" w:space="0" w:color="auto"/>
            <w:left w:val="none" w:sz="0" w:space="0" w:color="auto"/>
            <w:bottom w:val="none" w:sz="0" w:space="0" w:color="auto"/>
            <w:right w:val="none" w:sz="0" w:space="0" w:color="auto"/>
          </w:divBdr>
        </w:div>
        <w:div w:id="1560434621">
          <w:marLeft w:val="0"/>
          <w:marRight w:val="0"/>
          <w:marTop w:val="0"/>
          <w:marBottom w:val="0"/>
          <w:divBdr>
            <w:top w:val="none" w:sz="0" w:space="0" w:color="auto"/>
            <w:left w:val="none" w:sz="0" w:space="0" w:color="auto"/>
            <w:bottom w:val="none" w:sz="0" w:space="0" w:color="auto"/>
            <w:right w:val="none" w:sz="0" w:space="0" w:color="auto"/>
          </w:divBdr>
          <w:divsChild>
            <w:div w:id="1837570059">
              <w:marLeft w:val="0"/>
              <w:marRight w:val="0"/>
              <w:marTop w:val="0"/>
              <w:marBottom w:val="0"/>
              <w:divBdr>
                <w:top w:val="none" w:sz="0" w:space="0" w:color="auto"/>
                <w:left w:val="none" w:sz="0" w:space="0" w:color="auto"/>
                <w:bottom w:val="none" w:sz="0" w:space="0" w:color="auto"/>
                <w:right w:val="none" w:sz="0" w:space="0" w:color="auto"/>
              </w:divBdr>
              <w:divsChild>
                <w:div w:id="690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2950">
          <w:marLeft w:val="0"/>
          <w:marRight w:val="0"/>
          <w:marTop w:val="0"/>
          <w:marBottom w:val="0"/>
          <w:divBdr>
            <w:top w:val="none" w:sz="0" w:space="0" w:color="auto"/>
            <w:left w:val="none" w:sz="0" w:space="0" w:color="auto"/>
            <w:bottom w:val="none" w:sz="0" w:space="0" w:color="auto"/>
            <w:right w:val="none" w:sz="0" w:space="0" w:color="auto"/>
          </w:divBdr>
        </w:div>
        <w:div w:id="1850831129">
          <w:marLeft w:val="0"/>
          <w:marRight w:val="0"/>
          <w:marTop w:val="0"/>
          <w:marBottom w:val="0"/>
          <w:divBdr>
            <w:top w:val="none" w:sz="0" w:space="0" w:color="auto"/>
            <w:left w:val="none" w:sz="0" w:space="0" w:color="auto"/>
            <w:bottom w:val="none" w:sz="0" w:space="0" w:color="auto"/>
            <w:right w:val="none" w:sz="0" w:space="0" w:color="auto"/>
          </w:divBdr>
        </w:div>
        <w:div w:id="1975869333">
          <w:marLeft w:val="0"/>
          <w:marRight w:val="0"/>
          <w:marTop w:val="0"/>
          <w:marBottom w:val="0"/>
          <w:divBdr>
            <w:top w:val="none" w:sz="0" w:space="0" w:color="auto"/>
            <w:left w:val="none" w:sz="0" w:space="0" w:color="auto"/>
            <w:bottom w:val="none" w:sz="0" w:space="0" w:color="auto"/>
            <w:right w:val="none" w:sz="0" w:space="0" w:color="auto"/>
          </w:divBdr>
        </w:div>
        <w:div w:id="2043289486">
          <w:marLeft w:val="0"/>
          <w:marRight w:val="0"/>
          <w:marTop w:val="0"/>
          <w:marBottom w:val="0"/>
          <w:divBdr>
            <w:top w:val="none" w:sz="0" w:space="0" w:color="auto"/>
            <w:left w:val="none" w:sz="0" w:space="0" w:color="auto"/>
            <w:bottom w:val="none" w:sz="0" w:space="0" w:color="auto"/>
            <w:right w:val="none" w:sz="0" w:space="0" w:color="auto"/>
          </w:divBdr>
        </w:div>
        <w:div w:id="2125728793">
          <w:marLeft w:val="0"/>
          <w:marRight w:val="0"/>
          <w:marTop w:val="0"/>
          <w:marBottom w:val="0"/>
          <w:divBdr>
            <w:top w:val="none" w:sz="0" w:space="0" w:color="auto"/>
            <w:left w:val="none" w:sz="0" w:space="0" w:color="auto"/>
            <w:bottom w:val="none" w:sz="0" w:space="0" w:color="auto"/>
            <w:right w:val="none" w:sz="0" w:space="0" w:color="auto"/>
          </w:divBdr>
        </w:div>
      </w:divsChild>
    </w:div>
    <w:div w:id="318775420">
      <w:bodyDiv w:val="1"/>
      <w:marLeft w:val="0"/>
      <w:marRight w:val="0"/>
      <w:marTop w:val="0"/>
      <w:marBottom w:val="0"/>
      <w:divBdr>
        <w:top w:val="none" w:sz="0" w:space="0" w:color="auto"/>
        <w:left w:val="none" w:sz="0" w:space="0" w:color="auto"/>
        <w:bottom w:val="none" w:sz="0" w:space="0" w:color="auto"/>
        <w:right w:val="none" w:sz="0" w:space="0" w:color="auto"/>
      </w:divBdr>
    </w:div>
    <w:div w:id="349528098">
      <w:bodyDiv w:val="1"/>
      <w:marLeft w:val="0"/>
      <w:marRight w:val="0"/>
      <w:marTop w:val="0"/>
      <w:marBottom w:val="0"/>
      <w:divBdr>
        <w:top w:val="none" w:sz="0" w:space="0" w:color="auto"/>
        <w:left w:val="none" w:sz="0" w:space="0" w:color="auto"/>
        <w:bottom w:val="none" w:sz="0" w:space="0" w:color="auto"/>
        <w:right w:val="none" w:sz="0" w:space="0" w:color="auto"/>
      </w:divBdr>
    </w:div>
    <w:div w:id="349962799">
      <w:bodyDiv w:val="1"/>
      <w:marLeft w:val="0"/>
      <w:marRight w:val="0"/>
      <w:marTop w:val="0"/>
      <w:marBottom w:val="0"/>
      <w:divBdr>
        <w:top w:val="none" w:sz="0" w:space="0" w:color="auto"/>
        <w:left w:val="none" w:sz="0" w:space="0" w:color="auto"/>
        <w:bottom w:val="none" w:sz="0" w:space="0" w:color="auto"/>
        <w:right w:val="none" w:sz="0" w:space="0" w:color="auto"/>
      </w:divBdr>
    </w:div>
    <w:div w:id="380137205">
      <w:bodyDiv w:val="1"/>
      <w:marLeft w:val="0"/>
      <w:marRight w:val="0"/>
      <w:marTop w:val="0"/>
      <w:marBottom w:val="0"/>
      <w:divBdr>
        <w:top w:val="none" w:sz="0" w:space="0" w:color="auto"/>
        <w:left w:val="none" w:sz="0" w:space="0" w:color="auto"/>
        <w:bottom w:val="none" w:sz="0" w:space="0" w:color="auto"/>
        <w:right w:val="none" w:sz="0" w:space="0" w:color="auto"/>
      </w:divBdr>
    </w:div>
    <w:div w:id="384644316">
      <w:bodyDiv w:val="1"/>
      <w:marLeft w:val="0"/>
      <w:marRight w:val="0"/>
      <w:marTop w:val="0"/>
      <w:marBottom w:val="0"/>
      <w:divBdr>
        <w:top w:val="none" w:sz="0" w:space="0" w:color="auto"/>
        <w:left w:val="none" w:sz="0" w:space="0" w:color="auto"/>
        <w:bottom w:val="none" w:sz="0" w:space="0" w:color="auto"/>
        <w:right w:val="none" w:sz="0" w:space="0" w:color="auto"/>
      </w:divBdr>
    </w:div>
    <w:div w:id="393698878">
      <w:bodyDiv w:val="1"/>
      <w:marLeft w:val="0"/>
      <w:marRight w:val="0"/>
      <w:marTop w:val="0"/>
      <w:marBottom w:val="0"/>
      <w:divBdr>
        <w:top w:val="none" w:sz="0" w:space="0" w:color="auto"/>
        <w:left w:val="none" w:sz="0" w:space="0" w:color="auto"/>
        <w:bottom w:val="none" w:sz="0" w:space="0" w:color="auto"/>
        <w:right w:val="none" w:sz="0" w:space="0" w:color="auto"/>
      </w:divBdr>
    </w:div>
    <w:div w:id="452866256">
      <w:bodyDiv w:val="1"/>
      <w:marLeft w:val="0"/>
      <w:marRight w:val="0"/>
      <w:marTop w:val="0"/>
      <w:marBottom w:val="0"/>
      <w:divBdr>
        <w:top w:val="none" w:sz="0" w:space="0" w:color="auto"/>
        <w:left w:val="none" w:sz="0" w:space="0" w:color="auto"/>
        <w:bottom w:val="none" w:sz="0" w:space="0" w:color="auto"/>
        <w:right w:val="none" w:sz="0" w:space="0" w:color="auto"/>
      </w:divBdr>
    </w:div>
    <w:div w:id="472528645">
      <w:bodyDiv w:val="1"/>
      <w:marLeft w:val="0"/>
      <w:marRight w:val="0"/>
      <w:marTop w:val="0"/>
      <w:marBottom w:val="0"/>
      <w:divBdr>
        <w:top w:val="none" w:sz="0" w:space="0" w:color="auto"/>
        <w:left w:val="none" w:sz="0" w:space="0" w:color="auto"/>
        <w:bottom w:val="none" w:sz="0" w:space="0" w:color="auto"/>
        <w:right w:val="none" w:sz="0" w:space="0" w:color="auto"/>
      </w:divBdr>
    </w:div>
    <w:div w:id="483931813">
      <w:bodyDiv w:val="1"/>
      <w:marLeft w:val="0"/>
      <w:marRight w:val="0"/>
      <w:marTop w:val="0"/>
      <w:marBottom w:val="0"/>
      <w:divBdr>
        <w:top w:val="none" w:sz="0" w:space="0" w:color="auto"/>
        <w:left w:val="none" w:sz="0" w:space="0" w:color="auto"/>
        <w:bottom w:val="none" w:sz="0" w:space="0" w:color="auto"/>
        <w:right w:val="none" w:sz="0" w:space="0" w:color="auto"/>
      </w:divBdr>
    </w:div>
    <w:div w:id="501706712">
      <w:bodyDiv w:val="1"/>
      <w:marLeft w:val="0"/>
      <w:marRight w:val="0"/>
      <w:marTop w:val="0"/>
      <w:marBottom w:val="0"/>
      <w:divBdr>
        <w:top w:val="none" w:sz="0" w:space="0" w:color="auto"/>
        <w:left w:val="none" w:sz="0" w:space="0" w:color="auto"/>
        <w:bottom w:val="none" w:sz="0" w:space="0" w:color="auto"/>
        <w:right w:val="none" w:sz="0" w:space="0" w:color="auto"/>
      </w:divBdr>
    </w:div>
    <w:div w:id="507445566">
      <w:bodyDiv w:val="1"/>
      <w:marLeft w:val="0"/>
      <w:marRight w:val="0"/>
      <w:marTop w:val="0"/>
      <w:marBottom w:val="0"/>
      <w:divBdr>
        <w:top w:val="none" w:sz="0" w:space="0" w:color="auto"/>
        <w:left w:val="none" w:sz="0" w:space="0" w:color="auto"/>
        <w:bottom w:val="none" w:sz="0" w:space="0" w:color="auto"/>
        <w:right w:val="none" w:sz="0" w:space="0" w:color="auto"/>
      </w:divBdr>
    </w:div>
    <w:div w:id="507863961">
      <w:bodyDiv w:val="1"/>
      <w:marLeft w:val="0"/>
      <w:marRight w:val="0"/>
      <w:marTop w:val="0"/>
      <w:marBottom w:val="0"/>
      <w:divBdr>
        <w:top w:val="none" w:sz="0" w:space="0" w:color="auto"/>
        <w:left w:val="none" w:sz="0" w:space="0" w:color="auto"/>
        <w:bottom w:val="none" w:sz="0" w:space="0" w:color="auto"/>
        <w:right w:val="none" w:sz="0" w:space="0" w:color="auto"/>
      </w:divBdr>
    </w:div>
    <w:div w:id="522671347">
      <w:bodyDiv w:val="1"/>
      <w:marLeft w:val="0"/>
      <w:marRight w:val="0"/>
      <w:marTop w:val="0"/>
      <w:marBottom w:val="0"/>
      <w:divBdr>
        <w:top w:val="none" w:sz="0" w:space="0" w:color="auto"/>
        <w:left w:val="none" w:sz="0" w:space="0" w:color="auto"/>
        <w:bottom w:val="none" w:sz="0" w:space="0" w:color="auto"/>
        <w:right w:val="none" w:sz="0" w:space="0" w:color="auto"/>
      </w:divBdr>
    </w:div>
    <w:div w:id="529949593">
      <w:bodyDiv w:val="1"/>
      <w:marLeft w:val="0"/>
      <w:marRight w:val="0"/>
      <w:marTop w:val="0"/>
      <w:marBottom w:val="0"/>
      <w:divBdr>
        <w:top w:val="none" w:sz="0" w:space="0" w:color="auto"/>
        <w:left w:val="none" w:sz="0" w:space="0" w:color="auto"/>
        <w:bottom w:val="none" w:sz="0" w:space="0" w:color="auto"/>
        <w:right w:val="none" w:sz="0" w:space="0" w:color="auto"/>
      </w:divBdr>
    </w:div>
    <w:div w:id="530993273">
      <w:bodyDiv w:val="1"/>
      <w:marLeft w:val="0"/>
      <w:marRight w:val="0"/>
      <w:marTop w:val="0"/>
      <w:marBottom w:val="0"/>
      <w:divBdr>
        <w:top w:val="none" w:sz="0" w:space="0" w:color="auto"/>
        <w:left w:val="none" w:sz="0" w:space="0" w:color="auto"/>
        <w:bottom w:val="none" w:sz="0" w:space="0" w:color="auto"/>
        <w:right w:val="none" w:sz="0" w:space="0" w:color="auto"/>
      </w:divBdr>
    </w:div>
    <w:div w:id="532309702">
      <w:bodyDiv w:val="1"/>
      <w:marLeft w:val="0"/>
      <w:marRight w:val="0"/>
      <w:marTop w:val="0"/>
      <w:marBottom w:val="0"/>
      <w:divBdr>
        <w:top w:val="none" w:sz="0" w:space="0" w:color="auto"/>
        <w:left w:val="none" w:sz="0" w:space="0" w:color="auto"/>
        <w:bottom w:val="none" w:sz="0" w:space="0" w:color="auto"/>
        <w:right w:val="none" w:sz="0" w:space="0" w:color="auto"/>
      </w:divBdr>
    </w:div>
    <w:div w:id="550001342">
      <w:bodyDiv w:val="1"/>
      <w:marLeft w:val="0"/>
      <w:marRight w:val="0"/>
      <w:marTop w:val="0"/>
      <w:marBottom w:val="0"/>
      <w:divBdr>
        <w:top w:val="none" w:sz="0" w:space="0" w:color="auto"/>
        <w:left w:val="none" w:sz="0" w:space="0" w:color="auto"/>
        <w:bottom w:val="none" w:sz="0" w:space="0" w:color="auto"/>
        <w:right w:val="none" w:sz="0" w:space="0" w:color="auto"/>
      </w:divBdr>
    </w:div>
    <w:div w:id="564334513">
      <w:bodyDiv w:val="1"/>
      <w:marLeft w:val="0"/>
      <w:marRight w:val="0"/>
      <w:marTop w:val="0"/>
      <w:marBottom w:val="0"/>
      <w:divBdr>
        <w:top w:val="none" w:sz="0" w:space="0" w:color="auto"/>
        <w:left w:val="none" w:sz="0" w:space="0" w:color="auto"/>
        <w:bottom w:val="none" w:sz="0" w:space="0" w:color="auto"/>
        <w:right w:val="none" w:sz="0" w:space="0" w:color="auto"/>
      </w:divBdr>
    </w:div>
    <w:div w:id="573704765">
      <w:bodyDiv w:val="1"/>
      <w:marLeft w:val="0"/>
      <w:marRight w:val="0"/>
      <w:marTop w:val="0"/>
      <w:marBottom w:val="0"/>
      <w:divBdr>
        <w:top w:val="none" w:sz="0" w:space="0" w:color="auto"/>
        <w:left w:val="none" w:sz="0" w:space="0" w:color="auto"/>
        <w:bottom w:val="none" w:sz="0" w:space="0" w:color="auto"/>
        <w:right w:val="none" w:sz="0" w:space="0" w:color="auto"/>
      </w:divBdr>
    </w:div>
    <w:div w:id="577330850">
      <w:bodyDiv w:val="1"/>
      <w:marLeft w:val="0"/>
      <w:marRight w:val="0"/>
      <w:marTop w:val="0"/>
      <w:marBottom w:val="0"/>
      <w:divBdr>
        <w:top w:val="none" w:sz="0" w:space="0" w:color="auto"/>
        <w:left w:val="none" w:sz="0" w:space="0" w:color="auto"/>
        <w:bottom w:val="none" w:sz="0" w:space="0" w:color="auto"/>
        <w:right w:val="none" w:sz="0" w:space="0" w:color="auto"/>
      </w:divBdr>
    </w:div>
    <w:div w:id="581960107">
      <w:bodyDiv w:val="1"/>
      <w:marLeft w:val="0"/>
      <w:marRight w:val="0"/>
      <w:marTop w:val="0"/>
      <w:marBottom w:val="0"/>
      <w:divBdr>
        <w:top w:val="none" w:sz="0" w:space="0" w:color="auto"/>
        <w:left w:val="none" w:sz="0" w:space="0" w:color="auto"/>
        <w:bottom w:val="none" w:sz="0" w:space="0" w:color="auto"/>
        <w:right w:val="none" w:sz="0" w:space="0" w:color="auto"/>
      </w:divBdr>
    </w:div>
    <w:div w:id="581988269">
      <w:bodyDiv w:val="1"/>
      <w:marLeft w:val="0"/>
      <w:marRight w:val="0"/>
      <w:marTop w:val="0"/>
      <w:marBottom w:val="0"/>
      <w:divBdr>
        <w:top w:val="none" w:sz="0" w:space="0" w:color="auto"/>
        <w:left w:val="none" w:sz="0" w:space="0" w:color="auto"/>
        <w:bottom w:val="none" w:sz="0" w:space="0" w:color="auto"/>
        <w:right w:val="none" w:sz="0" w:space="0" w:color="auto"/>
      </w:divBdr>
    </w:div>
    <w:div w:id="583611386">
      <w:bodyDiv w:val="1"/>
      <w:marLeft w:val="0"/>
      <w:marRight w:val="0"/>
      <w:marTop w:val="0"/>
      <w:marBottom w:val="0"/>
      <w:divBdr>
        <w:top w:val="none" w:sz="0" w:space="0" w:color="auto"/>
        <w:left w:val="none" w:sz="0" w:space="0" w:color="auto"/>
        <w:bottom w:val="none" w:sz="0" w:space="0" w:color="auto"/>
        <w:right w:val="none" w:sz="0" w:space="0" w:color="auto"/>
      </w:divBdr>
    </w:div>
    <w:div w:id="599415026">
      <w:bodyDiv w:val="1"/>
      <w:marLeft w:val="0"/>
      <w:marRight w:val="0"/>
      <w:marTop w:val="0"/>
      <w:marBottom w:val="0"/>
      <w:divBdr>
        <w:top w:val="none" w:sz="0" w:space="0" w:color="auto"/>
        <w:left w:val="none" w:sz="0" w:space="0" w:color="auto"/>
        <w:bottom w:val="none" w:sz="0" w:space="0" w:color="auto"/>
        <w:right w:val="none" w:sz="0" w:space="0" w:color="auto"/>
      </w:divBdr>
    </w:div>
    <w:div w:id="612636194">
      <w:bodyDiv w:val="1"/>
      <w:marLeft w:val="0"/>
      <w:marRight w:val="0"/>
      <w:marTop w:val="0"/>
      <w:marBottom w:val="0"/>
      <w:divBdr>
        <w:top w:val="none" w:sz="0" w:space="0" w:color="auto"/>
        <w:left w:val="none" w:sz="0" w:space="0" w:color="auto"/>
        <w:bottom w:val="none" w:sz="0" w:space="0" w:color="auto"/>
        <w:right w:val="none" w:sz="0" w:space="0" w:color="auto"/>
      </w:divBdr>
    </w:div>
    <w:div w:id="673723400">
      <w:bodyDiv w:val="1"/>
      <w:marLeft w:val="0"/>
      <w:marRight w:val="0"/>
      <w:marTop w:val="0"/>
      <w:marBottom w:val="0"/>
      <w:divBdr>
        <w:top w:val="none" w:sz="0" w:space="0" w:color="auto"/>
        <w:left w:val="none" w:sz="0" w:space="0" w:color="auto"/>
        <w:bottom w:val="none" w:sz="0" w:space="0" w:color="auto"/>
        <w:right w:val="none" w:sz="0" w:space="0" w:color="auto"/>
      </w:divBdr>
    </w:div>
    <w:div w:id="677855268">
      <w:bodyDiv w:val="1"/>
      <w:marLeft w:val="0"/>
      <w:marRight w:val="0"/>
      <w:marTop w:val="0"/>
      <w:marBottom w:val="0"/>
      <w:divBdr>
        <w:top w:val="none" w:sz="0" w:space="0" w:color="auto"/>
        <w:left w:val="none" w:sz="0" w:space="0" w:color="auto"/>
        <w:bottom w:val="none" w:sz="0" w:space="0" w:color="auto"/>
        <w:right w:val="none" w:sz="0" w:space="0" w:color="auto"/>
      </w:divBdr>
    </w:div>
    <w:div w:id="689642544">
      <w:bodyDiv w:val="1"/>
      <w:marLeft w:val="0"/>
      <w:marRight w:val="0"/>
      <w:marTop w:val="0"/>
      <w:marBottom w:val="0"/>
      <w:divBdr>
        <w:top w:val="none" w:sz="0" w:space="0" w:color="auto"/>
        <w:left w:val="none" w:sz="0" w:space="0" w:color="auto"/>
        <w:bottom w:val="none" w:sz="0" w:space="0" w:color="auto"/>
        <w:right w:val="none" w:sz="0" w:space="0" w:color="auto"/>
      </w:divBdr>
    </w:div>
    <w:div w:id="700976855">
      <w:bodyDiv w:val="1"/>
      <w:marLeft w:val="0"/>
      <w:marRight w:val="0"/>
      <w:marTop w:val="0"/>
      <w:marBottom w:val="0"/>
      <w:divBdr>
        <w:top w:val="none" w:sz="0" w:space="0" w:color="auto"/>
        <w:left w:val="none" w:sz="0" w:space="0" w:color="auto"/>
        <w:bottom w:val="none" w:sz="0" w:space="0" w:color="auto"/>
        <w:right w:val="none" w:sz="0" w:space="0" w:color="auto"/>
      </w:divBdr>
    </w:div>
    <w:div w:id="723217219">
      <w:bodyDiv w:val="1"/>
      <w:marLeft w:val="0"/>
      <w:marRight w:val="0"/>
      <w:marTop w:val="0"/>
      <w:marBottom w:val="0"/>
      <w:divBdr>
        <w:top w:val="none" w:sz="0" w:space="0" w:color="auto"/>
        <w:left w:val="none" w:sz="0" w:space="0" w:color="auto"/>
        <w:bottom w:val="none" w:sz="0" w:space="0" w:color="auto"/>
        <w:right w:val="none" w:sz="0" w:space="0" w:color="auto"/>
      </w:divBdr>
    </w:div>
    <w:div w:id="749690643">
      <w:bodyDiv w:val="1"/>
      <w:marLeft w:val="0"/>
      <w:marRight w:val="0"/>
      <w:marTop w:val="0"/>
      <w:marBottom w:val="0"/>
      <w:divBdr>
        <w:top w:val="none" w:sz="0" w:space="0" w:color="auto"/>
        <w:left w:val="none" w:sz="0" w:space="0" w:color="auto"/>
        <w:bottom w:val="none" w:sz="0" w:space="0" w:color="auto"/>
        <w:right w:val="none" w:sz="0" w:space="0" w:color="auto"/>
      </w:divBdr>
      <w:divsChild>
        <w:div w:id="33704109">
          <w:marLeft w:val="0"/>
          <w:marRight w:val="0"/>
          <w:marTop w:val="0"/>
          <w:marBottom w:val="0"/>
          <w:divBdr>
            <w:top w:val="none" w:sz="0" w:space="0" w:color="auto"/>
            <w:left w:val="none" w:sz="0" w:space="0" w:color="auto"/>
            <w:bottom w:val="none" w:sz="0" w:space="0" w:color="auto"/>
            <w:right w:val="none" w:sz="0" w:space="0" w:color="auto"/>
          </w:divBdr>
        </w:div>
        <w:div w:id="575164646">
          <w:marLeft w:val="0"/>
          <w:marRight w:val="0"/>
          <w:marTop w:val="0"/>
          <w:marBottom w:val="0"/>
          <w:divBdr>
            <w:top w:val="none" w:sz="0" w:space="0" w:color="auto"/>
            <w:left w:val="none" w:sz="0" w:space="0" w:color="auto"/>
            <w:bottom w:val="none" w:sz="0" w:space="0" w:color="auto"/>
            <w:right w:val="none" w:sz="0" w:space="0" w:color="auto"/>
          </w:divBdr>
        </w:div>
        <w:div w:id="684750339">
          <w:marLeft w:val="0"/>
          <w:marRight w:val="0"/>
          <w:marTop w:val="0"/>
          <w:marBottom w:val="0"/>
          <w:divBdr>
            <w:top w:val="none" w:sz="0" w:space="0" w:color="auto"/>
            <w:left w:val="none" w:sz="0" w:space="0" w:color="auto"/>
            <w:bottom w:val="none" w:sz="0" w:space="0" w:color="auto"/>
            <w:right w:val="none" w:sz="0" w:space="0" w:color="auto"/>
          </w:divBdr>
        </w:div>
        <w:div w:id="1402868174">
          <w:marLeft w:val="0"/>
          <w:marRight w:val="0"/>
          <w:marTop w:val="0"/>
          <w:marBottom w:val="0"/>
          <w:divBdr>
            <w:top w:val="none" w:sz="0" w:space="0" w:color="auto"/>
            <w:left w:val="none" w:sz="0" w:space="0" w:color="auto"/>
            <w:bottom w:val="none" w:sz="0" w:space="0" w:color="auto"/>
            <w:right w:val="none" w:sz="0" w:space="0" w:color="auto"/>
          </w:divBdr>
        </w:div>
      </w:divsChild>
    </w:div>
    <w:div w:id="772821920">
      <w:bodyDiv w:val="1"/>
      <w:marLeft w:val="0"/>
      <w:marRight w:val="0"/>
      <w:marTop w:val="0"/>
      <w:marBottom w:val="0"/>
      <w:divBdr>
        <w:top w:val="none" w:sz="0" w:space="0" w:color="auto"/>
        <w:left w:val="none" w:sz="0" w:space="0" w:color="auto"/>
        <w:bottom w:val="none" w:sz="0" w:space="0" w:color="auto"/>
        <w:right w:val="none" w:sz="0" w:space="0" w:color="auto"/>
      </w:divBdr>
    </w:div>
    <w:div w:id="775714984">
      <w:bodyDiv w:val="1"/>
      <w:marLeft w:val="0"/>
      <w:marRight w:val="0"/>
      <w:marTop w:val="0"/>
      <w:marBottom w:val="0"/>
      <w:divBdr>
        <w:top w:val="none" w:sz="0" w:space="0" w:color="auto"/>
        <w:left w:val="none" w:sz="0" w:space="0" w:color="auto"/>
        <w:bottom w:val="none" w:sz="0" w:space="0" w:color="auto"/>
        <w:right w:val="none" w:sz="0" w:space="0" w:color="auto"/>
      </w:divBdr>
    </w:div>
    <w:div w:id="801386097">
      <w:bodyDiv w:val="1"/>
      <w:marLeft w:val="0"/>
      <w:marRight w:val="0"/>
      <w:marTop w:val="0"/>
      <w:marBottom w:val="0"/>
      <w:divBdr>
        <w:top w:val="none" w:sz="0" w:space="0" w:color="auto"/>
        <w:left w:val="none" w:sz="0" w:space="0" w:color="auto"/>
        <w:bottom w:val="none" w:sz="0" w:space="0" w:color="auto"/>
        <w:right w:val="none" w:sz="0" w:space="0" w:color="auto"/>
      </w:divBdr>
    </w:div>
    <w:div w:id="804084159">
      <w:bodyDiv w:val="1"/>
      <w:marLeft w:val="0"/>
      <w:marRight w:val="0"/>
      <w:marTop w:val="0"/>
      <w:marBottom w:val="0"/>
      <w:divBdr>
        <w:top w:val="none" w:sz="0" w:space="0" w:color="auto"/>
        <w:left w:val="none" w:sz="0" w:space="0" w:color="auto"/>
        <w:bottom w:val="none" w:sz="0" w:space="0" w:color="auto"/>
        <w:right w:val="none" w:sz="0" w:space="0" w:color="auto"/>
      </w:divBdr>
    </w:div>
    <w:div w:id="831062286">
      <w:bodyDiv w:val="1"/>
      <w:marLeft w:val="0"/>
      <w:marRight w:val="0"/>
      <w:marTop w:val="0"/>
      <w:marBottom w:val="0"/>
      <w:divBdr>
        <w:top w:val="none" w:sz="0" w:space="0" w:color="auto"/>
        <w:left w:val="none" w:sz="0" w:space="0" w:color="auto"/>
        <w:bottom w:val="none" w:sz="0" w:space="0" w:color="auto"/>
        <w:right w:val="none" w:sz="0" w:space="0" w:color="auto"/>
      </w:divBdr>
    </w:div>
    <w:div w:id="834421436">
      <w:bodyDiv w:val="1"/>
      <w:marLeft w:val="0"/>
      <w:marRight w:val="0"/>
      <w:marTop w:val="0"/>
      <w:marBottom w:val="0"/>
      <w:divBdr>
        <w:top w:val="none" w:sz="0" w:space="0" w:color="auto"/>
        <w:left w:val="none" w:sz="0" w:space="0" w:color="auto"/>
        <w:bottom w:val="none" w:sz="0" w:space="0" w:color="auto"/>
        <w:right w:val="none" w:sz="0" w:space="0" w:color="auto"/>
      </w:divBdr>
      <w:divsChild>
        <w:div w:id="286397624">
          <w:marLeft w:val="0"/>
          <w:marRight w:val="0"/>
          <w:marTop w:val="0"/>
          <w:marBottom w:val="0"/>
          <w:divBdr>
            <w:top w:val="none" w:sz="0" w:space="0" w:color="auto"/>
            <w:left w:val="none" w:sz="0" w:space="0" w:color="auto"/>
            <w:bottom w:val="none" w:sz="0" w:space="0" w:color="auto"/>
            <w:right w:val="none" w:sz="0" w:space="0" w:color="auto"/>
          </w:divBdr>
        </w:div>
        <w:div w:id="833880932">
          <w:marLeft w:val="0"/>
          <w:marRight w:val="0"/>
          <w:marTop w:val="0"/>
          <w:marBottom w:val="0"/>
          <w:divBdr>
            <w:top w:val="none" w:sz="0" w:space="0" w:color="auto"/>
            <w:left w:val="none" w:sz="0" w:space="0" w:color="auto"/>
            <w:bottom w:val="none" w:sz="0" w:space="0" w:color="auto"/>
            <w:right w:val="none" w:sz="0" w:space="0" w:color="auto"/>
          </w:divBdr>
        </w:div>
        <w:div w:id="1117603459">
          <w:marLeft w:val="0"/>
          <w:marRight w:val="0"/>
          <w:marTop w:val="0"/>
          <w:marBottom w:val="0"/>
          <w:divBdr>
            <w:top w:val="none" w:sz="0" w:space="0" w:color="auto"/>
            <w:left w:val="none" w:sz="0" w:space="0" w:color="auto"/>
            <w:bottom w:val="none" w:sz="0" w:space="0" w:color="auto"/>
            <w:right w:val="none" w:sz="0" w:space="0" w:color="auto"/>
          </w:divBdr>
        </w:div>
        <w:div w:id="1183125424">
          <w:marLeft w:val="0"/>
          <w:marRight w:val="0"/>
          <w:marTop w:val="0"/>
          <w:marBottom w:val="0"/>
          <w:divBdr>
            <w:top w:val="none" w:sz="0" w:space="0" w:color="auto"/>
            <w:left w:val="none" w:sz="0" w:space="0" w:color="auto"/>
            <w:bottom w:val="none" w:sz="0" w:space="0" w:color="auto"/>
            <w:right w:val="none" w:sz="0" w:space="0" w:color="auto"/>
          </w:divBdr>
        </w:div>
        <w:div w:id="1962375458">
          <w:marLeft w:val="0"/>
          <w:marRight w:val="0"/>
          <w:marTop w:val="0"/>
          <w:marBottom w:val="0"/>
          <w:divBdr>
            <w:top w:val="none" w:sz="0" w:space="0" w:color="auto"/>
            <w:left w:val="none" w:sz="0" w:space="0" w:color="auto"/>
            <w:bottom w:val="none" w:sz="0" w:space="0" w:color="auto"/>
            <w:right w:val="none" w:sz="0" w:space="0" w:color="auto"/>
          </w:divBdr>
        </w:div>
      </w:divsChild>
    </w:div>
    <w:div w:id="835069709">
      <w:bodyDiv w:val="1"/>
      <w:marLeft w:val="0"/>
      <w:marRight w:val="0"/>
      <w:marTop w:val="0"/>
      <w:marBottom w:val="0"/>
      <w:divBdr>
        <w:top w:val="none" w:sz="0" w:space="0" w:color="auto"/>
        <w:left w:val="none" w:sz="0" w:space="0" w:color="auto"/>
        <w:bottom w:val="none" w:sz="0" w:space="0" w:color="auto"/>
        <w:right w:val="none" w:sz="0" w:space="0" w:color="auto"/>
      </w:divBdr>
    </w:div>
    <w:div w:id="877622867">
      <w:bodyDiv w:val="1"/>
      <w:marLeft w:val="0"/>
      <w:marRight w:val="0"/>
      <w:marTop w:val="0"/>
      <w:marBottom w:val="0"/>
      <w:divBdr>
        <w:top w:val="none" w:sz="0" w:space="0" w:color="auto"/>
        <w:left w:val="none" w:sz="0" w:space="0" w:color="auto"/>
        <w:bottom w:val="none" w:sz="0" w:space="0" w:color="auto"/>
        <w:right w:val="none" w:sz="0" w:space="0" w:color="auto"/>
      </w:divBdr>
    </w:div>
    <w:div w:id="905604803">
      <w:bodyDiv w:val="1"/>
      <w:marLeft w:val="0"/>
      <w:marRight w:val="0"/>
      <w:marTop w:val="0"/>
      <w:marBottom w:val="0"/>
      <w:divBdr>
        <w:top w:val="none" w:sz="0" w:space="0" w:color="auto"/>
        <w:left w:val="none" w:sz="0" w:space="0" w:color="auto"/>
        <w:bottom w:val="none" w:sz="0" w:space="0" w:color="auto"/>
        <w:right w:val="none" w:sz="0" w:space="0" w:color="auto"/>
      </w:divBdr>
    </w:div>
    <w:div w:id="913395474">
      <w:bodyDiv w:val="1"/>
      <w:marLeft w:val="0"/>
      <w:marRight w:val="0"/>
      <w:marTop w:val="0"/>
      <w:marBottom w:val="0"/>
      <w:divBdr>
        <w:top w:val="none" w:sz="0" w:space="0" w:color="auto"/>
        <w:left w:val="none" w:sz="0" w:space="0" w:color="auto"/>
        <w:bottom w:val="none" w:sz="0" w:space="0" w:color="auto"/>
        <w:right w:val="none" w:sz="0" w:space="0" w:color="auto"/>
      </w:divBdr>
    </w:div>
    <w:div w:id="914361988">
      <w:bodyDiv w:val="1"/>
      <w:marLeft w:val="0"/>
      <w:marRight w:val="0"/>
      <w:marTop w:val="0"/>
      <w:marBottom w:val="0"/>
      <w:divBdr>
        <w:top w:val="none" w:sz="0" w:space="0" w:color="auto"/>
        <w:left w:val="none" w:sz="0" w:space="0" w:color="auto"/>
        <w:bottom w:val="none" w:sz="0" w:space="0" w:color="auto"/>
        <w:right w:val="none" w:sz="0" w:space="0" w:color="auto"/>
      </w:divBdr>
      <w:divsChild>
        <w:div w:id="57362632">
          <w:marLeft w:val="0"/>
          <w:marRight w:val="0"/>
          <w:marTop w:val="0"/>
          <w:marBottom w:val="0"/>
          <w:divBdr>
            <w:top w:val="none" w:sz="0" w:space="0" w:color="auto"/>
            <w:left w:val="none" w:sz="0" w:space="0" w:color="auto"/>
            <w:bottom w:val="none" w:sz="0" w:space="0" w:color="auto"/>
            <w:right w:val="none" w:sz="0" w:space="0" w:color="auto"/>
          </w:divBdr>
        </w:div>
        <w:div w:id="772675060">
          <w:marLeft w:val="0"/>
          <w:marRight w:val="0"/>
          <w:marTop w:val="0"/>
          <w:marBottom w:val="0"/>
          <w:divBdr>
            <w:top w:val="none" w:sz="0" w:space="0" w:color="auto"/>
            <w:left w:val="none" w:sz="0" w:space="0" w:color="auto"/>
            <w:bottom w:val="none" w:sz="0" w:space="0" w:color="auto"/>
            <w:right w:val="none" w:sz="0" w:space="0" w:color="auto"/>
          </w:divBdr>
        </w:div>
        <w:div w:id="1044064602">
          <w:marLeft w:val="0"/>
          <w:marRight w:val="0"/>
          <w:marTop w:val="0"/>
          <w:marBottom w:val="0"/>
          <w:divBdr>
            <w:top w:val="none" w:sz="0" w:space="0" w:color="auto"/>
            <w:left w:val="none" w:sz="0" w:space="0" w:color="auto"/>
            <w:bottom w:val="none" w:sz="0" w:space="0" w:color="auto"/>
            <w:right w:val="none" w:sz="0" w:space="0" w:color="auto"/>
          </w:divBdr>
        </w:div>
      </w:divsChild>
    </w:div>
    <w:div w:id="935940516">
      <w:bodyDiv w:val="1"/>
      <w:marLeft w:val="0"/>
      <w:marRight w:val="0"/>
      <w:marTop w:val="0"/>
      <w:marBottom w:val="0"/>
      <w:divBdr>
        <w:top w:val="none" w:sz="0" w:space="0" w:color="auto"/>
        <w:left w:val="none" w:sz="0" w:space="0" w:color="auto"/>
        <w:bottom w:val="none" w:sz="0" w:space="0" w:color="auto"/>
        <w:right w:val="none" w:sz="0" w:space="0" w:color="auto"/>
      </w:divBdr>
    </w:div>
    <w:div w:id="947664410">
      <w:bodyDiv w:val="1"/>
      <w:marLeft w:val="0"/>
      <w:marRight w:val="0"/>
      <w:marTop w:val="0"/>
      <w:marBottom w:val="0"/>
      <w:divBdr>
        <w:top w:val="none" w:sz="0" w:space="0" w:color="auto"/>
        <w:left w:val="none" w:sz="0" w:space="0" w:color="auto"/>
        <w:bottom w:val="none" w:sz="0" w:space="0" w:color="auto"/>
        <w:right w:val="none" w:sz="0" w:space="0" w:color="auto"/>
      </w:divBdr>
    </w:div>
    <w:div w:id="992871921">
      <w:bodyDiv w:val="1"/>
      <w:marLeft w:val="0"/>
      <w:marRight w:val="0"/>
      <w:marTop w:val="0"/>
      <w:marBottom w:val="0"/>
      <w:divBdr>
        <w:top w:val="none" w:sz="0" w:space="0" w:color="auto"/>
        <w:left w:val="none" w:sz="0" w:space="0" w:color="auto"/>
        <w:bottom w:val="none" w:sz="0" w:space="0" w:color="auto"/>
        <w:right w:val="none" w:sz="0" w:space="0" w:color="auto"/>
      </w:divBdr>
    </w:div>
    <w:div w:id="998968463">
      <w:bodyDiv w:val="1"/>
      <w:marLeft w:val="0"/>
      <w:marRight w:val="0"/>
      <w:marTop w:val="0"/>
      <w:marBottom w:val="0"/>
      <w:divBdr>
        <w:top w:val="none" w:sz="0" w:space="0" w:color="auto"/>
        <w:left w:val="none" w:sz="0" w:space="0" w:color="auto"/>
        <w:bottom w:val="none" w:sz="0" w:space="0" w:color="auto"/>
        <w:right w:val="none" w:sz="0" w:space="0" w:color="auto"/>
      </w:divBdr>
    </w:div>
    <w:div w:id="1002589452">
      <w:bodyDiv w:val="1"/>
      <w:marLeft w:val="0"/>
      <w:marRight w:val="0"/>
      <w:marTop w:val="0"/>
      <w:marBottom w:val="0"/>
      <w:divBdr>
        <w:top w:val="none" w:sz="0" w:space="0" w:color="auto"/>
        <w:left w:val="none" w:sz="0" w:space="0" w:color="auto"/>
        <w:bottom w:val="none" w:sz="0" w:space="0" w:color="auto"/>
        <w:right w:val="none" w:sz="0" w:space="0" w:color="auto"/>
      </w:divBdr>
    </w:div>
    <w:div w:id="1007905914">
      <w:bodyDiv w:val="1"/>
      <w:marLeft w:val="0"/>
      <w:marRight w:val="0"/>
      <w:marTop w:val="0"/>
      <w:marBottom w:val="0"/>
      <w:divBdr>
        <w:top w:val="none" w:sz="0" w:space="0" w:color="auto"/>
        <w:left w:val="none" w:sz="0" w:space="0" w:color="auto"/>
        <w:bottom w:val="none" w:sz="0" w:space="0" w:color="auto"/>
        <w:right w:val="none" w:sz="0" w:space="0" w:color="auto"/>
      </w:divBdr>
    </w:div>
    <w:div w:id="1014259694">
      <w:bodyDiv w:val="1"/>
      <w:marLeft w:val="0"/>
      <w:marRight w:val="0"/>
      <w:marTop w:val="0"/>
      <w:marBottom w:val="0"/>
      <w:divBdr>
        <w:top w:val="none" w:sz="0" w:space="0" w:color="auto"/>
        <w:left w:val="none" w:sz="0" w:space="0" w:color="auto"/>
        <w:bottom w:val="none" w:sz="0" w:space="0" w:color="auto"/>
        <w:right w:val="none" w:sz="0" w:space="0" w:color="auto"/>
      </w:divBdr>
    </w:div>
    <w:div w:id="1015691527">
      <w:bodyDiv w:val="1"/>
      <w:marLeft w:val="0"/>
      <w:marRight w:val="0"/>
      <w:marTop w:val="0"/>
      <w:marBottom w:val="0"/>
      <w:divBdr>
        <w:top w:val="none" w:sz="0" w:space="0" w:color="auto"/>
        <w:left w:val="none" w:sz="0" w:space="0" w:color="auto"/>
        <w:bottom w:val="none" w:sz="0" w:space="0" w:color="auto"/>
        <w:right w:val="none" w:sz="0" w:space="0" w:color="auto"/>
      </w:divBdr>
    </w:div>
    <w:div w:id="1047215674">
      <w:bodyDiv w:val="1"/>
      <w:marLeft w:val="0"/>
      <w:marRight w:val="0"/>
      <w:marTop w:val="0"/>
      <w:marBottom w:val="0"/>
      <w:divBdr>
        <w:top w:val="none" w:sz="0" w:space="0" w:color="auto"/>
        <w:left w:val="none" w:sz="0" w:space="0" w:color="auto"/>
        <w:bottom w:val="none" w:sz="0" w:space="0" w:color="auto"/>
        <w:right w:val="none" w:sz="0" w:space="0" w:color="auto"/>
      </w:divBdr>
      <w:divsChild>
        <w:div w:id="1654944411">
          <w:marLeft w:val="0"/>
          <w:marRight w:val="0"/>
          <w:marTop w:val="0"/>
          <w:marBottom w:val="0"/>
          <w:divBdr>
            <w:top w:val="none" w:sz="0" w:space="0" w:color="auto"/>
            <w:left w:val="none" w:sz="0" w:space="0" w:color="auto"/>
            <w:bottom w:val="none" w:sz="0" w:space="0" w:color="auto"/>
            <w:right w:val="none" w:sz="0" w:space="0" w:color="auto"/>
          </w:divBdr>
        </w:div>
      </w:divsChild>
    </w:div>
    <w:div w:id="1049495133">
      <w:bodyDiv w:val="1"/>
      <w:marLeft w:val="0"/>
      <w:marRight w:val="0"/>
      <w:marTop w:val="0"/>
      <w:marBottom w:val="0"/>
      <w:divBdr>
        <w:top w:val="none" w:sz="0" w:space="0" w:color="auto"/>
        <w:left w:val="none" w:sz="0" w:space="0" w:color="auto"/>
        <w:bottom w:val="none" w:sz="0" w:space="0" w:color="auto"/>
        <w:right w:val="none" w:sz="0" w:space="0" w:color="auto"/>
      </w:divBdr>
    </w:div>
    <w:div w:id="1075981270">
      <w:bodyDiv w:val="1"/>
      <w:marLeft w:val="0"/>
      <w:marRight w:val="0"/>
      <w:marTop w:val="0"/>
      <w:marBottom w:val="0"/>
      <w:divBdr>
        <w:top w:val="none" w:sz="0" w:space="0" w:color="auto"/>
        <w:left w:val="none" w:sz="0" w:space="0" w:color="auto"/>
        <w:bottom w:val="none" w:sz="0" w:space="0" w:color="auto"/>
        <w:right w:val="none" w:sz="0" w:space="0" w:color="auto"/>
      </w:divBdr>
      <w:divsChild>
        <w:div w:id="365525161">
          <w:marLeft w:val="0"/>
          <w:marRight w:val="0"/>
          <w:marTop w:val="0"/>
          <w:marBottom w:val="0"/>
          <w:divBdr>
            <w:top w:val="none" w:sz="0" w:space="0" w:color="auto"/>
            <w:left w:val="none" w:sz="0" w:space="0" w:color="auto"/>
            <w:bottom w:val="none" w:sz="0" w:space="0" w:color="auto"/>
            <w:right w:val="none" w:sz="0" w:space="0" w:color="auto"/>
          </w:divBdr>
          <w:divsChild>
            <w:div w:id="1377774749">
              <w:marLeft w:val="0"/>
              <w:marRight w:val="0"/>
              <w:marTop w:val="0"/>
              <w:marBottom w:val="0"/>
              <w:divBdr>
                <w:top w:val="none" w:sz="0" w:space="0" w:color="auto"/>
                <w:left w:val="none" w:sz="0" w:space="0" w:color="auto"/>
                <w:bottom w:val="none" w:sz="0" w:space="0" w:color="auto"/>
                <w:right w:val="none" w:sz="0" w:space="0" w:color="auto"/>
              </w:divBdr>
              <w:divsChild>
                <w:div w:id="57397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6508">
          <w:marLeft w:val="0"/>
          <w:marRight w:val="0"/>
          <w:marTop w:val="0"/>
          <w:marBottom w:val="0"/>
          <w:divBdr>
            <w:top w:val="none" w:sz="0" w:space="0" w:color="auto"/>
            <w:left w:val="none" w:sz="0" w:space="0" w:color="auto"/>
            <w:bottom w:val="none" w:sz="0" w:space="0" w:color="auto"/>
            <w:right w:val="none" w:sz="0" w:space="0" w:color="auto"/>
          </w:divBdr>
        </w:div>
        <w:div w:id="436483886">
          <w:marLeft w:val="0"/>
          <w:marRight w:val="0"/>
          <w:marTop w:val="0"/>
          <w:marBottom w:val="0"/>
          <w:divBdr>
            <w:top w:val="none" w:sz="0" w:space="0" w:color="auto"/>
            <w:left w:val="none" w:sz="0" w:space="0" w:color="auto"/>
            <w:bottom w:val="none" w:sz="0" w:space="0" w:color="auto"/>
            <w:right w:val="none" w:sz="0" w:space="0" w:color="auto"/>
          </w:divBdr>
        </w:div>
        <w:div w:id="439498318">
          <w:marLeft w:val="0"/>
          <w:marRight w:val="0"/>
          <w:marTop w:val="0"/>
          <w:marBottom w:val="0"/>
          <w:divBdr>
            <w:top w:val="none" w:sz="0" w:space="0" w:color="auto"/>
            <w:left w:val="none" w:sz="0" w:space="0" w:color="auto"/>
            <w:bottom w:val="none" w:sz="0" w:space="0" w:color="auto"/>
            <w:right w:val="none" w:sz="0" w:space="0" w:color="auto"/>
          </w:divBdr>
          <w:divsChild>
            <w:div w:id="1426073303">
              <w:marLeft w:val="0"/>
              <w:marRight w:val="0"/>
              <w:marTop w:val="0"/>
              <w:marBottom w:val="0"/>
              <w:divBdr>
                <w:top w:val="none" w:sz="0" w:space="0" w:color="auto"/>
                <w:left w:val="none" w:sz="0" w:space="0" w:color="auto"/>
                <w:bottom w:val="none" w:sz="0" w:space="0" w:color="auto"/>
                <w:right w:val="none" w:sz="0" w:space="0" w:color="auto"/>
              </w:divBdr>
              <w:divsChild>
                <w:div w:id="8719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60617">
          <w:marLeft w:val="0"/>
          <w:marRight w:val="0"/>
          <w:marTop w:val="0"/>
          <w:marBottom w:val="0"/>
          <w:divBdr>
            <w:top w:val="none" w:sz="0" w:space="0" w:color="auto"/>
            <w:left w:val="none" w:sz="0" w:space="0" w:color="auto"/>
            <w:bottom w:val="none" w:sz="0" w:space="0" w:color="auto"/>
            <w:right w:val="none" w:sz="0" w:space="0" w:color="auto"/>
          </w:divBdr>
          <w:divsChild>
            <w:div w:id="294145897">
              <w:marLeft w:val="0"/>
              <w:marRight w:val="0"/>
              <w:marTop w:val="0"/>
              <w:marBottom w:val="0"/>
              <w:divBdr>
                <w:top w:val="none" w:sz="0" w:space="0" w:color="auto"/>
                <w:left w:val="none" w:sz="0" w:space="0" w:color="auto"/>
                <w:bottom w:val="none" w:sz="0" w:space="0" w:color="auto"/>
                <w:right w:val="none" w:sz="0" w:space="0" w:color="auto"/>
              </w:divBdr>
              <w:divsChild>
                <w:div w:id="1996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6131">
          <w:marLeft w:val="0"/>
          <w:marRight w:val="0"/>
          <w:marTop w:val="0"/>
          <w:marBottom w:val="0"/>
          <w:divBdr>
            <w:top w:val="none" w:sz="0" w:space="0" w:color="auto"/>
            <w:left w:val="none" w:sz="0" w:space="0" w:color="auto"/>
            <w:bottom w:val="none" w:sz="0" w:space="0" w:color="auto"/>
            <w:right w:val="none" w:sz="0" w:space="0" w:color="auto"/>
          </w:divBdr>
        </w:div>
        <w:div w:id="931355696">
          <w:marLeft w:val="0"/>
          <w:marRight w:val="0"/>
          <w:marTop w:val="0"/>
          <w:marBottom w:val="0"/>
          <w:divBdr>
            <w:top w:val="none" w:sz="0" w:space="0" w:color="auto"/>
            <w:left w:val="none" w:sz="0" w:space="0" w:color="auto"/>
            <w:bottom w:val="none" w:sz="0" w:space="0" w:color="auto"/>
            <w:right w:val="none" w:sz="0" w:space="0" w:color="auto"/>
          </w:divBdr>
        </w:div>
        <w:div w:id="938293808">
          <w:marLeft w:val="0"/>
          <w:marRight w:val="0"/>
          <w:marTop w:val="0"/>
          <w:marBottom w:val="0"/>
          <w:divBdr>
            <w:top w:val="none" w:sz="0" w:space="0" w:color="auto"/>
            <w:left w:val="none" w:sz="0" w:space="0" w:color="auto"/>
            <w:bottom w:val="none" w:sz="0" w:space="0" w:color="auto"/>
            <w:right w:val="none" w:sz="0" w:space="0" w:color="auto"/>
          </w:divBdr>
        </w:div>
        <w:div w:id="1028290333">
          <w:marLeft w:val="0"/>
          <w:marRight w:val="0"/>
          <w:marTop w:val="0"/>
          <w:marBottom w:val="0"/>
          <w:divBdr>
            <w:top w:val="none" w:sz="0" w:space="0" w:color="auto"/>
            <w:left w:val="none" w:sz="0" w:space="0" w:color="auto"/>
            <w:bottom w:val="none" w:sz="0" w:space="0" w:color="auto"/>
            <w:right w:val="none" w:sz="0" w:space="0" w:color="auto"/>
          </w:divBdr>
        </w:div>
        <w:div w:id="1085150059">
          <w:marLeft w:val="0"/>
          <w:marRight w:val="0"/>
          <w:marTop w:val="0"/>
          <w:marBottom w:val="0"/>
          <w:divBdr>
            <w:top w:val="none" w:sz="0" w:space="0" w:color="auto"/>
            <w:left w:val="none" w:sz="0" w:space="0" w:color="auto"/>
            <w:bottom w:val="none" w:sz="0" w:space="0" w:color="auto"/>
            <w:right w:val="none" w:sz="0" w:space="0" w:color="auto"/>
          </w:divBdr>
        </w:div>
        <w:div w:id="1127822184">
          <w:marLeft w:val="0"/>
          <w:marRight w:val="0"/>
          <w:marTop w:val="0"/>
          <w:marBottom w:val="0"/>
          <w:divBdr>
            <w:top w:val="none" w:sz="0" w:space="0" w:color="auto"/>
            <w:left w:val="none" w:sz="0" w:space="0" w:color="auto"/>
            <w:bottom w:val="none" w:sz="0" w:space="0" w:color="auto"/>
            <w:right w:val="none" w:sz="0" w:space="0" w:color="auto"/>
          </w:divBdr>
        </w:div>
        <w:div w:id="1286347018">
          <w:marLeft w:val="0"/>
          <w:marRight w:val="0"/>
          <w:marTop w:val="0"/>
          <w:marBottom w:val="0"/>
          <w:divBdr>
            <w:top w:val="none" w:sz="0" w:space="0" w:color="auto"/>
            <w:left w:val="none" w:sz="0" w:space="0" w:color="auto"/>
            <w:bottom w:val="none" w:sz="0" w:space="0" w:color="auto"/>
            <w:right w:val="none" w:sz="0" w:space="0" w:color="auto"/>
          </w:divBdr>
          <w:divsChild>
            <w:div w:id="108866451">
              <w:marLeft w:val="0"/>
              <w:marRight w:val="0"/>
              <w:marTop w:val="0"/>
              <w:marBottom w:val="0"/>
              <w:divBdr>
                <w:top w:val="none" w:sz="0" w:space="0" w:color="auto"/>
                <w:left w:val="none" w:sz="0" w:space="0" w:color="auto"/>
                <w:bottom w:val="none" w:sz="0" w:space="0" w:color="auto"/>
                <w:right w:val="none" w:sz="0" w:space="0" w:color="auto"/>
              </w:divBdr>
              <w:divsChild>
                <w:div w:id="2853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5212">
          <w:marLeft w:val="0"/>
          <w:marRight w:val="0"/>
          <w:marTop w:val="0"/>
          <w:marBottom w:val="0"/>
          <w:divBdr>
            <w:top w:val="none" w:sz="0" w:space="0" w:color="auto"/>
            <w:left w:val="none" w:sz="0" w:space="0" w:color="auto"/>
            <w:bottom w:val="none" w:sz="0" w:space="0" w:color="auto"/>
            <w:right w:val="none" w:sz="0" w:space="0" w:color="auto"/>
          </w:divBdr>
        </w:div>
        <w:div w:id="1424491735">
          <w:marLeft w:val="0"/>
          <w:marRight w:val="0"/>
          <w:marTop w:val="0"/>
          <w:marBottom w:val="0"/>
          <w:divBdr>
            <w:top w:val="none" w:sz="0" w:space="0" w:color="auto"/>
            <w:left w:val="none" w:sz="0" w:space="0" w:color="auto"/>
            <w:bottom w:val="none" w:sz="0" w:space="0" w:color="auto"/>
            <w:right w:val="none" w:sz="0" w:space="0" w:color="auto"/>
          </w:divBdr>
        </w:div>
        <w:div w:id="1501001583">
          <w:marLeft w:val="0"/>
          <w:marRight w:val="0"/>
          <w:marTop w:val="0"/>
          <w:marBottom w:val="0"/>
          <w:divBdr>
            <w:top w:val="none" w:sz="0" w:space="0" w:color="auto"/>
            <w:left w:val="none" w:sz="0" w:space="0" w:color="auto"/>
            <w:bottom w:val="none" w:sz="0" w:space="0" w:color="auto"/>
            <w:right w:val="none" w:sz="0" w:space="0" w:color="auto"/>
          </w:divBdr>
        </w:div>
        <w:div w:id="1621912021">
          <w:marLeft w:val="0"/>
          <w:marRight w:val="0"/>
          <w:marTop w:val="0"/>
          <w:marBottom w:val="0"/>
          <w:divBdr>
            <w:top w:val="none" w:sz="0" w:space="0" w:color="auto"/>
            <w:left w:val="none" w:sz="0" w:space="0" w:color="auto"/>
            <w:bottom w:val="none" w:sz="0" w:space="0" w:color="auto"/>
            <w:right w:val="none" w:sz="0" w:space="0" w:color="auto"/>
          </w:divBdr>
        </w:div>
        <w:div w:id="1634798054">
          <w:marLeft w:val="0"/>
          <w:marRight w:val="0"/>
          <w:marTop w:val="0"/>
          <w:marBottom w:val="0"/>
          <w:divBdr>
            <w:top w:val="none" w:sz="0" w:space="0" w:color="auto"/>
            <w:left w:val="none" w:sz="0" w:space="0" w:color="auto"/>
            <w:bottom w:val="none" w:sz="0" w:space="0" w:color="auto"/>
            <w:right w:val="none" w:sz="0" w:space="0" w:color="auto"/>
          </w:divBdr>
        </w:div>
        <w:div w:id="1772555148">
          <w:marLeft w:val="0"/>
          <w:marRight w:val="0"/>
          <w:marTop w:val="0"/>
          <w:marBottom w:val="0"/>
          <w:divBdr>
            <w:top w:val="none" w:sz="0" w:space="0" w:color="auto"/>
            <w:left w:val="none" w:sz="0" w:space="0" w:color="auto"/>
            <w:bottom w:val="none" w:sz="0" w:space="0" w:color="auto"/>
            <w:right w:val="none" w:sz="0" w:space="0" w:color="auto"/>
          </w:divBdr>
          <w:divsChild>
            <w:div w:id="57754938">
              <w:marLeft w:val="0"/>
              <w:marRight w:val="0"/>
              <w:marTop w:val="0"/>
              <w:marBottom w:val="0"/>
              <w:divBdr>
                <w:top w:val="none" w:sz="0" w:space="0" w:color="auto"/>
                <w:left w:val="none" w:sz="0" w:space="0" w:color="auto"/>
                <w:bottom w:val="none" w:sz="0" w:space="0" w:color="auto"/>
                <w:right w:val="none" w:sz="0" w:space="0" w:color="auto"/>
              </w:divBdr>
              <w:divsChild>
                <w:div w:id="3633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0057">
          <w:marLeft w:val="0"/>
          <w:marRight w:val="0"/>
          <w:marTop w:val="0"/>
          <w:marBottom w:val="0"/>
          <w:divBdr>
            <w:top w:val="none" w:sz="0" w:space="0" w:color="auto"/>
            <w:left w:val="none" w:sz="0" w:space="0" w:color="auto"/>
            <w:bottom w:val="none" w:sz="0" w:space="0" w:color="auto"/>
            <w:right w:val="none" w:sz="0" w:space="0" w:color="auto"/>
          </w:divBdr>
        </w:div>
        <w:div w:id="1789159381">
          <w:marLeft w:val="0"/>
          <w:marRight w:val="0"/>
          <w:marTop w:val="0"/>
          <w:marBottom w:val="0"/>
          <w:divBdr>
            <w:top w:val="none" w:sz="0" w:space="0" w:color="auto"/>
            <w:left w:val="none" w:sz="0" w:space="0" w:color="auto"/>
            <w:bottom w:val="none" w:sz="0" w:space="0" w:color="auto"/>
            <w:right w:val="none" w:sz="0" w:space="0" w:color="auto"/>
          </w:divBdr>
        </w:div>
        <w:div w:id="1852180797">
          <w:marLeft w:val="0"/>
          <w:marRight w:val="0"/>
          <w:marTop w:val="0"/>
          <w:marBottom w:val="0"/>
          <w:divBdr>
            <w:top w:val="none" w:sz="0" w:space="0" w:color="auto"/>
            <w:left w:val="none" w:sz="0" w:space="0" w:color="auto"/>
            <w:bottom w:val="none" w:sz="0" w:space="0" w:color="auto"/>
            <w:right w:val="none" w:sz="0" w:space="0" w:color="auto"/>
          </w:divBdr>
        </w:div>
        <w:div w:id="1867789027">
          <w:marLeft w:val="0"/>
          <w:marRight w:val="0"/>
          <w:marTop w:val="0"/>
          <w:marBottom w:val="0"/>
          <w:divBdr>
            <w:top w:val="none" w:sz="0" w:space="0" w:color="auto"/>
            <w:left w:val="none" w:sz="0" w:space="0" w:color="auto"/>
            <w:bottom w:val="none" w:sz="0" w:space="0" w:color="auto"/>
            <w:right w:val="none" w:sz="0" w:space="0" w:color="auto"/>
          </w:divBdr>
        </w:div>
        <w:div w:id="1999844253">
          <w:marLeft w:val="0"/>
          <w:marRight w:val="0"/>
          <w:marTop w:val="0"/>
          <w:marBottom w:val="0"/>
          <w:divBdr>
            <w:top w:val="none" w:sz="0" w:space="0" w:color="auto"/>
            <w:left w:val="none" w:sz="0" w:space="0" w:color="auto"/>
            <w:bottom w:val="none" w:sz="0" w:space="0" w:color="auto"/>
            <w:right w:val="none" w:sz="0" w:space="0" w:color="auto"/>
          </w:divBdr>
        </w:div>
        <w:div w:id="2082242322">
          <w:marLeft w:val="0"/>
          <w:marRight w:val="0"/>
          <w:marTop w:val="0"/>
          <w:marBottom w:val="0"/>
          <w:divBdr>
            <w:top w:val="none" w:sz="0" w:space="0" w:color="auto"/>
            <w:left w:val="none" w:sz="0" w:space="0" w:color="auto"/>
            <w:bottom w:val="none" w:sz="0" w:space="0" w:color="auto"/>
            <w:right w:val="none" w:sz="0" w:space="0" w:color="auto"/>
          </w:divBdr>
          <w:divsChild>
            <w:div w:id="1861429728">
              <w:marLeft w:val="0"/>
              <w:marRight w:val="0"/>
              <w:marTop w:val="0"/>
              <w:marBottom w:val="0"/>
              <w:divBdr>
                <w:top w:val="none" w:sz="0" w:space="0" w:color="auto"/>
                <w:left w:val="none" w:sz="0" w:space="0" w:color="auto"/>
                <w:bottom w:val="none" w:sz="0" w:space="0" w:color="auto"/>
                <w:right w:val="none" w:sz="0" w:space="0" w:color="auto"/>
              </w:divBdr>
              <w:divsChild>
                <w:div w:id="4136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8544">
      <w:bodyDiv w:val="1"/>
      <w:marLeft w:val="0"/>
      <w:marRight w:val="0"/>
      <w:marTop w:val="0"/>
      <w:marBottom w:val="0"/>
      <w:divBdr>
        <w:top w:val="none" w:sz="0" w:space="0" w:color="auto"/>
        <w:left w:val="none" w:sz="0" w:space="0" w:color="auto"/>
        <w:bottom w:val="none" w:sz="0" w:space="0" w:color="auto"/>
        <w:right w:val="none" w:sz="0" w:space="0" w:color="auto"/>
      </w:divBdr>
      <w:divsChild>
        <w:div w:id="90904538">
          <w:marLeft w:val="0"/>
          <w:marRight w:val="0"/>
          <w:marTop w:val="0"/>
          <w:marBottom w:val="0"/>
          <w:divBdr>
            <w:top w:val="none" w:sz="0" w:space="0" w:color="auto"/>
            <w:left w:val="none" w:sz="0" w:space="0" w:color="auto"/>
            <w:bottom w:val="none" w:sz="0" w:space="0" w:color="auto"/>
            <w:right w:val="none" w:sz="0" w:space="0" w:color="auto"/>
          </w:divBdr>
        </w:div>
        <w:div w:id="142309114">
          <w:marLeft w:val="0"/>
          <w:marRight w:val="0"/>
          <w:marTop w:val="0"/>
          <w:marBottom w:val="0"/>
          <w:divBdr>
            <w:top w:val="none" w:sz="0" w:space="0" w:color="auto"/>
            <w:left w:val="none" w:sz="0" w:space="0" w:color="auto"/>
            <w:bottom w:val="none" w:sz="0" w:space="0" w:color="auto"/>
            <w:right w:val="none" w:sz="0" w:space="0" w:color="auto"/>
          </w:divBdr>
        </w:div>
        <w:div w:id="154154361">
          <w:marLeft w:val="0"/>
          <w:marRight w:val="0"/>
          <w:marTop w:val="0"/>
          <w:marBottom w:val="0"/>
          <w:divBdr>
            <w:top w:val="none" w:sz="0" w:space="0" w:color="auto"/>
            <w:left w:val="none" w:sz="0" w:space="0" w:color="auto"/>
            <w:bottom w:val="none" w:sz="0" w:space="0" w:color="auto"/>
            <w:right w:val="none" w:sz="0" w:space="0" w:color="auto"/>
          </w:divBdr>
        </w:div>
        <w:div w:id="154273481">
          <w:marLeft w:val="0"/>
          <w:marRight w:val="0"/>
          <w:marTop w:val="0"/>
          <w:marBottom w:val="0"/>
          <w:divBdr>
            <w:top w:val="none" w:sz="0" w:space="0" w:color="auto"/>
            <w:left w:val="none" w:sz="0" w:space="0" w:color="auto"/>
            <w:bottom w:val="none" w:sz="0" w:space="0" w:color="auto"/>
            <w:right w:val="none" w:sz="0" w:space="0" w:color="auto"/>
          </w:divBdr>
        </w:div>
        <w:div w:id="333462362">
          <w:marLeft w:val="0"/>
          <w:marRight w:val="0"/>
          <w:marTop w:val="0"/>
          <w:marBottom w:val="0"/>
          <w:divBdr>
            <w:top w:val="none" w:sz="0" w:space="0" w:color="auto"/>
            <w:left w:val="none" w:sz="0" w:space="0" w:color="auto"/>
            <w:bottom w:val="none" w:sz="0" w:space="0" w:color="auto"/>
            <w:right w:val="none" w:sz="0" w:space="0" w:color="auto"/>
          </w:divBdr>
        </w:div>
        <w:div w:id="507863581">
          <w:marLeft w:val="0"/>
          <w:marRight w:val="0"/>
          <w:marTop w:val="0"/>
          <w:marBottom w:val="0"/>
          <w:divBdr>
            <w:top w:val="none" w:sz="0" w:space="0" w:color="auto"/>
            <w:left w:val="none" w:sz="0" w:space="0" w:color="auto"/>
            <w:bottom w:val="none" w:sz="0" w:space="0" w:color="auto"/>
            <w:right w:val="none" w:sz="0" w:space="0" w:color="auto"/>
          </w:divBdr>
        </w:div>
        <w:div w:id="527647687">
          <w:marLeft w:val="0"/>
          <w:marRight w:val="0"/>
          <w:marTop w:val="0"/>
          <w:marBottom w:val="0"/>
          <w:divBdr>
            <w:top w:val="none" w:sz="0" w:space="0" w:color="auto"/>
            <w:left w:val="none" w:sz="0" w:space="0" w:color="auto"/>
            <w:bottom w:val="none" w:sz="0" w:space="0" w:color="auto"/>
            <w:right w:val="none" w:sz="0" w:space="0" w:color="auto"/>
          </w:divBdr>
        </w:div>
        <w:div w:id="669872173">
          <w:marLeft w:val="0"/>
          <w:marRight w:val="0"/>
          <w:marTop w:val="0"/>
          <w:marBottom w:val="0"/>
          <w:divBdr>
            <w:top w:val="none" w:sz="0" w:space="0" w:color="auto"/>
            <w:left w:val="none" w:sz="0" w:space="0" w:color="auto"/>
            <w:bottom w:val="none" w:sz="0" w:space="0" w:color="auto"/>
            <w:right w:val="none" w:sz="0" w:space="0" w:color="auto"/>
          </w:divBdr>
        </w:div>
        <w:div w:id="720712719">
          <w:marLeft w:val="0"/>
          <w:marRight w:val="0"/>
          <w:marTop w:val="0"/>
          <w:marBottom w:val="0"/>
          <w:divBdr>
            <w:top w:val="none" w:sz="0" w:space="0" w:color="auto"/>
            <w:left w:val="none" w:sz="0" w:space="0" w:color="auto"/>
            <w:bottom w:val="none" w:sz="0" w:space="0" w:color="auto"/>
            <w:right w:val="none" w:sz="0" w:space="0" w:color="auto"/>
          </w:divBdr>
          <w:divsChild>
            <w:div w:id="1871332571">
              <w:marLeft w:val="0"/>
              <w:marRight w:val="0"/>
              <w:marTop w:val="0"/>
              <w:marBottom w:val="0"/>
              <w:divBdr>
                <w:top w:val="none" w:sz="0" w:space="0" w:color="auto"/>
                <w:left w:val="none" w:sz="0" w:space="0" w:color="auto"/>
                <w:bottom w:val="none" w:sz="0" w:space="0" w:color="auto"/>
                <w:right w:val="none" w:sz="0" w:space="0" w:color="auto"/>
              </w:divBdr>
              <w:divsChild>
                <w:div w:id="14205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1645">
          <w:marLeft w:val="0"/>
          <w:marRight w:val="0"/>
          <w:marTop w:val="0"/>
          <w:marBottom w:val="0"/>
          <w:divBdr>
            <w:top w:val="none" w:sz="0" w:space="0" w:color="auto"/>
            <w:left w:val="none" w:sz="0" w:space="0" w:color="auto"/>
            <w:bottom w:val="none" w:sz="0" w:space="0" w:color="auto"/>
            <w:right w:val="none" w:sz="0" w:space="0" w:color="auto"/>
          </w:divBdr>
        </w:div>
        <w:div w:id="1208570047">
          <w:marLeft w:val="0"/>
          <w:marRight w:val="0"/>
          <w:marTop w:val="0"/>
          <w:marBottom w:val="0"/>
          <w:divBdr>
            <w:top w:val="none" w:sz="0" w:space="0" w:color="auto"/>
            <w:left w:val="none" w:sz="0" w:space="0" w:color="auto"/>
            <w:bottom w:val="none" w:sz="0" w:space="0" w:color="auto"/>
            <w:right w:val="none" w:sz="0" w:space="0" w:color="auto"/>
          </w:divBdr>
        </w:div>
        <w:div w:id="1216773235">
          <w:marLeft w:val="0"/>
          <w:marRight w:val="0"/>
          <w:marTop w:val="0"/>
          <w:marBottom w:val="0"/>
          <w:divBdr>
            <w:top w:val="none" w:sz="0" w:space="0" w:color="auto"/>
            <w:left w:val="none" w:sz="0" w:space="0" w:color="auto"/>
            <w:bottom w:val="none" w:sz="0" w:space="0" w:color="auto"/>
            <w:right w:val="none" w:sz="0" w:space="0" w:color="auto"/>
          </w:divBdr>
        </w:div>
        <w:div w:id="1334990794">
          <w:marLeft w:val="0"/>
          <w:marRight w:val="0"/>
          <w:marTop w:val="0"/>
          <w:marBottom w:val="0"/>
          <w:divBdr>
            <w:top w:val="none" w:sz="0" w:space="0" w:color="auto"/>
            <w:left w:val="none" w:sz="0" w:space="0" w:color="auto"/>
            <w:bottom w:val="none" w:sz="0" w:space="0" w:color="auto"/>
            <w:right w:val="none" w:sz="0" w:space="0" w:color="auto"/>
          </w:divBdr>
        </w:div>
        <w:div w:id="1617559587">
          <w:marLeft w:val="0"/>
          <w:marRight w:val="0"/>
          <w:marTop w:val="0"/>
          <w:marBottom w:val="0"/>
          <w:divBdr>
            <w:top w:val="none" w:sz="0" w:space="0" w:color="auto"/>
            <w:left w:val="none" w:sz="0" w:space="0" w:color="auto"/>
            <w:bottom w:val="none" w:sz="0" w:space="0" w:color="auto"/>
            <w:right w:val="none" w:sz="0" w:space="0" w:color="auto"/>
          </w:divBdr>
        </w:div>
        <w:div w:id="1694578392">
          <w:marLeft w:val="0"/>
          <w:marRight w:val="0"/>
          <w:marTop w:val="0"/>
          <w:marBottom w:val="0"/>
          <w:divBdr>
            <w:top w:val="none" w:sz="0" w:space="0" w:color="auto"/>
            <w:left w:val="none" w:sz="0" w:space="0" w:color="auto"/>
            <w:bottom w:val="none" w:sz="0" w:space="0" w:color="auto"/>
            <w:right w:val="none" w:sz="0" w:space="0" w:color="auto"/>
          </w:divBdr>
        </w:div>
        <w:div w:id="1912884337">
          <w:marLeft w:val="0"/>
          <w:marRight w:val="0"/>
          <w:marTop w:val="0"/>
          <w:marBottom w:val="0"/>
          <w:divBdr>
            <w:top w:val="none" w:sz="0" w:space="0" w:color="auto"/>
            <w:left w:val="none" w:sz="0" w:space="0" w:color="auto"/>
            <w:bottom w:val="none" w:sz="0" w:space="0" w:color="auto"/>
            <w:right w:val="none" w:sz="0" w:space="0" w:color="auto"/>
          </w:divBdr>
        </w:div>
      </w:divsChild>
    </w:div>
    <w:div w:id="1142968836">
      <w:bodyDiv w:val="1"/>
      <w:marLeft w:val="0"/>
      <w:marRight w:val="0"/>
      <w:marTop w:val="0"/>
      <w:marBottom w:val="0"/>
      <w:divBdr>
        <w:top w:val="none" w:sz="0" w:space="0" w:color="auto"/>
        <w:left w:val="none" w:sz="0" w:space="0" w:color="auto"/>
        <w:bottom w:val="none" w:sz="0" w:space="0" w:color="auto"/>
        <w:right w:val="none" w:sz="0" w:space="0" w:color="auto"/>
      </w:divBdr>
    </w:div>
    <w:div w:id="1169295489">
      <w:bodyDiv w:val="1"/>
      <w:marLeft w:val="0"/>
      <w:marRight w:val="0"/>
      <w:marTop w:val="0"/>
      <w:marBottom w:val="0"/>
      <w:divBdr>
        <w:top w:val="none" w:sz="0" w:space="0" w:color="auto"/>
        <w:left w:val="none" w:sz="0" w:space="0" w:color="auto"/>
        <w:bottom w:val="none" w:sz="0" w:space="0" w:color="auto"/>
        <w:right w:val="none" w:sz="0" w:space="0" w:color="auto"/>
      </w:divBdr>
    </w:div>
    <w:div w:id="1174032853">
      <w:bodyDiv w:val="1"/>
      <w:marLeft w:val="0"/>
      <w:marRight w:val="0"/>
      <w:marTop w:val="0"/>
      <w:marBottom w:val="0"/>
      <w:divBdr>
        <w:top w:val="none" w:sz="0" w:space="0" w:color="auto"/>
        <w:left w:val="none" w:sz="0" w:space="0" w:color="auto"/>
        <w:bottom w:val="none" w:sz="0" w:space="0" w:color="auto"/>
        <w:right w:val="none" w:sz="0" w:space="0" w:color="auto"/>
      </w:divBdr>
    </w:div>
    <w:div w:id="1190754612">
      <w:bodyDiv w:val="1"/>
      <w:marLeft w:val="0"/>
      <w:marRight w:val="0"/>
      <w:marTop w:val="0"/>
      <w:marBottom w:val="0"/>
      <w:divBdr>
        <w:top w:val="none" w:sz="0" w:space="0" w:color="auto"/>
        <w:left w:val="none" w:sz="0" w:space="0" w:color="auto"/>
        <w:bottom w:val="none" w:sz="0" w:space="0" w:color="auto"/>
        <w:right w:val="none" w:sz="0" w:space="0" w:color="auto"/>
      </w:divBdr>
    </w:div>
    <w:div w:id="1201166943">
      <w:bodyDiv w:val="1"/>
      <w:marLeft w:val="0"/>
      <w:marRight w:val="0"/>
      <w:marTop w:val="0"/>
      <w:marBottom w:val="0"/>
      <w:divBdr>
        <w:top w:val="none" w:sz="0" w:space="0" w:color="auto"/>
        <w:left w:val="none" w:sz="0" w:space="0" w:color="auto"/>
        <w:bottom w:val="none" w:sz="0" w:space="0" w:color="auto"/>
        <w:right w:val="none" w:sz="0" w:space="0" w:color="auto"/>
      </w:divBdr>
    </w:div>
    <w:div w:id="1209337332">
      <w:bodyDiv w:val="1"/>
      <w:marLeft w:val="0"/>
      <w:marRight w:val="0"/>
      <w:marTop w:val="0"/>
      <w:marBottom w:val="0"/>
      <w:divBdr>
        <w:top w:val="none" w:sz="0" w:space="0" w:color="auto"/>
        <w:left w:val="none" w:sz="0" w:space="0" w:color="auto"/>
        <w:bottom w:val="none" w:sz="0" w:space="0" w:color="auto"/>
        <w:right w:val="none" w:sz="0" w:space="0" w:color="auto"/>
      </w:divBdr>
    </w:div>
    <w:div w:id="1215965682">
      <w:bodyDiv w:val="1"/>
      <w:marLeft w:val="0"/>
      <w:marRight w:val="0"/>
      <w:marTop w:val="0"/>
      <w:marBottom w:val="0"/>
      <w:divBdr>
        <w:top w:val="none" w:sz="0" w:space="0" w:color="auto"/>
        <w:left w:val="none" w:sz="0" w:space="0" w:color="auto"/>
        <w:bottom w:val="none" w:sz="0" w:space="0" w:color="auto"/>
        <w:right w:val="none" w:sz="0" w:space="0" w:color="auto"/>
      </w:divBdr>
    </w:div>
    <w:div w:id="1236818276">
      <w:bodyDiv w:val="1"/>
      <w:marLeft w:val="0"/>
      <w:marRight w:val="0"/>
      <w:marTop w:val="0"/>
      <w:marBottom w:val="0"/>
      <w:divBdr>
        <w:top w:val="none" w:sz="0" w:space="0" w:color="auto"/>
        <w:left w:val="none" w:sz="0" w:space="0" w:color="auto"/>
        <w:bottom w:val="none" w:sz="0" w:space="0" w:color="auto"/>
        <w:right w:val="none" w:sz="0" w:space="0" w:color="auto"/>
      </w:divBdr>
    </w:div>
    <w:div w:id="1240020688">
      <w:bodyDiv w:val="1"/>
      <w:marLeft w:val="0"/>
      <w:marRight w:val="0"/>
      <w:marTop w:val="0"/>
      <w:marBottom w:val="0"/>
      <w:divBdr>
        <w:top w:val="none" w:sz="0" w:space="0" w:color="auto"/>
        <w:left w:val="none" w:sz="0" w:space="0" w:color="auto"/>
        <w:bottom w:val="none" w:sz="0" w:space="0" w:color="auto"/>
        <w:right w:val="none" w:sz="0" w:space="0" w:color="auto"/>
      </w:divBdr>
    </w:div>
    <w:div w:id="1250195056">
      <w:bodyDiv w:val="1"/>
      <w:marLeft w:val="0"/>
      <w:marRight w:val="0"/>
      <w:marTop w:val="0"/>
      <w:marBottom w:val="0"/>
      <w:divBdr>
        <w:top w:val="none" w:sz="0" w:space="0" w:color="auto"/>
        <w:left w:val="none" w:sz="0" w:space="0" w:color="auto"/>
        <w:bottom w:val="none" w:sz="0" w:space="0" w:color="auto"/>
        <w:right w:val="none" w:sz="0" w:space="0" w:color="auto"/>
      </w:divBdr>
    </w:div>
    <w:div w:id="1254973663">
      <w:bodyDiv w:val="1"/>
      <w:marLeft w:val="0"/>
      <w:marRight w:val="0"/>
      <w:marTop w:val="0"/>
      <w:marBottom w:val="0"/>
      <w:divBdr>
        <w:top w:val="none" w:sz="0" w:space="0" w:color="auto"/>
        <w:left w:val="none" w:sz="0" w:space="0" w:color="auto"/>
        <w:bottom w:val="none" w:sz="0" w:space="0" w:color="auto"/>
        <w:right w:val="none" w:sz="0" w:space="0" w:color="auto"/>
      </w:divBdr>
    </w:div>
    <w:div w:id="1279870885">
      <w:bodyDiv w:val="1"/>
      <w:marLeft w:val="0"/>
      <w:marRight w:val="0"/>
      <w:marTop w:val="0"/>
      <w:marBottom w:val="0"/>
      <w:divBdr>
        <w:top w:val="none" w:sz="0" w:space="0" w:color="auto"/>
        <w:left w:val="none" w:sz="0" w:space="0" w:color="auto"/>
        <w:bottom w:val="none" w:sz="0" w:space="0" w:color="auto"/>
        <w:right w:val="none" w:sz="0" w:space="0" w:color="auto"/>
      </w:divBdr>
    </w:div>
    <w:div w:id="1310597231">
      <w:bodyDiv w:val="1"/>
      <w:marLeft w:val="0"/>
      <w:marRight w:val="0"/>
      <w:marTop w:val="0"/>
      <w:marBottom w:val="0"/>
      <w:divBdr>
        <w:top w:val="none" w:sz="0" w:space="0" w:color="auto"/>
        <w:left w:val="none" w:sz="0" w:space="0" w:color="auto"/>
        <w:bottom w:val="none" w:sz="0" w:space="0" w:color="auto"/>
        <w:right w:val="none" w:sz="0" w:space="0" w:color="auto"/>
      </w:divBdr>
    </w:div>
    <w:div w:id="1315790868">
      <w:bodyDiv w:val="1"/>
      <w:marLeft w:val="0"/>
      <w:marRight w:val="0"/>
      <w:marTop w:val="0"/>
      <w:marBottom w:val="0"/>
      <w:divBdr>
        <w:top w:val="none" w:sz="0" w:space="0" w:color="auto"/>
        <w:left w:val="none" w:sz="0" w:space="0" w:color="auto"/>
        <w:bottom w:val="none" w:sz="0" w:space="0" w:color="auto"/>
        <w:right w:val="none" w:sz="0" w:space="0" w:color="auto"/>
      </w:divBdr>
    </w:div>
    <w:div w:id="1352948291">
      <w:bodyDiv w:val="1"/>
      <w:marLeft w:val="0"/>
      <w:marRight w:val="0"/>
      <w:marTop w:val="0"/>
      <w:marBottom w:val="0"/>
      <w:divBdr>
        <w:top w:val="none" w:sz="0" w:space="0" w:color="auto"/>
        <w:left w:val="none" w:sz="0" w:space="0" w:color="auto"/>
        <w:bottom w:val="none" w:sz="0" w:space="0" w:color="auto"/>
        <w:right w:val="none" w:sz="0" w:space="0" w:color="auto"/>
      </w:divBdr>
    </w:div>
    <w:div w:id="1415738885">
      <w:bodyDiv w:val="1"/>
      <w:marLeft w:val="0"/>
      <w:marRight w:val="0"/>
      <w:marTop w:val="0"/>
      <w:marBottom w:val="0"/>
      <w:divBdr>
        <w:top w:val="none" w:sz="0" w:space="0" w:color="auto"/>
        <w:left w:val="none" w:sz="0" w:space="0" w:color="auto"/>
        <w:bottom w:val="none" w:sz="0" w:space="0" w:color="auto"/>
        <w:right w:val="none" w:sz="0" w:space="0" w:color="auto"/>
      </w:divBdr>
    </w:div>
    <w:div w:id="1448235713">
      <w:bodyDiv w:val="1"/>
      <w:marLeft w:val="0"/>
      <w:marRight w:val="0"/>
      <w:marTop w:val="0"/>
      <w:marBottom w:val="0"/>
      <w:divBdr>
        <w:top w:val="none" w:sz="0" w:space="0" w:color="auto"/>
        <w:left w:val="none" w:sz="0" w:space="0" w:color="auto"/>
        <w:bottom w:val="none" w:sz="0" w:space="0" w:color="auto"/>
        <w:right w:val="none" w:sz="0" w:space="0" w:color="auto"/>
      </w:divBdr>
    </w:div>
    <w:div w:id="1451242469">
      <w:bodyDiv w:val="1"/>
      <w:marLeft w:val="0"/>
      <w:marRight w:val="0"/>
      <w:marTop w:val="0"/>
      <w:marBottom w:val="0"/>
      <w:divBdr>
        <w:top w:val="none" w:sz="0" w:space="0" w:color="auto"/>
        <w:left w:val="none" w:sz="0" w:space="0" w:color="auto"/>
        <w:bottom w:val="none" w:sz="0" w:space="0" w:color="auto"/>
        <w:right w:val="none" w:sz="0" w:space="0" w:color="auto"/>
      </w:divBdr>
      <w:divsChild>
        <w:div w:id="601453608">
          <w:marLeft w:val="0"/>
          <w:marRight w:val="0"/>
          <w:marTop w:val="0"/>
          <w:marBottom w:val="0"/>
          <w:divBdr>
            <w:top w:val="none" w:sz="0" w:space="0" w:color="auto"/>
            <w:left w:val="none" w:sz="0" w:space="0" w:color="auto"/>
            <w:bottom w:val="none" w:sz="0" w:space="0" w:color="auto"/>
            <w:right w:val="none" w:sz="0" w:space="0" w:color="auto"/>
          </w:divBdr>
        </w:div>
        <w:div w:id="1277712663">
          <w:marLeft w:val="0"/>
          <w:marRight w:val="0"/>
          <w:marTop w:val="0"/>
          <w:marBottom w:val="0"/>
          <w:divBdr>
            <w:top w:val="none" w:sz="0" w:space="0" w:color="auto"/>
            <w:left w:val="none" w:sz="0" w:space="0" w:color="auto"/>
            <w:bottom w:val="none" w:sz="0" w:space="0" w:color="auto"/>
            <w:right w:val="none" w:sz="0" w:space="0" w:color="auto"/>
          </w:divBdr>
        </w:div>
        <w:div w:id="1584098433">
          <w:marLeft w:val="0"/>
          <w:marRight w:val="0"/>
          <w:marTop w:val="0"/>
          <w:marBottom w:val="0"/>
          <w:divBdr>
            <w:top w:val="none" w:sz="0" w:space="0" w:color="auto"/>
            <w:left w:val="none" w:sz="0" w:space="0" w:color="auto"/>
            <w:bottom w:val="none" w:sz="0" w:space="0" w:color="auto"/>
            <w:right w:val="none" w:sz="0" w:space="0" w:color="auto"/>
          </w:divBdr>
        </w:div>
        <w:div w:id="1828281064">
          <w:marLeft w:val="0"/>
          <w:marRight w:val="0"/>
          <w:marTop w:val="0"/>
          <w:marBottom w:val="0"/>
          <w:divBdr>
            <w:top w:val="none" w:sz="0" w:space="0" w:color="auto"/>
            <w:left w:val="none" w:sz="0" w:space="0" w:color="auto"/>
            <w:bottom w:val="none" w:sz="0" w:space="0" w:color="auto"/>
            <w:right w:val="none" w:sz="0" w:space="0" w:color="auto"/>
          </w:divBdr>
        </w:div>
      </w:divsChild>
    </w:div>
    <w:div w:id="1479490119">
      <w:bodyDiv w:val="1"/>
      <w:marLeft w:val="0"/>
      <w:marRight w:val="0"/>
      <w:marTop w:val="0"/>
      <w:marBottom w:val="0"/>
      <w:divBdr>
        <w:top w:val="none" w:sz="0" w:space="0" w:color="auto"/>
        <w:left w:val="none" w:sz="0" w:space="0" w:color="auto"/>
        <w:bottom w:val="none" w:sz="0" w:space="0" w:color="auto"/>
        <w:right w:val="none" w:sz="0" w:space="0" w:color="auto"/>
      </w:divBdr>
      <w:divsChild>
        <w:div w:id="480730345">
          <w:marLeft w:val="0"/>
          <w:marRight w:val="0"/>
          <w:marTop w:val="0"/>
          <w:marBottom w:val="0"/>
          <w:divBdr>
            <w:top w:val="none" w:sz="0" w:space="0" w:color="auto"/>
            <w:left w:val="none" w:sz="0" w:space="0" w:color="auto"/>
            <w:bottom w:val="none" w:sz="0" w:space="0" w:color="auto"/>
            <w:right w:val="none" w:sz="0" w:space="0" w:color="auto"/>
          </w:divBdr>
        </w:div>
        <w:div w:id="671491799">
          <w:marLeft w:val="0"/>
          <w:marRight w:val="0"/>
          <w:marTop w:val="0"/>
          <w:marBottom w:val="0"/>
          <w:divBdr>
            <w:top w:val="none" w:sz="0" w:space="0" w:color="auto"/>
            <w:left w:val="none" w:sz="0" w:space="0" w:color="auto"/>
            <w:bottom w:val="none" w:sz="0" w:space="0" w:color="auto"/>
            <w:right w:val="none" w:sz="0" w:space="0" w:color="auto"/>
          </w:divBdr>
        </w:div>
        <w:div w:id="1564874254">
          <w:marLeft w:val="0"/>
          <w:marRight w:val="0"/>
          <w:marTop w:val="0"/>
          <w:marBottom w:val="0"/>
          <w:divBdr>
            <w:top w:val="none" w:sz="0" w:space="0" w:color="auto"/>
            <w:left w:val="none" w:sz="0" w:space="0" w:color="auto"/>
            <w:bottom w:val="none" w:sz="0" w:space="0" w:color="auto"/>
            <w:right w:val="none" w:sz="0" w:space="0" w:color="auto"/>
          </w:divBdr>
        </w:div>
        <w:div w:id="1568952232">
          <w:marLeft w:val="0"/>
          <w:marRight w:val="0"/>
          <w:marTop w:val="0"/>
          <w:marBottom w:val="0"/>
          <w:divBdr>
            <w:top w:val="none" w:sz="0" w:space="0" w:color="auto"/>
            <w:left w:val="none" w:sz="0" w:space="0" w:color="auto"/>
            <w:bottom w:val="none" w:sz="0" w:space="0" w:color="auto"/>
            <w:right w:val="none" w:sz="0" w:space="0" w:color="auto"/>
          </w:divBdr>
        </w:div>
        <w:div w:id="1747873509">
          <w:marLeft w:val="0"/>
          <w:marRight w:val="0"/>
          <w:marTop w:val="0"/>
          <w:marBottom w:val="0"/>
          <w:divBdr>
            <w:top w:val="none" w:sz="0" w:space="0" w:color="auto"/>
            <w:left w:val="none" w:sz="0" w:space="0" w:color="auto"/>
            <w:bottom w:val="none" w:sz="0" w:space="0" w:color="auto"/>
            <w:right w:val="none" w:sz="0" w:space="0" w:color="auto"/>
          </w:divBdr>
        </w:div>
      </w:divsChild>
    </w:div>
    <w:div w:id="1479960141">
      <w:bodyDiv w:val="1"/>
      <w:marLeft w:val="0"/>
      <w:marRight w:val="0"/>
      <w:marTop w:val="0"/>
      <w:marBottom w:val="0"/>
      <w:divBdr>
        <w:top w:val="none" w:sz="0" w:space="0" w:color="auto"/>
        <w:left w:val="none" w:sz="0" w:space="0" w:color="auto"/>
        <w:bottom w:val="none" w:sz="0" w:space="0" w:color="auto"/>
        <w:right w:val="none" w:sz="0" w:space="0" w:color="auto"/>
      </w:divBdr>
    </w:div>
    <w:div w:id="1489592618">
      <w:bodyDiv w:val="1"/>
      <w:marLeft w:val="0"/>
      <w:marRight w:val="0"/>
      <w:marTop w:val="0"/>
      <w:marBottom w:val="0"/>
      <w:divBdr>
        <w:top w:val="none" w:sz="0" w:space="0" w:color="auto"/>
        <w:left w:val="none" w:sz="0" w:space="0" w:color="auto"/>
        <w:bottom w:val="none" w:sz="0" w:space="0" w:color="auto"/>
        <w:right w:val="none" w:sz="0" w:space="0" w:color="auto"/>
      </w:divBdr>
    </w:div>
    <w:div w:id="1492212342">
      <w:bodyDiv w:val="1"/>
      <w:marLeft w:val="0"/>
      <w:marRight w:val="0"/>
      <w:marTop w:val="0"/>
      <w:marBottom w:val="0"/>
      <w:divBdr>
        <w:top w:val="none" w:sz="0" w:space="0" w:color="auto"/>
        <w:left w:val="none" w:sz="0" w:space="0" w:color="auto"/>
        <w:bottom w:val="none" w:sz="0" w:space="0" w:color="auto"/>
        <w:right w:val="none" w:sz="0" w:space="0" w:color="auto"/>
      </w:divBdr>
    </w:div>
    <w:div w:id="1496337157">
      <w:bodyDiv w:val="1"/>
      <w:marLeft w:val="0"/>
      <w:marRight w:val="0"/>
      <w:marTop w:val="0"/>
      <w:marBottom w:val="0"/>
      <w:divBdr>
        <w:top w:val="none" w:sz="0" w:space="0" w:color="auto"/>
        <w:left w:val="none" w:sz="0" w:space="0" w:color="auto"/>
        <w:bottom w:val="none" w:sz="0" w:space="0" w:color="auto"/>
        <w:right w:val="none" w:sz="0" w:space="0" w:color="auto"/>
      </w:divBdr>
    </w:div>
    <w:div w:id="1513642048">
      <w:bodyDiv w:val="1"/>
      <w:marLeft w:val="0"/>
      <w:marRight w:val="0"/>
      <w:marTop w:val="0"/>
      <w:marBottom w:val="0"/>
      <w:divBdr>
        <w:top w:val="none" w:sz="0" w:space="0" w:color="auto"/>
        <w:left w:val="none" w:sz="0" w:space="0" w:color="auto"/>
        <w:bottom w:val="none" w:sz="0" w:space="0" w:color="auto"/>
        <w:right w:val="none" w:sz="0" w:space="0" w:color="auto"/>
      </w:divBdr>
    </w:div>
    <w:div w:id="1514223134">
      <w:bodyDiv w:val="1"/>
      <w:marLeft w:val="0"/>
      <w:marRight w:val="0"/>
      <w:marTop w:val="0"/>
      <w:marBottom w:val="0"/>
      <w:divBdr>
        <w:top w:val="none" w:sz="0" w:space="0" w:color="auto"/>
        <w:left w:val="none" w:sz="0" w:space="0" w:color="auto"/>
        <w:bottom w:val="none" w:sz="0" w:space="0" w:color="auto"/>
        <w:right w:val="none" w:sz="0" w:space="0" w:color="auto"/>
      </w:divBdr>
    </w:div>
    <w:div w:id="1551503250">
      <w:bodyDiv w:val="1"/>
      <w:marLeft w:val="0"/>
      <w:marRight w:val="0"/>
      <w:marTop w:val="0"/>
      <w:marBottom w:val="0"/>
      <w:divBdr>
        <w:top w:val="none" w:sz="0" w:space="0" w:color="auto"/>
        <w:left w:val="none" w:sz="0" w:space="0" w:color="auto"/>
        <w:bottom w:val="none" w:sz="0" w:space="0" w:color="auto"/>
        <w:right w:val="none" w:sz="0" w:space="0" w:color="auto"/>
      </w:divBdr>
    </w:div>
    <w:div w:id="1554850872">
      <w:bodyDiv w:val="1"/>
      <w:marLeft w:val="0"/>
      <w:marRight w:val="0"/>
      <w:marTop w:val="0"/>
      <w:marBottom w:val="0"/>
      <w:divBdr>
        <w:top w:val="none" w:sz="0" w:space="0" w:color="auto"/>
        <w:left w:val="none" w:sz="0" w:space="0" w:color="auto"/>
        <w:bottom w:val="none" w:sz="0" w:space="0" w:color="auto"/>
        <w:right w:val="none" w:sz="0" w:space="0" w:color="auto"/>
      </w:divBdr>
    </w:div>
    <w:div w:id="1562014177">
      <w:bodyDiv w:val="1"/>
      <w:marLeft w:val="0"/>
      <w:marRight w:val="0"/>
      <w:marTop w:val="0"/>
      <w:marBottom w:val="0"/>
      <w:divBdr>
        <w:top w:val="none" w:sz="0" w:space="0" w:color="auto"/>
        <w:left w:val="none" w:sz="0" w:space="0" w:color="auto"/>
        <w:bottom w:val="none" w:sz="0" w:space="0" w:color="auto"/>
        <w:right w:val="none" w:sz="0" w:space="0" w:color="auto"/>
      </w:divBdr>
    </w:div>
    <w:div w:id="1563324585">
      <w:bodyDiv w:val="1"/>
      <w:marLeft w:val="0"/>
      <w:marRight w:val="0"/>
      <w:marTop w:val="0"/>
      <w:marBottom w:val="0"/>
      <w:divBdr>
        <w:top w:val="none" w:sz="0" w:space="0" w:color="auto"/>
        <w:left w:val="none" w:sz="0" w:space="0" w:color="auto"/>
        <w:bottom w:val="none" w:sz="0" w:space="0" w:color="auto"/>
        <w:right w:val="none" w:sz="0" w:space="0" w:color="auto"/>
      </w:divBdr>
    </w:div>
    <w:div w:id="1573656069">
      <w:bodyDiv w:val="1"/>
      <w:marLeft w:val="0"/>
      <w:marRight w:val="0"/>
      <w:marTop w:val="0"/>
      <w:marBottom w:val="0"/>
      <w:divBdr>
        <w:top w:val="none" w:sz="0" w:space="0" w:color="auto"/>
        <w:left w:val="none" w:sz="0" w:space="0" w:color="auto"/>
        <w:bottom w:val="none" w:sz="0" w:space="0" w:color="auto"/>
        <w:right w:val="none" w:sz="0" w:space="0" w:color="auto"/>
      </w:divBdr>
    </w:div>
    <w:div w:id="1633058388">
      <w:bodyDiv w:val="1"/>
      <w:marLeft w:val="0"/>
      <w:marRight w:val="0"/>
      <w:marTop w:val="0"/>
      <w:marBottom w:val="0"/>
      <w:divBdr>
        <w:top w:val="none" w:sz="0" w:space="0" w:color="auto"/>
        <w:left w:val="none" w:sz="0" w:space="0" w:color="auto"/>
        <w:bottom w:val="none" w:sz="0" w:space="0" w:color="auto"/>
        <w:right w:val="none" w:sz="0" w:space="0" w:color="auto"/>
      </w:divBdr>
    </w:div>
    <w:div w:id="1637367311">
      <w:bodyDiv w:val="1"/>
      <w:marLeft w:val="0"/>
      <w:marRight w:val="0"/>
      <w:marTop w:val="0"/>
      <w:marBottom w:val="0"/>
      <w:divBdr>
        <w:top w:val="none" w:sz="0" w:space="0" w:color="auto"/>
        <w:left w:val="none" w:sz="0" w:space="0" w:color="auto"/>
        <w:bottom w:val="none" w:sz="0" w:space="0" w:color="auto"/>
        <w:right w:val="none" w:sz="0" w:space="0" w:color="auto"/>
      </w:divBdr>
    </w:div>
    <w:div w:id="1670864449">
      <w:bodyDiv w:val="1"/>
      <w:marLeft w:val="0"/>
      <w:marRight w:val="0"/>
      <w:marTop w:val="0"/>
      <w:marBottom w:val="0"/>
      <w:divBdr>
        <w:top w:val="none" w:sz="0" w:space="0" w:color="auto"/>
        <w:left w:val="none" w:sz="0" w:space="0" w:color="auto"/>
        <w:bottom w:val="none" w:sz="0" w:space="0" w:color="auto"/>
        <w:right w:val="none" w:sz="0" w:space="0" w:color="auto"/>
      </w:divBdr>
    </w:div>
    <w:div w:id="1676152180">
      <w:bodyDiv w:val="1"/>
      <w:marLeft w:val="0"/>
      <w:marRight w:val="0"/>
      <w:marTop w:val="0"/>
      <w:marBottom w:val="0"/>
      <w:divBdr>
        <w:top w:val="none" w:sz="0" w:space="0" w:color="auto"/>
        <w:left w:val="none" w:sz="0" w:space="0" w:color="auto"/>
        <w:bottom w:val="none" w:sz="0" w:space="0" w:color="auto"/>
        <w:right w:val="none" w:sz="0" w:space="0" w:color="auto"/>
      </w:divBdr>
    </w:div>
    <w:div w:id="1766027877">
      <w:bodyDiv w:val="1"/>
      <w:marLeft w:val="0"/>
      <w:marRight w:val="0"/>
      <w:marTop w:val="0"/>
      <w:marBottom w:val="0"/>
      <w:divBdr>
        <w:top w:val="none" w:sz="0" w:space="0" w:color="auto"/>
        <w:left w:val="none" w:sz="0" w:space="0" w:color="auto"/>
        <w:bottom w:val="none" w:sz="0" w:space="0" w:color="auto"/>
        <w:right w:val="none" w:sz="0" w:space="0" w:color="auto"/>
      </w:divBdr>
    </w:div>
    <w:div w:id="1797212008">
      <w:bodyDiv w:val="1"/>
      <w:marLeft w:val="0"/>
      <w:marRight w:val="0"/>
      <w:marTop w:val="0"/>
      <w:marBottom w:val="0"/>
      <w:divBdr>
        <w:top w:val="none" w:sz="0" w:space="0" w:color="auto"/>
        <w:left w:val="none" w:sz="0" w:space="0" w:color="auto"/>
        <w:bottom w:val="none" w:sz="0" w:space="0" w:color="auto"/>
        <w:right w:val="none" w:sz="0" w:space="0" w:color="auto"/>
      </w:divBdr>
    </w:div>
    <w:div w:id="1805081415">
      <w:bodyDiv w:val="1"/>
      <w:marLeft w:val="0"/>
      <w:marRight w:val="0"/>
      <w:marTop w:val="0"/>
      <w:marBottom w:val="0"/>
      <w:divBdr>
        <w:top w:val="none" w:sz="0" w:space="0" w:color="auto"/>
        <w:left w:val="none" w:sz="0" w:space="0" w:color="auto"/>
        <w:bottom w:val="none" w:sz="0" w:space="0" w:color="auto"/>
        <w:right w:val="none" w:sz="0" w:space="0" w:color="auto"/>
      </w:divBdr>
      <w:divsChild>
        <w:div w:id="61100496">
          <w:marLeft w:val="0"/>
          <w:marRight w:val="0"/>
          <w:marTop w:val="0"/>
          <w:marBottom w:val="0"/>
          <w:divBdr>
            <w:top w:val="none" w:sz="0" w:space="0" w:color="auto"/>
            <w:left w:val="none" w:sz="0" w:space="0" w:color="auto"/>
            <w:bottom w:val="none" w:sz="0" w:space="0" w:color="auto"/>
            <w:right w:val="none" w:sz="0" w:space="0" w:color="auto"/>
          </w:divBdr>
          <w:divsChild>
            <w:div w:id="1837070424">
              <w:marLeft w:val="0"/>
              <w:marRight w:val="0"/>
              <w:marTop w:val="0"/>
              <w:marBottom w:val="0"/>
              <w:divBdr>
                <w:top w:val="none" w:sz="0" w:space="0" w:color="auto"/>
                <w:left w:val="none" w:sz="0" w:space="0" w:color="auto"/>
                <w:bottom w:val="none" w:sz="0" w:space="0" w:color="auto"/>
                <w:right w:val="none" w:sz="0" w:space="0" w:color="auto"/>
              </w:divBdr>
            </w:div>
          </w:divsChild>
        </w:div>
        <w:div w:id="127360212">
          <w:marLeft w:val="0"/>
          <w:marRight w:val="0"/>
          <w:marTop w:val="0"/>
          <w:marBottom w:val="0"/>
          <w:divBdr>
            <w:top w:val="none" w:sz="0" w:space="0" w:color="auto"/>
            <w:left w:val="none" w:sz="0" w:space="0" w:color="auto"/>
            <w:bottom w:val="none" w:sz="0" w:space="0" w:color="auto"/>
            <w:right w:val="none" w:sz="0" w:space="0" w:color="auto"/>
          </w:divBdr>
          <w:divsChild>
            <w:div w:id="13464242">
              <w:marLeft w:val="0"/>
              <w:marRight w:val="0"/>
              <w:marTop w:val="0"/>
              <w:marBottom w:val="0"/>
              <w:divBdr>
                <w:top w:val="none" w:sz="0" w:space="0" w:color="auto"/>
                <w:left w:val="none" w:sz="0" w:space="0" w:color="auto"/>
                <w:bottom w:val="none" w:sz="0" w:space="0" w:color="auto"/>
                <w:right w:val="none" w:sz="0" w:space="0" w:color="auto"/>
              </w:divBdr>
            </w:div>
            <w:div w:id="803616243">
              <w:marLeft w:val="0"/>
              <w:marRight w:val="0"/>
              <w:marTop w:val="0"/>
              <w:marBottom w:val="0"/>
              <w:divBdr>
                <w:top w:val="none" w:sz="0" w:space="0" w:color="auto"/>
                <w:left w:val="none" w:sz="0" w:space="0" w:color="auto"/>
                <w:bottom w:val="none" w:sz="0" w:space="0" w:color="auto"/>
                <w:right w:val="none" w:sz="0" w:space="0" w:color="auto"/>
              </w:divBdr>
            </w:div>
            <w:div w:id="905725760">
              <w:marLeft w:val="0"/>
              <w:marRight w:val="0"/>
              <w:marTop w:val="0"/>
              <w:marBottom w:val="0"/>
              <w:divBdr>
                <w:top w:val="none" w:sz="0" w:space="0" w:color="auto"/>
                <w:left w:val="none" w:sz="0" w:space="0" w:color="auto"/>
                <w:bottom w:val="none" w:sz="0" w:space="0" w:color="auto"/>
                <w:right w:val="none" w:sz="0" w:space="0" w:color="auto"/>
              </w:divBdr>
            </w:div>
            <w:div w:id="1044870382">
              <w:marLeft w:val="0"/>
              <w:marRight w:val="0"/>
              <w:marTop w:val="0"/>
              <w:marBottom w:val="0"/>
              <w:divBdr>
                <w:top w:val="none" w:sz="0" w:space="0" w:color="auto"/>
                <w:left w:val="none" w:sz="0" w:space="0" w:color="auto"/>
                <w:bottom w:val="none" w:sz="0" w:space="0" w:color="auto"/>
                <w:right w:val="none" w:sz="0" w:space="0" w:color="auto"/>
              </w:divBdr>
            </w:div>
            <w:div w:id="1285382889">
              <w:marLeft w:val="0"/>
              <w:marRight w:val="0"/>
              <w:marTop w:val="0"/>
              <w:marBottom w:val="0"/>
              <w:divBdr>
                <w:top w:val="none" w:sz="0" w:space="0" w:color="auto"/>
                <w:left w:val="none" w:sz="0" w:space="0" w:color="auto"/>
                <w:bottom w:val="none" w:sz="0" w:space="0" w:color="auto"/>
                <w:right w:val="none" w:sz="0" w:space="0" w:color="auto"/>
              </w:divBdr>
            </w:div>
          </w:divsChild>
        </w:div>
        <w:div w:id="159779068">
          <w:marLeft w:val="0"/>
          <w:marRight w:val="0"/>
          <w:marTop w:val="0"/>
          <w:marBottom w:val="0"/>
          <w:divBdr>
            <w:top w:val="none" w:sz="0" w:space="0" w:color="auto"/>
            <w:left w:val="none" w:sz="0" w:space="0" w:color="auto"/>
            <w:bottom w:val="none" w:sz="0" w:space="0" w:color="auto"/>
            <w:right w:val="none" w:sz="0" w:space="0" w:color="auto"/>
          </w:divBdr>
          <w:divsChild>
            <w:div w:id="7417779">
              <w:marLeft w:val="0"/>
              <w:marRight w:val="0"/>
              <w:marTop w:val="0"/>
              <w:marBottom w:val="0"/>
              <w:divBdr>
                <w:top w:val="none" w:sz="0" w:space="0" w:color="auto"/>
                <w:left w:val="none" w:sz="0" w:space="0" w:color="auto"/>
                <w:bottom w:val="none" w:sz="0" w:space="0" w:color="auto"/>
                <w:right w:val="none" w:sz="0" w:space="0" w:color="auto"/>
              </w:divBdr>
            </w:div>
          </w:divsChild>
        </w:div>
        <w:div w:id="188446343">
          <w:marLeft w:val="0"/>
          <w:marRight w:val="0"/>
          <w:marTop w:val="0"/>
          <w:marBottom w:val="0"/>
          <w:divBdr>
            <w:top w:val="none" w:sz="0" w:space="0" w:color="auto"/>
            <w:left w:val="none" w:sz="0" w:space="0" w:color="auto"/>
            <w:bottom w:val="none" w:sz="0" w:space="0" w:color="auto"/>
            <w:right w:val="none" w:sz="0" w:space="0" w:color="auto"/>
          </w:divBdr>
          <w:divsChild>
            <w:div w:id="386804716">
              <w:marLeft w:val="0"/>
              <w:marRight w:val="0"/>
              <w:marTop w:val="0"/>
              <w:marBottom w:val="0"/>
              <w:divBdr>
                <w:top w:val="none" w:sz="0" w:space="0" w:color="auto"/>
                <w:left w:val="none" w:sz="0" w:space="0" w:color="auto"/>
                <w:bottom w:val="none" w:sz="0" w:space="0" w:color="auto"/>
                <w:right w:val="none" w:sz="0" w:space="0" w:color="auto"/>
              </w:divBdr>
            </w:div>
            <w:div w:id="497883659">
              <w:marLeft w:val="0"/>
              <w:marRight w:val="0"/>
              <w:marTop w:val="0"/>
              <w:marBottom w:val="0"/>
              <w:divBdr>
                <w:top w:val="none" w:sz="0" w:space="0" w:color="auto"/>
                <w:left w:val="none" w:sz="0" w:space="0" w:color="auto"/>
                <w:bottom w:val="none" w:sz="0" w:space="0" w:color="auto"/>
                <w:right w:val="none" w:sz="0" w:space="0" w:color="auto"/>
              </w:divBdr>
            </w:div>
            <w:div w:id="711926691">
              <w:marLeft w:val="0"/>
              <w:marRight w:val="0"/>
              <w:marTop w:val="0"/>
              <w:marBottom w:val="0"/>
              <w:divBdr>
                <w:top w:val="none" w:sz="0" w:space="0" w:color="auto"/>
                <w:left w:val="none" w:sz="0" w:space="0" w:color="auto"/>
                <w:bottom w:val="none" w:sz="0" w:space="0" w:color="auto"/>
                <w:right w:val="none" w:sz="0" w:space="0" w:color="auto"/>
              </w:divBdr>
            </w:div>
            <w:div w:id="828056065">
              <w:marLeft w:val="0"/>
              <w:marRight w:val="0"/>
              <w:marTop w:val="0"/>
              <w:marBottom w:val="0"/>
              <w:divBdr>
                <w:top w:val="none" w:sz="0" w:space="0" w:color="auto"/>
                <w:left w:val="none" w:sz="0" w:space="0" w:color="auto"/>
                <w:bottom w:val="none" w:sz="0" w:space="0" w:color="auto"/>
                <w:right w:val="none" w:sz="0" w:space="0" w:color="auto"/>
              </w:divBdr>
            </w:div>
            <w:div w:id="1013872922">
              <w:marLeft w:val="0"/>
              <w:marRight w:val="0"/>
              <w:marTop w:val="0"/>
              <w:marBottom w:val="0"/>
              <w:divBdr>
                <w:top w:val="none" w:sz="0" w:space="0" w:color="auto"/>
                <w:left w:val="none" w:sz="0" w:space="0" w:color="auto"/>
                <w:bottom w:val="none" w:sz="0" w:space="0" w:color="auto"/>
                <w:right w:val="none" w:sz="0" w:space="0" w:color="auto"/>
              </w:divBdr>
            </w:div>
          </w:divsChild>
        </w:div>
        <w:div w:id="228274493">
          <w:marLeft w:val="0"/>
          <w:marRight w:val="0"/>
          <w:marTop w:val="0"/>
          <w:marBottom w:val="0"/>
          <w:divBdr>
            <w:top w:val="none" w:sz="0" w:space="0" w:color="auto"/>
            <w:left w:val="none" w:sz="0" w:space="0" w:color="auto"/>
            <w:bottom w:val="none" w:sz="0" w:space="0" w:color="auto"/>
            <w:right w:val="none" w:sz="0" w:space="0" w:color="auto"/>
          </w:divBdr>
          <w:divsChild>
            <w:div w:id="372118820">
              <w:marLeft w:val="0"/>
              <w:marRight w:val="0"/>
              <w:marTop w:val="0"/>
              <w:marBottom w:val="0"/>
              <w:divBdr>
                <w:top w:val="none" w:sz="0" w:space="0" w:color="auto"/>
                <w:left w:val="none" w:sz="0" w:space="0" w:color="auto"/>
                <w:bottom w:val="none" w:sz="0" w:space="0" w:color="auto"/>
                <w:right w:val="none" w:sz="0" w:space="0" w:color="auto"/>
              </w:divBdr>
            </w:div>
          </w:divsChild>
        </w:div>
        <w:div w:id="309482899">
          <w:marLeft w:val="0"/>
          <w:marRight w:val="0"/>
          <w:marTop w:val="0"/>
          <w:marBottom w:val="0"/>
          <w:divBdr>
            <w:top w:val="none" w:sz="0" w:space="0" w:color="auto"/>
            <w:left w:val="none" w:sz="0" w:space="0" w:color="auto"/>
            <w:bottom w:val="none" w:sz="0" w:space="0" w:color="auto"/>
            <w:right w:val="none" w:sz="0" w:space="0" w:color="auto"/>
          </w:divBdr>
          <w:divsChild>
            <w:div w:id="1271352966">
              <w:marLeft w:val="0"/>
              <w:marRight w:val="0"/>
              <w:marTop w:val="0"/>
              <w:marBottom w:val="0"/>
              <w:divBdr>
                <w:top w:val="none" w:sz="0" w:space="0" w:color="auto"/>
                <w:left w:val="none" w:sz="0" w:space="0" w:color="auto"/>
                <w:bottom w:val="none" w:sz="0" w:space="0" w:color="auto"/>
                <w:right w:val="none" w:sz="0" w:space="0" w:color="auto"/>
              </w:divBdr>
            </w:div>
          </w:divsChild>
        </w:div>
        <w:div w:id="361395466">
          <w:marLeft w:val="0"/>
          <w:marRight w:val="0"/>
          <w:marTop w:val="0"/>
          <w:marBottom w:val="0"/>
          <w:divBdr>
            <w:top w:val="none" w:sz="0" w:space="0" w:color="auto"/>
            <w:left w:val="none" w:sz="0" w:space="0" w:color="auto"/>
            <w:bottom w:val="none" w:sz="0" w:space="0" w:color="auto"/>
            <w:right w:val="none" w:sz="0" w:space="0" w:color="auto"/>
          </w:divBdr>
          <w:divsChild>
            <w:div w:id="139226725">
              <w:marLeft w:val="0"/>
              <w:marRight w:val="0"/>
              <w:marTop w:val="0"/>
              <w:marBottom w:val="0"/>
              <w:divBdr>
                <w:top w:val="none" w:sz="0" w:space="0" w:color="auto"/>
                <w:left w:val="none" w:sz="0" w:space="0" w:color="auto"/>
                <w:bottom w:val="none" w:sz="0" w:space="0" w:color="auto"/>
                <w:right w:val="none" w:sz="0" w:space="0" w:color="auto"/>
              </w:divBdr>
            </w:div>
            <w:div w:id="900284409">
              <w:marLeft w:val="0"/>
              <w:marRight w:val="0"/>
              <w:marTop w:val="0"/>
              <w:marBottom w:val="0"/>
              <w:divBdr>
                <w:top w:val="none" w:sz="0" w:space="0" w:color="auto"/>
                <w:left w:val="none" w:sz="0" w:space="0" w:color="auto"/>
                <w:bottom w:val="none" w:sz="0" w:space="0" w:color="auto"/>
                <w:right w:val="none" w:sz="0" w:space="0" w:color="auto"/>
              </w:divBdr>
            </w:div>
            <w:div w:id="1256552453">
              <w:marLeft w:val="0"/>
              <w:marRight w:val="0"/>
              <w:marTop w:val="0"/>
              <w:marBottom w:val="0"/>
              <w:divBdr>
                <w:top w:val="none" w:sz="0" w:space="0" w:color="auto"/>
                <w:left w:val="none" w:sz="0" w:space="0" w:color="auto"/>
                <w:bottom w:val="none" w:sz="0" w:space="0" w:color="auto"/>
                <w:right w:val="none" w:sz="0" w:space="0" w:color="auto"/>
              </w:divBdr>
            </w:div>
          </w:divsChild>
        </w:div>
        <w:div w:id="457526310">
          <w:marLeft w:val="0"/>
          <w:marRight w:val="0"/>
          <w:marTop w:val="0"/>
          <w:marBottom w:val="0"/>
          <w:divBdr>
            <w:top w:val="none" w:sz="0" w:space="0" w:color="auto"/>
            <w:left w:val="none" w:sz="0" w:space="0" w:color="auto"/>
            <w:bottom w:val="none" w:sz="0" w:space="0" w:color="auto"/>
            <w:right w:val="none" w:sz="0" w:space="0" w:color="auto"/>
          </w:divBdr>
          <w:divsChild>
            <w:div w:id="1263223283">
              <w:marLeft w:val="0"/>
              <w:marRight w:val="0"/>
              <w:marTop w:val="0"/>
              <w:marBottom w:val="0"/>
              <w:divBdr>
                <w:top w:val="none" w:sz="0" w:space="0" w:color="auto"/>
                <w:left w:val="none" w:sz="0" w:space="0" w:color="auto"/>
                <w:bottom w:val="none" w:sz="0" w:space="0" w:color="auto"/>
                <w:right w:val="none" w:sz="0" w:space="0" w:color="auto"/>
              </w:divBdr>
            </w:div>
          </w:divsChild>
        </w:div>
        <w:div w:id="478153134">
          <w:marLeft w:val="0"/>
          <w:marRight w:val="0"/>
          <w:marTop w:val="0"/>
          <w:marBottom w:val="0"/>
          <w:divBdr>
            <w:top w:val="none" w:sz="0" w:space="0" w:color="auto"/>
            <w:left w:val="none" w:sz="0" w:space="0" w:color="auto"/>
            <w:bottom w:val="none" w:sz="0" w:space="0" w:color="auto"/>
            <w:right w:val="none" w:sz="0" w:space="0" w:color="auto"/>
          </w:divBdr>
          <w:divsChild>
            <w:div w:id="1112555759">
              <w:marLeft w:val="0"/>
              <w:marRight w:val="0"/>
              <w:marTop w:val="0"/>
              <w:marBottom w:val="0"/>
              <w:divBdr>
                <w:top w:val="none" w:sz="0" w:space="0" w:color="auto"/>
                <w:left w:val="none" w:sz="0" w:space="0" w:color="auto"/>
                <w:bottom w:val="none" w:sz="0" w:space="0" w:color="auto"/>
                <w:right w:val="none" w:sz="0" w:space="0" w:color="auto"/>
              </w:divBdr>
            </w:div>
          </w:divsChild>
        </w:div>
        <w:div w:id="492992994">
          <w:marLeft w:val="0"/>
          <w:marRight w:val="0"/>
          <w:marTop w:val="0"/>
          <w:marBottom w:val="0"/>
          <w:divBdr>
            <w:top w:val="none" w:sz="0" w:space="0" w:color="auto"/>
            <w:left w:val="none" w:sz="0" w:space="0" w:color="auto"/>
            <w:bottom w:val="none" w:sz="0" w:space="0" w:color="auto"/>
            <w:right w:val="none" w:sz="0" w:space="0" w:color="auto"/>
          </w:divBdr>
          <w:divsChild>
            <w:div w:id="1967077647">
              <w:marLeft w:val="0"/>
              <w:marRight w:val="0"/>
              <w:marTop w:val="0"/>
              <w:marBottom w:val="0"/>
              <w:divBdr>
                <w:top w:val="none" w:sz="0" w:space="0" w:color="auto"/>
                <w:left w:val="none" w:sz="0" w:space="0" w:color="auto"/>
                <w:bottom w:val="none" w:sz="0" w:space="0" w:color="auto"/>
                <w:right w:val="none" w:sz="0" w:space="0" w:color="auto"/>
              </w:divBdr>
            </w:div>
            <w:div w:id="1981422627">
              <w:marLeft w:val="0"/>
              <w:marRight w:val="0"/>
              <w:marTop w:val="0"/>
              <w:marBottom w:val="0"/>
              <w:divBdr>
                <w:top w:val="none" w:sz="0" w:space="0" w:color="auto"/>
                <w:left w:val="none" w:sz="0" w:space="0" w:color="auto"/>
                <w:bottom w:val="none" w:sz="0" w:space="0" w:color="auto"/>
                <w:right w:val="none" w:sz="0" w:space="0" w:color="auto"/>
              </w:divBdr>
            </w:div>
          </w:divsChild>
        </w:div>
        <w:div w:id="609436146">
          <w:marLeft w:val="0"/>
          <w:marRight w:val="0"/>
          <w:marTop w:val="0"/>
          <w:marBottom w:val="0"/>
          <w:divBdr>
            <w:top w:val="none" w:sz="0" w:space="0" w:color="auto"/>
            <w:left w:val="none" w:sz="0" w:space="0" w:color="auto"/>
            <w:bottom w:val="none" w:sz="0" w:space="0" w:color="auto"/>
            <w:right w:val="none" w:sz="0" w:space="0" w:color="auto"/>
          </w:divBdr>
          <w:divsChild>
            <w:div w:id="269971535">
              <w:marLeft w:val="0"/>
              <w:marRight w:val="0"/>
              <w:marTop w:val="0"/>
              <w:marBottom w:val="0"/>
              <w:divBdr>
                <w:top w:val="none" w:sz="0" w:space="0" w:color="auto"/>
                <w:left w:val="none" w:sz="0" w:space="0" w:color="auto"/>
                <w:bottom w:val="none" w:sz="0" w:space="0" w:color="auto"/>
                <w:right w:val="none" w:sz="0" w:space="0" w:color="auto"/>
              </w:divBdr>
            </w:div>
          </w:divsChild>
        </w:div>
        <w:div w:id="837966001">
          <w:marLeft w:val="0"/>
          <w:marRight w:val="0"/>
          <w:marTop w:val="0"/>
          <w:marBottom w:val="0"/>
          <w:divBdr>
            <w:top w:val="none" w:sz="0" w:space="0" w:color="auto"/>
            <w:left w:val="none" w:sz="0" w:space="0" w:color="auto"/>
            <w:bottom w:val="none" w:sz="0" w:space="0" w:color="auto"/>
            <w:right w:val="none" w:sz="0" w:space="0" w:color="auto"/>
          </w:divBdr>
          <w:divsChild>
            <w:div w:id="1036196630">
              <w:marLeft w:val="0"/>
              <w:marRight w:val="0"/>
              <w:marTop w:val="0"/>
              <w:marBottom w:val="0"/>
              <w:divBdr>
                <w:top w:val="none" w:sz="0" w:space="0" w:color="auto"/>
                <w:left w:val="none" w:sz="0" w:space="0" w:color="auto"/>
                <w:bottom w:val="none" w:sz="0" w:space="0" w:color="auto"/>
                <w:right w:val="none" w:sz="0" w:space="0" w:color="auto"/>
              </w:divBdr>
            </w:div>
          </w:divsChild>
        </w:div>
        <w:div w:id="941692614">
          <w:marLeft w:val="0"/>
          <w:marRight w:val="0"/>
          <w:marTop w:val="0"/>
          <w:marBottom w:val="0"/>
          <w:divBdr>
            <w:top w:val="none" w:sz="0" w:space="0" w:color="auto"/>
            <w:left w:val="none" w:sz="0" w:space="0" w:color="auto"/>
            <w:bottom w:val="none" w:sz="0" w:space="0" w:color="auto"/>
            <w:right w:val="none" w:sz="0" w:space="0" w:color="auto"/>
          </w:divBdr>
          <w:divsChild>
            <w:div w:id="818352467">
              <w:marLeft w:val="0"/>
              <w:marRight w:val="0"/>
              <w:marTop w:val="0"/>
              <w:marBottom w:val="0"/>
              <w:divBdr>
                <w:top w:val="none" w:sz="0" w:space="0" w:color="auto"/>
                <w:left w:val="none" w:sz="0" w:space="0" w:color="auto"/>
                <w:bottom w:val="none" w:sz="0" w:space="0" w:color="auto"/>
                <w:right w:val="none" w:sz="0" w:space="0" w:color="auto"/>
              </w:divBdr>
            </w:div>
          </w:divsChild>
        </w:div>
        <w:div w:id="1047726024">
          <w:marLeft w:val="0"/>
          <w:marRight w:val="0"/>
          <w:marTop w:val="0"/>
          <w:marBottom w:val="0"/>
          <w:divBdr>
            <w:top w:val="none" w:sz="0" w:space="0" w:color="auto"/>
            <w:left w:val="none" w:sz="0" w:space="0" w:color="auto"/>
            <w:bottom w:val="none" w:sz="0" w:space="0" w:color="auto"/>
            <w:right w:val="none" w:sz="0" w:space="0" w:color="auto"/>
          </w:divBdr>
          <w:divsChild>
            <w:div w:id="1257595879">
              <w:marLeft w:val="0"/>
              <w:marRight w:val="0"/>
              <w:marTop w:val="0"/>
              <w:marBottom w:val="0"/>
              <w:divBdr>
                <w:top w:val="none" w:sz="0" w:space="0" w:color="auto"/>
                <w:left w:val="none" w:sz="0" w:space="0" w:color="auto"/>
                <w:bottom w:val="none" w:sz="0" w:space="0" w:color="auto"/>
                <w:right w:val="none" w:sz="0" w:space="0" w:color="auto"/>
              </w:divBdr>
            </w:div>
          </w:divsChild>
        </w:div>
        <w:div w:id="1048997188">
          <w:marLeft w:val="0"/>
          <w:marRight w:val="0"/>
          <w:marTop w:val="0"/>
          <w:marBottom w:val="0"/>
          <w:divBdr>
            <w:top w:val="none" w:sz="0" w:space="0" w:color="auto"/>
            <w:left w:val="none" w:sz="0" w:space="0" w:color="auto"/>
            <w:bottom w:val="none" w:sz="0" w:space="0" w:color="auto"/>
            <w:right w:val="none" w:sz="0" w:space="0" w:color="auto"/>
          </w:divBdr>
          <w:divsChild>
            <w:div w:id="546143119">
              <w:marLeft w:val="0"/>
              <w:marRight w:val="0"/>
              <w:marTop w:val="0"/>
              <w:marBottom w:val="0"/>
              <w:divBdr>
                <w:top w:val="none" w:sz="0" w:space="0" w:color="auto"/>
                <w:left w:val="none" w:sz="0" w:space="0" w:color="auto"/>
                <w:bottom w:val="none" w:sz="0" w:space="0" w:color="auto"/>
                <w:right w:val="none" w:sz="0" w:space="0" w:color="auto"/>
              </w:divBdr>
            </w:div>
          </w:divsChild>
        </w:div>
        <w:div w:id="1102070686">
          <w:marLeft w:val="0"/>
          <w:marRight w:val="0"/>
          <w:marTop w:val="0"/>
          <w:marBottom w:val="0"/>
          <w:divBdr>
            <w:top w:val="none" w:sz="0" w:space="0" w:color="auto"/>
            <w:left w:val="none" w:sz="0" w:space="0" w:color="auto"/>
            <w:bottom w:val="none" w:sz="0" w:space="0" w:color="auto"/>
            <w:right w:val="none" w:sz="0" w:space="0" w:color="auto"/>
          </w:divBdr>
          <w:divsChild>
            <w:div w:id="1747845909">
              <w:marLeft w:val="0"/>
              <w:marRight w:val="0"/>
              <w:marTop w:val="0"/>
              <w:marBottom w:val="0"/>
              <w:divBdr>
                <w:top w:val="none" w:sz="0" w:space="0" w:color="auto"/>
                <w:left w:val="none" w:sz="0" w:space="0" w:color="auto"/>
                <w:bottom w:val="none" w:sz="0" w:space="0" w:color="auto"/>
                <w:right w:val="none" w:sz="0" w:space="0" w:color="auto"/>
              </w:divBdr>
            </w:div>
          </w:divsChild>
        </w:div>
        <w:div w:id="1156842024">
          <w:marLeft w:val="0"/>
          <w:marRight w:val="0"/>
          <w:marTop w:val="0"/>
          <w:marBottom w:val="0"/>
          <w:divBdr>
            <w:top w:val="none" w:sz="0" w:space="0" w:color="auto"/>
            <w:left w:val="none" w:sz="0" w:space="0" w:color="auto"/>
            <w:bottom w:val="none" w:sz="0" w:space="0" w:color="auto"/>
            <w:right w:val="none" w:sz="0" w:space="0" w:color="auto"/>
          </w:divBdr>
          <w:divsChild>
            <w:div w:id="703094659">
              <w:marLeft w:val="0"/>
              <w:marRight w:val="0"/>
              <w:marTop w:val="0"/>
              <w:marBottom w:val="0"/>
              <w:divBdr>
                <w:top w:val="none" w:sz="0" w:space="0" w:color="auto"/>
                <w:left w:val="none" w:sz="0" w:space="0" w:color="auto"/>
                <w:bottom w:val="none" w:sz="0" w:space="0" w:color="auto"/>
                <w:right w:val="none" w:sz="0" w:space="0" w:color="auto"/>
              </w:divBdr>
            </w:div>
          </w:divsChild>
        </w:div>
        <w:div w:id="1224020016">
          <w:marLeft w:val="0"/>
          <w:marRight w:val="0"/>
          <w:marTop w:val="0"/>
          <w:marBottom w:val="0"/>
          <w:divBdr>
            <w:top w:val="none" w:sz="0" w:space="0" w:color="auto"/>
            <w:left w:val="none" w:sz="0" w:space="0" w:color="auto"/>
            <w:bottom w:val="none" w:sz="0" w:space="0" w:color="auto"/>
            <w:right w:val="none" w:sz="0" w:space="0" w:color="auto"/>
          </w:divBdr>
          <w:divsChild>
            <w:div w:id="1915310665">
              <w:marLeft w:val="0"/>
              <w:marRight w:val="0"/>
              <w:marTop w:val="0"/>
              <w:marBottom w:val="0"/>
              <w:divBdr>
                <w:top w:val="none" w:sz="0" w:space="0" w:color="auto"/>
                <w:left w:val="none" w:sz="0" w:space="0" w:color="auto"/>
                <w:bottom w:val="none" w:sz="0" w:space="0" w:color="auto"/>
                <w:right w:val="none" w:sz="0" w:space="0" w:color="auto"/>
              </w:divBdr>
            </w:div>
          </w:divsChild>
        </w:div>
        <w:div w:id="1533955535">
          <w:marLeft w:val="0"/>
          <w:marRight w:val="0"/>
          <w:marTop w:val="0"/>
          <w:marBottom w:val="0"/>
          <w:divBdr>
            <w:top w:val="none" w:sz="0" w:space="0" w:color="auto"/>
            <w:left w:val="none" w:sz="0" w:space="0" w:color="auto"/>
            <w:bottom w:val="none" w:sz="0" w:space="0" w:color="auto"/>
            <w:right w:val="none" w:sz="0" w:space="0" w:color="auto"/>
          </w:divBdr>
          <w:divsChild>
            <w:div w:id="1243100897">
              <w:marLeft w:val="0"/>
              <w:marRight w:val="0"/>
              <w:marTop w:val="0"/>
              <w:marBottom w:val="0"/>
              <w:divBdr>
                <w:top w:val="none" w:sz="0" w:space="0" w:color="auto"/>
                <w:left w:val="none" w:sz="0" w:space="0" w:color="auto"/>
                <w:bottom w:val="none" w:sz="0" w:space="0" w:color="auto"/>
                <w:right w:val="none" w:sz="0" w:space="0" w:color="auto"/>
              </w:divBdr>
            </w:div>
          </w:divsChild>
        </w:div>
        <w:div w:id="1577012761">
          <w:marLeft w:val="0"/>
          <w:marRight w:val="0"/>
          <w:marTop w:val="0"/>
          <w:marBottom w:val="0"/>
          <w:divBdr>
            <w:top w:val="none" w:sz="0" w:space="0" w:color="auto"/>
            <w:left w:val="none" w:sz="0" w:space="0" w:color="auto"/>
            <w:bottom w:val="none" w:sz="0" w:space="0" w:color="auto"/>
            <w:right w:val="none" w:sz="0" w:space="0" w:color="auto"/>
          </w:divBdr>
          <w:divsChild>
            <w:div w:id="534853141">
              <w:marLeft w:val="0"/>
              <w:marRight w:val="0"/>
              <w:marTop w:val="0"/>
              <w:marBottom w:val="0"/>
              <w:divBdr>
                <w:top w:val="none" w:sz="0" w:space="0" w:color="auto"/>
                <w:left w:val="none" w:sz="0" w:space="0" w:color="auto"/>
                <w:bottom w:val="none" w:sz="0" w:space="0" w:color="auto"/>
                <w:right w:val="none" w:sz="0" w:space="0" w:color="auto"/>
              </w:divBdr>
            </w:div>
          </w:divsChild>
        </w:div>
        <w:div w:id="1632587454">
          <w:marLeft w:val="0"/>
          <w:marRight w:val="0"/>
          <w:marTop w:val="0"/>
          <w:marBottom w:val="0"/>
          <w:divBdr>
            <w:top w:val="none" w:sz="0" w:space="0" w:color="auto"/>
            <w:left w:val="none" w:sz="0" w:space="0" w:color="auto"/>
            <w:bottom w:val="none" w:sz="0" w:space="0" w:color="auto"/>
            <w:right w:val="none" w:sz="0" w:space="0" w:color="auto"/>
          </w:divBdr>
          <w:divsChild>
            <w:div w:id="614944993">
              <w:marLeft w:val="0"/>
              <w:marRight w:val="0"/>
              <w:marTop w:val="0"/>
              <w:marBottom w:val="0"/>
              <w:divBdr>
                <w:top w:val="none" w:sz="0" w:space="0" w:color="auto"/>
                <w:left w:val="none" w:sz="0" w:space="0" w:color="auto"/>
                <w:bottom w:val="none" w:sz="0" w:space="0" w:color="auto"/>
                <w:right w:val="none" w:sz="0" w:space="0" w:color="auto"/>
              </w:divBdr>
            </w:div>
          </w:divsChild>
        </w:div>
        <w:div w:id="1700087882">
          <w:marLeft w:val="0"/>
          <w:marRight w:val="0"/>
          <w:marTop w:val="0"/>
          <w:marBottom w:val="0"/>
          <w:divBdr>
            <w:top w:val="none" w:sz="0" w:space="0" w:color="auto"/>
            <w:left w:val="none" w:sz="0" w:space="0" w:color="auto"/>
            <w:bottom w:val="none" w:sz="0" w:space="0" w:color="auto"/>
            <w:right w:val="none" w:sz="0" w:space="0" w:color="auto"/>
          </w:divBdr>
          <w:divsChild>
            <w:div w:id="545721581">
              <w:marLeft w:val="0"/>
              <w:marRight w:val="0"/>
              <w:marTop w:val="0"/>
              <w:marBottom w:val="0"/>
              <w:divBdr>
                <w:top w:val="none" w:sz="0" w:space="0" w:color="auto"/>
                <w:left w:val="none" w:sz="0" w:space="0" w:color="auto"/>
                <w:bottom w:val="none" w:sz="0" w:space="0" w:color="auto"/>
                <w:right w:val="none" w:sz="0" w:space="0" w:color="auto"/>
              </w:divBdr>
            </w:div>
          </w:divsChild>
        </w:div>
        <w:div w:id="1755278914">
          <w:marLeft w:val="0"/>
          <w:marRight w:val="0"/>
          <w:marTop w:val="0"/>
          <w:marBottom w:val="0"/>
          <w:divBdr>
            <w:top w:val="none" w:sz="0" w:space="0" w:color="auto"/>
            <w:left w:val="none" w:sz="0" w:space="0" w:color="auto"/>
            <w:bottom w:val="none" w:sz="0" w:space="0" w:color="auto"/>
            <w:right w:val="none" w:sz="0" w:space="0" w:color="auto"/>
          </w:divBdr>
          <w:divsChild>
            <w:div w:id="610361874">
              <w:marLeft w:val="0"/>
              <w:marRight w:val="0"/>
              <w:marTop w:val="0"/>
              <w:marBottom w:val="0"/>
              <w:divBdr>
                <w:top w:val="none" w:sz="0" w:space="0" w:color="auto"/>
                <w:left w:val="none" w:sz="0" w:space="0" w:color="auto"/>
                <w:bottom w:val="none" w:sz="0" w:space="0" w:color="auto"/>
                <w:right w:val="none" w:sz="0" w:space="0" w:color="auto"/>
              </w:divBdr>
            </w:div>
          </w:divsChild>
        </w:div>
        <w:div w:id="1777017356">
          <w:marLeft w:val="0"/>
          <w:marRight w:val="0"/>
          <w:marTop w:val="0"/>
          <w:marBottom w:val="0"/>
          <w:divBdr>
            <w:top w:val="none" w:sz="0" w:space="0" w:color="auto"/>
            <w:left w:val="none" w:sz="0" w:space="0" w:color="auto"/>
            <w:bottom w:val="none" w:sz="0" w:space="0" w:color="auto"/>
            <w:right w:val="none" w:sz="0" w:space="0" w:color="auto"/>
          </w:divBdr>
          <w:divsChild>
            <w:div w:id="397948344">
              <w:marLeft w:val="0"/>
              <w:marRight w:val="0"/>
              <w:marTop w:val="0"/>
              <w:marBottom w:val="0"/>
              <w:divBdr>
                <w:top w:val="none" w:sz="0" w:space="0" w:color="auto"/>
                <w:left w:val="none" w:sz="0" w:space="0" w:color="auto"/>
                <w:bottom w:val="none" w:sz="0" w:space="0" w:color="auto"/>
                <w:right w:val="none" w:sz="0" w:space="0" w:color="auto"/>
              </w:divBdr>
            </w:div>
            <w:div w:id="1945723146">
              <w:marLeft w:val="0"/>
              <w:marRight w:val="0"/>
              <w:marTop w:val="0"/>
              <w:marBottom w:val="0"/>
              <w:divBdr>
                <w:top w:val="none" w:sz="0" w:space="0" w:color="auto"/>
                <w:left w:val="none" w:sz="0" w:space="0" w:color="auto"/>
                <w:bottom w:val="none" w:sz="0" w:space="0" w:color="auto"/>
                <w:right w:val="none" w:sz="0" w:space="0" w:color="auto"/>
              </w:divBdr>
            </w:div>
          </w:divsChild>
        </w:div>
        <w:div w:id="1808887860">
          <w:marLeft w:val="0"/>
          <w:marRight w:val="0"/>
          <w:marTop w:val="0"/>
          <w:marBottom w:val="0"/>
          <w:divBdr>
            <w:top w:val="none" w:sz="0" w:space="0" w:color="auto"/>
            <w:left w:val="none" w:sz="0" w:space="0" w:color="auto"/>
            <w:bottom w:val="none" w:sz="0" w:space="0" w:color="auto"/>
            <w:right w:val="none" w:sz="0" w:space="0" w:color="auto"/>
          </w:divBdr>
          <w:divsChild>
            <w:div w:id="66075004">
              <w:marLeft w:val="0"/>
              <w:marRight w:val="0"/>
              <w:marTop w:val="0"/>
              <w:marBottom w:val="0"/>
              <w:divBdr>
                <w:top w:val="none" w:sz="0" w:space="0" w:color="auto"/>
                <w:left w:val="none" w:sz="0" w:space="0" w:color="auto"/>
                <w:bottom w:val="none" w:sz="0" w:space="0" w:color="auto"/>
                <w:right w:val="none" w:sz="0" w:space="0" w:color="auto"/>
              </w:divBdr>
            </w:div>
            <w:div w:id="249776513">
              <w:marLeft w:val="0"/>
              <w:marRight w:val="0"/>
              <w:marTop w:val="0"/>
              <w:marBottom w:val="0"/>
              <w:divBdr>
                <w:top w:val="none" w:sz="0" w:space="0" w:color="auto"/>
                <w:left w:val="none" w:sz="0" w:space="0" w:color="auto"/>
                <w:bottom w:val="none" w:sz="0" w:space="0" w:color="auto"/>
                <w:right w:val="none" w:sz="0" w:space="0" w:color="auto"/>
              </w:divBdr>
            </w:div>
            <w:div w:id="304706396">
              <w:marLeft w:val="0"/>
              <w:marRight w:val="0"/>
              <w:marTop w:val="0"/>
              <w:marBottom w:val="0"/>
              <w:divBdr>
                <w:top w:val="none" w:sz="0" w:space="0" w:color="auto"/>
                <w:left w:val="none" w:sz="0" w:space="0" w:color="auto"/>
                <w:bottom w:val="none" w:sz="0" w:space="0" w:color="auto"/>
                <w:right w:val="none" w:sz="0" w:space="0" w:color="auto"/>
              </w:divBdr>
            </w:div>
            <w:div w:id="419453184">
              <w:marLeft w:val="0"/>
              <w:marRight w:val="0"/>
              <w:marTop w:val="0"/>
              <w:marBottom w:val="0"/>
              <w:divBdr>
                <w:top w:val="none" w:sz="0" w:space="0" w:color="auto"/>
                <w:left w:val="none" w:sz="0" w:space="0" w:color="auto"/>
                <w:bottom w:val="none" w:sz="0" w:space="0" w:color="auto"/>
                <w:right w:val="none" w:sz="0" w:space="0" w:color="auto"/>
              </w:divBdr>
            </w:div>
            <w:div w:id="968971280">
              <w:marLeft w:val="0"/>
              <w:marRight w:val="0"/>
              <w:marTop w:val="0"/>
              <w:marBottom w:val="0"/>
              <w:divBdr>
                <w:top w:val="none" w:sz="0" w:space="0" w:color="auto"/>
                <w:left w:val="none" w:sz="0" w:space="0" w:color="auto"/>
                <w:bottom w:val="none" w:sz="0" w:space="0" w:color="auto"/>
                <w:right w:val="none" w:sz="0" w:space="0" w:color="auto"/>
              </w:divBdr>
            </w:div>
            <w:div w:id="1012269094">
              <w:marLeft w:val="0"/>
              <w:marRight w:val="0"/>
              <w:marTop w:val="0"/>
              <w:marBottom w:val="0"/>
              <w:divBdr>
                <w:top w:val="none" w:sz="0" w:space="0" w:color="auto"/>
                <w:left w:val="none" w:sz="0" w:space="0" w:color="auto"/>
                <w:bottom w:val="none" w:sz="0" w:space="0" w:color="auto"/>
                <w:right w:val="none" w:sz="0" w:space="0" w:color="auto"/>
              </w:divBdr>
            </w:div>
            <w:div w:id="1213348501">
              <w:marLeft w:val="0"/>
              <w:marRight w:val="0"/>
              <w:marTop w:val="0"/>
              <w:marBottom w:val="0"/>
              <w:divBdr>
                <w:top w:val="none" w:sz="0" w:space="0" w:color="auto"/>
                <w:left w:val="none" w:sz="0" w:space="0" w:color="auto"/>
                <w:bottom w:val="none" w:sz="0" w:space="0" w:color="auto"/>
                <w:right w:val="none" w:sz="0" w:space="0" w:color="auto"/>
              </w:divBdr>
            </w:div>
            <w:div w:id="1232810886">
              <w:marLeft w:val="0"/>
              <w:marRight w:val="0"/>
              <w:marTop w:val="0"/>
              <w:marBottom w:val="0"/>
              <w:divBdr>
                <w:top w:val="none" w:sz="0" w:space="0" w:color="auto"/>
                <w:left w:val="none" w:sz="0" w:space="0" w:color="auto"/>
                <w:bottom w:val="none" w:sz="0" w:space="0" w:color="auto"/>
                <w:right w:val="none" w:sz="0" w:space="0" w:color="auto"/>
              </w:divBdr>
            </w:div>
            <w:div w:id="1267077199">
              <w:marLeft w:val="0"/>
              <w:marRight w:val="0"/>
              <w:marTop w:val="0"/>
              <w:marBottom w:val="0"/>
              <w:divBdr>
                <w:top w:val="none" w:sz="0" w:space="0" w:color="auto"/>
                <w:left w:val="none" w:sz="0" w:space="0" w:color="auto"/>
                <w:bottom w:val="none" w:sz="0" w:space="0" w:color="auto"/>
                <w:right w:val="none" w:sz="0" w:space="0" w:color="auto"/>
              </w:divBdr>
            </w:div>
            <w:div w:id="1851750477">
              <w:marLeft w:val="0"/>
              <w:marRight w:val="0"/>
              <w:marTop w:val="0"/>
              <w:marBottom w:val="0"/>
              <w:divBdr>
                <w:top w:val="none" w:sz="0" w:space="0" w:color="auto"/>
                <w:left w:val="none" w:sz="0" w:space="0" w:color="auto"/>
                <w:bottom w:val="none" w:sz="0" w:space="0" w:color="auto"/>
                <w:right w:val="none" w:sz="0" w:space="0" w:color="auto"/>
              </w:divBdr>
            </w:div>
            <w:div w:id="2046516554">
              <w:marLeft w:val="0"/>
              <w:marRight w:val="0"/>
              <w:marTop w:val="0"/>
              <w:marBottom w:val="0"/>
              <w:divBdr>
                <w:top w:val="none" w:sz="0" w:space="0" w:color="auto"/>
                <w:left w:val="none" w:sz="0" w:space="0" w:color="auto"/>
                <w:bottom w:val="none" w:sz="0" w:space="0" w:color="auto"/>
                <w:right w:val="none" w:sz="0" w:space="0" w:color="auto"/>
              </w:divBdr>
            </w:div>
          </w:divsChild>
        </w:div>
        <w:div w:id="1811971555">
          <w:marLeft w:val="0"/>
          <w:marRight w:val="0"/>
          <w:marTop w:val="0"/>
          <w:marBottom w:val="0"/>
          <w:divBdr>
            <w:top w:val="none" w:sz="0" w:space="0" w:color="auto"/>
            <w:left w:val="none" w:sz="0" w:space="0" w:color="auto"/>
            <w:bottom w:val="none" w:sz="0" w:space="0" w:color="auto"/>
            <w:right w:val="none" w:sz="0" w:space="0" w:color="auto"/>
          </w:divBdr>
          <w:divsChild>
            <w:div w:id="584920145">
              <w:marLeft w:val="0"/>
              <w:marRight w:val="0"/>
              <w:marTop w:val="0"/>
              <w:marBottom w:val="0"/>
              <w:divBdr>
                <w:top w:val="none" w:sz="0" w:space="0" w:color="auto"/>
                <w:left w:val="none" w:sz="0" w:space="0" w:color="auto"/>
                <w:bottom w:val="none" w:sz="0" w:space="0" w:color="auto"/>
                <w:right w:val="none" w:sz="0" w:space="0" w:color="auto"/>
              </w:divBdr>
            </w:div>
            <w:div w:id="914626084">
              <w:marLeft w:val="0"/>
              <w:marRight w:val="0"/>
              <w:marTop w:val="0"/>
              <w:marBottom w:val="0"/>
              <w:divBdr>
                <w:top w:val="none" w:sz="0" w:space="0" w:color="auto"/>
                <w:left w:val="none" w:sz="0" w:space="0" w:color="auto"/>
                <w:bottom w:val="none" w:sz="0" w:space="0" w:color="auto"/>
                <w:right w:val="none" w:sz="0" w:space="0" w:color="auto"/>
              </w:divBdr>
            </w:div>
            <w:div w:id="2081366962">
              <w:marLeft w:val="0"/>
              <w:marRight w:val="0"/>
              <w:marTop w:val="0"/>
              <w:marBottom w:val="0"/>
              <w:divBdr>
                <w:top w:val="none" w:sz="0" w:space="0" w:color="auto"/>
                <w:left w:val="none" w:sz="0" w:space="0" w:color="auto"/>
                <w:bottom w:val="none" w:sz="0" w:space="0" w:color="auto"/>
                <w:right w:val="none" w:sz="0" w:space="0" w:color="auto"/>
              </w:divBdr>
            </w:div>
          </w:divsChild>
        </w:div>
        <w:div w:id="1856529954">
          <w:marLeft w:val="0"/>
          <w:marRight w:val="0"/>
          <w:marTop w:val="0"/>
          <w:marBottom w:val="0"/>
          <w:divBdr>
            <w:top w:val="none" w:sz="0" w:space="0" w:color="auto"/>
            <w:left w:val="none" w:sz="0" w:space="0" w:color="auto"/>
            <w:bottom w:val="none" w:sz="0" w:space="0" w:color="auto"/>
            <w:right w:val="none" w:sz="0" w:space="0" w:color="auto"/>
          </w:divBdr>
          <w:divsChild>
            <w:div w:id="973411682">
              <w:marLeft w:val="0"/>
              <w:marRight w:val="0"/>
              <w:marTop w:val="0"/>
              <w:marBottom w:val="0"/>
              <w:divBdr>
                <w:top w:val="none" w:sz="0" w:space="0" w:color="auto"/>
                <w:left w:val="none" w:sz="0" w:space="0" w:color="auto"/>
                <w:bottom w:val="none" w:sz="0" w:space="0" w:color="auto"/>
                <w:right w:val="none" w:sz="0" w:space="0" w:color="auto"/>
              </w:divBdr>
            </w:div>
          </w:divsChild>
        </w:div>
        <w:div w:id="1968270581">
          <w:marLeft w:val="0"/>
          <w:marRight w:val="0"/>
          <w:marTop w:val="0"/>
          <w:marBottom w:val="0"/>
          <w:divBdr>
            <w:top w:val="none" w:sz="0" w:space="0" w:color="auto"/>
            <w:left w:val="none" w:sz="0" w:space="0" w:color="auto"/>
            <w:bottom w:val="none" w:sz="0" w:space="0" w:color="auto"/>
            <w:right w:val="none" w:sz="0" w:space="0" w:color="auto"/>
          </w:divBdr>
          <w:divsChild>
            <w:div w:id="18331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7648">
      <w:bodyDiv w:val="1"/>
      <w:marLeft w:val="0"/>
      <w:marRight w:val="0"/>
      <w:marTop w:val="0"/>
      <w:marBottom w:val="0"/>
      <w:divBdr>
        <w:top w:val="none" w:sz="0" w:space="0" w:color="auto"/>
        <w:left w:val="none" w:sz="0" w:space="0" w:color="auto"/>
        <w:bottom w:val="none" w:sz="0" w:space="0" w:color="auto"/>
        <w:right w:val="none" w:sz="0" w:space="0" w:color="auto"/>
      </w:divBdr>
    </w:div>
    <w:div w:id="1818373968">
      <w:bodyDiv w:val="1"/>
      <w:marLeft w:val="0"/>
      <w:marRight w:val="0"/>
      <w:marTop w:val="0"/>
      <w:marBottom w:val="0"/>
      <w:divBdr>
        <w:top w:val="none" w:sz="0" w:space="0" w:color="auto"/>
        <w:left w:val="none" w:sz="0" w:space="0" w:color="auto"/>
        <w:bottom w:val="none" w:sz="0" w:space="0" w:color="auto"/>
        <w:right w:val="none" w:sz="0" w:space="0" w:color="auto"/>
      </w:divBdr>
    </w:div>
    <w:div w:id="1818650105">
      <w:bodyDiv w:val="1"/>
      <w:marLeft w:val="0"/>
      <w:marRight w:val="0"/>
      <w:marTop w:val="0"/>
      <w:marBottom w:val="0"/>
      <w:divBdr>
        <w:top w:val="none" w:sz="0" w:space="0" w:color="auto"/>
        <w:left w:val="none" w:sz="0" w:space="0" w:color="auto"/>
        <w:bottom w:val="none" w:sz="0" w:space="0" w:color="auto"/>
        <w:right w:val="none" w:sz="0" w:space="0" w:color="auto"/>
      </w:divBdr>
    </w:div>
    <w:div w:id="1824815059">
      <w:bodyDiv w:val="1"/>
      <w:marLeft w:val="0"/>
      <w:marRight w:val="0"/>
      <w:marTop w:val="0"/>
      <w:marBottom w:val="0"/>
      <w:divBdr>
        <w:top w:val="none" w:sz="0" w:space="0" w:color="auto"/>
        <w:left w:val="none" w:sz="0" w:space="0" w:color="auto"/>
        <w:bottom w:val="none" w:sz="0" w:space="0" w:color="auto"/>
        <w:right w:val="none" w:sz="0" w:space="0" w:color="auto"/>
      </w:divBdr>
    </w:div>
    <w:div w:id="1868643235">
      <w:bodyDiv w:val="1"/>
      <w:marLeft w:val="0"/>
      <w:marRight w:val="0"/>
      <w:marTop w:val="0"/>
      <w:marBottom w:val="0"/>
      <w:divBdr>
        <w:top w:val="none" w:sz="0" w:space="0" w:color="auto"/>
        <w:left w:val="none" w:sz="0" w:space="0" w:color="auto"/>
        <w:bottom w:val="none" w:sz="0" w:space="0" w:color="auto"/>
        <w:right w:val="none" w:sz="0" w:space="0" w:color="auto"/>
      </w:divBdr>
    </w:div>
    <w:div w:id="1880245462">
      <w:bodyDiv w:val="1"/>
      <w:marLeft w:val="0"/>
      <w:marRight w:val="0"/>
      <w:marTop w:val="0"/>
      <w:marBottom w:val="0"/>
      <w:divBdr>
        <w:top w:val="none" w:sz="0" w:space="0" w:color="auto"/>
        <w:left w:val="none" w:sz="0" w:space="0" w:color="auto"/>
        <w:bottom w:val="none" w:sz="0" w:space="0" w:color="auto"/>
        <w:right w:val="none" w:sz="0" w:space="0" w:color="auto"/>
      </w:divBdr>
    </w:div>
    <w:div w:id="1888643190">
      <w:bodyDiv w:val="1"/>
      <w:marLeft w:val="0"/>
      <w:marRight w:val="0"/>
      <w:marTop w:val="0"/>
      <w:marBottom w:val="0"/>
      <w:divBdr>
        <w:top w:val="none" w:sz="0" w:space="0" w:color="auto"/>
        <w:left w:val="none" w:sz="0" w:space="0" w:color="auto"/>
        <w:bottom w:val="none" w:sz="0" w:space="0" w:color="auto"/>
        <w:right w:val="none" w:sz="0" w:space="0" w:color="auto"/>
      </w:divBdr>
    </w:div>
    <w:div w:id="1907377470">
      <w:bodyDiv w:val="1"/>
      <w:marLeft w:val="0"/>
      <w:marRight w:val="0"/>
      <w:marTop w:val="0"/>
      <w:marBottom w:val="0"/>
      <w:divBdr>
        <w:top w:val="none" w:sz="0" w:space="0" w:color="auto"/>
        <w:left w:val="none" w:sz="0" w:space="0" w:color="auto"/>
        <w:bottom w:val="none" w:sz="0" w:space="0" w:color="auto"/>
        <w:right w:val="none" w:sz="0" w:space="0" w:color="auto"/>
      </w:divBdr>
    </w:div>
    <w:div w:id="1933735131">
      <w:bodyDiv w:val="1"/>
      <w:marLeft w:val="0"/>
      <w:marRight w:val="0"/>
      <w:marTop w:val="0"/>
      <w:marBottom w:val="0"/>
      <w:divBdr>
        <w:top w:val="none" w:sz="0" w:space="0" w:color="auto"/>
        <w:left w:val="none" w:sz="0" w:space="0" w:color="auto"/>
        <w:bottom w:val="none" w:sz="0" w:space="0" w:color="auto"/>
        <w:right w:val="none" w:sz="0" w:space="0" w:color="auto"/>
      </w:divBdr>
    </w:div>
    <w:div w:id="1936476519">
      <w:bodyDiv w:val="1"/>
      <w:marLeft w:val="0"/>
      <w:marRight w:val="0"/>
      <w:marTop w:val="0"/>
      <w:marBottom w:val="0"/>
      <w:divBdr>
        <w:top w:val="none" w:sz="0" w:space="0" w:color="auto"/>
        <w:left w:val="none" w:sz="0" w:space="0" w:color="auto"/>
        <w:bottom w:val="none" w:sz="0" w:space="0" w:color="auto"/>
        <w:right w:val="none" w:sz="0" w:space="0" w:color="auto"/>
      </w:divBdr>
    </w:div>
    <w:div w:id="1943488431">
      <w:bodyDiv w:val="1"/>
      <w:marLeft w:val="0"/>
      <w:marRight w:val="0"/>
      <w:marTop w:val="0"/>
      <w:marBottom w:val="0"/>
      <w:divBdr>
        <w:top w:val="none" w:sz="0" w:space="0" w:color="auto"/>
        <w:left w:val="none" w:sz="0" w:space="0" w:color="auto"/>
        <w:bottom w:val="none" w:sz="0" w:space="0" w:color="auto"/>
        <w:right w:val="none" w:sz="0" w:space="0" w:color="auto"/>
      </w:divBdr>
    </w:div>
    <w:div w:id="1962494697">
      <w:bodyDiv w:val="1"/>
      <w:marLeft w:val="0"/>
      <w:marRight w:val="0"/>
      <w:marTop w:val="0"/>
      <w:marBottom w:val="0"/>
      <w:divBdr>
        <w:top w:val="none" w:sz="0" w:space="0" w:color="auto"/>
        <w:left w:val="none" w:sz="0" w:space="0" w:color="auto"/>
        <w:bottom w:val="none" w:sz="0" w:space="0" w:color="auto"/>
        <w:right w:val="none" w:sz="0" w:space="0" w:color="auto"/>
      </w:divBdr>
    </w:div>
    <w:div w:id="1962615486">
      <w:bodyDiv w:val="1"/>
      <w:marLeft w:val="0"/>
      <w:marRight w:val="0"/>
      <w:marTop w:val="0"/>
      <w:marBottom w:val="0"/>
      <w:divBdr>
        <w:top w:val="none" w:sz="0" w:space="0" w:color="auto"/>
        <w:left w:val="none" w:sz="0" w:space="0" w:color="auto"/>
        <w:bottom w:val="none" w:sz="0" w:space="0" w:color="auto"/>
        <w:right w:val="none" w:sz="0" w:space="0" w:color="auto"/>
      </w:divBdr>
    </w:div>
    <w:div w:id="1975940773">
      <w:bodyDiv w:val="1"/>
      <w:marLeft w:val="0"/>
      <w:marRight w:val="0"/>
      <w:marTop w:val="0"/>
      <w:marBottom w:val="0"/>
      <w:divBdr>
        <w:top w:val="none" w:sz="0" w:space="0" w:color="auto"/>
        <w:left w:val="none" w:sz="0" w:space="0" w:color="auto"/>
        <w:bottom w:val="none" w:sz="0" w:space="0" w:color="auto"/>
        <w:right w:val="none" w:sz="0" w:space="0" w:color="auto"/>
      </w:divBdr>
    </w:div>
    <w:div w:id="1978489534">
      <w:bodyDiv w:val="1"/>
      <w:marLeft w:val="0"/>
      <w:marRight w:val="0"/>
      <w:marTop w:val="0"/>
      <w:marBottom w:val="0"/>
      <w:divBdr>
        <w:top w:val="none" w:sz="0" w:space="0" w:color="auto"/>
        <w:left w:val="none" w:sz="0" w:space="0" w:color="auto"/>
        <w:bottom w:val="none" w:sz="0" w:space="0" w:color="auto"/>
        <w:right w:val="none" w:sz="0" w:space="0" w:color="auto"/>
      </w:divBdr>
      <w:divsChild>
        <w:div w:id="51464722">
          <w:marLeft w:val="0"/>
          <w:marRight w:val="0"/>
          <w:marTop w:val="0"/>
          <w:marBottom w:val="0"/>
          <w:divBdr>
            <w:top w:val="none" w:sz="0" w:space="0" w:color="auto"/>
            <w:left w:val="none" w:sz="0" w:space="0" w:color="auto"/>
            <w:bottom w:val="none" w:sz="0" w:space="0" w:color="auto"/>
            <w:right w:val="none" w:sz="0" w:space="0" w:color="auto"/>
          </w:divBdr>
        </w:div>
        <w:div w:id="663171415">
          <w:marLeft w:val="0"/>
          <w:marRight w:val="0"/>
          <w:marTop w:val="0"/>
          <w:marBottom w:val="0"/>
          <w:divBdr>
            <w:top w:val="none" w:sz="0" w:space="0" w:color="auto"/>
            <w:left w:val="none" w:sz="0" w:space="0" w:color="auto"/>
            <w:bottom w:val="none" w:sz="0" w:space="0" w:color="auto"/>
            <w:right w:val="none" w:sz="0" w:space="0" w:color="auto"/>
          </w:divBdr>
        </w:div>
      </w:divsChild>
    </w:div>
    <w:div w:id="1986618180">
      <w:bodyDiv w:val="1"/>
      <w:marLeft w:val="0"/>
      <w:marRight w:val="0"/>
      <w:marTop w:val="0"/>
      <w:marBottom w:val="0"/>
      <w:divBdr>
        <w:top w:val="none" w:sz="0" w:space="0" w:color="auto"/>
        <w:left w:val="none" w:sz="0" w:space="0" w:color="auto"/>
        <w:bottom w:val="none" w:sz="0" w:space="0" w:color="auto"/>
        <w:right w:val="none" w:sz="0" w:space="0" w:color="auto"/>
      </w:divBdr>
    </w:div>
    <w:div w:id="2030569363">
      <w:bodyDiv w:val="1"/>
      <w:marLeft w:val="0"/>
      <w:marRight w:val="0"/>
      <w:marTop w:val="0"/>
      <w:marBottom w:val="0"/>
      <w:divBdr>
        <w:top w:val="none" w:sz="0" w:space="0" w:color="auto"/>
        <w:left w:val="none" w:sz="0" w:space="0" w:color="auto"/>
        <w:bottom w:val="none" w:sz="0" w:space="0" w:color="auto"/>
        <w:right w:val="none" w:sz="0" w:space="0" w:color="auto"/>
      </w:divBdr>
    </w:div>
    <w:div w:id="2053797106">
      <w:bodyDiv w:val="1"/>
      <w:marLeft w:val="0"/>
      <w:marRight w:val="0"/>
      <w:marTop w:val="0"/>
      <w:marBottom w:val="0"/>
      <w:divBdr>
        <w:top w:val="none" w:sz="0" w:space="0" w:color="auto"/>
        <w:left w:val="none" w:sz="0" w:space="0" w:color="auto"/>
        <w:bottom w:val="none" w:sz="0" w:space="0" w:color="auto"/>
        <w:right w:val="none" w:sz="0" w:space="0" w:color="auto"/>
      </w:divBdr>
    </w:div>
    <w:div w:id="2056350630">
      <w:bodyDiv w:val="1"/>
      <w:marLeft w:val="0"/>
      <w:marRight w:val="0"/>
      <w:marTop w:val="0"/>
      <w:marBottom w:val="0"/>
      <w:divBdr>
        <w:top w:val="none" w:sz="0" w:space="0" w:color="auto"/>
        <w:left w:val="none" w:sz="0" w:space="0" w:color="auto"/>
        <w:bottom w:val="none" w:sz="0" w:space="0" w:color="auto"/>
        <w:right w:val="none" w:sz="0" w:space="0" w:color="auto"/>
      </w:divBdr>
    </w:div>
    <w:div w:id="2133670897">
      <w:bodyDiv w:val="1"/>
      <w:marLeft w:val="0"/>
      <w:marRight w:val="0"/>
      <w:marTop w:val="0"/>
      <w:marBottom w:val="0"/>
      <w:divBdr>
        <w:top w:val="none" w:sz="0" w:space="0" w:color="auto"/>
        <w:left w:val="none" w:sz="0" w:space="0" w:color="auto"/>
        <w:bottom w:val="none" w:sz="0" w:space="0" w:color="auto"/>
        <w:right w:val="none" w:sz="0" w:space="0" w:color="auto"/>
      </w:divBdr>
    </w:div>
    <w:div w:id="21339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diagramLayout" Target="diagrams/layout3.xml"/><Relationship Id="rId68" Type="http://schemas.openxmlformats.org/officeDocument/2006/relationships/diagramLayout" Target="diagrams/layout4.xml"/><Relationship Id="rId84" Type="http://schemas.openxmlformats.org/officeDocument/2006/relationships/hyperlink" Target="https://cambridgeshireinsight.org.uk/wp-content/uploads/2025/06/Consolidated-service-user-voice.docx" TargetMode="External"/><Relationship Id="rId89" Type="http://schemas.openxmlformats.org/officeDocument/2006/relationships/hyperlink" Target="https://cambridgeshireinsight.org.uk/wp-content/uploads/2025/06/Shoke-Final-Nov-24-Recovery-in-the-community.pdf" TargetMode="External"/><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diagramLayout" Target="diagrams/layout1.xml"/><Relationship Id="rId58" Type="http://schemas.openxmlformats.org/officeDocument/2006/relationships/diagramLayout" Target="diagrams/layout2.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microsoft.com/office/2007/relationships/diagramDrawing" Target="diagrams/drawing1.xml"/><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diagramData" Target="diagrams/data5.xml"/><Relationship Id="rId80" Type="http://schemas.openxmlformats.org/officeDocument/2006/relationships/diagramColors" Target="diagrams/colors6.xml"/><Relationship Id="rId85" Type="http://schemas.openxmlformats.org/officeDocument/2006/relationships/hyperlink" Target="https://cambridgeshireinsight.org.uk/wp-content/uploads/2025/06/Final-Stakeholder-feedback.ppt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2.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diagramQuickStyle" Target="diagrams/quickStyle2.xml"/><Relationship Id="rId67" Type="http://schemas.openxmlformats.org/officeDocument/2006/relationships/diagramData" Target="diagrams/data4.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diagramQuickStyle" Target="diagrams/quickStyle1.xml"/><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hyperlink" Target="https://cambridgeshireinsight.org.uk/wp-content/uploads/2025/06/Service-User-consultation-summary-Dec-24.docx" TargetMode="External"/><Relationship Id="rId88" Type="http://schemas.openxmlformats.org/officeDocument/2006/relationships/hyperlink" Target="https://cambridgeshireinsight.org.uk/wp-content/uploads/2025/06/Young-Peoples-Summary-.docx"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chart" Target="charts/chart3.xml"/><Relationship Id="rId57" Type="http://schemas.openxmlformats.org/officeDocument/2006/relationships/diagramData" Target="diagrams/data2.xm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29.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86" Type="http://schemas.openxmlformats.org/officeDocument/2006/relationships/hyperlink" Target="https://cambridgeshireinsight.org.uk/wp-content/uploads/2025/06/Consolidated-stakeholder-feedback.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chatgpt.com/c/67962650-5a24-800a-8b91-c6a224dff22a" TargetMode="External"/><Relationship Id="rId55" Type="http://schemas.openxmlformats.org/officeDocument/2006/relationships/diagramColors" Target="diagrams/colors1.xml"/><Relationship Id="rId76" Type="http://schemas.microsoft.com/office/2007/relationships/diagramDrawing" Target="diagrams/drawing5.xml"/><Relationship Id="rId7" Type="http://schemas.openxmlformats.org/officeDocument/2006/relationships/settings" Target="settings.xml"/><Relationship Id="rId71" Type="http://schemas.microsoft.com/office/2007/relationships/diagramDrawing" Target="diagrams/drawing4.xml"/><Relationship Id="rId92"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microsoft.com/office/2007/relationships/diagramDrawing" Target="diagrams/drawing3.xml"/><Relationship Id="rId87" Type="http://schemas.openxmlformats.org/officeDocument/2006/relationships/hyperlink" Target="https://cambridgeshireinsight.org.uk/wp-content/uploads/2025/06/Consolidated-staff-feedback.docx" TargetMode="External"/><Relationship Id="rId61" Type="http://schemas.microsoft.com/office/2007/relationships/diagramDrawing" Target="diagrams/drawing2.xml"/><Relationship Id="rId82" Type="http://schemas.openxmlformats.org/officeDocument/2006/relationships/hyperlink" Target="https://cambridgeshireinsight.org.uk/wp-content/uploads/2025/06/Service-User-Interview-Feedback-.docx"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cambridgeshireinsight.org.uk/health-and-wellbeing-hub/cyp/" TargetMode="External"/><Relationship Id="rId18" Type="http://schemas.openxmlformats.org/officeDocument/2006/relationships/hyperlink" Target="https://www.gov.uk/government/publications/alcohol-dependence-prevalence-in-england/estimates-of-alcohol-dependent-adults-in-england-summary" TargetMode="External"/><Relationship Id="rId26" Type="http://schemas.openxmlformats.org/officeDocument/2006/relationships/hyperlink" Target="https://www.ias.org.uk/wp-content/uploads/2025/01/Spending-Review-submission-2025-Institute-of-Alcohol-Studies.pdf" TargetMode="External"/><Relationship Id="rId3" Type="http://schemas.openxmlformats.org/officeDocument/2006/relationships/hyperlink" Target="https://www.gov.uk/government/publications/substance-misuse-and-people-with-learning-disabilities/substance-misuse-in-people-with-learning-disabilities-reasonable-adjustments-guidance" TargetMode="External"/><Relationship Id="rId21" Type="http://schemas.openxmlformats.org/officeDocument/2006/relationships/hyperlink" Target="https://fingertips.phe.org.uk/documents/Health_inequalities_substance_misuse.pdf" TargetMode="External"/><Relationship Id="rId34" Type="http://schemas.openxmlformats.org/officeDocument/2006/relationships/hyperlink" Target="https://www.gov.uk/government/publications/extra-funding-for-drug-and-alcohol-treatment-2024-to-2025/additional-drug-and-alcohol-treatment-funding-allocations-2024-to-2025" TargetMode="External"/><Relationship Id="rId7" Type="http://schemas.openxmlformats.org/officeDocument/2006/relationships/hyperlink" Target="https://www.gov.uk/government/publications/deaths-linked-to-potent-synthetic-opioids/deaths-linked-to-potent-synthetic-opioids" TargetMode="External"/><Relationship Id="rId12" Type="http://schemas.openxmlformats.org/officeDocument/2006/relationships/hyperlink" Target="https://data.cdrc.ac.uk/dataset/index-multiple-deprivation-imd" TargetMode="External"/><Relationship Id="rId17" Type="http://schemas.openxmlformats.org/officeDocument/2006/relationships/hyperlink" Target="https://www.gov.uk/government/statistics/substance-misuse-treatment-for-adults-statistics-2022-to-2023/adult-substance-misuse-treatment-statistics-2022-to-2023-report" TargetMode="External"/><Relationship Id="rId25" Type="http://schemas.openxmlformats.org/officeDocument/2006/relationships/hyperlink" Target="https://github.com/NHSDigital/ASC_LA_Peer_Groups" TargetMode="External"/><Relationship Id="rId33" Type="http://schemas.openxmlformats.org/officeDocument/2006/relationships/hyperlink" Target="https://www.gov.uk/government/publications/helping-people-in-alcohol-and-drug-treatment-services-into-work/individual-placement-and-support-alcohol-and-drug-study-main-findings--2" TargetMode="External"/><Relationship Id="rId2" Type="http://schemas.openxmlformats.org/officeDocument/2006/relationships/hyperlink" Target="https://www.gov.uk/government/publications/alcohol-and-drug-prevention-treatment-and-recovery-why-invest" TargetMode="External"/><Relationship Id="rId16" Type="http://schemas.openxmlformats.org/officeDocument/2006/relationships/hyperlink" Target="https://www.ons.gov.uk/peoplepopulationandcommunity/crimeandjustice/articles/drugmisuseinenglandandwales/yearendingmarch2024" TargetMode="External"/><Relationship Id="rId20" Type="http://schemas.openxmlformats.org/officeDocument/2006/relationships/hyperlink" Target="https://www.drinkaware.co.uk/research/drinkaware-monitors/drinkaware-monitor-2021" TargetMode="External"/><Relationship Id="rId29" Type="http://schemas.openxmlformats.org/officeDocument/2006/relationships/hyperlink" Target="https://cambridgeshireinsight.org.uk/wp-content/uploads/2024/09/RSDATG-Peterborough-Evaluation-Report-FINAL-07.12.23.pdf" TargetMode="External"/><Relationship Id="rId1" Type="http://schemas.openxmlformats.org/officeDocument/2006/relationships/hyperlink" Target="https://webarchive.nationalarchives.gov.uk/ukgwa/20170807150623/http://www.nta.nhs.uk/uploads/vfm2012.pdf" TargetMode="External"/><Relationship Id="rId6" Type="http://schemas.openxmlformats.org/officeDocument/2006/relationships/hyperlink" Target="https://www.ons.gov.uk/peoplepopulationandcommunity/birthsdeathsandmarriages/deaths/bulletins/deathsrelatedtodrugpoisoninginenglandandwales/2023registrations" TargetMode="External"/><Relationship Id="rId11" Type="http://schemas.openxmlformats.org/officeDocument/2006/relationships/hyperlink" Target="https://www.ons.gov.uk/peoplepopulationandcommunity" TargetMode="External"/><Relationship Id="rId24" Type="http://schemas.openxmlformats.org/officeDocument/2006/relationships/hyperlink" Target="https://assets.publishing.service.gov.uk/media/5a7483b440f0b616bcb1717c/Drug_alerts_and_local_drug_information_systems_guidance.pdf" TargetMode="External"/><Relationship Id="rId32" Type="http://schemas.openxmlformats.org/officeDocument/2006/relationships/hyperlink" Target="https://www.ons.gov.uk/visualisations/labourmarketlocal/E06000031/" TargetMode="External"/><Relationship Id="rId5" Type="http://schemas.openxmlformats.org/officeDocument/2006/relationships/hyperlink" Target="https://assets.publishing.service.gov.uk/government/uploads/system/uploads/attachment_data/file/545937/UK_CMOs__report.pdf" TargetMode="External"/><Relationship Id="rId15" Type="http://schemas.openxmlformats.org/officeDocument/2006/relationships/hyperlink" Target="https://www.ons.gov.uk/datasets/TS078/editions/2021/versions/1" TargetMode="External"/><Relationship Id="rId23" Type="http://schemas.openxmlformats.org/officeDocument/2006/relationships/hyperlink" Target="https://cccandpcc.sharepoint.com/sites/DrugAlcoholCountywideCCC/Shared%20Documents/General/Drugs%20and%20Alcohol%20Needs%20Assessment/Chemsex%20behaviours%20among%20men%20who%20have%20sex%20with%20men:%20A%20systematic%20review%20of%20the%20literature" TargetMode="External"/><Relationship Id="rId28" Type="http://schemas.openxmlformats.org/officeDocument/2006/relationships/hyperlink" Target="https://assets.publishing.service.gov.uk/media/629078bad3bf7f036fc492d1/From_harm_to_hope_PDF.pdf" TargetMode="External"/><Relationship Id="rId36" Type="http://schemas.openxmlformats.org/officeDocument/2006/relationships/hyperlink" Target="https://www.england.nhs.uk/about/equality/equality-hub/patient-equalities-programme/equality-frameworks-and-information-standards/accessibleinfo/" TargetMode="External"/><Relationship Id="rId10" Type="http://schemas.openxmlformats.org/officeDocument/2006/relationships/hyperlink" Target="https://www.ons.gov.uk/visualisations/censusareachanges/E06000031/" TargetMode="External"/><Relationship Id="rId19" Type="http://schemas.openxmlformats.org/officeDocument/2006/relationships/hyperlink" Target="https://assets.publishing.service.gov.uk/government/uploads/system/uploads/attachment_data/file/1113175/Alcohol-use-disorders-identification-test-AUDIT_for-print.pdf" TargetMode="External"/><Relationship Id="rId31" Type="http://schemas.openxmlformats.org/officeDocument/2006/relationships/hyperlink" Target="https://www.gov.uk/government/publications/parents-with-alcohol-and-drug-problems-support-resources/parents-with-alcohol-and-drug-problems-guidance-for-adult-treatment-and-children-and-family-services" TargetMode="External"/><Relationship Id="rId4" Type="http://schemas.openxmlformats.org/officeDocument/2006/relationships/hyperlink" Target="https://digital.nhs.uk/data-and-information/publications/statistical/smoking-drinking-and-drug-use-among-young-people-in-england" TargetMode="External"/><Relationship Id="rId9" Type="http://schemas.openxmlformats.org/officeDocument/2006/relationships/hyperlink" Target="https://cambridgeshireinsight.org.uk/jsna-2023/" TargetMode="External"/><Relationship Id="rId14" Type="http://schemas.openxmlformats.org/officeDocument/2006/relationships/hyperlink" Target="https://www.ons.gov.uk/peoplepopulationandcommunity/culturalidentity/sexuality/methodologies/sexualidentityukqmi" TargetMode="External"/><Relationship Id="rId22" Type="http://schemas.openxmlformats.org/officeDocument/2006/relationships/hyperlink" Target="https://digital.nhs.uk/services/connecting-care-records" TargetMode="External"/><Relationship Id="rId27" Type="http://schemas.openxmlformats.org/officeDocument/2006/relationships/hyperlink" Target="https://www.gov.uk/government/news/addiction-crackdown-sees-huge-rise-in-prisoners-getting-clean" TargetMode="External"/><Relationship Id="rId30" Type="http://schemas.openxmlformats.org/officeDocument/2006/relationships/hyperlink" Target="https://explore-education-statistics.service.gov.uk/find-statistics/children-in-need" TargetMode="External"/><Relationship Id="rId35" Type="http://schemas.openxmlformats.org/officeDocument/2006/relationships/hyperlink" Target="https://www.gov.uk/government/publications/fentanyl-preparing-for-a-future-threat/guidance-for-local-areas-on-planning-to-deal-with-fentanyl-or-another-potent-opioid" TargetMode="External"/><Relationship Id="rId8" Type="http://schemas.openxmlformats.org/officeDocument/2006/relationships/hyperlink" Target="https://www.gov.uk/government/statistics/alcohol-profiles-for-england-december-2024-update/alcohol-profiles-for-england-short-statistical-commentary-december-202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ccandpcc-my.sharepoint.com/personal/alice_middleton_cambridgeshire_gov_uk/Documents/Documents/2024-25/PH%20ST2/CCC/D&amp;A%20NA/Data/DANA%20Workbook.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ccandpcc-my.sharepoint.com/personal/alice_middleton_cambridgeshire_gov_uk/Documents/Documents/2024-25/PH%20ST2/CCC/D&amp;A%20NA/Data/NDT%20Adults%20in%20rx%2018+%20PB%20Protected%20Drugs%20March%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ccandpcc-my.sharepoint.com/personal/alice_middleton_cambridgeshire_gov_uk/Documents/Documents/2024-25/PH%20ST2/CCC/DA%20NA/Data/NDT%20Cont%20Care%20PB%20Summ%20LOF.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Unmet treatment need for alcohol by age group. Peterborough year ending March 2024 (NDTMS)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'ETOH unmet'!$A$21</c:f>
              <c:strCache>
                <c:ptCount val="1"/>
                <c:pt idx="0">
                  <c:v>England</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'ETOH unmet'!$B$20:$E$20</c:f>
              <c:strCache>
                <c:ptCount val="4"/>
                <c:pt idx="0">
                  <c:v>18-24</c:v>
                </c:pt>
                <c:pt idx="1">
                  <c:v>25-34</c:v>
                </c:pt>
                <c:pt idx="2">
                  <c:v>35-54</c:v>
                </c:pt>
                <c:pt idx="3">
                  <c:v>55+</c:v>
                </c:pt>
              </c:strCache>
            </c:strRef>
          </c:cat>
          <c:val>
            <c:numRef>
              <c:f>'ETOH unmet'!$B$21:$E$21</c:f>
              <c:numCache>
                <c:formatCode>0%;\-0%;0%</c:formatCode>
                <c:ptCount val="4"/>
                <c:pt idx="0">
                  <c:v>0.90486803253651305</c:v>
                </c:pt>
                <c:pt idx="1">
                  <c:v>0.82679653903942796</c:v>
                </c:pt>
                <c:pt idx="2">
                  <c:v>0.73853503532867104</c:v>
                </c:pt>
                <c:pt idx="3">
                  <c:v>0.69163551043231297</c:v>
                </c:pt>
              </c:numCache>
            </c:numRef>
          </c:val>
          <c:extLst>
            <c:ext xmlns:c16="http://schemas.microsoft.com/office/drawing/2014/chart" uri="{C3380CC4-5D6E-409C-BE32-E72D297353CC}">
              <c16:uniqueId val="{00000000-3DF7-479B-895D-B4B6271FDB86}"/>
            </c:ext>
          </c:extLst>
        </c:ser>
        <c:ser>
          <c:idx val="1"/>
          <c:order val="1"/>
          <c:tx>
            <c:strRef>
              <c:f>'ETOH unmet'!$A$22</c:f>
              <c:strCache>
                <c:ptCount val="1"/>
                <c:pt idx="0">
                  <c:v>Peterborough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'ETOH unmet'!$B$20:$E$20</c:f>
              <c:strCache>
                <c:ptCount val="4"/>
                <c:pt idx="0">
                  <c:v>18-24</c:v>
                </c:pt>
                <c:pt idx="1">
                  <c:v>25-34</c:v>
                </c:pt>
                <c:pt idx="2">
                  <c:v>35-54</c:v>
                </c:pt>
                <c:pt idx="3">
                  <c:v>55+</c:v>
                </c:pt>
              </c:strCache>
            </c:strRef>
          </c:cat>
          <c:val>
            <c:numRef>
              <c:f>'ETOH unmet'!$B$22:$E$22</c:f>
              <c:numCache>
                <c:formatCode>0%;\-0%;0%</c:formatCode>
                <c:ptCount val="4"/>
                <c:pt idx="0">
                  <c:v>0.856643356643357</c:v>
                </c:pt>
                <c:pt idx="1">
                  <c:v>0.76005961251862897</c:v>
                </c:pt>
                <c:pt idx="2">
                  <c:v>0.64579256360078297</c:v>
                </c:pt>
                <c:pt idx="3">
                  <c:v>0.625</c:v>
                </c:pt>
              </c:numCache>
            </c:numRef>
          </c:val>
          <c:extLst>
            <c:ext xmlns:c16="http://schemas.microsoft.com/office/drawing/2014/chart" uri="{C3380CC4-5D6E-409C-BE32-E72D297353CC}">
              <c16:uniqueId val="{00000001-3DF7-479B-895D-B4B6271FDB86}"/>
            </c:ext>
          </c:extLst>
        </c:ser>
        <c:dLbls>
          <c:dLblPos val="outEnd"/>
          <c:showLegendKey val="0"/>
          <c:showVal val="1"/>
          <c:showCatName val="0"/>
          <c:showSerName val="0"/>
          <c:showPercent val="0"/>
          <c:showBubbleSize val="0"/>
        </c:dLbls>
        <c:gapWidth val="219"/>
        <c:overlap val="-27"/>
        <c:axId val="1692350976"/>
        <c:axId val="1692351936"/>
      </c:barChart>
      <c:catAx>
        <c:axId val="169235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351936"/>
        <c:crosses val="autoZero"/>
        <c:auto val="1"/>
        <c:lblAlgn val="ctr"/>
        <c:lblOffset val="100"/>
        <c:noMultiLvlLbl val="0"/>
      </c:catAx>
      <c:valAx>
        <c:axId val="169235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Unmet treatment need</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235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Data completeness</a:t>
            </a:r>
            <a:r>
              <a:rPr lang="en-GB" sz="1200" baseline="0"/>
              <a:t> for p</a:t>
            </a:r>
            <a:r>
              <a:rPr lang="en-GB" sz="1200"/>
              <a:t>rotected characteristics of adults</a:t>
            </a:r>
            <a:r>
              <a:rPr lang="en-GB" sz="1200" baseline="0"/>
              <a:t> (18+) in treatment for drugs or alcohol in Peterborough, year ending March 2024</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percentStacked"/>
        <c:varyColors val="0"/>
        <c:ser>
          <c:idx val="0"/>
          <c:order val="0"/>
          <c:tx>
            <c:strRef>
              <c:f>PB!$I$2</c:f>
              <c:strCache>
                <c:ptCount val="1"/>
                <c:pt idx="0">
                  <c:v>Complete data (%)</c:v>
                </c:pt>
              </c:strCache>
            </c:strRef>
          </c:tx>
          <c:spPr>
            <a:solidFill>
              <a:srgbClr val="75C64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PB!$H$3:$H$6</c:f>
              <c:strCache>
                <c:ptCount val="4"/>
                <c:pt idx="0">
                  <c:v>Sexual orientation</c:v>
                </c:pt>
                <c:pt idx="1">
                  <c:v>Religion</c:v>
                </c:pt>
                <c:pt idx="2">
                  <c:v>Ethnicity</c:v>
                </c:pt>
                <c:pt idx="3">
                  <c:v>Disability</c:v>
                </c:pt>
              </c:strCache>
            </c:strRef>
          </c:cat>
          <c:val>
            <c:numRef>
              <c:f>PB!$I$3:$I$6</c:f>
              <c:numCache>
                <c:formatCode>0.0%</c:formatCode>
                <c:ptCount val="4"/>
                <c:pt idx="0">
                  <c:v>0.76339522546419103</c:v>
                </c:pt>
                <c:pt idx="1">
                  <c:v>0.77665782493368696</c:v>
                </c:pt>
                <c:pt idx="2">
                  <c:v>0.97994269340974216</c:v>
                </c:pt>
                <c:pt idx="3">
                  <c:v>0.96765498652291104</c:v>
                </c:pt>
              </c:numCache>
            </c:numRef>
          </c:val>
          <c:extLst>
            <c:ext xmlns:c16="http://schemas.microsoft.com/office/drawing/2014/chart" uri="{C3380CC4-5D6E-409C-BE32-E72D297353CC}">
              <c16:uniqueId val="{00000000-1953-461D-BEBA-F0E4BC3082A1}"/>
            </c:ext>
          </c:extLst>
        </c:ser>
        <c:ser>
          <c:idx val="1"/>
          <c:order val="1"/>
          <c:tx>
            <c:strRef>
              <c:f>PB!$J$2</c:f>
              <c:strCache>
                <c:ptCount val="1"/>
                <c:pt idx="0">
                  <c:v>Missing or inconsistent data (%)</c:v>
                </c:pt>
              </c:strCache>
            </c:strRef>
          </c:tx>
          <c:spPr>
            <a:solidFill>
              <a:srgbClr val="EC1F29"/>
            </a:solidFill>
            <a:ln>
              <a:noFill/>
            </a:ln>
            <a:effectLst/>
          </c:spPr>
          <c:invertIfNegative val="0"/>
          <c:dLbls>
            <c:dLbl>
              <c:idx val="2"/>
              <c:layout>
                <c:manualLayout>
                  <c:x val="0"/>
                  <c:y val="-1.82857077036822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53-461D-BEBA-F0E4BC3082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PB!$H$3:$H$6</c:f>
              <c:strCache>
                <c:ptCount val="4"/>
                <c:pt idx="0">
                  <c:v>Sexual orientation</c:v>
                </c:pt>
                <c:pt idx="1">
                  <c:v>Religion</c:v>
                </c:pt>
                <c:pt idx="2">
                  <c:v>Ethnicity</c:v>
                </c:pt>
                <c:pt idx="3">
                  <c:v>Disability</c:v>
                </c:pt>
              </c:strCache>
            </c:strRef>
          </c:cat>
          <c:val>
            <c:numRef>
              <c:f>PB!$J$3:$J$6</c:f>
              <c:numCache>
                <c:formatCode>0.0%</c:formatCode>
                <c:ptCount val="4"/>
                <c:pt idx="0">
                  <c:v>0.23660477453580897</c:v>
                </c:pt>
                <c:pt idx="1">
                  <c:v>0.22334217506631304</c:v>
                </c:pt>
                <c:pt idx="2">
                  <c:v>2.005730659025784E-2</c:v>
                </c:pt>
                <c:pt idx="3">
                  <c:v>3.2345013477088957E-2</c:v>
                </c:pt>
              </c:numCache>
            </c:numRef>
          </c:val>
          <c:extLst>
            <c:ext xmlns:c16="http://schemas.microsoft.com/office/drawing/2014/chart" uri="{C3380CC4-5D6E-409C-BE32-E72D297353CC}">
              <c16:uniqueId val="{00000002-1953-461D-BEBA-F0E4BC3082A1}"/>
            </c:ext>
          </c:extLst>
        </c:ser>
        <c:dLbls>
          <c:dLblPos val="ctr"/>
          <c:showLegendKey val="0"/>
          <c:showVal val="1"/>
          <c:showCatName val="0"/>
          <c:showSerName val="0"/>
          <c:showPercent val="0"/>
          <c:showBubbleSize val="0"/>
        </c:dLbls>
        <c:gapWidth val="150"/>
        <c:overlap val="100"/>
        <c:axId val="1446021440"/>
        <c:axId val="1446020000"/>
      </c:barChart>
      <c:catAx>
        <c:axId val="144602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Characteristic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020000"/>
        <c:crosses val="autoZero"/>
        <c:auto val="1"/>
        <c:lblAlgn val="ctr"/>
        <c:lblOffset val="100"/>
        <c:noMultiLvlLbl val="0"/>
      </c:catAx>
      <c:valAx>
        <c:axId val="144602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0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u="none" strike="noStrike" kern="1200" spc="0" baseline="0">
                <a:solidFill>
                  <a:sysClr val="windowText" lastClr="000000">
                    <a:lumMod val="65000"/>
                    <a:lumOff val="35000"/>
                  </a:sysClr>
                </a:solidFill>
              </a:rPr>
              <a:t>Engagement of Prison Leavers in Community Treatment. Years ending March 2022–2024 in Peterborough: Pickups, Non-Engagement, and Proportion Engaged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'[NDT Cont Care PB Summ LOF.xlsx]Sheet4'!$B$1</c:f>
              <c:strCache>
                <c:ptCount val="1"/>
                <c:pt idx="0">
                  <c:v>Pickups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 Cont Care PB Summ LOF.xlsx]Sheet4'!$A$4:$A$6</c:f>
              <c:strCache>
                <c:ptCount val="3"/>
                <c:pt idx="0">
                  <c:v>2022</c:v>
                </c:pt>
                <c:pt idx="1">
                  <c:v>2023</c:v>
                </c:pt>
                <c:pt idx="2">
                  <c:v>2024</c:v>
                </c:pt>
              </c:strCache>
            </c:strRef>
          </c:cat>
          <c:val>
            <c:numRef>
              <c:f>'[NDT Cont Care PB Summ LOF.xlsx]Sheet4'!$B$4:$B$6</c:f>
              <c:numCache>
                <c:formatCode>General</c:formatCode>
                <c:ptCount val="3"/>
                <c:pt idx="0">
                  <c:v>77</c:v>
                </c:pt>
                <c:pt idx="1">
                  <c:v>75</c:v>
                </c:pt>
                <c:pt idx="2">
                  <c:v>115</c:v>
                </c:pt>
              </c:numCache>
            </c:numRef>
          </c:val>
          <c:extLst>
            <c:ext xmlns:c16="http://schemas.microsoft.com/office/drawing/2014/chart" uri="{C3380CC4-5D6E-409C-BE32-E72D297353CC}">
              <c16:uniqueId val="{00000000-4FF0-4893-A33D-87E667B70CD8}"/>
            </c:ext>
          </c:extLst>
        </c:ser>
        <c:ser>
          <c:idx val="2"/>
          <c:order val="2"/>
          <c:tx>
            <c:strRef>
              <c:f>'[NDT Cont Care PB Summ LOF.xlsx]Sheet4'!$D$1</c:f>
              <c:strCache>
                <c:ptCount val="1"/>
                <c:pt idx="0">
                  <c:v>Non-engagement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 Cont Care PB Summ LOF.xlsx]Sheet4'!$A$4:$A$6</c:f>
              <c:strCache>
                <c:ptCount val="3"/>
                <c:pt idx="0">
                  <c:v>2022</c:v>
                </c:pt>
                <c:pt idx="1">
                  <c:v>2023</c:v>
                </c:pt>
                <c:pt idx="2">
                  <c:v>2024</c:v>
                </c:pt>
              </c:strCache>
            </c:strRef>
          </c:cat>
          <c:val>
            <c:numRef>
              <c:f>'[NDT Cont Care PB Summ LOF.xlsx]Sheet4'!$D$4:$D$6</c:f>
              <c:numCache>
                <c:formatCode>General</c:formatCode>
                <c:ptCount val="3"/>
                <c:pt idx="0">
                  <c:v>60</c:v>
                </c:pt>
                <c:pt idx="1">
                  <c:v>95</c:v>
                </c:pt>
                <c:pt idx="2">
                  <c:v>139</c:v>
                </c:pt>
              </c:numCache>
            </c:numRef>
          </c:val>
          <c:extLst>
            <c:ext xmlns:c16="http://schemas.microsoft.com/office/drawing/2014/chart" uri="{C3380CC4-5D6E-409C-BE32-E72D297353CC}">
              <c16:uniqueId val="{00000001-4FF0-4893-A33D-87E667B70CD8}"/>
            </c:ext>
          </c:extLst>
        </c:ser>
        <c:dLbls>
          <c:showLegendKey val="0"/>
          <c:showVal val="1"/>
          <c:showCatName val="0"/>
          <c:showSerName val="0"/>
          <c:showPercent val="0"/>
          <c:showBubbleSize val="0"/>
        </c:dLbls>
        <c:gapWidth val="219"/>
        <c:overlap val="100"/>
        <c:axId val="768045087"/>
        <c:axId val="768045567"/>
        <c:extLst>
          <c:ext xmlns:c15="http://schemas.microsoft.com/office/drawing/2012/chart" uri="{02D57815-91ED-43cb-92C2-25804820EDAC}">
            <c15:filteredBarSeries>
              <c15:ser>
                <c:idx val="1"/>
                <c:order val="1"/>
                <c:tx>
                  <c:strRef>
                    <c:extLst>
                      <c:ext uri="{02D57815-91ED-43cb-92C2-25804820EDAC}">
                        <c15:formulaRef>
                          <c15:sqref>'[NDT Cont Care PB Summ LOF.xlsx]Sheet4'!$C$1</c15:sqref>
                        </c15:formulaRef>
                      </c:ext>
                    </c:extLst>
                    <c:strCache>
                      <c:ptCount val="1"/>
                      <c:pt idx="0">
                        <c:v>Referrals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'[NDT Cont Care PB Summ LOF.xlsx]Sheet4'!$A$4:$A$6</c15:sqref>
                        </c15:formulaRef>
                      </c:ext>
                    </c:extLst>
                    <c:strCache>
                      <c:ptCount val="3"/>
                      <c:pt idx="0">
                        <c:v>2022</c:v>
                      </c:pt>
                      <c:pt idx="1">
                        <c:v>2023</c:v>
                      </c:pt>
                      <c:pt idx="2">
                        <c:v>2024</c:v>
                      </c:pt>
                    </c:strCache>
                  </c:strRef>
                </c:cat>
                <c:val>
                  <c:numRef>
                    <c:extLst>
                      <c:ext uri="{02D57815-91ED-43cb-92C2-25804820EDAC}">
                        <c15:formulaRef>
                          <c15:sqref>'[NDT Cont Care PB Summ LOF.xlsx]Sheet4'!$C$4:$C$6</c15:sqref>
                        </c15:formulaRef>
                      </c:ext>
                    </c:extLst>
                    <c:numCache>
                      <c:formatCode>General</c:formatCode>
                      <c:ptCount val="3"/>
                      <c:pt idx="0">
                        <c:v>137</c:v>
                      </c:pt>
                      <c:pt idx="1">
                        <c:v>170</c:v>
                      </c:pt>
                      <c:pt idx="2">
                        <c:v>254</c:v>
                      </c:pt>
                    </c:numCache>
                  </c:numRef>
                </c:val>
                <c:extLst>
                  <c:ext xmlns:c16="http://schemas.microsoft.com/office/drawing/2014/chart" uri="{C3380CC4-5D6E-409C-BE32-E72D297353CC}">
                    <c16:uniqueId val="{0000000A-4FF0-4893-A33D-87E667B70CD8}"/>
                  </c:ext>
                </c:extLst>
              </c15:ser>
            </c15:filteredBarSeries>
          </c:ext>
        </c:extLst>
      </c:barChart>
      <c:lineChart>
        <c:grouping val="standard"/>
        <c:varyColors val="0"/>
        <c:ser>
          <c:idx val="3"/>
          <c:order val="3"/>
          <c:tx>
            <c:strRef>
              <c:f>'[NDT Cont Care PB Summ LOF.xlsx]Sheet4'!$E$1</c:f>
              <c:strCache>
                <c:ptCount val="1"/>
                <c:pt idx="0">
                  <c:v>Engagement rate- Peterborough</c:v>
                </c:pt>
              </c:strCache>
            </c:strRef>
          </c:tx>
          <c:spPr>
            <a:ln w="28575" cap="rnd">
              <a:solidFill>
                <a:schemeClr val="accent6">
                  <a:lumMod val="60000"/>
                  <a:lumOff val="40000"/>
                </a:schemeClr>
              </a:solidFill>
              <a:round/>
            </a:ln>
            <a:effectLst/>
          </c:spPr>
          <c:marker>
            <c:symbol val="none"/>
          </c:marker>
          <c:dLbls>
            <c:dLbl>
              <c:idx val="0"/>
              <c:layout>
                <c:manualLayout>
                  <c:x val="-2.0202020202020204E-2"/>
                  <c:y val="-1.845443389570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F0-4893-A33D-87E667B70CD8}"/>
                </c:ext>
              </c:extLst>
            </c:dLbl>
            <c:dLbl>
              <c:idx val="1"/>
              <c:layout>
                <c:manualLayout>
                  <c:x val="-3.2323232323232323E-2"/>
                  <c:y val="-4.3060345756654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F0-4893-A33D-87E667B70CD8}"/>
                </c:ext>
              </c:extLst>
            </c:dLbl>
            <c:dLbl>
              <c:idx val="2"/>
              <c:layout>
                <c:manualLayout>
                  <c:x val="-1.48146436747869E-16"/>
                  <c:y val="-3.075738982618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F0-4893-A33D-87E667B70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 Cont Care PB Summ LOF.xlsx]Sheet4'!$A$4:$A$6</c:f>
              <c:strCache>
                <c:ptCount val="3"/>
                <c:pt idx="0">
                  <c:v>2022</c:v>
                </c:pt>
                <c:pt idx="1">
                  <c:v>2023</c:v>
                </c:pt>
                <c:pt idx="2">
                  <c:v>2024</c:v>
                </c:pt>
              </c:strCache>
            </c:strRef>
          </c:cat>
          <c:val>
            <c:numRef>
              <c:f>'[NDT Cont Care PB Summ LOF.xlsx]Sheet4'!$E$4:$E$6</c:f>
              <c:numCache>
                <c:formatCode>0.0%</c:formatCode>
                <c:ptCount val="3"/>
                <c:pt idx="0">
                  <c:v>0.56204379562043794</c:v>
                </c:pt>
                <c:pt idx="1">
                  <c:v>0.44117647058823528</c:v>
                </c:pt>
                <c:pt idx="2">
                  <c:v>0.452755905511811</c:v>
                </c:pt>
              </c:numCache>
            </c:numRef>
          </c:val>
          <c:smooth val="0"/>
          <c:extLst>
            <c:ext xmlns:c16="http://schemas.microsoft.com/office/drawing/2014/chart" uri="{C3380CC4-5D6E-409C-BE32-E72D297353CC}">
              <c16:uniqueId val="{00000005-4FF0-4893-A33D-87E667B70CD8}"/>
            </c:ext>
          </c:extLst>
        </c:ser>
        <c:ser>
          <c:idx val="4"/>
          <c:order val="4"/>
          <c:tx>
            <c:strRef>
              <c:f>'[NDT Cont Care PB Summ LOF.xlsx]Sheet4'!$F$1</c:f>
              <c:strCache>
                <c:ptCount val="1"/>
                <c:pt idx="0">
                  <c:v>Engagement rate- England</c:v>
                </c:pt>
              </c:strCache>
            </c:strRef>
          </c:tx>
          <c:spPr>
            <a:ln w="22225" cap="rnd">
              <a:solidFill>
                <a:schemeClr val="tx1"/>
              </a:solidFill>
              <a:round/>
            </a:ln>
            <a:effectLst/>
          </c:spPr>
          <c:marker>
            <c:symbol val="none"/>
          </c:marker>
          <c:dLbls>
            <c:dLbl>
              <c:idx val="0"/>
              <c:layout>
                <c:manualLayout>
                  <c:x val="-4.4444444444444446E-2"/>
                  <c:y val="3.6908867791418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F0-4893-A33D-87E667B70CD8}"/>
                </c:ext>
              </c:extLst>
            </c:dLbl>
            <c:dLbl>
              <c:idx val="1"/>
              <c:layout>
                <c:manualLayout>
                  <c:x val="-2.6262626262626262E-2"/>
                  <c:y val="3.6908867791418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F0-4893-A33D-87E667B70CD8}"/>
                </c:ext>
              </c:extLst>
            </c:dLbl>
            <c:dLbl>
              <c:idx val="2"/>
              <c:layout>
                <c:manualLayout>
                  <c:x val="-4.2424242424242427E-2"/>
                  <c:y val="-4.613608473927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F0-4893-A33D-87E667B70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 Cont Care PB Summ LOF.xlsx]Sheet4'!$A$4:$A$6</c:f>
              <c:strCache>
                <c:ptCount val="3"/>
                <c:pt idx="0">
                  <c:v>2022</c:v>
                </c:pt>
                <c:pt idx="1">
                  <c:v>2023</c:v>
                </c:pt>
                <c:pt idx="2">
                  <c:v>2024</c:v>
                </c:pt>
              </c:strCache>
            </c:strRef>
          </c:cat>
          <c:val>
            <c:numRef>
              <c:f>'[NDT Cont Care PB Summ LOF.xlsx]Sheet4'!$F$4:$F$6</c:f>
              <c:numCache>
                <c:formatCode>0.00%</c:formatCode>
                <c:ptCount val="3"/>
                <c:pt idx="0">
                  <c:v>0.373</c:v>
                </c:pt>
                <c:pt idx="1">
                  <c:v>0.41099999999999998</c:v>
                </c:pt>
                <c:pt idx="2">
                  <c:v>0.503</c:v>
                </c:pt>
              </c:numCache>
            </c:numRef>
          </c:val>
          <c:smooth val="0"/>
          <c:extLst>
            <c:ext xmlns:c16="http://schemas.microsoft.com/office/drawing/2014/chart" uri="{C3380CC4-5D6E-409C-BE32-E72D297353CC}">
              <c16:uniqueId val="{00000009-4FF0-4893-A33D-87E667B70CD8}"/>
            </c:ext>
          </c:extLst>
        </c:ser>
        <c:dLbls>
          <c:showLegendKey val="0"/>
          <c:showVal val="1"/>
          <c:showCatName val="0"/>
          <c:showSerName val="0"/>
          <c:showPercent val="0"/>
          <c:showBubbleSize val="0"/>
        </c:dLbls>
        <c:marker val="1"/>
        <c:smooth val="0"/>
        <c:axId val="234046671"/>
        <c:axId val="234046191"/>
      </c:lineChart>
      <c:catAx>
        <c:axId val="7680450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45567"/>
        <c:crosses val="autoZero"/>
        <c:auto val="1"/>
        <c:lblAlgn val="ctr"/>
        <c:lblOffset val="100"/>
        <c:noMultiLvlLbl val="0"/>
      </c:catAx>
      <c:valAx>
        <c:axId val="768045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prison</a:t>
                </a:r>
                <a:r>
                  <a:rPr lang="en-GB" baseline="0"/>
                  <a:t> leavers (Peterboroguh)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045087"/>
        <c:crosses val="autoZero"/>
        <c:crossBetween val="between"/>
      </c:valAx>
      <c:valAx>
        <c:axId val="23404619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engaged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046671"/>
        <c:crosses val="max"/>
        <c:crossBetween val="between"/>
      </c:valAx>
      <c:catAx>
        <c:axId val="234046671"/>
        <c:scaling>
          <c:orientation val="minMax"/>
        </c:scaling>
        <c:delete val="1"/>
        <c:axPos val="b"/>
        <c:numFmt formatCode="General" sourceLinked="1"/>
        <c:majorTickMark val="none"/>
        <c:minorTickMark val="none"/>
        <c:tickLblPos val="nextTo"/>
        <c:crossAx val="2340461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A0B974-955B-4EA9-99EF-1FB5A3AA5AFF}"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420BF052-A1FA-4015-8D3C-BA52F986245F}">
      <dgm:prSet phldrT="[Text]" custT="1"/>
      <dgm:spPr>
        <a:solidFill>
          <a:schemeClr val="accent6">
            <a:lumMod val="20000"/>
            <a:lumOff val="80000"/>
          </a:schemeClr>
        </a:solidFill>
      </dgm:spPr>
      <dgm:t>
        <a:bodyPr/>
        <a:lstStyle/>
        <a:p>
          <a:r>
            <a:rPr lang="en-GB" sz="1000" b="1">
              <a:solidFill>
                <a:schemeClr val="tx1"/>
              </a:solidFill>
            </a:rPr>
            <a:t>Individual</a:t>
          </a:r>
        </a:p>
      </dgm:t>
    </dgm:pt>
    <dgm:pt modelId="{D41F433C-CCFB-4191-84D5-0FEBA43B8ED3}" type="parTrans" cxnId="{D25C630F-D3E7-45C5-BFEE-6B1FE5BAA51F}">
      <dgm:prSet/>
      <dgm:spPr/>
      <dgm:t>
        <a:bodyPr/>
        <a:lstStyle/>
        <a:p>
          <a:endParaRPr lang="en-GB"/>
        </a:p>
      </dgm:t>
    </dgm:pt>
    <dgm:pt modelId="{1C12D477-47A1-4167-95DD-C60648DCAC34}" type="sibTrans" cxnId="{D25C630F-D3E7-45C5-BFEE-6B1FE5BAA51F}">
      <dgm:prSet/>
      <dgm:spPr/>
      <dgm:t>
        <a:bodyPr/>
        <a:lstStyle/>
        <a:p>
          <a:endParaRPr lang="en-GB"/>
        </a:p>
      </dgm:t>
    </dgm:pt>
    <dgm:pt modelId="{E908AEED-F9A7-4F71-B052-FB206B688075}">
      <dgm:prSet phldrT="[Text]" custT="1"/>
      <dgm:spPr>
        <a:solidFill>
          <a:schemeClr val="accent6">
            <a:lumMod val="20000"/>
            <a:lumOff val="80000"/>
          </a:schemeClr>
        </a:solidFill>
      </dgm:spPr>
      <dgm:t>
        <a:bodyPr/>
        <a:lstStyle/>
        <a:p>
          <a:r>
            <a:rPr lang="en-GB" sz="1000" b="1">
              <a:solidFill>
                <a:schemeClr val="tx1"/>
              </a:solidFill>
            </a:rPr>
            <a:t>More flexibility to meet service users  at their starting point</a:t>
          </a:r>
        </a:p>
      </dgm:t>
    </dgm:pt>
    <dgm:pt modelId="{BA049F20-384C-4A2C-9FB8-984A33B9C12D}" type="parTrans" cxnId="{D213E857-2BF3-40AB-A619-64492D0FA6B7}">
      <dgm:prSet/>
      <dgm:spPr/>
      <dgm:t>
        <a:bodyPr/>
        <a:lstStyle/>
        <a:p>
          <a:endParaRPr lang="en-GB"/>
        </a:p>
      </dgm:t>
    </dgm:pt>
    <dgm:pt modelId="{2ECDFE8A-8B16-4AEB-8BCE-33D4A519BEE9}" type="sibTrans" cxnId="{D213E857-2BF3-40AB-A619-64492D0FA6B7}">
      <dgm:prSet/>
      <dgm:spPr/>
      <dgm:t>
        <a:bodyPr/>
        <a:lstStyle/>
        <a:p>
          <a:endParaRPr lang="en-GB"/>
        </a:p>
      </dgm:t>
    </dgm:pt>
    <dgm:pt modelId="{1D013F14-61AF-4CF3-955D-71BC1E4D1611}">
      <dgm:prSet phldrT="[Text]" custT="1"/>
      <dgm:spPr>
        <a:solidFill>
          <a:schemeClr val="accent6">
            <a:lumMod val="20000"/>
            <a:lumOff val="80000"/>
          </a:schemeClr>
        </a:solidFill>
      </dgm:spPr>
      <dgm:t>
        <a:bodyPr/>
        <a:lstStyle/>
        <a:p>
          <a:r>
            <a:rPr lang="en-GB" sz="1000" b="1">
              <a:solidFill>
                <a:schemeClr val="tx1"/>
              </a:solidFill>
            </a:rPr>
            <a:t>Holistic offer that focuses on wider  skills</a:t>
          </a:r>
        </a:p>
      </dgm:t>
    </dgm:pt>
    <dgm:pt modelId="{44FAB335-6878-4E9A-82E2-A119E4969F47}" type="parTrans" cxnId="{4073FE3C-3926-46A3-A3B4-BA43F1349F7D}">
      <dgm:prSet/>
      <dgm:spPr/>
      <dgm:t>
        <a:bodyPr/>
        <a:lstStyle/>
        <a:p>
          <a:endParaRPr lang="en-GB"/>
        </a:p>
      </dgm:t>
    </dgm:pt>
    <dgm:pt modelId="{B4AB9962-19B8-4A92-865E-A5E2CCFDFC0E}" type="sibTrans" cxnId="{4073FE3C-3926-46A3-A3B4-BA43F1349F7D}">
      <dgm:prSet/>
      <dgm:spPr/>
      <dgm:t>
        <a:bodyPr/>
        <a:lstStyle/>
        <a:p>
          <a:endParaRPr lang="en-GB"/>
        </a:p>
      </dgm:t>
    </dgm:pt>
    <dgm:pt modelId="{BC7612C4-BDDA-4C04-A06E-7370F0D6221C}">
      <dgm:prSet phldrT="[Text]" custT="1"/>
      <dgm:spPr>
        <a:solidFill>
          <a:schemeClr val="accent6">
            <a:lumMod val="20000"/>
            <a:lumOff val="80000"/>
          </a:schemeClr>
        </a:solidFill>
      </dgm:spPr>
      <dgm:t>
        <a:bodyPr/>
        <a:lstStyle/>
        <a:p>
          <a:r>
            <a:rPr lang="en-GB" sz="1000" b="1">
              <a:solidFill>
                <a:schemeClr val="tx1"/>
              </a:solidFill>
            </a:rPr>
            <a:t>Trusted person approach , reduce re-telling thier stories</a:t>
          </a:r>
        </a:p>
      </dgm:t>
    </dgm:pt>
    <dgm:pt modelId="{D0206C9C-8FCD-47FA-92ED-4068DBA02947}" type="parTrans" cxnId="{2DB36011-2507-461A-9EDE-680017E71DE3}">
      <dgm:prSet/>
      <dgm:spPr/>
      <dgm:t>
        <a:bodyPr/>
        <a:lstStyle/>
        <a:p>
          <a:endParaRPr lang="en-GB"/>
        </a:p>
      </dgm:t>
    </dgm:pt>
    <dgm:pt modelId="{7F3A87B7-E8E1-4F17-B808-2E8AFEA5E097}" type="sibTrans" cxnId="{2DB36011-2507-461A-9EDE-680017E71DE3}">
      <dgm:prSet/>
      <dgm:spPr/>
      <dgm:t>
        <a:bodyPr/>
        <a:lstStyle/>
        <a:p>
          <a:endParaRPr lang="en-GB"/>
        </a:p>
      </dgm:t>
    </dgm:pt>
    <dgm:pt modelId="{9CF0B2A3-99A2-498D-88D8-56C5F0144D57}">
      <dgm:prSet phldrT="[Text]" custT="1"/>
      <dgm:spPr>
        <a:solidFill>
          <a:schemeClr val="accent6">
            <a:lumMod val="20000"/>
            <a:lumOff val="80000"/>
          </a:schemeClr>
        </a:solidFill>
      </dgm:spPr>
      <dgm:t>
        <a:bodyPr/>
        <a:lstStyle/>
        <a:p>
          <a:r>
            <a:rPr lang="en-GB" sz="1000" b="1">
              <a:solidFill>
                <a:schemeClr val="tx1"/>
              </a:solidFill>
            </a:rPr>
            <a:t>Address</a:t>
          </a:r>
          <a:r>
            <a:rPr lang="en-GB" sz="1000" b="1" baseline="0">
              <a:solidFill>
                <a:schemeClr val="tx1"/>
              </a:solidFill>
            </a:rPr>
            <a:t> stigma throughout services and impact on service users</a:t>
          </a:r>
          <a:endParaRPr lang="en-GB" sz="1000" b="1">
            <a:solidFill>
              <a:schemeClr val="tx1"/>
            </a:solidFill>
          </a:endParaRPr>
        </a:p>
      </dgm:t>
    </dgm:pt>
    <dgm:pt modelId="{0C708A65-9BBC-4A12-8D2C-59C878B84FD2}" type="parTrans" cxnId="{AA8232B4-3244-4410-8DF1-0FB74EFC5FE7}">
      <dgm:prSet/>
      <dgm:spPr/>
      <dgm:t>
        <a:bodyPr/>
        <a:lstStyle/>
        <a:p>
          <a:endParaRPr lang="en-GB"/>
        </a:p>
      </dgm:t>
    </dgm:pt>
    <dgm:pt modelId="{8D233078-DE2E-403B-86E0-486DBDC03C26}" type="sibTrans" cxnId="{AA8232B4-3244-4410-8DF1-0FB74EFC5FE7}">
      <dgm:prSet/>
      <dgm:spPr/>
      <dgm:t>
        <a:bodyPr/>
        <a:lstStyle/>
        <a:p>
          <a:endParaRPr lang="en-GB"/>
        </a:p>
      </dgm:t>
    </dgm:pt>
    <dgm:pt modelId="{CE7C2230-B5FA-4A19-B9B4-64150CCE6D3F}">
      <dgm:prSet phldrT="[Text]" custT="1"/>
      <dgm:spPr>
        <a:solidFill>
          <a:schemeClr val="accent6">
            <a:lumMod val="20000"/>
            <a:lumOff val="80000"/>
          </a:schemeClr>
        </a:solidFill>
      </dgm:spPr>
      <dgm:t>
        <a:bodyPr/>
        <a:lstStyle/>
        <a:p>
          <a:r>
            <a:rPr lang="en-GB" sz="1000" b="1">
              <a:solidFill>
                <a:schemeClr val="tx1"/>
              </a:solidFill>
            </a:rPr>
            <a:t>Lived experience, peer support and co-production needs to be embedded</a:t>
          </a:r>
        </a:p>
      </dgm:t>
    </dgm:pt>
    <dgm:pt modelId="{FA832829-06DC-4977-8792-68FA0FB1C5BE}" type="parTrans" cxnId="{C976EF0E-B13E-404F-A4AB-6F91335D04B5}">
      <dgm:prSet/>
      <dgm:spPr/>
      <dgm:t>
        <a:bodyPr/>
        <a:lstStyle/>
        <a:p>
          <a:endParaRPr lang="en-GB"/>
        </a:p>
      </dgm:t>
    </dgm:pt>
    <dgm:pt modelId="{AD242D17-42CA-474E-92DA-1AE18BA02D78}" type="sibTrans" cxnId="{C976EF0E-B13E-404F-A4AB-6F91335D04B5}">
      <dgm:prSet/>
      <dgm:spPr/>
      <dgm:t>
        <a:bodyPr/>
        <a:lstStyle/>
        <a:p>
          <a:endParaRPr lang="en-GB"/>
        </a:p>
      </dgm:t>
    </dgm:pt>
    <dgm:pt modelId="{7AEF9EF4-3B60-4EB0-A61D-F74A270BE495}" type="pres">
      <dgm:prSet presAssocID="{41A0B974-955B-4EA9-99EF-1FB5A3AA5AFF}" presName="Name0" presStyleCnt="0">
        <dgm:presLayoutVars>
          <dgm:chMax val="1"/>
          <dgm:chPref val="1"/>
          <dgm:dir/>
          <dgm:animOne val="branch"/>
          <dgm:animLvl val="lvl"/>
        </dgm:presLayoutVars>
      </dgm:prSet>
      <dgm:spPr/>
    </dgm:pt>
    <dgm:pt modelId="{D97B134C-04F7-44D6-BC3B-FA8AB6B07F39}" type="pres">
      <dgm:prSet presAssocID="{420BF052-A1FA-4015-8D3C-BA52F986245F}" presName="Parent" presStyleLbl="node0" presStyleIdx="0" presStyleCnt="1" custLinFactNeighborX="3387" custLinFactNeighborY="-1118">
        <dgm:presLayoutVars>
          <dgm:chMax val="6"/>
          <dgm:chPref val="6"/>
        </dgm:presLayoutVars>
      </dgm:prSet>
      <dgm:spPr/>
    </dgm:pt>
    <dgm:pt modelId="{D3A6C5FE-910D-42BB-81CF-13E48C6D2453}" type="pres">
      <dgm:prSet presAssocID="{E908AEED-F9A7-4F71-B052-FB206B688075}" presName="Accent1" presStyleCnt="0"/>
      <dgm:spPr/>
    </dgm:pt>
    <dgm:pt modelId="{B0C036F2-14E5-42E1-B304-DD7EA0533E3C}" type="pres">
      <dgm:prSet presAssocID="{E908AEED-F9A7-4F71-B052-FB206B688075}" presName="Accent" presStyleLbl="bgShp" presStyleIdx="0" presStyleCnt="5"/>
      <dgm:spPr/>
    </dgm:pt>
    <dgm:pt modelId="{3E1465E3-A172-41EE-B5DE-D463E9B25DFD}" type="pres">
      <dgm:prSet presAssocID="{E908AEED-F9A7-4F71-B052-FB206B688075}" presName="Child1" presStyleLbl="node1" presStyleIdx="0" presStyleCnt="5" custLinFactNeighborX="-95819" custLinFactNeighborY="58896">
        <dgm:presLayoutVars>
          <dgm:chMax val="0"/>
          <dgm:chPref val="0"/>
          <dgm:bulletEnabled val="1"/>
        </dgm:presLayoutVars>
      </dgm:prSet>
      <dgm:spPr/>
    </dgm:pt>
    <dgm:pt modelId="{4C233354-AA72-4BD6-AD8E-A72F5F41B38E}" type="pres">
      <dgm:prSet presAssocID="{1D013F14-61AF-4CF3-955D-71BC1E4D1611}" presName="Accent2" presStyleCnt="0"/>
      <dgm:spPr/>
    </dgm:pt>
    <dgm:pt modelId="{A59CF0A4-E299-44C2-9DA4-7E665256E511}" type="pres">
      <dgm:prSet presAssocID="{1D013F14-61AF-4CF3-955D-71BC1E4D1611}" presName="Accent" presStyleLbl="bgShp" presStyleIdx="1" presStyleCnt="5" custLinFactX="-100000" custLinFactY="100000" custLinFactNeighborX="-184101" custLinFactNeighborY="133874"/>
      <dgm:spPr>
        <a:solidFill>
          <a:schemeClr val="bg2">
            <a:lumMod val="90000"/>
          </a:schemeClr>
        </a:solidFill>
      </dgm:spPr>
    </dgm:pt>
    <dgm:pt modelId="{D18CA441-97AE-4D66-9E3E-213B5676738B}" type="pres">
      <dgm:prSet presAssocID="{1D013F14-61AF-4CF3-955D-71BC1E4D1611}" presName="Child2" presStyleLbl="node1" presStyleIdx="1" presStyleCnt="5">
        <dgm:presLayoutVars>
          <dgm:chMax val="0"/>
          <dgm:chPref val="0"/>
          <dgm:bulletEnabled val="1"/>
        </dgm:presLayoutVars>
      </dgm:prSet>
      <dgm:spPr/>
    </dgm:pt>
    <dgm:pt modelId="{2B476409-48A6-4209-912F-7C40C40164C1}" type="pres">
      <dgm:prSet presAssocID="{BC7612C4-BDDA-4C04-A06E-7370F0D6221C}" presName="Accent3" presStyleCnt="0"/>
      <dgm:spPr/>
    </dgm:pt>
    <dgm:pt modelId="{D43E39BF-22EB-4D8B-8B40-5AD8D2785304}" type="pres">
      <dgm:prSet presAssocID="{BC7612C4-BDDA-4C04-A06E-7370F0D6221C}" presName="Accent" presStyleLbl="bgShp" presStyleIdx="2" presStyleCnt="5"/>
      <dgm:spPr/>
    </dgm:pt>
    <dgm:pt modelId="{84FC1E8B-FA46-4B18-A9A5-656775503838}" type="pres">
      <dgm:prSet presAssocID="{BC7612C4-BDDA-4C04-A06E-7370F0D6221C}" presName="Child3" presStyleLbl="node1" presStyleIdx="2" presStyleCnt="5">
        <dgm:presLayoutVars>
          <dgm:chMax val="0"/>
          <dgm:chPref val="0"/>
          <dgm:bulletEnabled val="1"/>
        </dgm:presLayoutVars>
      </dgm:prSet>
      <dgm:spPr/>
    </dgm:pt>
    <dgm:pt modelId="{86DAC756-D684-4ED6-AE56-A9EA72C7A615}" type="pres">
      <dgm:prSet presAssocID="{9CF0B2A3-99A2-498D-88D8-56C5F0144D57}" presName="Accent4" presStyleCnt="0"/>
      <dgm:spPr/>
    </dgm:pt>
    <dgm:pt modelId="{50E25EF5-D39D-45C2-A774-5FA4BA7CAB90}" type="pres">
      <dgm:prSet presAssocID="{9CF0B2A3-99A2-498D-88D8-56C5F0144D57}" presName="Accent" presStyleLbl="bgShp" presStyleIdx="3" presStyleCnt="5"/>
      <dgm:spPr/>
    </dgm:pt>
    <dgm:pt modelId="{6A6F0961-DEF5-4240-9EB0-1F2300E04DE3}" type="pres">
      <dgm:prSet presAssocID="{9CF0B2A3-99A2-498D-88D8-56C5F0144D57}" presName="Child4" presStyleLbl="node1" presStyleIdx="3" presStyleCnt="5">
        <dgm:presLayoutVars>
          <dgm:chMax val="0"/>
          <dgm:chPref val="0"/>
          <dgm:bulletEnabled val="1"/>
        </dgm:presLayoutVars>
      </dgm:prSet>
      <dgm:spPr/>
    </dgm:pt>
    <dgm:pt modelId="{32ED6D19-A035-4066-9852-FD163DA8410B}" type="pres">
      <dgm:prSet presAssocID="{CE7C2230-B5FA-4A19-B9B4-64150CCE6D3F}" presName="Accent5" presStyleCnt="0"/>
      <dgm:spPr/>
    </dgm:pt>
    <dgm:pt modelId="{C5E6FF68-C631-49E7-82BF-EED2104A071C}" type="pres">
      <dgm:prSet presAssocID="{CE7C2230-B5FA-4A19-B9B4-64150CCE6D3F}" presName="Accent" presStyleLbl="bgShp" presStyleIdx="4" presStyleCnt="5"/>
      <dgm:spPr/>
    </dgm:pt>
    <dgm:pt modelId="{71712413-75D6-4C99-AC68-E251A53048C9}" type="pres">
      <dgm:prSet presAssocID="{CE7C2230-B5FA-4A19-B9B4-64150CCE6D3F}" presName="Child5" presStyleLbl="node1" presStyleIdx="4" presStyleCnt="5">
        <dgm:presLayoutVars>
          <dgm:chMax val="0"/>
          <dgm:chPref val="0"/>
          <dgm:bulletEnabled val="1"/>
        </dgm:presLayoutVars>
      </dgm:prSet>
      <dgm:spPr/>
    </dgm:pt>
  </dgm:ptLst>
  <dgm:cxnLst>
    <dgm:cxn modelId="{C976EF0E-B13E-404F-A4AB-6F91335D04B5}" srcId="{420BF052-A1FA-4015-8D3C-BA52F986245F}" destId="{CE7C2230-B5FA-4A19-B9B4-64150CCE6D3F}" srcOrd="4" destOrd="0" parTransId="{FA832829-06DC-4977-8792-68FA0FB1C5BE}" sibTransId="{AD242D17-42CA-474E-92DA-1AE18BA02D78}"/>
    <dgm:cxn modelId="{D25C630F-D3E7-45C5-BFEE-6B1FE5BAA51F}" srcId="{41A0B974-955B-4EA9-99EF-1FB5A3AA5AFF}" destId="{420BF052-A1FA-4015-8D3C-BA52F986245F}" srcOrd="0" destOrd="0" parTransId="{D41F433C-CCFB-4191-84D5-0FEBA43B8ED3}" sibTransId="{1C12D477-47A1-4167-95DD-C60648DCAC34}"/>
    <dgm:cxn modelId="{2DB36011-2507-461A-9EDE-680017E71DE3}" srcId="{420BF052-A1FA-4015-8D3C-BA52F986245F}" destId="{BC7612C4-BDDA-4C04-A06E-7370F0D6221C}" srcOrd="2" destOrd="0" parTransId="{D0206C9C-8FCD-47FA-92ED-4068DBA02947}" sibTransId="{7F3A87B7-E8E1-4F17-B808-2E8AFEA5E097}"/>
    <dgm:cxn modelId="{4F1E4822-461B-4E61-8C87-AE8C67AEE5CF}" type="presOf" srcId="{E908AEED-F9A7-4F71-B052-FB206B688075}" destId="{3E1465E3-A172-41EE-B5DE-D463E9B25DFD}" srcOrd="0" destOrd="0" presId="urn:microsoft.com/office/officeart/2011/layout/HexagonRadial"/>
    <dgm:cxn modelId="{AE96863A-DBB9-44E8-AA8D-D8E87EF952BB}" type="presOf" srcId="{BC7612C4-BDDA-4C04-A06E-7370F0D6221C}" destId="{84FC1E8B-FA46-4B18-A9A5-656775503838}" srcOrd="0" destOrd="0" presId="urn:microsoft.com/office/officeart/2011/layout/HexagonRadial"/>
    <dgm:cxn modelId="{4073FE3C-3926-46A3-A3B4-BA43F1349F7D}" srcId="{420BF052-A1FA-4015-8D3C-BA52F986245F}" destId="{1D013F14-61AF-4CF3-955D-71BC1E4D1611}" srcOrd="1" destOrd="0" parTransId="{44FAB335-6878-4E9A-82E2-A119E4969F47}" sibTransId="{B4AB9962-19B8-4A92-865E-A5E2CCFDFC0E}"/>
    <dgm:cxn modelId="{D213E857-2BF3-40AB-A619-64492D0FA6B7}" srcId="{420BF052-A1FA-4015-8D3C-BA52F986245F}" destId="{E908AEED-F9A7-4F71-B052-FB206B688075}" srcOrd="0" destOrd="0" parTransId="{BA049F20-384C-4A2C-9FB8-984A33B9C12D}" sibTransId="{2ECDFE8A-8B16-4AEB-8BCE-33D4A519BEE9}"/>
    <dgm:cxn modelId="{FF9F4F7D-F37E-4C68-B026-54D1D36F54ED}" type="presOf" srcId="{41A0B974-955B-4EA9-99EF-1FB5A3AA5AFF}" destId="{7AEF9EF4-3B60-4EB0-A61D-F74A270BE495}" srcOrd="0" destOrd="0" presId="urn:microsoft.com/office/officeart/2011/layout/HexagonRadial"/>
    <dgm:cxn modelId="{3179C38E-59CE-446B-98CE-DDECE9AA1DD3}" type="presOf" srcId="{1D013F14-61AF-4CF3-955D-71BC1E4D1611}" destId="{D18CA441-97AE-4D66-9E3E-213B5676738B}" srcOrd="0" destOrd="0" presId="urn:microsoft.com/office/officeart/2011/layout/HexagonRadial"/>
    <dgm:cxn modelId="{BA3BB9A5-5112-4CFE-A52B-17AE995A6871}" type="presOf" srcId="{9CF0B2A3-99A2-498D-88D8-56C5F0144D57}" destId="{6A6F0961-DEF5-4240-9EB0-1F2300E04DE3}" srcOrd="0" destOrd="0" presId="urn:microsoft.com/office/officeart/2011/layout/HexagonRadial"/>
    <dgm:cxn modelId="{AA8232B4-3244-4410-8DF1-0FB74EFC5FE7}" srcId="{420BF052-A1FA-4015-8D3C-BA52F986245F}" destId="{9CF0B2A3-99A2-498D-88D8-56C5F0144D57}" srcOrd="3" destOrd="0" parTransId="{0C708A65-9BBC-4A12-8D2C-59C878B84FD2}" sibTransId="{8D233078-DE2E-403B-86E0-486DBDC03C26}"/>
    <dgm:cxn modelId="{E5D6E6C4-732A-4FF9-8581-ED8E9DF77948}" type="presOf" srcId="{420BF052-A1FA-4015-8D3C-BA52F986245F}" destId="{D97B134C-04F7-44D6-BC3B-FA8AB6B07F39}" srcOrd="0" destOrd="0" presId="urn:microsoft.com/office/officeart/2011/layout/HexagonRadial"/>
    <dgm:cxn modelId="{89BA90CB-7049-4C7F-8C02-68AF2A19719C}" type="presOf" srcId="{CE7C2230-B5FA-4A19-B9B4-64150CCE6D3F}" destId="{71712413-75D6-4C99-AC68-E251A53048C9}" srcOrd="0" destOrd="0" presId="urn:microsoft.com/office/officeart/2011/layout/HexagonRadial"/>
    <dgm:cxn modelId="{1F5A2D56-A8FD-45F0-A70E-46AF52E22F42}" type="presParOf" srcId="{7AEF9EF4-3B60-4EB0-A61D-F74A270BE495}" destId="{D97B134C-04F7-44D6-BC3B-FA8AB6B07F39}" srcOrd="0" destOrd="0" presId="urn:microsoft.com/office/officeart/2011/layout/HexagonRadial"/>
    <dgm:cxn modelId="{7E45A095-E4C4-4FF4-9071-29A5501AECA2}" type="presParOf" srcId="{7AEF9EF4-3B60-4EB0-A61D-F74A270BE495}" destId="{D3A6C5FE-910D-42BB-81CF-13E48C6D2453}" srcOrd="1" destOrd="0" presId="urn:microsoft.com/office/officeart/2011/layout/HexagonRadial"/>
    <dgm:cxn modelId="{275085D1-4FED-4338-9D2F-8EAC39DEE443}" type="presParOf" srcId="{D3A6C5FE-910D-42BB-81CF-13E48C6D2453}" destId="{B0C036F2-14E5-42E1-B304-DD7EA0533E3C}" srcOrd="0" destOrd="0" presId="urn:microsoft.com/office/officeart/2011/layout/HexagonRadial"/>
    <dgm:cxn modelId="{E1139938-25F7-4DEC-B6DB-388170DAA07A}" type="presParOf" srcId="{7AEF9EF4-3B60-4EB0-A61D-F74A270BE495}" destId="{3E1465E3-A172-41EE-B5DE-D463E9B25DFD}" srcOrd="2" destOrd="0" presId="urn:microsoft.com/office/officeart/2011/layout/HexagonRadial"/>
    <dgm:cxn modelId="{1320DB59-A48D-46EE-9A52-5884059226D7}" type="presParOf" srcId="{7AEF9EF4-3B60-4EB0-A61D-F74A270BE495}" destId="{4C233354-AA72-4BD6-AD8E-A72F5F41B38E}" srcOrd="3" destOrd="0" presId="urn:microsoft.com/office/officeart/2011/layout/HexagonRadial"/>
    <dgm:cxn modelId="{F2D8E09C-78E3-4A8E-B1CE-979F30337F6F}" type="presParOf" srcId="{4C233354-AA72-4BD6-AD8E-A72F5F41B38E}" destId="{A59CF0A4-E299-44C2-9DA4-7E665256E511}" srcOrd="0" destOrd="0" presId="urn:microsoft.com/office/officeart/2011/layout/HexagonRadial"/>
    <dgm:cxn modelId="{B00ABC37-EAB9-4E45-9977-1D2ED0CF0DB8}" type="presParOf" srcId="{7AEF9EF4-3B60-4EB0-A61D-F74A270BE495}" destId="{D18CA441-97AE-4D66-9E3E-213B5676738B}" srcOrd="4" destOrd="0" presId="urn:microsoft.com/office/officeart/2011/layout/HexagonRadial"/>
    <dgm:cxn modelId="{27EF3796-0071-419F-BF35-C14360F5FF0F}" type="presParOf" srcId="{7AEF9EF4-3B60-4EB0-A61D-F74A270BE495}" destId="{2B476409-48A6-4209-912F-7C40C40164C1}" srcOrd="5" destOrd="0" presId="urn:microsoft.com/office/officeart/2011/layout/HexagonRadial"/>
    <dgm:cxn modelId="{2634B510-6003-4935-85EF-F4CA7F9997BC}" type="presParOf" srcId="{2B476409-48A6-4209-912F-7C40C40164C1}" destId="{D43E39BF-22EB-4D8B-8B40-5AD8D2785304}" srcOrd="0" destOrd="0" presId="urn:microsoft.com/office/officeart/2011/layout/HexagonRadial"/>
    <dgm:cxn modelId="{7D754835-E099-451D-A85D-6038477A47AF}" type="presParOf" srcId="{7AEF9EF4-3B60-4EB0-A61D-F74A270BE495}" destId="{84FC1E8B-FA46-4B18-A9A5-656775503838}" srcOrd="6" destOrd="0" presId="urn:microsoft.com/office/officeart/2011/layout/HexagonRadial"/>
    <dgm:cxn modelId="{489C0D51-A05E-449F-99DB-55072C9A4BA7}" type="presParOf" srcId="{7AEF9EF4-3B60-4EB0-A61D-F74A270BE495}" destId="{86DAC756-D684-4ED6-AE56-A9EA72C7A615}" srcOrd="7" destOrd="0" presId="urn:microsoft.com/office/officeart/2011/layout/HexagonRadial"/>
    <dgm:cxn modelId="{E2FA7F25-9502-4D45-8D72-12E95FE08947}" type="presParOf" srcId="{86DAC756-D684-4ED6-AE56-A9EA72C7A615}" destId="{50E25EF5-D39D-45C2-A774-5FA4BA7CAB90}" srcOrd="0" destOrd="0" presId="urn:microsoft.com/office/officeart/2011/layout/HexagonRadial"/>
    <dgm:cxn modelId="{E6C8C4B4-A492-4E4C-A4B4-A7F31D0C6CA0}" type="presParOf" srcId="{7AEF9EF4-3B60-4EB0-A61D-F74A270BE495}" destId="{6A6F0961-DEF5-4240-9EB0-1F2300E04DE3}" srcOrd="8" destOrd="0" presId="urn:microsoft.com/office/officeart/2011/layout/HexagonRadial"/>
    <dgm:cxn modelId="{2AA2E3A2-80D7-49B0-A6F3-511266E8B428}" type="presParOf" srcId="{7AEF9EF4-3B60-4EB0-A61D-F74A270BE495}" destId="{32ED6D19-A035-4066-9852-FD163DA8410B}" srcOrd="9" destOrd="0" presId="urn:microsoft.com/office/officeart/2011/layout/HexagonRadial"/>
    <dgm:cxn modelId="{6FAEEB23-BC91-4D32-923F-A3644E2D00A6}" type="presParOf" srcId="{32ED6D19-A035-4066-9852-FD163DA8410B}" destId="{C5E6FF68-C631-49E7-82BF-EED2104A071C}" srcOrd="0" destOrd="0" presId="urn:microsoft.com/office/officeart/2011/layout/HexagonRadial"/>
    <dgm:cxn modelId="{6F5C57FC-82C2-402C-8D06-946944B00847}" type="presParOf" srcId="{7AEF9EF4-3B60-4EB0-A61D-F74A270BE495}" destId="{71712413-75D6-4C99-AC68-E251A53048C9}" srcOrd="10" destOrd="0" presId="urn:microsoft.com/office/officeart/2011/layout/HexagonRadial"/>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5C7831-8535-4AA3-AE3B-EFFD586B6428}"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B66A2DD5-DC81-4389-83CB-F04DEEC988C8}">
      <dgm:prSet phldrT="[Text]" custT="1"/>
      <dgm:spPr>
        <a:solidFill>
          <a:schemeClr val="accent6">
            <a:lumMod val="20000"/>
            <a:lumOff val="80000"/>
          </a:schemeClr>
        </a:solidFill>
      </dgm:spPr>
      <dgm:t>
        <a:bodyPr/>
        <a:lstStyle/>
        <a:p>
          <a:r>
            <a:rPr lang="en-GB" sz="1000" b="1" u="sng">
              <a:solidFill>
                <a:schemeClr val="tx1"/>
              </a:solidFill>
            </a:rPr>
            <a:t>Space </a:t>
          </a:r>
        </a:p>
      </dgm:t>
    </dgm:pt>
    <dgm:pt modelId="{D2F34AC1-D7E3-46FD-941C-75C16B59AE90}" type="parTrans" cxnId="{08208A15-577A-4467-94EE-421B88BF33A0}">
      <dgm:prSet/>
      <dgm:spPr/>
      <dgm:t>
        <a:bodyPr/>
        <a:lstStyle/>
        <a:p>
          <a:endParaRPr lang="en-GB" u="sng"/>
        </a:p>
      </dgm:t>
    </dgm:pt>
    <dgm:pt modelId="{8878C69B-0EB9-4B13-9D2A-F5F85E7A34DF}" type="sibTrans" cxnId="{08208A15-577A-4467-94EE-421B88BF33A0}">
      <dgm:prSet/>
      <dgm:spPr/>
      <dgm:t>
        <a:bodyPr/>
        <a:lstStyle/>
        <a:p>
          <a:endParaRPr lang="en-GB" u="sng"/>
        </a:p>
      </dgm:t>
    </dgm:pt>
    <dgm:pt modelId="{2B99CF62-30BE-47B8-9550-8BDD149A5547}">
      <dgm:prSet phldrT="[Text]" custT="1"/>
      <dgm:spPr>
        <a:solidFill>
          <a:schemeClr val="accent6">
            <a:lumMod val="20000"/>
            <a:lumOff val="80000"/>
          </a:schemeClr>
        </a:solidFill>
      </dgm:spPr>
      <dgm:t>
        <a:bodyPr/>
        <a:lstStyle/>
        <a:p>
          <a:r>
            <a:rPr lang="en-GB" sz="1000" b="1" u="sng">
              <a:solidFill>
                <a:schemeClr val="tx1"/>
              </a:solidFill>
            </a:rPr>
            <a:t>Office space needs to be fit for purpose </a:t>
          </a:r>
        </a:p>
      </dgm:t>
    </dgm:pt>
    <dgm:pt modelId="{28DEAE4A-ED07-494A-AFEA-0EBA137AF0A5}" type="parTrans" cxnId="{823F6BDA-65B1-4A14-9EFA-F250D8FBF39E}">
      <dgm:prSet/>
      <dgm:spPr/>
      <dgm:t>
        <a:bodyPr/>
        <a:lstStyle/>
        <a:p>
          <a:endParaRPr lang="en-GB" u="sng"/>
        </a:p>
      </dgm:t>
    </dgm:pt>
    <dgm:pt modelId="{9709DAAF-4A9A-4E47-A895-F374509A531B}" type="sibTrans" cxnId="{823F6BDA-65B1-4A14-9EFA-F250D8FBF39E}">
      <dgm:prSet/>
      <dgm:spPr/>
      <dgm:t>
        <a:bodyPr/>
        <a:lstStyle/>
        <a:p>
          <a:endParaRPr lang="en-GB" u="sng"/>
        </a:p>
      </dgm:t>
    </dgm:pt>
    <dgm:pt modelId="{A94223A7-5E1F-4FFE-9929-094AE9BF7BE7}">
      <dgm:prSet phldrT="[Text]" custT="1"/>
      <dgm:spPr>
        <a:solidFill>
          <a:schemeClr val="accent6">
            <a:lumMod val="20000"/>
            <a:lumOff val="80000"/>
          </a:schemeClr>
        </a:solidFill>
      </dgm:spPr>
      <dgm:t>
        <a:bodyPr/>
        <a:lstStyle/>
        <a:p>
          <a:r>
            <a:rPr lang="en-GB" sz="1000" b="1" u="sng">
              <a:solidFill>
                <a:schemeClr val="tx1"/>
              </a:solidFill>
            </a:rPr>
            <a:t>45% of partners can offer co-location space </a:t>
          </a:r>
        </a:p>
      </dgm:t>
    </dgm:pt>
    <dgm:pt modelId="{5EA9A55B-F2B2-49B0-9DC6-87516E4B3A21}" type="parTrans" cxnId="{8CCAB553-0824-44F2-93B2-7448B6A123F6}">
      <dgm:prSet/>
      <dgm:spPr/>
      <dgm:t>
        <a:bodyPr/>
        <a:lstStyle/>
        <a:p>
          <a:endParaRPr lang="en-GB" u="sng"/>
        </a:p>
      </dgm:t>
    </dgm:pt>
    <dgm:pt modelId="{624E3204-3C68-4AD9-AFA2-4CC64E25BF46}" type="sibTrans" cxnId="{8CCAB553-0824-44F2-93B2-7448B6A123F6}">
      <dgm:prSet/>
      <dgm:spPr/>
      <dgm:t>
        <a:bodyPr/>
        <a:lstStyle/>
        <a:p>
          <a:endParaRPr lang="en-GB" u="sng"/>
        </a:p>
      </dgm:t>
    </dgm:pt>
    <dgm:pt modelId="{0E21A1EA-6E61-46E3-ACF9-9DDC17DE46CD}">
      <dgm:prSet phldrT="[Text]" custT="1"/>
      <dgm:spPr>
        <a:solidFill>
          <a:schemeClr val="accent6">
            <a:lumMod val="20000"/>
            <a:lumOff val="80000"/>
          </a:schemeClr>
        </a:solidFill>
      </dgm:spPr>
      <dgm:t>
        <a:bodyPr/>
        <a:lstStyle/>
        <a:p>
          <a:r>
            <a:rPr lang="en-GB" sz="1000" b="1" u="sng">
              <a:solidFill>
                <a:schemeClr val="tx1"/>
              </a:solidFill>
            </a:rPr>
            <a:t>Provide accessible locations accross the City</a:t>
          </a:r>
        </a:p>
      </dgm:t>
    </dgm:pt>
    <dgm:pt modelId="{44424934-91EF-406B-ABFF-45A9D98585BF}" type="parTrans" cxnId="{E279C747-23B1-447D-81AA-9B3F8C7DBEB4}">
      <dgm:prSet/>
      <dgm:spPr/>
      <dgm:t>
        <a:bodyPr/>
        <a:lstStyle/>
        <a:p>
          <a:endParaRPr lang="en-GB" u="sng"/>
        </a:p>
      </dgm:t>
    </dgm:pt>
    <dgm:pt modelId="{99F17E2D-08DA-479B-AD71-994E7713012C}" type="sibTrans" cxnId="{E279C747-23B1-447D-81AA-9B3F8C7DBEB4}">
      <dgm:prSet/>
      <dgm:spPr/>
      <dgm:t>
        <a:bodyPr/>
        <a:lstStyle/>
        <a:p>
          <a:endParaRPr lang="en-GB" u="sng"/>
        </a:p>
      </dgm:t>
    </dgm:pt>
    <dgm:pt modelId="{CF1BDE89-A8F2-4A79-B0D4-251FF0A35011}">
      <dgm:prSet phldrT="[Text]" custT="1"/>
      <dgm:spPr>
        <a:solidFill>
          <a:schemeClr val="accent6">
            <a:lumMod val="20000"/>
            <a:lumOff val="80000"/>
          </a:schemeClr>
        </a:solidFill>
      </dgm:spPr>
      <dgm:t>
        <a:bodyPr/>
        <a:lstStyle/>
        <a:p>
          <a:r>
            <a:rPr lang="en-GB" sz="1000" b="1" u="sng">
              <a:solidFill>
                <a:schemeClr val="tx1"/>
              </a:solidFill>
            </a:rPr>
            <a:t>Increased offer to  education settings</a:t>
          </a:r>
        </a:p>
      </dgm:t>
    </dgm:pt>
    <dgm:pt modelId="{EE94B1F1-EE8C-4ECF-AA0E-3473DE5C2049}" type="parTrans" cxnId="{0C66A84C-C659-4E91-ABF2-A0B6DCC27446}">
      <dgm:prSet/>
      <dgm:spPr/>
      <dgm:t>
        <a:bodyPr/>
        <a:lstStyle/>
        <a:p>
          <a:endParaRPr lang="en-GB" u="sng"/>
        </a:p>
      </dgm:t>
    </dgm:pt>
    <dgm:pt modelId="{6A1EEEBE-30B4-42AC-ACA6-A60A8A40E55E}" type="sibTrans" cxnId="{0C66A84C-C659-4E91-ABF2-A0B6DCC27446}">
      <dgm:prSet/>
      <dgm:spPr/>
      <dgm:t>
        <a:bodyPr/>
        <a:lstStyle/>
        <a:p>
          <a:endParaRPr lang="en-GB" u="sng"/>
        </a:p>
      </dgm:t>
    </dgm:pt>
    <dgm:pt modelId="{D2B24264-C916-470C-B0A7-84B4945E2735}">
      <dgm:prSet phldrT="[Text]" custT="1"/>
      <dgm:spPr>
        <a:solidFill>
          <a:schemeClr val="accent6">
            <a:lumMod val="20000"/>
            <a:lumOff val="80000"/>
          </a:schemeClr>
        </a:solidFill>
      </dgm:spPr>
      <dgm:t>
        <a:bodyPr/>
        <a:lstStyle/>
        <a:p>
          <a:r>
            <a:rPr lang="en-GB" sz="1000" b="1" u="sng">
              <a:solidFill>
                <a:schemeClr val="tx1"/>
              </a:solidFill>
            </a:rPr>
            <a:t>Increase outreach and homevisiting offer</a:t>
          </a:r>
        </a:p>
      </dgm:t>
    </dgm:pt>
    <dgm:pt modelId="{9DDF7C81-174B-4DF5-BBFF-8761958964D2}" type="parTrans" cxnId="{A3C6CFA3-3C7B-4FBD-9AA8-2D2C0249ED95}">
      <dgm:prSet/>
      <dgm:spPr/>
      <dgm:t>
        <a:bodyPr/>
        <a:lstStyle/>
        <a:p>
          <a:endParaRPr lang="en-GB" u="sng"/>
        </a:p>
      </dgm:t>
    </dgm:pt>
    <dgm:pt modelId="{C8159038-D19E-41F3-933C-0964E8D63AAB}" type="sibTrans" cxnId="{A3C6CFA3-3C7B-4FBD-9AA8-2D2C0249ED95}">
      <dgm:prSet/>
      <dgm:spPr/>
      <dgm:t>
        <a:bodyPr/>
        <a:lstStyle/>
        <a:p>
          <a:endParaRPr lang="en-GB" u="sng"/>
        </a:p>
      </dgm:t>
    </dgm:pt>
    <dgm:pt modelId="{82EC84D5-F651-4FBA-A14F-D20E59E706BD}">
      <dgm:prSet phldrT="[Text]" custT="1"/>
      <dgm:spPr>
        <a:solidFill>
          <a:schemeClr val="accent6">
            <a:lumMod val="20000"/>
            <a:lumOff val="80000"/>
          </a:schemeClr>
        </a:solidFill>
      </dgm:spPr>
      <dgm:t>
        <a:bodyPr/>
        <a:lstStyle/>
        <a:p>
          <a:r>
            <a:rPr lang="en-GB" sz="1000" b="1" u="sng">
              <a:solidFill>
                <a:schemeClr val="tx1"/>
              </a:solidFill>
            </a:rPr>
            <a:t>Flexible offer for service users and families, days, times </a:t>
          </a:r>
        </a:p>
      </dgm:t>
    </dgm:pt>
    <dgm:pt modelId="{3DBA54C1-BCEF-467E-8A25-54C0BE140E95}" type="parTrans" cxnId="{9AEEBBE2-4BEA-4951-9ECA-5D60B5829E73}">
      <dgm:prSet/>
      <dgm:spPr/>
      <dgm:t>
        <a:bodyPr/>
        <a:lstStyle/>
        <a:p>
          <a:endParaRPr lang="en-GB" u="sng"/>
        </a:p>
      </dgm:t>
    </dgm:pt>
    <dgm:pt modelId="{43C04817-7DC4-43AE-8AE0-F2119F1F5CBE}" type="sibTrans" cxnId="{9AEEBBE2-4BEA-4951-9ECA-5D60B5829E73}">
      <dgm:prSet/>
      <dgm:spPr/>
      <dgm:t>
        <a:bodyPr/>
        <a:lstStyle/>
        <a:p>
          <a:endParaRPr lang="en-GB" u="sng"/>
        </a:p>
      </dgm:t>
    </dgm:pt>
    <dgm:pt modelId="{9023859D-D6D0-44C3-970F-4C770CE6479B}" type="pres">
      <dgm:prSet presAssocID="{055C7831-8535-4AA3-AE3B-EFFD586B6428}" presName="Name0" presStyleCnt="0">
        <dgm:presLayoutVars>
          <dgm:chMax val="1"/>
          <dgm:chPref val="1"/>
          <dgm:dir/>
          <dgm:animOne val="branch"/>
          <dgm:animLvl val="lvl"/>
        </dgm:presLayoutVars>
      </dgm:prSet>
      <dgm:spPr/>
    </dgm:pt>
    <dgm:pt modelId="{E9ACA48D-FDB7-446F-B66F-A03791E83DE2}" type="pres">
      <dgm:prSet presAssocID="{B66A2DD5-DC81-4389-83CB-F04DEEC988C8}" presName="Parent" presStyleLbl="node0" presStyleIdx="0" presStyleCnt="1">
        <dgm:presLayoutVars>
          <dgm:chMax val="6"/>
          <dgm:chPref val="6"/>
        </dgm:presLayoutVars>
      </dgm:prSet>
      <dgm:spPr/>
    </dgm:pt>
    <dgm:pt modelId="{595B29B7-EB63-4720-B4A7-67BABCD2902F}" type="pres">
      <dgm:prSet presAssocID="{2B99CF62-30BE-47B8-9550-8BDD149A5547}" presName="Accent1" presStyleCnt="0"/>
      <dgm:spPr/>
    </dgm:pt>
    <dgm:pt modelId="{9AA799FF-27FE-407D-A751-9E60B20892EA}" type="pres">
      <dgm:prSet presAssocID="{2B99CF62-30BE-47B8-9550-8BDD149A5547}" presName="Accent" presStyleLbl="bgShp" presStyleIdx="0" presStyleCnt="6"/>
      <dgm:spPr/>
    </dgm:pt>
    <dgm:pt modelId="{3922D444-44A6-4417-937A-9B48427D67D1}" type="pres">
      <dgm:prSet presAssocID="{2B99CF62-30BE-47B8-9550-8BDD149A5547}" presName="Child1" presStyleLbl="node1" presStyleIdx="0" presStyleCnt="6">
        <dgm:presLayoutVars>
          <dgm:chMax val="0"/>
          <dgm:chPref val="0"/>
          <dgm:bulletEnabled val="1"/>
        </dgm:presLayoutVars>
      </dgm:prSet>
      <dgm:spPr/>
    </dgm:pt>
    <dgm:pt modelId="{78E17D4F-20F0-472F-8CA7-1701FA58321B}" type="pres">
      <dgm:prSet presAssocID="{A94223A7-5E1F-4FFE-9929-094AE9BF7BE7}" presName="Accent2" presStyleCnt="0"/>
      <dgm:spPr/>
    </dgm:pt>
    <dgm:pt modelId="{4C785A06-4B46-4692-968B-AA6A5E7D6232}" type="pres">
      <dgm:prSet presAssocID="{A94223A7-5E1F-4FFE-9929-094AE9BF7BE7}" presName="Accent" presStyleLbl="bgShp" presStyleIdx="1" presStyleCnt="6"/>
      <dgm:spPr/>
    </dgm:pt>
    <dgm:pt modelId="{90C21DBF-D920-4307-BAC8-B504090E958A}" type="pres">
      <dgm:prSet presAssocID="{A94223A7-5E1F-4FFE-9929-094AE9BF7BE7}" presName="Child2" presStyleLbl="node1" presStyleIdx="1" presStyleCnt="6">
        <dgm:presLayoutVars>
          <dgm:chMax val="0"/>
          <dgm:chPref val="0"/>
          <dgm:bulletEnabled val="1"/>
        </dgm:presLayoutVars>
      </dgm:prSet>
      <dgm:spPr/>
    </dgm:pt>
    <dgm:pt modelId="{F101480F-171F-4D36-A6F8-7CB5E961E688}" type="pres">
      <dgm:prSet presAssocID="{0E21A1EA-6E61-46E3-ACF9-9DDC17DE46CD}" presName="Accent3" presStyleCnt="0"/>
      <dgm:spPr/>
    </dgm:pt>
    <dgm:pt modelId="{3E6E861C-808F-4450-919A-1B936FF6595F}" type="pres">
      <dgm:prSet presAssocID="{0E21A1EA-6E61-46E3-ACF9-9DDC17DE46CD}" presName="Accent" presStyleLbl="bgShp" presStyleIdx="2" presStyleCnt="6"/>
      <dgm:spPr/>
    </dgm:pt>
    <dgm:pt modelId="{63C21ED2-9A96-4B23-9478-8A5BD39C2B00}" type="pres">
      <dgm:prSet presAssocID="{0E21A1EA-6E61-46E3-ACF9-9DDC17DE46CD}" presName="Child3" presStyleLbl="node1" presStyleIdx="2" presStyleCnt="6">
        <dgm:presLayoutVars>
          <dgm:chMax val="0"/>
          <dgm:chPref val="0"/>
          <dgm:bulletEnabled val="1"/>
        </dgm:presLayoutVars>
      </dgm:prSet>
      <dgm:spPr/>
    </dgm:pt>
    <dgm:pt modelId="{AC9AA9A8-5FE4-4E0B-AA17-B30DF9E4C986}" type="pres">
      <dgm:prSet presAssocID="{CF1BDE89-A8F2-4A79-B0D4-251FF0A35011}" presName="Accent4" presStyleCnt="0"/>
      <dgm:spPr/>
    </dgm:pt>
    <dgm:pt modelId="{EA33E1D0-DC90-44C8-B315-E6B5E1408E76}" type="pres">
      <dgm:prSet presAssocID="{CF1BDE89-A8F2-4A79-B0D4-251FF0A35011}" presName="Accent" presStyleLbl="bgShp" presStyleIdx="3" presStyleCnt="6"/>
      <dgm:spPr/>
    </dgm:pt>
    <dgm:pt modelId="{76855B0A-540F-42D1-80BE-B79EAE34A202}" type="pres">
      <dgm:prSet presAssocID="{CF1BDE89-A8F2-4A79-B0D4-251FF0A35011}" presName="Child4" presStyleLbl="node1" presStyleIdx="3" presStyleCnt="6">
        <dgm:presLayoutVars>
          <dgm:chMax val="0"/>
          <dgm:chPref val="0"/>
          <dgm:bulletEnabled val="1"/>
        </dgm:presLayoutVars>
      </dgm:prSet>
      <dgm:spPr/>
    </dgm:pt>
    <dgm:pt modelId="{269073F3-CBF6-415F-A5CF-B4BE16F2742C}" type="pres">
      <dgm:prSet presAssocID="{D2B24264-C916-470C-B0A7-84B4945E2735}" presName="Accent5" presStyleCnt="0"/>
      <dgm:spPr/>
    </dgm:pt>
    <dgm:pt modelId="{64CCD313-56BD-467B-A32C-01AEFF16A8C5}" type="pres">
      <dgm:prSet presAssocID="{D2B24264-C916-470C-B0A7-84B4945E2735}" presName="Accent" presStyleLbl="bgShp" presStyleIdx="4" presStyleCnt="6"/>
      <dgm:spPr/>
    </dgm:pt>
    <dgm:pt modelId="{ED67CCA5-5C65-4DC0-AB6B-62D02441AFB7}" type="pres">
      <dgm:prSet presAssocID="{D2B24264-C916-470C-B0A7-84B4945E2735}" presName="Child5" presStyleLbl="node1" presStyleIdx="4" presStyleCnt="6">
        <dgm:presLayoutVars>
          <dgm:chMax val="0"/>
          <dgm:chPref val="0"/>
          <dgm:bulletEnabled val="1"/>
        </dgm:presLayoutVars>
      </dgm:prSet>
      <dgm:spPr/>
    </dgm:pt>
    <dgm:pt modelId="{87053C14-B096-413A-9306-620EF931F15D}" type="pres">
      <dgm:prSet presAssocID="{82EC84D5-F651-4FBA-A14F-D20E59E706BD}" presName="Accent6" presStyleCnt="0"/>
      <dgm:spPr/>
    </dgm:pt>
    <dgm:pt modelId="{D9E249B1-371A-473B-95A0-BB9AB0CE5660}" type="pres">
      <dgm:prSet presAssocID="{82EC84D5-F651-4FBA-A14F-D20E59E706BD}" presName="Accent" presStyleLbl="bgShp" presStyleIdx="5" presStyleCnt="6"/>
      <dgm:spPr/>
    </dgm:pt>
    <dgm:pt modelId="{7B26B798-9966-467B-A639-1A6DAADFB971}" type="pres">
      <dgm:prSet presAssocID="{82EC84D5-F651-4FBA-A14F-D20E59E706BD}" presName="Child6" presStyleLbl="node1" presStyleIdx="5" presStyleCnt="6">
        <dgm:presLayoutVars>
          <dgm:chMax val="0"/>
          <dgm:chPref val="0"/>
          <dgm:bulletEnabled val="1"/>
        </dgm:presLayoutVars>
      </dgm:prSet>
      <dgm:spPr/>
    </dgm:pt>
  </dgm:ptLst>
  <dgm:cxnLst>
    <dgm:cxn modelId="{D3C48F10-2B28-4A29-83F8-EA135DDA8B6F}" type="presOf" srcId="{B66A2DD5-DC81-4389-83CB-F04DEEC988C8}" destId="{E9ACA48D-FDB7-446F-B66F-A03791E83DE2}" srcOrd="0" destOrd="0" presId="urn:microsoft.com/office/officeart/2011/layout/HexagonRadial"/>
    <dgm:cxn modelId="{08208A15-577A-4467-94EE-421B88BF33A0}" srcId="{055C7831-8535-4AA3-AE3B-EFFD586B6428}" destId="{B66A2DD5-DC81-4389-83CB-F04DEEC988C8}" srcOrd="0" destOrd="0" parTransId="{D2F34AC1-D7E3-46FD-941C-75C16B59AE90}" sibTransId="{8878C69B-0EB9-4B13-9D2A-F5F85E7A34DF}"/>
    <dgm:cxn modelId="{8635E446-3897-43CC-91C4-58C0CD3121E6}" type="presOf" srcId="{82EC84D5-F651-4FBA-A14F-D20E59E706BD}" destId="{7B26B798-9966-467B-A639-1A6DAADFB971}" srcOrd="0" destOrd="0" presId="urn:microsoft.com/office/officeart/2011/layout/HexagonRadial"/>
    <dgm:cxn modelId="{4A0F8F47-A990-43E3-BAC2-D578C64861C0}" type="presOf" srcId="{CF1BDE89-A8F2-4A79-B0D4-251FF0A35011}" destId="{76855B0A-540F-42D1-80BE-B79EAE34A202}" srcOrd="0" destOrd="0" presId="urn:microsoft.com/office/officeart/2011/layout/HexagonRadial"/>
    <dgm:cxn modelId="{E279C747-23B1-447D-81AA-9B3F8C7DBEB4}" srcId="{B66A2DD5-DC81-4389-83CB-F04DEEC988C8}" destId="{0E21A1EA-6E61-46E3-ACF9-9DDC17DE46CD}" srcOrd="2" destOrd="0" parTransId="{44424934-91EF-406B-ABFF-45A9D98585BF}" sibTransId="{99F17E2D-08DA-479B-AD71-994E7713012C}"/>
    <dgm:cxn modelId="{0C66A84C-C659-4E91-ABF2-A0B6DCC27446}" srcId="{B66A2DD5-DC81-4389-83CB-F04DEEC988C8}" destId="{CF1BDE89-A8F2-4A79-B0D4-251FF0A35011}" srcOrd="3" destOrd="0" parTransId="{EE94B1F1-EE8C-4ECF-AA0E-3473DE5C2049}" sibTransId="{6A1EEEBE-30B4-42AC-ACA6-A60A8A40E55E}"/>
    <dgm:cxn modelId="{8CCAB553-0824-44F2-93B2-7448B6A123F6}" srcId="{B66A2DD5-DC81-4389-83CB-F04DEEC988C8}" destId="{A94223A7-5E1F-4FFE-9929-094AE9BF7BE7}" srcOrd="1" destOrd="0" parTransId="{5EA9A55B-F2B2-49B0-9DC6-87516E4B3A21}" sibTransId="{624E3204-3C68-4AD9-AFA2-4CC64E25BF46}"/>
    <dgm:cxn modelId="{343E8E90-EBA3-4253-B207-6F2284883396}" type="presOf" srcId="{D2B24264-C916-470C-B0A7-84B4945E2735}" destId="{ED67CCA5-5C65-4DC0-AB6B-62D02441AFB7}" srcOrd="0" destOrd="0" presId="urn:microsoft.com/office/officeart/2011/layout/HexagonRadial"/>
    <dgm:cxn modelId="{EBA8D39F-F1D4-436E-805E-1EC1F324DCAA}" type="presOf" srcId="{0E21A1EA-6E61-46E3-ACF9-9DDC17DE46CD}" destId="{63C21ED2-9A96-4B23-9478-8A5BD39C2B00}" srcOrd="0" destOrd="0" presId="urn:microsoft.com/office/officeart/2011/layout/HexagonRadial"/>
    <dgm:cxn modelId="{A3C6CFA3-3C7B-4FBD-9AA8-2D2C0249ED95}" srcId="{B66A2DD5-DC81-4389-83CB-F04DEEC988C8}" destId="{D2B24264-C916-470C-B0A7-84B4945E2735}" srcOrd="4" destOrd="0" parTransId="{9DDF7C81-174B-4DF5-BBFF-8761958964D2}" sibTransId="{C8159038-D19E-41F3-933C-0964E8D63AAB}"/>
    <dgm:cxn modelId="{D74B10A5-EBE5-4B67-A3B5-415807C660EF}" type="presOf" srcId="{2B99CF62-30BE-47B8-9550-8BDD149A5547}" destId="{3922D444-44A6-4417-937A-9B48427D67D1}" srcOrd="0" destOrd="0" presId="urn:microsoft.com/office/officeart/2011/layout/HexagonRadial"/>
    <dgm:cxn modelId="{823F6BDA-65B1-4A14-9EFA-F250D8FBF39E}" srcId="{B66A2DD5-DC81-4389-83CB-F04DEEC988C8}" destId="{2B99CF62-30BE-47B8-9550-8BDD149A5547}" srcOrd="0" destOrd="0" parTransId="{28DEAE4A-ED07-494A-AFEA-0EBA137AF0A5}" sibTransId="{9709DAAF-4A9A-4E47-A895-F374509A531B}"/>
    <dgm:cxn modelId="{9AEEBBE2-4BEA-4951-9ECA-5D60B5829E73}" srcId="{B66A2DD5-DC81-4389-83CB-F04DEEC988C8}" destId="{82EC84D5-F651-4FBA-A14F-D20E59E706BD}" srcOrd="5" destOrd="0" parTransId="{3DBA54C1-BCEF-467E-8A25-54C0BE140E95}" sibTransId="{43C04817-7DC4-43AE-8AE0-F2119F1F5CBE}"/>
    <dgm:cxn modelId="{F9CFC5F2-7163-43EE-A627-9B58889A1BFA}" type="presOf" srcId="{A94223A7-5E1F-4FFE-9929-094AE9BF7BE7}" destId="{90C21DBF-D920-4307-BAC8-B504090E958A}" srcOrd="0" destOrd="0" presId="urn:microsoft.com/office/officeart/2011/layout/HexagonRadial"/>
    <dgm:cxn modelId="{BE4706FF-F340-4BDF-8883-D6FD78087912}" type="presOf" srcId="{055C7831-8535-4AA3-AE3B-EFFD586B6428}" destId="{9023859D-D6D0-44C3-970F-4C770CE6479B}" srcOrd="0" destOrd="0" presId="urn:microsoft.com/office/officeart/2011/layout/HexagonRadial"/>
    <dgm:cxn modelId="{2A25EF0A-937F-40D7-B702-A1FA95B4741B}" type="presParOf" srcId="{9023859D-D6D0-44C3-970F-4C770CE6479B}" destId="{E9ACA48D-FDB7-446F-B66F-A03791E83DE2}" srcOrd="0" destOrd="0" presId="urn:microsoft.com/office/officeart/2011/layout/HexagonRadial"/>
    <dgm:cxn modelId="{F8DB6D72-FEF1-412F-92FD-719841904020}" type="presParOf" srcId="{9023859D-D6D0-44C3-970F-4C770CE6479B}" destId="{595B29B7-EB63-4720-B4A7-67BABCD2902F}" srcOrd="1" destOrd="0" presId="urn:microsoft.com/office/officeart/2011/layout/HexagonRadial"/>
    <dgm:cxn modelId="{F4F12034-4814-4CC2-AAF3-0ACC3068AFD5}" type="presParOf" srcId="{595B29B7-EB63-4720-B4A7-67BABCD2902F}" destId="{9AA799FF-27FE-407D-A751-9E60B20892EA}" srcOrd="0" destOrd="0" presId="urn:microsoft.com/office/officeart/2011/layout/HexagonRadial"/>
    <dgm:cxn modelId="{0179D977-6C9E-4017-8F30-1BDD74C000AD}" type="presParOf" srcId="{9023859D-D6D0-44C3-970F-4C770CE6479B}" destId="{3922D444-44A6-4417-937A-9B48427D67D1}" srcOrd="2" destOrd="0" presId="urn:microsoft.com/office/officeart/2011/layout/HexagonRadial"/>
    <dgm:cxn modelId="{D7EC72BA-4616-4CC4-899C-5B2CAE756E67}" type="presParOf" srcId="{9023859D-D6D0-44C3-970F-4C770CE6479B}" destId="{78E17D4F-20F0-472F-8CA7-1701FA58321B}" srcOrd="3" destOrd="0" presId="urn:microsoft.com/office/officeart/2011/layout/HexagonRadial"/>
    <dgm:cxn modelId="{2585BA0D-3017-41D1-89BC-C5CB54AE37CD}" type="presParOf" srcId="{78E17D4F-20F0-472F-8CA7-1701FA58321B}" destId="{4C785A06-4B46-4692-968B-AA6A5E7D6232}" srcOrd="0" destOrd="0" presId="urn:microsoft.com/office/officeart/2011/layout/HexagonRadial"/>
    <dgm:cxn modelId="{CE150A7C-AE34-48BD-BCED-6BEDC59C84C9}" type="presParOf" srcId="{9023859D-D6D0-44C3-970F-4C770CE6479B}" destId="{90C21DBF-D920-4307-BAC8-B504090E958A}" srcOrd="4" destOrd="0" presId="urn:microsoft.com/office/officeart/2011/layout/HexagonRadial"/>
    <dgm:cxn modelId="{2531EFF1-D3B0-42F2-AAEE-0A0EE3BEB537}" type="presParOf" srcId="{9023859D-D6D0-44C3-970F-4C770CE6479B}" destId="{F101480F-171F-4D36-A6F8-7CB5E961E688}" srcOrd="5" destOrd="0" presId="urn:microsoft.com/office/officeart/2011/layout/HexagonRadial"/>
    <dgm:cxn modelId="{4D4F1A17-1A32-41E0-B94A-4E3D9D8CD3F6}" type="presParOf" srcId="{F101480F-171F-4D36-A6F8-7CB5E961E688}" destId="{3E6E861C-808F-4450-919A-1B936FF6595F}" srcOrd="0" destOrd="0" presId="urn:microsoft.com/office/officeart/2011/layout/HexagonRadial"/>
    <dgm:cxn modelId="{AC2D4D78-F7B0-43E7-A1B7-4CF8CC795467}" type="presParOf" srcId="{9023859D-D6D0-44C3-970F-4C770CE6479B}" destId="{63C21ED2-9A96-4B23-9478-8A5BD39C2B00}" srcOrd="6" destOrd="0" presId="urn:microsoft.com/office/officeart/2011/layout/HexagonRadial"/>
    <dgm:cxn modelId="{CE8EFCC5-EE27-4428-BB3E-7963D47475AB}" type="presParOf" srcId="{9023859D-D6D0-44C3-970F-4C770CE6479B}" destId="{AC9AA9A8-5FE4-4E0B-AA17-B30DF9E4C986}" srcOrd="7" destOrd="0" presId="urn:microsoft.com/office/officeart/2011/layout/HexagonRadial"/>
    <dgm:cxn modelId="{916FD624-46DD-424A-B872-40300EA38D00}" type="presParOf" srcId="{AC9AA9A8-5FE4-4E0B-AA17-B30DF9E4C986}" destId="{EA33E1D0-DC90-44C8-B315-E6B5E1408E76}" srcOrd="0" destOrd="0" presId="urn:microsoft.com/office/officeart/2011/layout/HexagonRadial"/>
    <dgm:cxn modelId="{3A07C01F-59A5-4401-AE42-238C20A72A77}" type="presParOf" srcId="{9023859D-D6D0-44C3-970F-4C770CE6479B}" destId="{76855B0A-540F-42D1-80BE-B79EAE34A202}" srcOrd="8" destOrd="0" presId="urn:microsoft.com/office/officeart/2011/layout/HexagonRadial"/>
    <dgm:cxn modelId="{2ED6AF61-39D9-473C-8D6A-4284876379C1}" type="presParOf" srcId="{9023859D-D6D0-44C3-970F-4C770CE6479B}" destId="{269073F3-CBF6-415F-A5CF-B4BE16F2742C}" srcOrd="9" destOrd="0" presId="urn:microsoft.com/office/officeart/2011/layout/HexagonRadial"/>
    <dgm:cxn modelId="{6F82E928-E383-4F4B-83AF-C6623465216A}" type="presParOf" srcId="{269073F3-CBF6-415F-A5CF-B4BE16F2742C}" destId="{64CCD313-56BD-467B-A32C-01AEFF16A8C5}" srcOrd="0" destOrd="0" presId="urn:microsoft.com/office/officeart/2011/layout/HexagonRadial"/>
    <dgm:cxn modelId="{486147AB-4202-4AE4-8A60-0EA461CADD1A}" type="presParOf" srcId="{9023859D-D6D0-44C3-970F-4C770CE6479B}" destId="{ED67CCA5-5C65-4DC0-AB6B-62D02441AFB7}" srcOrd="10" destOrd="0" presId="urn:microsoft.com/office/officeart/2011/layout/HexagonRadial"/>
    <dgm:cxn modelId="{0440B409-E5FA-4D0B-ADB1-EB462C0446C3}" type="presParOf" srcId="{9023859D-D6D0-44C3-970F-4C770CE6479B}" destId="{87053C14-B096-413A-9306-620EF931F15D}" srcOrd="11" destOrd="0" presId="urn:microsoft.com/office/officeart/2011/layout/HexagonRadial"/>
    <dgm:cxn modelId="{2C71C069-E408-47B0-A8BD-2EB3AABABEB1}" type="presParOf" srcId="{87053C14-B096-413A-9306-620EF931F15D}" destId="{D9E249B1-371A-473B-95A0-BB9AB0CE5660}" srcOrd="0" destOrd="0" presId="urn:microsoft.com/office/officeart/2011/layout/HexagonRadial"/>
    <dgm:cxn modelId="{21FF4989-CD42-4A2F-97E7-4484A0B50966}" type="presParOf" srcId="{9023859D-D6D0-44C3-970F-4C770CE6479B}" destId="{7B26B798-9966-467B-A639-1A6DAADFB971}" srcOrd="12" destOrd="0" presId="urn:microsoft.com/office/officeart/2011/layout/HexagonRadial"/>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CDD01F-D9C3-4997-B5D1-BBDAFBBF961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D2F71071-B6DF-49D1-A0F2-A13B70B30DC9}">
      <dgm:prSet phldrT="[Text]"/>
      <dgm:spPr>
        <a:solidFill>
          <a:schemeClr val="accent6">
            <a:lumMod val="20000"/>
            <a:lumOff val="80000"/>
          </a:schemeClr>
        </a:solidFill>
      </dgm:spPr>
      <dgm:t>
        <a:bodyPr/>
        <a:lstStyle/>
        <a:p>
          <a:r>
            <a:rPr lang="en-GB" b="1">
              <a:solidFill>
                <a:schemeClr val="tx1"/>
              </a:solidFill>
            </a:rPr>
            <a:t>Service - Community  </a:t>
          </a:r>
        </a:p>
      </dgm:t>
    </dgm:pt>
    <dgm:pt modelId="{D9FF5E13-863F-4D94-A631-330C8BC43F4F}" type="parTrans" cxnId="{8210BD2A-33FC-40D6-89DD-F16FA154A31D}">
      <dgm:prSet/>
      <dgm:spPr/>
      <dgm:t>
        <a:bodyPr/>
        <a:lstStyle/>
        <a:p>
          <a:endParaRPr lang="en-GB"/>
        </a:p>
      </dgm:t>
    </dgm:pt>
    <dgm:pt modelId="{E9157D23-8AB2-4172-BE95-E48F62A8F2E6}" type="sibTrans" cxnId="{8210BD2A-33FC-40D6-89DD-F16FA154A31D}">
      <dgm:prSet/>
      <dgm:spPr/>
      <dgm:t>
        <a:bodyPr/>
        <a:lstStyle/>
        <a:p>
          <a:endParaRPr lang="en-GB"/>
        </a:p>
      </dgm:t>
    </dgm:pt>
    <dgm:pt modelId="{BF5DECD6-024C-449C-B313-2D26FCCFE53C}">
      <dgm:prSet phldrT="[Text]"/>
      <dgm:spPr>
        <a:solidFill>
          <a:schemeClr val="accent6">
            <a:lumMod val="20000"/>
            <a:lumOff val="80000"/>
          </a:schemeClr>
        </a:solidFill>
      </dgm:spPr>
      <dgm:t>
        <a:bodyPr/>
        <a:lstStyle/>
        <a:p>
          <a:r>
            <a:rPr lang="en-GB" b="1">
              <a:solidFill>
                <a:schemeClr val="tx1"/>
              </a:solidFill>
            </a:rPr>
            <a:t>Utilise parterships for recovery offer</a:t>
          </a:r>
        </a:p>
      </dgm:t>
    </dgm:pt>
    <dgm:pt modelId="{A04B5B8E-72F8-480A-B042-27175C37F22A}" type="parTrans" cxnId="{7D7E5813-DB52-4B61-B126-870FE91B8C29}">
      <dgm:prSet/>
      <dgm:spPr/>
      <dgm:t>
        <a:bodyPr/>
        <a:lstStyle/>
        <a:p>
          <a:endParaRPr lang="en-GB"/>
        </a:p>
      </dgm:t>
    </dgm:pt>
    <dgm:pt modelId="{5D8320C2-D4A6-456A-A410-5F81C40EA023}" type="sibTrans" cxnId="{7D7E5813-DB52-4B61-B126-870FE91B8C29}">
      <dgm:prSet/>
      <dgm:spPr/>
      <dgm:t>
        <a:bodyPr/>
        <a:lstStyle/>
        <a:p>
          <a:endParaRPr lang="en-GB"/>
        </a:p>
      </dgm:t>
    </dgm:pt>
    <dgm:pt modelId="{B92EA40E-94C2-4B7A-B643-CB6EE673498B}">
      <dgm:prSet phldrT="[Text]"/>
      <dgm:spPr>
        <a:solidFill>
          <a:schemeClr val="accent6">
            <a:lumMod val="20000"/>
            <a:lumOff val="80000"/>
          </a:schemeClr>
        </a:solidFill>
      </dgm:spPr>
      <dgm:t>
        <a:bodyPr/>
        <a:lstStyle/>
        <a:p>
          <a:r>
            <a:rPr lang="en-GB" b="1">
              <a:solidFill>
                <a:schemeClr val="tx1"/>
              </a:solidFill>
            </a:rPr>
            <a:t>Increase promotion of drug &amp; alcohol offer</a:t>
          </a:r>
        </a:p>
      </dgm:t>
    </dgm:pt>
    <dgm:pt modelId="{488D1E76-FE77-47BA-A1FD-B40130986484}" type="parTrans" cxnId="{1D4A5695-5A60-4DD9-9B6F-EDA7D7039201}">
      <dgm:prSet/>
      <dgm:spPr/>
      <dgm:t>
        <a:bodyPr/>
        <a:lstStyle/>
        <a:p>
          <a:endParaRPr lang="en-GB"/>
        </a:p>
      </dgm:t>
    </dgm:pt>
    <dgm:pt modelId="{FA057FA3-421C-4652-80CE-B624922B4956}" type="sibTrans" cxnId="{1D4A5695-5A60-4DD9-9B6F-EDA7D7039201}">
      <dgm:prSet/>
      <dgm:spPr/>
      <dgm:t>
        <a:bodyPr/>
        <a:lstStyle/>
        <a:p>
          <a:endParaRPr lang="en-GB"/>
        </a:p>
      </dgm:t>
    </dgm:pt>
    <dgm:pt modelId="{A9C07716-30AB-4169-97B5-F4A9701C76B1}">
      <dgm:prSet phldrT="[Text]"/>
      <dgm:spPr>
        <a:solidFill>
          <a:schemeClr val="accent6">
            <a:lumMod val="20000"/>
            <a:lumOff val="80000"/>
          </a:schemeClr>
        </a:solidFill>
      </dgm:spPr>
      <dgm:t>
        <a:bodyPr/>
        <a:lstStyle/>
        <a:p>
          <a:r>
            <a:rPr lang="en-GB" b="1">
              <a:solidFill>
                <a:schemeClr val="tx1"/>
              </a:solidFill>
            </a:rPr>
            <a:t>Partnership approach to addressing stigma</a:t>
          </a:r>
        </a:p>
      </dgm:t>
    </dgm:pt>
    <dgm:pt modelId="{26AFAE4F-3BBC-4607-A830-BC45029811C1}" type="parTrans" cxnId="{B78FE3EE-0491-4059-BF7B-219012618381}">
      <dgm:prSet/>
      <dgm:spPr/>
      <dgm:t>
        <a:bodyPr/>
        <a:lstStyle/>
        <a:p>
          <a:endParaRPr lang="en-GB"/>
        </a:p>
      </dgm:t>
    </dgm:pt>
    <dgm:pt modelId="{17076148-18E3-4BED-AEF1-E890AFD71B47}" type="sibTrans" cxnId="{B78FE3EE-0491-4059-BF7B-219012618381}">
      <dgm:prSet/>
      <dgm:spPr/>
      <dgm:t>
        <a:bodyPr/>
        <a:lstStyle/>
        <a:p>
          <a:endParaRPr lang="en-GB"/>
        </a:p>
      </dgm:t>
    </dgm:pt>
    <dgm:pt modelId="{391BD3AA-AAC9-4152-975F-BCFDD5777E48}">
      <dgm:prSet phldrT="[Text]"/>
      <dgm:spPr>
        <a:solidFill>
          <a:schemeClr val="accent6">
            <a:lumMod val="20000"/>
            <a:lumOff val="80000"/>
          </a:schemeClr>
        </a:solidFill>
      </dgm:spPr>
      <dgm:t>
        <a:bodyPr/>
        <a:lstStyle/>
        <a:p>
          <a:r>
            <a:rPr lang="en-GB" b="1">
              <a:solidFill>
                <a:schemeClr val="tx1"/>
              </a:solidFill>
            </a:rPr>
            <a:t>Co-occuring conditions are prevelant</a:t>
          </a:r>
        </a:p>
      </dgm:t>
    </dgm:pt>
    <dgm:pt modelId="{84F54954-4816-4137-B75D-85349021B8AC}" type="parTrans" cxnId="{4CC51192-989E-4CAB-8448-4F9C42FDFFF9}">
      <dgm:prSet/>
      <dgm:spPr/>
      <dgm:t>
        <a:bodyPr/>
        <a:lstStyle/>
        <a:p>
          <a:endParaRPr lang="en-GB"/>
        </a:p>
      </dgm:t>
    </dgm:pt>
    <dgm:pt modelId="{09616B8D-EB6F-4FAE-85C1-39FBAA903B7F}" type="sibTrans" cxnId="{4CC51192-989E-4CAB-8448-4F9C42FDFFF9}">
      <dgm:prSet/>
      <dgm:spPr/>
      <dgm:t>
        <a:bodyPr/>
        <a:lstStyle/>
        <a:p>
          <a:endParaRPr lang="en-GB"/>
        </a:p>
      </dgm:t>
    </dgm:pt>
    <dgm:pt modelId="{5BC3B365-18EC-49F9-8A1F-75F7433FAF27}">
      <dgm:prSet phldrT="[Text]"/>
      <dgm:spPr>
        <a:solidFill>
          <a:schemeClr val="accent6">
            <a:lumMod val="20000"/>
            <a:lumOff val="80000"/>
          </a:schemeClr>
        </a:solidFill>
      </dgm:spPr>
      <dgm:t>
        <a:bodyPr/>
        <a:lstStyle/>
        <a:p>
          <a:r>
            <a:rPr lang="en-GB" b="1">
              <a:solidFill>
                <a:schemeClr val="tx1"/>
              </a:solidFill>
            </a:rPr>
            <a:t>Increase peer support/ lived experience offer</a:t>
          </a:r>
        </a:p>
      </dgm:t>
    </dgm:pt>
    <dgm:pt modelId="{1CA2DDA6-D479-4D1B-9D0F-EE6F46D7A822}" type="parTrans" cxnId="{541B326D-A29B-4E0C-9E21-E7FDE6A36C3F}">
      <dgm:prSet/>
      <dgm:spPr/>
      <dgm:t>
        <a:bodyPr/>
        <a:lstStyle/>
        <a:p>
          <a:endParaRPr lang="en-GB"/>
        </a:p>
      </dgm:t>
    </dgm:pt>
    <dgm:pt modelId="{E53B9060-0E4F-42DA-8175-056A5EA611E2}" type="sibTrans" cxnId="{541B326D-A29B-4E0C-9E21-E7FDE6A36C3F}">
      <dgm:prSet/>
      <dgm:spPr/>
      <dgm:t>
        <a:bodyPr/>
        <a:lstStyle/>
        <a:p>
          <a:endParaRPr lang="en-GB"/>
        </a:p>
      </dgm:t>
    </dgm:pt>
    <dgm:pt modelId="{75A1C698-380B-42AC-BED1-003E07D9DCE5}">
      <dgm:prSet phldrT="[Text]"/>
      <dgm:spPr>
        <a:solidFill>
          <a:schemeClr val="accent6">
            <a:lumMod val="20000"/>
            <a:lumOff val="80000"/>
          </a:schemeClr>
        </a:solidFill>
      </dgm:spPr>
      <dgm:t>
        <a:bodyPr/>
        <a:lstStyle/>
        <a:p>
          <a:r>
            <a:rPr lang="en-GB" b="1">
              <a:solidFill>
                <a:schemeClr val="tx1"/>
              </a:solidFill>
            </a:rPr>
            <a:t>Review gaps in communities recieving support</a:t>
          </a:r>
        </a:p>
      </dgm:t>
    </dgm:pt>
    <dgm:pt modelId="{32347A02-3CA6-4617-8DD6-80560D5ED124}" type="parTrans" cxnId="{6DA6D9DF-7209-477F-BDDE-3E0D36A4988C}">
      <dgm:prSet/>
      <dgm:spPr/>
      <dgm:t>
        <a:bodyPr/>
        <a:lstStyle/>
        <a:p>
          <a:endParaRPr lang="en-GB"/>
        </a:p>
      </dgm:t>
    </dgm:pt>
    <dgm:pt modelId="{BFAAB787-8172-49E4-9A84-60C9117C327C}" type="sibTrans" cxnId="{6DA6D9DF-7209-477F-BDDE-3E0D36A4988C}">
      <dgm:prSet/>
      <dgm:spPr/>
      <dgm:t>
        <a:bodyPr/>
        <a:lstStyle/>
        <a:p>
          <a:endParaRPr lang="en-GB"/>
        </a:p>
      </dgm:t>
    </dgm:pt>
    <dgm:pt modelId="{99DEEFDA-96C0-4D1D-9163-4EEAE4159DBD}" type="pres">
      <dgm:prSet presAssocID="{78CDD01F-D9C3-4997-B5D1-BBDAFBBF9612}" presName="Name0" presStyleCnt="0">
        <dgm:presLayoutVars>
          <dgm:chMax val="1"/>
          <dgm:chPref val="1"/>
          <dgm:dir/>
          <dgm:animOne val="branch"/>
          <dgm:animLvl val="lvl"/>
        </dgm:presLayoutVars>
      </dgm:prSet>
      <dgm:spPr/>
    </dgm:pt>
    <dgm:pt modelId="{2002387B-FA23-47EF-8E14-160EEB5885E9}" type="pres">
      <dgm:prSet presAssocID="{D2F71071-B6DF-49D1-A0F2-A13B70B30DC9}" presName="Parent" presStyleLbl="node0" presStyleIdx="0" presStyleCnt="1">
        <dgm:presLayoutVars>
          <dgm:chMax val="6"/>
          <dgm:chPref val="6"/>
        </dgm:presLayoutVars>
      </dgm:prSet>
      <dgm:spPr/>
    </dgm:pt>
    <dgm:pt modelId="{C31861CB-A321-4ACB-9F07-047F245E721F}" type="pres">
      <dgm:prSet presAssocID="{BF5DECD6-024C-449C-B313-2D26FCCFE53C}" presName="Accent1" presStyleCnt="0"/>
      <dgm:spPr/>
    </dgm:pt>
    <dgm:pt modelId="{DB3C0453-AAF5-4EF1-BBDE-9F9F6B3807E0}" type="pres">
      <dgm:prSet presAssocID="{BF5DECD6-024C-449C-B313-2D26FCCFE53C}" presName="Accent" presStyleLbl="bgShp" presStyleIdx="0" presStyleCnt="6"/>
      <dgm:spPr/>
    </dgm:pt>
    <dgm:pt modelId="{28671D10-2304-4271-89F8-2BF3E3E84732}" type="pres">
      <dgm:prSet presAssocID="{BF5DECD6-024C-449C-B313-2D26FCCFE53C}" presName="Child1" presStyleLbl="node1" presStyleIdx="0" presStyleCnt="6">
        <dgm:presLayoutVars>
          <dgm:chMax val="0"/>
          <dgm:chPref val="0"/>
          <dgm:bulletEnabled val="1"/>
        </dgm:presLayoutVars>
      </dgm:prSet>
      <dgm:spPr/>
    </dgm:pt>
    <dgm:pt modelId="{7BA30B38-D6A0-454F-AA1C-01D3E068A16A}" type="pres">
      <dgm:prSet presAssocID="{B92EA40E-94C2-4B7A-B643-CB6EE673498B}" presName="Accent2" presStyleCnt="0"/>
      <dgm:spPr/>
    </dgm:pt>
    <dgm:pt modelId="{B74D0232-B7CE-4D92-9D58-194EEE2B0F40}" type="pres">
      <dgm:prSet presAssocID="{B92EA40E-94C2-4B7A-B643-CB6EE673498B}" presName="Accent" presStyleLbl="bgShp" presStyleIdx="1" presStyleCnt="6"/>
      <dgm:spPr/>
    </dgm:pt>
    <dgm:pt modelId="{8952F1EE-30A8-40E6-A9B2-764070CF0CE5}" type="pres">
      <dgm:prSet presAssocID="{B92EA40E-94C2-4B7A-B643-CB6EE673498B}" presName="Child2" presStyleLbl="node1" presStyleIdx="1" presStyleCnt="6">
        <dgm:presLayoutVars>
          <dgm:chMax val="0"/>
          <dgm:chPref val="0"/>
          <dgm:bulletEnabled val="1"/>
        </dgm:presLayoutVars>
      </dgm:prSet>
      <dgm:spPr/>
    </dgm:pt>
    <dgm:pt modelId="{9DCAFF95-8A16-4E8A-B3BE-DE1D2B255CF7}" type="pres">
      <dgm:prSet presAssocID="{A9C07716-30AB-4169-97B5-F4A9701C76B1}" presName="Accent3" presStyleCnt="0"/>
      <dgm:spPr/>
    </dgm:pt>
    <dgm:pt modelId="{17C5A501-D51C-4235-9609-52FE16F054AA}" type="pres">
      <dgm:prSet presAssocID="{A9C07716-30AB-4169-97B5-F4A9701C76B1}" presName="Accent" presStyleLbl="bgShp" presStyleIdx="2" presStyleCnt="6"/>
      <dgm:spPr/>
    </dgm:pt>
    <dgm:pt modelId="{1D6D2BC1-5CA5-4DEE-A87C-7282FCC9E793}" type="pres">
      <dgm:prSet presAssocID="{A9C07716-30AB-4169-97B5-F4A9701C76B1}" presName="Child3" presStyleLbl="node1" presStyleIdx="2" presStyleCnt="6">
        <dgm:presLayoutVars>
          <dgm:chMax val="0"/>
          <dgm:chPref val="0"/>
          <dgm:bulletEnabled val="1"/>
        </dgm:presLayoutVars>
      </dgm:prSet>
      <dgm:spPr/>
    </dgm:pt>
    <dgm:pt modelId="{CA788F67-40A2-4586-859C-E3640A2870C5}" type="pres">
      <dgm:prSet presAssocID="{391BD3AA-AAC9-4152-975F-BCFDD5777E48}" presName="Accent4" presStyleCnt="0"/>
      <dgm:spPr/>
    </dgm:pt>
    <dgm:pt modelId="{FDF24BF9-7D80-482B-B209-1F7C91362888}" type="pres">
      <dgm:prSet presAssocID="{391BD3AA-AAC9-4152-975F-BCFDD5777E48}" presName="Accent" presStyleLbl="bgShp" presStyleIdx="3" presStyleCnt="6"/>
      <dgm:spPr/>
    </dgm:pt>
    <dgm:pt modelId="{74249798-FEB0-4232-A715-90EBACA7E22A}" type="pres">
      <dgm:prSet presAssocID="{391BD3AA-AAC9-4152-975F-BCFDD5777E48}" presName="Child4" presStyleLbl="node1" presStyleIdx="3" presStyleCnt="6">
        <dgm:presLayoutVars>
          <dgm:chMax val="0"/>
          <dgm:chPref val="0"/>
          <dgm:bulletEnabled val="1"/>
        </dgm:presLayoutVars>
      </dgm:prSet>
      <dgm:spPr/>
    </dgm:pt>
    <dgm:pt modelId="{12C32150-3731-4704-A69C-AF9C188F9121}" type="pres">
      <dgm:prSet presAssocID="{5BC3B365-18EC-49F9-8A1F-75F7433FAF27}" presName="Accent5" presStyleCnt="0"/>
      <dgm:spPr/>
    </dgm:pt>
    <dgm:pt modelId="{1083A323-4452-4FDA-8955-B5B624BD374B}" type="pres">
      <dgm:prSet presAssocID="{5BC3B365-18EC-49F9-8A1F-75F7433FAF27}" presName="Accent" presStyleLbl="bgShp" presStyleIdx="4" presStyleCnt="6"/>
      <dgm:spPr/>
    </dgm:pt>
    <dgm:pt modelId="{294200AC-B252-4CB2-9D78-58E5A19D8C2F}" type="pres">
      <dgm:prSet presAssocID="{5BC3B365-18EC-49F9-8A1F-75F7433FAF27}" presName="Child5" presStyleLbl="node1" presStyleIdx="4" presStyleCnt="6">
        <dgm:presLayoutVars>
          <dgm:chMax val="0"/>
          <dgm:chPref val="0"/>
          <dgm:bulletEnabled val="1"/>
        </dgm:presLayoutVars>
      </dgm:prSet>
      <dgm:spPr/>
    </dgm:pt>
    <dgm:pt modelId="{8B98FE4B-B184-47CA-A860-ACA234DA1FEE}" type="pres">
      <dgm:prSet presAssocID="{75A1C698-380B-42AC-BED1-003E07D9DCE5}" presName="Accent6" presStyleCnt="0"/>
      <dgm:spPr/>
    </dgm:pt>
    <dgm:pt modelId="{54447FA5-049F-4D99-9278-845AA91C79E0}" type="pres">
      <dgm:prSet presAssocID="{75A1C698-380B-42AC-BED1-003E07D9DCE5}" presName="Accent" presStyleLbl="bgShp" presStyleIdx="5" presStyleCnt="6"/>
      <dgm:spPr/>
    </dgm:pt>
    <dgm:pt modelId="{D6B332FE-8E32-4E4A-BE73-73AC242D1C52}" type="pres">
      <dgm:prSet presAssocID="{75A1C698-380B-42AC-BED1-003E07D9DCE5}" presName="Child6" presStyleLbl="node1" presStyleIdx="5" presStyleCnt="6">
        <dgm:presLayoutVars>
          <dgm:chMax val="0"/>
          <dgm:chPref val="0"/>
          <dgm:bulletEnabled val="1"/>
        </dgm:presLayoutVars>
      </dgm:prSet>
      <dgm:spPr/>
    </dgm:pt>
  </dgm:ptLst>
  <dgm:cxnLst>
    <dgm:cxn modelId="{65B26301-DCC5-463A-9896-C6EEC6DE4D81}" type="presOf" srcId="{A9C07716-30AB-4169-97B5-F4A9701C76B1}" destId="{1D6D2BC1-5CA5-4DEE-A87C-7282FCC9E793}" srcOrd="0" destOrd="0" presId="urn:microsoft.com/office/officeart/2011/layout/HexagonRadial"/>
    <dgm:cxn modelId="{7D7E5813-DB52-4B61-B126-870FE91B8C29}" srcId="{D2F71071-B6DF-49D1-A0F2-A13B70B30DC9}" destId="{BF5DECD6-024C-449C-B313-2D26FCCFE53C}" srcOrd="0" destOrd="0" parTransId="{A04B5B8E-72F8-480A-B042-27175C37F22A}" sibTransId="{5D8320C2-D4A6-456A-A410-5F81C40EA023}"/>
    <dgm:cxn modelId="{8210BD2A-33FC-40D6-89DD-F16FA154A31D}" srcId="{78CDD01F-D9C3-4997-B5D1-BBDAFBBF9612}" destId="{D2F71071-B6DF-49D1-A0F2-A13B70B30DC9}" srcOrd="0" destOrd="0" parTransId="{D9FF5E13-863F-4D94-A631-330C8BC43F4F}" sibTransId="{E9157D23-8AB2-4172-BE95-E48F62A8F2E6}"/>
    <dgm:cxn modelId="{541B326D-A29B-4E0C-9E21-E7FDE6A36C3F}" srcId="{D2F71071-B6DF-49D1-A0F2-A13B70B30DC9}" destId="{5BC3B365-18EC-49F9-8A1F-75F7433FAF27}" srcOrd="4" destOrd="0" parTransId="{1CA2DDA6-D479-4D1B-9D0F-EE6F46D7A822}" sibTransId="{E53B9060-0E4F-42DA-8175-056A5EA611E2}"/>
    <dgm:cxn modelId="{9B7E1C50-3C34-400C-BA8D-4D31848346DB}" type="presOf" srcId="{391BD3AA-AAC9-4152-975F-BCFDD5777E48}" destId="{74249798-FEB0-4232-A715-90EBACA7E22A}" srcOrd="0" destOrd="0" presId="urn:microsoft.com/office/officeart/2011/layout/HexagonRadial"/>
    <dgm:cxn modelId="{717B6F7E-BB33-48FB-A1E7-5FD43B320351}" type="presOf" srcId="{BF5DECD6-024C-449C-B313-2D26FCCFE53C}" destId="{28671D10-2304-4271-89F8-2BF3E3E84732}" srcOrd="0" destOrd="0" presId="urn:microsoft.com/office/officeart/2011/layout/HexagonRadial"/>
    <dgm:cxn modelId="{4CC51192-989E-4CAB-8448-4F9C42FDFFF9}" srcId="{D2F71071-B6DF-49D1-A0F2-A13B70B30DC9}" destId="{391BD3AA-AAC9-4152-975F-BCFDD5777E48}" srcOrd="3" destOrd="0" parTransId="{84F54954-4816-4137-B75D-85349021B8AC}" sibTransId="{09616B8D-EB6F-4FAE-85C1-39FBAA903B7F}"/>
    <dgm:cxn modelId="{1D4A5695-5A60-4DD9-9B6F-EDA7D7039201}" srcId="{D2F71071-B6DF-49D1-A0F2-A13B70B30DC9}" destId="{B92EA40E-94C2-4B7A-B643-CB6EE673498B}" srcOrd="1" destOrd="0" parTransId="{488D1E76-FE77-47BA-A1FD-B40130986484}" sibTransId="{FA057FA3-421C-4652-80CE-B624922B4956}"/>
    <dgm:cxn modelId="{D3C754AA-F27C-4D8A-8857-03F6A8030F6E}" type="presOf" srcId="{B92EA40E-94C2-4B7A-B643-CB6EE673498B}" destId="{8952F1EE-30A8-40E6-A9B2-764070CF0CE5}" srcOrd="0" destOrd="0" presId="urn:microsoft.com/office/officeart/2011/layout/HexagonRadial"/>
    <dgm:cxn modelId="{B6D066AD-68B1-4C81-A72C-1E3E28739628}" type="presOf" srcId="{75A1C698-380B-42AC-BED1-003E07D9DCE5}" destId="{D6B332FE-8E32-4E4A-BE73-73AC242D1C52}" srcOrd="0" destOrd="0" presId="urn:microsoft.com/office/officeart/2011/layout/HexagonRadial"/>
    <dgm:cxn modelId="{885755B3-6BF1-4869-8A4D-4D17F6B399C2}" type="presOf" srcId="{5BC3B365-18EC-49F9-8A1F-75F7433FAF27}" destId="{294200AC-B252-4CB2-9D78-58E5A19D8C2F}" srcOrd="0" destOrd="0" presId="urn:microsoft.com/office/officeart/2011/layout/HexagonRadial"/>
    <dgm:cxn modelId="{7F78D6D3-2620-480F-ACB3-1C0D78AEE756}" type="presOf" srcId="{78CDD01F-D9C3-4997-B5D1-BBDAFBBF9612}" destId="{99DEEFDA-96C0-4D1D-9163-4EEAE4159DBD}" srcOrd="0" destOrd="0" presId="urn:microsoft.com/office/officeart/2011/layout/HexagonRadial"/>
    <dgm:cxn modelId="{6DA6D9DF-7209-477F-BDDE-3E0D36A4988C}" srcId="{D2F71071-B6DF-49D1-A0F2-A13B70B30DC9}" destId="{75A1C698-380B-42AC-BED1-003E07D9DCE5}" srcOrd="5" destOrd="0" parTransId="{32347A02-3CA6-4617-8DD6-80560D5ED124}" sibTransId="{BFAAB787-8172-49E4-9A84-60C9117C327C}"/>
    <dgm:cxn modelId="{B78FE3EE-0491-4059-BF7B-219012618381}" srcId="{D2F71071-B6DF-49D1-A0F2-A13B70B30DC9}" destId="{A9C07716-30AB-4169-97B5-F4A9701C76B1}" srcOrd="2" destOrd="0" parTransId="{26AFAE4F-3BBC-4607-A830-BC45029811C1}" sibTransId="{17076148-18E3-4BED-AEF1-E890AFD71B47}"/>
    <dgm:cxn modelId="{57503CEF-56AB-4EF8-9A62-6CC3691F0EAC}" type="presOf" srcId="{D2F71071-B6DF-49D1-A0F2-A13B70B30DC9}" destId="{2002387B-FA23-47EF-8E14-160EEB5885E9}" srcOrd="0" destOrd="0" presId="urn:microsoft.com/office/officeart/2011/layout/HexagonRadial"/>
    <dgm:cxn modelId="{69C279E7-7E1C-4D76-B7D5-D9E2F3DDB4FB}" type="presParOf" srcId="{99DEEFDA-96C0-4D1D-9163-4EEAE4159DBD}" destId="{2002387B-FA23-47EF-8E14-160EEB5885E9}" srcOrd="0" destOrd="0" presId="urn:microsoft.com/office/officeart/2011/layout/HexagonRadial"/>
    <dgm:cxn modelId="{C05DC1F4-D278-404E-8F6A-D30889CF1202}" type="presParOf" srcId="{99DEEFDA-96C0-4D1D-9163-4EEAE4159DBD}" destId="{C31861CB-A321-4ACB-9F07-047F245E721F}" srcOrd="1" destOrd="0" presId="urn:microsoft.com/office/officeart/2011/layout/HexagonRadial"/>
    <dgm:cxn modelId="{66E5520E-6DB4-450D-BBC9-D259ED9D7794}" type="presParOf" srcId="{C31861CB-A321-4ACB-9F07-047F245E721F}" destId="{DB3C0453-AAF5-4EF1-BBDE-9F9F6B3807E0}" srcOrd="0" destOrd="0" presId="urn:microsoft.com/office/officeart/2011/layout/HexagonRadial"/>
    <dgm:cxn modelId="{C3F669CF-ACF4-4AE9-B2B2-11057C5D48BE}" type="presParOf" srcId="{99DEEFDA-96C0-4D1D-9163-4EEAE4159DBD}" destId="{28671D10-2304-4271-89F8-2BF3E3E84732}" srcOrd="2" destOrd="0" presId="urn:microsoft.com/office/officeart/2011/layout/HexagonRadial"/>
    <dgm:cxn modelId="{C95C6C80-D3DC-4C7E-AE14-A37BB08E7814}" type="presParOf" srcId="{99DEEFDA-96C0-4D1D-9163-4EEAE4159DBD}" destId="{7BA30B38-D6A0-454F-AA1C-01D3E068A16A}" srcOrd="3" destOrd="0" presId="urn:microsoft.com/office/officeart/2011/layout/HexagonRadial"/>
    <dgm:cxn modelId="{A387BE87-D2A6-45B5-9B9D-D5D71504552C}" type="presParOf" srcId="{7BA30B38-D6A0-454F-AA1C-01D3E068A16A}" destId="{B74D0232-B7CE-4D92-9D58-194EEE2B0F40}" srcOrd="0" destOrd="0" presId="urn:microsoft.com/office/officeart/2011/layout/HexagonRadial"/>
    <dgm:cxn modelId="{6E5EAD15-05CC-406F-8CF6-906223C7CBC9}" type="presParOf" srcId="{99DEEFDA-96C0-4D1D-9163-4EEAE4159DBD}" destId="{8952F1EE-30A8-40E6-A9B2-764070CF0CE5}" srcOrd="4" destOrd="0" presId="urn:microsoft.com/office/officeart/2011/layout/HexagonRadial"/>
    <dgm:cxn modelId="{ECB44C6E-4BEC-4BF4-BBC4-2DFF09851B1F}" type="presParOf" srcId="{99DEEFDA-96C0-4D1D-9163-4EEAE4159DBD}" destId="{9DCAFF95-8A16-4E8A-B3BE-DE1D2B255CF7}" srcOrd="5" destOrd="0" presId="urn:microsoft.com/office/officeart/2011/layout/HexagonRadial"/>
    <dgm:cxn modelId="{1541B5BF-CCB5-45E7-80E9-B655FF6386C1}" type="presParOf" srcId="{9DCAFF95-8A16-4E8A-B3BE-DE1D2B255CF7}" destId="{17C5A501-D51C-4235-9609-52FE16F054AA}" srcOrd="0" destOrd="0" presId="urn:microsoft.com/office/officeart/2011/layout/HexagonRadial"/>
    <dgm:cxn modelId="{1F4D307B-1E99-4137-94AE-5624D63BA027}" type="presParOf" srcId="{99DEEFDA-96C0-4D1D-9163-4EEAE4159DBD}" destId="{1D6D2BC1-5CA5-4DEE-A87C-7282FCC9E793}" srcOrd="6" destOrd="0" presId="urn:microsoft.com/office/officeart/2011/layout/HexagonRadial"/>
    <dgm:cxn modelId="{455FCE1F-0F67-4981-A473-B6362E15B805}" type="presParOf" srcId="{99DEEFDA-96C0-4D1D-9163-4EEAE4159DBD}" destId="{CA788F67-40A2-4586-859C-E3640A2870C5}" srcOrd="7" destOrd="0" presId="urn:microsoft.com/office/officeart/2011/layout/HexagonRadial"/>
    <dgm:cxn modelId="{F7611573-66DC-4939-BEED-1B26A9710D2A}" type="presParOf" srcId="{CA788F67-40A2-4586-859C-E3640A2870C5}" destId="{FDF24BF9-7D80-482B-B209-1F7C91362888}" srcOrd="0" destOrd="0" presId="urn:microsoft.com/office/officeart/2011/layout/HexagonRadial"/>
    <dgm:cxn modelId="{1174F926-C956-467B-956D-14B437B66EF7}" type="presParOf" srcId="{99DEEFDA-96C0-4D1D-9163-4EEAE4159DBD}" destId="{74249798-FEB0-4232-A715-90EBACA7E22A}" srcOrd="8" destOrd="0" presId="urn:microsoft.com/office/officeart/2011/layout/HexagonRadial"/>
    <dgm:cxn modelId="{5B1D45D0-AD26-42C9-96B5-BC2837062C04}" type="presParOf" srcId="{99DEEFDA-96C0-4D1D-9163-4EEAE4159DBD}" destId="{12C32150-3731-4704-A69C-AF9C188F9121}" srcOrd="9" destOrd="0" presId="urn:microsoft.com/office/officeart/2011/layout/HexagonRadial"/>
    <dgm:cxn modelId="{3D9713E5-4208-49DA-B3EF-5764FA9AEF79}" type="presParOf" srcId="{12C32150-3731-4704-A69C-AF9C188F9121}" destId="{1083A323-4452-4FDA-8955-B5B624BD374B}" srcOrd="0" destOrd="0" presId="urn:microsoft.com/office/officeart/2011/layout/HexagonRadial"/>
    <dgm:cxn modelId="{0C3E5AD4-CB16-4B65-A8CC-45CD62B533C2}" type="presParOf" srcId="{99DEEFDA-96C0-4D1D-9163-4EEAE4159DBD}" destId="{294200AC-B252-4CB2-9D78-58E5A19D8C2F}" srcOrd="10" destOrd="0" presId="urn:microsoft.com/office/officeart/2011/layout/HexagonRadial"/>
    <dgm:cxn modelId="{8C12BC38-19D6-4CDF-89D7-DE016CAD997F}" type="presParOf" srcId="{99DEEFDA-96C0-4D1D-9163-4EEAE4159DBD}" destId="{8B98FE4B-B184-47CA-A860-ACA234DA1FEE}" srcOrd="11" destOrd="0" presId="urn:microsoft.com/office/officeart/2011/layout/HexagonRadial"/>
    <dgm:cxn modelId="{6801107F-BB63-4491-9DC6-F39876894A88}" type="presParOf" srcId="{8B98FE4B-B184-47CA-A860-ACA234DA1FEE}" destId="{54447FA5-049F-4D99-9278-845AA91C79E0}" srcOrd="0" destOrd="0" presId="urn:microsoft.com/office/officeart/2011/layout/HexagonRadial"/>
    <dgm:cxn modelId="{3D759103-7BE5-47FD-92A7-DCE93F6DEEBF}" type="presParOf" srcId="{99DEEFDA-96C0-4D1D-9163-4EEAE4159DBD}" destId="{D6B332FE-8E32-4E4A-BE73-73AC242D1C52}" srcOrd="12" destOrd="0" presId="urn:microsoft.com/office/officeart/2011/layout/HexagonRadial"/>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FA94D67-1BC2-4687-8B2B-CE3475F9CD9D}"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5AD8A389-B48C-4616-8174-EBD87265D10E}">
      <dgm:prSet phldrT="[Text]" custT="1"/>
      <dgm:spPr>
        <a:solidFill>
          <a:schemeClr val="accent6">
            <a:lumMod val="20000"/>
            <a:lumOff val="80000"/>
          </a:schemeClr>
        </a:solidFill>
      </dgm:spPr>
      <dgm:t>
        <a:bodyPr/>
        <a:lstStyle/>
        <a:p>
          <a:r>
            <a:rPr lang="en-GB" sz="1000" b="1" u="none">
              <a:solidFill>
                <a:schemeClr val="tx1"/>
              </a:solidFill>
            </a:rPr>
            <a:t>Partnerships </a:t>
          </a:r>
        </a:p>
      </dgm:t>
    </dgm:pt>
    <dgm:pt modelId="{47B33D1E-7823-490E-9AA6-E6EB6A1B2AD1}" type="parTrans" cxnId="{4B86994E-D448-4250-9771-371AFAFD1708}">
      <dgm:prSet/>
      <dgm:spPr/>
      <dgm:t>
        <a:bodyPr/>
        <a:lstStyle/>
        <a:p>
          <a:endParaRPr lang="en-GB" u="none"/>
        </a:p>
      </dgm:t>
    </dgm:pt>
    <dgm:pt modelId="{4EF32294-D7A0-47C9-B968-5BCFE9EB03D9}" type="sibTrans" cxnId="{4B86994E-D448-4250-9771-371AFAFD1708}">
      <dgm:prSet/>
      <dgm:spPr/>
      <dgm:t>
        <a:bodyPr/>
        <a:lstStyle/>
        <a:p>
          <a:endParaRPr lang="en-GB" u="none"/>
        </a:p>
      </dgm:t>
    </dgm:pt>
    <dgm:pt modelId="{7AA9DEDB-B777-49D3-A089-CC09DA9523F8}">
      <dgm:prSet phldrT="[Text]" custT="1"/>
      <dgm:spPr>
        <a:solidFill>
          <a:schemeClr val="accent6">
            <a:lumMod val="20000"/>
            <a:lumOff val="80000"/>
          </a:schemeClr>
        </a:solidFill>
      </dgm:spPr>
      <dgm:t>
        <a:bodyPr/>
        <a:lstStyle/>
        <a:p>
          <a:r>
            <a:rPr lang="en-GB" sz="1000" b="1" u="none">
              <a:solidFill>
                <a:schemeClr val="tx1"/>
              </a:solidFill>
            </a:rPr>
            <a:t>Increase partnerships within primary care </a:t>
          </a:r>
        </a:p>
      </dgm:t>
    </dgm:pt>
    <dgm:pt modelId="{2E5CA8FA-1160-4FC3-BDC2-4C7DDE72774E}" type="parTrans" cxnId="{5FD7C171-32F2-4099-99F1-79AA11924027}">
      <dgm:prSet/>
      <dgm:spPr/>
      <dgm:t>
        <a:bodyPr/>
        <a:lstStyle/>
        <a:p>
          <a:endParaRPr lang="en-GB" u="none"/>
        </a:p>
      </dgm:t>
    </dgm:pt>
    <dgm:pt modelId="{B3BE7909-C4E1-44A7-84C1-B5D4F794DD99}" type="sibTrans" cxnId="{5FD7C171-32F2-4099-99F1-79AA11924027}">
      <dgm:prSet/>
      <dgm:spPr/>
      <dgm:t>
        <a:bodyPr/>
        <a:lstStyle/>
        <a:p>
          <a:endParaRPr lang="en-GB" u="none"/>
        </a:p>
      </dgm:t>
    </dgm:pt>
    <dgm:pt modelId="{8A997E4A-B5B9-4A78-AA9C-A4D090F75849}">
      <dgm:prSet phldrT="[Text]" custT="1"/>
      <dgm:spPr>
        <a:solidFill>
          <a:schemeClr val="accent6">
            <a:lumMod val="20000"/>
            <a:lumOff val="80000"/>
          </a:schemeClr>
        </a:solidFill>
      </dgm:spPr>
      <dgm:t>
        <a:bodyPr/>
        <a:lstStyle/>
        <a:p>
          <a:r>
            <a:rPr lang="en-GB" sz="1000" b="1" u="none">
              <a:solidFill>
                <a:schemeClr val="tx1"/>
              </a:solidFill>
            </a:rPr>
            <a:t>Build relationships with statutory partners, DWP, Probation</a:t>
          </a:r>
        </a:p>
      </dgm:t>
    </dgm:pt>
    <dgm:pt modelId="{A629724E-6A2E-4694-AFF0-CB5AD4D7FB00}" type="parTrans" cxnId="{9A784EB5-4201-4BD5-A206-E3AB6CA63131}">
      <dgm:prSet/>
      <dgm:spPr/>
      <dgm:t>
        <a:bodyPr/>
        <a:lstStyle/>
        <a:p>
          <a:endParaRPr lang="en-GB" u="none"/>
        </a:p>
      </dgm:t>
    </dgm:pt>
    <dgm:pt modelId="{4B330B59-7892-44DF-B679-F6912C245A23}" type="sibTrans" cxnId="{9A784EB5-4201-4BD5-A206-E3AB6CA63131}">
      <dgm:prSet/>
      <dgm:spPr/>
      <dgm:t>
        <a:bodyPr/>
        <a:lstStyle/>
        <a:p>
          <a:endParaRPr lang="en-GB" u="none"/>
        </a:p>
      </dgm:t>
    </dgm:pt>
    <dgm:pt modelId="{6FAA3E5C-815B-4CC0-84DC-1CF9FECDED90}">
      <dgm:prSet phldrT="[Text]" custT="1"/>
      <dgm:spPr>
        <a:solidFill>
          <a:schemeClr val="accent6">
            <a:lumMod val="20000"/>
            <a:lumOff val="80000"/>
          </a:schemeClr>
        </a:solidFill>
      </dgm:spPr>
      <dgm:t>
        <a:bodyPr/>
        <a:lstStyle/>
        <a:p>
          <a:r>
            <a:rPr lang="en-GB" sz="1000" b="1" u="none">
              <a:solidFill>
                <a:schemeClr val="tx1"/>
              </a:solidFill>
            </a:rPr>
            <a:t>Earlier</a:t>
          </a:r>
        </a:p>
        <a:p>
          <a:r>
            <a:rPr lang="en-GB" sz="1000" b="1" u="none">
              <a:solidFill>
                <a:schemeClr val="tx1"/>
              </a:solidFill>
            </a:rPr>
            <a:t> intervention and prevention </a:t>
          </a:r>
        </a:p>
      </dgm:t>
    </dgm:pt>
    <dgm:pt modelId="{703CBA6F-F2CA-481E-AB8F-EBC600109D9A}" type="parTrans" cxnId="{D419451A-3D92-4C9C-BB6A-D10E5AD17516}">
      <dgm:prSet/>
      <dgm:spPr/>
      <dgm:t>
        <a:bodyPr/>
        <a:lstStyle/>
        <a:p>
          <a:endParaRPr lang="en-GB" u="none"/>
        </a:p>
      </dgm:t>
    </dgm:pt>
    <dgm:pt modelId="{D6E6A350-5839-4557-B9D9-098440541A74}" type="sibTrans" cxnId="{D419451A-3D92-4C9C-BB6A-D10E5AD17516}">
      <dgm:prSet/>
      <dgm:spPr/>
      <dgm:t>
        <a:bodyPr/>
        <a:lstStyle/>
        <a:p>
          <a:endParaRPr lang="en-GB" u="none"/>
        </a:p>
      </dgm:t>
    </dgm:pt>
    <dgm:pt modelId="{01FD9EC8-7232-4132-B8CB-E396B2925CF4}">
      <dgm:prSet phldrT="[Text]" custT="1"/>
      <dgm:spPr>
        <a:solidFill>
          <a:schemeClr val="accent6">
            <a:lumMod val="20000"/>
            <a:lumOff val="80000"/>
          </a:schemeClr>
        </a:solidFill>
      </dgm:spPr>
      <dgm:t>
        <a:bodyPr/>
        <a:lstStyle/>
        <a:p>
          <a:r>
            <a:rPr lang="en-GB" sz="1000" b="1" u="none">
              <a:solidFill>
                <a:schemeClr val="tx1"/>
              </a:solidFill>
            </a:rPr>
            <a:t>Improved specialist housing offer </a:t>
          </a:r>
        </a:p>
      </dgm:t>
    </dgm:pt>
    <dgm:pt modelId="{E1233C7A-0AAC-41BE-A387-66F8A657F8BB}" type="parTrans" cxnId="{66494083-2C0D-4157-AFA7-ED1A64F8B80E}">
      <dgm:prSet/>
      <dgm:spPr/>
      <dgm:t>
        <a:bodyPr/>
        <a:lstStyle/>
        <a:p>
          <a:endParaRPr lang="en-GB" u="none"/>
        </a:p>
      </dgm:t>
    </dgm:pt>
    <dgm:pt modelId="{B80FF0C8-9320-428D-8257-DA8EE0E50074}" type="sibTrans" cxnId="{66494083-2C0D-4157-AFA7-ED1A64F8B80E}">
      <dgm:prSet/>
      <dgm:spPr/>
      <dgm:t>
        <a:bodyPr/>
        <a:lstStyle/>
        <a:p>
          <a:endParaRPr lang="en-GB" u="none"/>
        </a:p>
      </dgm:t>
    </dgm:pt>
    <dgm:pt modelId="{F2DD8CDF-71B7-4B42-8A05-252CF0CD3BEF}">
      <dgm:prSet phldrT="[Text]" custT="1"/>
      <dgm:spPr>
        <a:solidFill>
          <a:schemeClr val="accent6">
            <a:lumMod val="20000"/>
            <a:lumOff val="80000"/>
          </a:schemeClr>
        </a:solidFill>
      </dgm:spPr>
      <dgm:t>
        <a:bodyPr/>
        <a:lstStyle/>
        <a:p>
          <a:r>
            <a:rPr lang="en-GB" sz="1000" b="1" u="none">
              <a:solidFill>
                <a:schemeClr val="tx1"/>
              </a:solidFill>
            </a:rPr>
            <a:t>Clearer handovers between substance use services &amp; partners </a:t>
          </a:r>
        </a:p>
      </dgm:t>
    </dgm:pt>
    <dgm:pt modelId="{37A25303-F30A-4D86-A1BF-874D4ED0D5AB}" type="parTrans" cxnId="{1E3E88A5-CD53-4FFB-B163-ECEB34569423}">
      <dgm:prSet/>
      <dgm:spPr/>
      <dgm:t>
        <a:bodyPr/>
        <a:lstStyle/>
        <a:p>
          <a:endParaRPr lang="en-GB" u="none"/>
        </a:p>
      </dgm:t>
    </dgm:pt>
    <dgm:pt modelId="{C5E78FAB-CE62-43AD-A104-4A4123571333}" type="sibTrans" cxnId="{1E3E88A5-CD53-4FFB-B163-ECEB34569423}">
      <dgm:prSet/>
      <dgm:spPr/>
      <dgm:t>
        <a:bodyPr/>
        <a:lstStyle/>
        <a:p>
          <a:endParaRPr lang="en-GB" u="none"/>
        </a:p>
      </dgm:t>
    </dgm:pt>
    <dgm:pt modelId="{C1BEDE53-2D99-4995-B34D-E52BE698175A}">
      <dgm:prSet phldrT="[Text]" custT="1"/>
      <dgm:spPr>
        <a:solidFill>
          <a:schemeClr val="accent6">
            <a:lumMod val="20000"/>
            <a:lumOff val="80000"/>
          </a:schemeClr>
        </a:solidFill>
      </dgm:spPr>
      <dgm:t>
        <a:bodyPr/>
        <a:lstStyle/>
        <a:p>
          <a:r>
            <a:rPr lang="en-GB" sz="1000" b="1" u="none">
              <a:solidFill>
                <a:schemeClr val="tx1"/>
              </a:solidFill>
            </a:rPr>
            <a:t>Increase volunteering /employment opportunities </a:t>
          </a:r>
        </a:p>
      </dgm:t>
    </dgm:pt>
    <dgm:pt modelId="{86A56539-DA83-4C61-8F43-AE913093BA80}" type="parTrans" cxnId="{B9AC4700-EFF9-4E7B-9F0F-4192C7F9C043}">
      <dgm:prSet/>
      <dgm:spPr/>
      <dgm:t>
        <a:bodyPr/>
        <a:lstStyle/>
        <a:p>
          <a:endParaRPr lang="en-GB" u="none"/>
        </a:p>
      </dgm:t>
    </dgm:pt>
    <dgm:pt modelId="{F404AE11-3DA7-4202-BB2D-92B3AF9EA9FF}" type="sibTrans" cxnId="{B9AC4700-EFF9-4E7B-9F0F-4192C7F9C043}">
      <dgm:prSet/>
      <dgm:spPr/>
      <dgm:t>
        <a:bodyPr/>
        <a:lstStyle/>
        <a:p>
          <a:endParaRPr lang="en-GB" u="none"/>
        </a:p>
      </dgm:t>
    </dgm:pt>
    <dgm:pt modelId="{96D8D47C-201C-4BEC-9F83-93125D990048}" type="pres">
      <dgm:prSet presAssocID="{5FA94D67-1BC2-4687-8B2B-CE3475F9CD9D}" presName="Name0" presStyleCnt="0">
        <dgm:presLayoutVars>
          <dgm:chMax val="1"/>
          <dgm:chPref val="1"/>
          <dgm:dir/>
          <dgm:animOne val="branch"/>
          <dgm:animLvl val="lvl"/>
        </dgm:presLayoutVars>
      </dgm:prSet>
      <dgm:spPr/>
    </dgm:pt>
    <dgm:pt modelId="{16ED0F3A-3597-43CF-807B-F2C28667F7D0}" type="pres">
      <dgm:prSet presAssocID="{5AD8A389-B48C-4616-8174-EBD87265D10E}" presName="Parent" presStyleLbl="node0" presStyleIdx="0" presStyleCnt="1">
        <dgm:presLayoutVars>
          <dgm:chMax val="6"/>
          <dgm:chPref val="6"/>
        </dgm:presLayoutVars>
      </dgm:prSet>
      <dgm:spPr/>
    </dgm:pt>
    <dgm:pt modelId="{F8679A4C-4F2B-44AC-BE03-AB5DC8E2EE02}" type="pres">
      <dgm:prSet presAssocID="{7AA9DEDB-B777-49D3-A089-CC09DA9523F8}" presName="Accent1" presStyleCnt="0"/>
      <dgm:spPr/>
    </dgm:pt>
    <dgm:pt modelId="{3071B974-5EA4-43C4-BF8B-0D245133B6C5}" type="pres">
      <dgm:prSet presAssocID="{7AA9DEDB-B777-49D3-A089-CC09DA9523F8}" presName="Accent" presStyleLbl="bgShp" presStyleIdx="0" presStyleCnt="6"/>
      <dgm:spPr/>
    </dgm:pt>
    <dgm:pt modelId="{7F4B743D-6DAF-43A9-94B3-16B0BE97A9D0}" type="pres">
      <dgm:prSet presAssocID="{7AA9DEDB-B777-49D3-A089-CC09DA9523F8}" presName="Child1" presStyleLbl="node1" presStyleIdx="0" presStyleCnt="6">
        <dgm:presLayoutVars>
          <dgm:chMax val="0"/>
          <dgm:chPref val="0"/>
          <dgm:bulletEnabled val="1"/>
        </dgm:presLayoutVars>
      </dgm:prSet>
      <dgm:spPr/>
    </dgm:pt>
    <dgm:pt modelId="{618F0A19-73C7-45F5-89AD-5857570B8C2F}" type="pres">
      <dgm:prSet presAssocID="{8A997E4A-B5B9-4A78-AA9C-A4D090F75849}" presName="Accent2" presStyleCnt="0"/>
      <dgm:spPr/>
    </dgm:pt>
    <dgm:pt modelId="{67E00B0E-9D1C-4D39-8554-DD6897BEDC27}" type="pres">
      <dgm:prSet presAssocID="{8A997E4A-B5B9-4A78-AA9C-A4D090F75849}" presName="Accent" presStyleLbl="bgShp" presStyleIdx="1" presStyleCnt="6"/>
      <dgm:spPr/>
    </dgm:pt>
    <dgm:pt modelId="{D82C689A-EE99-4417-92F9-0BD5D6ED26DC}" type="pres">
      <dgm:prSet presAssocID="{8A997E4A-B5B9-4A78-AA9C-A4D090F75849}" presName="Child2" presStyleLbl="node1" presStyleIdx="1" presStyleCnt="6">
        <dgm:presLayoutVars>
          <dgm:chMax val="0"/>
          <dgm:chPref val="0"/>
          <dgm:bulletEnabled val="1"/>
        </dgm:presLayoutVars>
      </dgm:prSet>
      <dgm:spPr/>
    </dgm:pt>
    <dgm:pt modelId="{30985943-A433-483A-836C-B3B5281A260C}" type="pres">
      <dgm:prSet presAssocID="{6FAA3E5C-815B-4CC0-84DC-1CF9FECDED90}" presName="Accent3" presStyleCnt="0"/>
      <dgm:spPr/>
    </dgm:pt>
    <dgm:pt modelId="{9979F9F7-65AC-4B05-A952-8D69CDEDBF5D}" type="pres">
      <dgm:prSet presAssocID="{6FAA3E5C-815B-4CC0-84DC-1CF9FECDED90}" presName="Accent" presStyleLbl="bgShp" presStyleIdx="2" presStyleCnt="6"/>
      <dgm:spPr/>
    </dgm:pt>
    <dgm:pt modelId="{41C942B3-134B-423B-A796-B5D9329BE0B7}" type="pres">
      <dgm:prSet presAssocID="{6FAA3E5C-815B-4CC0-84DC-1CF9FECDED90}" presName="Child3" presStyleLbl="node1" presStyleIdx="2" presStyleCnt="6">
        <dgm:presLayoutVars>
          <dgm:chMax val="0"/>
          <dgm:chPref val="0"/>
          <dgm:bulletEnabled val="1"/>
        </dgm:presLayoutVars>
      </dgm:prSet>
      <dgm:spPr/>
    </dgm:pt>
    <dgm:pt modelId="{D03126B2-A93F-4AEA-8EF3-02979685A406}" type="pres">
      <dgm:prSet presAssocID="{01FD9EC8-7232-4132-B8CB-E396B2925CF4}" presName="Accent4" presStyleCnt="0"/>
      <dgm:spPr/>
    </dgm:pt>
    <dgm:pt modelId="{10513944-2CCB-40EC-8450-63FDD234C9BE}" type="pres">
      <dgm:prSet presAssocID="{01FD9EC8-7232-4132-B8CB-E396B2925CF4}" presName="Accent" presStyleLbl="bgShp" presStyleIdx="3" presStyleCnt="6"/>
      <dgm:spPr/>
    </dgm:pt>
    <dgm:pt modelId="{2352B432-1838-4E10-B162-2AD697B917CD}" type="pres">
      <dgm:prSet presAssocID="{01FD9EC8-7232-4132-B8CB-E396B2925CF4}" presName="Child4" presStyleLbl="node1" presStyleIdx="3" presStyleCnt="6">
        <dgm:presLayoutVars>
          <dgm:chMax val="0"/>
          <dgm:chPref val="0"/>
          <dgm:bulletEnabled val="1"/>
        </dgm:presLayoutVars>
      </dgm:prSet>
      <dgm:spPr/>
    </dgm:pt>
    <dgm:pt modelId="{69C5078C-61AF-48DF-9E6F-154B6673DAB1}" type="pres">
      <dgm:prSet presAssocID="{F2DD8CDF-71B7-4B42-8A05-252CF0CD3BEF}" presName="Accent5" presStyleCnt="0"/>
      <dgm:spPr/>
    </dgm:pt>
    <dgm:pt modelId="{D7F31B8C-FFF3-4781-B38E-2A3D497255C3}" type="pres">
      <dgm:prSet presAssocID="{F2DD8CDF-71B7-4B42-8A05-252CF0CD3BEF}" presName="Accent" presStyleLbl="bgShp" presStyleIdx="4" presStyleCnt="6"/>
      <dgm:spPr/>
    </dgm:pt>
    <dgm:pt modelId="{5EC016EF-042B-4DB5-ADF4-6ACC16A122EE}" type="pres">
      <dgm:prSet presAssocID="{F2DD8CDF-71B7-4B42-8A05-252CF0CD3BEF}" presName="Child5" presStyleLbl="node1" presStyleIdx="4" presStyleCnt="6">
        <dgm:presLayoutVars>
          <dgm:chMax val="0"/>
          <dgm:chPref val="0"/>
          <dgm:bulletEnabled val="1"/>
        </dgm:presLayoutVars>
      </dgm:prSet>
      <dgm:spPr/>
    </dgm:pt>
    <dgm:pt modelId="{69C1B048-0FF0-48CF-BA69-BD873EE24CD7}" type="pres">
      <dgm:prSet presAssocID="{C1BEDE53-2D99-4995-B34D-E52BE698175A}" presName="Accent6" presStyleCnt="0"/>
      <dgm:spPr/>
    </dgm:pt>
    <dgm:pt modelId="{0924BF7E-8112-4F9A-B017-D17EDBB0616E}" type="pres">
      <dgm:prSet presAssocID="{C1BEDE53-2D99-4995-B34D-E52BE698175A}" presName="Accent" presStyleLbl="bgShp" presStyleIdx="5" presStyleCnt="6"/>
      <dgm:spPr/>
    </dgm:pt>
    <dgm:pt modelId="{8E890DBF-D5E3-4F68-9469-79D6B686B1D6}" type="pres">
      <dgm:prSet presAssocID="{C1BEDE53-2D99-4995-B34D-E52BE698175A}" presName="Child6" presStyleLbl="node1" presStyleIdx="5" presStyleCnt="6">
        <dgm:presLayoutVars>
          <dgm:chMax val="0"/>
          <dgm:chPref val="0"/>
          <dgm:bulletEnabled val="1"/>
        </dgm:presLayoutVars>
      </dgm:prSet>
      <dgm:spPr/>
    </dgm:pt>
  </dgm:ptLst>
  <dgm:cxnLst>
    <dgm:cxn modelId="{B9AC4700-EFF9-4E7B-9F0F-4192C7F9C043}" srcId="{5AD8A389-B48C-4616-8174-EBD87265D10E}" destId="{C1BEDE53-2D99-4995-B34D-E52BE698175A}" srcOrd="5" destOrd="0" parTransId="{86A56539-DA83-4C61-8F43-AE913093BA80}" sibTransId="{F404AE11-3DA7-4202-BB2D-92B3AF9EA9FF}"/>
    <dgm:cxn modelId="{D419451A-3D92-4C9C-BB6A-D10E5AD17516}" srcId="{5AD8A389-B48C-4616-8174-EBD87265D10E}" destId="{6FAA3E5C-815B-4CC0-84DC-1CF9FECDED90}" srcOrd="2" destOrd="0" parTransId="{703CBA6F-F2CA-481E-AB8F-EBC600109D9A}" sibTransId="{D6E6A350-5839-4557-B9D9-098440541A74}"/>
    <dgm:cxn modelId="{80717B68-5043-4E8D-B2B5-72A4CA1801B5}" type="presOf" srcId="{01FD9EC8-7232-4132-B8CB-E396B2925CF4}" destId="{2352B432-1838-4E10-B162-2AD697B917CD}" srcOrd="0" destOrd="0" presId="urn:microsoft.com/office/officeart/2011/layout/HexagonRadial"/>
    <dgm:cxn modelId="{4B86994E-D448-4250-9771-371AFAFD1708}" srcId="{5FA94D67-1BC2-4687-8B2B-CE3475F9CD9D}" destId="{5AD8A389-B48C-4616-8174-EBD87265D10E}" srcOrd="0" destOrd="0" parTransId="{47B33D1E-7823-490E-9AA6-E6EB6A1B2AD1}" sibTransId="{4EF32294-D7A0-47C9-B968-5BCFE9EB03D9}"/>
    <dgm:cxn modelId="{5FD7C171-32F2-4099-99F1-79AA11924027}" srcId="{5AD8A389-B48C-4616-8174-EBD87265D10E}" destId="{7AA9DEDB-B777-49D3-A089-CC09DA9523F8}" srcOrd="0" destOrd="0" parTransId="{2E5CA8FA-1160-4FC3-BDC2-4C7DDE72774E}" sibTransId="{B3BE7909-C4E1-44A7-84C1-B5D4F794DD99}"/>
    <dgm:cxn modelId="{EFCFAF58-1B7E-4D22-B821-987E48D81F33}" type="presOf" srcId="{5FA94D67-1BC2-4687-8B2B-CE3475F9CD9D}" destId="{96D8D47C-201C-4BEC-9F83-93125D990048}" srcOrd="0" destOrd="0" presId="urn:microsoft.com/office/officeart/2011/layout/HexagonRadial"/>
    <dgm:cxn modelId="{66494083-2C0D-4157-AFA7-ED1A64F8B80E}" srcId="{5AD8A389-B48C-4616-8174-EBD87265D10E}" destId="{01FD9EC8-7232-4132-B8CB-E396B2925CF4}" srcOrd="3" destOrd="0" parTransId="{E1233C7A-0AAC-41BE-A387-66F8A657F8BB}" sibTransId="{B80FF0C8-9320-428D-8257-DA8EE0E50074}"/>
    <dgm:cxn modelId="{80BEF09F-788C-42E8-8487-4A7349F8A486}" type="presOf" srcId="{6FAA3E5C-815B-4CC0-84DC-1CF9FECDED90}" destId="{41C942B3-134B-423B-A796-B5D9329BE0B7}" srcOrd="0" destOrd="0" presId="urn:microsoft.com/office/officeart/2011/layout/HexagonRadial"/>
    <dgm:cxn modelId="{1E3E88A5-CD53-4FFB-B163-ECEB34569423}" srcId="{5AD8A389-B48C-4616-8174-EBD87265D10E}" destId="{F2DD8CDF-71B7-4B42-8A05-252CF0CD3BEF}" srcOrd="4" destOrd="0" parTransId="{37A25303-F30A-4D86-A1BF-874D4ED0D5AB}" sibTransId="{C5E78FAB-CE62-43AD-A104-4A4123571333}"/>
    <dgm:cxn modelId="{9A784EB5-4201-4BD5-A206-E3AB6CA63131}" srcId="{5AD8A389-B48C-4616-8174-EBD87265D10E}" destId="{8A997E4A-B5B9-4A78-AA9C-A4D090F75849}" srcOrd="1" destOrd="0" parTransId="{A629724E-6A2E-4694-AFF0-CB5AD4D7FB00}" sibTransId="{4B330B59-7892-44DF-B679-F6912C245A23}"/>
    <dgm:cxn modelId="{291CBEB6-A0C4-4C5B-8944-392872A476BB}" type="presOf" srcId="{7AA9DEDB-B777-49D3-A089-CC09DA9523F8}" destId="{7F4B743D-6DAF-43A9-94B3-16B0BE97A9D0}" srcOrd="0" destOrd="0" presId="urn:microsoft.com/office/officeart/2011/layout/HexagonRadial"/>
    <dgm:cxn modelId="{4C1829C3-6811-4A1C-8EC7-08CA509EF74C}" type="presOf" srcId="{C1BEDE53-2D99-4995-B34D-E52BE698175A}" destId="{8E890DBF-D5E3-4F68-9469-79D6B686B1D6}" srcOrd="0" destOrd="0" presId="urn:microsoft.com/office/officeart/2011/layout/HexagonRadial"/>
    <dgm:cxn modelId="{CE2F71CC-E16D-4A19-8596-4FDC95B66887}" type="presOf" srcId="{F2DD8CDF-71B7-4B42-8A05-252CF0CD3BEF}" destId="{5EC016EF-042B-4DB5-ADF4-6ACC16A122EE}" srcOrd="0" destOrd="0" presId="urn:microsoft.com/office/officeart/2011/layout/HexagonRadial"/>
    <dgm:cxn modelId="{846863F5-144A-415A-B319-6AEB7B1F3131}" type="presOf" srcId="{5AD8A389-B48C-4616-8174-EBD87265D10E}" destId="{16ED0F3A-3597-43CF-807B-F2C28667F7D0}" srcOrd="0" destOrd="0" presId="urn:microsoft.com/office/officeart/2011/layout/HexagonRadial"/>
    <dgm:cxn modelId="{73A7F8FA-97E2-4399-AB25-4B8040241838}" type="presOf" srcId="{8A997E4A-B5B9-4A78-AA9C-A4D090F75849}" destId="{D82C689A-EE99-4417-92F9-0BD5D6ED26DC}" srcOrd="0" destOrd="0" presId="urn:microsoft.com/office/officeart/2011/layout/HexagonRadial"/>
    <dgm:cxn modelId="{3E082291-6E9B-4FA4-B6A0-D64DF0CA2FA9}" type="presParOf" srcId="{96D8D47C-201C-4BEC-9F83-93125D990048}" destId="{16ED0F3A-3597-43CF-807B-F2C28667F7D0}" srcOrd="0" destOrd="0" presId="urn:microsoft.com/office/officeart/2011/layout/HexagonRadial"/>
    <dgm:cxn modelId="{7A7FA534-AE56-4886-8072-8ABDAB4BCB0E}" type="presParOf" srcId="{96D8D47C-201C-4BEC-9F83-93125D990048}" destId="{F8679A4C-4F2B-44AC-BE03-AB5DC8E2EE02}" srcOrd="1" destOrd="0" presId="urn:microsoft.com/office/officeart/2011/layout/HexagonRadial"/>
    <dgm:cxn modelId="{259937F7-1C8A-45F1-BC30-05705B577EDD}" type="presParOf" srcId="{F8679A4C-4F2B-44AC-BE03-AB5DC8E2EE02}" destId="{3071B974-5EA4-43C4-BF8B-0D245133B6C5}" srcOrd="0" destOrd="0" presId="urn:microsoft.com/office/officeart/2011/layout/HexagonRadial"/>
    <dgm:cxn modelId="{C40D66AE-C702-4383-AC1D-3C30E2964C97}" type="presParOf" srcId="{96D8D47C-201C-4BEC-9F83-93125D990048}" destId="{7F4B743D-6DAF-43A9-94B3-16B0BE97A9D0}" srcOrd="2" destOrd="0" presId="urn:microsoft.com/office/officeart/2011/layout/HexagonRadial"/>
    <dgm:cxn modelId="{1CA36EB4-9218-418D-8CEE-C0C39440428B}" type="presParOf" srcId="{96D8D47C-201C-4BEC-9F83-93125D990048}" destId="{618F0A19-73C7-45F5-89AD-5857570B8C2F}" srcOrd="3" destOrd="0" presId="urn:microsoft.com/office/officeart/2011/layout/HexagonRadial"/>
    <dgm:cxn modelId="{C14A491C-AE4E-4C0D-8516-273F4F371ACC}" type="presParOf" srcId="{618F0A19-73C7-45F5-89AD-5857570B8C2F}" destId="{67E00B0E-9D1C-4D39-8554-DD6897BEDC27}" srcOrd="0" destOrd="0" presId="urn:microsoft.com/office/officeart/2011/layout/HexagonRadial"/>
    <dgm:cxn modelId="{703BE8F8-8B77-4146-9324-C11688C474ED}" type="presParOf" srcId="{96D8D47C-201C-4BEC-9F83-93125D990048}" destId="{D82C689A-EE99-4417-92F9-0BD5D6ED26DC}" srcOrd="4" destOrd="0" presId="urn:microsoft.com/office/officeart/2011/layout/HexagonRadial"/>
    <dgm:cxn modelId="{57898B46-7028-4C1D-A344-5F79107816FA}" type="presParOf" srcId="{96D8D47C-201C-4BEC-9F83-93125D990048}" destId="{30985943-A433-483A-836C-B3B5281A260C}" srcOrd="5" destOrd="0" presId="urn:microsoft.com/office/officeart/2011/layout/HexagonRadial"/>
    <dgm:cxn modelId="{E403EE8F-0410-4FCD-9700-BAFFFCBCD356}" type="presParOf" srcId="{30985943-A433-483A-836C-B3B5281A260C}" destId="{9979F9F7-65AC-4B05-A952-8D69CDEDBF5D}" srcOrd="0" destOrd="0" presId="urn:microsoft.com/office/officeart/2011/layout/HexagonRadial"/>
    <dgm:cxn modelId="{8D2C90C1-7470-4087-A1C9-EE16F89072ED}" type="presParOf" srcId="{96D8D47C-201C-4BEC-9F83-93125D990048}" destId="{41C942B3-134B-423B-A796-B5D9329BE0B7}" srcOrd="6" destOrd="0" presId="urn:microsoft.com/office/officeart/2011/layout/HexagonRadial"/>
    <dgm:cxn modelId="{C6A54865-8391-40D6-A3D1-967E0BABD998}" type="presParOf" srcId="{96D8D47C-201C-4BEC-9F83-93125D990048}" destId="{D03126B2-A93F-4AEA-8EF3-02979685A406}" srcOrd="7" destOrd="0" presId="urn:microsoft.com/office/officeart/2011/layout/HexagonRadial"/>
    <dgm:cxn modelId="{B9957794-2A59-4AD4-8A90-F88C8FAF0FAA}" type="presParOf" srcId="{D03126B2-A93F-4AEA-8EF3-02979685A406}" destId="{10513944-2CCB-40EC-8450-63FDD234C9BE}" srcOrd="0" destOrd="0" presId="urn:microsoft.com/office/officeart/2011/layout/HexagonRadial"/>
    <dgm:cxn modelId="{62191491-C0DA-48AF-A7E6-D88224EDA9B1}" type="presParOf" srcId="{96D8D47C-201C-4BEC-9F83-93125D990048}" destId="{2352B432-1838-4E10-B162-2AD697B917CD}" srcOrd="8" destOrd="0" presId="urn:microsoft.com/office/officeart/2011/layout/HexagonRadial"/>
    <dgm:cxn modelId="{565015C2-F210-4CA7-95FE-361D01BAA863}" type="presParOf" srcId="{96D8D47C-201C-4BEC-9F83-93125D990048}" destId="{69C5078C-61AF-48DF-9E6F-154B6673DAB1}" srcOrd="9" destOrd="0" presId="urn:microsoft.com/office/officeart/2011/layout/HexagonRadial"/>
    <dgm:cxn modelId="{547A21E6-EC66-4671-ABA2-C2C1806E0AF4}" type="presParOf" srcId="{69C5078C-61AF-48DF-9E6F-154B6673DAB1}" destId="{D7F31B8C-FFF3-4781-B38E-2A3D497255C3}" srcOrd="0" destOrd="0" presId="urn:microsoft.com/office/officeart/2011/layout/HexagonRadial"/>
    <dgm:cxn modelId="{B0CE2A60-FDDF-41DB-9699-4BBEFB4FCB86}" type="presParOf" srcId="{96D8D47C-201C-4BEC-9F83-93125D990048}" destId="{5EC016EF-042B-4DB5-ADF4-6ACC16A122EE}" srcOrd="10" destOrd="0" presId="urn:microsoft.com/office/officeart/2011/layout/HexagonRadial"/>
    <dgm:cxn modelId="{76B4CD5B-7470-42EE-B704-DEC393EB0684}" type="presParOf" srcId="{96D8D47C-201C-4BEC-9F83-93125D990048}" destId="{69C1B048-0FF0-48CF-BA69-BD873EE24CD7}" srcOrd="11" destOrd="0" presId="urn:microsoft.com/office/officeart/2011/layout/HexagonRadial"/>
    <dgm:cxn modelId="{F93256E6-4DBA-45CE-BAFE-49FB8A7EF331}" type="presParOf" srcId="{69C1B048-0FF0-48CF-BA69-BD873EE24CD7}" destId="{0924BF7E-8112-4F9A-B017-D17EDBB0616E}" srcOrd="0" destOrd="0" presId="urn:microsoft.com/office/officeart/2011/layout/HexagonRadial"/>
    <dgm:cxn modelId="{3FF21847-996D-4485-866D-C7164520F7E9}" type="presParOf" srcId="{96D8D47C-201C-4BEC-9F83-93125D990048}" destId="{8E890DBF-D5E3-4F68-9469-79D6B686B1D6}" srcOrd="12" destOrd="0" presId="urn:microsoft.com/office/officeart/2011/layout/HexagonRadial"/>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CF4770-29B6-4ED6-85C7-B94BE5054FDA}"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E83AA617-5105-4EBA-BA53-8EF4427F8152}">
      <dgm:prSet phldrT="[Text]" custT="1"/>
      <dgm:spPr>
        <a:solidFill>
          <a:schemeClr val="accent6">
            <a:lumMod val="20000"/>
            <a:lumOff val="80000"/>
          </a:schemeClr>
        </a:solidFill>
      </dgm:spPr>
      <dgm:t>
        <a:bodyPr/>
        <a:lstStyle/>
        <a:p>
          <a:r>
            <a:rPr lang="en-GB" sz="1000" b="1">
              <a:solidFill>
                <a:schemeClr val="tx1"/>
              </a:solidFill>
            </a:rPr>
            <a:t>Service Offer</a:t>
          </a:r>
        </a:p>
      </dgm:t>
    </dgm:pt>
    <dgm:pt modelId="{84143A8E-F471-4536-9ECF-EB8FF81187E0}" type="parTrans" cxnId="{032D1576-C6BC-4475-AAC6-FF17D886E266}">
      <dgm:prSet/>
      <dgm:spPr/>
      <dgm:t>
        <a:bodyPr/>
        <a:lstStyle/>
        <a:p>
          <a:endParaRPr lang="en-GB"/>
        </a:p>
      </dgm:t>
    </dgm:pt>
    <dgm:pt modelId="{D18C293E-1493-4742-915D-EFDB63B2F890}" type="sibTrans" cxnId="{032D1576-C6BC-4475-AAC6-FF17D886E266}">
      <dgm:prSet/>
      <dgm:spPr/>
      <dgm:t>
        <a:bodyPr/>
        <a:lstStyle/>
        <a:p>
          <a:endParaRPr lang="en-GB"/>
        </a:p>
      </dgm:t>
    </dgm:pt>
    <dgm:pt modelId="{73C59072-DD69-448D-9A86-7E8A6F5926CD}">
      <dgm:prSet phldrT="[Text]" custT="1"/>
      <dgm:spPr>
        <a:solidFill>
          <a:schemeClr val="accent6">
            <a:lumMod val="20000"/>
            <a:lumOff val="80000"/>
          </a:schemeClr>
        </a:solidFill>
      </dgm:spPr>
      <dgm:t>
        <a:bodyPr/>
        <a:lstStyle/>
        <a:p>
          <a:r>
            <a:rPr lang="en-GB" sz="1000" b="1">
              <a:solidFill>
                <a:schemeClr val="tx1"/>
              </a:solidFill>
            </a:rPr>
            <a:t>Improved recovery offer &amp; stuctured plan </a:t>
          </a:r>
        </a:p>
      </dgm:t>
    </dgm:pt>
    <dgm:pt modelId="{89DCFD5D-5871-4F10-BD1E-BF2CC59C44E8}" type="parTrans" cxnId="{57D1FF58-EA7D-4C32-B4C9-B1FD6E069A9B}">
      <dgm:prSet/>
      <dgm:spPr/>
      <dgm:t>
        <a:bodyPr/>
        <a:lstStyle/>
        <a:p>
          <a:endParaRPr lang="en-GB"/>
        </a:p>
      </dgm:t>
    </dgm:pt>
    <dgm:pt modelId="{D79E9A3E-77BE-48F6-BF3D-2243288D207B}" type="sibTrans" cxnId="{57D1FF58-EA7D-4C32-B4C9-B1FD6E069A9B}">
      <dgm:prSet/>
      <dgm:spPr/>
      <dgm:t>
        <a:bodyPr/>
        <a:lstStyle/>
        <a:p>
          <a:endParaRPr lang="en-GB"/>
        </a:p>
      </dgm:t>
    </dgm:pt>
    <dgm:pt modelId="{0740D49A-9C72-48DD-9438-6EE94AD627B5}">
      <dgm:prSet phldrT="[Text]" custT="1"/>
      <dgm:spPr>
        <a:solidFill>
          <a:schemeClr val="accent6">
            <a:lumMod val="20000"/>
            <a:lumOff val="80000"/>
          </a:schemeClr>
        </a:solidFill>
      </dgm:spPr>
      <dgm:t>
        <a:bodyPr/>
        <a:lstStyle/>
        <a:p>
          <a:r>
            <a:rPr lang="en-GB" sz="1000" b="1">
              <a:solidFill>
                <a:schemeClr val="tx1"/>
              </a:solidFill>
            </a:rPr>
            <a:t>Increased flexibility within the service, hours, location </a:t>
          </a:r>
        </a:p>
      </dgm:t>
    </dgm:pt>
    <dgm:pt modelId="{5A3419D6-20EF-4677-AB76-3A586FBEFEEC}" type="parTrans" cxnId="{3E1BBCAB-D3EF-41FF-B4CD-5637EBBA0E95}">
      <dgm:prSet/>
      <dgm:spPr/>
      <dgm:t>
        <a:bodyPr/>
        <a:lstStyle/>
        <a:p>
          <a:endParaRPr lang="en-GB"/>
        </a:p>
      </dgm:t>
    </dgm:pt>
    <dgm:pt modelId="{3325A6E2-2A84-47BC-A0E6-2C2B12676CC9}" type="sibTrans" cxnId="{3E1BBCAB-D3EF-41FF-B4CD-5637EBBA0E95}">
      <dgm:prSet/>
      <dgm:spPr/>
      <dgm:t>
        <a:bodyPr/>
        <a:lstStyle/>
        <a:p>
          <a:endParaRPr lang="en-GB"/>
        </a:p>
      </dgm:t>
    </dgm:pt>
    <dgm:pt modelId="{F8A08218-C6D8-4903-A54A-DE3348C3B313}">
      <dgm:prSet phldrT="[Text]" custT="1"/>
      <dgm:spPr>
        <a:solidFill>
          <a:schemeClr val="accent6">
            <a:lumMod val="20000"/>
            <a:lumOff val="80000"/>
          </a:schemeClr>
        </a:solidFill>
      </dgm:spPr>
      <dgm:t>
        <a:bodyPr/>
        <a:lstStyle/>
        <a:p>
          <a:r>
            <a:rPr lang="en-GB" sz="1000" b="1">
              <a:solidFill>
                <a:schemeClr val="tx1"/>
              </a:solidFill>
            </a:rPr>
            <a:t>Improve consistency of key workers for service users</a:t>
          </a:r>
        </a:p>
      </dgm:t>
    </dgm:pt>
    <dgm:pt modelId="{ADD5AA85-A0A9-4C81-9889-2FF4F01A65DC}" type="parTrans" cxnId="{C6B6100E-D52E-4A87-9C15-5695A055D7DC}">
      <dgm:prSet/>
      <dgm:spPr/>
      <dgm:t>
        <a:bodyPr/>
        <a:lstStyle/>
        <a:p>
          <a:endParaRPr lang="en-GB"/>
        </a:p>
      </dgm:t>
    </dgm:pt>
    <dgm:pt modelId="{CD8F3FB3-36BC-4867-971A-05E868625E5F}" type="sibTrans" cxnId="{C6B6100E-D52E-4A87-9C15-5695A055D7DC}">
      <dgm:prSet/>
      <dgm:spPr/>
      <dgm:t>
        <a:bodyPr/>
        <a:lstStyle/>
        <a:p>
          <a:endParaRPr lang="en-GB"/>
        </a:p>
      </dgm:t>
    </dgm:pt>
    <dgm:pt modelId="{941B1B4E-24F6-4CAF-9DD1-7717C3E2EB00}">
      <dgm:prSet phldrT="[Text]" custT="1"/>
      <dgm:spPr>
        <a:solidFill>
          <a:schemeClr val="accent6">
            <a:lumMod val="20000"/>
            <a:lumOff val="80000"/>
          </a:schemeClr>
        </a:solidFill>
      </dgm:spPr>
      <dgm:t>
        <a:bodyPr/>
        <a:lstStyle/>
        <a:p>
          <a:r>
            <a:rPr lang="en-GB" sz="1000" b="1">
              <a:solidFill>
                <a:schemeClr val="tx1"/>
              </a:solidFill>
            </a:rPr>
            <a:t>Wider work with families, and Carer capacity for community detoxes</a:t>
          </a:r>
        </a:p>
      </dgm:t>
    </dgm:pt>
    <dgm:pt modelId="{69C130C8-8258-4D6C-9F35-3532B0E44E5D}" type="parTrans" cxnId="{2DF6B6A3-5683-4384-9A27-677AAB09E4F4}">
      <dgm:prSet/>
      <dgm:spPr/>
      <dgm:t>
        <a:bodyPr/>
        <a:lstStyle/>
        <a:p>
          <a:endParaRPr lang="en-GB"/>
        </a:p>
      </dgm:t>
    </dgm:pt>
    <dgm:pt modelId="{4BD605FD-916A-442A-AE00-34A26F07042B}" type="sibTrans" cxnId="{2DF6B6A3-5683-4384-9A27-677AAB09E4F4}">
      <dgm:prSet/>
      <dgm:spPr/>
      <dgm:t>
        <a:bodyPr/>
        <a:lstStyle/>
        <a:p>
          <a:endParaRPr lang="en-GB"/>
        </a:p>
      </dgm:t>
    </dgm:pt>
    <dgm:pt modelId="{89958D14-FD4A-451B-9D27-E52A74A51253}">
      <dgm:prSet phldrT="[Text]" custT="1"/>
      <dgm:spPr>
        <a:solidFill>
          <a:schemeClr val="accent6">
            <a:lumMod val="20000"/>
            <a:lumOff val="80000"/>
          </a:schemeClr>
        </a:solidFill>
      </dgm:spPr>
      <dgm:t>
        <a:bodyPr/>
        <a:lstStyle/>
        <a:p>
          <a:r>
            <a:rPr lang="en-GB" sz="1000" b="1">
              <a:solidFill>
                <a:schemeClr val="tx1"/>
              </a:solidFill>
            </a:rPr>
            <a:t>Trauma informed &amp; strength based approach accross service</a:t>
          </a:r>
        </a:p>
      </dgm:t>
    </dgm:pt>
    <dgm:pt modelId="{A646C58C-EA9B-4C79-B032-572EB21A1966}" type="parTrans" cxnId="{E4A83797-F3E0-49DF-A7D1-B160F00FE94D}">
      <dgm:prSet/>
      <dgm:spPr/>
      <dgm:t>
        <a:bodyPr/>
        <a:lstStyle/>
        <a:p>
          <a:endParaRPr lang="en-GB"/>
        </a:p>
      </dgm:t>
    </dgm:pt>
    <dgm:pt modelId="{7446CCDA-8157-4978-A3A0-7CDC9389C48B}" type="sibTrans" cxnId="{E4A83797-F3E0-49DF-A7D1-B160F00FE94D}">
      <dgm:prSet/>
      <dgm:spPr/>
      <dgm:t>
        <a:bodyPr/>
        <a:lstStyle/>
        <a:p>
          <a:endParaRPr lang="en-GB"/>
        </a:p>
      </dgm:t>
    </dgm:pt>
    <dgm:pt modelId="{FFC5636A-2F2F-4B07-9446-5FBFE175DBC8}">
      <dgm:prSet phldrT="[Text]" custT="1"/>
      <dgm:spPr>
        <a:solidFill>
          <a:schemeClr val="accent6">
            <a:lumMod val="20000"/>
            <a:lumOff val="80000"/>
          </a:schemeClr>
        </a:solidFill>
      </dgm:spPr>
      <dgm:t>
        <a:bodyPr/>
        <a:lstStyle/>
        <a:p>
          <a:r>
            <a:rPr lang="en-GB" sz="1000" b="1">
              <a:solidFill>
                <a:schemeClr val="tx1"/>
              </a:solidFill>
            </a:rPr>
            <a:t>Clear and consistent referral pathways, including wait times for assessment and 1st apt. </a:t>
          </a:r>
        </a:p>
      </dgm:t>
    </dgm:pt>
    <dgm:pt modelId="{2A0948D6-739F-447B-881C-508E890FB178}" type="parTrans" cxnId="{5F20E0AD-DE43-4741-878F-67653AD8869C}">
      <dgm:prSet/>
      <dgm:spPr/>
      <dgm:t>
        <a:bodyPr/>
        <a:lstStyle/>
        <a:p>
          <a:endParaRPr lang="en-GB"/>
        </a:p>
      </dgm:t>
    </dgm:pt>
    <dgm:pt modelId="{06639F58-9200-44E4-9AD3-031D237EAF9A}" type="sibTrans" cxnId="{5F20E0AD-DE43-4741-878F-67653AD8869C}">
      <dgm:prSet/>
      <dgm:spPr/>
      <dgm:t>
        <a:bodyPr/>
        <a:lstStyle/>
        <a:p>
          <a:endParaRPr lang="en-GB"/>
        </a:p>
      </dgm:t>
    </dgm:pt>
    <dgm:pt modelId="{1515D396-3884-4EE3-B392-EBC53406E4AB}" type="pres">
      <dgm:prSet presAssocID="{EDCF4770-29B6-4ED6-85C7-B94BE5054FDA}" presName="Name0" presStyleCnt="0">
        <dgm:presLayoutVars>
          <dgm:chMax val="1"/>
          <dgm:chPref val="1"/>
          <dgm:dir/>
          <dgm:animOne val="branch"/>
          <dgm:animLvl val="lvl"/>
        </dgm:presLayoutVars>
      </dgm:prSet>
      <dgm:spPr/>
    </dgm:pt>
    <dgm:pt modelId="{175FA037-1470-4BAA-81C1-B30C2FF95512}" type="pres">
      <dgm:prSet presAssocID="{E83AA617-5105-4EBA-BA53-8EF4427F8152}" presName="Parent" presStyleLbl="node0" presStyleIdx="0" presStyleCnt="1">
        <dgm:presLayoutVars>
          <dgm:chMax val="6"/>
          <dgm:chPref val="6"/>
        </dgm:presLayoutVars>
      </dgm:prSet>
      <dgm:spPr/>
    </dgm:pt>
    <dgm:pt modelId="{5C132162-C40E-4482-A2DB-1B568C519801}" type="pres">
      <dgm:prSet presAssocID="{73C59072-DD69-448D-9A86-7E8A6F5926CD}" presName="Accent1" presStyleCnt="0"/>
      <dgm:spPr/>
    </dgm:pt>
    <dgm:pt modelId="{16F3E13A-E5AB-4A3D-9106-D623680289D4}" type="pres">
      <dgm:prSet presAssocID="{73C59072-DD69-448D-9A86-7E8A6F5926CD}" presName="Accent" presStyleLbl="bgShp" presStyleIdx="0" presStyleCnt="6"/>
      <dgm:spPr/>
    </dgm:pt>
    <dgm:pt modelId="{AB4CE3A9-1B3A-449F-AACD-62E75F66FD6E}" type="pres">
      <dgm:prSet presAssocID="{73C59072-DD69-448D-9A86-7E8A6F5926CD}" presName="Child1" presStyleLbl="node1" presStyleIdx="0" presStyleCnt="6">
        <dgm:presLayoutVars>
          <dgm:chMax val="0"/>
          <dgm:chPref val="0"/>
          <dgm:bulletEnabled val="1"/>
        </dgm:presLayoutVars>
      </dgm:prSet>
      <dgm:spPr/>
    </dgm:pt>
    <dgm:pt modelId="{F4EE80BF-93CD-4F43-AE6A-C5BD8E89AA82}" type="pres">
      <dgm:prSet presAssocID="{0740D49A-9C72-48DD-9438-6EE94AD627B5}" presName="Accent2" presStyleCnt="0"/>
      <dgm:spPr/>
    </dgm:pt>
    <dgm:pt modelId="{8B6073BB-A386-4E7F-9AC4-5D7EDDA3B894}" type="pres">
      <dgm:prSet presAssocID="{0740D49A-9C72-48DD-9438-6EE94AD627B5}" presName="Accent" presStyleLbl="bgShp" presStyleIdx="1" presStyleCnt="6"/>
      <dgm:spPr/>
    </dgm:pt>
    <dgm:pt modelId="{08AB8D62-7C4C-4EFA-9C2D-51F2CE7170B3}" type="pres">
      <dgm:prSet presAssocID="{0740D49A-9C72-48DD-9438-6EE94AD627B5}" presName="Child2" presStyleLbl="node1" presStyleIdx="1" presStyleCnt="6">
        <dgm:presLayoutVars>
          <dgm:chMax val="0"/>
          <dgm:chPref val="0"/>
          <dgm:bulletEnabled val="1"/>
        </dgm:presLayoutVars>
      </dgm:prSet>
      <dgm:spPr/>
    </dgm:pt>
    <dgm:pt modelId="{9763A578-6EC7-4A74-AA17-C55A079A3E70}" type="pres">
      <dgm:prSet presAssocID="{F8A08218-C6D8-4903-A54A-DE3348C3B313}" presName="Accent3" presStyleCnt="0"/>
      <dgm:spPr/>
    </dgm:pt>
    <dgm:pt modelId="{E2F55044-2CCB-4921-BAA9-9C371F32C36F}" type="pres">
      <dgm:prSet presAssocID="{F8A08218-C6D8-4903-A54A-DE3348C3B313}" presName="Accent" presStyleLbl="bgShp" presStyleIdx="2" presStyleCnt="6"/>
      <dgm:spPr/>
    </dgm:pt>
    <dgm:pt modelId="{47721C55-45FB-4205-81A3-97E5279E4A52}" type="pres">
      <dgm:prSet presAssocID="{F8A08218-C6D8-4903-A54A-DE3348C3B313}" presName="Child3" presStyleLbl="node1" presStyleIdx="2" presStyleCnt="6">
        <dgm:presLayoutVars>
          <dgm:chMax val="0"/>
          <dgm:chPref val="0"/>
          <dgm:bulletEnabled val="1"/>
        </dgm:presLayoutVars>
      </dgm:prSet>
      <dgm:spPr/>
    </dgm:pt>
    <dgm:pt modelId="{AEAB62D7-300D-43FA-B8BA-C2FE53A4055D}" type="pres">
      <dgm:prSet presAssocID="{941B1B4E-24F6-4CAF-9DD1-7717C3E2EB00}" presName="Accent4" presStyleCnt="0"/>
      <dgm:spPr/>
    </dgm:pt>
    <dgm:pt modelId="{7CFDA225-A47D-4416-A5CA-B7578DB15F67}" type="pres">
      <dgm:prSet presAssocID="{941B1B4E-24F6-4CAF-9DD1-7717C3E2EB00}" presName="Accent" presStyleLbl="bgShp" presStyleIdx="3" presStyleCnt="6"/>
      <dgm:spPr/>
    </dgm:pt>
    <dgm:pt modelId="{0E578852-7CB8-4AFF-B466-D550057D4A9A}" type="pres">
      <dgm:prSet presAssocID="{941B1B4E-24F6-4CAF-9DD1-7717C3E2EB00}" presName="Child4" presStyleLbl="node1" presStyleIdx="3" presStyleCnt="6">
        <dgm:presLayoutVars>
          <dgm:chMax val="0"/>
          <dgm:chPref val="0"/>
          <dgm:bulletEnabled val="1"/>
        </dgm:presLayoutVars>
      </dgm:prSet>
      <dgm:spPr/>
    </dgm:pt>
    <dgm:pt modelId="{95FBB122-40D8-486B-BB2D-36ED845B71E3}" type="pres">
      <dgm:prSet presAssocID="{89958D14-FD4A-451B-9D27-E52A74A51253}" presName="Accent5" presStyleCnt="0"/>
      <dgm:spPr/>
    </dgm:pt>
    <dgm:pt modelId="{41FBB4EB-2EB6-4508-A3AD-471570725C33}" type="pres">
      <dgm:prSet presAssocID="{89958D14-FD4A-451B-9D27-E52A74A51253}" presName="Accent" presStyleLbl="bgShp" presStyleIdx="4" presStyleCnt="6"/>
      <dgm:spPr/>
    </dgm:pt>
    <dgm:pt modelId="{864E5C62-0EC2-40B2-B1F7-C649A428EA50}" type="pres">
      <dgm:prSet presAssocID="{89958D14-FD4A-451B-9D27-E52A74A51253}" presName="Child5" presStyleLbl="node1" presStyleIdx="4" presStyleCnt="6">
        <dgm:presLayoutVars>
          <dgm:chMax val="0"/>
          <dgm:chPref val="0"/>
          <dgm:bulletEnabled val="1"/>
        </dgm:presLayoutVars>
      </dgm:prSet>
      <dgm:spPr/>
    </dgm:pt>
    <dgm:pt modelId="{B8EDA58E-49E0-437D-A1F1-44A93E23CEFA}" type="pres">
      <dgm:prSet presAssocID="{FFC5636A-2F2F-4B07-9446-5FBFE175DBC8}" presName="Accent6" presStyleCnt="0"/>
      <dgm:spPr/>
    </dgm:pt>
    <dgm:pt modelId="{3748F2E9-E1B9-4BA0-AD35-71EC4DC53ED3}" type="pres">
      <dgm:prSet presAssocID="{FFC5636A-2F2F-4B07-9446-5FBFE175DBC8}" presName="Accent" presStyleLbl="bgShp" presStyleIdx="5" presStyleCnt="6"/>
      <dgm:spPr/>
    </dgm:pt>
    <dgm:pt modelId="{AAB30FA5-3757-4C5F-B9D0-7004E8355C52}" type="pres">
      <dgm:prSet presAssocID="{FFC5636A-2F2F-4B07-9446-5FBFE175DBC8}" presName="Child6" presStyleLbl="node1" presStyleIdx="5" presStyleCnt="6">
        <dgm:presLayoutVars>
          <dgm:chMax val="0"/>
          <dgm:chPref val="0"/>
          <dgm:bulletEnabled val="1"/>
        </dgm:presLayoutVars>
      </dgm:prSet>
      <dgm:spPr/>
    </dgm:pt>
  </dgm:ptLst>
  <dgm:cxnLst>
    <dgm:cxn modelId="{C6B6100E-D52E-4A87-9C15-5695A055D7DC}" srcId="{E83AA617-5105-4EBA-BA53-8EF4427F8152}" destId="{F8A08218-C6D8-4903-A54A-DE3348C3B313}" srcOrd="2" destOrd="0" parTransId="{ADD5AA85-A0A9-4C81-9889-2FF4F01A65DC}" sibTransId="{CD8F3FB3-36BC-4867-971A-05E868625E5F}"/>
    <dgm:cxn modelId="{93C6C71A-352B-417D-959F-CE46B3349216}" type="presOf" srcId="{0740D49A-9C72-48DD-9438-6EE94AD627B5}" destId="{08AB8D62-7C4C-4EFA-9C2D-51F2CE7170B3}" srcOrd="0" destOrd="0" presId="urn:microsoft.com/office/officeart/2011/layout/HexagonRadial"/>
    <dgm:cxn modelId="{0BA6471F-F245-4AB8-9D5C-A299DC54B1FB}" type="presOf" srcId="{EDCF4770-29B6-4ED6-85C7-B94BE5054FDA}" destId="{1515D396-3884-4EE3-B392-EBC53406E4AB}" srcOrd="0" destOrd="0" presId="urn:microsoft.com/office/officeart/2011/layout/HexagonRadial"/>
    <dgm:cxn modelId="{0368D023-FA4C-4633-94AB-E190FDA75AE1}" type="presOf" srcId="{FFC5636A-2F2F-4B07-9446-5FBFE175DBC8}" destId="{AAB30FA5-3757-4C5F-B9D0-7004E8355C52}" srcOrd="0" destOrd="0" presId="urn:microsoft.com/office/officeart/2011/layout/HexagonRadial"/>
    <dgm:cxn modelId="{8FAD3C49-AE17-4799-BFC0-BF7BBBABD6E5}" type="presOf" srcId="{941B1B4E-24F6-4CAF-9DD1-7717C3E2EB00}" destId="{0E578852-7CB8-4AFF-B466-D550057D4A9A}" srcOrd="0" destOrd="0" presId="urn:microsoft.com/office/officeart/2011/layout/HexagonRadial"/>
    <dgm:cxn modelId="{7EA09C6E-CBA1-4970-92DD-B93FB5B28B0C}" type="presOf" srcId="{89958D14-FD4A-451B-9D27-E52A74A51253}" destId="{864E5C62-0EC2-40B2-B1F7-C649A428EA50}" srcOrd="0" destOrd="0" presId="urn:microsoft.com/office/officeart/2011/layout/HexagonRadial"/>
    <dgm:cxn modelId="{032D1576-C6BC-4475-AAC6-FF17D886E266}" srcId="{EDCF4770-29B6-4ED6-85C7-B94BE5054FDA}" destId="{E83AA617-5105-4EBA-BA53-8EF4427F8152}" srcOrd="0" destOrd="0" parTransId="{84143A8E-F471-4536-9ECF-EB8FF81187E0}" sibTransId="{D18C293E-1493-4742-915D-EFDB63B2F890}"/>
    <dgm:cxn modelId="{57D1FF58-EA7D-4C32-B4C9-B1FD6E069A9B}" srcId="{E83AA617-5105-4EBA-BA53-8EF4427F8152}" destId="{73C59072-DD69-448D-9A86-7E8A6F5926CD}" srcOrd="0" destOrd="0" parTransId="{89DCFD5D-5871-4F10-BD1E-BF2CC59C44E8}" sibTransId="{D79E9A3E-77BE-48F6-BF3D-2243288D207B}"/>
    <dgm:cxn modelId="{EC174D8D-65A5-4ECD-ACA3-4014802E324C}" type="presOf" srcId="{F8A08218-C6D8-4903-A54A-DE3348C3B313}" destId="{47721C55-45FB-4205-81A3-97E5279E4A52}" srcOrd="0" destOrd="0" presId="urn:microsoft.com/office/officeart/2011/layout/HexagonRadial"/>
    <dgm:cxn modelId="{E4A83797-F3E0-49DF-A7D1-B160F00FE94D}" srcId="{E83AA617-5105-4EBA-BA53-8EF4427F8152}" destId="{89958D14-FD4A-451B-9D27-E52A74A51253}" srcOrd="4" destOrd="0" parTransId="{A646C58C-EA9B-4C79-B032-572EB21A1966}" sibTransId="{7446CCDA-8157-4978-A3A0-7CDC9389C48B}"/>
    <dgm:cxn modelId="{0CC18598-567B-4A9A-9DCB-26A42BC6FAA6}" type="presOf" srcId="{E83AA617-5105-4EBA-BA53-8EF4427F8152}" destId="{175FA037-1470-4BAA-81C1-B30C2FF95512}" srcOrd="0" destOrd="0" presId="urn:microsoft.com/office/officeart/2011/layout/HexagonRadial"/>
    <dgm:cxn modelId="{2DF6B6A3-5683-4384-9A27-677AAB09E4F4}" srcId="{E83AA617-5105-4EBA-BA53-8EF4427F8152}" destId="{941B1B4E-24F6-4CAF-9DD1-7717C3E2EB00}" srcOrd="3" destOrd="0" parTransId="{69C130C8-8258-4D6C-9F35-3532B0E44E5D}" sibTransId="{4BD605FD-916A-442A-AE00-34A26F07042B}"/>
    <dgm:cxn modelId="{3E1BBCAB-D3EF-41FF-B4CD-5637EBBA0E95}" srcId="{E83AA617-5105-4EBA-BA53-8EF4427F8152}" destId="{0740D49A-9C72-48DD-9438-6EE94AD627B5}" srcOrd="1" destOrd="0" parTransId="{5A3419D6-20EF-4677-AB76-3A586FBEFEEC}" sibTransId="{3325A6E2-2A84-47BC-A0E6-2C2B12676CC9}"/>
    <dgm:cxn modelId="{5F20E0AD-DE43-4741-878F-67653AD8869C}" srcId="{E83AA617-5105-4EBA-BA53-8EF4427F8152}" destId="{FFC5636A-2F2F-4B07-9446-5FBFE175DBC8}" srcOrd="5" destOrd="0" parTransId="{2A0948D6-739F-447B-881C-508E890FB178}" sibTransId="{06639F58-9200-44E4-9AD3-031D237EAF9A}"/>
    <dgm:cxn modelId="{7A73E5B7-F4FC-4164-B66A-81BC64EAA799}" type="presOf" srcId="{73C59072-DD69-448D-9A86-7E8A6F5926CD}" destId="{AB4CE3A9-1B3A-449F-AACD-62E75F66FD6E}" srcOrd="0" destOrd="0" presId="urn:microsoft.com/office/officeart/2011/layout/HexagonRadial"/>
    <dgm:cxn modelId="{6D1CD067-48A0-40FE-A2CF-DCC632441C18}" type="presParOf" srcId="{1515D396-3884-4EE3-B392-EBC53406E4AB}" destId="{175FA037-1470-4BAA-81C1-B30C2FF95512}" srcOrd="0" destOrd="0" presId="urn:microsoft.com/office/officeart/2011/layout/HexagonRadial"/>
    <dgm:cxn modelId="{AA96AC79-23AF-4F10-AF7C-4D3E6EF869DF}" type="presParOf" srcId="{1515D396-3884-4EE3-B392-EBC53406E4AB}" destId="{5C132162-C40E-4482-A2DB-1B568C519801}" srcOrd="1" destOrd="0" presId="urn:microsoft.com/office/officeart/2011/layout/HexagonRadial"/>
    <dgm:cxn modelId="{E94C3511-235C-4B06-8D31-DDCF574C8046}" type="presParOf" srcId="{5C132162-C40E-4482-A2DB-1B568C519801}" destId="{16F3E13A-E5AB-4A3D-9106-D623680289D4}" srcOrd="0" destOrd="0" presId="urn:microsoft.com/office/officeart/2011/layout/HexagonRadial"/>
    <dgm:cxn modelId="{DE3B9207-7D95-4A33-A817-67A3729E5A8C}" type="presParOf" srcId="{1515D396-3884-4EE3-B392-EBC53406E4AB}" destId="{AB4CE3A9-1B3A-449F-AACD-62E75F66FD6E}" srcOrd="2" destOrd="0" presId="urn:microsoft.com/office/officeart/2011/layout/HexagonRadial"/>
    <dgm:cxn modelId="{25BA75F6-7593-4FC1-A08B-BAE218C14073}" type="presParOf" srcId="{1515D396-3884-4EE3-B392-EBC53406E4AB}" destId="{F4EE80BF-93CD-4F43-AE6A-C5BD8E89AA82}" srcOrd="3" destOrd="0" presId="urn:microsoft.com/office/officeart/2011/layout/HexagonRadial"/>
    <dgm:cxn modelId="{740C91B3-456C-44EA-8100-4D02A3F6B115}" type="presParOf" srcId="{F4EE80BF-93CD-4F43-AE6A-C5BD8E89AA82}" destId="{8B6073BB-A386-4E7F-9AC4-5D7EDDA3B894}" srcOrd="0" destOrd="0" presId="urn:microsoft.com/office/officeart/2011/layout/HexagonRadial"/>
    <dgm:cxn modelId="{C12BE68F-72D0-4751-8890-6B16F5707403}" type="presParOf" srcId="{1515D396-3884-4EE3-B392-EBC53406E4AB}" destId="{08AB8D62-7C4C-4EFA-9C2D-51F2CE7170B3}" srcOrd="4" destOrd="0" presId="urn:microsoft.com/office/officeart/2011/layout/HexagonRadial"/>
    <dgm:cxn modelId="{DE22ED59-2D44-4B59-AA77-981076929261}" type="presParOf" srcId="{1515D396-3884-4EE3-B392-EBC53406E4AB}" destId="{9763A578-6EC7-4A74-AA17-C55A079A3E70}" srcOrd="5" destOrd="0" presId="urn:microsoft.com/office/officeart/2011/layout/HexagonRadial"/>
    <dgm:cxn modelId="{8A0750D9-BADA-4A84-B5A5-6D45E13D1B61}" type="presParOf" srcId="{9763A578-6EC7-4A74-AA17-C55A079A3E70}" destId="{E2F55044-2CCB-4921-BAA9-9C371F32C36F}" srcOrd="0" destOrd="0" presId="urn:microsoft.com/office/officeart/2011/layout/HexagonRadial"/>
    <dgm:cxn modelId="{30176F94-A790-4349-AD33-A3AEE86C870C}" type="presParOf" srcId="{1515D396-3884-4EE3-B392-EBC53406E4AB}" destId="{47721C55-45FB-4205-81A3-97E5279E4A52}" srcOrd="6" destOrd="0" presId="urn:microsoft.com/office/officeart/2011/layout/HexagonRadial"/>
    <dgm:cxn modelId="{5EEA87E1-2B14-4CB4-A445-6C64BB653FB5}" type="presParOf" srcId="{1515D396-3884-4EE3-B392-EBC53406E4AB}" destId="{AEAB62D7-300D-43FA-B8BA-C2FE53A4055D}" srcOrd="7" destOrd="0" presId="urn:microsoft.com/office/officeart/2011/layout/HexagonRadial"/>
    <dgm:cxn modelId="{AEFD5104-A189-4ED2-8B48-D2933E3B6E34}" type="presParOf" srcId="{AEAB62D7-300D-43FA-B8BA-C2FE53A4055D}" destId="{7CFDA225-A47D-4416-A5CA-B7578DB15F67}" srcOrd="0" destOrd="0" presId="urn:microsoft.com/office/officeart/2011/layout/HexagonRadial"/>
    <dgm:cxn modelId="{18066A4E-EA8F-406E-814D-AD6C6B87E3D5}" type="presParOf" srcId="{1515D396-3884-4EE3-B392-EBC53406E4AB}" destId="{0E578852-7CB8-4AFF-B466-D550057D4A9A}" srcOrd="8" destOrd="0" presId="urn:microsoft.com/office/officeart/2011/layout/HexagonRadial"/>
    <dgm:cxn modelId="{7E9F3903-267D-4842-A8FF-81CAD523C203}" type="presParOf" srcId="{1515D396-3884-4EE3-B392-EBC53406E4AB}" destId="{95FBB122-40D8-486B-BB2D-36ED845B71E3}" srcOrd="9" destOrd="0" presId="urn:microsoft.com/office/officeart/2011/layout/HexagonRadial"/>
    <dgm:cxn modelId="{CDFDAE9B-C9F0-4285-A160-5941741A729E}" type="presParOf" srcId="{95FBB122-40D8-486B-BB2D-36ED845B71E3}" destId="{41FBB4EB-2EB6-4508-A3AD-471570725C33}" srcOrd="0" destOrd="0" presId="urn:microsoft.com/office/officeart/2011/layout/HexagonRadial"/>
    <dgm:cxn modelId="{07CA2BF1-D412-4E04-9EE2-905FF561F026}" type="presParOf" srcId="{1515D396-3884-4EE3-B392-EBC53406E4AB}" destId="{864E5C62-0EC2-40B2-B1F7-C649A428EA50}" srcOrd="10" destOrd="0" presId="urn:microsoft.com/office/officeart/2011/layout/HexagonRadial"/>
    <dgm:cxn modelId="{CE7820DB-E49C-4AD8-AD80-198BCDC7ED8B}" type="presParOf" srcId="{1515D396-3884-4EE3-B392-EBC53406E4AB}" destId="{B8EDA58E-49E0-437D-A1F1-44A93E23CEFA}" srcOrd="11" destOrd="0" presId="urn:microsoft.com/office/officeart/2011/layout/HexagonRadial"/>
    <dgm:cxn modelId="{A406CFCF-2EBC-45F2-8932-476EA8A58E08}" type="presParOf" srcId="{B8EDA58E-49E0-437D-A1F1-44A93E23CEFA}" destId="{3748F2E9-E1B9-4BA0-AD35-71EC4DC53ED3}" srcOrd="0" destOrd="0" presId="urn:microsoft.com/office/officeart/2011/layout/HexagonRadial"/>
    <dgm:cxn modelId="{D816A4D2-1C70-4037-B362-F21953F0CAFC}" type="presParOf" srcId="{1515D396-3884-4EE3-B392-EBC53406E4AB}" destId="{AAB30FA5-3757-4C5F-B9D0-7004E8355C52}" srcOrd="12" destOrd="0" presId="urn:microsoft.com/office/officeart/2011/layout/HexagonRadial"/>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38EF39-5855-4ECA-BB72-D2334B6329BC}"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1DDA443D-BD65-4305-A0CD-69C9160F388B}">
      <dgm:prSet phldrT="[Text]" custT="1"/>
      <dgm:spPr>
        <a:solidFill>
          <a:schemeClr val="accent6">
            <a:lumMod val="20000"/>
            <a:lumOff val="80000"/>
          </a:schemeClr>
        </a:solidFill>
      </dgm:spPr>
      <dgm:t>
        <a:bodyPr/>
        <a:lstStyle/>
        <a:p>
          <a:r>
            <a:rPr lang="en-GB" sz="1000" b="1">
              <a:solidFill>
                <a:schemeClr val="tx1"/>
              </a:solidFill>
            </a:rPr>
            <a:t>Young People</a:t>
          </a:r>
        </a:p>
      </dgm:t>
    </dgm:pt>
    <dgm:pt modelId="{6BAD040D-3818-4BC8-8DD0-8F14C809C0E6}" type="parTrans" cxnId="{3F1AE228-0EF8-48C3-81D9-050C172BF4F6}">
      <dgm:prSet/>
      <dgm:spPr/>
      <dgm:t>
        <a:bodyPr/>
        <a:lstStyle/>
        <a:p>
          <a:endParaRPr lang="en-GB"/>
        </a:p>
      </dgm:t>
    </dgm:pt>
    <dgm:pt modelId="{CA0FD4F6-2AA2-4FB2-9DF1-CE3155FA2DCE}" type="sibTrans" cxnId="{3F1AE228-0EF8-48C3-81D9-050C172BF4F6}">
      <dgm:prSet/>
      <dgm:spPr/>
      <dgm:t>
        <a:bodyPr/>
        <a:lstStyle/>
        <a:p>
          <a:endParaRPr lang="en-GB"/>
        </a:p>
      </dgm:t>
    </dgm:pt>
    <dgm:pt modelId="{B1B4B1BE-56EB-4E43-A28F-880BDB600546}">
      <dgm:prSet phldrT="[Text]" custT="1"/>
      <dgm:spPr>
        <a:solidFill>
          <a:schemeClr val="accent6">
            <a:lumMod val="20000"/>
            <a:lumOff val="80000"/>
          </a:schemeClr>
        </a:solidFill>
      </dgm:spPr>
      <dgm:t>
        <a:bodyPr/>
        <a:lstStyle/>
        <a:p>
          <a:r>
            <a:rPr lang="en-GB" sz="1000" b="1">
              <a:solidFill>
                <a:schemeClr val="tx1"/>
              </a:solidFill>
            </a:rPr>
            <a:t>Consider a  service to those not in mainstream education </a:t>
          </a:r>
        </a:p>
      </dgm:t>
    </dgm:pt>
    <dgm:pt modelId="{8BB0FA46-FF53-4C08-A7C5-13E3322657C0}" type="parTrans" cxnId="{70C3516A-98E9-4454-8D13-93BEF2B5368B}">
      <dgm:prSet/>
      <dgm:spPr/>
      <dgm:t>
        <a:bodyPr/>
        <a:lstStyle/>
        <a:p>
          <a:endParaRPr lang="en-GB"/>
        </a:p>
      </dgm:t>
    </dgm:pt>
    <dgm:pt modelId="{675E0D18-2262-4C06-B075-B80F06F62013}" type="sibTrans" cxnId="{70C3516A-98E9-4454-8D13-93BEF2B5368B}">
      <dgm:prSet/>
      <dgm:spPr/>
      <dgm:t>
        <a:bodyPr/>
        <a:lstStyle/>
        <a:p>
          <a:endParaRPr lang="en-GB"/>
        </a:p>
      </dgm:t>
    </dgm:pt>
    <dgm:pt modelId="{774F476F-9982-486D-B0C3-0CDB59EA9796}">
      <dgm:prSet phldrT="[Text]" custT="1"/>
      <dgm:spPr>
        <a:solidFill>
          <a:schemeClr val="accent6">
            <a:lumMod val="20000"/>
            <a:lumOff val="80000"/>
          </a:schemeClr>
        </a:solidFill>
      </dgm:spPr>
      <dgm:t>
        <a:bodyPr/>
        <a:lstStyle/>
        <a:p>
          <a:r>
            <a:rPr lang="en-GB" sz="1000" b="1">
              <a:solidFill>
                <a:schemeClr val="tx1"/>
              </a:solidFill>
            </a:rPr>
            <a:t>Consider offer up to 25 years</a:t>
          </a:r>
        </a:p>
      </dgm:t>
    </dgm:pt>
    <dgm:pt modelId="{B27F6DCC-711C-4EBB-8576-B327A786C1C9}" type="parTrans" cxnId="{821C1ED8-B967-4707-9A7D-D6512369887D}">
      <dgm:prSet/>
      <dgm:spPr/>
      <dgm:t>
        <a:bodyPr/>
        <a:lstStyle/>
        <a:p>
          <a:endParaRPr lang="en-GB"/>
        </a:p>
      </dgm:t>
    </dgm:pt>
    <dgm:pt modelId="{CF85B43C-E21C-4F3B-81F8-8161C887AE24}" type="sibTrans" cxnId="{821C1ED8-B967-4707-9A7D-D6512369887D}">
      <dgm:prSet/>
      <dgm:spPr/>
      <dgm:t>
        <a:bodyPr/>
        <a:lstStyle/>
        <a:p>
          <a:endParaRPr lang="en-GB"/>
        </a:p>
      </dgm:t>
    </dgm:pt>
    <dgm:pt modelId="{75009749-284D-4B48-9FCF-65406664C5FB}">
      <dgm:prSet phldrT="[Text]" custT="1"/>
      <dgm:spPr>
        <a:solidFill>
          <a:schemeClr val="accent6">
            <a:lumMod val="20000"/>
            <a:lumOff val="80000"/>
          </a:schemeClr>
        </a:solidFill>
      </dgm:spPr>
      <dgm:t>
        <a:bodyPr/>
        <a:lstStyle/>
        <a:p>
          <a:r>
            <a:rPr lang="en-GB" sz="1000" b="1">
              <a:solidFill>
                <a:schemeClr val="tx1"/>
              </a:solidFill>
            </a:rPr>
            <a:t>Increase engagement with PCC YP services </a:t>
          </a:r>
        </a:p>
      </dgm:t>
    </dgm:pt>
    <dgm:pt modelId="{71AABE16-E446-457C-9CA0-8BF85DEFAAEE}" type="parTrans" cxnId="{DD3F8CD8-B940-434F-8DAC-9898C9C7B46B}">
      <dgm:prSet/>
      <dgm:spPr/>
      <dgm:t>
        <a:bodyPr/>
        <a:lstStyle/>
        <a:p>
          <a:endParaRPr lang="en-GB"/>
        </a:p>
      </dgm:t>
    </dgm:pt>
    <dgm:pt modelId="{1E36C3EE-F3A7-4F69-B82A-24A99401983D}" type="sibTrans" cxnId="{DD3F8CD8-B940-434F-8DAC-9898C9C7B46B}">
      <dgm:prSet/>
      <dgm:spPr/>
      <dgm:t>
        <a:bodyPr/>
        <a:lstStyle/>
        <a:p>
          <a:endParaRPr lang="en-GB"/>
        </a:p>
      </dgm:t>
    </dgm:pt>
    <dgm:pt modelId="{F96157EC-1417-455A-A8A4-9C30BDC3C14A}">
      <dgm:prSet phldrT="[Text]" custT="1"/>
      <dgm:spPr>
        <a:solidFill>
          <a:schemeClr val="accent6">
            <a:lumMod val="20000"/>
            <a:lumOff val="80000"/>
          </a:schemeClr>
        </a:solidFill>
      </dgm:spPr>
      <dgm:t>
        <a:bodyPr/>
        <a:lstStyle/>
        <a:p>
          <a:r>
            <a:rPr lang="en-GB" sz="1000" b="1">
              <a:solidFill>
                <a:schemeClr val="tx1"/>
              </a:solidFill>
            </a:rPr>
            <a:t>Increase outreach and  prevention offer , including activity provision</a:t>
          </a:r>
        </a:p>
      </dgm:t>
    </dgm:pt>
    <dgm:pt modelId="{1FCD28FC-E02B-4A63-BFED-FDC9553F2FD5}" type="parTrans" cxnId="{9AC25B26-9E94-4095-B056-825195D46429}">
      <dgm:prSet/>
      <dgm:spPr/>
      <dgm:t>
        <a:bodyPr/>
        <a:lstStyle/>
        <a:p>
          <a:endParaRPr lang="en-GB"/>
        </a:p>
      </dgm:t>
    </dgm:pt>
    <dgm:pt modelId="{3119B607-E368-403C-9C2C-33FEC2D697B2}" type="sibTrans" cxnId="{9AC25B26-9E94-4095-B056-825195D46429}">
      <dgm:prSet/>
      <dgm:spPr/>
      <dgm:t>
        <a:bodyPr/>
        <a:lstStyle/>
        <a:p>
          <a:endParaRPr lang="en-GB"/>
        </a:p>
      </dgm:t>
    </dgm:pt>
    <dgm:pt modelId="{FF0817A1-3790-465A-A03D-400316107A3F}">
      <dgm:prSet phldrT="[Text]" custT="1"/>
      <dgm:spPr>
        <a:solidFill>
          <a:schemeClr val="accent6">
            <a:lumMod val="20000"/>
            <a:lumOff val="80000"/>
          </a:schemeClr>
        </a:solidFill>
      </dgm:spPr>
      <dgm:t>
        <a:bodyPr/>
        <a:lstStyle/>
        <a:p>
          <a:r>
            <a:rPr lang="en-GB" sz="1000" b="1">
              <a:solidFill>
                <a:schemeClr val="tx1"/>
              </a:solidFill>
            </a:rPr>
            <a:t>Promotion of services, and impact of vaping </a:t>
          </a:r>
        </a:p>
      </dgm:t>
    </dgm:pt>
    <dgm:pt modelId="{466F3DE7-5D4B-4103-B026-8FCAFAAA62D0}" type="parTrans" cxnId="{DA66327D-1136-42B5-923D-54AEC18710C9}">
      <dgm:prSet/>
      <dgm:spPr/>
      <dgm:t>
        <a:bodyPr/>
        <a:lstStyle/>
        <a:p>
          <a:endParaRPr lang="en-GB"/>
        </a:p>
      </dgm:t>
    </dgm:pt>
    <dgm:pt modelId="{85D76FAF-7763-4DC2-8F14-9FC6015AC1EC}" type="sibTrans" cxnId="{DA66327D-1136-42B5-923D-54AEC18710C9}">
      <dgm:prSet/>
      <dgm:spPr/>
      <dgm:t>
        <a:bodyPr/>
        <a:lstStyle/>
        <a:p>
          <a:endParaRPr lang="en-GB"/>
        </a:p>
      </dgm:t>
    </dgm:pt>
    <dgm:pt modelId="{270A08B7-BCE2-4F4C-867F-2AAA05FC9613}">
      <dgm:prSet phldrT="[Text]" custT="1"/>
      <dgm:spPr>
        <a:solidFill>
          <a:schemeClr val="accent6">
            <a:lumMod val="20000"/>
            <a:lumOff val="80000"/>
          </a:schemeClr>
        </a:solidFill>
      </dgm:spPr>
      <dgm:t>
        <a:bodyPr/>
        <a:lstStyle/>
        <a:p>
          <a:r>
            <a:rPr lang="en-GB" sz="1000" b="1">
              <a:solidFill>
                <a:schemeClr val="tx1"/>
              </a:solidFill>
            </a:rPr>
            <a:t>Transitions need to be considered</a:t>
          </a:r>
        </a:p>
      </dgm:t>
    </dgm:pt>
    <dgm:pt modelId="{359EFCE7-E9EF-4F5F-A7CB-B05BEE9CB0AD}" type="parTrans" cxnId="{2A95E3AF-24E9-4202-B9A9-01DADAC55E0A}">
      <dgm:prSet/>
      <dgm:spPr/>
      <dgm:t>
        <a:bodyPr/>
        <a:lstStyle/>
        <a:p>
          <a:endParaRPr lang="en-GB"/>
        </a:p>
      </dgm:t>
    </dgm:pt>
    <dgm:pt modelId="{BC09B0AF-148B-492A-B9C1-79382FB5A6E4}" type="sibTrans" cxnId="{2A95E3AF-24E9-4202-B9A9-01DADAC55E0A}">
      <dgm:prSet/>
      <dgm:spPr/>
      <dgm:t>
        <a:bodyPr/>
        <a:lstStyle/>
        <a:p>
          <a:endParaRPr lang="en-GB"/>
        </a:p>
      </dgm:t>
    </dgm:pt>
    <dgm:pt modelId="{6A3804FA-454D-4B1C-8D1B-28DEA81CF696}" type="pres">
      <dgm:prSet presAssocID="{3738EF39-5855-4ECA-BB72-D2334B6329BC}" presName="Name0" presStyleCnt="0">
        <dgm:presLayoutVars>
          <dgm:chMax val="1"/>
          <dgm:chPref val="1"/>
          <dgm:dir/>
          <dgm:animOne val="branch"/>
          <dgm:animLvl val="lvl"/>
        </dgm:presLayoutVars>
      </dgm:prSet>
      <dgm:spPr/>
    </dgm:pt>
    <dgm:pt modelId="{676218FB-A025-43DD-9316-EBCB87BF811E}" type="pres">
      <dgm:prSet presAssocID="{1DDA443D-BD65-4305-A0CD-69C9160F388B}" presName="Parent" presStyleLbl="node0" presStyleIdx="0" presStyleCnt="1">
        <dgm:presLayoutVars>
          <dgm:chMax val="6"/>
          <dgm:chPref val="6"/>
        </dgm:presLayoutVars>
      </dgm:prSet>
      <dgm:spPr/>
    </dgm:pt>
    <dgm:pt modelId="{2C3CF8E0-5BB5-4FFD-9EED-190A045315F8}" type="pres">
      <dgm:prSet presAssocID="{B1B4B1BE-56EB-4E43-A28F-880BDB600546}" presName="Accent1" presStyleCnt="0"/>
      <dgm:spPr/>
    </dgm:pt>
    <dgm:pt modelId="{F9DC0A20-3D4F-4053-B853-F5D7109B9E91}" type="pres">
      <dgm:prSet presAssocID="{B1B4B1BE-56EB-4E43-A28F-880BDB600546}" presName="Accent" presStyleLbl="bgShp" presStyleIdx="0" presStyleCnt="6"/>
      <dgm:spPr/>
    </dgm:pt>
    <dgm:pt modelId="{DF2C4A93-3CEF-4DF1-B7A0-93832C4F5F34}" type="pres">
      <dgm:prSet presAssocID="{B1B4B1BE-56EB-4E43-A28F-880BDB600546}" presName="Child1" presStyleLbl="node1" presStyleIdx="0" presStyleCnt="6">
        <dgm:presLayoutVars>
          <dgm:chMax val="0"/>
          <dgm:chPref val="0"/>
          <dgm:bulletEnabled val="1"/>
        </dgm:presLayoutVars>
      </dgm:prSet>
      <dgm:spPr/>
    </dgm:pt>
    <dgm:pt modelId="{721B53C8-C27A-4D1E-BB97-D36E4E9A2FEF}" type="pres">
      <dgm:prSet presAssocID="{774F476F-9982-486D-B0C3-0CDB59EA9796}" presName="Accent2" presStyleCnt="0"/>
      <dgm:spPr/>
    </dgm:pt>
    <dgm:pt modelId="{CF10F25B-C3FB-468F-ADC2-36B84DC7327D}" type="pres">
      <dgm:prSet presAssocID="{774F476F-9982-486D-B0C3-0CDB59EA9796}" presName="Accent" presStyleLbl="bgShp" presStyleIdx="1" presStyleCnt="6"/>
      <dgm:spPr/>
    </dgm:pt>
    <dgm:pt modelId="{9F60F586-1D92-4956-AFC9-EC76AA2FB410}" type="pres">
      <dgm:prSet presAssocID="{774F476F-9982-486D-B0C3-0CDB59EA9796}" presName="Child2" presStyleLbl="node1" presStyleIdx="1" presStyleCnt="6">
        <dgm:presLayoutVars>
          <dgm:chMax val="0"/>
          <dgm:chPref val="0"/>
          <dgm:bulletEnabled val="1"/>
        </dgm:presLayoutVars>
      </dgm:prSet>
      <dgm:spPr/>
    </dgm:pt>
    <dgm:pt modelId="{310FBC88-CF45-4287-9ECE-F270DAA4E2ED}" type="pres">
      <dgm:prSet presAssocID="{75009749-284D-4B48-9FCF-65406664C5FB}" presName="Accent3" presStyleCnt="0"/>
      <dgm:spPr/>
    </dgm:pt>
    <dgm:pt modelId="{62B9D0C1-9B46-4D3A-AED9-A7679D015CEC}" type="pres">
      <dgm:prSet presAssocID="{75009749-284D-4B48-9FCF-65406664C5FB}" presName="Accent" presStyleLbl="bgShp" presStyleIdx="2" presStyleCnt="6"/>
      <dgm:spPr/>
    </dgm:pt>
    <dgm:pt modelId="{03A62EA1-6DE7-4438-A73F-CDBFC9912FB7}" type="pres">
      <dgm:prSet presAssocID="{75009749-284D-4B48-9FCF-65406664C5FB}" presName="Child3" presStyleLbl="node1" presStyleIdx="2" presStyleCnt="6">
        <dgm:presLayoutVars>
          <dgm:chMax val="0"/>
          <dgm:chPref val="0"/>
          <dgm:bulletEnabled val="1"/>
        </dgm:presLayoutVars>
      </dgm:prSet>
      <dgm:spPr/>
    </dgm:pt>
    <dgm:pt modelId="{1F7BA9CE-D9AE-45E8-8752-AF33EED93DB8}" type="pres">
      <dgm:prSet presAssocID="{F96157EC-1417-455A-A8A4-9C30BDC3C14A}" presName="Accent4" presStyleCnt="0"/>
      <dgm:spPr/>
    </dgm:pt>
    <dgm:pt modelId="{E54EA60E-E281-47D5-A279-9E346E8B0CD0}" type="pres">
      <dgm:prSet presAssocID="{F96157EC-1417-455A-A8A4-9C30BDC3C14A}" presName="Accent" presStyleLbl="bgShp" presStyleIdx="3" presStyleCnt="6"/>
      <dgm:spPr/>
    </dgm:pt>
    <dgm:pt modelId="{15762028-6D23-4D99-8911-89575A5E424B}" type="pres">
      <dgm:prSet presAssocID="{F96157EC-1417-455A-A8A4-9C30BDC3C14A}" presName="Child4" presStyleLbl="node1" presStyleIdx="3" presStyleCnt="6">
        <dgm:presLayoutVars>
          <dgm:chMax val="0"/>
          <dgm:chPref val="0"/>
          <dgm:bulletEnabled val="1"/>
        </dgm:presLayoutVars>
      </dgm:prSet>
      <dgm:spPr/>
    </dgm:pt>
    <dgm:pt modelId="{D37DE6D9-D54C-434C-9A63-BD6F5BEC5809}" type="pres">
      <dgm:prSet presAssocID="{FF0817A1-3790-465A-A03D-400316107A3F}" presName="Accent5" presStyleCnt="0"/>
      <dgm:spPr/>
    </dgm:pt>
    <dgm:pt modelId="{065DB036-D518-41DF-A5D3-2F059CC15D15}" type="pres">
      <dgm:prSet presAssocID="{FF0817A1-3790-465A-A03D-400316107A3F}" presName="Accent" presStyleLbl="bgShp" presStyleIdx="4" presStyleCnt="6"/>
      <dgm:spPr/>
    </dgm:pt>
    <dgm:pt modelId="{BF5B6AE8-C0B8-4F5F-A94C-8879919F04C4}" type="pres">
      <dgm:prSet presAssocID="{FF0817A1-3790-465A-A03D-400316107A3F}" presName="Child5" presStyleLbl="node1" presStyleIdx="4" presStyleCnt="6">
        <dgm:presLayoutVars>
          <dgm:chMax val="0"/>
          <dgm:chPref val="0"/>
          <dgm:bulletEnabled val="1"/>
        </dgm:presLayoutVars>
      </dgm:prSet>
      <dgm:spPr/>
    </dgm:pt>
    <dgm:pt modelId="{46E10C96-C941-4741-A520-5B0578AADEE4}" type="pres">
      <dgm:prSet presAssocID="{270A08B7-BCE2-4F4C-867F-2AAA05FC9613}" presName="Accent6" presStyleCnt="0"/>
      <dgm:spPr/>
    </dgm:pt>
    <dgm:pt modelId="{6032A822-0AE0-4A52-BF98-D9625700184F}" type="pres">
      <dgm:prSet presAssocID="{270A08B7-BCE2-4F4C-867F-2AAA05FC9613}" presName="Accent" presStyleLbl="bgShp" presStyleIdx="5" presStyleCnt="6"/>
      <dgm:spPr/>
    </dgm:pt>
    <dgm:pt modelId="{19E47270-F7BC-4F5D-B4E1-52F20191D78A}" type="pres">
      <dgm:prSet presAssocID="{270A08B7-BCE2-4F4C-867F-2AAA05FC9613}" presName="Child6" presStyleLbl="node1" presStyleIdx="5" presStyleCnt="6">
        <dgm:presLayoutVars>
          <dgm:chMax val="0"/>
          <dgm:chPref val="0"/>
          <dgm:bulletEnabled val="1"/>
        </dgm:presLayoutVars>
      </dgm:prSet>
      <dgm:spPr/>
    </dgm:pt>
  </dgm:ptLst>
  <dgm:cxnLst>
    <dgm:cxn modelId="{7D397A02-70BA-420D-AAAF-E8E88F3EED44}" type="presOf" srcId="{1DDA443D-BD65-4305-A0CD-69C9160F388B}" destId="{676218FB-A025-43DD-9316-EBCB87BF811E}" srcOrd="0" destOrd="0" presId="urn:microsoft.com/office/officeart/2011/layout/HexagonRadial"/>
    <dgm:cxn modelId="{9AC25B26-9E94-4095-B056-825195D46429}" srcId="{1DDA443D-BD65-4305-A0CD-69C9160F388B}" destId="{F96157EC-1417-455A-A8A4-9C30BDC3C14A}" srcOrd="3" destOrd="0" parTransId="{1FCD28FC-E02B-4A63-BFED-FDC9553F2FD5}" sibTransId="{3119B607-E368-403C-9C2C-33FEC2D697B2}"/>
    <dgm:cxn modelId="{3F1AE228-0EF8-48C3-81D9-050C172BF4F6}" srcId="{3738EF39-5855-4ECA-BB72-D2334B6329BC}" destId="{1DDA443D-BD65-4305-A0CD-69C9160F388B}" srcOrd="0" destOrd="0" parTransId="{6BAD040D-3818-4BC8-8DD0-8F14C809C0E6}" sibTransId="{CA0FD4F6-2AA2-4FB2-9DF1-CE3155FA2DCE}"/>
    <dgm:cxn modelId="{D4F2C337-5954-4361-B5F2-DFF7BC941FCC}" type="presOf" srcId="{F96157EC-1417-455A-A8A4-9C30BDC3C14A}" destId="{15762028-6D23-4D99-8911-89575A5E424B}" srcOrd="0" destOrd="0" presId="urn:microsoft.com/office/officeart/2011/layout/HexagonRadial"/>
    <dgm:cxn modelId="{8C352D47-2B74-4D99-849A-D48C88092D23}" type="presOf" srcId="{75009749-284D-4B48-9FCF-65406664C5FB}" destId="{03A62EA1-6DE7-4438-A73F-CDBFC9912FB7}" srcOrd="0" destOrd="0" presId="urn:microsoft.com/office/officeart/2011/layout/HexagonRadial"/>
    <dgm:cxn modelId="{D1286F48-E3A5-4D10-82C3-594429F23DF8}" type="presOf" srcId="{3738EF39-5855-4ECA-BB72-D2334B6329BC}" destId="{6A3804FA-454D-4B1C-8D1B-28DEA81CF696}" srcOrd="0" destOrd="0" presId="urn:microsoft.com/office/officeart/2011/layout/HexagonRadial"/>
    <dgm:cxn modelId="{70C3516A-98E9-4454-8D13-93BEF2B5368B}" srcId="{1DDA443D-BD65-4305-A0CD-69C9160F388B}" destId="{B1B4B1BE-56EB-4E43-A28F-880BDB600546}" srcOrd="0" destOrd="0" parTransId="{8BB0FA46-FF53-4C08-A7C5-13E3322657C0}" sibTransId="{675E0D18-2262-4C06-B075-B80F06F62013}"/>
    <dgm:cxn modelId="{0A876D6F-B60D-44B5-A4A6-3A8221C0136E}" type="presOf" srcId="{774F476F-9982-486D-B0C3-0CDB59EA9796}" destId="{9F60F586-1D92-4956-AFC9-EC76AA2FB410}" srcOrd="0" destOrd="0" presId="urn:microsoft.com/office/officeart/2011/layout/HexagonRadial"/>
    <dgm:cxn modelId="{DA66327D-1136-42B5-923D-54AEC18710C9}" srcId="{1DDA443D-BD65-4305-A0CD-69C9160F388B}" destId="{FF0817A1-3790-465A-A03D-400316107A3F}" srcOrd="4" destOrd="0" parTransId="{466F3DE7-5D4B-4103-B026-8FCAFAAA62D0}" sibTransId="{85D76FAF-7763-4DC2-8F14-9FC6015AC1EC}"/>
    <dgm:cxn modelId="{BBFD6195-64DA-4425-B9CF-395AF9E9FBBB}" type="presOf" srcId="{270A08B7-BCE2-4F4C-867F-2AAA05FC9613}" destId="{19E47270-F7BC-4F5D-B4E1-52F20191D78A}" srcOrd="0" destOrd="0" presId="urn:microsoft.com/office/officeart/2011/layout/HexagonRadial"/>
    <dgm:cxn modelId="{2A95E3AF-24E9-4202-B9A9-01DADAC55E0A}" srcId="{1DDA443D-BD65-4305-A0CD-69C9160F388B}" destId="{270A08B7-BCE2-4F4C-867F-2AAA05FC9613}" srcOrd="5" destOrd="0" parTransId="{359EFCE7-E9EF-4F5F-A7CB-B05BEE9CB0AD}" sibTransId="{BC09B0AF-148B-492A-B9C1-79382FB5A6E4}"/>
    <dgm:cxn modelId="{578E76B3-FC4B-44BD-9F90-C89FEC51B753}" type="presOf" srcId="{B1B4B1BE-56EB-4E43-A28F-880BDB600546}" destId="{DF2C4A93-3CEF-4DF1-B7A0-93832C4F5F34}" srcOrd="0" destOrd="0" presId="urn:microsoft.com/office/officeart/2011/layout/HexagonRadial"/>
    <dgm:cxn modelId="{BD4325C6-3E1E-4F85-9817-8A596C9EB3A1}" type="presOf" srcId="{FF0817A1-3790-465A-A03D-400316107A3F}" destId="{BF5B6AE8-C0B8-4F5F-A94C-8879919F04C4}" srcOrd="0" destOrd="0" presId="urn:microsoft.com/office/officeart/2011/layout/HexagonRadial"/>
    <dgm:cxn modelId="{821C1ED8-B967-4707-9A7D-D6512369887D}" srcId="{1DDA443D-BD65-4305-A0CD-69C9160F388B}" destId="{774F476F-9982-486D-B0C3-0CDB59EA9796}" srcOrd="1" destOrd="0" parTransId="{B27F6DCC-711C-4EBB-8576-B327A786C1C9}" sibTransId="{CF85B43C-E21C-4F3B-81F8-8161C887AE24}"/>
    <dgm:cxn modelId="{DD3F8CD8-B940-434F-8DAC-9898C9C7B46B}" srcId="{1DDA443D-BD65-4305-A0CD-69C9160F388B}" destId="{75009749-284D-4B48-9FCF-65406664C5FB}" srcOrd="2" destOrd="0" parTransId="{71AABE16-E446-457C-9CA0-8BF85DEFAAEE}" sibTransId="{1E36C3EE-F3A7-4F69-B82A-24A99401983D}"/>
    <dgm:cxn modelId="{26A6AEDA-AC2E-4907-930B-3407D520DB02}" type="presParOf" srcId="{6A3804FA-454D-4B1C-8D1B-28DEA81CF696}" destId="{676218FB-A025-43DD-9316-EBCB87BF811E}" srcOrd="0" destOrd="0" presId="urn:microsoft.com/office/officeart/2011/layout/HexagonRadial"/>
    <dgm:cxn modelId="{13338AA3-4A28-4301-A639-7D34AA23BF2B}" type="presParOf" srcId="{6A3804FA-454D-4B1C-8D1B-28DEA81CF696}" destId="{2C3CF8E0-5BB5-4FFD-9EED-190A045315F8}" srcOrd="1" destOrd="0" presId="urn:microsoft.com/office/officeart/2011/layout/HexagonRadial"/>
    <dgm:cxn modelId="{5BCD3A58-3E04-4918-AC59-07B5323AF36E}" type="presParOf" srcId="{2C3CF8E0-5BB5-4FFD-9EED-190A045315F8}" destId="{F9DC0A20-3D4F-4053-B853-F5D7109B9E91}" srcOrd="0" destOrd="0" presId="urn:microsoft.com/office/officeart/2011/layout/HexagonRadial"/>
    <dgm:cxn modelId="{0A240206-4A0B-4B90-9678-FB78AB6CD7C1}" type="presParOf" srcId="{6A3804FA-454D-4B1C-8D1B-28DEA81CF696}" destId="{DF2C4A93-3CEF-4DF1-B7A0-93832C4F5F34}" srcOrd="2" destOrd="0" presId="urn:microsoft.com/office/officeart/2011/layout/HexagonRadial"/>
    <dgm:cxn modelId="{4CA82D66-D6C9-4AB8-B6F8-1860B6115BDD}" type="presParOf" srcId="{6A3804FA-454D-4B1C-8D1B-28DEA81CF696}" destId="{721B53C8-C27A-4D1E-BB97-D36E4E9A2FEF}" srcOrd="3" destOrd="0" presId="urn:microsoft.com/office/officeart/2011/layout/HexagonRadial"/>
    <dgm:cxn modelId="{605BA716-D3D4-47E0-AA2A-917FE5229063}" type="presParOf" srcId="{721B53C8-C27A-4D1E-BB97-D36E4E9A2FEF}" destId="{CF10F25B-C3FB-468F-ADC2-36B84DC7327D}" srcOrd="0" destOrd="0" presId="urn:microsoft.com/office/officeart/2011/layout/HexagonRadial"/>
    <dgm:cxn modelId="{5E5BD4A9-2A8D-4B97-ABFA-874B655D1730}" type="presParOf" srcId="{6A3804FA-454D-4B1C-8D1B-28DEA81CF696}" destId="{9F60F586-1D92-4956-AFC9-EC76AA2FB410}" srcOrd="4" destOrd="0" presId="urn:microsoft.com/office/officeart/2011/layout/HexagonRadial"/>
    <dgm:cxn modelId="{07D4633C-8CD4-4631-8D2F-F5AC12B17F37}" type="presParOf" srcId="{6A3804FA-454D-4B1C-8D1B-28DEA81CF696}" destId="{310FBC88-CF45-4287-9ECE-F270DAA4E2ED}" srcOrd="5" destOrd="0" presId="urn:microsoft.com/office/officeart/2011/layout/HexagonRadial"/>
    <dgm:cxn modelId="{4363728C-7547-415A-A98F-64F5AD309714}" type="presParOf" srcId="{310FBC88-CF45-4287-9ECE-F270DAA4E2ED}" destId="{62B9D0C1-9B46-4D3A-AED9-A7679D015CEC}" srcOrd="0" destOrd="0" presId="urn:microsoft.com/office/officeart/2011/layout/HexagonRadial"/>
    <dgm:cxn modelId="{4BEE5924-BBFB-4EE0-A97A-D66FC53CD19F}" type="presParOf" srcId="{6A3804FA-454D-4B1C-8D1B-28DEA81CF696}" destId="{03A62EA1-6DE7-4438-A73F-CDBFC9912FB7}" srcOrd="6" destOrd="0" presId="urn:microsoft.com/office/officeart/2011/layout/HexagonRadial"/>
    <dgm:cxn modelId="{C8B868E1-8C9B-4987-BBF3-6E9BF195515F}" type="presParOf" srcId="{6A3804FA-454D-4B1C-8D1B-28DEA81CF696}" destId="{1F7BA9CE-D9AE-45E8-8752-AF33EED93DB8}" srcOrd="7" destOrd="0" presId="urn:microsoft.com/office/officeart/2011/layout/HexagonRadial"/>
    <dgm:cxn modelId="{F87C4557-4DBD-48DC-BDF2-CCCA196692BE}" type="presParOf" srcId="{1F7BA9CE-D9AE-45E8-8752-AF33EED93DB8}" destId="{E54EA60E-E281-47D5-A279-9E346E8B0CD0}" srcOrd="0" destOrd="0" presId="urn:microsoft.com/office/officeart/2011/layout/HexagonRadial"/>
    <dgm:cxn modelId="{00D69D43-F4C8-4C89-AEF0-DD840B1D0B80}" type="presParOf" srcId="{6A3804FA-454D-4B1C-8D1B-28DEA81CF696}" destId="{15762028-6D23-4D99-8911-89575A5E424B}" srcOrd="8" destOrd="0" presId="urn:microsoft.com/office/officeart/2011/layout/HexagonRadial"/>
    <dgm:cxn modelId="{B2EFBECF-0278-40AF-A77B-B3F82A3D3807}" type="presParOf" srcId="{6A3804FA-454D-4B1C-8D1B-28DEA81CF696}" destId="{D37DE6D9-D54C-434C-9A63-BD6F5BEC5809}" srcOrd="9" destOrd="0" presId="urn:microsoft.com/office/officeart/2011/layout/HexagonRadial"/>
    <dgm:cxn modelId="{5CD42BEC-21D0-4618-AC42-CE83DB524554}" type="presParOf" srcId="{D37DE6D9-D54C-434C-9A63-BD6F5BEC5809}" destId="{065DB036-D518-41DF-A5D3-2F059CC15D15}" srcOrd="0" destOrd="0" presId="urn:microsoft.com/office/officeart/2011/layout/HexagonRadial"/>
    <dgm:cxn modelId="{36F79CDF-C6BF-4BF6-B68C-F1D5E4F65AAD}" type="presParOf" srcId="{6A3804FA-454D-4B1C-8D1B-28DEA81CF696}" destId="{BF5B6AE8-C0B8-4F5F-A94C-8879919F04C4}" srcOrd="10" destOrd="0" presId="urn:microsoft.com/office/officeart/2011/layout/HexagonRadial"/>
    <dgm:cxn modelId="{2DBF75C0-9EE6-4426-82EB-74E5C7F74B0B}" type="presParOf" srcId="{6A3804FA-454D-4B1C-8D1B-28DEA81CF696}" destId="{46E10C96-C941-4741-A520-5B0578AADEE4}" srcOrd="11" destOrd="0" presId="urn:microsoft.com/office/officeart/2011/layout/HexagonRadial"/>
    <dgm:cxn modelId="{D8A70733-38FA-45CB-BC52-2B66661FCC14}" type="presParOf" srcId="{46E10C96-C941-4741-A520-5B0578AADEE4}" destId="{6032A822-0AE0-4A52-BF98-D9625700184F}" srcOrd="0" destOrd="0" presId="urn:microsoft.com/office/officeart/2011/layout/HexagonRadial"/>
    <dgm:cxn modelId="{67D4F019-26BD-4AA0-8CE8-9C79267C457E}" type="presParOf" srcId="{6A3804FA-454D-4B1C-8D1B-28DEA81CF696}" destId="{19E47270-F7BC-4F5D-B4E1-52F20191D78A}" srcOrd="12" destOrd="0" presId="urn:microsoft.com/office/officeart/2011/layout/HexagonRadial"/>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B134C-04F7-44D6-BC3B-FA8AB6B07F39}">
      <dsp:nvSpPr>
        <dsp:cNvPr id="0" name=""/>
        <dsp:cNvSpPr/>
      </dsp:nvSpPr>
      <dsp:spPr>
        <a:xfrm>
          <a:off x="2154414" y="1187693"/>
          <a:ext cx="1528398" cy="132212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Individual</a:t>
          </a:r>
        </a:p>
      </dsp:txBody>
      <dsp:txXfrm>
        <a:off x="2407691" y="1406788"/>
        <a:ext cx="1021844" cy="883936"/>
      </dsp:txXfrm>
    </dsp:sp>
    <dsp:sp modelId="{A59CF0A4-E299-44C2-9DA4-7E665256E511}">
      <dsp:nvSpPr>
        <dsp:cNvPr id="0" name=""/>
        <dsp:cNvSpPr/>
      </dsp:nvSpPr>
      <dsp:spPr>
        <a:xfrm>
          <a:off x="1421421" y="1731974"/>
          <a:ext cx="576660" cy="496869"/>
        </a:xfrm>
        <a:prstGeom prst="hexagon">
          <a:avLst>
            <a:gd name="adj" fmla="val 28900"/>
            <a:gd name="vf" fmla="val 115470"/>
          </a:avLst>
        </a:prstGeom>
        <a:solidFill>
          <a:schemeClr val="bg2">
            <a:lumMod val="90000"/>
          </a:schemeClr>
        </a:solidFill>
        <a:ln>
          <a:noFill/>
        </a:ln>
        <a:effectLst/>
      </dsp:spPr>
      <dsp:style>
        <a:lnRef idx="0">
          <a:scrgbClr r="0" g="0" b="0"/>
        </a:lnRef>
        <a:fillRef idx="1">
          <a:scrgbClr r="0" g="0" b="0"/>
        </a:fillRef>
        <a:effectRef idx="0">
          <a:scrgbClr r="0" g="0" b="0"/>
        </a:effectRef>
        <a:fontRef idx="minor"/>
      </dsp:style>
    </dsp:sp>
    <dsp:sp modelId="{3E1465E3-A172-41EE-B5DE-D463E9B25DFD}">
      <dsp:nvSpPr>
        <dsp:cNvPr id="0" name=""/>
        <dsp:cNvSpPr/>
      </dsp:nvSpPr>
      <dsp:spPr>
        <a:xfrm>
          <a:off x="1043291" y="638179"/>
          <a:ext cx="1252511" cy="10835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More flexibility to meet service users  at their starting point</a:t>
          </a:r>
        </a:p>
      </dsp:txBody>
      <dsp:txXfrm>
        <a:off x="1250859" y="817750"/>
        <a:ext cx="837375" cy="724427"/>
      </dsp:txXfrm>
    </dsp:sp>
    <dsp:sp modelId="{D43E39BF-22EB-4D8B-8B40-5AD8D2785304}">
      <dsp:nvSpPr>
        <dsp:cNvPr id="0" name=""/>
        <dsp:cNvSpPr/>
      </dsp:nvSpPr>
      <dsp:spPr>
        <a:xfrm>
          <a:off x="3732726" y="1498807"/>
          <a:ext cx="576660" cy="4968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18CA441-97AE-4D66-9E3E-213B5676738B}">
      <dsp:nvSpPr>
        <dsp:cNvPr id="0" name=""/>
        <dsp:cNvSpPr/>
      </dsp:nvSpPr>
      <dsp:spPr>
        <a:xfrm>
          <a:off x="3392134" y="666468"/>
          <a:ext cx="1252511" cy="10835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Holistic offer that focuses on wider  skills</a:t>
          </a:r>
        </a:p>
      </dsp:txBody>
      <dsp:txXfrm>
        <a:off x="3599702" y="846039"/>
        <a:ext cx="837375" cy="724427"/>
      </dsp:txXfrm>
    </dsp:sp>
    <dsp:sp modelId="{50E25EF5-D39D-45C2-A774-5FA4BA7CAB90}">
      <dsp:nvSpPr>
        <dsp:cNvPr id="0" name=""/>
        <dsp:cNvSpPr/>
      </dsp:nvSpPr>
      <dsp:spPr>
        <a:xfrm>
          <a:off x="3265212" y="2547339"/>
          <a:ext cx="576660" cy="4968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4FC1E8B-FA46-4B18-A9A5-656775503838}">
      <dsp:nvSpPr>
        <dsp:cNvPr id="0" name=""/>
        <dsp:cNvSpPr/>
      </dsp:nvSpPr>
      <dsp:spPr>
        <a:xfrm>
          <a:off x="3392134" y="1976666"/>
          <a:ext cx="1252511" cy="10835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Trusted person approach , reduce re-telling thier stories</a:t>
          </a:r>
        </a:p>
      </dsp:txBody>
      <dsp:txXfrm>
        <a:off x="3599702" y="2156237"/>
        <a:ext cx="837375" cy="724427"/>
      </dsp:txXfrm>
    </dsp:sp>
    <dsp:sp modelId="{C5E6FF68-C631-49E7-82BF-EED2104A071C}">
      <dsp:nvSpPr>
        <dsp:cNvPr id="0" name=""/>
        <dsp:cNvSpPr/>
      </dsp:nvSpPr>
      <dsp:spPr>
        <a:xfrm>
          <a:off x="2105492" y="2656180"/>
          <a:ext cx="576660" cy="4968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6F0961-DEF5-4240-9EB0-1F2300E04DE3}">
      <dsp:nvSpPr>
        <dsp:cNvPr id="0" name=""/>
        <dsp:cNvSpPr/>
      </dsp:nvSpPr>
      <dsp:spPr>
        <a:xfrm>
          <a:off x="2243435" y="2643880"/>
          <a:ext cx="1252511" cy="10835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Address</a:t>
          </a:r>
          <a:r>
            <a:rPr lang="en-GB" sz="1000" b="1" kern="1200" baseline="0">
              <a:solidFill>
                <a:schemeClr val="tx1"/>
              </a:solidFill>
            </a:rPr>
            <a:t> stigma throughout services and impact on service users</a:t>
          </a:r>
          <a:endParaRPr lang="en-GB" sz="1000" b="1" kern="1200">
            <a:solidFill>
              <a:schemeClr val="tx1"/>
            </a:solidFill>
          </a:endParaRPr>
        </a:p>
      </dsp:txBody>
      <dsp:txXfrm>
        <a:off x="2451003" y="2823451"/>
        <a:ext cx="837375" cy="724427"/>
      </dsp:txXfrm>
    </dsp:sp>
    <dsp:sp modelId="{71712413-75D6-4C99-AC68-E251A53048C9}">
      <dsp:nvSpPr>
        <dsp:cNvPr id="0" name=""/>
        <dsp:cNvSpPr/>
      </dsp:nvSpPr>
      <dsp:spPr>
        <a:xfrm>
          <a:off x="1089404" y="1977412"/>
          <a:ext cx="1252511" cy="10835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Lived experience, peer support and co-production needs to be embedded</a:t>
          </a:r>
        </a:p>
      </dsp:txBody>
      <dsp:txXfrm>
        <a:off x="1296972" y="2156983"/>
        <a:ext cx="837375" cy="7244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CA48D-FDB7-446F-B66F-A03791E83DE2}">
      <dsp:nvSpPr>
        <dsp:cNvPr id="0" name=""/>
        <dsp:cNvSpPr/>
      </dsp:nvSpPr>
      <dsp:spPr>
        <a:xfrm>
          <a:off x="2137067" y="1146330"/>
          <a:ext cx="1457036" cy="1260395"/>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Space </a:t>
          </a:r>
        </a:p>
      </dsp:txBody>
      <dsp:txXfrm>
        <a:off x="2378518" y="1355195"/>
        <a:ext cx="974134" cy="842665"/>
      </dsp:txXfrm>
    </dsp:sp>
    <dsp:sp modelId="{4C785A06-4B46-4692-968B-AA6A5E7D6232}">
      <dsp:nvSpPr>
        <dsp:cNvPr id="0" name=""/>
        <dsp:cNvSpPr/>
      </dsp:nvSpPr>
      <dsp:spPr>
        <a:xfrm>
          <a:off x="3049452" y="543316"/>
          <a:ext cx="549735" cy="4736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22D444-44A6-4417-937A-9B48427D67D1}">
      <dsp:nvSpPr>
        <dsp:cNvPr id="0" name=""/>
        <dsp:cNvSpPr/>
      </dsp:nvSpPr>
      <dsp:spPr>
        <a:xfrm>
          <a:off x="2271281" y="0"/>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Office space needs to be fit for purpose </a:t>
          </a:r>
        </a:p>
      </dsp:txBody>
      <dsp:txXfrm>
        <a:off x="2469157" y="171186"/>
        <a:ext cx="798278" cy="690604"/>
      </dsp:txXfrm>
    </dsp:sp>
    <dsp:sp modelId="{3E6E861C-808F-4450-919A-1B936FF6595F}">
      <dsp:nvSpPr>
        <dsp:cNvPr id="0" name=""/>
        <dsp:cNvSpPr/>
      </dsp:nvSpPr>
      <dsp:spPr>
        <a:xfrm>
          <a:off x="3691036" y="1428826"/>
          <a:ext cx="549735" cy="4736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0C21DBF-D920-4307-BAC8-B504090E958A}">
      <dsp:nvSpPr>
        <dsp:cNvPr id="0" name=""/>
        <dsp:cNvSpPr/>
      </dsp:nvSpPr>
      <dsp:spPr>
        <a:xfrm>
          <a:off x="3366346" y="635350"/>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45% of partners can offer co-location space </a:t>
          </a:r>
        </a:p>
      </dsp:txBody>
      <dsp:txXfrm>
        <a:off x="3564222" y="806536"/>
        <a:ext cx="798278" cy="690604"/>
      </dsp:txXfrm>
    </dsp:sp>
    <dsp:sp modelId="{EA33E1D0-DC90-44C8-B315-E6B5E1408E76}">
      <dsp:nvSpPr>
        <dsp:cNvPr id="0" name=""/>
        <dsp:cNvSpPr/>
      </dsp:nvSpPr>
      <dsp:spPr>
        <a:xfrm>
          <a:off x="3245350" y="2428401"/>
          <a:ext cx="549735" cy="4736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3C21ED2-9A96-4B23-9478-8A5BD39C2B00}">
      <dsp:nvSpPr>
        <dsp:cNvPr id="0" name=""/>
        <dsp:cNvSpPr/>
      </dsp:nvSpPr>
      <dsp:spPr>
        <a:xfrm>
          <a:off x="3366346" y="1884374"/>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Provide accessible locations accross the City</a:t>
          </a:r>
        </a:p>
      </dsp:txBody>
      <dsp:txXfrm>
        <a:off x="3564222" y="2055560"/>
        <a:ext cx="798278" cy="690604"/>
      </dsp:txXfrm>
    </dsp:sp>
    <dsp:sp modelId="{64CCD313-56BD-467B-A32C-01AEFF16A8C5}">
      <dsp:nvSpPr>
        <dsp:cNvPr id="0" name=""/>
        <dsp:cNvSpPr/>
      </dsp:nvSpPr>
      <dsp:spPr>
        <a:xfrm>
          <a:off x="2139778" y="2532161"/>
          <a:ext cx="549735" cy="4736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855B0A-540F-42D1-80BE-B79EAE34A202}">
      <dsp:nvSpPr>
        <dsp:cNvPr id="0" name=""/>
        <dsp:cNvSpPr/>
      </dsp:nvSpPr>
      <dsp:spPr>
        <a:xfrm>
          <a:off x="2271281" y="2520435"/>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Increased offer to  education settings</a:t>
          </a:r>
        </a:p>
      </dsp:txBody>
      <dsp:txXfrm>
        <a:off x="2469157" y="2691621"/>
        <a:ext cx="798278" cy="690604"/>
      </dsp:txXfrm>
    </dsp:sp>
    <dsp:sp modelId="{D9E249B1-371A-473B-95A0-BB9AB0CE5660}">
      <dsp:nvSpPr>
        <dsp:cNvPr id="0" name=""/>
        <dsp:cNvSpPr/>
      </dsp:nvSpPr>
      <dsp:spPr>
        <a:xfrm>
          <a:off x="1487688" y="1647006"/>
          <a:ext cx="549735" cy="473669"/>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D67CCA5-5C65-4DC0-AB6B-62D02441AFB7}">
      <dsp:nvSpPr>
        <dsp:cNvPr id="0" name=""/>
        <dsp:cNvSpPr/>
      </dsp:nvSpPr>
      <dsp:spPr>
        <a:xfrm>
          <a:off x="1171132" y="1885085"/>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Increase outreach and homevisiting offer</a:t>
          </a:r>
        </a:p>
      </dsp:txBody>
      <dsp:txXfrm>
        <a:off x="1369008" y="2056271"/>
        <a:ext cx="798278" cy="690604"/>
      </dsp:txXfrm>
    </dsp:sp>
    <dsp:sp modelId="{7B26B798-9966-467B-A639-1A6DAADFB971}">
      <dsp:nvSpPr>
        <dsp:cNvPr id="0" name=""/>
        <dsp:cNvSpPr/>
      </dsp:nvSpPr>
      <dsp:spPr>
        <a:xfrm>
          <a:off x="1171132" y="633928"/>
          <a:ext cx="1194030" cy="1032976"/>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sng" kern="1200">
              <a:solidFill>
                <a:schemeClr val="tx1"/>
              </a:solidFill>
            </a:rPr>
            <a:t>Flexible offer for service users and families, days, times </a:t>
          </a:r>
        </a:p>
      </dsp:txBody>
      <dsp:txXfrm>
        <a:off x="1369008" y="805114"/>
        <a:ext cx="798278" cy="690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387B-FA23-47EF-8E14-160EEB5885E9}">
      <dsp:nvSpPr>
        <dsp:cNvPr id="0" name=""/>
        <dsp:cNvSpPr/>
      </dsp:nvSpPr>
      <dsp:spPr>
        <a:xfrm>
          <a:off x="2086465" y="1225935"/>
          <a:ext cx="1558217" cy="1347921"/>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Service - Community  </a:t>
          </a:r>
        </a:p>
      </dsp:txBody>
      <dsp:txXfrm>
        <a:off x="2344683" y="1449304"/>
        <a:ext cx="1041781" cy="901183"/>
      </dsp:txXfrm>
    </dsp:sp>
    <dsp:sp modelId="{B74D0232-B7CE-4D92-9D58-194EEE2B0F40}">
      <dsp:nvSpPr>
        <dsp:cNvPr id="0" name=""/>
        <dsp:cNvSpPr/>
      </dsp:nvSpPr>
      <dsp:spPr>
        <a:xfrm>
          <a:off x="3062208" y="581046"/>
          <a:ext cx="587910" cy="50656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8671D10-2304-4271-89F8-2BF3E3E84732}">
      <dsp:nvSpPr>
        <dsp:cNvPr id="0" name=""/>
        <dsp:cNvSpPr/>
      </dsp:nvSpPr>
      <dsp:spPr>
        <a:xfrm>
          <a:off x="2229999" y="0"/>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Utilise parterships for recovery offer</a:t>
          </a:r>
        </a:p>
      </dsp:txBody>
      <dsp:txXfrm>
        <a:off x="2441617" y="183074"/>
        <a:ext cx="853712" cy="738562"/>
      </dsp:txXfrm>
    </dsp:sp>
    <dsp:sp modelId="{17C5A501-D51C-4235-9609-52FE16F054AA}">
      <dsp:nvSpPr>
        <dsp:cNvPr id="0" name=""/>
        <dsp:cNvSpPr/>
      </dsp:nvSpPr>
      <dsp:spPr>
        <a:xfrm>
          <a:off x="3748346" y="1528049"/>
          <a:ext cx="587910" cy="50656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52F1EE-30A8-40E6-A9B2-764070CF0CE5}">
      <dsp:nvSpPr>
        <dsp:cNvPr id="0" name=""/>
        <dsp:cNvSpPr/>
      </dsp:nvSpPr>
      <dsp:spPr>
        <a:xfrm>
          <a:off x="3401109" y="679470"/>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Increase promotion of drug &amp; alcohol offer</a:t>
          </a:r>
        </a:p>
      </dsp:txBody>
      <dsp:txXfrm>
        <a:off x="3612727" y="862544"/>
        <a:ext cx="853712" cy="738562"/>
      </dsp:txXfrm>
    </dsp:sp>
    <dsp:sp modelId="{FDF24BF9-7D80-482B-B209-1F7C91362888}">
      <dsp:nvSpPr>
        <dsp:cNvPr id="0" name=""/>
        <dsp:cNvSpPr/>
      </dsp:nvSpPr>
      <dsp:spPr>
        <a:xfrm>
          <a:off x="3271710" y="2597037"/>
          <a:ext cx="587910" cy="50656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D6D2BC1-5CA5-4DEE-A87C-7282FCC9E793}">
      <dsp:nvSpPr>
        <dsp:cNvPr id="0" name=""/>
        <dsp:cNvSpPr/>
      </dsp:nvSpPr>
      <dsp:spPr>
        <a:xfrm>
          <a:off x="3401109" y="2015231"/>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Partnership approach to addressing stigma</a:t>
          </a:r>
        </a:p>
      </dsp:txBody>
      <dsp:txXfrm>
        <a:off x="3612727" y="2198305"/>
        <a:ext cx="853712" cy="738562"/>
      </dsp:txXfrm>
    </dsp:sp>
    <dsp:sp modelId="{1083A323-4452-4FDA-8955-B5B624BD374B}">
      <dsp:nvSpPr>
        <dsp:cNvPr id="0" name=""/>
        <dsp:cNvSpPr/>
      </dsp:nvSpPr>
      <dsp:spPr>
        <a:xfrm>
          <a:off x="2089364" y="2708002"/>
          <a:ext cx="587910" cy="50656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249798-FEB0-4232-A715-90EBACA7E22A}">
      <dsp:nvSpPr>
        <dsp:cNvPr id="0" name=""/>
        <dsp:cNvSpPr/>
      </dsp:nvSpPr>
      <dsp:spPr>
        <a:xfrm>
          <a:off x="2229999" y="2695461"/>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Co-occuring conditions are prevelant</a:t>
          </a:r>
        </a:p>
      </dsp:txBody>
      <dsp:txXfrm>
        <a:off x="2441617" y="2878535"/>
        <a:ext cx="853712" cy="738562"/>
      </dsp:txXfrm>
    </dsp:sp>
    <dsp:sp modelId="{54447FA5-049F-4D99-9278-845AA91C79E0}">
      <dsp:nvSpPr>
        <dsp:cNvPr id="0" name=""/>
        <dsp:cNvSpPr/>
      </dsp:nvSpPr>
      <dsp:spPr>
        <a:xfrm>
          <a:off x="1391990" y="1761379"/>
          <a:ext cx="587910" cy="50656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4200AC-B252-4CB2-9D78-58E5A19D8C2F}">
      <dsp:nvSpPr>
        <dsp:cNvPr id="0" name=""/>
        <dsp:cNvSpPr/>
      </dsp:nvSpPr>
      <dsp:spPr>
        <a:xfrm>
          <a:off x="1053452" y="2015991"/>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Increase peer support/ lived experience offer</a:t>
          </a:r>
        </a:p>
      </dsp:txBody>
      <dsp:txXfrm>
        <a:off x="1265070" y="2199065"/>
        <a:ext cx="853712" cy="738562"/>
      </dsp:txXfrm>
    </dsp:sp>
    <dsp:sp modelId="{D6B332FE-8E32-4E4A-BE73-73AC242D1C52}">
      <dsp:nvSpPr>
        <dsp:cNvPr id="0" name=""/>
        <dsp:cNvSpPr/>
      </dsp:nvSpPr>
      <dsp:spPr>
        <a:xfrm>
          <a:off x="1053452" y="677950"/>
          <a:ext cx="1276948" cy="1104710"/>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Review gaps in communities recieving support</a:t>
          </a:r>
        </a:p>
      </dsp:txBody>
      <dsp:txXfrm>
        <a:off x="1265070" y="861024"/>
        <a:ext cx="853712" cy="7385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D0F3A-3597-43CF-807B-F2C28667F7D0}">
      <dsp:nvSpPr>
        <dsp:cNvPr id="0" name=""/>
        <dsp:cNvSpPr/>
      </dsp:nvSpPr>
      <dsp:spPr>
        <a:xfrm>
          <a:off x="2119218" y="1174410"/>
          <a:ext cx="1492726" cy="129126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Partnerships </a:t>
          </a:r>
        </a:p>
      </dsp:txBody>
      <dsp:txXfrm>
        <a:off x="2366584" y="1388391"/>
        <a:ext cx="997994" cy="863307"/>
      </dsp:txXfrm>
    </dsp:sp>
    <dsp:sp modelId="{67E00B0E-9D1C-4D39-8554-DD6897BEDC27}">
      <dsp:nvSpPr>
        <dsp:cNvPr id="0" name=""/>
        <dsp:cNvSpPr/>
      </dsp:nvSpPr>
      <dsp:spPr>
        <a:xfrm>
          <a:off x="3053951" y="556625"/>
          <a:ext cx="563201" cy="48527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B743D-6DAF-43A9-94B3-16B0BE97A9D0}">
      <dsp:nvSpPr>
        <dsp:cNvPr id="0" name=""/>
        <dsp:cNvSpPr/>
      </dsp:nvSpPr>
      <dsp:spPr>
        <a:xfrm>
          <a:off x="2256719" y="0"/>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Increase partnerships within primary care </a:t>
          </a:r>
        </a:p>
      </dsp:txBody>
      <dsp:txXfrm>
        <a:off x="2459442" y="175379"/>
        <a:ext cx="817832" cy="707521"/>
      </dsp:txXfrm>
    </dsp:sp>
    <dsp:sp modelId="{9979F9F7-65AC-4B05-A952-8D69CDEDBF5D}">
      <dsp:nvSpPr>
        <dsp:cNvPr id="0" name=""/>
        <dsp:cNvSpPr/>
      </dsp:nvSpPr>
      <dsp:spPr>
        <a:xfrm>
          <a:off x="3711251" y="1463826"/>
          <a:ext cx="563201" cy="48527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2C689A-EE99-4417-92F9-0BD5D6ED26DC}">
      <dsp:nvSpPr>
        <dsp:cNvPr id="0" name=""/>
        <dsp:cNvSpPr/>
      </dsp:nvSpPr>
      <dsp:spPr>
        <a:xfrm>
          <a:off x="3378608" y="650913"/>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Build relationships with statutory partners, DWP, Probation</a:t>
          </a:r>
        </a:p>
      </dsp:txBody>
      <dsp:txXfrm>
        <a:off x="3581331" y="826292"/>
        <a:ext cx="817832" cy="707521"/>
      </dsp:txXfrm>
    </dsp:sp>
    <dsp:sp modelId="{10513944-2CCB-40EC-8450-63FDD234C9BE}">
      <dsp:nvSpPr>
        <dsp:cNvPr id="0" name=""/>
        <dsp:cNvSpPr/>
      </dsp:nvSpPr>
      <dsp:spPr>
        <a:xfrm>
          <a:off x="3254648" y="2487886"/>
          <a:ext cx="563201" cy="48527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1C942B3-134B-423B-A796-B5D9329BE0B7}">
      <dsp:nvSpPr>
        <dsp:cNvPr id="0" name=""/>
        <dsp:cNvSpPr/>
      </dsp:nvSpPr>
      <dsp:spPr>
        <a:xfrm>
          <a:off x="3378608" y="1930532"/>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Earlier</a:t>
          </a:r>
        </a:p>
        <a:p>
          <a:pPr marL="0" lvl="0" indent="0" algn="ctr" defTabSz="444500">
            <a:lnSpc>
              <a:spcPct val="90000"/>
            </a:lnSpc>
            <a:spcBef>
              <a:spcPct val="0"/>
            </a:spcBef>
            <a:spcAft>
              <a:spcPct val="35000"/>
            </a:spcAft>
            <a:buNone/>
          </a:pPr>
          <a:r>
            <a:rPr lang="en-GB" sz="1000" b="1" u="none" kern="1200">
              <a:solidFill>
                <a:schemeClr val="tx1"/>
              </a:solidFill>
            </a:rPr>
            <a:t> intervention and prevention </a:t>
          </a:r>
        </a:p>
      </dsp:txBody>
      <dsp:txXfrm>
        <a:off x="3581331" y="2105911"/>
        <a:ext cx="817832" cy="707521"/>
      </dsp:txXfrm>
    </dsp:sp>
    <dsp:sp modelId="{D7F31B8C-FFF3-4781-B38E-2A3D497255C3}">
      <dsp:nvSpPr>
        <dsp:cNvPr id="0" name=""/>
        <dsp:cNvSpPr/>
      </dsp:nvSpPr>
      <dsp:spPr>
        <a:xfrm>
          <a:off x="2121995" y="2594187"/>
          <a:ext cx="563201" cy="48527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352B432-1838-4E10-B162-2AD697B917CD}">
      <dsp:nvSpPr>
        <dsp:cNvPr id="0" name=""/>
        <dsp:cNvSpPr/>
      </dsp:nvSpPr>
      <dsp:spPr>
        <a:xfrm>
          <a:off x="2256719" y="2582174"/>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Improved specialist housing offer </a:t>
          </a:r>
        </a:p>
      </dsp:txBody>
      <dsp:txXfrm>
        <a:off x="2459442" y="2757553"/>
        <a:ext cx="817832" cy="707521"/>
      </dsp:txXfrm>
    </dsp:sp>
    <dsp:sp modelId="{0924BF7E-8112-4F9A-B017-D17EDBB0616E}">
      <dsp:nvSpPr>
        <dsp:cNvPr id="0" name=""/>
        <dsp:cNvSpPr/>
      </dsp:nvSpPr>
      <dsp:spPr>
        <a:xfrm>
          <a:off x="1453932" y="1687350"/>
          <a:ext cx="563201" cy="485272"/>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C016EF-042B-4DB5-ADF4-6ACC16A122EE}">
      <dsp:nvSpPr>
        <dsp:cNvPr id="0" name=""/>
        <dsp:cNvSpPr/>
      </dsp:nvSpPr>
      <dsp:spPr>
        <a:xfrm>
          <a:off x="1129622" y="1931260"/>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Clearer handovers between substance use services &amp; partners </a:t>
          </a:r>
        </a:p>
      </dsp:txBody>
      <dsp:txXfrm>
        <a:off x="1332345" y="2106639"/>
        <a:ext cx="817832" cy="707521"/>
      </dsp:txXfrm>
    </dsp:sp>
    <dsp:sp modelId="{8E890DBF-D5E3-4F68-9469-79D6B686B1D6}">
      <dsp:nvSpPr>
        <dsp:cNvPr id="0" name=""/>
        <dsp:cNvSpPr/>
      </dsp:nvSpPr>
      <dsp:spPr>
        <a:xfrm>
          <a:off x="1129622" y="649456"/>
          <a:ext cx="1223278" cy="1058279"/>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u="none" kern="1200">
              <a:solidFill>
                <a:schemeClr val="tx1"/>
              </a:solidFill>
            </a:rPr>
            <a:t>Increase volunteering /employment opportunities </a:t>
          </a:r>
        </a:p>
      </dsp:txBody>
      <dsp:txXfrm>
        <a:off x="1332345" y="824835"/>
        <a:ext cx="817832" cy="7075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5FA037-1470-4BAA-81C1-B30C2FF95512}">
      <dsp:nvSpPr>
        <dsp:cNvPr id="0" name=""/>
        <dsp:cNvSpPr/>
      </dsp:nvSpPr>
      <dsp:spPr>
        <a:xfrm>
          <a:off x="2108224" y="1191704"/>
          <a:ext cx="1514708" cy="131028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Service Offer</a:t>
          </a:r>
        </a:p>
      </dsp:txBody>
      <dsp:txXfrm>
        <a:off x="2359232" y="1408836"/>
        <a:ext cx="1012692" cy="876020"/>
      </dsp:txXfrm>
    </dsp:sp>
    <dsp:sp modelId="{8B6073BB-A386-4E7F-9AC4-5D7EDDA3B894}">
      <dsp:nvSpPr>
        <dsp:cNvPr id="0" name=""/>
        <dsp:cNvSpPr/>
      </dsp:nvSpPr>
      <dsp:spPr>
        <a:xfrm>
          <a:off x="3056723" y="564822"/>
          <a:ext cx="571495" cy="49241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4CE3A9-1B3A-449F-AACD-62E75F66FD6E}">
      <dsp:nvSpPr>
        <dsp:cNvPr id="0" name=""/>
        <dsp:cNvSpPr/>
      </dsp:nvSpPr>
      <dsp:spPr>
        <a:xfrm>
          <a:off x="2247751" y="0"/>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Improved recovery offer &amp; stuctured plan </a:t>
          </a:r>
        </a:p>
      </dsp:txBody>
      <dsp:txXfrm>
        <a:off x="2453460" y="177962"/>
        <a:ext cx="829874" cy="717940"/>
      </dsp:txXfrm>
    </dsp:sp>
    <dsp:sp modelId="{E2F55044-2CCB-4921-BAA9-9C371F32C36F}">
      <dsp:nvSpPr>
        <dsp:cNvPr id="0" name=""/>
        <dsp:cNvSpPr/>
      </dsp:nvSpPr>
      <dsp:spPr>
        <a:xfrm>
          <a:off x="3723702" y="1485382"/>
          <a:ext cx="571495" cy="49241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8AB8D62-7C4C-4EFA-9C2D-51F2CE7170B3}">
      <dsp:nvSpPr>
        <dsp:cNvPr id="0" name=""/>
        <dsp:cNvSpPr/>
      </dsp:nvSpPr>
      <dsp:spPr>
        <a:xfrm>
          <a:off x="3386160" y="660498"/>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Increased flexibility within the service, hours, location </a:t>
          </a:r>
        </a:p>
      </dsp:txBody>
      <dsp:txXfrm>
        <a:off x="3591869" y="838460"/>
        <a:ext cx="829874" cy="717940"/>
      </dsp:txXfrm>
    </dsp:sp>
    <dsp:sp modelId="{7CFDA225-A47D-4416-A5CA-B7578DB15F67}">
      <dsp:nvSpPr>
        <dsp:cNvPr id="0" name=""/>
        <dsp:cNvSpPr/>
      </dsp:nvSpPr>
      <dsp:spPr>
        <a:xfrm>
          <a:off x="3260375" y="2524522"/>
          <a:ext cx="571495" cy="49241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721C55-45FB-4205-81A3-97E5279E4A52}">
      <dsp:nvSpPr>
        <dsp:cNvPr id="0" name=""/>
        <dsp:cNvSpPr/>
      </dsp:nvSpPr>
      <dsp:spPr>
        <a:xfrm>
          <a:off x="3386160" y="1958961"/>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Improve consistency of key workers for service users</a:t>
          </a:r>
        </a:p>
      </dsp:txBody>
      <dsp:txXfrm>
        <a:off x="3591869" y="2136923"/>
        <a:ext cx="829874" cy="717940"/>
      </dsp:txXfrm>
    </dsp:sp>
    <dsp:sp modelId="{41FBB4EB-2EB6-4508-A3AD-471570725C33}">
      <dsp:nvSpPr>
        <dsp:cNvPr id="0" name=""/>
        <dsp:cNvSpPr/>
      </dsp:nvSpPr>
      <dsp:spPr>
        <a:xfrm>
          <a:off x="2111043" y="2632389"/>
          <a:ext cx="571495" cy="49241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E578852-7CB8-4AFF-B466-D550057D4A9A}">
      <dsp:nvSpPr>
        <dsp:cNvPr id="0" name=""/>
        <dsp:cNvSpPr/>
      </dsp:nvSpPr>
      <dsp:spPr>
        <a:xfrm>
          <a:off x="2247751" y="2620198"/>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Wider work with families, and Carer capacity for community detoxes</a:t>
          </a:r>
        </a:p>
      </dsp:txBody>
      <dsp:txXfrm>
        <a:off x="2453460" y="2798160"/>
        <a:ext cx="829874" cy="717940"/>
      </dsp:txXfrm>
    </dsp:sp>
    <dsp:sp modelId="{3748F2E9-E1B9-4BA0-AD35-71EC4DC53ED3}">
      <dsp:nvSpPr>
        <dsp:cNvPr id="0" name=""/>
        <dsp:cNvSpPr/>
      </dsp:nvSpPr>
      <dsp:spPr>
        <a:xfrm>
          <a:off x="1433141" y="1712198"/>
          <a:ext cx="571495" cy="49241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4E5C62-0EC2-40B2-B1F7-C649A428EA50}">
      <dsp:nvSpPr>
        <dsp:cNvPr id="0" name=""/>
        <dsp:cNvSpPr/>
      </dsp:nvSpPr>
      <dsp:spPr>
        <a:xfrm>
          <a:off x="1104056" y="1959700"/>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Trauma informed &amp; strength based approach accross service</a:t>
          </a:r>
        </a:p>
      </dsp:txBody>
      <dsp:txXfrm>
        <a:off x="1309765" y="2137662"/>
        <a:ext cx="829874" cy="717940"/>
      </dsp:txXfrm>
    </dsp:sp>
    <dsp:sp modelId="{AAB30FA5-3757-4C5F-B9D0-7004E8355C52}">
      <dsp:nvSpPr>
        <dsp:cNvPr id="0" name=""/>
        <dsp:cNvSpPr/>
      </dsp:nvSpPr>
      <dsp:spPr>
        <a:xfrm>
          <a:off x="1104056" y="659020"/>
          <a:ext cx="1241292" cy="107386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Clear and consistent referral pathways, including wait times for assessment and 1st apt. </a:t>
          </a:r>
        </a:p>
      </dsp:txBody>
      <dsp:txXfrm>
        <a:off x="1309765" y="836982"/>
        <a:ext cx="829874" cy="7179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218FB-A025-43DD-9316-EBCB87BF811E}">
      <dsp:nvSpPr>
        <dsp:cNvPr id="0" name=""/>
        <dsp:cNvSpPr/>
      </dsp:nvSpPr>
      <dsp:spPr>
        <a:xfrm>
          <a:off x="2134686" y="1150076"/>
          <a:ext cx="1461797" cy="1264514"/>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Young People</a:t>
          </a:r>
        </a:p>
      </dsp:txBody>
      <dsp:txXfrm>
        <a:off x="2376926" y="1359624"/>
        <a:ext cx="977317" cy="845418"/>
      </dsp:txXfrm>
    </dsp:sp>
    <dsp:sp modelId="{CF10F25B-C3FB-468F-ADC2-36B84DC7327D}">
      <dsp:nvSpPr>
        <dsp:cNvPr id="0" name=""/>
        <dsp:cNvSpPr/>
      </dsp:nvSpPr>
      <dsp:spPr>
        <a:xfrm>
          <a:off x="3050052" y="545092"/>
          <a:ext cx="551531" cy="47521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2C4A93-3CEF-4DF1-B7A0-93832C4F5F34}">
      <dsp:nvSpPr>
        <dsp:cNvPr id="0" name=""/>
        <dsp:cNvSpPr/>
      </dsp:nvSpPr>
      <dsp:spPr>
        <a:xfrm>
          <a:off x="2269338" y="0"/>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Consider a  service to those not in mainstream education </a:t>
          </a:r>
        </a:p>
      </dsp:txBody>
      <dsp:txXfrm>
        <a:off x="2467861" y="171746"/>
        <a:ext cx="800886" cy="692860"/>
      </dsp:txXfrm>
    </dsp:sp>
    <dsp:sp modelId="{62B9D0C1-9B46-4D3A-AED9-A7679D015CEC}">
      <dsp:nvSpPr>
        <dsp:cNvPr id="0" name=""/>
        <dsp:cNvSpPr/>
      </dsp:nvSpPr>
      <dsp:spPr>
        <a:xfrm>
          <a:off x="3693732" y="1433496"/>
          <a:ext cx="551531" cy="47521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60F586-1D92-4956-AFC9-EC76AA2FB410}">
      <dsp:nvSpPr>
        <dsp:cNvPr id="0" name=""/>
        <dsp:cNvSpPr/>
      </dsp:nvSpPr>
      <dsp:spPr>
        <a:xfrm>
          <a:off x="3367982" y="637426"/>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Consider offer up to 25 years</a:t>
          </a:r>
        </a:p>
      </dsp:txBody>
      <dsp:txXfrm>
        <a:off x="3566505" y="809172"/>
        <a:ext cx="800886" cy="692860"/>
      </dsp:txXfrm>
    </dsp:sp>
    <dsp:sp modelId="{E54EA60E-E281-47D5-A279-9E346E8B0CD0}">
      <dsp:nvSpPr>
        <dsp:cNvPr id="0" name=""/>
        <dsp:cNvSpPr/>
      </dsp:nvSpPr>
      <dsp:spPr>
        <a:xfrm>
          <a:off x="3246590" y="2436337"/>
          <a:ext cx="551531" cy="47521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A62EA1-6DE7-4438-A73F-CDBFC9912FB7}">
      <dsp:nvSpPr>
        <dsp:cNvPr id="0" name=""/>
        <dsp:cNvSpPr/>
      </dsp:nvSpPr>
      <dsp:spPr>
        <a:xfrm>
          <a:off x="3367982" y="1890532"/>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Increase engagement with PCC YP services </a:t>
          </a:r>
        </a:p>
      </dsp:txBody>
      <dsp:txXfrm>
        <a:off x="3566505" y="2062278"/>
        <a:ext cx="800886" cy="692860"/>
      </dsp:txXfrm>
    </dsp:sp>
    <dsp:sp modelId="{065DB036-D518-41DF-A5D3-2F059CC15D15}">
      <dsp:nvSpPr>
        <dsp:cNvPr id="0" name=""/>
        <dsp:cNvSpPr/>
      </dsp:nvSpPr>
      <dsp:spPr>
        <a:xfrm>
          <a:off x="2137406" y="2540436"/>
          <a:ext cx="551531" cy="47521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762028-6D23-4D99-8911-89575A5E424B}">
      <dsp:nvSpPr>
        <dsp:cNvPr id="0" name=""/>
        <dsp:cNvSpPr/>
      </dsp:nvSpPr>
      <dsp:spPr>
        <a:xfrm>
          <a:off x="2269338" y="2528671"/>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Increase outreach and  prevention offer , including activity provision</a:t>
          </a:r>
        </a:p>
      </dsp:txBody>
      <dsp:txXfrm>
        <a:off x="2467861" y="2700417"/>
        <a:ext cx="800886" cy="692860"/>
      </dsp:txXfrm>
    </dsp:sp>
    <dsp:sp modelId="{6032A822-0AE0-4A52-BF98-D9625700184F}">
      <dsp:nvSpPr>
        <dsp:cNvPr id="0" name=""/>
        <dsp:cNvSpPr/>
      </dsp:nvSpPr>
      <dsp:spPr>
        <a:xfrm>
          <a:off x="1483184" y="1652388"/>
          <a:ext cx="551531" cy="475217"/>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5B6AE8-C0B8-4F5F-A94C-8879919F04C4}">
      <dsp:nvSpPr>
        <dsp:cNvPr id="0" name=""/>
        <dsp:cNvSpPr/>
      </dsp:nvSpPr>
      <dsp:spPr>
        <a:xfrm>
          <a:off x="1165595" y="1891245"/>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Promotion of services, and impact of vaping </a:t>
          </a:r>
        </a:p>
      </dsp:txBody>
      <dsp:txXfrm>
        <a:off x="1364118" y="2062991"/>
        <a:ext cx="800886" cy="692860"/>
      </dsp:txXfrm>
    </dsp:sp>
    <dsp:sp modelId="{19E47270-F7BC-4F5D-B4E1-52F20191D78A}">
      <dsp:nvSpPr>
        <dsp:cNvPr id="0" name=""/>
        <dsp:cNvSpPr/>
      </dsp:nvSpPr>
      <dsp:spPr>
        <a:xfrm>
          <a:off x="1165595" y="636000"/>
          <a:ext cx="1197932" cy="1036352"/>
        </a:xfrm>
        <a:prstGeom prst="hexagon">
          <a:avLst>
            <a:gd name="adj" fmla="val 28570"/>
            <a:gd name="vf" fmla="val 11547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1"/>
              </a:solidFill>
            </a:rPr>
            <a:t>Transitions need to be considered</a:t>
          </a:r>
        </a:p>
      </dsp:txBody>
      <dsp:txXfrm>
        <a:off x="1364118" y="807746"/>
        <a:ext cx="800886" cy="69286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7A571C44-F6AF-42C5-A3E8-A2817E50FE39}">
    <t:Anchor>
      <t:Comment id="49601498"/>
    </t:Anchor>
    <t:History>
      <t:Event id="{BBC3356E-0CFD-439D-9D65-3ED1C1EE62E0}" time="2025-03-17T13:40:32.008Z">
        <t:Attribution userId="S::gemma.ruigrok@peterborough.gov.uk::f5b0368f-00b4-44a6-9261-3eb4812ffb42" userProvider="AD" userName="Gemma Ruigrok"/>
        <t:Anchor>
          <t:Comment id="357239630"/>
        </t:Anchor>
        <t:Create/>
      </t:Event>
      <t:Event id="{55C15743-701A-45BD-9DAD-D33152DCF257}" time="2025-03-17T13:40:32.008Z">
        <t:Attribution userId="S::gemma.ruigrok@peterborough.gov.uk::f5b0368f-00b4-44a6-9261-3eb4812ffb42" userProvider="AD" userName="Gemma Ruigrok"/>
        <t:Anchor>
          <t:Comment id="357239630"/>
        </t:Anchor>
        <t:Assign userId="S::Joseph.Keegan2@peterborough.gov.uk::717819e1-ce2f-4fa7-9e24-ffd47bfc4d85" userProvider="AD" userName="Joseph Keegan2"/>
      </t:Event>
      <t:Event id="{ADCADCAF-F357-4B12-A54B-DB46D9F0F5B0}" time="2025-03-17T13:40:32.008Z">
        <t:Attribution userId="S::gemma.ruigrok@peterborough.gov.uk::f5b0368f-00b4-44a6-9261-3eb4812ffb42" userProvider="AD" userName="Gemma Ruigrok"/>
        <t:Anchor>
          <t:Comment id="357239630"/>
        </t:Anchor>
        <t:SetTitle title="@Joseph Keegan2 I think if this could be removed it would be beneficial, esp. in light of issue with Topaz. There are 3 strengths, so 3 weaknesses seem appropriate."/>
      </t:Event>
      <t:Event id="{ABEB95E2-BA9A-47E6-A782-A6D87C4406D9}" time="2025-03-18T12:11:36.391Z">
        <t:Attribution userId="S::Alice.Middleton@cambridgeshire.gov.uk::1c97ef9b-d821-406e-b590-d9d4b0734bf4" userProvider="AD" userName="Alice Middleton (she/her)"/>
        <t:Progress percentComplete="100"/>
      </t:Event>
    </t:History>
  </t:Task>
  <t:Task id="{5804AE52-25DE-4DC8-B197-532D1BB4EC37}">
    <t:Anchor>
      <t:Comment id="2120307331"/>
    </t:Anchor>
    <t:History>
      <t:Event id="{B3A9922A-5D36-4BFE-82CB-D3698763BB39}" time="2025-03-17T13:51:43.661Z">
        <t:Attribution userId="S::gemma.ruigrok@peterborough.gov.uk::f5b0368f-00b4-44a6-9261-3eb4812ffb42" userProvider="AD" userName="Gemma Ruigrok"/>
        <t:Anchor>
          <t:Comment id="1530643702"/>
        </t:Anchor>
        <t:Create/>
      </t:Event>
      <t:Event id="{656BB96B-71D1-42B8-825D-7A6BA777D754}" time="2025-03-17T13:51:43.661Z">
        <t:Attribution userId="S::gemma.ruigrok@peterborough.gov.uk::f5b0368f-00b4-44a6-9261-3eb4812ffb42" userProvider="AD" userName="Gemma Ruigrok"/>
        <t:Anchor>
          <t:Comment id="1530643702"/>
        </t:Anchor>
        <t:Assign userId="S::Alice.Middleton@cambridgeshire.gov.uk::1c97ef9b-d821-406e-b590-d9d4b0734bf4" userProvider="AD" userName="Alice Middleton (she/her)"/>
      </t:Event>
      <t:Event id="{BDE53AAD-D562-4D0F-8769-11A27C8B9D8D}" time="2025-03-17T13:51:43.661Z">
        <t:Attribution userId="S::gemma.ruigrok@peterborough.gov.uk::f5b0368f-00b4-44a6-9261-3eb4812ffb42" userProvider="AD" userName="Gemma Ruigrok"/>
        <t:Anchor>
          <t:Comment id="1530643702"/>
        </t:Anchor>
        <t:SetTitle title="I think the text is blurry, is there anyway we can do another screenshot to make the text less blurry? I think the graph is good, it tells us a story. @Alice Middleton (she/her)"/>
      </t:Event>
      <t:Event id="{C44DAD2C-12E9-4498-9441-B47FAC93B7B0}" time="2025-03-18T11:52:02.466Z">
        <t:Attribution userId="S::Alice.Middleton@cambridgeshire.gov.uk::1c97ef9b-d821-406e-b590-d9d4b0734bf4" userProvider="AD" userName="Alice Middleton (she/her)"/>
        <t:Progress percentComplete="100"/>
      </t:Event>
    </t:History>
  </t:Task>
  <t:Task id="{83D484A5-3934-4955-9113-6EDCF7EFE29A}">
    <t:Anchor>
      <t:Comment id="1904079968"/>
    </t:Anchor>
    <t:History>
      <t:Event id="{A23CCCF9-05AB-4D5F-8E73-B1B7227F2291}" time="2025-03-17T13:59:12.172Z">
        <t:Attribution userId="S::gemma.ruigrok@peterborough.gov.uk::f5b0368f-00b4-44a6-9261-3eb4812ffb42" userProvider="AD" userName="Gemma Ruigrok"/>
        <t:Anchor>
          <t:Comment id="158563731"/>
        </t:Anchor>
        <t:Create/>
      </t:Event>
      <t:Event id="{BDCEA19B-3683-4F86-86C5-D7245410F1E4}" time="2025-03-17T13:59:12.172Z">
        <t:Attribution userId="S::gemma.ruigrok@peterborough.gov.uk::f5b0368f-00b4-44a6-9261-3eb4812ffb42" userProvider="AD" userName="Gemma Ruigrok"/>
        <t:Anchor>
          <t:Comment id="158563731"/>
        </t:Anchor>
        <t:Assign userId="S::Joseph.Keegan2@peterborough.gov.uk::717819e1-ce2f-4fa7-9e24-ffd47bfc4d85" userProvider="AD" userName="Joseph Keegan2"/>
      </t:Event>
      <t:Event id="{10F58E9C-C016-435E-B03E-E037DA0B8B57}" time="2025-03-17T13:59:12.172Z">
        <t:Attribution userId="S::gemma.ruigrok@peterborough.gov.uk::f5b0368f-00b4-44a6-9261-3eb4812ffb42" userProvider="AD" userName="Gemma Ruigrok"/>
        <t:Anchor>
          <t:Comment id="158563731"/>
        </t:Anchor>
        <t:SetTitle title="@Joseph Keegan2 is this paragraph ready to go now? It looks short enough, and covers what we need from the EquIA?"/>
      </t:Event>
      <t:Event id="{4953D2E8-ABC9-433A-BD29-925CFF3EDDD5}" time="2025-03-18T10:20:59.1Z">
        <t:Attribution userId="S::Alice.Middleton@cambridgeshire.gov.uk::1c97ef9b-d821-406e-b590-d9d4b0734bf4" userProvider="AD" userName="Alice Middleton (she/her)"/>
        <t:Progress percentComplete="100"/>
      </t:Event>
    </t:History>
  </t:Task>
  <t:Task id="{C86C0089-138D-4523-8227-51B13AC58A46}">
    <t:Anchor>
      <t:Comment id="1787670253"/>
    </t:Anchor>
    <t:History>
      <t:Event id="{F5C3437C-611A-4A48-84A6-E8D91A39CB92}" time="2025-03-17T16:05:17.695Z">
        <t:Attribution userId="S::Alice.Middleton@cambridgeshire.gov.uk::1c97ef9b-d821-406e-b590-d9d4b0734bf4" userProvider="AD" userName="Alice Middleton (she/her)"/>
        <t:Anchor>
          <t:Comment id="1072469917"/>
        </t:Anchor>
        <t:Create/>
      </t:Event>
      <t:Event id="{68368BB5-9611-4F1E-AE35-3D32CDA46AC6}" time="2025-03-17T16:05:17.695Z">
        <t:Attribution userId="S::Alice.Middleton@cambridgeshire.gov.uk::1c97ef9b-d821-406e-b590-d9d4b0734bf4" userProvider="AD" userName="Alice Middleton (she/her)"/>
        <t:Anchor>
          <t:Comment id="1072469917"/>
        </t:Anchor>
        <t:Assign userId="S::Gemma.Ruigrok@peterborough.gov.uk::f5b0368f-00b4-44a6-9261-3eb4812ffb42" userProvider="AD" userName="Gemma Ruigrok"/>
      </t:Event>
      <t:Event id="{CE08BF3F-A41E-4009-A41B-E241F8146468}" time="2025-03-17T16:05:17.695Z">
        <t:Attribution userId="S::Alice.Middleton@cambridgeshire.gov.uk::1c97ef9b-d821-406e-b590-d9d4b0734bf4" userProvider="AD" userName="Alice Middleton (she/her)"/>
        <t:Anchor>
          <t:Comment id="1072469917"/>
        </t:Anchor>
        <t:SetTitle title="@Gemma Ruigrok you may be able to review and add/ ‘ok’ this"/>
      </t:Event>
      <t:Event id="{F99A9FBF-D85A-493B-A662-CE9BA3F6BA36}" time="2025-03-18T13:30:11.915Z">
        <t:Attribution userId="S::Gemma.Ruigrok@peterborough.gov.uk::f5b0368f-00b4-44a6-9261-3eb4812ffb42" userProvider="AD" userName="Gemma Ruigrok"/>
        <t:Anchor>
          <t:Comment id="489847565"/>
        </t:Anchor>
        <t:UnassignAll/>
      </t:Event>
      <t:Event id="{EF98079E-2611-4A4F-8516-B208D9DDBA1E}" time="2025-03-18T13:30:11.915Z">
        <t:Attribution userId="S::Gemma.Ruigrok@peterborough.gov.uk::f5b0368f-00b4-44a6-9261-3eb4812ffb42" userProvider="AD" userName="Gemma Ruigrok"/>
        <t:Anchor>
          <t:Comment id="489847565"/>
        </t:Anchor>
        <t:Assign userId="S::Joseph.Keegan2@peterborough.gov.uk::717819e1-ce2f-4fa7-9e24-ffd47bfc4d85" userProvider="AD" userName="Joseph Keegan2"/>
      </t:Event>
      <t:Event id="{6C15BC8A-C5CE-4D9A-AA30-91601E2A69C5}" time="2025-03-18T16:40:28.878Z">
        <t:Attribution userId="S::Gemma.Ruigrok@peterborough.gov.uk::f5b0368f-00b4-44a6-9261-3eb4812ffb42" userProvider="AD" userName="Gemma Ruigrok"/>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33137D53667145A3A06482116986BA" ma:contentTypeVersion="4" ma:contentTypeDescription="Create a new document." ma:contentTypeScope="" ma:versionID="13c5cc1a5859c4092c9bd7aff5776e25">
  <xsd:schema xmlns:xsd="http://www.w3.org/2001/XMLSchema" xmlns:xs="http://www.w3.org/2001/XMLSchema" xmlns:p="http://schemas.microsoft.com/office/2006/metadata/properties" xmlns:ns2="e90b927d-bd73-4abc-ae80-f4924fc65e9b" targetNamespace="http://schemas.microsoft.com/office/2006/metadata/properties" ma:root="true" ma:fieldsID="01427e066e300e7cde407020451f4e2a" ns2:_="">
    <xsd:import namespace="e90b927d-bd73-4abc-ae80-f4924fc65e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927d-bd73-4abc-ae80-f4924fc65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2C44-8162-428A-8D9A-51AB0BE79BEC}">
  <ds:schemaRefs>
    <ds:schemaRef ds:uri="http://schemas.microsoft.com/sharepoint/v3/contenttype/forms"/>
  </ds:schemaRefs>
</ds:datastoreItem>
</file>

<file path=customXml/itemProps2.xml><?xml version="1.0" encoding="utf-8"?>
<ds:datastoreItem xmlns:ds="http://schemas.openxmlformats.org/officeDocument/2006/customXml" ds:itemID="{8C19F668-0CF3-45C6-9976-E9C95FC5DD1D}">
  <ds:schemaRefs>
    <ds:schemaRef ds:uri="http://purl.org/dc/dcmitype/"/>
    <ds:schemaRef ds:uri="http://purl.org/dc/elements/1.1/"/>
    <ds:schemaRef ds:uri="e90b927d-bd73-4abc-ae80-f4924fc65e9b"/>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2BECB44B-C645-4CE9-83F6-95564FE66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927d-bd73-4abc-ae80-f4924fc65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7C229-4BFB-4297-8F3A-BB64B368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103</Pages>
  <Words>29078</Words>
  <Characters>165745</Characters>
  <Application>Microsoft Office Word</Application>
  <DocSecurity>0</DocSecurity>
  <Lines>1381</Lines>
  <Paragraphs>388</Paragraphs>
  <ScaleCrop>false</ScaleCrop>
  <Company>Cambridgeshire County Council</Company>
  <LinksUpToDate>false</LinksUpToDate>
  <CharactersWithSpaces>194435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Middleton (she/her)</dc:creator>
  <cp:keywords/>
  <dc:description/>
  <cp:lastModifiedBy>Helen Whyman2</cp:lastModifiedBy>
  <cp:revision>3164</cp:revision>
  <dcterms:created xsi:type="dcterms:W3CDTF">2025-01-26T00:55:00Z</dcterms:created>
  <dcterms:modified xsi:type="dcterms:W3CDTF">2025-07-01T09:54:00Z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0x0101004933137D53667145A3A06482116986BA</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