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C9C09" w14:textId="29E27663" w:rsidR="006A4C39" w:rsidRPr="00393973" w:rsidRDefault="00393973" w:rsidP="004309EA">
      <w:pPr>
        <w:spacing w:after="120"/>
        <w:rPr>
          <w:b/>
          <w:bCs/>
          <w:sz w:val="22"/>
          <w:szCs w:val="22"/>
        </w:rPr>
      </w:pPr>
      <w:r>
        <w:rPr>
          <w:b/>
          <w:bCs/>
          <w:sz w:val="22"/>
          <w:szCs w:val="22"/>
        </w:rPr>
        <w:t xml:space="preserve">Summary of </w:t>
      </w:r>
      <w:r w:rsidR="006A4C39" w:rsidRPr="00393973">
        <w:rPr>
          <w:b/>
          <w:bCs/>
          <w:sz w:val="22"/>
          <w:szCs w:val="22"/>
        </w:rPr>
        <w:t>Grenfell Tower</w:t>
      </w:r>
      <w:r>
        <w:rPr>
          <w:b/>
          <w:bCs/>
          <w:sz w:val="22"/>
          <w:szCs w:val="22"/>
        </w:rPr>
        <w:t xml:space="preserve"> Phase 1 and 2 recommendations</w:t>
      </w:r>
    </w:p>
    <w:p w14:paraId="5DF270D4" w14:textId="5E530788" w:rsidR="006A4C39" w:rsidRPr="00393973" w:rsidRDefault="00393973" w:rsidP="004309EA">
      <w:pPr>
        <w:spacing w:after="120"/>
        <w:rPr>
          <w:b/>
          <w:bCs/>
          <w:sz w:val="22"/>
          <w:szCs w:val="22"/>
        </w:rPr>
      </w:pPr>
      <w:r>
        <w:rPr>
          <w:b/>
          <w:bCs/>
          <w:sz w:val="22"/>
          <w:szCs w:val="22"/>
        </w:rPr>
        <w:t xml:space="preserve">From </w:t>
      </w:r>
      <w:r w:rsidR="006A4C39" w:rsidRPr="00393973">
        <w:rPr>
          <w:b/>
          <w:bCs/>
          <w:sz w:val="22"/>
          <w:szCs w:val="22"/>
        </w:rPr>
        <w:t>Executive summary of Phase 1 report</w:t>
      </w:r>
      <w:r>
        <w:rPr>
          <w:b/>
          <w:bCs/>
          <w:sz w:val="22"/>
          <w:szCs w:val="22"/>
        </w:rPr>
        <w:t>:</w:t>
      </w:r>
    </w:p>
    <w:p w14:paraId="716F1BF4" w14:textId="732CF15E" w:rsidR="00AE38F9" w:rsidRPr="00393973" w:rsidRDefault="006A4C39" w:rsidP="004309EA">
      <w:pPr>
        <w:spacing w:after="120"/>
        <w:rPr>
          <w:sz w:val="22"/>
          <w:szCs w:val="22"/>
        </w:rPr>
      </w:pPr>
      <w:r w:rsidRPr="00393973">
        <w:rPr>
          <w:sz w:val="22"/>
          <w:szCs w:val="22"/>
        </w:rPr>
        <w:t xml:space="preserve">Part V: Recommendations </w:t>
      </w:r>
      <w:r w:rsidR="00393973" w:rsidRPr="00393973">
        <w:rPr>
          <w:i/>
          <w:iCs/>
          <w:sz w:val="22"/>
          <w:szCs w:val="22"/>
        </w:rPr>
        <w:t>(</w:t>
      </w:r>
      <w:r w:rsidR="004309EA">
        <w:rPr>
          <w:i/>
          <w:iCs/>
          <w:sz w:val="22"/>
          <w:szCs w:val="22"/>
        </w:rPr>
        <w:t xml:space="preserve">intro 2 paras </w:t>
      </w:r>
      <w:r w:rsidR="00393973" w:rsidRPr="00393973">
        <w:rPr>
          <w:i/>
          <w:iCs/>
          <w:sz w:val="22"/>
          <w:szCs w:val="22"/>
        </w:rPr>
        <w:t>shortened a little</w:t>
      </w:r>
      <w:r w:rsidR="004309EA">
        <w:rPr>
          <w:i/>
          <w:iCs/>
          <w:sz w:val="22"/>
          <w:szCs w:val="22"/>
        </w:rPr>
        <w:t>, other text is in full</w:t>
      </w:r>
      <w:r w:rsidR="00393973" w:rsidRPr="00393973">
        <w:rPr>
          <w:i/>
          <w:iCs/>
          <w:sz w:val="22"/>
          <w:szCs w:val="22"/>
        </w:rPr>
        <w:t>)</w:t>
      </w:r>
    </w:p>
    <w:p w14:paraId="59754B36" w14:textId="739DB44B" w:rsidR="00AE38F9" w:rsidRPr="00393973" w:rsidRDefault="006A4C39" w:rsidP="004309EA">
      <w:pPr>
        <w:spacing w:after="120"/>
        <w:rPr>
          <w:sz w:val="22"/>
          <w:szCs w:val="22"/>
        </w:rPr>
      </w:pPr>
      <w:r w:rsidRPr="00393973">
        <w:rPr>
          <w:sz w:val="22"/>
          <w:szCs w:val="22"/>
        </w:rPr>
        <w:t xml:space="preserve">Phase 1 </w:t>
      </w:r>
      <w:r w:rsidR="00393973">
        <w:rPr>
          <w:sz w:val="22"/>
          <w:szCs w:val="22"/>
        </w:rPr>
        <w:t xml:space="preserve">was </w:t>
      </w:r>
      <w:r w:rsidRPr="00393973">
        <w:rPr>
          <w:sz w:val="22"/>
          <w:szCs w:val="22"/>
        </w:rPr>
        <w:t xml:space="preserve">limited to investigating the course of events during the night of 14 June 2017 and much work remains to be done, it has already become clear that some important steps need to be taken to improve fire safety, including the response of the LFB and other fire and rescue services to major disasters, including fires in high-rise residential buildings. </w:t>
      </w:r>
    </w:p>
    <w:p w14:paraId="5960F9E1" w14:textId="737DB3D1" w:rsidR="00AE38F9" w:rsidRPr="00393973" w:rsidRDefault="006A4C39" w:rsidP="004309EA">
      <w:pPr>
        <w:spacing w:after="120"/>
        <w:rPr>
          <w:sz w:val="22"/>
          <w:szCs w:val="22"/>
        </w:rPr>
      </w:pPr>
      <w:r w:rsidRPr="00393973">
        <w:rPr>
          <w:sz w:val="22"/>
          <w:szCs w:val="22"/>
        </w:rPr>
        <w:t xml:space="preserve">Chapter 33 contains recommendations arising out of the evidence heard in Phase 1 and the findings of fact based on it. It would not be appropriate to make recommendations at this stage in relation to matters that have not been the subject of investigation, such as the regime surrounding the testing and certification of building materials, even though there are grounds for thinking that changes may need to be made. </w:t>
      </w:r>
      <w:r w:rsidR="00393973">
        <w:rPr>
          <w:sz w:val="22"/>
          <w:szCs w:val="22"/>
        </w:rPr>
        <w:t>The c</w:t>
      </w:r>
      <w:r w:rsidRPr="00393973">
        <w:rPr>
          <w:sz w:val="22"/>
          <w:szCs w:val="22"/>
        </w:rPr>
        <w:t>hapter does not lend itself to being summarised</w:t>
      </w:r>
      <w:r w:rsidR="00393973">
        <w:rPr>
          <w:sz w:val="22"/>
          <w:szCs w:val="22"/>
        </w:rPr>
        <w:t xml:space="preserve"> and </w:t>
      </w:r>
      <w:r w:rsidRPr="00393973">
        <w:rPr>
          <w:sz w:val="22"/>
          <w:szCs w:val="22"/>
        </w:rPr>
        <w:t xml:space="preserve">should be read in full, because it sets out my recommendations in detail and explains the basis on which they are being made (or in some cases why certain recommendations are not being made). </w:t>
      </w:r>
      <w:r w:rsidR="00393973">
        <w:rPr>
          <w:sz w:val="22"/>
          <w:szCs w:val="22"/>
        </w:rPr>
        <w:t xml:space="preserve"> </w:t>
      </w:r>
      <w:r w:rsidRPr="00393973">
        <w:rPr>
          <w:sz w:val="22"/>
          <w:szCs w:val="22"/>
        </w:rPr>
        <w:t xml:space="preserve">In summary, however, I make recommendations for change in relation to the following matters: </w:t>
      </w:r>
    </w:p>
    <w:p w14:paraId="73270F6E" w14:textId="0122362E" w:rsidR="00AE38F9" w:rsidRPr="00393973" w:rsidRDefault="006A4C39" w:rsidP="004309EA">
      <w:pPr>
        <w:spacing w:after="120"/>
        <w:rPr>
          <w:sz w:val="22"/>
          <w:szCs w:val="22"/>
        </w:rPr>
      </w:pPr>
      <w:r w:rsidRPr="00393973">
        <w:rPr>
          <w:sz w:val="22"/>
          <w:szCs w:val="22"/>
        </w:rPr>
        <w:t xml:space="preserve">a. </w:t>
      </w:r>
      <w:r w:rsidR="00AE38F9" w:rsidRPr="00393973">
        <w:rPr>
          <w:sz w:val="22"/>
          <w:szCs w:val="22"/>
        </w:rPr>
        <w:t>The information made available to fire and rescue services about the materials and methods of construction used in the external walls of high-rise residential buildings.</w:t>
      </w:r>
    </w:p>
    <w:p w14:paraId="46566B59" w14:textId="5B224837" w:rsidR="00AE38F9" w:rsidRPr="00393973" w:rsidRDefault="006A4C39" w:rsidP="004309EA">
      <w:pPr>
        <w:spacing w:after="120"/>
        <w:rPr>
          <w:sz w:val="22"/>
          <w:szCs w:val="22"/>
        </w:rPr>
      </w:pPr>
      <w:r w:rsidRPr="00393973">
        <w:rPr>
          <w:sz w:val="22"/>
          <w:szCs w:val="22"/>
        </w:rPr>
        <w:t xml:space="preserve">b. </w:t>
      </w:r>
      <w:r w:rsidR="00AE38F9" w:rsidRPr="00393973">
        <w:rPr>
          <w:sz w:val="22"/>
          <w:szCs w:val="22"/>
        </w:rPr>
        <w:t>The arrangements made by the LFB to discharge its duties under section 7(2)(d) of the Fire and Rescue Services Act 2004.</w:t>
      </w:r>
    </w:p>
    <w:p w14:paraId="344D689D" w14:textId="01917269" w:rsidR="00AE38F9" w:rsidRPr="00393973" w:rsidRDefault="006A4C39" w:rsidP="004309EA">
      <w:pPr>
        <w:spacing w:after="120"/>
        <w:rPr>
          <w:sz w:val="22"/>
          <w:szCs w:val="22"/>
        </w:rPr>
      </w:pPr>
      <w:r w:rsidRPr="00393973">
        <w:rPr>
          <w:sz w:val="22"/>
          <w:szCs w:val="22"/>
        </w:rPr>
        <w:t xml:space="preserve">c. </w:t>
      </w:r>
      <w:r w:rsidR="00AE38F9" w:rsidRPr="00393973">
        <w:rPr>
          <w:sz w:val="22"/>
          <w:szCs w:val="22"/>
        </w:rPr>
        <w:t>The availability of plans of high-rise residential buildings to local fire and rescue services and the provision of premises information boxes in high-rise residential buildings.</w:t>
      </w:r>
    </w:p>
    <w:p w14:paraId="286856C3" w14:textId="0B5FAEED" w:rsidR="00AE38F9" w:rsidRPr="00393973" w:rsidRDefault="006A4C39" w:rsidP="004309EA">
      <w:pPr>
        <w:spacing w:after="120"/>
        <w:rPr>
          <w:sz w:val="22"/>
          <w:szCs w:val="22"/>
        </w:rPr>
      </w:pPr>
      <w:r w:rsidRPr="00393973">
        <w:rPr>
          <w:sz w:val="22"/>
          <w:szCs w:val="22"/>
        </w:rPr>
        <w:t xml:space="preserve">d. </w:t>
      </w:r>
      <w:r w:rsidR="00AE38F9" w:rsidRPr="00393973">
        <w:rPr>
          <w:sz w:val="22"/>
          <w:szCs w:val="22"/>
        </w:rPr>
        <w:t>The regular inspection and testing of lifts designed for use by firefighters.</w:t>
      </w:r>
    </w:p>
    <w:p w14:paraId="1F7A2371" w14:textId="71D82163" w:rsidR="00AE38F9" w:rsidRPr="00393973" w:rsidRDefault="006A4C39" w:rsidP="004309EA">
      <w:pPr>
        <w:spacing w:after="120"/>
        <w:rPr>
          <w:sz w:val="22"/>
          <w:szCs w:val="22"/>
        </w:rPr>
      </w:pPr>
      <w:r w:rsidRPr="00393973">
        <w:rPr>
          <w:sz w:val="22"/>
          <w:szCs w:val="22"/>
        </w:rPr>
        <w:t xml:space="preserve">e. </w:t>
      </w:r>
      <w:r w:rsidR="00AE38F9" w:rsidRPr="00393973">
        <w:rPr>
          <w:sz w:val="22"/>
          <w:szCs w:val="22"/>
        </w:rPr>
        <w:t>Communication between the LFB control room and the incident commander.</w:t>
      </w:r>
    </w:p>
    <w:p w14:paraId="5E78F600" w14:textId="2656F72D" w:rsidR="00AE38F9" w:rsidRPr="00393973" w:rsidRDefault="006A4C39" w:rsidP="004309EA">
      <w:pPr>
        <w:spacing w:after="120"/>
        <w:rPr>
          <w:sz w:val="22"/>
          <w:szCs w:val="22"/>
        </w:rPr>
      </w:pPr>
      <w:r w:rsidRPr="00393973">
        <w:rPr>
          <w:sz w:val="22"/>
          <w:szCs w:val="22"/>
        </w:rPr>
        <w:t xml:space="preserve">f. </w:t>
      </w:r>
      <w:r w:rsidR="00AE38F9" w:rsidRPr="00393973">
        <w:rPr>
          <w:sz w:val="22"/>
          <w:szCs w:val="22"/>
        </w:rPr>
        <w:t>The way in which fire and rescue services handle emergency calls.</w:t>
      </w:r>
    </w:p>
    <w:p w14:paraId="5F8D57C5" w14:textId="187CADA4" w:rsidR="00AE38F9" w:rsidRPr="00393973" w:rsidRDefault="006A4C39" w:rsidP="004309EA">
      <w:pPr>
        <w:spacing w:after="120"/>
        <w:rPr>
          <w:sz w:val="22"/>
          <w:szCs w:val="22"/>
        </w:rPr>
      </w:pPr>
      <w:r w:rsidRPr="00393973">
        <w:rPr>
          <w:sz w:val="22"/>
          <w:szCs w:val="22"/>
        </w:rPr>
        <w:t xml:space="preserve">g. </w:t>
      </w:r>
      <w:r w:rsidR="00AE38F9" w:rsidRPr="00393973">
        <w:rPr>
          <w:sz w:val="22"/>
          <w:szCs w:val="22"/>
        </w:rPr>
        <w:t>The LFB’s command and control procedures and use of resources, in particular the capture of information from crews returning from deployments and the sharing of information between the LFB control room, the incident commander and the bridgehead.</w:t>
      </w:r>
    </w:p>
    <w:p w14:paraId="0F4A515E" w14:textId="35752000" w:rsidR="00AE38F9" w:rsidRPr="00393973" w:rsidRDefault="006A4C39" w:rsidP="004309EA">
      <w:pPr>
        <w:spacing w:after="120"/>
        <w:rPr>
          <w:sz w:val="22"/>
          <w:szCs w:val="22"/>
        </w:rPr>
      </w:pPr>
      <w:r w:rsidRPr="00393973">
        <w:rPr>
          <w:sz w:val="22"/>
          <w:szCs w:val="22"/>
        </w:rPr>
        <w:t xml:space="preserve">h. </w:t>
      </w:r>
      <w:r w:rsidR="00AE38F9" w:rsidRPr="00393973">
        <w:rPr>
          <w:sz w:val="22"/>
          <w:szCs w:val="22"/>
        </w:rPr>
        <w:t>The communication equipment available to the LFB for use by crews deployed in firefighting and rescue operations in high-rise buildings.</w:t>
      </w:r>
    </w:p>
    <w:p w14:paraId="2E59ED00" w14:textId="77777777" w:rsidR="00AE38F9" w:rsidRPr="00393973" w:rsidRDefault="006A4C39" w:rsidP="004309EA">
      <w:pPr>
        <w:spacing w:after="120"/>
        <w:rPr>
          <w:sz w:val="22"/>
          <w:szCs w:val="22"/>
        </w:rPr>
      </w:pPr>
      <w:proofErr w:type="spellStart"/>
      <w:r w:rsidRPr="00393973">
        <w:rPr>
          <w:sz w:val="22"/>
          <w:szCs w:val="22"/>
        </w:rPr>
        <w:t>i</w:t>
      </w:r>
      <w:proofErr w:type="spellEnd"/>
      <w:r w:rsidRPr="00393973">
        <w:rPr>
          <w:sz w:val="22"/>
          <w:szCs w:val="22"/>
        </w:rPr>
        <w:t xml:space="preserve">. The evacuation of high-rise residential buildings, including the provision of equipment enabling firefighters to send an evacuation signal to the whole or a selected part of the building. </w:t>
      </w:r>
    </w:p>
    <w:p w14:paraId="5023F632" w14:textId="0C29B434" w:rsidR="00AE38F9" w:rsidRPr="00393973" w:rsidRDefault="006A4C39" w:rsidP="004309EA">
      <w:pPr>
        <w:spacing w:after="120"/>
        <w:rPr>
          <w:sz w:val="22"/>
          <w:szCs w:val="22"/>
        </w:rPr>
      </w:pPr>
      <w:r w:rsidRPr="00393973">
        <w:rPr>
          <w:sz w:val="22"/>
          <w:szCs w:val="22"/>
        </w:rPr>
        <w:t xml:space="preserve">j. </w:t>
      </w:r>
      <w:r w:rsidR="00AE38F9" w:rsidRPr="00393973">
        <w:rPr>
          <w:sz w:val="22"/>
          <w:szCs w:val="22"/>
        </w:rPr>
        <w:t>The provision of fire safety information to residents of high-rise residential buildings and the marking of floor levels in lobbies and staircase landings.</w:t>
      </w:r>
    </w:p>
    <w:p w14:paraId="78809FDC" w14:textId="32451F96" w:rsidR="00AE38F9" w:rsidRPr="00393973" w:rsidRDefault="006A4C39" w:rsidP="004309EA">
      <w:pPr>
        <w:spacing w:after="120"/>
        <w:rPr>
          <w:sz w:val="22"/>
          <w:szCs w:val="22"/>
        </w:rPr>
      </w:pPr>
      <w:r w:rsidRPr="00393973">
        <w:rPr>
          <w:sz w:val="22"/>
          <w:szCs w:val="22"/>
        </w:rPr>
        <w:t xml:space="preserve">k. </w:t>
      </w:r>
      <w:r w:rsidR="00AE38F9" w:rsidRPr="00393973">
        <w:rPr>
          <w:sz w:val="22"/>
          <w:szCs w:val="22"/>
        </w:rPr>
        <w:t>The inspection of fire doors and self-closing devices.</w:t>
      </w:r>
    </w:p>
    <w:p w14:paraId="0F8F4320" w14:textId="20D98281" w:rsidR="00AE38F9" w:rsidRPr="00393973" w:rsidRDefault="006A4C39" w:rsidP="004309EA">
      <w:pPr>
        <w:spacing w:after="120"/>
        <w:rPr>
          <w:sz w:val="22"/>
          <w:szCs w:val="22"/>
        </w:rPr>
      </w:pPr>
      <w:r w:rsidRPr="00393973">
        <w:rPr>
          <w:sz w:val="22"/>
          <w:szCs w:val="22"/>
        </w:rPr>
        <w:t xml:space="preserve">l. Aspects of co-operation between the emergency services. </w:t>
      </w:r>
    </w:p>
    <w:p w14:paraId="62661CB8" w14:textId="77777777" w:rsidR="004309EA" w:rsidRDefault="004309EA" w:rsidP="004309EA">
      <w:pPr>
        <w:spacing w:after="120"/>
        <w:rPr>
          <w:b/>
          <w:bCs/>
          <w:sz w:val="22"/>
          <w:szCs w:val="22"/>
        </w:rPr>
      </w:pPr>
    </w:p>
    <w:p w14:paraId="049EC1C1" w14:textId="77777777" w:rsidR="004309EA" w:rsidRDefault="004309EA" w:rsidP="004309EA">
      <w:pPr>
        <w:spacing w:after="120"/>
        <w:rPr>
          <w:b/>
          <w:bCs/>
          <w:sz w:val="22"/>
          <w:szCs w:val="22"/>
        </w:rPr>
      </w:pPr>
    </w:p>
    <w:p w14:paraId="72342C78" w14:textId="0268AC18" w:rsidR="006A4C39" w:rsidRPr="006A4C39" w:rsidRDefault="006A4C39" w:rsidP="004309EA">
      <w:pPr>
        <w:spacing w:after="120"/>
        <w:rPr>
          <w:b/>
          <w:bCs/>
          <w:sz w:val="22"/>
          <w:szCs w:val="22"/>
        </w:rPr>
      </w:pPr>
      <w:r w:rsidRPr="006A4C39">
        <w:rPr>
          <w:b/>
          <w:bCs/>
          <w:sz w:val="22"/>
          <w:szCs w:val="22"/>
        </w:rPr>
        <w:lastRenderedPageBreak/>
        <w:t>Press release of Phase 2 report</w:t>
      </w:r>
    </w:p>
    <w:p w14:paraId="0D94F350" w14:textId="153D3E56" w:rsidR="006A4C39" w:rsidRPr="006A4C39" w:rsidRDefault="006A4C39" w:rsidP="004309EA">
      <w:pPr>
        <w:spacing w:after="120"/>
        <w:rPr>
          <w:sz w:val="22"/>
          <w:szCs w:val="22"/>
        </w:rPr>
      </w:pPr>
      <w:r w:rsidRPr="006A4C39">
        <w:rPr>
          <w:sz w:val="22"/>
          <w:szCs w:val="22"/>
        </w:rPr>
        <w:t xml:space="preserve">The Grenfell Tower Inquiry has today </w:t>
      </w:r>
      <w:r w:rsidR="00393973">
        <w:rPr>
          <w:sz w:val="22"/>
          <w:szCs w:val="22"/>
        </w:rPr>
        <w:t xml:space="preserve">(4 September) </w:t>
      </w:r>
      <w:r w:rsidRPr="006A4C39">
        <w:rPr>
          <w:sz w:val="22"/>
          <w:szCs w:val="22"/>
        </w:rPr>
        <w:t>published its second and final report into the</w:t>
      </w:r>
      <w:r w:rsidR="00393973">
        <w:rPr>
          <w:sz w:val="22"/>
          <w:szCs w:val="22"/>
        </w:rPr>
        <w:t xml:space="preserve"> </w:t>
      </w:r>
      <w:r w:rsidRPr="006A4C39">
        <w:rPr>
          <w:sz w:val="22"/>
          <w:szCs w:val="22"/>
        </w:rPr>
        <w:t>circumstances leading up to and surrounding the fire at Grenfell Tower in the early</w:t>
      </w:r>
      <w:r w:rsidR="00393973">
        <w:rPr>
          <w:sz w:val="22"/>
          <w:szCs w:val="22"/>
        </w:rPr>
        <w:t xml:space="preserve"> </w:t>
      </w:r>
      <w:r w:rsidRPr="006A4C39">
        <w:rPr>
          <w:sz w:val="22"/>
          <w:szCs w:val="22"/>
        </w:rPr>
        <w:t>hours of 14 June 2017.</w:t>
      </w:r>
    </w:p>
    <w:p w14:paraId="2646F212" w14:textId="02DBD9F1" w:rsidR="006A4C39" w:rsidRPr="006A4C39" w:rsidRDefault="006A4C39" w:rsidP="004309EA">
      <w:pPr>
        <w:spacing w:after="120"/>
        <w:rPr>
          <w:sz w:val="22"/>
          <w:szCs w:val="22"/>
        </w:rPr>
      </w:pPr>
      <w:r w:rsidRPr="006A4C39">
        <w:rPr>
          <w:sz w:val="22"/>
          <w:szCs w:val="22"/>
        </w:rPr>
        <w:t>The publication of the Phase 2 report marks the end of a process that began on 15</w:t>
      </w:r>
      <w:r w:rsidR="00393973">
        <w:rPr>
          <w:sz w:val="22"/>
          <w:szCs w:val="22"/>
        </w:rPr>
        <w:t xml:space="preserve"> </w:t>
      </w:r>
      <w:r w:rsidRPr="006A4C39">
        <w:rPr>
          <w:sz w:val="22"/>
          <w:szCs w:val="22"/>
        </w:rPr>
        <w:t>June 2017 when then Prime Minister Theresa May announced a public inquiry to</w:t>
      </w:r>
      <w:r w:rsidR="00393973">
        <w:rPr>
          <w:sz w:val="22"/>
          <w:szCs w:val="22"/>
        </w:rPr>
        <w:t xml:space="preserve"> </w:t>
      </w:r>
      <w:r w:rsidRPr="006A4C39">
        <w:rPr>
          <w:sz w:val="22"/>
          <w:szCs w:val="22"/>
        </w:rPr>
        <w:t>examine the disaster with a view to ensuring that a similar disaster could never occur</w:t>
      </w:r>
      <w:r w:rsidR="00393973">
        <w:rPr>
          <w:sz w:val="22"/>
          <w:szCs w:val="22"/>
        </w:rPr>
        <w:t xml:space="preserve"> </w:t>
      </w:r>
      <w:r w:rsidRPr="006A4C39">
        <w:rPr>
          <w:sz w:val="22"/>
          <w:szCs w:val="22"/>
        </w:rPr>
        <w:t>again. The fire at Grenfell Tower was the worst residential fire in the UK since the</w:t>
      </w:r>
      <w:r w:rsidR="00393973">
        <w:rPr>
          <w:sz w:val="22"/>
          <w:szCs w:val="22"/>
        </w:rPr>
        <w:t xml:space="preserve"> </w:t>
      </w:r>
      <w:r w:rsidRPr="006A4C39">
        <w:rPr>
          <w:sz w:val="22"/>
          <w:szCs w:val="22"/>
        </w:rPr>
        <w:t>Second World War and resulted in the deaths of 72 people.</w:t>
      </w:r>
    </w:p>
    <w:p w14:paraId="0AC16440" w14:textId="22129C36" w:rsidR="006A4C39" w:rsidRPr="006A4C39" w:rsidRDefault="006A4C39" w:rsidP="004309EA">
      <w:pPr>
        <w:spacing w:after="120"/>
        <w:rPr>
          <w:sz w:val="22"/>
          <w:szCs w:val="22"/>
        </w:rPr>
      </w:pPr>
      <w:r w:rsidRPr="006A4C39">
        <w:rPr>
          <w:sz w:val="22"/>
          <w:szCs w:val="22"/>
        </w:rPr>
        <w:t>The Phase 1 report was published on 30 October 2019 and focused on the events of</w:t>
      </w:r>
      <w:r w:rsidR="00393973">
        <w:rPr>
          <w:sz w:val="22"/>
          <w:szCs w:val="22"/>
        </w:rPr>
        <w:t xml:space="preserve"> </w:t>
      </w:r>
      <w:r w:rsidRPr="006A4C39">
        <w:rPr>
          <w:sz w:val="22"/>
          <w:szCs w:val="22"/>
        </w:rPr>
        <w:t>14 June 2017: how the fire started, how it escaped from the flat where it had begun</w:t>
      </w:r>
      <w:r w:rsidR="00393973">
        <w:rPr>
          <w:sz w:val="22"/>
          <w:szCs w:val="22"/>
        </w:rPr>
        <w:t xml:space="preserve"> </w:t>
      </w:r>
      <w:r w:rsidRPr="006A4C39">
        <w:rPr>
          <w:sz w:val="22"/>
          <w:szCs w:val="22"/>
        </w:rPr>
        <w:t>and how it spread over the whole building with tragic consequences.</w:t>
      </w:r>
    </w:p>
    <w:p w14:paraId="382F9835" w14:textId="2C133DD4" w:rsidR="006A4C39" w:rsidRPr="006A4C39" w:rsidRDefault="006A4C39" w:rsidP="004309EA">
      <w:pPr>
        <w:spacing w:after="120"/>
        <w:rPr>
          <w:sz w:val="22"/>
          <w:szCs w:val="22"/>
        </w:rPr>
      </w:pPr>
      <w:r w:rsidRPr="006A4C39">
        <w:rPr>
          <w:sz w:val="22"/>
          <w:szCs w:val="22"/>
        </w:rPr>
        <w:t>Phase 2 of the Inquiry examined the underlying causes of the fire to identify where</w:t>
      </w:r>
      <w:r w:rsidR="00393973">
        <w:rPr>
          <w:sz w:val="22"/>
          <w:szCs w:val="22"/>
        </w:rPr>
        <w:t xml:space="preserve"> </w:t>
      </w:r>
      <w:r w:rsidRPr="006A4C39">
        <w:rPr>
          <w:sz w:val="22"/>
          <w:szCs w:val="22"/>
        </w:rPr>
        <w:t>mistakes were made and how Grenfell Tower came to be in a condition which</w:t>
      </w:r>
      <w:r w:rsidR="00393973">
        <w:rPr>
          <w:sz w:val="22"/>
          <w:szCs w:val="22"/>
        </w:rPr>
        <w:t xml:space="preserve"> </w:t>
      </w:r>
      <w:r w:rsidRPr="006A4C39">
        <w:rPr>
          <w:sz w:val="22"/>
          <w:szCs w:val="22"/>
        </w:rPr>
        <w:t>allowed the fire to spread in the way identified by Phase 1. It also investigated the</w:t>
      </w:r>
      <w:r w:rsidR="00393973">
        <w:rPr>
          <w:sz w:val="22"/>
          <w:szCs w:val="22"/>
        </w:rPr>
        <w:t xml:space="preserve"> </w:t>
      </w:r>
      <w:r w:rsidRPr="006A4C39">
        <w:rPr>
          <w:sz w:val="22"/>
          <w:szCs w:val="22"/>
        </w:rPr>
        <w:t>response of the authorities to the emergency.</w:t>
      </w:r>
    </w:p>
    <w:p w14:paraId="14EF027F" w14:textId="08F58B67" w:rsidR="006A4C39" w:rsidRPr="006A4C39" w:rsidRDefault="006A4C39" w:rsidP="004309EA">
      <w:pPr>
        <w:spacing w:after="120"/>
        <w:rPr>
          <w:sz w:val="22"/>
          <w:szCs w:val="22"/>
        </w:rPr>
      </w:pPr>
      <w:r w:rsidRPr="006A4C39">
        <w:rPr>
          <w:sz w:val="22"/>
          <w:szCs w:val="22"/>
        </w:rPr>
        <w:t>Introducing the report, Inquiry Chairman the Rt Hon Sir Martin Moore-Bick explained</w:t>
      </w:r>
      <w:r w:rsidR="00393973">
        <w:rPr>
          <w:sz w:val="22"/>
          <w:szCs w:val="22"/>
        </w:rPr>
        <w:t xml:space="preserve"> </w:t>
      </w:r>
      <w:r w:rsidRPr="006A4C39">
        <w:rPr>
          <w:sz w:val="22"/>
          <w:szCs w:val="22"/>
        </w:rPr>
        <w:t>that the second part of the investigations had taken longer than originally hoped</w:t>
      </w:r>
      <w:r w:rsidR="00393973">
        <w:rPr>
          <w:sz w:val="22"/>
          <w:szCs w:val="22"/>
        </w:rPr>
        <w:t xml:space="preserve"> </w:t>
      </w:r>
      <w:r w:rsidRPr="006A4C39">
        <w:rPr>
          <w:sz w:val="22"/>
          <w:szCs w:val="22"/>
        </w:rPr>
        <w:t>because, as those investigations progressed, the Inquiry uncovered many more</w:t>
      </w:r>
      <w:r w:rsidR="00393973">
        <w:rPr>
          <w:sz w:val="22"/>
          <w:szCs w:val="22"/>
        </w:rPr>
        <w:t xml:space="preserve"> </w:t>
      </w:r>
      <w:r w:rsidRPr="006A4C39">
        <w:rPr>
          <w:sz w:val="22"/>
          <w:szCs w:val="22"/>
        </w:rPr>
        <w:t>matters of concern than had previously been expected.</w:t>
      </w:r>
    </w:p>
    <w:p w14:paraId="303F826D" w14:textId="2A1FE22A" w:rsidR="006A4C39" w:rsidRPr="006A4C39" w:rsidRDefault="006A4C39" w:rsidP="004309EA">
      <w:pPr>
        <w:spacing w:after="120"/>
        <w:rPr>
          <w:sz w:val="22"/>
          <w:szCs w:val="22"/>
        </w:rPr>
      </w:pPr>
      <w:r w:rsidRPr="006A4C39">
        <w:rPr>
          <w:sz w:val="22"/>
          <w:szCs w:val="22"/>
        </w:rPr>
        <w:t>The Inquiry report finds that the deaths that occurred were all avoidable “and that</w:t>
      </w:r>
      <w:r w:rsidR="00393973">
        <w:rPr>
          <w:sz w:val="22"/>
          <w:szCs w:val="22"/>
        </w:rPr>
        <w:t xml:space="preserve"> </w:t>
      </w:r>
      <w:r w:rsidRPr="006A4C39">
        <w:rPr>
          <w:sz w:val="22"/>
          <w:szCs w:val="22"/>
        </w:rPr>
        <w:t>those who lived in Grenfell Tower were badly failed over a number of years by those</w:t>
      </w:r>
      <w:r w:rsidR="00393973">
        <w:rPr>
          <w:sz w:val="22"/>
          <w:szCs w:val="22"/>
        </w:rPr>
        <w:t xml:space="preserve"> </w:t>
      </w:r>
      <w:r w:rsidRPr="006A4C39">
        <w:rPr>
          <w:sz w:val="22"/>
          <w:szCs w:val="22"/>
        </w:rPr>
        <w:t>who were responsible for ensuring the safety of its occupants.”</w:t>
      </w:r>
    </w:p>
    <w:p w14:paraId="0F7B6398" w14:textId="524FDAAD" w:rsidR="006A4C39" w:rsidRPr="006A4C39" w:rsidRDefault="006A4C39" w:rsidP="004309EA">
      <w:pPr>
        <w:spacing w:after="120"/>
        <w:rPr>
          <w:sz w:val="22"/>
          <w:szCs w:val="22"/>
        </w:rPr>
      </w:pPr>
      <w:r w:rsidRPr="006A4C39">
        <w:rPr>
          <w:sz w:val="22"/>
          <w:szCs w:val="22"/>
        </w:rPr>
        <w:t>“They include the government, the Tenant Management Organisation, the Royal</w:t>
      </w:r>
      <w:r w:rsidR="00393973">
        <w:rPr>
          <w:sz w:val="22"/>
          <w:szCs w:val="22"/>
        </w:rPr>
        <w:t xml:space="preserve"> </w:t>
      </w:r>
      <w:r w:rsidRPr="006A4C39">
        <w:rPr>
          <w:sz w:val="22"/>
          <w:szCs w:val="22"/>
        </w:rPr>
        <w:t>Borough of Kensington and Chelsea, those who manufactured and supplied the</w:t>
      </w:r>
      <w:r w:rsidR="00393973">
        <w:rPr>
          <w:sz w:val="22"/>
          <w:szCs w:val="22"/>
        </w:rPr>
        <w:t xml:space="preserve"> </w:t>
      </w:r>
      <w:r w:rsidRPr="006A4C39">
        <w:rPr>
          <w:sz w:val="22"/>
          <w:szCs w:val="22"/>
        </w:rPr>
        <w:t>materials used in the refurbishment, those who certified their suitability for use on</w:t>
      </w:r>
      <w:r w:rsidR="00393973">
        <w:rPr>
          <w:sz w:val="22"/>
          <w:szCs w:val="22"/>
        </w:rPr>
        <w:t xml:space="preserve"> </w:t>
      </w:r>
      <w:r w:rsidRPr="006A4C39">
        <w:rPr>
          <w:sz w:val="22"/>
          <w:szCs w:val="22"/>
        </w:rPr>
        <w:t>high-rise residential buildings, the architect, Studio E, the principal contractor, Rydon</w:t>
      </w:r>
      <w:r w:rsidR="00393973">
        <w:rPr>
          <w:sz w:val="22"/>
          <w:szCs w:val="22"/>
        </w:rPr>
        <w:t xml:space="preserve"> </w:t>
      </w:r>
      <w:r w:rsidRPr="006A4C39">
        <w:rPr>
          <w:sz w:val="22"/>
          <w:szCs w:val="22"/>
        </w:rPr>
        <w:t>Maintenance Ltd, and some of its sub-contractors, in particular, Harley Curtain Wall</w:t>
      </w:r>
      <w:r w:rsidR="00393973">
        <w:rPr>
          <w:sz w:val="22"/>
          <w:szCs w:val="22"/>
        </w:rPr>
        <w:t xml:space="preserve"> </w:t>
      </w:r>
      <w:r w:rsidRPr="006A4C39">
        <w:rPr>
          <w:sz w:val="22"/>
          <w:szCs w:val="22"/>
        </w:rPr>
        <w:t>Ltd and its successor Harley Facades Ltd, some of the consultants, in particular the</w:t>
      </w:r>
      <w:r w:rsidR="00393973">
        <w:rPr>
          <w:sz w:val="22"/>
          <w:szCs w:val="22"/>
        </w:rPr>
        <w:t xml:space="preserve"> </w:t>
      </w:r>
      <w:r w:rsidRPr="006A4C39">
        <w:rPr>
          <w:sz w:val="22"/>
          <w:szCs w:val="22"/>
        </w:rPr>
        <w:t xml:space="preserve">fire engineer, </w:t>
      </w:r>
      <w:proofErr w:type="spellStart"/>
      <w:r w:rsidRPr="006A4C39">
        <w:rPr>
          <w:sz w:val="22"/>
          <w:szCs w:val="22"/>
        </w:rPr>
        <w:t>Exova</w:t>
      </w:r>
      <w:proofErr w:type="spellEnd"/>
      <w:r w:rsidRPr="006A4C39">
        <w:rPr>
          <w:sz w:val="22"/>
          <w:szCs w:val="22"/>
        </w:rPr>
        <w:t xml:space="preserve"> </w:t>
      </w:r>
      <w:proofErr w:type="spellStart"/>
      <w:r w:rsidRPr="006A4C39">
        <w:rPr>
          <w:sz w:val="22"/>
          <w:szCs w:val="22"/>
        </w:rPr>
        <w:t>Warringtonfire</w:t>
      </w:r>
      <w:proofErr w:type="spellEnd"/>
      <w:r w:rsidRPr="006A4C39">
        <w:rPr>
          <w:sz w:val="22"/>
          <w:szCs w:val="22"/>
        </w:rPr>
        <w:t xml:space="preserve"> Ltd, the local authority’s building control</w:t>
      </w:r>
      <w:r w:rsidR="00393973">
        <w:rPr>
          <w:sz w:val="22"/>
          <w:szCs w:val="22"/>
        </w:rPr>
        <w:t xml:space="preserve"> </w:t>
      </w:r>
      <w:r w:rsidRPr="006A4C39">
        <w:rPr>
          <w:sz w:val="22"/>
          <w:szCs w:val="22"/>
        </w:rPr>
        <w:t>department and the London Fire Brigade,” Sir Martin said.</w:t>
      </w:r>
    </w:p>
    <w:p w14:paraId="1328548C" w14:textId="3AAB2511" w:rsidR="00393973" w:rsidRPr="00393973" w:rsidRDefault="006A4C39" w:rsidP="004309EA">
      <w:pPr>
        <w:spacing w:after="120"/>
        <w:rPr>
          <w:sz w:val="22"/>
          <w:szCs w:val="22"/>
        </w:rPr>
      </w:pPr>
      <w:r w:rsidRPr="006A4C39">
        <w:rPr>
          <w:sz w:val="22"/>
          <w:szCs w:val="22"/>
        </w:rPr>
        <w:t>Sir Martin went on to explain that while not all of them bear the same degree of</w:t>
      </w:r>
      <w:r w:rsidR="00393973">
        <w:rPr>
          <w:sz w:val="22"/>
          <w:szCs w:val="22"/>
        </w:rPr>
        <w:t xml:space="preserve"> </w:t>
      </w:r>
      <w:r w:rsidRPr="006A4C39">
        <w:rPr>
          <w:sz w:val="22"/>
          <w:szCs w:val="22"/>
        </w:rPr>
        <w:t>responsibility for the eventual disaster, “all contributed to it in one way or another, in</w:t>
      </w:r>
      <w:r w:rsidR="00393973">
        <w:rPr>
          <w:sz w:val="22"/>
          <w:szCs w:val="22"/>
        </w:rPr>
        <w:t xml:space="preserve"> </w:t>
      </w:r>
      <w:r w:rsidRPr="006A4C39">
        <w:rPr>
          <w:sz w:val="22"/>
          <w:szCs w:val="22"/>
        </w:rPr>
        <w:t>most cases through incompetence but in some cases through dishonesty and greed.”</w:t>
      </w:r>
      <w:r w:rsidR="00393973">
        <w:rPr>
          <w:sz w:val="22"/>
          <w:szCs w:val="22"/>
        </w:rPr>
        <w:t xml:space="preserve"> </w:t>
      </w:r>
      <w:r w:rsidRPr="006A4C39">
        <w:rPr>
          <w:sz w:val="22"/>
          <w:szCs w:val="22"/>
        </w:rPr>
        <w:t xml:space="preserve">Panel member and architect </w:t>
      </w:r>
      <w:proofErr w:type="spellStart"/>
      <w:r w:rsidRPr="006A4C39">
        <w:rPr>
          <w:sz w:val="22"/>
          <w:szCs w:val="22"/>
        </w:rPr>
        <w:t>Thouria</w:t>
      </w:r>
      <w:proofErr w:type="spellEnd"/>
      <w:r w:rsidRPr="006A4C39">
        <w:rPr>
          <w:sz w:val="22"/>
          <w:szCs w:val="22"/>
        </w:rPr>
        <w:t xml:space="preserve"> </w:t>
      </w:r>
      <w:proofErr w:type="spellStart"/>
      <w:r w:rsidRPr="006A4C39">
        <w:rPr>
          <w:sz w:val="22"/>
          <w:szCs w:val="22"/>
        </w:rPr>
        <w:t>Istephan</w:t>
      </w:r>
      <w:proofErr w:type="spellEnd"/>
      <w:r w:rsidRPr="006A4C39">
        <w:rPr>
          <w:sz w:val="22"/>
          <w:szCs w:val="22"/>
        </w:rPr>
        <w:t>, who spent nearly 30 years as an</w:t>
      </w:r>
      <w:r w:rsidR="00393973">
        <w:rPr>
          <w:sz w:val="22"/>
          <w:szCs w:val="22"/>
        </w:rPr>
        <w:t xml:space="preserve"> </w:t>
      </w:r>
      <w:r w:rsidRPr="006A4C39">
        <w:rPr>
          <w:sz w:val="22"/>
          <w:szCs w:val="22"/>
        </w:rPr>
        <w:t>architect before joining the Inquiry in 2020, said:</w:t>
      </w:r>
    </w:p>
    <w:p w14:paraId="4B0E3355" w14:textId="5AA1D684" w:rsidR="00393973" w:rsidRPr="00393973" w:rsidRDefault="006A4C39" w:rsidP="004309EA">
      <w:pPr>
        <w:spacing w:after="120"/>
        <w:rPr>
          <w:sz w:val="22"/>
          <w:szCs w:val="22"/>
        </w:rPr>
      </w:pPr>
      <w:r w:rsidRPr="006A4C39">
        <w:rPr>
          <w:sz w:val="22"/>
          <w:szCs w:val="22"/>
        </w:rPr>
        <w:t>“Our report identifies what we think is needed to make sure that the legacy of Grenfell</w:t>
      </w:r>
      <w:r w:rsidR="00393973">
        <w:rPr>
          <w:sz w:val="22"/>
          <w:szCs w:val="22"/>
        </w:rPr>
        <w:t xml:space="preserve"> </w:t>
      </w:r>
      <w:r w:rsidRPr="006A4C39">
        <w:rPr>
          <w:sz w:val="22"/>
          <w:szCs w:val="22"/>
        </w:rPr>
        <w:t>is real and brings about lasting change. Our recommendations place new burdens</w:t>
      </w:r>
      <w:r w:rsidR="00393973">
        <w:rPr>
          <w:sz w:val="22"/>
          <w:szCs w:val="22"/>
        </w:rPr>
        <w:t xml:space="preserve"> </w:t>
      </w:r>
      <w:r w:rsidRPr="006A4C39">
        <w:rPr>
          <w:sz w:val="22"/>
          <w:szCs w:val="22"/>
        </w:rPr>
        <w:t>and responsibilities on people and organisations”.</w:t>
      </w:r>
    </w:p>
    <w:p w14:paraId="5BADC257" w14:textId="7BF32A86" w:rsidR="006A4C39" w:rsidRPr="006A4C39" w:rsidRDefault="006A4C39" w:rsidP="004309EA">
      <w:pPr>
        <w:spacing w:after="120"/>
        <w:rPr>
          <w:sz w:val="22"/>
          <w:szCs w:val="22"/>
        </w:rPr>
      </w:pPr>
      <w:r w:rsidRPr="006A4C39">
        <w:rPr>
          <w:sz w:val="22"/>
          <w:szCs w:val="22"/>
        </w:rPr>
        <w:t xml:space="preserve">Ms </w:t>
      </w:r>
      <w:proofErr w:type="spellStart"/>
      <w:r w:rsidRPr="006A4C39">
        <w:rPr>
          <w:sz w:val="22"/>
          <w:szCs w:val="22"/>
        </w:rPr>
        <w:t>Istephan</w:t>
      </w:r>
      <w:proofErr w:type="spellEnd"/>
      <w:r w:rsidRPr="006A4C39">
        <w:rPr>
          <w:sz w:val="22"/>
          <w:szCs w:val="22"/>
        </w:rPr>
        <w:t xml:space="preserve"> continued:</w:t>
      </w:r>
      <w:r w:rsidR="004309EA">
        <w:rPr>
          <w:sz w:val="22"/>
          <w:szCs w:val="22"/>
        </w:rPr>
        <w:t xml:space="preserve"> </w:t>
      </w:r>
      <w:r w:rsidRPr="006A4C39">
        <w:rPr>
          <w:sz w:val="22"/>
          <w:szCs w:val="22"/>
        </w:rPr>
        <w:t>“I make no apologies for that: put simply, if you work in the</w:t>
      </w:r>
      <w:r w:rsidR="00393973">
        <w:rPr>
          <w:sz w:val="22"/>
          <w:szCs w:val="22"/>
        </w:rPr>
        <w:t xml:space="preserve"> </w:t>
      </w:r>
      <w:r w:rsidRPr="006A4C39">
        <w:rPr>
          <w:sz w:val="22"/>
          <w:szCs w:val="22"/>
        </w:rPr>
        <w:t>construction industry and you do not feel the weight of the responsibility you have for</w:t>
      </w:r>
      <w:r w:rsidR="00393973">
        <w:rPr>
          <w:sz w:val="22"/>
          <w:szCs w:val="22"/>
        </w:rPr>
        <w:t xml:space="preserve"> </w:t>
      </w:r>
      <w:r w:rsidRPr="006A4C39">
        <w:rPr>
          <w:sz w:val="22"/>
          <w:szCs w:val="22"/>
        </w:rPr>
        <w:t>keeping people safe - you are in the wrong job.”</w:t>
      </w:r>
    </w:p>
    <w:p w14:paraId="3DDD1367" w14:textId="3BF982F7" w:rsidR="00393973" w:rsidRPr="00393973" w:rsidRDefault="006A4C39" w:rsidP="004309EA">
      <w:pPr>
        <w:spacing w:after="120"/>
        <w:rPr>
          <w:sz w:val="22"/>
          <w:szCs w:val="22"/>
        </w:rPr>
      </w:pPr>
      <w:r w:rsidRPr="006A4C39">
        <w:rPr>
          <w:sz w:val="22"/>
          <w:szCs w:val="22"/>
        </w:rPr>
        <w:lastRenderedPageBreak/>
        <w:t>Former housing association chief executive Ali Akbor OBE, who joined the Inquiry as</w:t>
      </w:r>
      <w:r w:rsidR="00393973">
        <w:rPr>
          <w:sz w:val="22"/>
          <w:szCs w:val="22"/>
        </w:rPr>
        <w:t xml:space="preserve"> </w:t>
      </w:r>
      <w:r w:rsidRPr="006A4C39">
        <w:rPr>
          <w:sz w:val="22"/>
          <w:szCs w:val="22"/>
        </w:rPr>
        <w:t>a Panel Member in 2020, said:</w:t>
      </w:r>
    </w:p>
    <w:p w14:paraId="4F1F31D3" w14:textId="067152E1" w:rsidR="00393973" w:rsidRPr="00393973" w:rsidRDefault="006A4C39" w:rsidP="004309EA">
      <w:pPr>
        <w:spacing w:after="120"/>
        <w:rPr>
          <w:sz w:val="22"/>
          <w:szCs w:val="22"/>
        </w:rPr>
      </w:pPr>
      <w:r w:rsidRPr="006A4C39">
        <w:rPr>
          <w:sz w:val="22"/>
          <w:szCs w:val="22"/>
        </w:rPr>
        <w:t>“I hope that our report acts as a reminder to the clients of future building projects -</w:t>
      </w:r>
      <w:r w:rsidR="00393973" w:rsidRPr="00393973">
        <w:rPr>
          <w:sz w:val="22"/>
          <w:szCs w:val="22"/>
        </w:rPr>
        <w:t xml:space="preserve"> </w:t>
      </w:r>
      <w:r w:rsidRPr="006A4C39">
        <w:rPr>
          <w:sz w:val="22"/>
          <w:szCs w:val="22"/>
        </w:rPr>
        <w:t>including social housing providers - that they have a responsibility to the users of their</w:t>
      </w:r>
      <w:r w:rsidR="00393973" w:rsidRPr="00393973">
        <w:rPr>
          <w:sz w:val="22"/>
          <w:szCs w:val="22"/>
        </w:rPr>
        <w:t xml:space="preserve"> </w:t>
      </w:r>
      <w:r w:rsidRPr="006A4C39">
        <w:rPr>
          <w:sz w:val="22"/>
          <w:szCs w:val="22"/>
        </w:rPr>
        <w:t>buildings to ensure that safety is not sacrificed to the demands of speed and cost.”</w:t>
      </w:r>
    </w:p>
    <w:p w14:paraId="2A51AD10" w14:textId="7AC744BD" w:rsidR="00393973" w:rsidRPr="00393973" w:rsidRDefault="006A4C39" w:rsidP="004309EA">
      <w:pPr>
        <w:spacing w:after="120"/>
        <w:rPr>
          <w:sz w:val="22"/>
          <w:szCs w:val="22"/>
        </w:rPr>
      </w:pPr>
      <w:r w:rsidRPr="006A4C39">
        <w:rPr>
          <w:sz w:val="22"/>
          <w:szCs w:val="22"/>
        </w:rPr>
        <w:t>Mr Akbor concluded by adding:</w:t>
      </w:r>
    </w:p>
    <w:p w14:paraId="34055AF9" w14:textId="18B925BF" w:rsidR="006A4C39" w:rsidRPr="006A4C39" w:rsidRDefault="006A4C39" w:rsidP="004309EA">
      <w:pPr>
        <w:spacing w:after="120"/>
        <w:rPr>
          <w:sz w:val="22"/>
          <w:szCs w:val="22"/>
        </w:rPr>
      </w:pPr>
      <w:r w:rsidRPr="006A4C39">
        <w:rPr>
          <w:sz w:val="22"/>
          <w:szCs w:val="22"/>
        </w:rPr>
        <w:t>“We cannot in a few words here today do full justice to the totality of our report. What</w:t>
      </w:r>
      <w:r w:rsidR="00393973">
        <w:rPr>
          <w:sz w:val="22"/>
          <w:szCs w:val="22"/>
        </w:rPr>
        <w:t xml:space="preserve"> </w:t>
      </w:r>
      <w:r w:rsidRPr="006A4C39">
        <w:rPr>
          <w:sz w:val="22"/>
          <w:szCs w:val="22"/>
        </w:rPr>
        <w:t>is needed is for those with responsibility for building safety - in my sector as in</w:t>
      </w:r>
      <w:r w:rsidR="00393973">
        <w:rPr>
          <w:sz w:val="22"/>
          <w:szCs w:val="22"/>
        </w:rPr>
        <w:t xml:space="preserve"> </w:t>
      </w:r>
      <w:proofErr w:type="spellStart"/>
      <w:r w:rsidRPr="006A4C39">
        <w:rPr>
          <w:sz w:val="22"/>
          <w:szCs w:val="22"/>
        </w:rPr>
        <w:t>Thouria’s</w:t>
      </w:r>
      <w:proofErr w:type="spellEnd"/>
      <w:r w:rsidRPr="006A4C39">
        <w:rPr>
          <w:sz w:val="22"/>
          <w:szCs w:val="22"/>
        </w:rPr>
        <w:t xml:space="preserve"> - to read the report, to reflect on it, and to treat Grenfell as a touchstone in</w:t>
      </w:r>
      <w:r w:rsidR="00393973">
        <w:rPr>
          <w:sz w:val="22"/>
          <w:szCs w:val="22"/>
        </w:rPr>
        <w:t xml:space="preserve"> </w:t>
      </w:r>
      <w:r w:rsidRPr="006A4C39">
        <w:rPr>
          <w:sz w:val="22"/>
          <w:szCs w:val="22"/>
        </w:rPr>
        <w:t>all that they do in the future. To act with professionalism, with competence, and to put</w:t>
      </w:r>
      <w:r w:rsidR="00393973">
        <w:rPr>
          <w:sz w:val="22"/>
          <w:szCs w:val="22"/>
        </w:rPr>
        <w:t xml:space="preserve"> </w:t>
      </w:r>
      <w:r w:rsidRPr="006A4C39">
        <w:rPr>
          <w:sz w:val="22"/>
          <w:szCs w:val="22"/>
        </w:rPr>
        <w:t>people first.”</w:t>
      </w:r>
    </w:p>
    <w:p w14:paraId="5F026EFD" w14:textId="1E4B4BF2" w:rsidR="006A4C39" w:rsidRPr="006A4C39" w:rsidRDefault="006A4C39" w:rsidP="004309EA">
      <w:pPr>
        <w:spacing w:after="120"/>
        <w:rPr>
          <w:sz w:val="22"/>
          <w:szCs w:val="22"/>
        </w:rPr>
      </w:pPr>
      <w:r w:rsidRPr="006A4C39">
        <w:rPr>
          <w:sz w:val="22"/>
          <w:szCs w:val="22"/>
        </w:rPr>
        <w:t>Recommendations put forward by the Inquiry panel include:</w:t>
      </w:r>
    </w:p>
    <w:p w14:paraId="364CDEFF" w14:textId="50A4201A" w:rsidR="006A4C39" w:rsidRPr="00393973" w:rsidRDefault="006A4C39" w:rsidP="004309EA">
      <w:pPr>
        <w:pStyle w:val="ListParagraph"/>
        <w:numPr>
          <w:ilvl w:val="0"/>
          <w:numId w:val="1"/>
        </w:numPr>
        <w:spacing w:after="120"/>
        <w:rPr>
          <w:sz w:val="22"/>
          <w:szCs w:val="22"/>
        </w:rPr>
      </w:pPr>
      <w:r w:rsidRPr="00393973">
        <w:rPr>
          <w:sz w:val="22"/>
          <w:szCs w:val="22"/>
        </w:rPr>
        <w:t>bringing responsibility for all aspects of fire safety under one government</w:t>
      </w:r>
      <w:r w:rsidR="00393973">
        <w:rPr>
          <w:sz w:val="22"/>
          <w:szCs w:val="22"/>
        </w:rPr>
        <w:t xml:space="preserve"> </w:t>
      </w:r>
      <w:proofErr w:type="gramStart"/>
      <w:r w:rsidRPr="00393973">
        <w:rPr>
          <w:sz w:val="22"/>
          <w:szCs w:val="22"/>
        </w:rPr>
        <w:t>Department;</w:t>
      </w:r>
      <w:proofErr w:type="gramEnd"/>
    </w:p>
    <w:p w14:paraId="6C5AEBA4" w14:textId="4AB651AA" w:rsidR="006A4C39" w:rsidRPr="00393973" w:rsidRDefault="006A4C39" w:rsidP="004309EA">
      <w:pPr>
        <w:pStyle w:val="ListParagraph"/>
        <w:numPr>
          <w:ilvl w:val="0"/>
          <w:numId w:val="1"/>
        </w:numPr>
        <w:spacing w:after="120"/>
        <w:rPr>
          <w:sz w:val="22"/>
          <w:szCs w:val="22"/>
        </w:rPr>
      </w:pPr>
      <w:r w:rsidRPr="00393973">
        <w:rPr>
          <w:sz w:val="22"/>
          <w:szCs w:val="22"/>
        </w:rPr>
        <w:t>the appointment of a construction regulator to oversee all aspects of the</w:t>
      </w:r>
      <w:r w:rsidR="00393973">
        <w:rPr>
          <w:sz w:val="22"/>
          <w:szCs w:val="22"/>
        </w:rPr>
        <w:t xml:space="preserve"> </w:t>
      </w:r>
      <w:r w:rsidRPr="00393973">
        <w:rPr>
          <w:sz w:val="22"/>
          <w:szCs w:val="22"/>
        </w:rPr>
        <w:t xml:space="preserve">construction </w:t>
      </w:r>
      <w:proofErr w:type="gramStart"/>
      <w:r w:rsidRPr="00393973">
        <w:rPr>
          <w:sz w:val="22"/>
          <w:szCs w:val="22"/>
        </w:rPr>
        <w:t>industry;</w:t>
      </w:r>
      <w:proofErr w:type="gramEnd"/>
    </w:p>
    <w:p w14:paraId="2360FE0D" w14:textId="534D3E75" w:rsidR="006A4C39" w:rsidRPr="00393973" w:rsidRDefault="006A4C39" w:rsidP="004309EA">
      <w:pPr>
        <w:pStyle w:val="ListParagraph"/>
        <w:numPr>
          <w:ilvl w:val="0"/>
          <w:numId w:val="1"/>
        </w:numPr>
        <w:spacing w:after="120"/>
        <w:rPr>
          <w:sz w:val="22"/>
          <w:szCs w:val="22"/>
        </w:rPr>
      </w:pPr>
      <w:r w:rsidRPr="00393973">
        <w:rPr>
          <w:sz w:val="22"/>
          <w:szCs w:val="22"/>
        </w:rPr>
        <w:t>the establishment of a body of professional fire engineers, properly regulated</w:t>
      </w:r>
      <w:r w:rsidR="00393973">
        <w:rPr>
          <w:sz w:val="22"/>
          <w:szCs w:val="22"/>
        </w:rPr>
        <w:t xml:space="preserve"> </w:t>
      </w:r>
      <w:r w:rsidRPr="00393973">
        <w:rPr>
          <w:sz w:val="22"/>
          <w:szCs w:val="22"/>
        </w:rPr>
        <w:t>and with protected status and the introduction of mandatory fire safety</w:t>
      </w:r>
      <w:r w:rsidR="00393973">
        <w:rPr>
          <w:sz w:val="22"/>
          <w:szCs w:val="22"/>
        </w:rPr>
        <w:t xml:space="preserve"> </w:t>
      </w:r>
      <w:r w:rsidRPr="00393973">
        <w:rPr>
          <w:sz w:val="22"/>
          <w:szCs w:val="22"/>
        </w:rPr>
        <w:t xml:space="preserve">strategies for </w:t>
      </w:r>
      <w:proofErr w:type="gramStart"/>
      <w:r w:rsidRPr="00393973">
        <w:rPr>
          <w:sz w:val="22"/>
          <w:szCs w:val="22"/>
        </w:rPr>
        <w:t>higher-risk</w:t>
      </w:r>
      <w:proofErr w:type="gramEnd"/>
      <w:r w:rsidRPr="00393973">
        <w:rPr>
          <w:sz w:val="22"/>
          <w:szCs w:val="22"/>
        </w:rPr>
        <w:t xml:space="preserve"> buildings;</w:t>
      </w:r>
    </w:p>
    <w:p w14:paraId="387C20F7" w14:textId="2B4E84C9" w:rsidR="006A4C39" w:rsidRPr="00393973" w:rsidRDefault="006A4C39" w:rsidP="004309EA">
      <w:pPr>
        <w:pStyle w:val="ListParagraph"/>
        <w:numPr>
          <w:ilvl w:val="0"/>
          <w:numId w:val="1"/>
        </w:numPr>
        <w:spacing w:after="120"/>
        <w:rPr>
          <w:sz w:val="22"/>
          <w:szCs w:val="22"/>
        </w:rPr>
      </w:pPr>
      <w:r w:rsidRPr="00393973">
        <w:rPr>
          <w:sz w:val="22"/>
          <w:szCs w:val="22"/>
        </w:rPr>
        <w:t>a licensing scheme for contractors wishing to undertake the construction or</w:t>
      </w:r>
      <w:r w:rsidR="00393973">
        <w:rPr>
          <w:sz w:val="22"/>
          <w:szCs w:val="22"/>
        </w:rPr>
        <w:t xml:space="preserve"> </w:t>
      </w:r>
      <w:r w:rsidRPr="00393973">
        <w:rPr>
          <w:sz w:val="22"/>
          <w:szCs w:val="22"/>
        </w:rPr>
        <w:t xml:space="preserve">refurbishment of </w:t>
      </w:r>
      <w:proofErr w:type="gramStart"/>
      <w:r w:rsidRPr="00393973">
        <w:rPr>
          <w:sz w:val="22"/>
          <w:szCs w:val="22"/>
        </w:rPr>
        <w:t>higher-risk</w:t>
      </w:r>
      <w:proofErr w:type="gramEnd"/>
      <w:r w:rsidRPr="00393973">
        <w:rPr>
          <w:sz w:val="22"/>
          <w:szCs w:val="22"/>
        </w:rPr>
        <w:t xml:space="preserve"> buildings;</w:t>
      </w:r>
    </w:p>
    <w:p w14:paraId="23A6F6D8" w14:textId="77777777" w:rsidR="006A4C39" w:rsidRPr="00393973" w:rsidRDefault="006A4C39" w:rsidP="004309EA">
      <w:pPr>
        <w:pStyle w:val="ListParagraph"/>
        <w:numPr>
          <w:ilvl w:val="0"/>
          <w:numId w:val="1"/>
        </w:numPr>
        <w:spacing w:after="120"/>
        <w:rPr>
          <w:sz w:val="22"/>
          <w:szCs w:val="22"/>
        </w:rPr>
      </w:pPr>
      <w:r w:rsidRPr="00393973">
        <w:rPr>
          <w:sz w:val="22"/>
          <w:szCs w:val="22"/>
        </w:rPr>
        <w:t xml:space="preserve">the regulation and mandatory accreditation of fire risk </w:t>
      </w:r>
      <w:proofErr w:type="gramStart"/>
      <w:r w:rsidRPr="00393973">
        <w:rPr>
          <w:sz w:val="22"/>
          <w:szCs w:val="22"/>
        </w:rPr>
        <w:t>assessors;</w:t>
      </w:r>
      <w:proofErr w:type="gramEnd"/>
    </w:p>
    <w:p w14:paraId="3F6B826C" w14:textId="4B18CF1B" w:rsidR="006A4C39" w:rsidRPr="00393973" w:rsidRDefault="006A4C39" w:rsidP="004309EA">
      <w:pPr>
        <w:pStyle w:val="ListParagraph"/>
        <w:numPr>
          <w:ilvl w:val="0"/>
          <w:numId w:val="1"/>
        </w:numPr>
        <w:spacing w:after="120"/>
        <w:rPr>
          <w:sz w:val="22"/>
          <w:szCs w:val="22"/>
        </w:rPr>
      </w:pPr>
      <w:r w:rsidRPr="00393973">
        <w:rPr>
          <w:sz w:val="22"/>
          <w:szCs w:val="22"/>
        </w:rPr>
        <w:t>the establishment of a College of Fire and Rescue to provide practical,</w:t>
      </w:r>
      <w:r w:rsidR="00393973">
        <w:rPr>
          <w:sz w:val="22"/>
          <w:szCs w:val="22"/>
        </w:rPr>
        <w:t xml:space="preserve"> </w:t>
      </w:r>
      <w:r w:rsidRPr="00393973">
        <w:rPr>
          <w:sz w:val="22"/>
          <w:szCs w:val="22"/>
        </w:rPr>
        <w:t>educational and managerial training to fire and rescue services.</w:t>
      </w:r>
    </w:p>
    <w:p w14:paraId="7DD2B396" w14:textId="0AC1EE0C" w:rsidR="006A4C39" w:rsidRPr="00393973" w:rsidRDefault="006A4C39" w:rsidP="004309EA">
      <w:pPr>
        <w:pStyle w:val="ListParagraph"/>
        <w:numPr>
          <w:ilvl w:val="0"/>
          <w:numId w:val="1"/>
        </w:numPr>
        <w:spacing w:after="120"/>
        <w:rPr>
          <w:sz w:val="22"/>
          <w:szCs w:val="22"/>
        </w:rPr>
      </w:pPr>
      <w:r w:rsidRPr="00393973">
        <w:rPr>
          <w:sz w:val="22"/>
          <w:szCs w:val="22"/>
        </w:rPr>
        <w:t>the introduction of a requirement for the government to maintain a publicly</w:t>
      </w:r>
      <w:r w:rsidR="00393973">
        <w:rPr>
          <w:sz w:val="22"/>
          <w:szCs w:val="22"/>
        </w:rPr>
        <w:t xml:space="preserve"> </w:t>
      </w:r>
      <w:r w:rsidRPr="00393973">
        <w:rPr>
          <w:sz w:val="22"/>
          <w:szCs w:val="22"/>
        </w:rPr>
        <w:t>accessible record of recommendations made by select committees, coroners</w:t>
      </w:r>
      <w:r w:rsidR="00393973">
        <w:rPr>
          <w:sz w:val="22"/>
          <w:szCs w:val="22"/>
        </w:rPr>
        <w:t xml:space="preserve"> </w:t>
      </w:r>
      <w:r w:rsidRPr="00393973">
        <w:rPr>
          <w:sz w:val="22"/>
          <w:szCs w:val="22"/>
        </w:rPr>
        <w:t>and public inquiries, describing the steps taken in response or its reasons for</w:t>
      </w:r>
      <w:r w:rsidR="00393973">
        <w:rPr>
          <w:sz w:val="22"/>
          <w:szCs w:val="22"/>
        </w:rPr>
        <w:t xml:space="preserve"> </w:t>
      </w:r>
      <w:r w:rsidRPr="00393973">
        <w:rPr>
          <w:sz w:val="22"/>
          <w:szCs w:val="22"/>
        </w:rPr>
        <w:t>declining to implement them.</w:t>
      </w:r>
    </w:p>
    <w:p w14:paraId="17408FC9" w14:textId="483171C0" w:rsidR="006A4C39" w:rsidRPr="006A4C39" w:rsidRDefault="006A4C39" w:rsidP="004309EA">
      <w:pPr>
        <w:spacing w:after="120"/>
        <w:rPr>
          <w:sz w:val="22"/>
          <w:szCs w:val="22"/>
        </w:rPr>
      </w:pPr>
      <w:r w:rsidRPr="006A4C39">
        <w:rPr>
          <w:sz w:val="22"/>
          <w:szCs w:val="22"/>
        </w:rPr>
        <w:t>The Panel expressed its gratitude to all those who had supported the Inquiry through</w:t>
      </w:r>
      <w:r w:rsidR="004309EA">
        <w:rPr>
          <w:sz w:val="22"/>
          <w:szCs w:val="22"/>
        </w:rPr>
        <w:t xml:space="preserve"> </w:t>
      </w:r>
      <w:r w:rsidRPr="006A4C39">
        <w:rPr>
          <w:sz w:val="22"/>
          <w:szCs w:val="22"/>
        </w:rPr>
        <w:t xml:space="preserve">giving evidence and providing statements to assist its investigations, </w:t>
      </w:r>
      <w:proofErr w:type="gramStart"/>
      <w:r w:rsidRPr="006A4C39">
        <w:rPr>
          <w:sz w:val="22"/>
          <w:szCs w:val="22"/>
        </w:rPr>
        <w:t>in particular the</w:t>
      </w:r>
      <w:proofErr w:type="gramEnd"/>
      <w:r w:rsidR="004309EA">
        <w:rPr>
          <w:sz w:val="22"/>
          <w:szCs w:val="22"/>
        </w:rPr>
        <w:t xml:space="preserve"> </w:t>
      </w:r>
      <w:r w:rsidRPr="006A4C39">
        <w:rPr>
          <w:sz w:val="22"/>
          <w:szCs w:val="22"/>
        </w:rPr>
        <w:t>bereaved, survivors and residents of Grenfell Tower.</w:t>
      </w:r>
    </w:p>
    <w:p w14:paraId="22D8C31A" w14:textId="435B662F" w:rsidR="006A4C39" w:rsidRPr="006A4C39" w:rsidRDefault="006A4C39" w:rsidP="004309EA">
      <w:pPr>
        <w:spacing w:after="120"/>
        <w:rPr>
          <w:sz w:val="22"/>
          <w:szCs w:val="22"/>
        </w:rPr>
      </w:pPr>
      <w:r w:rsidRPr="006A4C39">
        <w:rPr>
          <w:sz w:val="22"/>
          <w:szCs w:val="22"/>
        </w:rPr>
        <w:t>Grenfell Tower Inquiry opened on 14 September 2017. During the course of its</w:t>
      </w:r>
      <w:r w:rsidR="004309EA">
        <w:rPr>
          <w:sz w:val="22"/>
          <w:szCs w:val="22"/>
        </w:rPr>
        <w:t xml:space="preserve"> </w:t>
      </w:r>
      <w:proofErr w:type="gramStart"/>
      <w:r w:rsidRPr="006A4C39">
        <w:rPr>
          <w:sz w:val="22"/>
          <w:szCs w:val="22"/>
        </w:rPr>
        <w:t>investigations</w:t>
      </w:r>
      <w:proofErr w:type="gramEnd"/>
      <w:r w:rsidRPr="006A4C39">
        <w:rPr>
          <w:sz w:val="22"/>
          <w:szCs w:val="22"/>
        </w:rPr>
        <w:t xml:space="preserve"> it disclosed over 300,000 documents to 646 Core Participants,</w:t>
      </w:r>
      <w:r w:rsidR="004309EA">
        <w:rPr>
          <w:sz w:val="22"/>
          <w:szCs w:val="22"/>
        </w:rPr>
        <w:t xml:space="preserve"> </w:t>
      </w:r>
      <w:r w:rsidRPr="006A4C39">
        <w:rPr>
          <w:sz w:val="22"/>
          <w:szCs w:val="22"/>
        </w:rPr>
        <w:t>obtained over 1500 witness statements and sat for more than 300 days, most of</w:t>
      </w:r>
      <w:r w:rsidR="004309EA">
        <w:rPr>
          <w:sz w:val="22"/>
          <w:szCs w:val="22"/>
        </w:rPr>
        <w:t xml:space="preserve"> </w:t>
      </w:r>
      <w:r w:rsidRPr="006A4C39">
        <w:rPr>
          <w:sz w:val="22"/>
          <w:szCs w:val="22"/>
        </w:rPr>
        <w:t>which were devoted to taking evidence from a wide range of factual and expert</w:t>
      </w:r>
      <w:r w:rsidR="004309EA">
        <w:rPr>
          <w:sz w:val="22"/>
          <w:szCs w:val="22"/>
        </w:rPr>
        <w:t xml:space="preserve"> </w:t>
      </w:r>
      <w:r w:rsidRPr="006A4C39">
        <w:rPr>
          <w:sz w:val="22"/>
          <w:szCs w:val="22"/>
        </w:rPr>
        <w:t>witnesses.</w:t>
      </w:r>
    </w:p>
    <w:p w14:paraId="47CA2416" w14:textId="246F03FA" w:rsidR="006A4C39" w:rsidRPr="006A4C39" w:rsidRDefault="006A4C39" w:rsidP="004309EA">
      <w:pPr>
        <w:spacing w:after="120"/>
        <w:rPr>
          <w:sz w:val="22"/>
          <w:szCs w:val="22"/>
        </w:rPr>
      </w:pPr>
      <w:r w:rsidRPr="006A4C39">
        <w:rPr>
          <w:sz w:val="22"/>
          <w:szCs w:val="22"/>
        </w:rPr>
        <w:t>NOTES</w:t>
      </w:r>
    </w:p>
    <w:p w14:paraId="65ACB985" w14:textId="51E3EC76" w:rsidR="004309EA" w:rsidRDefault="006A4C39" w:rsidP="004309EA">
      <w:pPr>
        <w:spacing w:after="120"/>
        <w:rPr>
          <w:sz w:val="22"/>
          <w:szCs w:val="22"/>
        </w:rPr>
      </w:pPr>
      <w:r w:rsidRPr="006A4C39">
        <w:rPr>
          <w:sz w:val="22"/>
          <w:szCs w:val="22"/>
        </w:rPr>
        <w:t>Inquiry Chairman: The Rt Hon Sir Martin Moore-Bick</w:t>
      </w:r>
      <w:r w:rsidR="004309EA">
        <w:rPr>
          <w:sz w:val="22"/>
          <w:szCs w:val="22"/>
        </w:rPr>
        <w:t xml:space="preserve">, </w:t>
      </w:r>
      <w:r w:rsidRPr="006A4C39">
        <w:rPr>
          <w:sz w:val="22"/>
          <w:szCs w:val="22"/>
        </w:rPr>
        <w:t xml:space="preserve">Panel Members: </w:t>
      </w:r>
      <w:proofErr w:type="spellStart"/>
      <w:r w:rsidRPr="006A4C39">
        <w:rPr>
          <w:sz w:val="22"/>
          <w:szCs w:val="22"/>
        </w:rPr>
        <w:t>Thouria</w:t>
      </w:r>
      <w:proofErr w:type="spellEnd"/>
      <w:r w:rsidRPr="006A4C39">
        <w:rPr>
          <w:sz w:val="22"/>
          <w:szCs w:val="22"/>
        </w:rPr>
        <w:t xml:space="preserve"> </w:t>
      </w:r>
      <w:proofErr w:type="spellStart"/>
      <w:r w:rsidRPr="006A4C39">
        <w:rPr>
          <w:sz w:val="22"/>
          <w:szCs w:val="22"/>
        </w:rPr>
        <w:t>Istephan</w:t>
      </w:r>
      <w:proofErr w:type="spellEnd"/>
      <w:r w:rsidRPr="006A4C39">
        <w:rPr>
          <w:sz w:val="22"/>
          <w:szCs w:val="22"/>
        </w:rPr>
        <w:t xml:space="preserve"> and Ali Akbor OBE</w:t>
      </w:r>
    </w:p>
    <w:p w14:paraId="24EEE39C" w14:textId="34AA3A5E" w:rsidR="006A4C39" w:rsidRPr="00393973" w:rsidRDefault="006A4C39" w:rsidP="004309EA">
      <w:pPr>
        <w:spacing w:after="120"/>
        <w:rPr>
          <w:sz w:val="22"/>
          <w:szCs w:val="22"/>
        </w:rPr>
      </w:pPr>
      <w:r w:rsidRPr="006A4C39">
        <w:rPr>
          <w:sz w:val="22"/>
          <w:szCs w:val="22"/>
        </w:rPr>
        <w:t>The Inquiry report can be found</w:t>
      </w:r>
      <w:r w:rsidR="004309EA">
        <w:rPr>
          <w:sz w:val="22"/>
          <w:szCs w:val="22"/>
        </w:rPr>
        <w:t xml:space="preserve"> </w:t>
      </w:r>
      <w:hyperlink r:id="rId8" w:history="1">
        <w:r w:rsidRPr="006A4C39">
          <w:rPr>
            <w:rStyle w:val="Hyperlink"/>
            <w:sz w:val="22"/>
            <w:szCs w:val="22"/>
          </w:rPr>
          <w:t>here</w:t>
        </w:r>
      </w:hyperlink>
      <w:r w:rsidR="004309EA">
        <w:rPr>
          <w:sz w:val="22"/>
          <w:szCs w:val="22"/>
        </w:rPr>
        <w:t xml:space="preserve"> and t</w:t>
      </w:r>
      <w:r w:rsidRPr="006A4C39">
        <w:rPr>
          <w:sz w:val="22"/>
          <w:szCs w:val="22"/>
        </w:rPr>
        <w:t>he introduction to the Phase Two report by the Inquiry Chairman and Panel</w:t>
      </w:r>
      <w:r w:rsidR="004309EA">
        <w:rPr>
          <w:sz w:val="22"/>
          <w:szCs w:val="22"/>
        </w:rPr>
        <w:t xml:space="preserve"> </w:t>
      </w:r>
      <w:r w:rsidRPr="006A4C39">
        <w:rPr>
          <w:sz w:val="22"/>
          <w:szCs w:val="22"/>
        </w:rPr>
        <w:t>given at 11am on Wednesday 4th September at Dorland House, west London,</w:t>
      </w:r>
      <w:r w:rsidR="004309EA">
        <w:rPr>
          <w:sz w:val="22"/>
          <w:szCs w:val="22"/>
        </w:rPr>
        <w:t xml:space="preserve"> </w:t>
      </w:r>
      <w:r w:rsidRPr="006A4C39">
        <w:rPr>
          <w:sz w:val="22"/>
          <w:szCs w:val="22"/>
        </w:rPr>
        <w:t>can be found</w:t>
      </w:r>
      <w:r w:rsidR="004309EA">
        <w:rPr>
          <w:sz w:val="22"/>
          <w:szCs w:val="22"/>
        </w:rPr>
        <w:t xml:space="preserve"> </w:t>
      </w:r>
      <w:hyperlink r:id="rId9" w:history="1">
        <w:r w:rsidRPr="006A4C39">
          <w:rPr>
            <w:rStyle w:val="Hyperlink"/>
            <w:sz w:val="22"/>
            <w:szCs w:val="22"/>
          </w:rPr>
          <w:t>here</w:t>
        </w:r>
      </w:hyperlink>
    </w:p>
    <w:sectPr w:rsidR="006A4C39" w:rsidRPr="003939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F1D9C" w14:textId="77777777" w:rsidR="00545A0C" w:rsidRDefault="00545A0C" w:rsidP="00545A0C">
      <w:pPr>
        <w:spacing w:after="0" w:line="240" w:lineRule="auto"/>
      </w:pPr>
      <w:r>
        <w:separator/>
      </w:r>
    </w:p>
  </w:endnote>
  <w:endnote w:type="continuationSeparator" w:id="0">
    <w:p w14:paraId="573992A7" w14:textId="77777777" w:rsidR="00545A0C" w:rsidRDefault="00545A0C" w:rsidP="0054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32732" w14:textId="77777777" w:rsidR="00545A0C" w:rsidRDefault="00545A0C" w:rsidP="00545A0C">
      <w:pPr>
        <w:spacing w:after="0" w:line="240" w:lineRule="auto"/>
      </w:pPr>
      <w:r>
        <w:separator/>
      </w:r>
    </w:p>
  </w:footnote>
  <w:footnote w:type="continuationSeparator" w:id="0">
    <w:p w14:paraId="02BFD1DA" w14:textId="77777777" w:rsidR="00545A0C" w:rsidRDefault="00545A0C" w:rsidP="00545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AF6"/>
    <w:multiLevelType w:val="hybridMultilevel"/>
    <w:tmpl w:val="F730A9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D9100C"/>
    <w:multiLevelType w:val="hybridMultilevel"/>
    <w:tmpl w:val="C00E8F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9D6CF2"/>
    <w:multiLevelType w:val="hybridMultilevel"/>
    <w:tmpl w:val="F8BC10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A6F00"/>
    <w:multiLevelType w:val="hybridMultilevel"/>
    <w:tmpl w:val="26B4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F35C6"/>
    <w:multiLevelType w:val="hybridMultilevel"/>
    <w:tmpl w:val="CD3AD5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955B01"/>
    <w:multiLevelType w:val="hybridMultilevel"/>
    <w:tmpl w:val="48F415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DB4DE5"/>
    <w:multiLevelType w:val="hybridMultilevel"/>
    <w:tmpl w:val="BEDCA6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A4005B"/>
    <w:multiLevelType w:val="hybridMultilevel"/>
    <w:tmpl w:val="740692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AC237B"/>
    <w:multiLevelType w:val="hybridMultilevel"/>
    <w:tmpl w:val="977AC864"/>
    <w:lvl w:ilvl="0" w:tplc="95648B9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D131B8"/>
    <w:multiLevelType w:val="hybridMultilevel"/>
    <w:tmpl w:val="2E3655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757B84"/>
    <w:multiLevelType w:val="hybridMultilevel"/>
    <w:tmpl w:val="95C893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8433D6"/>
    <w:multiLevelType w:val="hybridMultilevel"/>
    <w:tmpl w:val="C5DC42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AF29F3"/>
    <w:multiLevelType w:val="hybridMultilevel"/>
    <w:tmpl w:val="0930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C12F4"/>
    <w:multiLevelType w:val="hybridMultilevel"/>
    <w:tmpl w:val="D8E20FD6"/>
    <w:lvl w:ilvl="0" w:tplc="F746D3E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8252778">
    <w:abstractNumId w:val="3"/>
  </w:num>
  <w:num w:numId="2" w16cid:durableId="365566710">
    <w:abstractNumId w:val="12"/>
  </w:num>
  <w:num w:numId="3" w16cid:durableId="1923685243">
    <w:abstractNumId w:val="2"/>
  </w:num>
  <w:num w:numId="4" w16cid:durableId="962806296">
    <w:abstractNumId w:val="8"/>
  </w:num>
  <w:num w:numId="5" w16cid:durableId="1360619511">
    <w:abstractNumId w:val="7"/>
  </w:num>
  <w:num w:numId="6" w16cid:durableId="1576932073">
    <w:abstractNumId w:val="5"/>
  </w:num>
  <w:num w:numId="7" w16cid:durableId="757336256">
    <w:abstractNumId w:val="6"/>
  </w:num>
  <w:num w:numId="8" w16cid:durableId="1088232569">
    <w:abstractNumId w:val="13"/>
  </w:num>
  <w:num w:numId="9" w16cid:durableId="2079402340">
    <w:abstractNumId w:val="9"/>
  </w:num>
  <w:num w:numId="10" w16cid:durableId="2047217964">
    <w:abstractNumId w:val="0"/>
  </w:num>
  <w:num w:numId="11" w16cid:durableId="1275091052">
    <w:abstractNumId w:val="11"/>
  </w:num>
  <w:num w:numId="12" w16cid:durableId="1227253815">
    <w:abstractNumId w:val="10"/>
  </w:num>
  <w:num w:numId="13" w16cid:durableId="1356537800">
    <w:abstractNumId w:val="4"/>
  </w:num>
  <w:num w:numId="14" w16cid:durableId="2054570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39"/>
    <w:rsid w:val="00227160"/>
    <w:rsid w:val="00393973"/>
    <w:rsid w:val="004309EA"/>
    <w:rsid w:val="00545A0C"/>
    <w:rsid w:val="006A4C39"/>
    <w:rsid w:val="00AE38F9"/>
    <w:rsid w:val="00DC7E2F"/>
    <w:rsid w:val="00E93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287E"/>
  <w15:chartTrackingRefBased/>
  <w15:docId w15:val="{6BB4FF82-8BE6-47AA-85AE-4AC97124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C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C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C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C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C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C39"/>
    <w:rPr>
      <w:rFonts w:eastAsiaTheme="majorEastAsia" w:cstheme="majorBidi"/>
      <w:color w:val="272727" w:themeColor="text1" w:themeTint="D8"/>
    </w:rPr>
  </w:style>
  <w:style w:type="paragraph" w:styleId="Title">
    <w:name w:val="Title"/>
    <w:basedOn w:val="Normal"/>
    <w:next w:val="Normal"/>
    <w:link w:val="TitleChar"/>
    <w:uiPriority w:val="10"/>
    <w:qFormat/>
    <w:rsid w:val="006A4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C39"/>
    <w:pPr>
      <w:spacing w:before="160"/>
      <w:jc w:val="center"/>
    </w:pPr>
    <w:rPr>
      <w:i/>
      <w:iCs/>
      <w:color w:val="404040" w:themeColor="text1" w:themeTint="BF"/>
    </w:rPr>
  </w:style>
  <w:style w:type="character" w:customStyle="1" w:styleId="QuoteChar">
    <w:name w:val="Quote Char"/>
    <w:basedOn w:val="DefaultParagraphFont"/>
    <w:link w:val="Quote"/>
    <w:uiPriority w:val="29"/>
    <w:rsid w:val="006A4C39"/>
    <w:rPr>
      <w:i/>
      <w:iCs/>
      <w:color w:val="404040" w:themeColor="text1" w:themeTint="BF"/>
    </w:rPr>
  </w:style>
  <w:style w:type="paragraph" w:styleId="ListParagraph">
    <w:name w:val="List Paragraph"/>
    <w:basedOn w:val="Normal"/>
    <w:uiPriority w:val="34"/>
    <w:qFormat/>
    <w:rsid w:val="006A4C39"/>
    <w:pPr>
      <w:ind w:left="720"/>
      <w:contextualSpacing/>
    </w:pPr>
  </w:style>
  <w:style w:type="character" w:styleId="IntenseEmphasis">
    <w:name w:val="Intense Emphasis"/>
    <w:basedOn w:val="DefaultParagraphFont"/>
    <w:uiPriority w:val="21"/>
    <w:qFormat/>
    <w:rsid w:val="006A4C39"/>
    <w:rPr>
      <w:i/>
      <w:iCs/>
      <w:color w:val="0F4761" w:themeColor="accent1" w:themeShade="BF"/>
    </w:rPr>
  </w:style>
  <w:style w:type="paragraph" w:styleId="IntenseQuote">
    <w:name w:val="Intense Quote"/>
    <w:basedOn w:val="Normal"/>
    <w:next w:val="Normal"/>
    <w:link w:val="IntenseQuoteChar"/>
    <w:uiPriority w:val="30"/>
    <w:qFormat/>
    <w:rsid w:val="006A4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C39"/>
    <w:rPr>
      <w:i/>
      <w:iCs/>
      <w:color w:val="0F4761" w:themeColor="accent1" w:themeShade="BF"/>
    </w:rPr>
  </w:style>
  <w:style w:type="character" w:styleId="IntenseReference">
    <w:name w:val="Intense Reference"/>
    <w:basedOn w:val="DefaultParagraphFont"/>
    <w:uiPriority w:val="32"/>
    <w:qFormat/>
    <w:rsid w:val="006A4C39"/>
    <w:rPr>
      <w:b/>
      <w:bCs/>
      <w:smallCaps/>
      <w:color w:val="0F4761" w:themeColor="accent1" w:themeShade="BF"/>
      <w:spacing w:val="5"/>
    </w:rPr>
  </w:style>
  <w:style w:type="character" w:styleId="Hyperlink">
    <w:name w:val="Hyperlink"/>
    <w:basedOn w:val="DefaultParagraphFont"/>
    <w:uiPriority w:val="99"/>
    <w:unhideWhenUsed/>
    <w:rsid w:val="006A4C39"/>
    <w:rPr>
      <w:color w:val="467886" w:themeColor="hyperlink"/>
      <w:u w:val="single"/>
    </w:rPr>
  </w:style>
  <w:style w:type="character" w:styleId="UnresolvedMention">
    <w:name w:val="Unresolved Mention"/>
    <w:basedOn w:val="DefaultParagraphFont"/>
    <w:uiPriority w:val="99"/>
    <w:semiHidden/>
    <w:unhideWhenUsed/>
    <w:rsid w:val="006A4C39"/>
    <w:rPr>
      <w:color w:val="605E5C"/>
      <w:shd w:val="clear" w:color="auto" w:fill="E1DFDD"/>
    </w:rPr>
  </w:style>
  <w:style w:type="paragraph" w:styleId="FootnoteText">
    <w:name w:val="footnote text"/>
    <w:basedOn w:val="Normal"/>
    <w:link w:val="FootnoteTextChar"/>
    <w:uiPriority w:val="99"/>
    <w:semiHidden/>
    <w:unhideWhenUsed/>
    <w:rsid w:val="00545A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A0C"/>
    <w:rPr>
      <w:sz w:val="20"/>
      <w:szCs w:val="20"/>
    </w:rPr>
  </w:style>
  <w:style w:type="character" w:styleId="FootnoteReference">
    <w:name w:val="footnote reference"/>
    <w:basedOn w:val="DefaultParagraphFont"/>
    <w:uiPriority w:val="99"/>
    <w:semiHidden/>
    <w:unhideWhenUsed/>
    <w:rsid w:val="00545A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83629">
      <w:bodyDiv w:val="1"/>
      <w:marLeft w:val="0"/>
      <w:marRight w:val="0"/>
      <w:marTop w:val="0"/>
      <w:marBottom w:val="0"/>
      <w:divBdr>
        <w:top w:val="none" w:sz="0" w:space="0" w:color="auto"/>
        <w:left w:val="none" w:sz="0" w:space="0" w:color="auto"/>
        <w:bottom w:val="none" w:sz="0" w:space="0" w:color="auto"/>
        <w:right w:val="none" w:sz="0" w:space="0" w:color="auto"/>
      </w:divBdr>
      <w:divsChild>
        <w:div w:id="1153719768">
          <w:marLeft w:val="0"/>
          <w:marRight w:val="0"/>
          <w:marTop w:val="0"/>
          <w:marBottom w:val="0"/>
          <w:divBdr>
            <w:top w:val="none" w:sz="0" w:space="0" w:color="auto"/>
            <w:left w:val="none" w:sz="0" w:space="0" w:color="auto"/>
            <w:bottom w:val="none" w:sz="0" w:space="0" w:color="auto"/>
            <w:right w:val="none" w:sz="0" w:space="0" w:color="auto"/>
          </w:divBdr>
          <w:divsChild>
            <w:div w:id="1074546288">
              <w:marLeft w:val="0"/>
              <w:marRight w:val="0"/>
              <w:marTop w:val="0"/>
              <w:marBottom w:val="0"/>
              <w:divBdr>
                <w:top w:val="none" w:sz="0" w:space="0" w:color="auto"/>
                <w:left w:val="none" w:sz="0" w:space="0" w:color="auto"/>
                <w:bottom w:val="none" w:sz="0" w:space="0" w:color="auto"/>
                <w:right w:val="none" w:sz="0" w:space="0" w:color="auto"/>
              </w:divBdr>
              <w:divsChild>
                <w:div w:id="1869876153">
                  <w:marLeft w:val="0"/>
                  <w:marRight w:val="0"/>
                  <w:marTop w:val="0"/>
                  <w:marBottom w:val="0"/>
                  <w:divBdr>
                    <w:top w:val="none" w:sz="0" w:space="0" w:color="auto"/>
                    <w:left w:val="none" w:sz="0" w:space="0" w:color="auto"/>
                    <w:bottom w:val="none" w:sz="0" w:space="0" w:color="auto"/>
                    <w:right w:val="none" w:sz="0" w:space="0" w:color="auto"/>
                  </w:divBdr>
                  <w:divsChild>
                    <w:div w:id="1009018323">
                      <w:marLeft w:val="0"/>
                      <w:marRight w:val="0"/>
                      <w:marTop w:val="0"/>
                      <w:marBottom w:val="0"/>
                      <w:divBdr>
                        <w:top w:val="none" w:sz="0" w:space="0" w:color="auto"/>
                        <w:left w:val="none" w:sz="0" w:space="0" w:color="auto"/>
                        <w:bottom w:val="none" w:sz="0" w:space="0" w:color="auto"/>
                        <w:right w:val="none" w:sz="0" w:space="0" w:color="auto"/>
                      </w:divBdr>
                      <w:divsChild>
                        <w:div w:id="1351486163">
                          <w:marLeft w:val="0"/>
                          <w:marRight w:val="0"/>
                          <w:marTop w:val="0"/>
                          <w:marBottom w:val="0"/>
                          <w:divBdr>
                            <w:top w:val="none" w:sz="0" w:space="0" w:color="auto"/>
                            <w:left w:val="none" w:sz="0" w:space="0" w:color="auto"/>
                            <w:bottom w:val="none" w:sz="0" w:space="0" w:color="auto"/>
                            <w:right w:val="none" w:sz="0" w:space="0" w:color="auto"/>
                          </w:divBdr>
                          <w:divsChild>
                            <w:div w:id="9019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377361">
          <w:marLeft w:val="0"/>
          <w:marRight w:val="0"/>
          <w:marTop w:val="0"/>
          <w:marBottom w:val="0"/>
          <w:divBdr>
            <w:top w:val="none" w:sz="0" w:space="0" w:color="auto"/>
            <w:left w:val="none" w:sz="0" w:space="0" w:color="auto"/>
            <w:bottom w:val="none" w:sz="0" w:space="0" w:color="auto"/>
            <w:right w:val="none" w:sz="0" w:space="0" w:color="auto"/>
          </w:divBdr>
          <w:divsChild>
            <w:div w:id="1358237354">
              <w:marLeft w:val="0"/>
              <w:marRight w:val="0"/>
              <w:marTop w:val="0"/>
              <w:marBottom w:val="0"/>
              <w:divBdr>
                <w:top w:val="none" w:sz="0" w:space="0" w:color="auto"/>
                <w:left w:val="none" w:sz="0" w:space="0" w:color="auto"/>
                <w:bottom w:val="none" w:sz="0" w:space="0" w:color="auto"/>
                <w:right w:val="none" w:sz="0" w:space="0" w:color="auto"/>
              </w:divBdr>
              <w:divsChild>
                <w:div w:id="1702167524">
                  <w:marLeft w:val="0"/>
                  <w:marRight w:val="0"/>
                  <w:marTop w:val="0"/>
                  <w:marBottom w:val="0"/>
                  <w:divBdr>
                    <w:top w:val="none" w:sz="0" w:space="0" w:color="auto"/>
                    <w:left w:val="none" w:sz="0" w:space="0" w:color="auto"/>
                    <w:bottom w:val="none" w:sz="0" w:space="0" w:color="auto"/>
                    <w:right w:val="none" w:sz="0" w:space="0" w:color="auto"/>
                  </w:divBdr>
                  <w:divsChild>
                    <w:div w:id="1785347072">
                      <w:marLeft w:val="0"/>
                      <w:marRight w:val="0"/>
                      <w:marTop w:val="0"/>
                      <w:marBottom w:val="0"/>
                      <w:divBdr>
                        <w:top w:val="none" w:sz="0" w:space="0" w:color="auto"/>
                        <w:left w:val="none" w:sz="0" w:space="0" w:color="auto"/>
                        <w:bottom w:val="none" w:sz="0" w:space="0" w:color="auto"/>
                        <w:right w:val="none" w:sz="0" w:space="0" w:color="auto"/>
                      </w:divBdr>
                      <w:divsChild>
                        <w:div w:id="1095980851">
                          <w:marLeft w:val="0"/>
                          <w:marRight w:val="0"/>
                          <w:marTop w:val="0"/>
                          <w:marBottom w:val="0"/>
                          <w:divBdr>
                            <w:top w:val="none" w:sz="0" w:space="0" w:color="auto"/>
                            <w:left w:val="none" w:sz="0" w:space="0" w:color="auto"/>
                            <w:bottom w:val="none" w:sz="0" w:space="0" w:color="auto"/>
                            <w:right w:val="none" w:sz="0" w:space="0" w:color="auto"/>
                          </w:divBdr>
                          <w:divsChild>
                            <w:div w:id="1479953458">
                              <w:marLeft w:val="0"/>
                              <w:marRight w:val="0"/>
                              <w:marTop w:val="0"/>
                              <w:marBottom w:val="0"/>
                              <w:divBdr>
                                <w:top w:val="none" w:sz="0" w:space="0" w:color="auto"/>
                                <w:left w:val="none" w:sz="0" w:space="0" w:color="auto"/>
                                <w:bottom w:val="none" w:sz="0" w:space="0" w:color="auto"/>
                                <w:right w:val="none" w:sz="0" w:space="0" w:color="auto"/>
                              </w:divBdr>
                              <w:divsChild>
                                <w:div w:id="597830201">
                                  <w:marLeft w:val="0"/>
                                  <w:marRight w:val="0"/>
                                  <w:marTop w:val="0"/>
                                  <w:marBottom w:val="0"/>
                                  <w:divBdr>
                                    <w:top w:val="none" w:sz="0" w:space="0" w:color="auto"/>
                                    <w:left w:val="none" w:sz="0" w:space="0" w:color="auto"/>
                                    <w:bottom w:val="none" w:sz="0" w:space="0" w:color="auto"/>
                                    <w:right w:val="none" w:sz="0" w:space="0" w:color="auto"/>
                                  </w:divBdr>
                                  <w:divsChild>
                                    <w:div w:id="1278290864">
                                      <w:marLeft w:val="0"/>
                                      <w:marRight w:val="0"/>
                                      <w:marTop w:val="0"/>
                                      <w:marBottom w:val="0"/>
                                      <w:divBdr>
                                        <w:top w:val="none" w:sz="0" w:space="0" w:color="auto"/>
                                        <w:left w:val="none" w:sz="0" w:space="0" w:color="auto"/>
                                        <w:bottom w:val="none" w:sz="0" w:space="0" w:color="auto"/>
                                        <w:right w:val="none" w:sz="0" w:space="0" w:color="auto"/>
                                      </w:divBdr>
                                    </w:div>
                                    <w:div w:id="5975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869989">
      <w:bodyDiv w:val="1"/>
      <w:marLeft w:val="0"/>
      <w:marRight w:val="0"/>
      <w:marTop w:val="0"/>
      <w:marBottom w:val="0"/>
      <w:divBdr>
        <w:top w:val="none" w:sz="0" w:space="0" w:color="auto"/>
        <w:left w:val="none" w:sz="0" w:space="0" w:color="auto"/>
        <w:bottom w:val="none" w:sz="0" w:space="0" w:color="auto"/>
        <w:right w:val="none" w:sz="0" w:space="0" w:color="auto"/>
      </w:divBdr>
      <w:divsChild>
        <w:div w:id="157620099">
          <w:marLeft w:val="0"/>
          <w:marRight w:val="0"/>
          <w:marTop w:val="0"/>
          <w:marBottom w:val="0"/>
          <w:divBdr>
            <w:top w:val="none" w:sz="0" w:space="0" w:color="auto"/>
            <w:left w:val="none" w:sz="0" w:space="0" w:color="auto"/>
            <w:bottom w:val="none" w:sz="0" w:space="0" w:color="auto"/>
            <w:right w:val="none" w:sz="0" w:space="0" w:color="auto"/>
          </w:divBdr>
          <w:divsChild>
            <w:div w:id="497963000">
              <w:marLeft w:val="0"/>
              <w:marRight w:val="0"/>
              <w:marTop w:val="0"/>
              <w:marBottom w:val="0"/>
              <w:divBdr>
                <w:top w:val="none" w:sz="0" w:space="0" w:color="auto"/>
                <w:left w:val="none" w:sz="0" w:space="0" w:color="auto"/>
                <w:bottom w:val="none" w:sz="0" w:space="0" w:color="auto"/>
                <w:right w:val="none" w:sz="0" w:space="0" w:color="auto"/>
              </w:divBdr>
              <w:divsChild>
                <w:div w:id="1994917462">
                  <w:marLeft w:val="0"/>
                  <w:marRight w:val="0"/>
                  <w:marTop w:val="0"/>
                  <w:marBottom w:val="0"/>
                  <w:divBdr>
                    <w:top w:val="none" w:sz="0" w:space="0" w:color="auto"/>
                    <w:left w:val="none" w:sz="0" w:space="0" w:color="auto"/>
                    <w:bottom w:val="none" w:sz="0" w:space="0" w:color="auto"/>
                    <w:right w:val="none" w:sz="0" w:space="0" w:color="auto"/>
                  </w:divBdr>
                  <w:divsChild>
                    <w:div w:id="2078046036">
                      <w:marLeft w:val="0"/>
                      <w:marRight w:val="0"/>
                      <w:marTop w:val="0"/>
                      <w:marBottom w:val="0"/>
                      <w:divBdr>
                        <w:top w:val="none" w:sz="0" w:space="0" w:color="auto"/>
                        <w:left w:val="none" w:sz="0" w:space="0" w:color="auto"/>
                        <w:bottom w:val="none" w:sz="0" w:space="0" w:color="auto"/>
                        <w:right w:val="none" w:sz="0" w:space="0" w:color="auto"/>
                      </w:divBdr>
                      <w:divsChild>
                        <w:div w:id="533006336">
                          <w:marLeft w:val="0"/>
                          <w:marRight w:val="0"/>
                          <w:marTop w:val="0"/>
                          <w:marBottom w:val="0"/>
                          <w:divBdr>
                            <w:top w:val="none" w:sz="0" w:space="0" w:color="auto"/>
                            <w:left w:val="none" w:sz="0" w:space="0" w:color="auto"/>
                            <w:bottom w:val="none" w:sz="0" w:space="0" w:color="auto"/>
                            <w:right w:val="none" w:sz="0" w:space="0" w:color="auto"/>
                          </w:divBdr>
                          <w:divsChild>
                            <w:div w:id="13484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84304">
          <w:marLeft w:val="0"/>
          <w:marRight w:val="0"/>
          <w:marTop w:val="0"/>
          <w:marBottom w:val="0"/>
          <w:divBdr>
            <w:top w:val="none" w:sz="0" w:space="0" w:color="auto"/>
            <w:left w:val="none" w:sz="0" w:space="0" w:color="auto"/>
            <w:bottom w:val="none" w:sz="0" w:space="0" w:color="auto"/>
            <w:right w:val="none" w:sz="0" w:space="0" w:color="auto"/>
          </w:divBdr>
          <w:divsChild>
            <w:div w:id="908884015">
              <w:marLeft w:val="0"/>
              <w:marRight w:val="0"/>
              <w:marTop w:val="0"/>
              <w:marBottom w:val="0"/>
              <w:divBdr>
                <w:top w:val="none" w:sz="0" w:space="0" w:color="auto"/>
                <w:left w:val="none" w:sz="0" w:space="0" w:color="auto"/>
                <w:bottom w:val="none" w:sz="0" w:space="0" w:color="auto"/>
                <w:right w:val="none" w:sz="0" w:space="0" w:color="auto"/>
              </w:divBdr>
              <w:divsChild>
                <w:div w:id="1569268219">
                  <w:marLeft w:val="0"/>
                  <w:marRight w:val="0"/>
                  <w:marTop w:val="0"/>
                  <w:marBottom w:val="0"/>
                  <w:divBdr>
                    <w:top w:val="none" w:sz="0" w:space="0" w:color="auto"/>
                    <w:left w:val="none" w:sz="0" w:space="0" w:color="auto"/>
                    <w:bottom w:val="none" w:sz="0" w:space="0" w:color="auto"/>
                    <w:right w:val="none" w:sz="0" w:space="0" w:color="auto"/>
                  </w:divBdr>
                  <w:divsChild>
                    <w:div w:id="877007088">
                      <w:marLeft w:val="0"/>
                      <w:marRight w:val="0"/>
                      <w:marTop w:val="0"/>
                      <w:marBottom w:val="0"/>
                      <w:divBdr>
                        <w:top w:val="none" w:sz="0" w:space="0" w:color="auto"/>
                        <w:left w:val="none" w:sz="0" w:space="0" w:color="auto"/>
                        <w:bottom w:val="none" w:sz="0" w:space="0" w:color="auto"/>
                        <w:right w:val="none" w:sz="0" w:space="0" w:color="auto"/>
                      </w:divBdr>
                      <w:divsChild>
                        <w:div w:id="961158391">
                          <w:marLeft w:val="0"/>
                          <w:marRight w:val="0"/>
                          <w:marTop w:val="0"/>
                          <w:marBottom w:val="0"/>
                          <w:divBdr>
                            <w:top w:val="none" w:sz="0" w:space="0" w:color="auto"/>
                            <w:left w:val="none" w:sz="0" w:space="0" w:color="auto"/>
                            <w:bottom w:val="none" w:sz="0" w:space="0" w:color="auto"/>
                            <w:right w:val="none" w:sz="0" w:space="0" w:color="auto"/>
                          </w:divBdr>
                          <w:divsChild>
                            <w:div w:id="761414595">
                              <w:marLeft w:val="0"/>
                              <w:marRight w:val="0"/>
                              <w:marTop w:val="0"/>
                              <w:marBottom w:val="0"/>
                              <w:divBdr>
                                <w:top w:val="none" w:sz="0" w:space="0" w:color="auto"/>
                                <w:left w:val="none" w:sz="0" w:space="0" w:color="auto"/>
                                <w:bottom w:val="none" w:sz="0" w:space="0" w:color="auto"/>
                                <w:right w:val="none" w:sz="0" w:space="0" w:color="auto"/>
                              </w:divBdr>
                              <w:divsChild>
                                <w:div w:id="1991594828">
                                  <w:marLeft w:val="0"/>
                                  <w:marRight w:val="0"/>
                                  <w:marTop w:val="0"/>
                                  <w:marBottom w:val="0"/>
                                  <w:divBdr>
                                    <w:top w:val="none" w:sz="0" w:space="0" w:color="auto"/>
                                    <w:left w:val="none" w:sz="0" w:space="0" w:color="auto"/>
                                    <w:bottom w:val="none" w:sz="0" w:space="0" w:color="auto"/>
                                    <w:right w:val="none" w:sz="0" w:space="0" w:color="auto"/>
                                  </w:divBdr>
                                  <w:divsChild>
                                    <w:div w:id="31812048">
                                      <w:marLeft w:val="0"/>
                                      <w:marRight w:val="0"/>
                                      <w:marTop w:val="0"/>
                                      <w:marBottom w:val="0"/>
                                      <w:divBdr>
                                        <w:top w:val="none" w:sz="0" w:space="0" w:color="auto"/>
                                        <w:left w:val="none" w:sz="0" w:space="0" w:color="auto"/>
                                        <w:bottom w:val="none" w:sz="0" w:space="0" w:color="auto"/>
                                        <w:right w:val="none" w:sz="0" w:space="0" w:color="auto"/>
                                      </w:divBdr>
                                    </w:div>
                                    <w:div w:id="19749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nfelltowerinquiry.org.uk/phase-2-repo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renfelltowerinquiry.org.uk/news/statement-publication-phase-2-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B038-34E8-4671-9E88-6CAC45CE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BEECROFT</dc:creator>
  <cp:keywords/>
  <dc:description/>
  <cp:lastModifiedBy>SUE BEECROFT</cp:lastModifiedBy>
  <cp:revision>2</cp:revision>
  <dcterms:created xsi:type="dcterms:W3CDTF">2024-09-05T10:53:00Z</dcterms:created>
  <dcterms:modified xsi:type="dcterms:W3CDTF">2024-09-05T10:53:00Z</dcterms:modified>
</cp:coreProperties>
</file>