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0F08" w14:textId="6D29FFEC" w:rsidR="0079189B" w:rsidRPr="002F6C9D" w:rsidRDefault="0079189B" w:rsidP="007918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79189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Sub-regional Homeless </w:t>
      </w:r>
      <w:r w:rsidRPr="002F6C9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Leads </w:t>
      </w:r>
    </w:p>
    <w:p w14:paraId="1DE2A16D" w14:textId="350D4B5C" w:rsidR="0079189B" w:rsidRPr="0079189B" w:rsidRDefault="0079189B" w:rsidP="007918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79189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Strateg</w:t>
      </w:r>
      <w:r w:rsidRPr="002F6C9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ic</w:t>
      </w:r>
      <w:r w:rsidRPr="0079189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Group</w:t>
      </w:r>
    </w:p>
    <w:p w14:paraId="1A5796DC" w14:textId="77777777" w:rsidR="0079189B" w:rsidRPr="0079189B" w:rsidRDefault="0079189B" w:rsidP="0079189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0752804E" w14:textId="5AA6E558" w:rsidR="0079189B" w:rsidRPr="0079189B" w:rsidRDefault="0079189B" w:rsidP="0079189B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2F6C9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Objectives and </w:t>
      </w:r>
      <w:r w:rsidR="00AC74B1" w:rsidRPr="002F6C9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A</w:t>
      </w:r>
      <w:r w:rsidRPr="002F6C9D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ctions for 2025</w:t>
      </w:r>
    </w:p>
    <w:p w14:paraId="3956DBDE" w14:textId="77777777" w:rsidR="0079189B" w:rsidRPr="0079189B" w:rsidRDefault="0079189B" w:rsidP="0079189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3D93A3" w14:textId="6A6CC7E2" w:rsidR="0079189B" w:rsidRPr="002F6C9D" w:rsidRDefault="0079189B" w:rsidP="0079189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F6C9D">
        <w:rPr>
          <w:rFonts w:ascii="Arial" w:eastAsia="Times New Roman" w:hAnsi="Arial" w:cs="Arial"/>
          <w:kern w:val="0"/>
          <w14:ligatures w14:val="none"/>
        </w:rPr>
        <w:t xml:space="preserve">The objectives of the </w:t>
      </w:r>
      <w:r w:rsidR="0001420E">
        <w:rPr>
          <w:rFonts w:ascii="Arial" w:eastAsia="Times New Roman" w:hAnsi="Arial" w:cs="Arial"/>
          <w:kern w:val="0"/>
          <w14:ligatures w14:val="none"/>
        </w:rPr>
        <w:t>Sub-Regional (</w:t>
      </w:r>
      <w:r w:rsidRPr="002F6C9D">
        <w:rPr>
          <w:rFonts w:ascii="Arial" w:eastAsia="Times New Roman" w:hAnsi="Arial" w:cs="Arial"/>
          <w:kern w:val="0"/>
          <w14:ligatures w14:val="none"/>
        </w:rPr>
        <w:t>Cambridgeshire, Peterborough and West Suffolk</w:t>
      </w:r>
      <w:r w:rsidR="0001420E">
        <w:rPr>
          <w:rFonts w:ascii="Arial" w:eastAsia="Times New Roman" w:hAnsi="Arial" w:cs="Arial"/>
          <w:kern w:val="0"/>
          <w14:ligatures w14:val="none"/>
        </w:rPr>
        <w:t>)</w:t>
      </w:r>
      <w:r w:rsidRPr="002F6C9D">
        <w:rPr>
          <w:rFonts w:ascii="Arial" w:eastAsia="Times New Roman" w:hAnsi="Arial" w:cs="Arial"/>
          <w:kern w:val="0"/>
          <w14:ligatures w14:val="none"/>
        </w:rPr>
        <w:t xml:space="preserve"> Homeless Leads group</w:t>
      </w:r>
      <w:r w:rsidR="0001420E">
        <w:rPr>
          <w:rFonts w:ascii="Arial" w:eastAsia="Times New Roman" w:hAnsi="Arial" w:cs="Arial"/>
          <w:kern w:val="0"/>
          <w14:ligatures w14:val="none"/>
        </w:rPr>
        <w:t xml:space="preserve"> are</w:t>
      </w:r>
      <w:r w:rsidRPr="002F6C9D">
        <w:rPr>
          <w:rFonts w:ascii="Arial" w:eastAsia="Times New Roman" w:hAnsi="Arial" w:cs="Arial"/>
          <w:kern w:val="0"/>
          <w14:ligatures w14:val="none"/>
        </w:rPr>
        <w:t xml:space="preserve"> to</w:t>
      </w:r>
      <w:r w:rsidR="00AC74B1" w:rsidRPr="002F6C9D">
        <w:rPr>
          <w:rFonts w:ascii="Arial" w:eastAsia="Times New Roman" w:hAnsi="Arial" w:cs="Arial"/>
          <w:kern w:val="0"/>
          <w14:ligatures w14:val="none"/>
        </w:rPr>
        <w:t>:</w:t>
      </w:r>
    </w:p>
    <w:p w14:paraId="00CB609D" w14:textId="77777777" w:rsidR="0079189B" w:rsidRPr="0079189B" w:rsidRDefault="0079189B" w:rsidP="0079189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546072F" w14:textId="77777777" w:rsidR="0079189B" w:rsidRDefault="0079189B" w:rsidP="007918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9189B">
        <w:rPr>
          <w:rFonts w:ascii="Arial" w:eastAsia="Times New Roman" w:hAnsi="Arial" w:cs="Arial"/>
          <w:kern w:val="0"/>
          <w14:ligatures w14:val="none"/>
        </w:rPr>
        <w:t>Jointly engage with other services to improve working practices affecting homelessness and the prevention of homelessness.</w:t>
      </w:r>
    </w:p>
    <w:p w14:paraId="1E44AE47" w14:textId="77777777" w:rsidR="0001420E" w:rsidRDefault="0001420E" w:rsidP="0001420E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3F3392B9" w14:textId="1BBC58B7" w:rsidR="0001420E" w:rsidRPr="00AD1ED3" w:rsidRDefault="0001420E" w:rsidP="00AD1ED3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D1ED3">
        <w:rPr>
          <w:rFonts w:ascii="Arial" w:eastAsia="Times New Roman" w:hAnsi="Arial" w:cs="Arial"/>
          <w:kern w:val="0"/>
          <w14:ligatures w14:val="none"/>
        </w:rPr>
        <w:t>Identify key and emerging issues linked to Homelessness/Housing Advice.</w:t>
      </w:r>
    </w:p>
    <w:p w14:paraId="3A8E46A1" w14:textId="77777777" w:rsidR="0079189B" w:rsidRPr="0079189B" w:rsidRDefault="0079189B" w:rsidP="0079189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94F2F3" w14:textId="77777777" w:rsidR="0079189B" w:rsidRPr="002F6C9D" w:rsidRDefault="0079189B" w:rsidP="007918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9189B">
        <w:rPr>
          <w:rFonts w:ascii="Arial" w:eastAsia="Times New Roman" w:hAnsi="Arial" w:cs="Arial"/>
          <w:kern w:val="0"/>
          <w14:ligatures w14:val="none"/>
        </w:rPr>
        <w:t xml:space="preserve">Monitor and provide input into linked groups and action plans </w:t>
      </w:r>
      <w:r w:rsidRPr="002F6C9D">
        <w:rPr>
          <w:rFonts w:ascii="Arial" w:eastAsia="Times New Roman" w:hAnsi="Arial" w:cs="Arial"/>
          <w:kern w:val="0"/>
          <w14:ligatures w14:val="none"/>
        </w:rPr>
        <w:t>such as Health and Wellbeing and Domestic Abuse strategies.</w:t>
      </w:r>
    </w:p>
    <w:p w14:paraId="615557FB" w14:textId="77777777" w:rsidR="00AC74B1" w:rsidRPr="0079189B" w:rsidRDefault="00AC74B1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9831323" w14:textId="61E3436F" w:rsidR="002F6C9D" w:rsidRPr="00222DA1" w:rsidRDefault="00AC74B1" w:rsidP="002F6C9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22DA1">
        <w:rPr>
          <w:rFonts w:ascii="Arial" w:eastAsia="Times New Roman" w:hAnsi="Arial" w:cs="Arial"/>
          <w:kern w:val="0"/>
          <w14:ligatures w14:val="none"/>
        </w:rPr>
        <w:t>Explore opportunities for joint working across the sub-region, developing opportunities for improving existing services</w:t>
      </w:r>
      <w:r w:rsidR="00222DA1" w:rsidRPr="00222DA1">
        <w:rPr>
          <w:rFonts w:ascii="Arial" w:eastAsia="Times New Roman" w:hAnsi="Arial" w:cs="Arial"/>
          <w:kern w:val="0"/>
          <w14:ligatures w14:val="none"/>
        </w:rPr>
        <w:t>.</w:t>
      </w:r>
    </w:p>
    <w:p w14:paraId="77D27003" w14:textId="77777777" w:rsidR="00222DA1" w:rsidRPr="00222DA1" w:rsidRDefault="00222DA1" w:rsidP="00222DA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84BD4B5" w14:textId="55721CAC" w:rsidR="002F6C9D" w:rsidRPr="00222DA1" w:rsidRDefault="002F6C9D" w:rsidP="002F6C9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22DA1">
        <w:rPr>
          <w:rFonts w:ascii="Arial" w:eastAsia="Times New Roman" w:hAnsi="Arial" w:cs="Arial"/>
          <w:kern w:val="0"/>
          <w14:ligatures w14:val="none"/>
        </w:rPr>
        <w:t>Share good practice</w:t>
      </w:r>
      <w:r w:rsidR="0001420E">
        <w:rPr>
          <w:rFonts w:ascii="Arial" w:eastAsia="Times New Roman" w:hAnsi="Arial" w:cs="Arial"/>
          <w:kern w:val="0"/>
          <w14:ligatures w14:val="none"/>
        </w:rPr>
        <w:t>.</w:t>
      </w:r>
    </w:p>
    <w:p w14:paraId="31D66511" w14:textId="6DD00D2E" w:rsidR="0079189B" w:rsidRPr="002F6C9D" w:rsidRDefault="0079189B">
      <w:pPr>
        <w:rPr>
          <w:rFonts w:ascii="Arial" w:hAnsi="Arial" w:cs="Arial"/>
        </w:rPr>
      </w:pPr>
    </w:p>
    <w:p w14:paraId="68F5DA08" w14:textId="425B37CA" w:rsidR="0079189B" w:rsidRPr="002F6C9D" w:rsidRDefault="0079189B">
      <w:pPr>
        <w:rPr>
          <w:rFonts w:ascii="Arial" w:hAnsi="Arial" w:cs="Arial"/>
        </w:rPr>
      </w:pPr>
      <w:r w:rsidRPr="002F6C9D">
        <w:rPr>
          <w:rFonts w:ascii="Arial" w:hAnsi="Arial" w:cs="Arial"/>
        </w:rPr>
        <w:t xml:space="preserve">It is recognised that each of the </w:t>
      </w:r>
      <w:r w:rsidR="0001420E">
        <w:rPr>
          <w:rFonts w:ascii="Arial" w:hAnsi="Arial" w:cs="Arial"/>
        </w:rPr>
        <w:t xml:space="preserve">councils </w:t>
      </w:r>
      <w:r w:rsidRPr="002F6C9D">
        <w:rPr>
          <w:rFonts w:ascii="Arial" w:hAnsi="Arial" w:cs="Arial"/>
        </w:rPr>
        <w:t>has their own housing market</w:t>
      </w:r>
      <w:r w:rsidR="00D209AF" w:rsidRPr="002F6C9D">
        <w:rPr>
          <w:rFonts w:ascii="Arial" w:hAnsi="Arial" w:cs="Arial"/>
        </w:rPr>
        <w:t xml:space="preserve"> </w:t>
      </w:r>
      <w:r w:rsidRPr="002F6C9D">
        <w:rPr>
          <w:rFonts w:ascii="Arial" w:hAnsi="Arial" w:cs="Arial"/>
        </w:rPr>
        <w:t xml:space="preserve">and </w:t>
      </w:r>
      <w:r w:rsidR="0001420E">
        <w:rPr>
          <w:rFonts w:ascii="Arial" w:hAnsi="Arial" w:cs="Arial"/>
        </w:rPr>
        <w:t xml:space="preserve">area </w:t>
      </w:r>
      <w:r w:rsidRPr="002F6C9D">
        <w:rPr>
          <w:rFonts w:ascii="Arial" w:hAnsi="Arial" w:cs="Arial"/>
        </w:rPr>
        <w:t xml:space="preserve">specific </w:t>
      </w:r>
      <w:r w:rsidR="00D209AF" w:rsidRPr="002F6C9D">
        <w:rPr>
          <w:rFonts w:ascii="Arial" w:hAnsi="Arial" w:cs="Arial"/>
        </w:rPr>
        <w:t>challenges</w:t>
      </w:r>
      <w:r w:rsidRPr="002F6C9D">
        <w:rPr>
          <w:rFonts w:ascii="Arial" w:hAnsi="Arial" w:cs="Arial"/>
        </w:rPr>
        <w:t>.  However, there are also</w:t>
      </w:r>
      <w:r w:rsidR="00D209AF" w:rsidRPr="002F6C9D">
        <w:rPr>
          <w:rFonts w:ascii="Arial" w:hAnsi="Arial" w:cs="Arial"/>
        </w:rPr>
        <w:t xml:space="preserve"> issues faced by all authorities where </w:t>
      </w:r>
      <w:r w:rsidRPr="002F6C9D">
        <w:rPr>
          <w:rFonts w:ascii="Arial" w:hAnsi="Arial" w:cs="Arial"/>
        </w:rPr>
        <w:t>joint work can lead to the sharing of good practice</w:t>
      </w:r>
      <w:r w:rsidR="00D209AF" w:rsidRPr="002F6C9D">
        <w:rPr>
          <w:rFonts w:ascii="Arial" w:hAnsi="Arial" w:cs="Arial"/>
        </w:rPr>
        <w:t xml:space="preserve">, a strength in approach and </w:t>
      </w:r>
      <w:r w:rsidRPr="002F6C9D">
        <w:rPr>
          <w:rFonts w:ascii="Arial" w:hAnsi="Arial" w:cs="Arial"/>
        </w:rPr>
        <w:t>economies of scale</w:t>
      </w:r>
      <w:r w:rsidR="00D209AF" w:rsidRPr="002F6C9D">
        <w:rPr>
          <w:rFonts w:ascii="Arial" w:hAnsi="Arial" w:cs="Arial"/>
        </w:rPr>
        <w:t>.</w:t>
      </w:r>
    </w:p>
    <w:p w14:paraId="37409BE7" w14:textId="128DBA84" w:rsidR="00D209AF" w:rsidRPr="002F6C9D" w:rsidRDefault="00D209AF" w:rsidP="00AC74B1">
      <w:pPr>
        <w:spacing w:after="0" w:line="240" w:lineRule="auto"/>
        <w:rPr>
          <w:rFonts w:ascii="Arial" w:hAnsi="Arial" w:cs="Arial"/>
        </w:rPr>
      </w:pPr>
      <w:r w:rsidRPr="002F6C9D">
        <w:rPr>
          <w:rFonts w:ascii="Arial" w:hAnsi="Arial" w:cs="Arial"/>
        </w:rPr>
        <w:t xml:space="preserve">The Sub-Regional Homeless Leads have identified the following shared </w:t>
      </w:r>
      <w:r w:rsidR="0001420E">
        <w:rPr>
          <w:rFonts w:ascii="Arial" w:hAnsi="Arial" w:cs="Arial"/>
        </w:rPr>
        <w:t>actions that fit within the five over-arching objectives of the group.</w:t>
      </w:r>
    </w:p>
    <w:p w14:paraId="3CDF58D1" w14:textId="77777777" w:rsidR="00D209AF" w:rsidRPr="002F6C9D" w:rsidRDefault="00D209AF" w:rsidP="00AC74B1">
      <w:pPr>
        <w:spacing w:after="0" w:line="240" w:lineRule="auto"/>
        <w:rPr>
          <w:rFonts w:ascii="Arial" w:hAnsi="Arial" w:cs="Arial"/>
        </w:rPr>
      </w:pPr>
    </w:p>
    <w:p w14:paraId="6304FABA" w14:textId="54FF085C" w:rsidR="00AC74B1" w:rsidRPr="002F6C9D" w:rsidRDefault="0008338A" w:rsidP="00AC74B1">
      <w:pPr>
        <w:spacing w:after="0" w:line="240" w:lineRule="auto"/>
        <w:rPr>
          <w:rFonts w:ascii="Arial" w:hAnsi="Arial" w:cs="Arial"/>
          <w:b/>
          <w:bCs/>
        </w:rPr>
      </w:pPr>
      <w:r w:rsidRPr="002F6C9D">
        <w:rPr>
          <w:rFonts w:ascii="Arial" w:hAnsi="Arial" w:cs="Arial"/>
          <w:b/>
          <w:bCs/>
        </w:rPr>
        <w:t>Objective</w:t>
      </w:r>
      <w:r w:rsidR="0001420E">
        <w:rPr>
          <w:rFonts w:ascii="Arial" w:hAnsi="Arial" w:cs="Arial"/>
          <w:b/>
          <w:bCs/>
        </w:rPr>
        <w:t xml:space="preserve"> One:</w:t>
      </w:r>
    </w:p>
    <w:p w14:paraId="45E367AD" w14:textId="77777777" w:rsidR="0008338A" w:rsidRPr="0079189B" w:rsidRDefault="0008338A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B05801F" w14:textId="73E403D7" w:rsidR="00AC74B1" w:rsidRDefault="00AC74B1" w:rsidP="00AC74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9189B">
        <w:rPr>
          <w:rFonts w:ascii="Arial" w:eastAsia="Times New Roman" w:hAnsi="Arial" w:cs="Arial"/>
          <w:b/>
          <w:bCs/>
          <w:kern w:val="0"/>
          <w14:ligatures w14:val="none"/>
        </w:rPr>
        <w:t>Jointly engage with other services to improve working practices affecting homelessness and the prevention of homelessness.</w:t>
      </w:r>
    </w:p>
    <w:p w14:paraId="3E3F295D" w14:textId="77777777" w:rsidR="0001420E" w:rsidRDefault="0001420E" w:rsidP="0001420E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309CC2" w14:textId="2E62F160" w:rsidR="0001420E" w:rsidRPr="0001420E" w:rsidRDefault="0001420E" w:rsidP="0001420E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Shared Actions:</w:t>
      </w:r>
    </w:p>
    <w:p w14:paraId="6554D86C" w14:textId="77777777" w:rsidR="0001420E" w:rsidRPr="002F6C9D" w:rsidRDefault="0001420E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C74B1" w:rsidRPr="002F6C9D" w14:paraId="76A9E26B" w14:textId="77777777" w:rsidTr="00866606">
        <w:tc>
          <w:tcPr>
            <w:tcW w:w="9016" w:type="dxa"/>
            <w:gridSpan w:val="2"/>
            <w:shd w:val="clear" w:color="auto" w:fill="95DCF7" w:themeFill="accent4" w:themeFillTint="66"/>
          </w:tcPr>
          <w:p w14:paraId="46D0EDBC" w14:textId="77777777" w:rsidR="0008338A" w:rsidRDefault="00AC74B1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Develop and maintain partnership pathways for partners to refer clients at risk of homelessness</w:t>
            </w:r>
            <w:r w:rsidR="0008338A" w:rsidRPr="002F6C9D">
              <w:rPr>
                <w:rFonts w:ascii="Arial" w:eastAsia="Times New Roman" w:hAnsi="Arial" w:cs="Arial"/>
                <w:kern w:val="0"/>
                <w14:ligatures w14:val="none"/>
              </w:rPr>
              <w:t>, including:</w:t>
            </w:r>
          </w:p>
          <w:p w14:paraId="32976FD4" w14:textId="392999EE" w:rsidR="00C43291" w:rsidRPr="002F6C9D" w:rsidRDefault="00C43291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C74B1" w:rsidRPr="002F6C9D" w14:paraId="608A832E" w14:textId="77777777" w:rsidTr="00866606">
        <w:tc>
          <w:tcPr>
            <w:tcW w:w="4106" w:type="dxa"/>
          </w:tcPr>
          <w:p w14:paraId="6E600ADE" w14:textId="5C9F9061" w:rsidR="00AC74B1" w:rsidRPr="002F6C9D" w:rsidRDefault="0008338A" w:rsidP="00AC74B1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Pathway</w:t>
            </w:r>
          </w:p>
        </w:tc>
        <w:tc>
          <w:tcPr>
            <w:tcW w:w="4910" w:type="dxa"/>
          </w:tcPr>
          <w:p w14:paraId="758DEB58" w14:textId="1C77C0BB" w:rsidR="00AC74B1" w:rsidRPr="002F6C9D" w:rsidRDefault="0008338A" w:rsidP="00AC74B1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Comments</w:t>
            </w:r>
          </w:p>
        </w:tc>
      </w:tr>
      <w:tr w:rsidR="00AC74B1" w:rsidRPr="002F6C9D" w14:paraId="6894B0E8" w14:textId="77777777" w:rsidTr="00866606">
        <w:tc>
          <w:tcPr>
            <w:tcW w:w="4106" w:type="dxa"/>
          </w:tcPr>
          <w:p w14:paraId="3CD7716C" w14:textId="0AE1C58A" w:rsidR="00AC74B1" w:rsidRPr="002F6C9D" w:rsidRDefault="00F9409E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hAnsi="Arial" w:cs="Arial"/>
                <w:sz w:val="22"/>
                <w:szCs w:val="22"/>
              </w:rPr>
              <w:t>Criminal Justice Work</w:t>
            </w:r>
          </w:p>
        </w:tc>
        <w:tc>
          <w:tcPr>
            <w:tcW w:w="4910" w:type="dxa"/>
          </w:tcPr>
          <w:p w14:paraId="302723C9" w14:textId="32448BA1" w:rsidR="00AC74B1" w:rsidRPr="002F6C9D" w:rsidRDefault="00F9409E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Pathway in place –</w:t>
            </w:r>
            <w:r w:rsidR="00866606" w:rsidRPr="002F6C9D">
              <w:rPr>
                <w:rFonts w:ascii="Arial" w:eastAsia="Times New Roman" w:hAnsi="Arial" w:cs="Arial"/>
                <w:kern w:val="0"/>
                <w14:ligatures w14:val="none"/>
              </w:rPr>
              <w:t xml:space="preserve"> partnership meetings quarterly</w:t>
            </w:r>
          </w:p>
        </w:tc>
      </w:tr>
      <w:tr w:rsidR="00AC74B1" w:rsidRPr="002F6C9D" w14:paraId="7AF8EDBC" w14:textId="77777777" w:rsidTr="00866606">
        <w:tc>
          <w:tcPr>
            <w:tcW w:w="4106" w:type="dxa"/>
          </w:tcPr>
          <w:p w14:paraId="2B539AC9" w14:textId="54ED04E5" w:rsidR="00AC74B1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Drugs and Alcohol Board</w:t>
            </w:r>
          </w:p>
        </w:tc>
        <w:tc>
          <w:tcPr>
            <w:tcW w:w="4910" w:type="dxa"/>
          </w:tcPr>
          <w:p w14:paraId="4165D714" w14:textId="697CF210" w:rsidR="00AC74B1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Pathway in place – partnership meetings quarterly</w:t>
            </w:r>
          </w:p>
        </w:tc>
      </w:tr>
      <w:tr w:rsidR="00AC74B1" w:rsidRPr="002F6C9D" w14:paraId="19AC56C4" w14:textId="77777777" w:rsidTr="00866606">
        <w:tc>
          <w:tcPr>
            <w:tcW w:w="4106" w:type="dxa"/>
          </w:tcPr>
          <w:p w14:paraId="3AC52C79" w14:textId="28BFAA67" w:rsidR="00AC74B1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Mental Health, Substance Misue and Hoarding Protocol in place</w:t>
            </w:r>
          </w:p>
        </w:tc>
        <w:tc>
          <w:tcPr>
            <w:tcW w:w="4910" w:type="dxa"/>
          </w:tcPr>
          <w:p w14:paraId="3947FC71" w14:textId="77777777" w:rsidR="00AC74B1" w:rsidRPr="002F6C9D" w:rsidRDefault="00AC74B1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866606" w:rsidRPr="002F6C9D" w14:paraId="1DFE8345" w14:textId="77777777" w:rsidTr="00866606">
        <w:tc>
          <w:tcPr>
            <w:tcW w:w="4106" w:type="dxa"/>
          </w:tcPr>
          <w:p w14:paraId="0483DC91" w14:textId="105D2521" w:rsidR="00866606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MAPPA SMB</w:t>
            </w:r>
          </w:p>
        </w:tc>
        <w:tc>
          <w:tcPr>
            <w:tcW w:w="4910" w:type="dxa"/>
          </w:tcPr>
          <w:p w14:paraId="51B16863" w14:textId="0E465799" w:rsidR="00866606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Quarterly meetings in place</w:t>
            </w:r>
          </w:p>
        </w:tc>
      </w:tr>
      <w:tr w:rsidR="00866606" w:rsidRPr="002F6C9D" w14:paraId="7726C6A1" w14:textId="77777777" w:rsidTr="00866606">
        <w:tc>
          <w:tcPr>
            <w:tcW w:w="4106" w:type="dxa"/>
          </w:tcPr>
          <w:p w14:paraId="638902ED" w14:textId="277AADDB" w:rsidR="00866606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TOCH (Transfer of Care Hub)</w:t>
            </w:r>
          </w:p>
        </w:tc>
        <w:tc>
          <w:tcPr>
            <w:tcW w:w="4910" w:type="dxa"/>
          </w:tcPr>
          <w:p w14:paraId="1A4228E0" w14:textId="1ADA26DC" w:rsidR="00866606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In development, linked to Cambridgeshire and Peterborough Integrated Care Strategy.  Early partner discussions set up.</w:t>
            </w:r>
          </w:p>
        </w:tc>
      </w:tr>
      <w:tr w:rsidR="00866606" w:rsidRPr="002F6C9D" w14:paraId="326DC42B" w14:textId="77777777" w:rsidTr="00866606">
        <w:tc>
          <w:tcPr>
            <w:tcW w:w="4106" w:type="dxa"/>
          </w:tcPr>
          <w:p w14:paraId="07B82237" w14:textId="77777777" w:rsidR="00866606" w:rsidRDefault="00C43291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Care Leavers Protocol</w:t>
            </w:r>
          </w:p>
          <w:p w14:paraId="11D7E280" w14:textId="6A2258EE" w:rsidR="00C43291" w:rsidRPr="002F6C9D" w:rsidRDefault="00C43291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910" w:type="dxa"/>
          </w:tcPr>
          <w:p w14:paraId="2218F4A3" w14:textId="77777777" w:rsidR="00866606" w:rsidRPr="002F6C9D" w:rsidRDefault="00866606" w:rsidP="00AC74B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A7FDA86" w14:textId="77777777" w:rsidR="00AC74B1" w:rsidRPr="002F6C9D" w:rsidRDefault="00AC74B1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5C31F6C" w14:textId="5DC9A8AC" w:rsidR="0001420E" w:rsidRPr="002F6C9D" w:rsidRDefault="0001420E" w:rsidP="0001420E">
      <w:pPr>
        <w:spacing w:after="0" w:line="240" w:lineRule="auto"/>
        <w:rPr>
          <w:rFonts w:ascii="Arial" w:hAnsi="Arial" w:cs="Arial"/>
          <w:b/>
          <w:bCs/>
        </w:rPr>
      </w:pPr>
      <w:r w:rsidRPr="002F6C9D">
        <w:rPr>
          <w:rFonts w:ascii="Arial" w:hAnsi="Arial" w:cs="Arial"/>
          <w:b/>
          <w:bCs/>
        </w:rPr>
        <w:t>Objective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  <w:b/>
          <w:bCs/>
        </w:rPr>
        <w:t>:</w:t>
      </w:r>
    </w:p>
    <w:p w14:paraId="1FA8B20B" w14:textId="77777777" w:rsidR="0001420E" w:rsidRDefault="0001420E" w:rsidP="0001420E">
      <w:pPr>
        <w:spacing w:after="0" w:line="240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</w:p>
    <w:p w14:paraId="4138919C" w14:textId="359491C3" w:rsidR="0001420E" w:rsidRPr="00C43291" w:rsidRDefault="0001420E" w:rsidP="0001420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43291">
        <w:rPr>
          <w:rFonts w:ascii="Arial" w:eastAsia="Times New Roman" w:hAnsi="Arial" w:cs="Arial"/>
          <w:kern w:val="0"/>
          <w14:ligatures w14:val="none"/>
        </w:rPr>
        <w:t>Identify key and emerging issues linked to Homelessness/Housing Advice.</w:t>
      </w:r>
    </w:p>
    <w:p w14:paraId="4EC88221" w14:textId="77777777" w:rsidR="00AC74B1" w:rsidRDefault="00AC74B1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9D55E89" w14:textId="77777777" w:rsidR="00C43291" w:rsidRPr="0001420E" w:rsidRDefault="00C43291" w:rsidP="00C43291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Shared Actions:</w:t>
      </w:r>
    </w:p>
    <w:p w14:paraId="33D4E802" w14:textId="77777777" w:rsidR="00C43291" w:rsidRPr="0079189B" w:rsidRDefault="00C43291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43291" w:rsidRPr="002F6C9D" w14:paraId="20338D4F" w14:textId="77777777" w:rsidTr="00C43291">
        <w:tc>
          <w:tcPr>
            <w:tcW w:w="9016" w:type="dxa"/>
            <w:gridSpan w:val="2"/>
            <w:shd w:val="clear" w:color="auto" w:fill="F6C5AC" w:themeFill="accent2" w:themeFillTint="66"/>
          </w:tcPr>
          <w:p w14:paraId="6C58A80B" w14:textId="63F8A6E6" w:rsidR="00C43291" w:rsidRPr="002F6C9D" w:rsidRDefault="00C43291" w:rsidP="00C43291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Monitor Sub-Regional statistics to identify trends, issues and any differences in practice</w:t>
            </w:r>
          </w:p>
        </w:tc>
      </w:tr>
      <w:tr w:rsidR="00C43291" w:rsidRPr="002F6C9D" w14:paraId="68EA97E6" w14:textId="77777777" w:rsidTr="008A143D">
        <w:tc>
          <w:tcPr>
            <w:tcW w:w="4106" w:type="dxa"/>
          </w:tcPr>
          <w:p w14:paraId="7FB07815" w14:textId="020C8A9B" w:rsidR="00C43291" w:rsidRPr="00C43291" w:rsidRDefault="00C43291" w:rsidP="008A143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4329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4910" w:type="dxa"/>
          </w:tcPr>
          <w:p w14:paraId="2FFBC613" w14:textId="78568185" w:rsidR="00C43291" w:rsidRPr="00C43291" w:rsidRDefault="00C43291" w:rsidP="008A143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4329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Comments</w:t>
            </w:r>
          </w:p>
        </w:tc>
      </w:tr>
      <w:tr w:rsidR="00C43291" w:rsidRPr="002F6C9D" w14:paraId="0FC3D763" w14:textId="77777777" w:rsidTr="008A143D">
        <w:tc>
          <w:tcPr>
            <w:tcW w:w="4106" w:type="dxa"/>
          </w:tcPr>
          <w:p w14:paraId="0AD239F6" w14:textId="762BCBFD" w:rsidR="00C43291" w:rsidRPr="002F6C9D" w:rsidRDefault="00C43291" w:rsidP="008A143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Annual Review of HCLIC returns to monitor changes</w:t>
            </w:r>
          </w:p>
        </w:tc>
        <w:tc>
          <w:tcPr>
            <w:tcW w:w="4910" w:type="dxa"/>
          </w:tcPr>
          <w:p w14:paraId="3E0638F5" w14:textId="0B998BFA" w:rsidR="00C43291" w:rsidRPr="002F6C9D" w:rsidRDefault="00C43291" w:rsidP="008A143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Completed annually, discussed with Homeless Leads and shared with Housing Board</w:t>
            </w:r>
          </w:p>
        </w:tc>
      </w:tr>
      <w:tr w:rsidR="00C43291" w:rsidRPr="002F6C9D" w14:paraId="33CC25F6" w14:textId="77777777" w:rsidTr="008A143D">
        <w:tc>
          <w:tcPr>
            <w:tcW w:w="4106" w:type="dxa"/>
          </w:tcPr>
          <w:p w14:paraId="196410E4" w14:textId="676E73D9" w:rsidR="00C43291" w:rsidRDefault="00C43291" w:rsidP="008A143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Regular HPA user group to ensure collection and inputting of data is consistent</w:t>
            </w:r>
          </w:p>
        </w:tc>
        <w:tc>
          <w:tcPr>
            <w:tcW w:w="4910" w:type="dxa"/>
          </w:tcPr>
          <w:p w14:paraId="2EE8CB4D" w14:textId="11794C36" w:rsidR="00C43291" w:rsidRDefault="00AD1ED3" w:rsidP="008A143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HPA is the Homeless Prevention IT system used by Cambridgeshire and West Suffolk councils.</w:t>
            </w:r>
          </w:p>
        </w:tc>
      </w:tr>
    </w:tbl>
    <w:p w14:paraId="0DA5F3AF" w14:textId="77777777" w:rsidR="00C43291" w:rsidRDefault="00C43291" w:rsidP="00C43291">
      <w:pPr>
        <w:spacing w:after="0" w:line="240" w:lineRule="auto"/>
        <w:rPr>
          <w:rFonts w:ascii="Arial" w:hAnsi="Arial" w:cs="Arial"/>
          <w:b/>
          <w:bCs/>
        </w:rPr>
      </w:pPr>
    </w:p>
    <w:p w14:paraId="75BA2163" w14:textId="687FB2BC" w:rsidR="00C43291" w:rsidRPr="002F6C9D" w:rsidRDefault="00C43291" w:rsidP="00C43291">
      <w:pPr>
        <w:spacing w:after="0" w:line="240" w:lineRule="auto"/>
        <w:rPr>
          <w:rFonts w:ascii="Arial" w:hAnsi="Arial" w:cs="Arial"/>
          <w:b/>
          <w:bCs/>
        </w:rPr>
      </w:pPr>
      <w:r w:rsidRPr="002F6C9D">
        <w:rPr>
          <w:rFonts w:ascii="Arial" w:hAnsi="Arial" w:cs="Arial"/>
          <w:b/>
          <w:bCs/>
        </w:rPr>
        <w:t>Objective</w:t>
      </w:r>
      <w:r>
        <w:rPr>
          <w:rFonts w:ascii="Arial" w:hAnsi="Arial" w:cs="Arial"/>
          <w:b/>
          <w:bCs/>
        </w:rPr>
        <w:t xml:space="preserve"> T</w:t>
      </w:r>
      <w:r>
        <w:rPr>
          <w:rFonts w:ascii="Arial" w:hAnsi="Arial" w:cs="Arial"/>
          <w:b/>
          <w:bCs/>
        </w:rPr>
        <w:t>hree</w:t>
      </w:r>
      <w:r>
        <w:rPr>
          <w:rFonts w:ascii="Arial" w:hAnsi="Arial" w:cs="Arial"/>
          <w:b/>
          <w:bCs/>
        </w:rPr>
        <w:t>:</w:t>
      </w:r>
    </w:p>
    <w:p w14:paraId="763128CE" w14:textId="77777777" w:rsidR="00AC74B1" w:rsidRPr="0079189B" w:rsidRDefault="00AC74B1" w:rsidP="00AC74B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6F759ED" w14:textId="77777777" w:rsidR="00AC74B1" w:rsidRPr="002F6C9D" w:rsidRDefault="00AC74B1" w:rsidP="00AC74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9189B">
        <w:rPr>
          <w:rFonts w:ascii="Arial" w:eastAsia="Times New Roman" w:hAnsi="Arial" w:cs="Arial"/>
          <w:b/>
          <w:bCs/>
          <w:kern w:val="0"/>
          <w14:ligatures w14:val="none"/>
        </w:rPr>
        <w:t xml:space="preserve">Monitor and provide input into linked groups and action plans </w:t>
      </w:r>
      <w:r w:rsidRPr="002F6C9D">
        <w:rPr>
          <w:rFonts w:ascii="Arial" w:eastAsia="Times New Roman" w:hAnsi="Arial" w:cs="Arial"/>
          <w:b/>
          <w:bCs/>
          <w:kern w:val="0"/>
          <w14:ligatures w14:val="none"/>
        </w:rPr>
        <w:t>such as Health and Wellbeing and Domestic Abuse strategies.</w:t>
      </w:r>
    </w:p>
    <w:p w14:paraId="636D05AD" w14:textId="77777777" w:rsidR="00C43291" w:rsidRDefault="00C43291" w:rsidP="00C43291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25EE5CE" w14:textId="05F8BDED" w:rsidR="00AC74B1" w:rsidRDefault="00C43291" w:rsidP="00C43291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43291">
        <w:rPr>
          <w:rFonts w:ascii="Arial" w:eastAsia="Times New Roman" w:hAnsi="Arial" w:cs="Arial"/>
          <w:b/>
          <w:bCs/>
          <w:kern w:val="0"/>
          <w14:ligatures w14:val="none"/>
        </w:rPr>
        <w:t>Shared Actions:</w:t>
      </w:r>
    </w:p>
    <w:p w14:paraId="7BD9CB3C" w14:textId="77777777" w:rsidR="00C43291" w:rsidRPr="00C43291" w:rsidRDefault="00C43291" w:rsidP="00C43291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910"/>
      </w:tblGrid>
      <w:tr w:rsidR="00D209AF" w:rsidRPr="002F6C9D" w14:paraId="7328B1F1" w14:textId="77777777" w:rsidTr="00AD1ED3">
        <w:tc>
          <w:tcPr>
            <w:tcW w:w="9163" w:type="dxa"/>
            <w:gridSpan w:val="2"/>
            <w:shd w:val="clear" w:color="auto" w:fill="F2CEED" w:themeFill="accent5" w:themeFillTint="33"/>
          </w:tcPr>
          <w:p w14:paraId="28DE4C7A" w14:textId="3A0ECC55" w:rsidR="00D209AF" w:rsidRPr="002F6C9D" w:rsidRDefault="00D209AF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Health and Wellbeing</w:t>
            </w:r>
            <w:r w:rsidR="008C3E73">
              <w:rPr>
                <w:rFonts w:ascii="Arial" w:eastAsia="Times New Roman" w:hAnsi="Arial" w:cs="Arial"/>
                <w:kern w:val="0"/>
                <w14:ligatures w14:val="none"/>
              </w:rPr>
              <w:t xml:space="preserve"> Strategy and Health JSNA</w:t>
            </w:r>
          </w:p>
        </w:tc>
      </w:tr>
      <w:tr w:rsidR="00D209AF" w:rsidRPr="002F6C9D" w14:paraId="78BFC94B" w14:textId="77777777" w:rsidTr="00AD1ED3">
        <w:tc>
          <w:tcPr>
            <w:tcW w:w="4253" w:type="dxa"/>
          </w:tcPr>
          <w:p w14:paraId="7B3F71A5" w14:textId="4AA10C31" w:rsidR="00D209AF" w:rsidRPr="002F6C9D" w:rsidRDefault="00D209AF" w:rsidP="00140E2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Action</w:t>
            </w:r>
          </w:p>
        </w:tc>
        <w:tc>
          <w:tcPr>
            <w:tcW w:w="4910" w:type="dxa"/>
          </w:tcPr>
          <w:p w14:paraId="4BF7B3F6" w14:textId="77777777" w:rsidR="00D209AF" w:rsidRPr="002F6C9D" w:rsidRDefault="00D209AF" w:rsidP="00140E2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Comments</w:t>
            </w:r>
          </w:p>
        </w:tc>
      </w:tr>
      <w:tr w:rsidR="00D209AF" w:rsidRPr="002F6C9D" w14:paraId="1D655830" w14:textId="77777777" w:rsidTr="00AD1ED3">
        <w:tc>
          <w:tcPr>
            <w:tcW w:w="4253" w:type="dxa"/>
          </w:tcPr>
          <w:p w14:paraId="060C3E91" w14:textId="78CA2EDC" w:rsidR="00D209AF" w:rsidRPr="002F6C9D" w:rsidRDefault="00D209AF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 xml:space="preserve">Developing </w:t>
            </w:r>
            <w:r w:rsidR="002F6C9D" w:rsidRPr="002F6C9D">
              <w:rPr>
                <w:rFonts w:ascii="Arial" w:eastAsia="Times New Roman" w:hAnsi="Arial" w:cs="Arial"/>
                <w:kern w:val="0"/>
                <w14:ligatures w14:val="none"/>
              </w:rPr>
              <w:t xml:space="preserve">an integrated system with partners to avoid delays in hospital. </w:t>
            </w: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TOCH (Transfer of Care Hub)</w:t>
            </w:r>
            <w:r w:rsidR="002F6C9D" w:rsidRPr="002F6C9D">
              <w:rPr>
                <w:rFonts w:ascii="Arial" w:eastAsia="Times New Roman" w:hAnsi="Arial" w:cs="Arial"/>
                <w:kern w:val="0"/>
                <w14:ligatures w14:val="none"/>
              </w:rPr>
              <w:t xml:space="preserve"> set up to lead the joint-working</w:t>
            </w:r>
          </w:p>
        </w:tc>
        <w:tc>
          <w:tcPr>
            <w:tcW w:w="4910" w:type="dxa"/>
          </w:tcPr>
          <w:p w14:paraId="1EC8EE29" w14:textId="77777777" w:rsidR="00D209AF" w:rsidRPr="002F6C9D" w:rsidRDefault="00D209AF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In development, linked to Cambridgeshire and Peterborough Integrated Care Strategy.  Early partner discussions set up.</w:t>
            </w:r>
          </w:p>
        </w:tc>
      </w:tr>
      <w:tr w:rsidR="00D209AF" w:rsidRPr="002F6C9D" w14:paraId="4ABC0605" w14:textId="77777777" w:rsidTr="00AD1ED3">
        <w:tc>
          <w:tcPr>
            <w:tcW w:w="4253" w:type="dxa"/>
          </w:tcPr>
          <w:p w14:paraId="53F4F33E" w14:textId="18EFC0CE" w:rsidR="00D209AF" w:rsidRPr="002F6C9D" w:rsidRDefault="00D209AF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>Addressing the link between Housing</w:t>
            </w:r>
            <w:r w:rsidR="00C43291">
              <w:rPr>
                <w:rFonts w:ascii="Arial" w:eastAsia="Times New Roman" w:hAnsi="Arial" w:cs="Arial"/>
                <w:kern w:val="0"/>
                <w14:ligatures w14:val="none"/>
              </w:rPr>
              <w:t>, Poverty and Health</w:t>
            </w:r>
          </w:p>
        </w:tc>
        <w:tc>
          <w:tcPr>
            <w:tcW w:w="4910" w:type="dxa"/>
          </w:tcPr>
          <w:p w14:paraId="02BE5222" w14:textId="77777777" w:rsidR="00D209AF" w:rsidRDefault="00C43291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Specific Income Maximisation actions at individual Council level.</w:t>
            </w:r>
          </w:p>
          <w:p w14:paraId="77246823" w14:textId="0E6228A0" w:rsidR="00C43291" w:rsidRPr="002F6C9D" w:rsidRDefault="00C43291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2F6C9D" w:rsidRPr="002F6C9D" w14:paraId="08812FFD" w14:textId="77777777" w:rsidTr="00AD1ED3">
        <w:tc>
          <w:tcPr>
            <w:tcW w:w="9163" w:type="dxa"/>
            <w:gridSpan w:val="2"/>
            <w:shd w:val="clear" w:color="auto" w:fill="F2CEED" w:themeFill="accent5" w:themeFillTint="33"/>
          </w:tcPr>
          <w:p w14:paraId="75098005" w14:textId="0D3AE95E" w:rsidR="002F6C9D" w:rsidRPr="002F6C9D" w:rsidRDefault="002F6C9D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0" w:name="_Hlk183009675"/>
            <w:r w:rsidRPr="002F6C9D">
              <w:rPr>
                <w:rFonts w:ascii="Arial" w:eastAsia="Times New Roman" w:hAnsi="Arial" w:cs="Arial"/>
                <w:kern w:val="0"/>
                <w14:ligatures w14:val="none"/>
              </w:rPr>
              <w:t xml:space="preserve">Domestic Abuse and Sexual Violence Strategy </w:t>
            </w:r>
          </w:p>
        </w:tc>
      </w:tr>
      <w:tr w:rsidR="002F6C9D" w:rsidRPr="002F6C9D" w14:paraId="2C5E8981" w14:textId="77777777" w:rsidTr="00AD1ED3">
        <w:tc>
          <w:tcPr>
            <w:tcW w:w="4253" w:type="dxa"/>
          </w:tcPr>
          <w:p w14:paraId="34CC172F" w14:textId="77777777" w:rsidR="002F6C9D" w:rsidRPr="002F6C9D" w:rsidRDefault="002F6C9D" w:rsidP="00140E2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Action</w:t>
            </w:r>
          </w:p>
        </w:tc>
        <w:tc>
          <w:tcPr>
            <w:tcW w:w="4910" w:type="dxa"/>
          </w:tcPr>
          <w:p w14:paraId="14A22B29" w14:textId="77777777" w:rsidR="002F6C9D" w:rsidRPr="002F6C9D" w:rsidRDefault="002F6C9D" w:rsidP="00140E2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Comments</w:t>
            </w:r>
          </w:p>
        </w:tc>
      </w:tr>
      <w:bookmarkEnd w:id="0"/>
      <w:tr w:rsidR="00C43291" w:rsidRPr="002F6C9D" w14:paraId="751692F8" w14:textId="77777777" w:rsidTr="00AD1ED3">
        <w:tc>
          <w:tcPr>
            <w:tcW w:w="4253" w:type="dxa"/>
          </w:tcPr>
          <w:p w14:paraId="43B33E96" w14:textId="31BFE80F" w:rsidR="00C43291" w:rsidRDefault="00C43291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All councils to seek DAHA accreditation or re-accreditation.</w:t>
            </w:r>
          </w:p>
        </w:tc>
        <w:tc>
          <w:tcPr>
            <w:tcW w:w="4910" w:type="dxa"/>
          </w:tcPr>
          <w:p w14:paraId="4E74E233" w14:textId="2F245919" w:rsidR="00C43291" w:rsidRPr="002F6C9D" w:rsidRDefault="004649D2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All c</w:t>
            </w:r>
            <w:r w:rsidR="00C43291">
              <w:rPr>
                <w:rFonts w:ascii="Arial" w:eastAsia="Times New Roman" w:hAnsi="Arial" w:cs="Arial"/>
                <w:kern w:val="0"/>
                <w14:ligatures w14:val="none"/>
              </w:rPr>
              <w:t>ouncils accredited or working towards accredita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ti</w:t>
            </w:r>
            <w:r w:rsidR="00C43291">
              <w:rPr>
                <w:rFonts w:ascii="Arial" w:eastAsia="Times New Roman" w:hAnsi="Arial" w:cs="Arial"/>
                <w:kern w:val="0"/>
                <w14:ligatures w14:val="none"/>
              </w:rPr>
              <w:t>on</w:t>
            </w:r>
          </w:p>
        </w:tc>
      </w:tr>
      <w:tr w:rsidR="002F6C9D" w:rsidRPr="002F6C9D" w14:paraId="76B89986" w14:textId="77777777" w:rsidTr="00AD1ED3">
        <w:tc>
          <w:tcPr>
            <w:tcW w:w="4253" w:type="dxa"/>
          </w:tcPr>
          <w:p w14:paraId="41CDE9E3" w14:textId="165BF2F0" w:rsidR="002F6C9D" w:rsidRPr="002F6C9D" w:rsidRDefault="005B2A1C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Improved Systemwide collaboration – including </w:t>
            </w:r>
            <w:r w:rsidR="006D01C4">
              <w:rPr>
                <w:rFonts w:ascii="Arial" w:eastAsia="Times New Roman" w:hAnsi="Arial" w:cs="Arial"/>
                <w:kern w:val="0"/>
                <w14:ligatures w14:val="none"/>
              </w:rPr>
              <w:t>Housing Advice Audits and learning from DHRs</w:t>
            </w:r>
          </w:p>
        </w:tc>
        <w:tc>
          <w:tcPr>
            <w:tcW w:w="4910" w:type="dxa"/>
          </w:tcPr>
          <w:p w14:paraId="13928302" w14:textId="6F5EEA5D" w:rsidR="002F6C9D" w:rsidRPr="002F6C9D" w:rsidRDefault="004649D2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Actions incorporated as part of DAHA accreditation</w:t>
            </w:r>
          </w:p>
        </w:tc>
      </w:tr>
      <w:tr w:rsidR="002F6C9D" w:rsidRPr="002F6C9D" w14:paraId="540565C5" w14:textId="77777777" w:rsidTr="00AD1ED3">
        <w:tc>
          <w:tcPr>
            <w:tcW w:w="4253" w:type="dxa"/>
          </w:tcPr>
          <w:p w14:paraId="22E6938E" w14:textId="1547E81A" w:rsidR="002F6C9D" w:rsidRPr="002F6C9D" w:rsidRDefault="006950C8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Systemwide Trauma informed Practice – Housing Advice Teams to offer training to staff</w:t>
            </w:r>
            <w:r w:rsidR="008B4309">
              <w:rPr>
                <w:rFonts w:ascii="Arial" w:eastAsia="Times New Roman" w:hAnsi="Arial" w:cs="Arial"/>
                <w:kern w:val="0"/>
                <w14:ligatures w14:val="none"/>
              </w:rPr>
              <w:t xml:space="preserve"> on working in a trauma informed way.</w:t>
            </w:r>
          </w:p>
        </w:tc>
        <w:tc>
          <w:tcPr>
            <w:tcW w:w="4910" w:type="dxa"/>
          </w:tcPr>
          <w:p w14:paraId="02B77B64" w14:textId="1B32B92E" w:rsidR="002F6C9D" w:rsidRPr="002F6C9D" w:rsidRDefault="004649D2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Links to wider work on understanding trauma and working in a system-wide way.</w:t>
            </w:r>
          </w:p>
        </w:tc>
      </w:tr>
      <w:tr w:rsidR="004649D2" w:rsidRPr="002F6C9D" w14:paraId="26FAF164" w14:textId="77777777" w:rsidTr="00AD1ED3">
        <w:tc>
          <w:tcPr>
            <w:tcW w:w="9163" w:type="dxa"/>
            <w:gridSpan w:val="2"/>
            <w:shd w:val="clear" w:color="auto" w:fill="F2CEED" w:themeFill="accent5" w:themeFillTint="33"/>
          </w:tcPr>
          <w:p w14:paraId="514A35B3" w14:textId="7825B95C" w:rsidR="004649D2" w:rsidRPr="002F6C9D" w:rsidRDefault="00AD1ED3" w:rsidP="008A143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 xml:space="preserve">Changing Futures – Cambridgeshire and Peterborough </w:t>
            </w:r>
          </w:p>
        </w:tc>
      </w:tr>
      <w:tr w:rsidR="004649D2" w:rsidRPr="002F6C9D" w14:paraId="33E60A78" w14:textId="77777777" w:rsidTr="00AD1ED3">
        <w:tc>
          <w:tcPr>
            <w:tcW w:w="4253" w:type="dxa"/>
          </w:tcPr>
          <w:p w14:paraId="040B493F" w14:textId="77777777" w:rsidR="004649D2" w:rsidRPr="002F6C9D" w:rsidRDefault="004649D2" w:rsidP="008A143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Action</w:t>
            </w:r>
          </w:p>
        </w:tc>
        <w:tc>
          <w:tcPr>
            <w:tcW w:w="4910" w:type="dxa"/>
          </w:tcPr>
          <w:p w14:paraId="4005A70A" w14:textId="77777777" w:rsidR="004649D2" w:rsidRPr="002F6C9D" w:rsidRDefault="004649D2" w:rsidP="008A143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Comments</w:t>
            </w:r>
          </w:p>
        </w:tc>
      </w:tr>
      <w:tr w:rsidR="004649D2" w:rsidRPr="002F6C9D" w14:paraId="61A0E251" w14:textId="77777777" w:rsidTr="00AD1ED3">
        <w:tc>
          <w:tcPr>
            <w:tcW w:w="4253" w:type="dxa"/>
          </w:tcPr>
          <w:p w14:paraId="3889A8FD" w14:textId="7DD1EB3F" w:rsidR="004649D2" w:rsidRDefault="00AD1ED3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Improve systemwide understanding and response to trauma</w:t>
            </w:r>
          </w:p>
        </w:tc>
        <w:tc>
          <w:tcPr>
            <w:tcW w:w="4910" w:type="dxa"/>
          </w:tcPr>
          <w:p w14:paraId="1424C4DC" w14:textId="2ABB1718" w:rsidR="004649D2" w:rsidRDefault="00AD1ED3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Trauma informed training for staff teams and attendance from Sub Regional(s) at the 4</w:t>
            </w:r>
            <w:r w:rsidRPr="00AD1ED3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Trauma Informed Workshop</w:t>
            </w:r>
          </w:p>
        </w:tc>
      </w:tr>
    </w:tbl>
    <w:p w14:paraId="6453181F" w14:textId="77777777" w:rsidR="00AD1ED3" w:rsidRDefault="00AD1ED3" w:rsidP="00AD1ED3">
      <w:pPr>
        <w:spacing w:after="0" w:line="240" w:lineRule="auto"/>
        <w:rPr>
          <w:rFonts w:ascii="Arial" w:hAnsi="Arial" w:cs="Arial"/>
          <w:b/>
          <w:bCs/>
        </w:rPr>
      </w:pPr>
    </w:p>
    <w:p w14:paraId="26078086" w14:textId="32F8CE0B" w:rsidR="00AD1ED3" w:rsidRDefault="00AD1ED3" w:rsidP="00AD1ED3">
      <w:pPr>
        <w:spacing w:after="0" w:line="240" w:lineRule="auto"/>
        <w:rPr>
          <w:rFonts w:ascii="Arial" w:hAnsi="Arial" w:cs="Arial"/>
          <w:b/>
          <w:bCs/>
        </w:rPr>
      </w:pPr>
      <w:r w:rsidRPr="002F6C9D">
        <w:rPr>
          <w:rFonts w:ascii="Arial" w:hAnsi="Arial" w:cs="Arial"/>
          <w:b/>
          <w:bCs/>
        </w:rPr>
        <w:t>Objective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  <w:b/>
          <w:bCs/>
        </w:rPr>
        <w:t>:</w:t>
      </w:r>
    </w:p>
    <w:p w14:paraId="7E2DBF3D" w14:textId="77777777" w:rsidR="00AD1ED3" w:rsidRPr="00AD1ED3" w:rsidRDefault="00AD1ED3" w:rsidP="00AD1ED3">
      <w:pPr>
        <w:spacing w:after="0" w:line="240" w:lineRule="auto"/>
        <w:rPr>
          <w:rFonts w:ascii="Arial" w:hAnsi="Arial" w:cs="Arial"/>
          <w:b/>
          <w:bCs/>
        </w:rPr>
      </w:pPr>
    </w:p>
    <w:p w14:paraId="7E17D70D" w14:textId="51D640E7" w:rsidR="002F6C9D" w:rsidRPr="00AD1ED3" w:rsidRDefault="002F6C9D" w:rsidP="002F6C9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9189B">
        <w:rPr>
          <w:rFonts w:ascii="Arial" w:eastAsia="Times New Roman" w:hAnsi="Arial" w:cs="Arial"/>
          <w:b/>
          <w:bCs/>
          <w:kern w:val="0"/>
          <w14:ligatures w14:val="none"/>
        </w:rPr>
        <w:t>Explore opportunities for joint working across the sub-region</w:t>
      </w:r>
      <w:r w:rsidRPr="002F6C9D">
        <w:rPr>
          <w:rFonts w:ascii="Arial" w:eastAsia="Times New Roman" w:hAnsi="Arial" w:cs="Arial"/>
          <w:b/>
          <w:bCs/>
          <w:kern w:val="0"/>
          <w14:ligatures w14:val="none"/>
        </w:rPr>
        <w:t>, de</w:t>
      </w:r>
      <w:r w:rsidRPr="0079189B">
        <w:rPr>
          <w:rFonts w:ascii="Arial" w:eastAsia="Times New Roman" w:hAnsi="Arial" w:cs="Arial"/>
          <w:b/>
          <w:bCs/>
          <w:kern w:val="0"/>
          <w14:ligatures w14:val="none"/>
        </w:rPr>
        <w:t>veloping opportunities for improving existing services</w:t>
      </w:r>
      <w:r>
        <w:rPr>
          <w:rFonts w:ascii="Arial" w:eastAsia="Times New Roman" w:hAnsi="Arial" w:cs="Arial"/>
          <w:kern w:val="0"/>
          <w14:ligatures w14:val="none"/>
        </w:rPr>
        <w:t>.</w:t>
      </w:r>
    </w:p>
    <w:p w14:paraId="2F0A7245" w14:textId="77777777" w:rsidR="00AD1ED3" w:rsidRDefault="00AD1ED3" w:rsidP="00AD1ED3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7F3FE21" w14:textId="5E72BD37" w:rsidR="00AD1ED3" w:rsidRPr="002F6C9D" w:rsidRDefault="00AD1ED3" w:rsidP="00AD1ED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Shared Actions:</w:t>
      </w:r>
    </w:p>
    <w:p w14:paraId="1EB5946E" w14:textId="77777777" w:rsidR="002F6C9D" w:rsidRDefault="002F6C9D" w:rsidP="002F6C9D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910"/>
      </w:tblGrid>
      <w:tr w:rsidR="002F6C9D" w:rsidRPr="002F6C9D" w14:paraId="294EE16B" w14:textId="77777777" w:rsidTr="002F6C9D">
        <w:tc>
          <w:tcPr>
            <w:tcW w:w="9016" w:type="dxa"/>
            <w:gridSpan w:val="2"/>
            <w:shd w:val="clear" w:color="auto" w:fill="D9F2D0" w:themeFill="accent6" w:themeFillTint="33"/>
          </w:tcPr>
          <w:p w14:paraId="061D338A" w14:textId="2CF03B68" w:rsidR="002F6C9D" w:rsidRPr="002F6C9D" w:rsidRDefault="002F6C9D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Housing First</w:t>
            </w:r>
          </w:p>
        </w:tc>
      </w:tr>
      <w:tr w:rsidR="002F6C9D" w:rsidRPr="002F6C9D" w14:paraId="1667932F" w14:textId="77777777" w:rsidTr="00140E2D">
        <w:tc>
          <w:tcPr>
            <w:tcW w:w="4106" w:type="dxa"/>
          </w:tcPr>
          <w:p w14:paraId="522A86C2" w14:textId="77777777" w:rsidR="002F6C9D" w:rsidRPr="002F6C9D" w:rsidRDefault="002F6C9D" w:rsidP="00140E2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Action</w:t>
            </w:r>
          </w:p>
        </w:tc>
        <w:tc>
          <w:tcPr>
            <w:tcW w:w="4910" w:type="dxa"/>
          </w:tcPr>
          <w:p w14:paraId="4480A5DB" w14:textId="77777777" w:rsidR="002F6C9D" w:rsidRPr="002F6C9D" w:rsidRDefault="002F6C9D" w:rsidP="00140E2D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F6C9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Comments</w:t>
            </w:r>
          </w:p>
        </w:tc>
      </w:tr>
      <w:tr w:rsidR="002F6C9D" w:rsidRPr="002F6C9D" w14:paraId="52CA70A7" w14:textId="77777777" w:rsidTr="00140E2D">
        <w:tc>
          <w:tcPr>
            <w:tcW w:w="4106" w:type="dxa"/>
          </w:tcPr>
          <w:p w14:paraId="1E8636A3" w14:textId="52FA6878" w:rsidR="002F6C9D" w:rsidRPr="002F6C9D" w:rsidRDefault="0031258F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Explore funding options with County colleagues to maintain delivery of the Countywide Housing First Service.</w:t>
            </w:r>
          </w:p>
        </w:tc>
        <w:tc>
          <w:tcPr>
            <w:tcW w:w="4910" w:type="dxa"/>
          </w:tcPr>
          <w:p w14:paraId="1DEAC669" w14:textId="415375BC" w:rsidR="002F6C9D" w:rsidRPr="002F6C9D" w:rsidRDefault="0031258F" w:rsidP="00140E2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Ongoing discussion to explore funding opportunities – firmer actions to be agreed once budget settlement to Housing Advice teams and RSI funding is known.</w:t>
            </w:r>
          </w:p>
        </w:tc>
      </w:tr>
    </w:tbl>
    <w:p w14:paraId="390856EE" w14:textId="77777777" w:rsidR="002F6C9D" w:rsidRDefault="002F6C9D" w:rsidP="002F6C9D">
      <w:pPr>
        <w:spacing w:after="0" w:line="240" w:lineRule="auto"/>
        <w:rPr>
          <w:rFonts w:ascii="Arial" w:hAnsi="Arial" w:cs="Arial"/>
        </w:rPr>
      </w:pPr>
    </w:p>
    <w:p w14:paraId="4050FF1D" w14:textId="12B9E94D" w:rsidR="00AD1ED3" w:rsidRDefault="00AD1ED3" w:rsidP="00AD1ED3">
      <w:pPr>
        <w:spacing w:after="0" w:line="240" w:lineRule="auto"/>
        <w:rPr>
          <w:rFonts w:ascii="Arial" w:hAnsi="Arial" w:cs="Arial"/>
          <w:b/>
          <w:bCs/>
        </w:rPr>
      </w:pPr>
      <w:r w:rsidRPr="002F6C9D">
        <w:rPr>
          <w:rFonts w:ascii="Arial" w:hAnsi="Arial" w:cs="Arial"/>
          <w:b/>
          <w:bCs/>
        </w:rPr>
        <w:t>Objective</w:t>
      </w:r>
      <w:r>
        <w:rPr>
          <w:rFonts w:ascii="Arial" w:hAnsi="Arial" w:cs="Arial"/>
          <w:b/>
          <w:bCs/>
        </w:rPr>
        <w:t xml:space="preserve"> F</w:t>
      </w:r>
      <w:r>
        <w:rPr>
          <w:rFonts w:ascii="Arial" w:hAnsi="Arial" w:cs="Arial"/>
          <w:b/>
          <w:bCs/>
        </w:rPr>
        <w:t>ive</w:t>
      </w:r>
      <w:r>
        <w:rPr>
          <w:rFonts w:ascii="Arial" w:hAnsi="Arial" w:cs="Arial"/>
          <w:b/>
          <w:bCs/>
        </w:rPr>
        <w:t>:</w:t>
      </w:r>
    </w:p>
    <w:p w14:paraId="22A5739C" w14:textId="77777777" w:rsidR="00AD1ED3" w:rsidRDefault="00AD1ED3" w:rsidP="002F6C9D">
      <w:pPr>
        <w:spacing w:after="0" w:line="240" w:lineRule="auto"/>
        <w:rPr>
          <w:rFonts w:ascii="Arial" w:hAnsi="Arial" w:cs="Arial"/>
        </w:rPr>
      </w:pPr>
    </w:p>
    <w:p w14:paraId="0C4D07C1" w14:textId="1EE9C7A9" w:rsidR="0031258F" w:rsidRPr="00AD1ED3" w:rsidRDefault="0031258F" w:rsidP="002F6C9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D1ED3">
        <w:rPr>
          <w:rFonts w:ascii="Arial" w:eastAsia="Times New Roman" w:hAnsi="Arial" w:cs="Arial"/>
          <w:b/>
          <w:bCs/>
          <w:kern w:val="0"/>
          <w14:ligatures w14:val="none"/>
        </w:rPr>
        <w:t xml:space="preserve">Share good practice </w:t>
      </w:r>
    </w:p>
    <w:p w14:paraId="7CD984B8" w14:textId="77777777" w:rsidR="00AD1ED3" w:rsidRDefault="00AD1ED3" w:rsidP="00AD1ED3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AD1ED3" w:rsidRPr="002F6C9D" w14:paraId="0C1C7B93" w14:textId="77777777" w:rsidTr="00AD1ED3">
        <w:tc>
          <w:tcPr>
            <w:tcW w:w="9016" w:type="dxa"/>
            <w:shd w:val="clear" w:color="auto" w:fill="FFFFCC"/>
          </w:tcPr>
          <w:p w14:paraId="4E7225AF" w14:textId="21CE331E" w:rsidR="00AD1ED3" w:rsidRPr="002F6C9D" w:rsidRDefault="00AD1ED3" w:rsidP="008A143D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Specific Initiatives to be identified by each Council and shared via monthly Sub-Regional leads group</w:t>
            </w:r>
          </w:p>
        </w:tc>
      </w:tr>
    </w:tbl>
    <w:p w14:paraId="16C99552" w14:textId="77777777" w:rsidR="00AD1ED3" w:rsidRDefault="00AD1ED3" w:rsidP="00AD1ED3">
      <w:pPr>
        <w:spacing w:after="0" w:line="240" w:lineRule="auto"/>
        <w:rPr>
          <w:rFonts w:ascii="Arial" w:hAnsi="Arial" w:cs="Arial"/>
        </w:rPr>
      </w:pPr>
    </w:p>
    <w:p w14:paraId="3C480EE8" w14:textId="5EFBB75E" w:rsidR="00AD1ED3" w:rsidRPr="00AD1ED3" w:rsidRDefault="00AD1ED3" w:rsidP="00AD1E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Progress against all objectives to be monitored and updated via the monthly Sub-Regional leads group, with an annual update to Regional Housing Board.</w:t>
      </w:r>
    </w:p>
    <w:sectPr w:rsidR="00AD1ED3" w:rsidRPr="00AD1E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7D5F" w14:textId="77777777" w:rsidR="002F6C9D" w:rsidRDefault="002F6C9D" w:rsidP="002F6C9D">
      <w:pPr>
        <w:spacing w:after="0" w:line="240" w:lineRule="auto"/>
      </w:pPr>
      <w:r>
        <w:separator/>
      </w:r>
    </w:p>
  </w:endnote>
  <w:endnote w:type="continuationSeparator" w:id="0">
    <w:p w14:paraId="21EF95F4" w14:textId="77777777" w:rsidR="002F6C9D" w:rsidRDefault="002F6C9D" w:rsidP="002F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102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9B552" w14:textId="20CD57F7" w:rsidR="002F6C9D" w:rsidRDefault="002F6C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D6CB72" w14:textId="77777777" w:rsidR="002F6C9D" w:rsidRDefault="002F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40E7A" w14:textId="77777777" w:rsidR="002F6C9D" w:rsidRDefault="002F6C9D" w:rsidP="002F6C9D">
      <w:pPr>
        <w:spacing w:after="0" w:line="240" w:lineRule="auto"/>
      </w:pPr>
      <w:r>
        <w:separator/>
      </w:r>
    </w:p>
  </w:footnote>
  <w:footnote w:type="continuationSeparator" w:id="0">
    <w:p w14:paraId="059CE945" w14:textId="77777777" w:rsidR="002F6C9D" w:rsidRDefault="002F6C9D" w:rsidP="002F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20500"/>
    <w:multiLevelType w:val="hybridMultilevel"/>
    <w:tmpl w:val="E35CE7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57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9B"/>
    <w:rsid w:val="0001420E"/>
    <w:rsid w:val="00070192"/>
    <w:rsid w:val="0008338A"/>
    <w:rsid w:val="000E2ADF"/>
    <w:rsid w:val="00222DA1"/>
    <w:rsid w:val="002F6C9D"/>
    <w:rsid w:val="0031258F"/>
    <w:rsid w:val="004649D2"/>
    <w:rsid w:val="004C7AD7"/>
    <w:rsid w:val="005B2A1C"/>
    <w:rsid w:val="006950C8"/>
    <w:rsid w:val="006D01C4"/>
    <w:rsid w:val="0079189B"/>
    <w:rsid w:val="00866606"/>
    <w:rsid w:val="008B4309"/>
    <w:rsid w:val="008C3E73"/>
    <w:rsid w:val="00925151"/>
    <w:rsid w:val="009C7C61"/>
    <w:rsid w:val="00A61E3E"/>
    <w:rsid w:val="00AC74B1"/>
    <w:rsid w:val="00AD1ED3"/>
    <w:rsid w:val="00B82CEE"/>
    <w:rsid w:val="00C43291"/>
    <w:rsid w:val="00D209AF"/>
    <w:rsid w:val="00F9409E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80DCAA"/>
  <w15:chartTrackingRefBased/>
  <w15:docId w15:val="{A5D88D23-0AF7-477A-99B2-73AB4261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8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9D"/>
  </w:style>
  <w:style w:type="paragraph" w:styleId="Footer">
    <w:name w:val="footer"/>
    <w:basedOn w:val="Normal"/>
    <w:link w:val="FooterChar"/>
    <w:uiPriority w:val="99"/>
    <w:unhideWhenUsed/>
    <w:rsid w:val="002F6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9D"/>
  </w:style>
  <w:style w:type="character" w:styleId="CommentReference">
    <w:name w:val="annotation reference"/>
    <w:basedOn w:val="DefaultParagraphFont"/>
    <w:uiPriority w:val="99"/>
    <w:semiHidden/>
    <w:unhideWhenUsed/>
    <w:rsid w:val="00014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2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3662-C223-4997-9B2E-58FA376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658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Wood</dc:creator>
  <cp:keywords/>
  <dc:description/>
  <cp:lastModifiedBy>Heather Wood</cp:lastModifiedBy>
  <cp:revision>2</cp:revision>
  <dcterms:created xsi:type="dcterms:W3CDTF">2024-11-20T16:21:00Z</dcterms:created>
  <dcterms:modified xsi:type="dcterms:W3CDTF">2024-11-20T16:21:00Z</dcterms:modified>
</cp:coreProperties>
</file>