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footer3.xml" ContentType="application/vnd.openxmlformats-officedocument.wordprocessingml.footer+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Look w:val="04A0" w:firstRow="1" w:lastRow="0" w:firstColumn="1" w:lastColumn="0" w:noHBand="0" w:noVBand="1"/>
      </w:tblPr>
      <w:tblGrid>
        <w:gridCol w:w="8931"/>
      </w:tblGrid>
      <w:tr w:rsidR="006906A0" w14:paraId="0232536C" w14:textId="77777777" w:rsidTr="00FF7A90">
        <w:trPr>
          <w:trHeight w:val="1593"/>
        </w:trPr>
        <w:tc>
          <w:tcPr>
            <w:tcW w:w="8931" w:type="dxa"/>
            <w:hideMark/>
          </w:tcPr>
          <w:p w14:paraId="06B0DCBC" w14:textId="3F3D8B56" w:rsidR="00BF2E60" w:rsidRDefault="00190F8F" w:rsidP="008A464F">
            <w:pPr>
              <w:pStyle w:val="ReportTitle"/>
            </w:pPr>
            <w:bookmarkStart w:id="0" w:name="Title"/>
            <w:r>
              <w:rPr>
                <w:b/>
                <w:noProof/>
                <w:lang w:eastAsia="en-GB"/>
              </w:rPr>
              <mc:AlternateContent>
                <mc:Choice Requires="wps">
                  <w:drawing>
                    <wp:anchor distT="0" distB="0" distL="114300" distR="114300" simplePos="0" relativeHeight="251684864" behindDoc="1" locked="1" layoutInCell="1" allowOverlap="1" wp14:anchorId="44D9B987" wp14:editId="0599EA9E">
                      <wp:simplePos x="0" y="0"/>
                      <wp:positionH relativeFrom="page">
                        <wp:posOffset>-288925</wp:posOffset>
                      </wp:positionH>
                      <wp:positionV relativeFrom="page">
                        <wp:posOffset>-234315</wp:posOffset>
                      </wp:positionV>
                      <wp:extent cx="6029325" cy="8085455"/>
                      <wp:effectExtent l="0" t="0" r="9525" b="0"/>
                      <wp:wrapNone/>
                      <wp:docPr id="1032" name="Snip Single Corner Rectangle 1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029325" cy="8085455"/>
                              </a:xfrm>
                              <a:prstGeom prst="snip1Rect">
                                <a:avLst>
                                  <a:gd name="adj" fmla="val 5167"/>
                                </a:avLst>
                              </a:prstGeom>
                              <a:solidFill>
                                <a:srgbClr val="E0E4E4"/>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10FABA6D" w14:textId="77777777" w:rsidR="00263CDB" w:rsidRDefault="00263CDB"/>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B987" id="Snip Single Corner Rectangle 1032" o:spid="_x0000_s1026" alt="&quot;&quot;" style="position:absolute;margin-left:-22.75pt;margin-top:-18.45pt;width:474.75pt;height:636.65pt;flip:y;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029325,808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" adj="-11796480,,5400" path="m,l5717790,r311535,311535l6029325,8085455,,8085455,,xe" fillcolor="#e0e4e4" stroked="f">
                      <v:stroke joinstyle="miter"/>
                      <v:formulas/>
                      <v:path arrowok="t" o:connecttype="custom" o:connectlocs="0,0;5717790,0;6029325,311535;6029325,8085455;0,8085455;0,0" o:connectangles="0,0,0,0,0,0" textboxrect="0,0,6029325,8085455"/>
                      <v:textbox inset=",,,0">
                        <w:txbxContent>
                          <w:p w14:paraId="10FABA6D" w14:textId="77777777" w:rsidR="00263CDB" w:rsidRDefault="00263CDB"/>
                        </w:txbxContent>
                      </v:textbox>
                      <w10:wrap anchorx="page" anchory="page"/>
                      <w10:anchorlock/>
                    </v:shape>
                  </w:pict>
                </mc:Fallback>
              </mc:AlternateContent>
            </w:r>
            <w:r>
              <w:rPr>
                <w:b/>
                <w:noProof/>
                <w:lang w:eastAsia="en-GB"/>
              </w:rPr>
              <mc:AlternateContent>
                <mc:Choice Requires="wps">
                  <w:drawing>
                    <wp:anchor distT="0" distB="0" distL="114300" distR="114300" simplePos="0" relativeHeight="251682816" behindDoc="1" locked="1" layoutInCell="1" allowOverlap="1" wp14:anchorId="44D9B987" wp14:editId="48C49BEF">
                      <wp:simplePos x="0" y="0"/>
                      <wp:positionH relativeFrom="page">
                        <wp:posOffset>-288925</wp:posOffset>
                      </wp:positionH>
                      <wp:positionV relativeFrom="page">
                        <wp:posOffset>-234315</wp:posOffset>
                      </wp:positionV>
                      <wp:extent cx="6029325" cy="8085455"/>
                      <wp:effectExtent l="0" t="0" r="9525" b="0"/>
                      <wp:wrapNone/>
                      <wp:docPr id="1025" name="Snip Single Corner Rectangle 1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029325" cy="8085455"/>
                              </a:xfrm>
                              <a:prstGeom prst="snip1Rect">
                                <a:avLst>
                                  <a:gd name="adj" fmla="val 5167"/>
                                </a:avLst>
                              </a:prstGeom>
                              <a:solidFill>
                                <a:srgbClr val="E0E4E4"/>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7B566B9B" w14:textId="77777777" w:rsidR="00263CDB" w:rsidRDefault="00263CDB"/>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B987" id="Snip Single Corner Rectangle 1025" o:spid="_x0000_s1027" alt="&quot;&quot;" style="position:absolute;margin-left:-22.75pt;margin-top:-18.45pt;width:474.75pt;height:636.65pt;flip:y;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029325,808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" adj="-11796480,,5400" path="m,l5717790,r311535,311535l6029325,8085455,,8085455,,xe" fillcolor="#e0e4e4" stroked="f">
                      <v:stroke joinstyle="miter"/>
                      <v:formulas/>
                      <v:path arrowok="t" o:connecttype="custom" o:connectlocs="0,0;5717790,0;6029325,311535;6029325,8085455;0,8085455;0,0" o:connectangles="0,0,0,0,0,0" textboxrect="0,0,6029325,8085455"/>
                      <v:textbox inset=",,,0">
                        <w:txbxContent>
                          <w:p w14:paraId="7B566B9B" w14:textId="77777777" w:rsidR="00263CDB" w:rsidRDefault="00263CDB"/>
                        </w:txbxContent>
                      </v:textbox>
                      <w10:wrap anchorx="page" anchory="page"/>
                      <w10:anchorlock/>
                    </v:shape>
                  </w:pict>
                </mc:Fallback>
              </mc:AlternateContent>
            </w:r>
            <w:r>
              <w:rPr>
                <w:b/>
                <w:noProof/>
                <w:lang w:eastAsia="en-GB"/>
              </w:rPr>
              <mc:AlternateContent>
                <mc:Choice Requires="wps">
                  <w:drawing>
                    <wp:anchor distT="0" distB="0" distL="114300" distR="114300" simplePos="0" relativeHeight="251671552" behindDoc="1" locked="1" layoutInCell="1" allowOverlap="1" wp14:anchorId="44D9B987" wp14:editId="73D63803">
                      <wp:simplePos x="0" y="0"/>
                      <wp:positionH relativeFrom="page">
                        <wp:posOffset>-288925</wp:posOffset>
                      </wp:positionH>
                      <wp:positionV relativeFrom="page">
                        <wp:posOffset>-234315</wp:posOffset>
                      </wp:positionV>
                      <wp:extent cx="6029325" cy="8085455"/>
                      <wp:effectExtent l="0" t="0" r="9525" b="0"/>
                      <wp:wrapNone/>
                      <wp:docPr id="29" name="Snip Single Corner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029325" cy="8085455"/>
                              </a:xfrm>
                              <a:prstGeom prst="snip1Rect">
                                <a:avLst>
                                  <a:gd name="adj" fmla="val 5167"/>
                                </a:avLst>
                              </a:prstGeom>
                              <a:solidFill>
                                <a:srgbClr val="E0E4E4"/>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3DB0B0" w14:textId="77777777" w:rsidR="00263CDB" w:rsidRDefault="00263CDB"/>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B987" id="Snip Single Corner Rectangle 29" o:spid="_x0000_s1028" alt="&quot;&quot;" style="position:absolute;margin-left:-22.75pt;margin-top:-18.45pt;width:474.75pt;height:636.65pt;flip:y;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029325,808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" adj="-11796480,,5400" path="m,l5717790,r311535,311535l6029325,8085455,,8085455,,xe" fillcolor="#e0e4e4" stroked="f">
                      <v:stroke joinstyle="miter"/>
                      <v:formulas/>
                      <v:path arrowok="t" o:connecttype="custom" o:connectlocs="0,0;5717790,0;6029325,311535;6029325,8085455;0,8085455;0,0" o:connectangles="0,0,0,0,0,0" textboxrect="0,0,6029325,8085455"/>
                      <v:textbox inset=",,,0">
                        <w:txbxContent>
                          <w:p w14:paraId="4D3DB0B0" w14:textId="77777777" w:rsidR="00263CDB" w:rsidRDefault="00263CDB"/>
                        </w:txbxContent>
                      </v:textbox>
                      <w10:wrap anchorx="page" anchory="page"/>
                      <w10:anchorlock/>
                    </v:shape>
                  </w:pict>
                </mc:Fallback>
              </mc:AlternateContent>
            </w:r>
            <w:bookmarkEnd w:id="0"/>
            <w:r w:rsidR="009B5735">
              <w:t xml:space="preserve">Housing Needs of Specific </w:t>
            </w:r>
          </w:p>
          <w:p w14:paraId="4A10D118" w14:textId="77777777" w:rsidR="006906A0" w:rsidRDefault="009B5735" w:rsidP="008A464F">
            <w:pPr>
              <w:pStyle w:val="ReportTitle"/>
            </w:pPr>
            <w:r>
              <w:t xml:space="preserve">Groups </w:t>
            </w:r>
          </w:p>
        </w:tc>
      </w:tr>
      <w:tr w:rsidR="006906A0" w14:paraId="22F109F7" w14:textId="77777777" w:rsidTr="00FF7A90">
        <w:trPr>
          <w:trHeight w:val="2105"/>
        </w:trPr>
        <w:tc>
          <w:tcPr>
            <w:tcW w:w="8931" w:type="dxa"/>
          </w:tcPr>
          <w:p w14:paraId="5FB71792" w14:textId="64B74FBC" w:rsidR="006906A0" w:rsidRDefault="009B5735" w:rsidP="000B50B7">
            <w:pPr>
              <w:pStyle w:val="NameofClient"/>
              <w:rPr>
                <w:sz w:val="30"/>
                <w:szCs w:val="30"/>
              </w:rPr>
            </w:pPr>
            <w:r w:rsidRPr="00D82D7A">
              <w:rPr>
                <w:sz w:val="30"/>
                <w:szCs w:val="30"/>
              </w:rPr>
              <w:t>Cambridgeshire and West Suffolk</w:t>
            </w:r>
          </w:p>
          <w:p w14:paraId="3FB05DDA" w14:textId="77777777" w:rsidR="00091483" w:rsidRDefault="00091483" w:rsidP="000B50B7">
            <w:pPr>
              <w:pStyle w:val="NameofClient"/>
              <w:rPr>
                <w:sz w:val="30"/>
                <w:szCs w:val="30"/>
              </w:rPr>
            </w:pPr>
          </w:p>
          <w:p w14:paraId="677ADE13" w14:textId="47310C44" w:rsidR="00091483" w:rsidRPr="00091483" w:rsidRDefault="00091483" w:rsidP="00091483">
            <w:pPr>
              <w:pStyle w:val="NameofClient"/>
              <w:jc w:val="center"/>
              <w:rPr>
                <w:sz w:val="40"/>
                <w:szCs w:val="40"/>
              </w:rPr>
            </w:pPr>
            <w:r w:rsidRPr="00091483">
              <w:rPr>
                <w:sz w:val="40"/>
                <w:szCs w:val="40"/>
              </w:rPr>
              <w:t>DRAFT FINAL VERSION</w:t>
            </w:r>
          </w:p>
          <w:p w14:paraId="75FC9961" w14:textId="164B8029" w:rsidR="00091483" w:rsidRPr="00091483" w:rsidRDefault="00091483" w:rsidP="00091483">
            <w:pPr>
              <w:pStyle w:val="NameofClient"/>
              <w:jc w:val="center"/>
              <w:rPr>
                <w:sz w:val="40"/>
                <w:szCs w:val="40"/>
              </w:rPr>
            </w:pPr>
            <w:r w:rsidRPr="00091483">
              <w:rPr>
                <w:sz w:val="40"/>
                <w:szCs w:val="40"/>
              </w:rPr>
              <w:t>SUBJECT TO FINAL EDITING</w:t>
            </w:r>
          </w:p>
          <w:p w14:paraId="1C63278D" w14:textId="77777777" w:rsidR="006906A0" w:rsidRDefault="006906A0" w:rsidP="009B5735">
            <w:pPr>
              <w:pStyle w:val="Postcode"/>
            </w:pPr>
          </w:p>
        </w:tc>
      </w:tr>
      <w:tr w:rsidR="006906A0" w14:paraId="7B10226F" w14:textId="77777777" w:rsidTr="00FF7A90">
        <w:trPr>
          <w:trHeight w:val="341"/>
        </w:trPr>
        <w:tc>
          <w:tcPr>
            <w:tcW w:w="8931" w:type="dxa"/>
            <w:hideMark/>
          </w:tcPr>
          <w:p w14:paraId="141815FC" w14:textId="725B0E23" w:rsidR="006906A0" w:rsidRDefault="003958EF" w:rsidP="008A464F">
            <w:pPr>
              <w:pStyle w:val="Dateofreport"/>
            </w:pPr>
            <w:r w:rsidRPr="00526C6E">
              <w:rPr>
                <w:color w:val="auto"/>
              </w:rPr>
              <w:t xml:space="preserve">August </w:t>
            </w:r>
            <w:r w:rsidR="008E6E40" w:rsidRPr="00526C6E">
              <w:rPr>
                <w:color w:val="auto"/>
              </w:rPr>
              <w:t>2021</w:t>
            </w:r>
          </w:p>
        </w:tc>
      </w:tr>
      <w:tr w:rsidR="006906A0" w14:paraId="2FA6CFC6" w14:textId="77777777" w:rsidTr="00FF7A90">
        <w:trPr>
          <w:trHeight w:val="2532"/>
        </w:trPr>
        <w:tc>
          <w:tcPr>
            <w:tcW w:w="8931" w:type="dxa"/>
          </w:tcPr>
          <w:p w14:paraId="3505FDE0" w14:textId="77777777" w:rsidR="006906A0" w:rsidRDefault="006906A0" w:rsidP="00500AD1">
            <w:pPr>
              <w:pStyle w:val="12SubheadGrey"/>
              <w:rPr>
                <w:color w:val="E0E4E4"/>
              </w:rPr>
            </w:pPr>
          </w:p>
          <w:p w14:paraId="41E95676" w14:textId="77777777" w:rsidR="002E35EC" w:rsidRDefault="002E35EC" w:rsidP="00500AD1">
            <w:pPr>
              <w:pStyle w:val="12SubheadGrey"/>
              <w:rPr>
                <w:color w:val="E0E4E4"/>
              </w:rPr>
            </w:pPr>
          </w:p>
        </w:tc>
      </w:tr>
      <w:tr w:rsidR="006906A0" w14:paraId="4252807F" w14:textId="77777777" w:rsidTr="00FF7A90">
        <w:trPr>
          <w:trHeight w:val="3238"/>
        </w:trPr>
        <w:tc>
          <w:tcPr>
            <w:tcW w:w="8931" w:type="dxa"/>
          </w:tcPr>
          <w:p w14:paraId="2D7DAFC7" w14:textId="77777777" w:rsidR="006906A0" w:rsidRPr="00681D04" w:rsidRDefault="006906A0" w:rsidP="00681D04">
            <w:pPr>
              <w:pStyle w:val="12SubheadGreyCoverpage"/>
              <w:rPr>
                <w:b/>
              </w:rPr>
            </w:pPr>
            <w:r w:rsidRPr="00681D04">
              <w:rPr>
                <w:b/>
              </w:rPr>
              <w:t>Prepared by</w:t>
            </w:r>
          </w:p>
          <w:p w14:paraId="49CD3EC2" w14:textId="77777777" w:rsidR="006906A0" w:rsidRDefault="006906A0" w:rsidP="00681D04">
            <w:pPr>
              <w:pStyle w:val="12SubheadGreyCoverpage"/>
            </w:pPr>
          </w:p>
          <w:p w14:paraId="61ED6DAB" w14:textId="77777777" w:rsidR="006906A0" w:rsidRDefault="0025150A" w:rsidP="00681D04">
            <w:pPr>
              <w:pStyle w:val="12SubheadGreyCoverpage"/>
            </w:pPr>
            <w:r>
              <w:t>GL Hearn</w:t>
            </w:r>
          </w:p>
          <w:sdt>
            <w:sdtPr>
              <w:id w:val="-88697936"/>
              <w:docPartList>
                <w:docPartGallery w:val="Quick Parts"/>
              </w:docPartList>
            </w:sdtPr>
            <w:sdtEndPr>
              <w:rPr>
                <w:color w:val="FF0000"/>
              </w:rPr>
            </w:sdtEndPr>
            <w:sdtContent>
              <w:p w14:paraId="6C95271D" w14:textId="77777777" w:rsidR="009B5735" w:rsidRDefault="009B5735" w:rsidP="00EE130B">
                <w:pPr>
                  <w:pStyle w:val="12SubheadGreyCoverpage"/>
                </w:pPr>
                <w:r>
                  <w:t>65 Gresham Street</w:t>
                </w:r>
              </w:p>
              <w:p w14:paraId="310A7640" w14:textId="77777777" w:rsidR="009B5735" w:rsidRDefault="009B5735" w:rsidP="00EE130B">
                <w:pPr>
                  <w:pStyle w:val="12SubheadGreyCoverpage"/>
                </w:pPr>
                <w:r>
                  <w:t>London EC2V 7NQ</w:t>
                </w:r>
              </w:p>
              <w:p w14:paraId="796752AF" w14:textId="77777777" w:rsidR="009B5735" w:rsidRDefault="009B5735" w:rsidP="00EE130B">
                <w:pPr>
                  <w:pStyle w:val="12SubheadGreyCoverpage"/>
                </w:pPr>
              </w:p>
              <w:p w14:paraId="0BDBF0D3" w14:textId="77777777" w:rsidR="009B5735" w:rsidRDefault="009B5735" w:rsidP="00EE130B">
                <w:pPr>
                  <w:pStyle w:val="12SubheadGreyCoverpage"/>
                </w:pPr>
                <w:r>
                  <w:t>T</w:t>
                </w:r>
                <w:r>
                  <w:tab/>
                  <w:t>+44 (0)20 7851 4900</w:t>
                </w:r>
              </w:p>
              <w:p w14:paraId="0FB27BD6" w14:textId="77777777" w:rsidR="009B5735" w:rsidRDefault="009B5735" w:rsidP="00EE130B">
                <w:pPr>
                  <w:pStyle w:val="12SubheadGreyCoverpage"/>
                </w:pPr>
                <w:r>
                  <w:t>glhearn.com</w:t>
                </w:r>
              </w:p>
              <w:p w14:paraId="4D458886" w14:textId="77777777" w:rsidR="006906A0" w:rsidRPr="00EE130B" w:rsidRDefault="00E91857" w:rsidP="00EE130B">
                <w:pPr>
                  <w:pStyle w:val="12SubheadGrey"/>
                  <w:rPr>
                    <w:color w:val="FF0000"/>
                  </w:rPr>
                </w:pPr>
              </w:p>
            </w:sdtContent>
          </w:sdt>
          <w:p w14:paraId="7F9356F7" w14:textId="77777777" w:rsidR="002E35EC" w:rsidRDefault="002E35EC" w:rsidP="008138F7">
            <w:pPr>
              <w:pStyle w:val="12SubheadGreyCoverpage"/>
              <w:spacing w:line="240" w:lineRule="auto"/>
            </w:pPr>
          </w:p>
          <w:p w14:paraId="527C3D36" w14:textId="77777777" w:rsidR="002E35EC" w:rsidRDefault="002E35EC" w:rsidP="008138F7">
            <w:pPr>
              <w:pStyle w:val="12SubheadGreyCoverpage"/>
              <w:spacing w:line="240" w:lineRule="auto"/>
            </w:pPr>
          </w:p>
          <w:p w14:paraId="034527A6" w14:textId="77777777" w:rsidR="002E35EC" w:rsidRDefault="002E35EC" w:rsidP="008138F7">
            <w:pPr>
              <w:pStyle w:val="12SubheadGreyCoverpage"/>
              <w:spacing w:line="240" w:lineRule="auto"/>
            </w:pPr>
          </w:p>
          <w:sdt>
            <w:sdtPr>
              <w:alias w:val="Document Classification"/>
              <w:id w:val="1294337111"/>
              <w:placeholder>
                <w:docPart w:val="57F623381DCF4A83A43AA287D633793A"/>
              </w:placeholder>
              <w:docPartList>
                <w:docPartGallery w:val="Quick Parts"/>
                <w:docPartCategory w:val="Document Classification"/>
              </w:docPartList>
            </w:sdtPr>
            <w:sdtEndPr/>
            <w:sdtContent>
              <w:p w14:paraId="0F0EB56B" w14:textId="77777777" w:rsidR="002E35EC" w:rsidRPr="002E35EC" w:rsidRDefault="009B5735" w:rsidP="00B155E5">
                <w:pPr>
                  <w:pStyle w:val="12SubheadGreyCoverpage"/>
                  <w:spacing w:line="240" w:lineRule="auto"/>
                  <w:rPr>
                    <w:color w:val="FF0000"/>
                    <w:sz w:val="20"/>
                  </w:rPr>
                </w:pPr>
                <w:r w:rsidRPr="00526C6E">
                  <w:rPr>
                    <w:color w:val="auto"/>
                    <w:sz w:val="20"/>
                  </w:rPr>
                  <w:t>Public</w:t>
                </w:r>
              </w:p>
            </w:sdtContent>
          </w:sdt>
        </w:tc>
      </w:tr>
    </w:tbl>
    <w:p w14:paraId="72186293" w14:textId="77777777" w:rsidR="00663479" w:rsidRPr="00663479" w:rsidRDefault="00663479" w:rsidP="003851CD">
      <w:pPr>
        <w:pStyle w:val="Largespaceabove"/>
        <w:spacing w:before="1560"/>
      </w:pPr>
    </w:p>
    <w:p w14:paraId="2C8A8476" w14:textId="77777777" w:rsidR="00663479" w:rsidRPr="00663479" w:rsidRDefault="00663479" w:rsidP="00E5388D">
      <w:pPr>
        <w:pStyle w:val="Referencetext8pt"/>
        <w:rPr>
          <w:rFonts w:ascii="ArialMT" w:hAnsi="ArialMT"/>
        </w:rPr>
      </w:pPr>
    </w:p>
    <w:p w14:paraId="59085B70" w14:textId="77777777" w:rsidR="00A10F6F" w:rsidRPr="00A10F6F" w:rsidRDefault="00A10F6F" w:rsidP="00410BEB">
      <w:pPr>
        <w:pStyle w:val="SubheadBlue12"/>
      </w:pPr>
    </w:p>
    <w:p w14:paraId="30A8B6D9" w14:textId="77777777" w:rsidR="00A10F6F" w:rsidRPr="00A10F6F" w:rsidRDefault="00A10F6F" w:rsidP="00A10F6F">
      <w:pPr>
        <w:tabs>
          <w:tab w:val="left" w:pos="1760"/>
        </w:tabs>
        <w:sectPr w:rsidR="00A10F6F" w:rsidRPr="00A10F6F" w:rsidSect="006906A0">
          <w:headerReference w:type="default" r:id="rId13"/>
          <w:footerReference w:type="default" r:id="rId14"/>
          <w:headerReference w:type="first" r:id="rId15"/>
          <w:footerReference w:type="first" r:id="rId16"/>
          <w:type w:val="continuous"/>
          <w:pgSz w:w="11900" w:h="16840"/>
          <w:pgMar w:top="2438" w:right="851" w:bottom="1418" w:left="1985" w:header="709" w:footer="709" w:gutter="0"/>
          <w:cols w:space="720"/>
          <w:formProt w:val="0"/>
          <w:titlePg/>
        </w:sectPr>
      </w:pPr>
    </w:p>
    <w:p w14:paraId="537B7088" w14:textId="77777777" w:rsidR="007E5934" w:rsidRDefault="007E5934" w:rsidP="00410BEB">
      <w:pPr>
        <w:suppressLineNumbers/>
        <w:rPr>
          <w:b/>
          <w:bCs/>
        </w:rPr>
      </w:pPr>
      <w:r>
        <w:br w:type="page"/>
      </w:r>
    </w:p>
    <w:p w14:paraId="4198F91B" w14:textId="77777777" w:rsidR="00A10F6F" w:rsidRPr="0081555E" w:rsidRDefault="007E5934" w:rsidP="0081555E">
      <w:pPr>
        <w:pStyle w:val="Headingbold"/>
      </w:pPr>
      <w:r w:rsidRPr="0081555E">
        <w:lastRenderedPageBreak/>
        <w:t>Contents</w:t>
      </w:r>
      <w:r w:rsidR="00B877CE">
        <w:t xml:space="preserve"> </w:t>
      </w:r>
    </w:p>
    <w:p w14:paraId="249969A3" w14:textId="77777777" w:rsidR="007E5934" w:rsidRDefault="007E5934" w:rsidP="007E5934">
      <w:pPr>
        <w:pStyle w:val="Headingbold"/>
      </w:pPr>
    </w:p>
    <w:p w14:paraId="2C764A1D" w14:textId="77777777" w:rsidR="00923C8D" w:rsidRPr="005A0B3D" w:rsidRDefault="007E5934" w:rsidP="000365DF">
      <w:pPr>
        <w:pStyle w:val="BoldBodytext"/>
        <w:tabs>
          <w:tab w:val="right" w:pos="9072"/>
        </w:tabs>
        <w:rPr>
          <w:rFonts w:ascii="Arial Narrow" w:hAnsi="Arial Narrow"/>
          <w:sz w:val="24"/>
          <w:szCs w:val="24"/>
        </w:rPr>
      </w:pPr>
      <w:r w:rsidRPr="005A0B3D">
        <w:rPr>
          <w:rFonts w:ascii="Arial Narrow" w:hAnsi="Arial Narrow"/>
          <w:sz w:val="24"/>
          <w:szCs w:val="24"/>
        </w:rPr>
        <w:t>Section</w:t>
      </w:r>
      <w:r w:rsidRPr="005A0B3D">
        <w:rPr>
          <w:rFonts w:ascii="Arial Narrow" w:hAnsi="Arial Narrow"/>
          <w:sz w:val="24"/>
          <w:szCs w:val="24"/>
        </w:rPr>
        <w:tab/>
        <w:t>Page</w:t>
      </w:r>
    </w:p>
    <w:p w14:paraId="537726C6" w14:textId="2A112255" w:rsidR="00D5421B" w:rsidRDefault="005A0B3D">
      <w:pPr>
        <w:pStyle w:val="TOC1"/>
        <w:rPr>
          <w:rFonts w:asciiTheme="minorHAnsi" w:hAnsiTheme="minorHAnsi" w:cstheme="minorBidi"/>
          <w:b w:val="0"/>
          <w:bCs w:val="0"/>
          <w:caps w:val="0"/>
          <w:color w:val="auto"/>
          <w:sz w:val="22"/>
          <w:szCs w:val="22"/>
          <w:lang w:eastAsia="en-GB"/>
        </w:rPr>
      </w:pPr>
      <w:r w:rsidRPr="005A0B3D">
        <w:rPr>
          <w:rFonts w:ascii="Arial Narrow" w:hAnsi="Arial Narrow"/>
          <w:b w:val="0"/>
          <w:bCs w:val="0"/>
          <w:caps w:val="0"/>
          <w:sz w:val="24"/>
          <w:szCs w:val="24"/>
        </w:rPr>
        <w:fldChar w:fldCharType="begin"/>
      </w:r>
      <w:r w:rsidRPr="005A0B3D">
        <w:rPr>
          <w:rFonts w:ascii="Arial Narrow" w:hAnsi="Arial Narrow"/>
          <w:b w:val="0"/>
          <w:bCs w:val="0"/>
          <w:caps w:val="0"/>
          <w:sz w:val="24"/>
          <w:szCs w:val="24"/>
        </w:rPr>
        <w:instrText xml:space="preserve"> TOC \o "1-1" \t "1 Body text,1,Report Heading 2,2" </w:instrText>
      </w:r>
      <w:r w:rsidRPr="005A0B3D">
        <w:rPr>
          <w:rFonts w:ascii="Arial Narrow" w:hAnsi="Arial Narrow"/>
          <w:b w:val="0"/>
          <w:bCs w:val="0"/>
          <w:caps w:val="0"/>
          <w:sz w:val="24"/>
          <w:szCs w:val="24"/>
        </w:rPr>
        <w:fldChar w:fldCharType="separate"/>
      </w:r>
      <w:r w:rsidR="00D5421B">
        <w:t>Executive Summary and Recommendations</w:t>
      </w:r>
      <w:r w:rsidR="00D5421B">
        <w:tab/>
      </w:r>
      <w:r w:rsidR="00D5421B">
        <w:fldChar w:fldCharType="begin"/>
      </w:r>
      <w:r w:rsidR="00D5421B">
        <w:instrText xml:space="preserve"> PAGEREF _Toc79590817 \h </w:instrText>
      </w:r>
      <w:r w:rsidR="00D5421B">
        <w:fldChar w:fldCharType="separate"/>
      </w:r>
      <w:r w:rsidR="00E91857">
        <w:t>4</w:t>
      </w:r>
      <w:r w:rsidR="00D5421B">
        <w:fldChar w:fldCharType="end"/>
      </w:r>
    </w:p>
    <w:p w14:paraId="1D1759C4" w14:textId="46C20881" w:rsidR="00D5421B" w:rsidRDefault="00D5421B">
      <w:pPr>
        <w:pStyle w:val="TOC1"/>
        <w:rPr>
          <w:rFonts w:asciiTheme="minorHAnsi" w:hAnsiTheme="minorHAnsi" w:cstheme="minorBidi"/>
          <w:b w:val="0"/>
          <w:bCs w:val="0"/>
          <w:caps w:val="0"/>
          <w:color w:val="auto"/>
          <w:sz w:val="22"/>
          <w:szCs w:val="22"/>
          <w:lang w:eastAsia="en-GB"/>
        </w:rPr>
      </w:pPr>
      <w:r>
        <w:t>Addendum – new data and updated PPG</w:t>
      </w:r>
      <w:r>
        <w:tab/>
      </w:r>
      <w:r>
        <w:fldChar w:fldCharType="begin"/>
      </w:r>
      <w:r>
        <w:instrText xml:space="preserve"> PAGEREF _Toc79590818 \h </w:instrText>
      </w:r>
      <w:r>
        <w:fldChar w:fldCharType="separate"/>
      </w:r>
      <w:r w:rsidR="00E91857">
        <w:t>14</w:t>
      </w:r>
      <w:r>
        <w:fldChar w:fldCharType="end"/>
      </w:r>
    </w:p>
    <w:p w14:paraId="23DB73E5" w14:textId="03E9BDB0" w:rsidR="00D5421B" w:rsidRDefault="00D5421B">
      <w:pPr>
        <w:pStyle w:val="TOC1"/>
        <w:rPr>
          <w:rFonts w:asciiTheme="minorHAnsi" w:hAnsiTheme="minorHAnsi" w:cstheme="minorBidi"/>
          <w:b w:val="0"/>
          <w:bCs w:val="0"/>
          <w:caps w:val="0"/>
          <w:color w:val="auto"/>
          <w:sz w:val="22"/>
          <w:szCs w:val="22"/>
          <w:lang w:eastAsia="en-GB"/>
        </w:rPr>
      </w:pPr>
      <w:r w:rsidRPr="003D2D87">
        <w:t>2</w:t>
      </w:r>
      <w:r>
        <w:rPr>
          <w:rFonts w:asciiTheme="minorHAnsi" w:hAnsiTheme="minorHAnsi" w:cstheme="minorBidi"/>
          <w:b w:val="0"/>
          <w:bCs w:val="0"/>
          <w:caps w:val="0"/>
          <w:color w:val="auto"/>
          <w:sz w:val="22"/>
          <w:szCs w:val="22"/>
          <w:lang w:eastAsia="en-GB"/>
        </w:rPr>
        <w:tab/>
      </w:r>
      <w:r>
        <w:t>Introduction</w:t>
      </w:r>
      <w:r>
        <w:tab/>
      </w:r>
      <w:r>
        <w:fldChar w:fldCharType="begin"/>
      </w:r>
      <w:r>
        <w:instrText xml:space="preserve"> PAGEREF _Toc79590819 \h </w:instrText>
      </w:r>
      <w:r>
        <w:fldChar w:fldCharType="separate"/>
      </w:r>
      <w:r w:rsidR="00E91857">
        <w:t>17</w:t>
      </w:r>
      <w:r>
        <w:fldChar w:fldCharType="end"/>
      </w:r>
    </w:p>
    <w:p w14:paraId="34F9DACE" w14:textId="6882DEF5" w:rsidR="00D5421B" w:rsidRDefault="00D5421B">
      <w:pPr>
        <w:pStyle w:val="TOC1"/>
        <w:rPr>
          <w:rFonts w:asciiTheme="minorHAnsi" w:hAnsiTheme="minorHAnsi" w:cstheme="minorBidi"/>
          <w:b w:val="0"/>
          <w:bCs w:val="0"/>
          <w:caps w:val="0"/>
          <w:color w:val="auto"/>
          <w:sz w:val="22"/>
          <w:szCs w:val="22"/>
          <w:lang w:eastAsia="en-GB"/>
        </w:rPr>
      </w:pPr>
      <w:r w:rsidRPr="003D2D87">
        <w:t>3</w:t>
      </w:r>
      <w:r>
        <w:rPr>
          <w:rFonts w:asciiTheme="minorHAnsi" w:hAnsiTheme="minorHAnsi" w:cstheme="minorBidi"/>
          <w:b w:val="0"/>
          <w:bCs w:val="0"/>
          <w:caps w:val="0"/>
          <w:color w:val="auto"/>
          <w:sz w:val="22"/>
          <w:szCs w:val="22"/>
          <w:lang w:eastAsia="en-GB"/>
        </w:rPr>
        <w:tab/>
      </w:r>
      <w:r>
        <w:t>Demographic Profile</w:t>
      </w:r>
      <w:r>
        <w:tab/>
      </w:r>
      <w:r>
        <w:fldChar w:fldCharType="begin"/>
      </w:r>
      <w:r>
        <w:instrText xml:space="preserve"> PAGEREF _Toc79590820 \h </w:instrText>
      </w:r>
      <w:r>
        <w:fldChar w:fldCharType="separate"/>
      </w:r>
      <w:r w:rsidR="00E91857">
        <w:t>27</w:t>
      </w:r>
      <w:r>
        <w:fldChar w:fldCharType="end"/>
      </w:r>
    </w:p>
    <w:p w14:paraId="704BD6AB" w14:textId="2965296A" w:rsidR="00D5421B" w:rsidRDefault="00D5421B">
      <w:pPr>
        <w:pStyle w:val="TOC1"/>
        <w:rPr>
          <w:rFonts w:asciiTheme="minorHAnsi" w:hAnsiTheme="minorHAnsi" w:cstheme="minorBidi"/>
          <w:b w:val="0"/>
          <w:bCs w:val="0"/>
          <w:caps w:val="0"/>
          <w:color w:val="auto"/>
          <w:sz w:val="22"/>
          <w:szCs w:val="22"/>
          <w:lang w:eastAsia="en-GB"/>
        </w:rPr>
      </w:pPr>
      <w:r w:rsidRPr="003D2D87">
        <w:t>4</w:t>
      </w:r>
      <w:r>
        <w:rPr>
          <w:rFonts w:asciiTheme="minorHAnsi" w:hAnsiTheme="minorHAnsi" w:cstheme="minorBidi"/>
          <w:b w:val="0"/>
          <w:bCs w:val="0"/>
          <w:caps w:val="0"/>
          <w:color w:val="auto"/>
          <w:sz w:val="22"/>
          <w:szCs w:val="22"/>
          <w:lang w:eastAsia="en-GB"/>
        </w:rPr>
        <w:tab/>
      </w:r>
      <w:r>
        <w:t>Market Signals</w:t>
      </w:r>
      <w:r>
        <w:tab/>
      </w:r>
      <w:r>
        <w:fldChar w:fldCharType="begin"/>
      </w:r>
      <w:r>
        <w:instrText xml:space="preserve"> PAGEREF _Toc79590821 \h </w:instrText>
      </w:r>
      <w:r>
        <w:fldChar w:fldCharType="separate"/>
      </w:r>
      <w:r w:rsidR="00E91857">
        <w:t>39</w:t>
      </w:r>
      <w:r>
        <w:fldChar w:fldCharType="end"/>
      </w:r>
    </w:p>
    <w:p w14:paraId="2877430D" w14:textId="7C2DC724" w:rsidR="00D5421B" w:rsidRDefault="00D5421B">
      <w:pPr>
        <w:pStyle w:val="TOC1"/>
        <w:rPr>
          <w:rFonts w:asciiTheme="minorHAnsi" w:hAnsiTheme="minorHAnsi" w:cstheme="minorBidi"/>
          <w:b w:val="0"/>
          <w:bCs w:val="0"/>
          <w:caps w:val="0"/>
          <w:color w:val="auto"/>
          <w:sz w:val="22"/>
          <w:szCs w:val="22"/>
          <w:lang w:eastAsia="en-GB"/>
        </w:rPr>
      </w:pPr>
      <w:r w:rsidRPr="003D2D87">
        <w:t>5</w:t>
      </w:r>
      <w:r>
        <w:rPr>
          <w:rFonts w:asciiTheme="minorHAnsi" w:hAnsiTheme="minorHAnsi" w:cstheme="minorBidi"/>
          <w:b w:val="0"/>
          <w:bCs w:val="0"/>
          <w:caps w:val="0"/>
          <w:color w:val="auto"/>
          <w:sz w:val="22"/>
          <w:szCs w:val="22"/>
          <w:lang w:eastAsia="en-GB"/>
        </w:rPr>
        <w:tab/>
      </w:r>
      <w:r>
        <w:t>Local Housing need and population growth</w:t>
      </w:r>
      <w:r>
        <w:tab/>
      </w:r>
      <w:r>
        <w:fldChar w:fldCharType="begin"/>
      </w:r>
      <w:r>
        <w:instrText xml:space="preserve"> PAGEREF _Toc79590822 \h </w:instrText>
      </w:r>
      <w:r>
        <w:fldChar w:fldCharType="separate"/>
      </w:r>
      <w:r w:rsidR="00E91857">
        <w:t>69</w:t>
      </w:r>
      <w:r>
        <w:fldChar w:fldCharType="end"/>
      </w:r>
    </w:p>
    <w:p w14:paraId="025416FA" w14:textId="72A034E1" w:rsidR="00D5421B" w:rsidRDefault="00D5421B">
      <w:pPr>
        <w:pStyle w:val="TOC1"/>
        <w:rPr>
          <w:rFonts w:asciiTheme="minorHAnsi" w:hAnsiTheme="minorHAnsi" w:cstheme="minorBidi"/>
          <w:b w:val="0"/>
          <w:bCs w:val="0"/>
          <w:caps w:val="0"/>
          <w:color w:val="auto"/>
          <w:sz w:val="22"/>
          <w:szCs w:val="22"/>
          <w:lang w:eastAsia="en-GB"/>
        </w:rPr>
      </w:pPr>
      <w:r w:rsidRPr="003D2D87">
        <w:t>6</w:t>
      </w:r>
      <w:r>
        <w:rPr>
          <w:rFonts w:asciiTheme="minorHAnsi" w:hAnsiTheme="minorHAnsi" w:cstheme="minorBidi"/>
          <w:b w:val="0"/>
          <w:bCs w:val="0"/>
          <w:caps w:val="0"/>
          <w:color w:val="auto"/>
          <w:sz w:val="22"/>
          <w:szCs w:val="22"/>
          <w:lang w:eastAsia="en-GB"/>
        </w:rPr>
        <w:tab/>
      </w:r>
      <w:r>
        <w:t>Affordable housing need</w:t>
      </w:r>
      <w:r>
        <w:tab/>
      </w:r>
      <w:r>
        <w:fldChar w:fldCharType="begin"/>
      </w:r>
      <w:r>
        <w:instrText xml:space="preserve"> PAGEREF _Toc79590823 \h </w:instrText>
      </w:r>
      <w:r>
        <w:fldChar w:fldCharType="separate"/>
      </w:r>
      <w:r w:rsidR="00E91857">
        <w:t>86</w:t>
      </w:r>
      <w:r>
        <w:fldChar w:fldCharType="end"/>
      </w:r>
    </w:p>
    <w:p w14:paraId="6F0232B5" w14:textId="7CC83210" w:rsidR="00D5421B" w:rsidRDefault="00D5421B">
      <w:pPr>
        <w:pStyle w:val="TOC1"/>
        <w:rPr>
          <w:rFonts w:asciiTheme="minorHAnsi" w:hAnsiTheme="minorHAnsi" w:cstheme="minorBidi"/>
          <w:b w:val="0"/>
          <w:bCs w:val="0"/>
          <w:caps w:val="0"/>
          <w:color w:val="auto"/>
          <w:sz w:val="22"/>
          <w:szCs w:val="22"/>
          <w:lang w:eastAsia="en-GB"/>
        </w:rPr>
      </w:pPr>
      <w:r w:rsidRPr="003D2D87">
        <w:t>7</w:t>
      </w:r>
      <w:r>
        <w:rPr>
          <w:rFonts w:asciiTheme="minorHAnsi" w:hAnsiTheme="minorHAnsi" w:cstheme="minorBidi"/>
          <w:b w:val="0"/>
          <w:bCs w:val="0"/>
          <w:caps w:val="0"/>
          <w:color w:val="auto"/>
          <w:sz w:val="22"/>
          <w:szCs w:val="22"/>
          <w:lang w:eastAsia="en-GB"/>
        </w:rPr>
        <w:tab/>
      </w:r>
      <w:r>
        <w:t>Housing Mix</w:t>
      </w:r>
      <w:r>
        <w:tab/>
      </w:r>
      <w:r>
        <w:fldChar w:fldCharType="begin"/>
      </w:r>
      <w:r>
        <w:instrText xml:space="preserve"> PAGEREF _Toc79590824 \h </w:instrText>
      </w:r>
      <w:r>
        <w:fldChar w:fldCharType="separate"/>
      </w:r>
      <w:r w:rsidR="00E91857">
        <w:t>133</w:t>
      </w:r>
      <w:r>
        <w:fldChar w:fldCharType="end"/>
      </w:r>
    </w:p>
    <w:p w14:paraId="42604B4F" w14:textId="4E4FCADA" w:rsidR="00D5421B" w:rsidRDefault="00D5421B">
      <w:pPr>
        <w:pStyle w:val="TOC1"/>
        <w:rPr>
          <w:rFonts w:asciiTheme="minorHAnsi" w:hAnsiTheme="minorHAnsi" w:cstheme="minorBidi"/>
          <w:b w:val="0"/>
          <w:bCs w:val="0"/>
          <w:caps w:val="0"/>
          <w:color w:val="auto"/>
          <w:sz w:val="22"/>
          <w:szCs w:val="22"/>
          <w:lang w:eastAsia="en-GB"/>
        </w:rPr>
      </w:pPr>
      <w:r w:rsidRPr="003D2D87">
        <w:t>8</w:t>
      </w:r>
      <w:r>
        <w:rPr>
          <w:rFonts w:asciiTheme="minorHAnsi" w:hAnsiTheme="minorHAnsi" w:cstheme="minorBidi"/>
          <w:b w:val="0"/>
          <w:bCs w:val="0"/>
          <w:caps w:val="0"/>
          <w:color w:val="auto"/>
          <w:sz w:val="22"/>
          <w:szCs w:val="22"/>
          <w:lang w:eastAsia="en-GB"/>
        </w:rPr>
        <w:tab/>
      </w:r>
      <w:r>
        <w:t>Older and disabled persons</w:t>
      </w:r>
      <w:r>
        <w:tab/>
      </w:r>
      <w:r>
        <w:fldChar w:fldCharType="begin"/>
      </w:r>
      <w:r>
        <w:instrText xml:space="preserve"> PAGEREF _Toc79590825 \h </w:instrText>
      </w:r>
      <w:r>
        <w:fldChar w:fldCharType="separate"/>
      </w:r>
      <w:r w:rsidR="00E91857">
        <w:t>172</w:t>
      </w:r>
      <w:r>
        <w:fldChar w:fldCharType="end"/>
      </w:r>
    </w:p>
    <w:p w14:paraId="0335E25B" w14:textId="5570C936" w:rsidR="00D5421B" w:rsidRDefault="00D5421B">
      <w:pPr>
        <w:pStyle w:val="TOC1"/>
        <w:rPr>
          <w:rFonts w:asciiTheme="minorHAnsi" w:hAnsiTheme="minorHAnsi" w:cstheme="minorBidi"/>
          <w:b w:val="0"/>
          <w:bCs w:val="0"/>
          <w:caps w:val="0"/>
          <w:color w:val="auto"/>
          <w:sz w:val="22"/>
          <w:szCs w:val="22"/>
          <w:lang w:eastAsia="en-GB"/>
        </w:rPr>
      </w:pPr>
      <w:r w:rsidRPr="003D2D87">
        <w:t>9</w:t>
      </w:r>
      <w:r>
        <w:rPr>
          <w:rFonts w:asciiTheme="minorHAnsi" w:hAnsiTheme="minorHAnsi" w:cstheme="minorBidi"/>
          <w:b w:val="0"/>
          <w:bCs w:val="0"/>
          <w:caps w:val="0"/>
          <w:color w:val="auto"/>
          <w:sz w:val="22"/>
          <w:szCs w:val="22"/>
          <w:lang w:eastAsia="en-GB"/>
        </w:rPr>
        <w:tab/>
      </w:r>
      <w:r>
        <w:t>Student accommodation</w:t>
      </w:r>
      <w:r>
        <w:tab/>
      </w:r>
      <w:r>
        <w:fldChar w:fldCharType="begin"/>
      </w:r>
      <w:r>
        <w:instrText xml:space="preserve"> PAGEREF _Toc79590826 \h </w:instrText>
      </w:r>
      <w:r>
        <w:fldChar w:fldCharType="separate"/>
      </w:r>
      <w:r w:rsidR="00E91857">
        <w:t>210</w:t>
      </w:r>
      <w:r>
        <w:fldChar w:fldCharType="end"/>
      </w:r>
    </w:p>
    <w:p w14:paraId="45396991" w14:textId="5E6A1890" w:rsidR="00D5421B" w:rsidRDefault="00D5421B">
      <w:pPr>
        <w:pStyle w:val="TOC1"/>
        <w:rPr>
          <w:rFonts w:asciiTheme="minorHAnsi" w:hAnsiTheme="minorHAnsi" w:cstheme="minorBidi"/>
          <w:b w:val="0"/>
          <w:bCs w:val="0"/>
          <w:caps w:val="0"/>
          <w:color w:val="auto"/>
          <w:sz w:val="22"/>
          <w:szCs w:val="22"/>
          <w:lang w:eastAsia="en-GB"/>
        </w:rPr>
      </w:pPr>
      <w:r w:rsidRPr="003D2D87">
        <w:t>10</w:t>
      </w:r>
      <w:r>
        <w:rPr>
          <w:rFonts w:asciiTheme="minorHAnsi" w:hAnsiTheme="minorHAnsi" w:cstheme="minorBidi"/>
          <w:b w:val="0"/>
          <w:bCs w:val="0"/>
          <w:caps w:val="0"/>
          <w:color w:val="auto"/>
          <w:sz w:val="22"/>
          <w:szCs w:val="22"/>
          <w:lang w:eastAsia="en-GB"/>
        </w:rPr>
        <w:tab/>
      </w:r>
      <w:r>
        <w:t>Housing Needs of Other Groups</w:t>
      </w:r>
      <w:r>
        <w:tab/>
      </w:r>
      <w:r>
        <w:fldChar w:fldCharType="begin"/>
      </w:r>
      <w:r>
        <w:instrText xml:space="preserve"> PAGEREF _Toc79590827 \h </w:instrText>
      </w:r>
      <w:r>
        <w:fldChar w:fldCharType="separate"/>
      </w:r>
      <w:r w:rsidR="00E91857">
        <w:t>225</w:t>
      </w:r>
      <w:r>
        <w:fldChar w:fldCharType="end"/>
      </w:r>
    </w:p>
    <w:p w14:paraId="4693B579" w14:textId="71B68346" w:rsidR="00D5421B" w:rsidRDefault="00D5421B">
      <w:pPr>
        <w:pStyle w:val="TOC1"/>
        <w:rPr>
          <w:rFonts w:asciiTheme="minorHAnsi" w:hAnsiTheme="minorHAnsi" w:cstheme="minorBidi"/>
          <w:b w:val="0"/>
          <w:bCs w:val="0"/>
          <w:caps w:val="0"/>
          <w:color w:val="auto"/>
          <w:sz w:val="22"/>
          <w:szCs w:val="22"/>
          <w:lang w:eastAsia="en-GB"/>
        </w:rPr>
      </w:pPr>
      <w:r>
        <w:t>Appendices</w:t>
      </w:r>
      <w:r>
        <w:tab/>
      </w:r>
      <w:r>
        <w:fldChar w:fldCharType="begin"/>
      </w:r>
      <w:r>
        <w:instrText xml:space="preserve"> PAGEREF _Toc79590828 \h </w:instrText>
      </w:r>
      <w:r>
        <w:fldChar w:fldCharType="separate"/>
      </w:r>
      <w:r w:rsidR="00E91857">
        <w:t>253</w:t>
      </w:r>
      <w:r>
        <w:fldChar w:fldCharType="end"/>
      </w:r>
    </w:p>
    <w:p w14:paraId="7E50CFA8" w14:textId="2BA5AC9D" w:rsidR="00BF481C" w:rsidRPr="005A0B3D" w:rsidRDefault="005A0B3D" w:rsidP="005A1256">
      <w:pPr>
        <w:pStyle w:val="BodyText1"/>
        <w:rPr>
          <w:rFonts w:ascii="Arial Narrow" w:hAnsi="Arial Narrow"/>
          <w:sz w:val="24"/>
          <w:szCs w:val="22"/>
        </w:rPr>
      </w:pPr>
      <w:r w:rsidRPr="005A0B3D">
        <w:rPr>
          <w:rFonts w:ascii="Arial Narrow" w:hAnsi="Arial Narrow"/>
          <w:b/>
          <w:bCs/>
          <w:caps/>
          <w:noProof/>
          <w:sz w:val="24"/>
          <w:szCs w:val="24"/>
        </w:rPr>
        <w:fldChar w:fldCharType="end"/>
      </w:r>
    </w:p>
    <w:p w14:paraId="7D3B4F99" w14:textId="77777777" w:rsidR="001E316A" w:rsidRPr="005A0B3D" w:rsidRDefault="001E316A">
      <w:pPr>
        <w:spacing w:after="200"/>
        <w:rPr>
          <w:rFonts w:ascii="Arial Narrow" w:hAnsi="Arial Narrow"/>
          <w:b/>
          <w:bCs/>
          <w:sz w:val="32"/>
          <w:szCs w:val="32"/>
        </w:rPr>
      </w:pPr>
    </w:p>
    <w:p w14:paraId="67698C40" w14:textId="77777777" w:rsidR="008221E6" w:rsidRPr="005A0B3D" w:rsidRDefault="008221E6" w:rsidP="008221E6">
      <w:pPr>
        <w:pStyle w:val="Headingbold"/>
        <w:rPr>
          <w:rFonts w:ascii="Arial Narrow" w:hAnsi="Arial Narrow"/>
          <w:sz w:val="32"/>
          <w:szCs w:val="32"/>
        </w:rPr>
      </w:pPr>
      <w:r w:rsidRPr="005A0B3D">
        <w:rPr>
          <w:rFonts w:ascii="Arial Narrow" w:hAnsi="Arial Narrow"/>
          <w:sz w:val="32"/>
          <w:szCs w:val="32"/>
        </w:rPr>
        <w:t xml:space="preserve">Appendices </w:t>
      </w:r>
    </w:p>
    <w:p w14:paraId="378ADB51" w14:textId="75A39B4D" w:rsidR="00D5421B" w:rsidRDefault="008221E6">
      <w:pPr>
        <w:pStyle w:val="TOC1"/>
        <w:tabs>
          <w:tab w:val="left" w:pos="1680"/>
        </w:tabs>
        <w:rPr>
          <w:rFonts w:asciiTheme="minorHAnsi" w:hAnsiTheme="minorHAnsi" w:cstheme="minorBidi"/>
          <w:b w:val="0"/>
          <w:bCs w:val="0"/>
          <w:caps w:val="0"/>
          <w:color w:val="auto"/>
          <w:sz w:val="22"/>
          <w:szCs w:val="22"/>
          <w:lang w:eastAsia="en-GB"/>
        </w:rPr>
      </w:pPr>
      <w:r w:rsidRPr="005A0B3D">
        <w:rPr>
          <w:rFonts w:ascii="Arial Narrow" w:hAnsi="Arial Narrow"/>
          <w:caps w:val="0"/>
        </w:rPr>
        <w:fldChar w:fldCharType="begin"/>
      </w:r>
      <w:r w:rsidRPr="005A0B3D">
        <w:rPr>
          <w:rFonts w:ascii="Arial Narrow" w:hAnsi="Arial Narrow"/>
          <w:caps w:val="0"/>
        </w:rPr>
        <w:instrText xml:space="preserve"> TOC \t "Appendices,1" </w:instrText>
      </w:r>
      <w:r w:rsidRPr="005A0B3D">
        <w:rPr>
          <w:rFonts w:ascii="Arial Narrow" w:hAnsi="Arial Narrow"/>
          <w:caps w:val="0"/>
        </w:rPr>
        <w:fldChar w:fldCharType="separate"/>
      </w:r>
      <w:r w:rsidR="00D5421B" w:rsidRPr="009949AB">
        <w:rPr>
          <w:rFonts w:ascii="Arial Bold" w:hAnsi="Arial Bold"/>
        </w:rPr>
        <w:t>APPENDIX A:</w:t>
      </w:r>
      <w:r w:rsidR="00D5421B">
        <w:rPr>
          <w:rFonts w:asciiTheme="minorHAnsi" w:hAnsiTheme="minorHAnsi" w:cstheme="minorBidi"/>
          <w:b w:val="0"/>
          <w:bCs w:val="0"/>
          <w:caps w:val="0"/>
          <w:color w:val="auto"/>
          <w:sz w:val="22"/>
          <w:szCs w:val="22"/>
          <w:lang w:eastAsia="en-GB"/>
        </w:rPr>
        <w:tab/>
      </w:r>
      <w:r w:rsidR="00D5421B">
        <w:t>Components of Population Change – local authority level</w:t>
      </w:r>
      <w:r w:rsidR="00D5421B">
        <w:tab/>
      </w:r>
      <w:r w:rsidR="00D5421B">
        <w:fldChar w:fldCharType="begin"/>
      </w:r>
      <w:r w:rsidR="00D5421B">
        <w:instrText xml:space="preserve"> PAGEREF _Toc79590829 \h </w:instrText>
      </w:r>
      <w:r w:rsidR="00D5421B">
        <w:fldChar w:fldCharType="separate"/>
      </w:r>
      <w:r w:rsidR="00D5421B">
        <w:t>253</w:t>
      </w:r>
      <w:r w:rsidR="00D5421B">
        <w:fldChar w:fldCharType="end"/>
      </w:r>
    </w:p>
    <w:p w14:paraId="650C8F2F" w14:textId="7052288F" w:rsidR="00D5421B" w:rsidRDefault="00D5421B">
      <w:pPr>
        <w:pStyle w:val="TOC1"/>
        <w:tabs>
          <w:tab w:val="left" w:pos="1680"/>
        </w:tabs>
        <w:rPr>
          <w:rFonts w:asciiTheme="minorHAnsi" w:hAnsiTheme="minorHAnsi" w:cstheme="minorBidi"/>
          <w:b w:val="0"/>
          <w:bCs w:val="0"/>
          <w:caps w:val="0"/>
          <w:color w:val="auto"/>
          <w:sz w:val="22"/>
          <w:szCs w:val="22"/>
          <w:lang w:eastAsia="en-GB"/>
        </w:rPr>
      </w:pPr>
      <w:r w:rsidRPr="009949AB">
        <w:rPr>
          <w:rFonts w:ascii="Arial Bold" w:hAnsi="Arial Bold"/>
        </w:rPr>
        <w:t>APPENDIX B:</w:t>
      </w:r>
      <w:r>
        <w:rPr>
          <w:rFonts w:asciiTheme="minorHAnsi" w:hAnsiTheme="minorHAnsi" w:cstheme="minorBidi"/>
          <w:b w:val="0"/>
          <w:bCs w:val="0"/>
          <w:caps w:val="0"/>
          <w:color w:val="auto"/>
          <w:sz w:val="22"/>
          <w:szCs w:val="22"/>
          <w:lang w:eastAsia="en-GB"/>
        </w:rPr>
        <w:tab/>
      </w:r>
      <w:r>
        <w:t>Past and Projected Population Growth - local authority level</w:t>
      </w:r>
      <w:r>
        <w:tab/>
      </w:r>
      <w:r>
        <w:tab/>
      </w:r>
      <w:r>
        <w:tab/>
      </w:r>
      <w:r>
        <w:tab/>
      </w:r>
      <w:r>
        <w:fldChar w:fldCharType="begin"/>
      </w:r>
      <w:r>
        <w:instrText xml:space="preserve"> PAGEREF _Toc79590830 \h </w:instrText>
      </w:r>
      <w:r>
        <w:fldChar w:fldCharType="separate"/>
      </w:r>
      <w:r>
        <w:t>256</w:t>
      </w:r>
      <w:r>
        <w:fldChar w:fldCharType="end"/>
      </w:r>
    </w:p>
    <w:p w14:paraId="2DDDF955" w14:textId="13E67D7A" w:rsidR="00D5421B" w:rsidRDefault="00D5421B">
      <w:pPr>
        <w:pStyle w:val="TOC1"/>
        <w:tabs>
          <w:tab w:val="left" w:pos="1680"/>
        </w:tabs>
        <w:rPr>
          <w:rFonts w:asciiTheme="minorHAnsi" w:hAnsiTheme="minorHAnsi" w:cstheme="minorBidi"/>
          <w:b w:val="0"/>
          <w:bCs w:val="0"/>
          <w:caps w:val="0"/>
          <w:color w:val="auto"/>
          <w:sz w:val="22"/>
          <w:szCs w:val="22"/>
          <w:lang w:eastAsia="en-GB"/>
        </w:rPr>
      </w:pPr>
      <w:r w:rsidRPr="009949AB">
        <w:rPr>
          <w:rFonts w:ascii="Arial Bold" w:hAnsi="Arial Bold"/>
        </w:rPr>
        <w:t>APPENDIX C:</w:t>
      </w:r>
      <w:r>
        <w:rPr>
          <w:rFonts w:asciiTheme="minorHAnsi" w:hAnsiTheme="minorHAnsi" w:cstheme="minorBidi"/>
          <w:b w:val="0"/>
          <w:bCs w:val="0"/>
          <w:caps w:val="0"/>
          <w:color w:val="auto"/>
          <w:sz w:val="22"/>
          <w:szCs w:val="22"/>
          <w:lang w:eastAsia="en-GB"/>
        </w:rPr>
        <w:tab/>
      </w:r>
      <w:r>
        <w:t>Population change 2020 to 2040 by age bands – local authority level</w:t>
      </w:r>
      <w:r>
        <w:tab/>
      </w:r>
      <w:r>
        <w:tab/>
      </w:r>
      <w:r>
        <w:tab/>
      </w:r>
      <w:r>
        <w:fldChar w:fldCharType="begin"/>
      </w:r>
      <w:r>
        <w:instrText xml:space="preserve"> PAGEREF _Toc79590831 \h </w:instrText>
      </w:r>
      <w:r>
        <w:fldChar w:fldCharType="separate"/>
      </w:r>
      <w:r>
        <w:t>259</w:t>
      </w:r>
      <w:r>
        <w:fldChar w:fldCharType="end"/>
      </w:r>
    </w:p>
    <w:p w14:paraId="37B30400" w14:textId="29EF90CC" w:rsidR="00D5421B" w:rsidRDefault="00D5421B">
      <w:pPr>
        <w:pStyle w:val="TOC1"/>
        <w:tabs>
          <w:tab w:val="left" w:pos="1680"/>
        </w:tabs>
        <w:rPr>
          <w:rFonts w:asciiTheme="minorHAnsi" w:hAnsiTheme="minorHAnsi" w:cstheme="minorBidi"/>
          <w:b w:val="0"/>
          <w:bCs w:val="0"/>
          <w:caps w:val="0"/>
          <w:color w:val="auto"/>
          <w:sz w:val="22"/>
          <w:szCs w:val="22"/>
          <w:lang w:eastAsia="en-GB"/>
        </w:rPr>
      </w:pPr>
      <w:r w:rsidRPr="009949AB">
        <w:rPr>
          <w:rFonts w:ascii="Arial Bold" w:hAnsi="Arial Bold"/>
        </w:rPr>
        <w:t>APPENDIX D:</w:t>
      </w:r>
      <w:r>
        <w:rPr>
          <w:rFonts w:asciiTheme="minorHAnsi" w:hAnsiTheme="minorHAnsi" w:cstheme="minorBidi"/>
          <w:b w:val="0"/>
          <w:bCs w:val="0"/>
          <w:caps w:val="0"/>
          <w:color w:val="auto"/>
          <w:sz w:val="22"/>
          <w:szCs w:val="22"/>
          <w:lang w:eastAsia="en-GB"/>
        </w:rPr>
        <w:tab/>
      </w:r>
      <w:r>
        <w:t>District Summaries</w:t>
      </w:r>
      <w:r>
        <w:tab/>
      </w:r>
      <w:r>
        <w:fldChar w:fldCharType="begin"/>
      </w:r>
      <w:r>
        <w:instrText xml:space="preserve"> PAGEREF _Toc79590832 \h </w:instrText>
      </w:r>
      <w:r>
        <w:fldChar w:fldCharType="separate"/>
      </w:r>
      <w:r>
        <w:t>266</w:t>
      </w:r>
      <w:r>
        <w:fldChar w:fldCharType="end"/>
      </w:r>
    </w:p>
    <w:p w14:paraId="69AD50D5" w14:textId="4AF722CD" w:rsidR="00D5421B" w:rsidRDefault="00D5421B">
      <w:pPr>
        <w:pStyle w:val="TOC1"/>
        <w:tabs>
          <w:tab w:val="left" w:pos="1680"/>
        </w:tabs>
        <w:rPr>
          <w:rFonts w:asciiTheme="minorHAnsi" w:hAnsiTheme="minorHAnsi" w:cstheme="minorBidi"/>
          <w:b w:val="0"/>
          <w:bCs w:val="0"/>
          <w:caps w:val="0"/>
          <w:color w:val="auto"/>
          <w:sz w:val="22"/>
          <w:szCs w:val="22"/>
          <w:lang w:eastAsia="en-GB"/>
        </w:rPr>
      </w:pPr>
      <w:r w:rsidRPr="009949AB">
        <w:rPr>
          <w:rFonts w:ascii="Arial Bold" w:hAnsi="Arial Bold" w:cstheme="minorHAnsi"/>
        </w:rPr>
        <w:t>APPENDIX E:</w:t>
      </w:r>
      <w:r>
        <w:rPr>
          <w:rFonts w:asciiTheme="minorHAnsi" w:hAnsiTheme="minorHAnsi" w:cstheme="minorBidi"/>
          <w:b w:val="0"/>
          <w:bCs w:val="0"/>
          <w:caps w:val="0"/>
          <w:color w:val="auto"/>
          <w:sz w:val="22"/>
          <w:szCs w:val="22"/>
          <w:lang w:eastAsia="en-GB"/>
        </w:rPr>
        <w:tab/>
      </w:r>
      <w:r w:rsidRPr="009949AB">
        <w:t>Glossary</w:t>
      </w:r>
      <w:r>
        <w:tab/>
      </w:r>
      <w:r>
        <w:fldChar w:fldCharType="begin"/>
      </w:r>
      <w:r>
        <w:instrText xml:space="preserve"> PAGEREF _Toc79590833 \h </w:instrText>
      </w:r>
      <w:r>
        <w:fldChar w:fldCharType="separate"/>
      </w:r>
      <w:r>
        <w:t>297</w:t>
      </w:r>
      <w:r>
        <w:fldChar w:fldCharType="end"/>
      </w:r>
    </w:p>
    <w:p w14:paraId="4E073EE5" w14:textId="3902FD9B" w:rsidR="008221E6" w:rsidRPr="00BD6987" w:rsidRDefault="008221E6" w:rsidP="008221E6">
      <w:pPr>
        <w:pStyle w:val="Headingbold"/>
      </w:pPr>
      <w:r w:rsidRPr="005A0B3D">
        <w:rPr>
          <w:rFonts w:ascii="Arial Narrow" w:hAnsi="Arial Narrow"/>
          <w:sz w:val="20"/>
          <w:szCs w:val="20"/>
        </w:rPr>
        <w:fldChar w:fldCharType="end"/>
      </w:r>
    </w:p>
    <w:p w14:paraId="0704A618" w14:textId="77777777" w:rsidR="003773E9" w:rsidRPr="00BD6987" w:rsidRDefault="003773E9" w:rsidP="008221E6">
      <w:pPr>
        <w:pStyle w:val="Headingbold"/>
        <w:sectPr w:rsidR="003773E9" w:rsidRPr="00BD6987" w:rsidSect="001327CF">
          <w:type w:val="continuous"/>
          <w:pgSz w:w="11900" w:h="16840"/>
          <w:pgMar w:top="2438" w:right="851" w:bottom="1418" w:left="1418" w:header="709" w:footer="709" w:gutter="0"/>
          <w:cols w:space="720"/>
          <w:formProt w:val="0"/>
          <w:titlePg/>
        </w:sectPr>
      </w:pPr>
    </w:p>
    <w:p w14:paraId="5864A475" w14:textId="77777777" w:rsidR="005C1EB2" w:rsidRDefault="005C1EB2" w:rsidP="00F67C02">
      <w:pPr>
        <w:pStyle w:val="Headingbold"/>
        <w:suppressLineNumbers/>
      </w:pPr>
      <w:bookmarkStart w:id="1" w:name="_Toc192318293"/>
      <w:r w:rsidRPr="007E5934">
        <w:lastRenderedPageBreak/>
        <w:t>Quality Standards</w:t>
      </w:r>
      <w:r w:rsidRPr="005C1EB2">
        <w:t xml:space="preserve"> Control</w:t>
      </w:r>
      <w:bookmarkEnd w:id="1"/>
    </w:p>
    <w:p w14:paraId="2806101F" w14:textId="77777777" w:rsidR="00923C8D" w:rsidRPr="00923C8D" w:rsidRDefault="00923C8D" w:rsidP="00F67C02">
      <w:pPr>
        <w:pStyle w:val="Headingbold"/>
        <w:suppressLineNumbers/>
      </w:pPr>
    </w:p>
    <w:tbl>
      <w:tblPr>
        <w:tblW w:w="9639" w:type="dxa"/>
        <w:tblLayout w:type="fixed"/>
        <w:tblCellMar>
          <w:left w:w="0" w:type="dxa"/>
          <w:right w:w="0" w:type="dxa"/>
        </w:tblCellMar>
        <w:tblLook w:val="04A0" w:firstRow="1" w:lastRow="0" w:firstColumn="1" w:lastColumn="0" w:noHBand="0" w:noVBand="1"/>
      </w:tblPr>
      <w:tblGrid>
        <w:gridCol w:w="2268"/>
        <w:gridCol w:w="3261"/>
        <w:gridCol w:w="425"/>
        <w:gridCol w:w="3685"/>
      </w:tblGrid>
      <w:tr w:rsidR="00D034A2" w14:paraId="52713B7A" w14:textId="77777777" w:rsidTr="00747875">
        <w:trPr>
          <w:trHeight w:hRule="exact" w:val="1945"/>
        </w:trPr>
        <w:tc>
          <w:tcPr>
            <w:tcW w:w="9639" w:type="dxa"/>
            <w:gridSpan w:val="4"/>
          </w:tcPr>
          <w:p w14:paraId="0BA53328" w14:textId="77777777" w:rsidR="00D034A2" w:rsidRPr="005A0B3D" w:rsidRDefault="00D034A2" w:rsidP="00D034A2">
            <w:pPr>
              <w:pStyle w:val="BodyText1"/>
              <w:suppressLineNumbers/>
              <w:rPr>
                <w:rFonts w:ascii="Arial Narrow" w:hAnsi="Arial Narrow"/>
                <w:sz w:val="24"/>
                <w:szCs w:val="22"/>
              </w:rPr>
            </w:pPr>
            <w:r w:rsidRPr="005A0B3D">
              <w:rPr>
                <w:rFonts w:ascii="Arial Narrow" w:hAnsi="Arial Narrow"/>
                <w:sz w:val="24"/>
                <w:szCs w:val="22"/>
              </w:rPr>
              <w:t>The signatories below verify that this document has been prepared in accordance with our quality control requirements. These procedures do not affect the content and views expressed by the originator.</w:t>
            </w:r>
          </w:p>
          <w:p w14:paraId="5BA83A5B" w14:textId="77777777" w:rsidR="00D034A2" w:rsidRPr="005A0B3D" w:rsidRDefault="00D034A2" w:rsidP="00D034A2">
            <w:pPr>
              <w:pStyle w:val="BodyText1"/>
              <w:suppressLineNumbers/>
              <w:rPr>
                <w:rFonts w:ascii="Arial Narrow" w:hAnsi="Arial Narrow"/>
                <w:sz w:val="24"/>
                <w:szCs w:val="22"/>
              </w:rPr>
            </w:pPr>
          </w:p>
          <w:p w14:paraId="5FD39112" w14:textId="728C0D63" w:rsidR="00D034A2" w:rsidRPr="005A0B3D" w:rsidRDefault="00D034A2" w:rsidP="00F67C02">
            <w:pPr>
              <w:pStyle w:val="BodyText1"/>
              <w:suppressLineNumbers/>
              <w:rPr>
                <w:rFonts w:ascii="Arial Narrow" w:hAnsi="Arial Narrow"/>
                <w:sz w:val="24"/>
                <w:szCs w:val="22"/>
              </w:rPr>
            </w:pPr>
            <w:r w:rsidRPr="005A0B3D">
              <w:rPr>
                <w:rFonts w:ascii="Arial Narrow" w:hAnsi="Arial Narrow"/>
                <w:sz w:val="24"/>
                <w:szCs w:val="22"/>
              </w:rPr>
              <w:t>This document must only be treated as a draft unless it has been signed by the Originators and approved by a Business or Associate Director.</w:t>
            </w:r>
          </w:p>
        </w:tc>
      </w:tr>
      <w:tr w:rsidR="00230584" w14:paraId="626EA12F" w14:textId="77777777" w:rsidTr="00A041A7">
        <w:trPr>
          <w:trHeight w:hRule="exact" w:val="312"/>
        </w:trPr>
        <w:tc>
          <w:tcPr>
            <w:tcW w:w="2268" w:type="dxa"/>
            <w:vAlign w:val="center"/>
          </w:tcPr>
          <w:p w14:paraId="5D038C4A" w14:textId="77777777" w:rsidR="00230584" w:rsidRPr="005A0B3D" w:rsidRDefault="00230584" w:rsidP="00F67C02">
            <w:pPr>
              <w:pStyle w:val="BodyText1"/>
              <w:suppressLineNumbers/>
              <w:rPr>
                <w:rFonts w:ascii="Arial Narrow" w:hAnsi="Arial Narrow"/>
                <w:sz w:val="24"/>
                <w:szCs w:val="22"/>
              </w:rPr>
            </w:pPr>
            <w:r w:rsidRPr="005A0B3D">
              <w:rPr>
                <w:rFonts w:ascii="Arial Narrow" w:hAnsi="Arial Narrow"/>
                <w:sz w:val="24"/>
                <w:szCs w:val="22"/>
              </w:rPr>
              <w:t>DATE</w:t>
            </w:r>
          </w:p>
        </w:tc>
        <w:tc>
          <w:tcPr>
            <w:tcW w:w="3261" w:type="dxa"/>
            <w:vAlign w:val="center"/>
          </w:tcPr>
          <w:p w14:paraId="6C29CBF8" w14:textId="77777777" w:rsidR="00230584" w:rsidRPr="005A0B3D" w:rsidRDefault="00230584" w:rsidP="00F67C02">
            <w:pPr>
              <w:pStyle w:val="BodyText1"/>
              <w:suppressLineNumbers/>
              <w:rPr>
                <w:rFonts w:ascii="Arial Narrow" w:hAnsi="Arial Narrow"/>
                <w:sz w:val="24"/>
                <w:szCs w:val="22"/>
              </w:rPr>
            </w:pPr>
            <w:r w:rsidRPr="005A0B3D">
              <w:rPr>
                <w:rFonts w:ascii="Arial Narrow" w:hAnsi="Arial Narrow"/>
                <w:sz w:val="24"/>
                <w:szCs w:val="22"/>
              </w:rPr>
              <w:t>ORIGINATORS</w:t>
            </w:r>
          </w:p>
        </w:tc>
        <w:tc>
          <w:tcPr>
            <w:tcW w:w="425" w:type="dxa"/>
            <w:vAlign w:val="center"/>
          </w:tcPr>
          <w:p w14:paraId="1A82E82D" w14:textId="77777777" w:rsidR="00230584" w:rsidRPr="005A0B3D" w:rsidRDefault="00230584" w:rsidP="00F67C02">
            <w:pPr>
              <w:pStyle w:val="BodyText1"/>
              <w:suppressLineNumbers/>
              <w:rPr>
                <w:rFonts w:ascii="Arial Narrow" w:hAnsi="Arial Narrow"/>
                <w:sz w:val="24"/>
                <w:szCs w:val="22"/>
              </w:rPr>
            </w:pPr>
          </w:p>
        </w:tc>
        <w:tc>
          <w:tcPr>
            <w:tcW w:w="3685" w:type="dxa"/>
            <w:vAlign w:val="center"/>
          </w:tcPr>
          <w:p w14:paraId="2B11BC39" w14:textId="77777777" w:rsidR="00230584" w:rsidRPr="005A0B3D" w:rsidRDefault="00230584" w:rsidP="00A041A7">
            <w:pPr>
              <w:pStyle w:val="BodyText1"/>
              <w:suppressLineNumbers/>
              <w:ind w:left="4"/>
              <w:rPr>
                <w:rFonts w:ascii="Arial Narrow" w:hAnsi="Arial Narrow"/>
                <w:sz w:val="24"/>
                <w:szCs w:val="22"/>
              </w:rPr>
            </w:pPr>
            <w:r w:rsidRPr="005A0B3D">
              <w:rPr>
                <w:rFonts w:ascii="Arial Narrow" w:hAnsi="Arial Narrow"/>
                <w:sz w:val="24"/>
                <w:szCs w:val="22"/>
              </w:rPr>
              <w:t>APPROVED</w:t>
            </w:r>
          </w:p>
        </w:tc>
      </w:tr>
      <w:tr w:rsidR="00230584" w14:paraId="58C382AA" w14:textId="77777777" w:rsidTr="00A041A7">
        <w:trPr>
          <w:trHeight w:hRule="exact" w:val="284"/>
        </w:trPr>
        <w:tc>
          <w:tcPr>
            <w:tcW w:w="2268" w:type="dxa"/>
            <w:vAlign w:val="center"/>
          </w:tcPr>
          <w:p w14:paraId="492A770B" w14:textId="19FC5B37" w:rsidR="00230584" w:rsidRPr="005A0B3D" w:rsidRDefault="003958EF" w:rsidP="00747875">
            <w:pPr>
              <w:pStyle w:val="BodyText1"/>
              <w:rPr>
                <w:rFonts w:ascii="Arial Narrow" w:hAnsi="Arial Narrow"/>
                <w:sz w:val="24"/>
                <w:szCs w:val="22"/>
              </w:rPr>
            </w:pPr>
            <w:r w:rsidRPr="005A0B3D">
              <w:rPr>
                <w:rFonts w:ascii="Arial Narrow" w:hAnsi="Arial Narrow"/>
                <w:sz w:val="24"/>
                <w:szCs w:val="22"/>
              </w:rPr>
              <w:t xml:space="preserve">August </w:t>
            </w:r>
            <w:r w:rsidR="008E6E40" w:rsidRPr="005A0B3D">
              <w:rPr>
                <w:rFonts w:ascii="Arial Narrow" w:hAnsi="Arial Narrow"/>
                <w:sz w:val="24"/>
                <w:szCs w:val="22"/>
              </w:rPr>
              <w:t>2021</w:t>
            </w:r>
          </w:p>
        </w:tc>
        <w:tc>
          <w:tcPr>
            <w:tcW w:w="3261" w:type="dxa"/>
            <w:vAlign w:val="center"/>
          </w:tcPr>
          <w:p w14:paraId="62AA3BEF" w14:textId="77777777" w:rsidR="00123C40" w:rsidRPr="005A0B3D" w:rsidRDefault="00123C40" w:rsidP="008B0419">
            <w:pPr>
              <w:pStyle w:val="BodyText1"/>
              <w:suppressLineNumbers/>
              <w:spacing w:line="240" w:lineRule="auto"/>
              <w:rPr>
                <w:rFonts w:ascii="Arial Narrow" w:hAnsi="Arial Narrow"/>
                <w:sz w:val="24"/>
                <w:szCs w:val="22"/>
              </w:rPr>
            </w:pPr>
            <w:r w:rsidRPr="005A0B3D">
              <w:rPr>
                <w:rFonts w:ascii="Arial Narrow" w:hAnsi="Arial Narrow"/>
                <w:sz w:val="24"/>
                <w:szCs w:val="22"/>
              </w:rPr>
              <w:t>Ivan Tennant, Associate Director</w:t>
            </w:r>
          </w:p>
          <w:p w14:paraId="7D25BB35" w14:textId="6CA136DF" w:rsidR="00230584" w:rsidRPr="005A0B3D" w:rsidRDefault="00230584" w:rsidP="008B0419">
            <w:pPr>
              <w:pStyle w:val="BodyText1"/>
              <w:suppressLineNumbers/>
              <w:spacing w:line="240" w:lineRule="auto"/>
              <w:rPr>
                <w:rFonts w:ascii="Arial Narrow" w:hAnsi="Arial Narrow"/>
                <w:sz w:val="24"/>
                <w:szCs w:val="22"/>
              </w:rPr>
            </w:pPr>
          </w:p>
        </w:tc>
        <w:tc>
          <w:tcPr>
            <w:tcW w:w="425" w:type="dxa"/>
            <w:vAlign w:val="center"/>
          </w:tcPr>
          <w:p w14:paraId="2B8BD4C5" w14:textId="77777777" w:rsidR="00230584" w:rsidRPr="005A0B3D" w:rsidRDefault="00230584" w:rsidP="00F67C02">
            <w:pPr>
              <w:pStyle w:val="BodyText1"/>
              <w:suppressLineNumbers/>
              <w:rPr>
                <w:rFonts w:ascii="Arial Narrow" w:hAnsi="Arial Narrow"/>
                <w:sz w:val="24"/>
                <w:szCs w:val="22"/>
              </w:rPr>
            </w:pPr>
          </w:p>
        </w:tc>
        <w:tc>
          <w:tcPr>
            <w:tcW w:w="3685" w:type="dxa"/>
            <w:vAlign w:val="center"/>
          </w:tcPr>
          <w:p w14:paraId="2E6E4E6D" w14:textId="2AB6AF24" w:rsidR="00230584" w:rsidRPr="005A0B3D" w:rsidRDefault="001E316A" w:rsidP="00A041A7">
            <w:pPr>
              <w:pStyle w:val="BodyText1"/>
              <w:suppressLineNumbers/>
              <w:ind w:left="4"/>
              <w:rPr>
                <w:rFonts w:ascii="Arial Narrow" w:hAnsi="Arial Narrow"/>
                <w:sz w:val="24"/>
                <w:szCs w:val="22"/>
              </w:rPr>
            </w:pPr>
            <w:r w:rsidRPr="005A0B3D">
              <w:rPr>
                <w:rFonts w:ascii="Arial Narrow" w:hAnsi="Arial Narrow"/>
                <w:sz w:val="24"/>
                <w:szCs w:val="22"/>
              </w:rPr>
              <w:t>Paul McColgan</w:t>
            </w:r>
            <w:r w:rsidR="0038611B" w:rsidRPr="005A0B3D">
              <w:rPr>
                <w:rFonts w:ascii="Arial Narrow" w:hAnsi="Arial Narrow"/>
                <w:sz w:val="24"/>
                <w:szCs w:val="22"/>
              </w:rPr>
              <w:t>, Director</w:t>
            </w:r>
            <w:r w:rsidR="00781830">
              <w:rPr>
                <w:rFonts w:ascii="Arial Narrow" w:hAnsi="Arial Narrow"/>
                <w:sz w:val="24"/>
                <w:szCs w:val="22"/>
              </w:rPr>
              <w:t>, Iceni Projects</w:t>
            </w:r>
          </w:p>
        </w:tc>
      </w:tr>
      <w:tr w:rsidR="00230584" w14:paraId="7C864A77" w14:textId="77777777" w:rsidTr="00A041A7">
        <w:trPr>
          <w:trHeight w:hRule="exact" w:val="691"/>
        </w:trPr>
        <w:tc>
          <w:tcPr>
            <w:tcW w:w="2268" w:type="dxa"/>
            <w:vAlign w:val="center"/>
          </w:tcPr>
          <w:p w14:paraId="5F789025" w14:textId="77777777" w:rsidR="00230584" w:rsidRDefault="00230584" w:rsidP="00F67C02">
            <w:pPr>
              <w:pStyle w:val="BodyText1"/>
              <w:suppressLineNumbers/>
            </w:pPr>
          </w:p>
        </w:tc>
        <w:tc>
          <w:tcPr>
            <w:tcW w:w="3261" w:type="dxa"/>
            <w:vAlign w:val="center"/>
          </w:tcPr>
          <w:p w14:paraId="1386BF4A" w14:textId="77777777" w:rsidR="00A466FD" w:rsidRDefault="00A466FD" w:rsidP="008B0419">
            <w:pPr>
              <w:pStyle w:val="BodyText1"/>
              <w:suppressLineNumbers/>
              <w:spacing w:line="240" w:lineRule="auto"/>
            </w:pPr>
          </w:p>
        </w:tc>
        <w:tc>
          <w:tcPr>
            <w:tcW w:w="425" w:type="dxa"/>
            <w:vAlign w:val="center"/>
          </w:tcPr>
          <w:p w14:paraId="33652E7C" w14:textId="77777777" w:rsidR="00230584" w:rsidRDefault="00230584" w:rsidP="00F67C02">
            <w:pPr>
              <w:pStyle w:val="BodyText1"/>
              <w:suppressLineNumbers/>
            </w:pPr>
          </w:p>
        </w:tc>
        <w:tc>
          <w:tcPr>
            <w:tcW w:w="3685" w:type="dxa"/>
            <w:vAlign w:val="center"/>
          </w:tcPr>
          <w:p w14:paraId="4BB51227" w14:textId="77777777" w:rsidR="00230584" w:rsidRDefault="00230584" w:rsidP="00A041A7">
            <w:pPr>
              <w:pStyle w:val="BodyText1"/>
              <w:suppressLineNumbers/>
              <w:ind w:left="4"/>
            </w:pPr>
          </w:p>
        </w:tc>
      </w:tr>
      <w:tr w:rsidR="00230584" w14:paraId="1D73BC01" w14:textId="77777777" w:rsidTr="00A041A7">
        <w:trPr>
          <w:trHeight w:hRule="exact" w:val="1174"/>
        </w:trPr>
        <w:tc>
          <w:tcPr>
            <w:tcW w:w="2268" w:type="dxa"/>
          </w:tcPr>
          <w:p w14:paraId="46E3B170" w14:textId="77777777" w:rsidR="00230584" w:rsidRDefault="00230584" w:rsidP="00F67C02">
            <w:pPr>
              <w:pStyle w:val="BodyText1"/>
              <w:suppressLineNumbers/>
            </w:pPr>
          </w:p>
        </w:tc>
        <w:tc>
          <w:tcPr>
            <w:tcW w:w="3261" w:type="dxa"/>
            <w:tcBorders>
              <w:bottom w:val="single" w:sz="2" w:space="0" w:color="000000" w:themeColor="text1"/>
            </w:tcBorders>
          </w:tcPr>
          <w:p w14:paraId="3AC030FC" w14:textId="384991FC" w:rsidR="00230584" w:rsidRDefault="00123C40" w:rsidP="00F67C02">
            <w:pPr>
              <w:pStyle w:val="BodyText1"/>
              <w:suppressLineNumbers/>
            </w:pPr>
            <w:r>
              <w:rPr>
                <w:noProof/>
                <w:lang w:eastAsia="en-GB"/>
              </w:rPr>
              <w:drawing>
                <wp:inline distT="0" distB="0" distL="0" distR="0" wp14:anchorId="4477746B" wp14:editId="36743010">
                  <wp:extent cx="1731645" cy="745490"/>
                  <wp:effectExtent l="0" t="0" r="190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7"/>
                          <a:stretch>
                            <a:fillRect/>
                          </a:stretch>
                        </pic:blipFill>
                        <pic:spPr>
                          <a:xfrm>
                            <a:off x="0" y="0"/>
                            <a:ext cx="1731645" cy="745490"/>
                          </a:xfrm>
                          <a:prstGeom prst="rect">
                            <a:avLst/>
                          </a:prstGeom>
                        </pic:spPr>
                      </pic:pic>
                    </a:graphicData>
                  </a:graphic>
                </wp:inline>
              </w:drawing>
            </w:r>
          </w:p>
          <w:p w14:paraId="281AF96B" w14:textId="2FB0303F" w:rsidR="00123C40" w:rsidRDefault="00123C40" w:rsidP="00F67C02">
            <w:pPr>
              <w:pStyle w:val="BodyText1"/>
              <w:suppressLineNumbers/>
            </w:pPr>
          </w:p>
        </w:tc>
        <w:tc>
          <w:tcPr>
            <w:tcW w:w="425" w:type="dxa"/>
          </w:tcPr>
          <w:p w14:paraId="2DDF4EA5" w14:textId="77777777" w:rsidR="00230584" w:rsidRDefault="00230584" w:rsidP="00F67C02">
            <w:pPr>
              <w:pStyle w:val="BodyText1"/>
              <w:suppressLineNumbers/>
            </w:pPr>
          </w:p>
        </w:tc>
        <w:tc>
          <w:tcPr>
            <w:tcW w:w="3685" w:type="dxa"/>
            <w:tcBorders>
              <w:bottom w:val="single" w:sz="2" w:space="0" w:color="auto"/>
            </w:tcBorders>
          </w:tcPr>
          <w:p w14:paraId="6AD8E26F" w14:textId="735AE6BD" w:rsidR="00230584" w:rsidRDefault="00B46976" w:rsidP="00A041A7">
            <w:pPr>
              <w:pStyle w:val="BodyText1"/>
              <w:suppressLineNumbers/>
              <w:ind w:left="4"/>
            </w:pPr>
            <w:r>
              <w:rPr>
                <w:noProof/>
                <w:lang w:eastAsia="en-GB"/>
              </w:rPr>
              <w:drawing>
                <wp:inline distT="0" distB="0" distL="0" distR="0" wp14:anchorId="014E7556" wp14:editId="1EE242AD">
                  <wp:extent cx="1694815" cy="745490"/>
                  <wp:effectExtent l="0" t="0" r="63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4815" cy="745490"/>
                          </a:xfrm>
                          <a:prstGeom prst="rect">
                            <a:avLst/>
                          </a:prstGeom>
                          <a:noFill/>
                          <a:ln>
                            <a:noFill/>
                          </a:ln>
                        </pic:spPr>
                      </pic:pic>
                    </a:graphicData>
                  </a:graphic>
                </wp:inline>
              </w:drawing>
            </w:r>
          </w:p>
        </w:tc>
      </w:tr>
      <w:tr w:rsidR="00D034A2" w14:paraId="0AAB6613" w14:textId="77777777" w:rsidTr="00747875">
        <w:trPr>
          <w:trHeight w:val="1476"/>
        </w:trPr>
        <w:tc>
          <w:tcPr>
            <w:tcW w:w="9639" w:type="dxa"/>
            <w:gridSpan w:val="4"/>
            <w:tcMar>
              <w:top w:w="284" w:type="dxa"/>
            </w:tcMar>
          </w:tcPr>
          <w:p w14:paraId="12ED2A56" w14:textId="63503776" w:rsidR="00B46976" w:rsidRDefault="00B46976" w:rsidP="00D034A2">
            <w:pPr>
              <w:pStyle w:val="BodyText1"/>
              <w:suppressLineNumbers/>
            </w:pPr>
          </w:p>
          <w:p w14:paraId="0C2502BF" w14:textId="114100D9" w:rsidR="00B46976" w:rsidRDefault="00B46976" w:rsidP="00D034A2">
            <w:pPr>
              <w:pStyle w:val="BodyText1"/>
              <w:suppressLineNumbers/>
            </w:pPr>
          </w:p>
          <w:p w14:paraId="4A6893CA" w14:textId="77777777" w:rsidR="00B46976" w:rsidRDefault="00B46976" w:rsidP="00D034A2">
            <w:pPr>
              <w:pStyle w:val="BodyText1"/>
              <w:suppressLineNumbers/>
            </w:pPr>
          </w:p>
          <w:p w14:paraId="3FCC47D8" w14:textId="77777777" w:rsidR="00B46976" w:rsidRDefault="00B46976" w:rsidP="00D034A2">
            <w:pPr>
              <w:pStyle w:val="BodyText1"/>
              <w:suppressLineNumbers/>
            </w:pPr>
          </w:p>
          <w:p w14:paraId="7C00399E" w14:textId="1379B974" w:rsidR="00D034A2" w:rsidRPr="005A0B3D" w:rsidRDefault="00D034A2" w:rsidP="00D034A2">
            <w:pPr>
              <w:pStyle w:val="BodyText1"/>
              <w:suppressLineNumbers/>
              <w:rPr>
                <w:rFonts w:ascii="Arial Narrow" w:hAnsi="Arial Narrow"/>
              </w:rPr>
            </w:pPr>
            <w:r w:rsidRPr="005A0B3D">
              <w:rPr>
                <w:rFonts w:ascii="Arial Narrow" w:hAnsi="Arial Narrow"/>
              </w:rPr>
              <w:t>Limitations</w:t>
            </w:r>
          </w:p>
          <w:p w14:paraId="2FAF58A3" w14:textId="77777777" w:rsidR="00D034A2" w:rsidRPr="005A0B3D" w:rsidRDefault="00D034A2" w:rsidP="00D034A2">
            <w:pPr>
              <w:pStyle w:val="BodyText1"/>
              <w:suppressLineNumbers/>
              <w:rPr>
                <w:rFonts w:ascii="Arial Narrow" w:hAnsi="Arial Narrow"/>
              </w:rPr>
            </w:pPr>
            <w:r w:rsidRPr="005A0B3D">
              <w:rPr>
                <w:rFonts w:ascii="Arial Narrow" w:hAnsi="Arial Narrow"/>
              </w:rPr>
              <w:t>This document has been prepared for the stated objective and should not be used for any other purpose without the prior written authority of GL Hearn; we accept no responsibility or liability for the consequences of this document being used for a purpose other than for which it was commissioned.</w:t>
            </w:r>
          </w:p>
          <w:p w14:paraId="74E830F7" w14:textId="77777777" w:rsidR="00D034A2" w:rsidRDefault="00D034A2" w:rsidP="00F67C02">
            <w:pPr>
              <w:pStyle w:val="BodyText1"/>
              <w:suppressLineNumbers/>
            </w:pPr>
          </w:p>
        </w:tc>
      </w:tr>
    </w:tbl>
    <w:p w14:paraId="6C77A192" w14:textId="77777777" w:rsidR="00ED59EA" w:rsidRDefault="00ED59EA" w:rsidP="00F67C02">
      <w:pPr>
        <w:suppressLineNumbers/>
        <w:rPr>
          <w:szCs w:val="18"/>
        </w:rPr>
      </w:pPr>
      <w:r>
        <w:br w:type="page"/>
      </w:r>
    </w:p>
    <w:p w14:paraId="3ECB55DB" w14:textId="74F8A9E2" w:rsidR="00C7292A" w:rsidRDefault="00C7292A" w:rsidP="00526C6E">
      <w:pPr>
        <w:pStyle w:val="Heading1"/>
        <w:numPr>
          <w:ilvl w:val="0"/>
          <w:numId w:val="0"/>
        </w:numPr>
        <w:ind w:left="794" w:hanging="794"/>
      </w:pPr>
      <w:bookmarkStart w:id="2" w:name="_Toc79590817"/>
      <w:bookmarkStart w:id="3" w:name="_Hlk53554307"/>
      <w:bookmarkStart w:id="4" w:name="_Toc192833179"/>
      <w:bookmarkStart w:id="5" w:name="_Toc192909114"/>
      <w:r>
        <w:lastRenderedPageBreak/>
        <w:t>Executive Summary and Recommendations</w:t>
      </w:r>
      <w:bookmarkEnd w:id="2"/>
    </w:p>
    <w:p w14:paraId="19A9958B" w14:textId="77777777" w:rsidR="00C7292A" w:rsidRDefault="00C7292A" w:rsidP="008E5DB4">
      <w:pPr>
        <w:ind w:left="426"/>
      </w:pPr>
    </w:p>
    <w:p w14:paraId="19DAA6F4" w14:textId="328E36D3" w:rsidR="00C7292A" w:rsidRPr="009769CE" w:rsidRDefault="00C7292A" w:rsidP="008E5DB4">
      <w:pPr>
        <w:pStyle w:val="ListParagraph"/>
      </w:pPr>
      <w:r w:rsidRPr="009769CE">
        <w:t>GL Hearn together with Justin Gardner Consulting</w:t>
      </w:r>
      <w:r w:rsidR="000036C6" w:rsidRPr="009769CE">
        <w:t xml:space="preserve"> and Iceni Projects</w:t>
      </w:r>
      <w:r w:rsidRPr="009769CE">
        <w:t xml:space="preserve"> have been commissioned by the Cambridgeshire and West Suffolk Local Planning Authorities to undertake a</w:t>
      </w:r>
      <w:r w:rsidR="001832D7" w:rsidRPr="009769CE">
        <w:t xml:space="preserve"> study examining the</w:t>
      </w:r>
      <w:r w:rsidRPr="009769CE">
        <w:t xml:space="preserve"> Housing Needs of Specific Groups for the 2020 to 2040 period. </w:t>
      </w:r>
    </w:p>
    <w:p w14:paraId="74438D9E" w14:textId="77777777" w:rsidR="00C7292A" w:rsidRPr="00A226E6" w:rsidRDefault="00C7292A" w:rsidP="008E5DB4">
      <w:pPr>
        <w:ind w:left="426"/>
      </w:pPr>
    </w:p>
    <w:p w14:paraId="5E9CE254" w14:textId="0EC5C421" w:rsidR="00C7292A" w:rsidRDefault="00C7292A" w:rsidP="008E5DB4">
      <w:pPr>
        <w:pStyle w:val="ListParagraph"/>
      </w:pPr>
      <w:r w:rsidRPr="00A226E6">
        <w:t xml:space="preserve">The </w:t>
      </w:r>
      <w:r w:rsidR="001832D7">
        <w:t>s</w:t>
      </w:r>
      <w:r w:rsidRPr="00A226E6">
        <w:t>tudy aims to provide robust and sound evidence to support the preparation of</w:t>
      </w:r>
      <w:r>
        <w:t xml:space="preserve"> </w:t>
      </w:r>
      <w:r w:rsidRPr="00A226E6">
        <w:t>Local Plans</w:t>
      </w:r>
      <w:r w:rsidRPr="4198454A">
        <w:t>, and potentially Neighbourhood Plans,</w:t>
      </w:r>
      <w:r w:rsidRPr="00A226E6">
        <w:t xml:space="preserve"> particularly planning policies </w:t>
      </w:r>
      <w:r w:rsidR="000036C6">
        <w:t>relating to</w:t>
      </w:r>
      <w:r w:rsidR="000036C6" w:rsidRPr="00A226E6">
        <w:t xml:space="preserve"> </w:t>
      </w:r>
      <w:r w:rsidRPr="00A226E6">
        <w:t xml:space="preserve">the needs of groups with specific housing requirements. </w:t>
      </w:r>
    </w:p>
    <w:p w14:paraId="43A39B24" w14:textId="77777777" w:rsidR="00C7292A" w:rsidRPr="00D15DC7" w:rsidRDefault="00C7292A" w:rsidP="008E5DB4">
      <w:pPr>
        <w:ind w:left="426"/>
      </w:pPr>
    </w:p>
    <w:p w14:paraId="768379C2" w14:textId="5DA218BB" w:rsidR="00C7292A" w:rsidRPr="00A226E6" w:rsidRDefault="00C7292A" w:rsidP="008E5DB4">
      <w:pPr>
        <w:pStyle w:val="ListParagraph"/>
      </w:pPr>
      <w:r w:rsidRPr="00A226E6">
        <w:t xml:space="preserve">The </w:t>
      </w:r>
      <w:r w:rsidR="001832D7">
        <w:t>s</w:t>
      </w:r>
      <w:r w:rsidRPr="00A226E6">
        <w:t>tudy’s outcomes</w:t>
      </w:r>
      <w:r w:rsidR="00017C40">
        <w:t xml:space="preserve"> </w:t>
      </w:r>
      <w:r w:rsidRPr="00A226E6">
        <w:t>have been presented</w:t>
      </w:r>
      <w:r w:rsidR="001832D7">
        <w:t xml:space="preserve"> </w:t>
      </w:r>
      <w:r w:rsidRPr="00A226E6">
        <w:t>for each Local Authority together with aggregated findings for the Cambridge Sub-Region</w:t>
      </w:r>
      <w:r w:rsidR="001832D7">
        <w:t>al</w:t>
      </w:r>
      <w:r w:rsidRPr="00A226E6">
        <w:t xml:space="preserve"> Housing Market Area (HMA)</w:t>
      </w:r>
      <w:r>
        <w:t xml:space="preserve"> which includes Cambridge, East Cambridgeshire, Fenland, Huntingdonshire, South </w:t>
      </w:r>
      <w:proofErr w:type="gramStart"/>
      <w:r>
        <w:t>Cambridgeshire</w:t>
      </w:r>
      <w:proofErr w:type="gramEnd"/>
      <w:r>
        <w:t xml:space="preserve"> and West Suffolk</w:t>
      </w:r>
      <w:r w:rsidR="001832D7">
        <w:t>.  The report also provides outputs for the</w:t>
      </w:r>
      <w:r w:rsidRPr="00A226E6">
        <w:t xml:space="preserve"> Greater Cambridge </w:t>
      </w:r>
      <w:r w:rsidR="001832D7">
        <w:t>area</w:t>
      </w:r>
      <w:r>
        <w:t xml:space="preserve"> (Cambridge and South Cambridgeshire)</w:t>
      </w:r>
      <w:r w:rsidRPr="00A226E6">
        <w:t>.</w:t>
      </w:r>
    </w:p>
    <w:p w14:paraId="2CE304D5" w14:textId="77777777" w:rsidR="00C7292A" w:rsidRPr="00A226E6" w:rsidRDefault="00C7292A" w:rsidP="008E5DB4">
      <w:pPr>
        <w:ind w:left="426"/>
      </w:pPr>
    </w:p>
    <w:p w14:paraId="1C3D34E0" w14:textId="4737F2DD" w:rsidR="00C7292A" w:rsidRPr="00A226E6" w:rsidRDefault="00C7292A" w:rsidP="008E5DB4">
      <w:pPr>
        <w:pStyle w:val="ListParagraph"/>
      </w:pPr>
      <w:r w:rsidRPr="00A226E6">
        <w:t xml:space="preserve">The </w:t>
      </w:r>
      <w:r w:rsidR="001832D7">
        <w:t>s</w:t>
      </w:r>
      <w:r w:rsidRPr="00A226E6">
        <w:t xml:space="preserve">tudy has been prepared in compliance with </w:t>
      </w:r>
      <w:r>
        <w:t xml:space="preserve">the </w:t>
      </w:r>
      <w:r w:rsidRPr="00A226E6">
        <w:t>National Planning Policy Framework (NPPF 2019) and the</w:t>
      </w:r>
      <w:r w:rsidR="000036C6">
        <w:t xml:space="preserve"> current </w:t>
      </w:r>
      <w:r w:rsidRPr="00A226E6">
        <w:t xml:space="preserve">Planning </w:t>
      </w:r>
      <w:r w:rsidR="00950169">
        <w:t>Practice</w:t>
      </w:r>
      <w:r w:rsidRPr="00A226E6">
        <w:t xml:space="preserve"> Guidance (PPG).</w:t>
      </w:r>
    </w:p>
    <w:p w14:paraId="73223284" w14:textId="77777777" w:rsidR="00C7292A" w:rsidRPr="00A226E6" w:rsidRDefault="00C7292A" w:rsidP="008E5DB4">
      <w:pPr>
        <w:ind w:left="426"/>
      </w:pPr>
    </w:p>
    <w:p w14:paraId="5EA66402" w14:textId="5C55B280" w:rsidR="00017C40" w:rsidRDefault="00C7292A" w:rsidP="00FE37EA">
      <w:pPr>
        <w:pStyle w:val="Heading2"/>
        <w:ind w:left="0"/>
      </w:pPr>
      <w:r w:rsidRPr="002A5C0A">
        <w:t>Demographic Baseline</w:t>
      </w:r>
      <w:bookmarkStart w:id="6" w:name="_Hlk55249223"/>
    </w:p>
    <w:p w14:paraId="78AA586F" w14:textId="35260F2F" w:rsidR="00017C40" w:rsidRDefault="00017C40" w:rsidP="00017C40">
      <w:pPr>
        <w:ind w:firstLine="426"/>
        <w:rPr>
          <w:b/>
          <w:bCs/>
          <w:color w:val="0093D5"/>
        </w:rPr>
      </w:pPr>
    </w:p>
    <w:p w14:paraId="28335D74" w14:textId="5A591C23" w:rsidR="00017C40" w:rsidRPr="00A041A7" w:rsidRDefault="00017C40" w:rsidP="008E5DB4">
      <w:pPr>
        <w:pStyle w:val="ListParagraph"/>
      </w:pPr>
      <w:r w:rsidRPr="007C4F65">
        <w:t>As of mid-2019, the total population of the HMA was 826,600 persons</w:t>
      </w:r>
      <w:r w:rsidRPr="000A484C">
        <w:t xml:space="preserve">. Since 1991 the population has grown by 26% </w:t>
      </w:r>
      <w:r w:rsidR="001832D7" w:rsidRPr="000A484C">
        <w:t>(</w:t>
      </w:r>
      <w:r w:rsidRPr="000A484C">
        <w:t>0.8%</w:t>
      </w:r>
      <w:r w:rsidR="001832D7" w:rsidRPr="000A484C">
        <w:t xml:space="preserve"> per annum)</w:t>
      </w:r>
      <w:r w:rsidRPr="000A484C">
        <w:t>.</w:t>
      </w:r>
      <w:r w:rsidR="001832D7" w:rsidRPr="000A484C">
        <w:t xml:space="preserve"> </w:t>
      </w:r>
      <w:r w:rsidRPr="00A041A7">
        <w:t>East Cambridgeshire has seen the most notable population increase since 1991 (47%) followed by Fenland (35%) and South Cambridgeshire (29%)</w:t>
      </w:r>
      <w:r w:rsidR="00D153BE">
        <w:t xml:space="preserve">. </w:t>
      </w:r>
    </w:p>
    <w:p w14:paraId="029EECCD" w14:textId="77777777" w:rsidR="00017C40" w:rsidRDefault="00017C40" w:rsidP="008E5DB4">
      <w:pPr>
        <w:ind w:left="426"/>
      </w:pPr>
    </w:p>
    <w:p w14:paraId="6E9A2E16" w14:textId="395B8E8B" w:rsidR="001832D7" w:rsidRPr="00A041A7" w:rsidRDefault="00FB1A52" w:rsidP="008E5DB4">
      <w:pPr>
        <w:pStyle w:val="ListParagraph"/>
      </w:pPr>
      <w:r>
        <w:t>T</w:t>
      </w:r>
      <w:r w:rsidR="00017C40" w:rsidRPr="00A041A7">
        <w:t xml:space="preserve">he </w:t>
      </w:r>
      <w:r>
        <w:t xml:space="preserve">age profile of the </w:t>
      </w:r>
      <w:r w:rsidR="00017C40" w:rsidRPr="00A041A7">
        <w:t>HMA</w:t>
      </w:r>
      <w:r>
        <w:t xml:space="preserve"> is similar to </w:t>
      </w:r>
      <w:r w:rsidR="00DA04CB">
        <w:t xml:space="preserve">the </w:t>
      </w:r>
      <w:r>
        <w:t xml:space="preserve">UK. </w:t>
      </w:r>
      <w:r w:rsidR="00D153BE">
        <w:t>That said,</w:t>
      </w:r>
      <w:r>
        <w:t xml:space="preserve"> Cambridge has </w:t>
      </w:r>
      <w:r w:rsidR="00017C40" w:rsidRPr="00A041A7">
        <w:t>a higher proportion of people aged 20-24 years old</w:t>
      </w:r>
      <w:r>
        <w:t xml:space="preserve"> which is</w:t>
      </w:r>
      <w:r w:rsidR="00017C40" w:rsidRPr="00A041A7">
        <w:t xml:space="preserve"> driven by the Universities</w:t>
      </w:r>
      <w:r w:rsidR="00D153BE">
        <w:t xml:space="preserve"> and, to a degree, the age profile of the workforce</w:t>
      </w:r>
      <w:r w:rsidR="00017C40" w:rsidRPr="00A041A7">
        <w:t xml:space="preserve">. </w:t>
      </w:r>
      <w:r w:rsidR="001832D7" w:rsidRPr="00A041A7">
        <w:t xml:space="preserve">The household composition across the HMA </w:t>
      </w:r>
      <w:r w:rsidR="001832D7">
        <w:t xml:space="preserve">also </w:t>
      </w:r>
      <w:r w:rsidR="001832D7" w:rsidRPr="00A041A7">
        <w:t>follows the national pattern</w:t>
      </w:r>
      <w:r w:rsidR="001832D7">
        <w:t>. The</w:t>
      </w:r>
      <w:r w:rsidR="000A4EE2">
        <w:t xml:space="preserve"> most common</w:t>
      </w:r>
      <w:r w:rsidR="001832D7">
        <w:t xml:space="preserve"> household type</w:t>
      </w:r>
      <w:r w:rsidR="00950169">
        <w:t>s</w:t>
      </w:r>
      <w:r w:rsidR="001832D7" w:rsidRPr="00A041A7">
        <w:t xml:space="preserve"> </w:t>
      </w:r>
      <w:r w:rsidR="000A4EE2">
        <w:t>are</w:t>
      </w:r>
      <w:r w:rsidR="001832D7" w:rsidRPr="00A041A7">
        <w:t xml:space="preserve"> couples with no children or non-dependent children </w:t>
      </w:r>
      <w:r w:rsidR="000A4EE2">
        <w:t>(</w:t>
      </w:r>
      <w:r w:rsidR="001832D7" w:rsidRPr="00A041A7">
        <w:t>27% of household</w:t>
      </w:r>
      <w:r w:rsidR="00DA04CB">
        <w:t>s</w:t>
      </w:r>
      <w:r w:rsidR="001832D7" w:rsidRPr="00A041A7">
        <w:t xml:space="preserve"> </w:t>
      </w:r>
      <w:r w:rsidR="001832D7">
        <w:t>in the</w:t>
      </w:r>
      <w:r w:rsidR="001832D7" w:rsidRPr="00A041A7">
        <w:t xml:space="preserve"> HMA</w:t>
      </w:r>
      <w:r w:rsidR="000A4EE2">
        <w:t>)</w:t>
      </w:r>
      <w:r w:rsidR="001832D7" w:rsidRPr="00A041A7">
        <w:t>, followed by couples with children (21.5%).</w:t>
      </w:r>
    </w:p>
    <w:p w14:paraId="37BA1BEE" w14:textId="77777777" w:rsidR="00017C40" w:rsidRDefault="00017C40" w:rsidP="00097650">
      <w:pPr>
        <w:pStyle w:val="10BulletBodytext"/>
        <w:numPr>
          <w:ilvl w:val="0"/>
          <w:numId w:val="0"/>
        </w:numPr>
      </w:pPr>
    </w:p>
    <w:p w14:paraId="507CC7E6" w14:textId="4D23C881" w:rsidR="00017C40" w:rsidRPr="00A041A7" w:rsidRDefault="00950169" w:rsidP="008E5DB4">
      <w:pPr>
        <w:pStyle w:val="ListParagraph"/>
      </w:pPr>
      <w:r>
        <w:rPr>
          <w:bCs/>
          <w:szCs w:val="20"/>
        </w:rPr>
        <w:t>T</w:t>
      </w:r>
      <w:r w:rsidR="00017C40" w:rsidRPr="00A041A7">
        <w:rPr>
          <w:bCs/>
          <w:szCs w:val="20"/>
        </w:rPr>
        <w:t>he HMA</w:t>
      </w:r>
      <w:r>
        <w:rPr>
          <w:bCs/>
          <w:szCs w:val="20"/>
        </w:rPr>
        <w:t>’</w:t>
      </w:r>
      <w:r w:rsidR="00017C40">
        <w:rPr>
          <w:bCs/>
          <w:szCs w:val="20"/>
        </w:rPr>
        <w:t>s</w:t>
      </w:r>
      <w:r w:rsidR="00017C40" w:rsidRPr="00A041A7">
        <w:rPr>
          <w:bCs/>
          <w:szCs w:val="20"/>
        </w:rPr>
        <w:t xml:space="preserve"> population </w:t>
      </w:r>
      <w:r w:rsidR="00D153BE">
        <w:t>remained fairly stable until 2001 followed by almost continual but gradual growth since</w:t>
      </w:r>
      <w:r w:rsidR="00FB1A52">
        <w:rPr>
          <w:bCs/>
          <w:szCs w:val="20"/>
        </w:rPr>
        <w:t xml:space="preserve">. </w:t>
      </w:r>
    </w:p>
    <w:p w14:paraId="3D14E6AC" w14:textId="77777777" w:rsidR="00017C40" w:rsidRDefault="00017C40" w:rsidP="008E5DB4">
      <w:pPr>
        <w:ind w:left="426"/>
      </w:pPr>
    </w:p>
    <w:p w14:paraId="5E0DA336" w14:textId="70CFDA25" w:rsidR="00017C40" w:rsidRPr="00A041A7" w:rsidRDefault="001832D7" w:rsidP="008E5DB4">
      <w:pPr>
        <w:pStyle w:val="ListParagraph"/>
      </w:pPr>
      <w:r>
        <w:t>As of March 2020, t</w:t>
      </w:r>
      <w:r w:rsidR="00017C40" w:rsidRPr="00A041A7">
        <w:t xml:space="preserve">here </w:t>
      </w:r>
      <w:r w:rsidR="00950169">
        <w:t>are</w:t>
      </w:r>
      <w:r w:rsidR="00017C40" w:rsidRPr="00A041A7">
        <w:t xml:space="preserve"> a</w:t>
      </w:r>
      <w:r>
        <w:t>n estimated</w:t>
      </w:r>
      <w:r w:rsidR="00017C40" w:rsidRPr="00A041A7">
        <w:t xml:space="preserve"> 366,274 dwellings across the HMA. West Suffolk has the largest number of homes </w:t>
      </w:r>
      <w:r>
        <w:t>(</w:t>
      </w:r>
      <w:r w:rsidR="00017C40" w:rsidRPr="00A041A7">
        <w:t>22% of dwellings</w:t>
      </w:r>
      <w:r>
        <w:t xml:space="preserve"> in the HMA)</w:t>
      </w:r>
      <w:r w:rsidR="00017C40" w:rsidRPr="00A041A7">
        <w:t xml:space="preserve"> followed by Huntingdonshire (21%). </w:t>
      </w:r>
    </w:p>
    <w:p w14:paraId="2BBA3B6B" w14:textId="77777777" w:rsidR="00017C40" w:rsidRPr="002C2455" w:rsidRDefault="00017C40" w:rsidP="00097650">
      <w:pPr>
        <w:pStyle w:val="10BulletBodytext"/>
        <w:numPr>
          <w:ilvl w:val="0"/>
          <w:numId w:val="0"/>
        </w:numPr>
        <w:ind w:left="426"/>
      </w:pPr>
    </w:p>
    <w:bookmarkEnd w:id="6"/>
    <w:p w14:paraId="28C937A4" w14:textId="77777777" w:rsidR="004F4BA7" w:rsidRDefault="004F4BA7">
      <w:pPr>
        <w:spacing w:after="200"/>
        <w:rPr>
          <w:color w:val="525557"/>
          <w:sz w:val="28"/>
          <w:szCs w:val="28"/>
        </w:rPr>
      </w:pPr>
      <w:r>
        <w:br w:type="page"/>
      </w:r>
    </w:p>
    <w:p w14:paraId="37785AE6" w14:textId="5D3A833A" w:rsidR="00C7292A" w:rsidRDefault="00C7292A" w:rsidP="00FE37EA">
      <w:pPr>
        <w:pStyle w:val="Heading2"/>
        <w:ind w:left="0"/>
      </w:pPr>
      <w:r w:rsidRPr="002C2455">
        <w:lastRenderedPageBreak/>
        <w:t>Market Signals</w:t>
      </w:r>
      <w:r w:rsidRPr="00A041A7">
        <w:t xml:space="preserve"> </w:t>
      </w:r>
    </w:p>
    <w:p w14:paraId="4C2B4D8C" w14:textId="77777777" w:rsidR="004F4BA7" w:rsidRPr="004F4BA7" w:rsidRDefault="004F4BA7" w:rsidP="004F4BA7"/>
    <w:p w14:paraId="101D818A" w14:textId="53954501" w:rsidR="00C7292A" w:rsidRPr="00A041A7" w:rsidRDefault="00C7292A" w:rsidP="008E5DB4">
      <w:pPr>
        <w:pStyle w:val="ListParagraph"/>
      </w:pPr>
      <w:r w:rsidRPr="00A041A7">
        <w:t>The</w:t>
      </w:r>
      <w:r w:rsidR="002C2455">
        <w:t xml:space="preserve"> housing</w:t>
      </w:r>
      <w:r w:rsidRPr="00A041A7">
        <w:t xml:space="preserve"> market is very strong across most of the HMA with Cambridge City seen as a prime market location. The ‘Fenland’ area, covering most of Fenland </w:t>
      </w:r>
      <w:r w:rsidR="00F86161">
        <w:t xml:space="preserve">district </w:t>
      </w:r>
      <w:r w:rsidRPr="00A041A7">
        <w:t xml:space="preserve">and </w:t>
      </w:r>
      <w:r w:rsidR="002C2455">
        <w:t xml:space="preserve">the </w:t>
      </w:r>
      <w:r w:rsidRPr="00A041A7">
        <w:t xml:space="preserve">northern part of East Cambridgeshire </w:t>
      </w:r>
      <w:r w:rsidR="009B4D07">
        <w:t xml:space="preserve">district </w:t>
      </w:r>
      <w:r w:rsidR="004F4630" w:rsidRPr="00A041A7">
        <w:t>ha</w:t>
      </w:r>
      <w:r w:rsidR="004F4630">
        <w:t>s</w:t>
      </w:r>
      <w:r w:rsidR="004F4630" w:rsidRPr="00A041A7">
        <w:t xml:space="preserve"> </w:t>
      </w:r>
      <w:r w:rsidRPr="00A041A7">
        <w:t xml:space="preserve">a much weaker </w:t>
      </w:r>
      <w:r w:rsidR="009B4D07">
        <w:t xml:space="preserve">housing </w:t>
      </w:r>
      <w:r w:rsidRPr="00A041A7">
        <w:t xml:space="preserve">market. </w:t>
      </w:r>
    </w:p>
    <w:p w14:paraId="56FF37DD" w14:textId="77777777" w:rsidR="00C7292A" w:rsidRPr="00A226E6" w:rsidRDefault="00C7292A" w:rsidP="008E5DB4">
      <w:pPr>
        <w:ind w:left="426"/>
      </w:pPr>
    </w:p>
    <w:p w14:paraId="180F03FC" w14:textId="3FDE8FAF" w:rsidR="00C7292A" w:rsidRPr="00A226E6" w:rsidRDefault="00C7292A" w:rsidP="008E5DB4">
      <w:pPr>
        <w:pStyle w:val="ListParagraph"/>
      </w:pPr>
      <w:r w:rsidRPr="00A226E6">
        <w:t xml:space="preserve">The median house price in the HMA </w:t>
      </w:r>
      <w:r w:rsidR="002C2455">
        <w:t>is</w:t>
      </w:r>
      <w:r w:rsidR="002C2455" w:rsidRPr="00A226E6">
        <w:t xml:space="preserve"> </w:t>
      </w:r>
      <w:r w:rsidRPr="00A226E6">
        <w:t xml:space="preserve">£297,000 </w:t>
      </w:r>
      <w:r w:rsidR="002C2455">
        <w:t>which is</w:t>
      </w:r>
      <w:r w:rsidRPr="00A226E6">
        <w:t xml:space="preserve"> 29% above the national </w:t>
      </w:r>
      <w:r w:rsidR="002C2455">
        <w:t>median</w:t>
      </w:r>
      <w:r w:rsidR="009B4D07">
        <w:t xml:space="preserve"> and</w:t>
      </w:r>
      <w:r w:rsidR="002C2455">
        <w:t xml:space="preserve"> </w:t>
      </w:r>
      <w:r w:rsidRPr="00A226E6">
        <w:t xml:space="preserve">5% above the </w:t>
      </w:r>
      <w:r w:rsidR="009B4D07">
        <w:t xml:space="preserve">East of England </w:t>
      </w:r>
      <w:r w:rsidRPr="00A226E6">
        <w:t>regional</w:t>
      </w:r>
      <w:r w:rsidR="002C2455">
        <w:t xml:space="preserve"> median.</w:t>
      </w:r>
      <w:r w:rsidRPr="4198454A">
        <w:t xml:space="preserve"> </w:t>
      </w:r>
      <w:r w:rsidR="002C2455">
        <w:t>T</w:t>
      </w:r>
      <w:r w:rsidRPr="4198454A">
        <w:t>here are wide variations within the HMA</w:t>
      </w:r>
      <w:r w:rsidR="002C2455">
        <w:t xml:space="preserve"> with t</w:t>
      </w:r>
      <w:r>
        <w:t>he m</w:t>
      </w:r>
      <w:r w:rsidRPr="4198454A">
        <w:t xml:space="preserve">edian house price in Fenland </w:t>
      </w:r>
      <w:r w:rsidR="00195FE1">
        <w:t xml:space="preserve">being </w:t>
      </w:r>
      <w:r>
        <w:t>£184,000</w:t>
      </w:r>
      <w:r w:rsidR="002C2455">
        <w:t xml:space="preserve"> and </w:t>
      </w:r>
      <w:r w:rsidR="00195FE1">
        <w:t>in Cambridge £440,000.</w:t>
      </w:r>
    </w:p>
    <w:p w14:paraId="1318A734" w14:textId="77777777" w:rsidR="00C7292A" w:rsidRPr="00A226E6" w:rsidRDefault="00C7292A" w:rsidP="008E5DB4">
      <w:pPr>
        <w:ind w:left="426"/>
      </w:pPr>
    </w:p>
    <w:p w14:paraId="0FB7F5DA" w14:textId="5F7A0B2C" w:rsidR="00C7292A" w:rsidRPr="00A226E6" w:rsidRDefault="00C7292A" w:rsidP="008E5DB4">
      <w:pPr>
        <w:pStyle w:val="ListParagraph"/>
      </w:pPr>
      <w:r w:rsidRPr="00195FE1">
        <w:t xml:space="preserve">Over the last 5 years, </w:t>
      </w:r>
      <w:r w:rsidR="00195FE1" w:rsidRPr="00195FE1">
        <w:t xml:space="preserve">median </w:t>
      </w:r>
      <w:r w:rsidRPr="00195FE1">
        <w:t xml:space="preserve">house prices </w:t>
      </w:r>
      <w:r w:rsidR="00195FE1" w:rsidRPr="00195FE1">
        <w:t>have increased by</w:t>
      </w:r>
      <w:r w:rsidRPr="00195FE1">
        <w:t xml:space="preserve"> 21%</w:t>
      </w:r>
      <w:r w:rsidR="00195FE1" w:rsidRPr="00195FE1">
        <w:t xml:space="preserve"> across the HMA,</w:t>
      </w:r>
      <w:r w:rsidRPr="00195FE1">
        <w:t xml:space="preserve"> compared to 1</w:t>
      </w:r>
      <w:r w:rsidR="002C4389">
        <w:t>8</w:t>
      </w:r>
      <w:r w:rsidRPr="00195FE1">
        <w:t xml:space="preserve">% </w:t>
      </w:r>
      <w:r w:rsidR="002C4389">
        <w:t>regionally</w:t>
      </w:r>
      <w:r w:rsidRPr="00195FE1">
        <w:t>, and 1</w:t>
      </w:r>
      <w:r w:rsidR="002C4389">
        <w:t>5</w:t>
      </w:r>
      <w:r w:rsidRPr="00195FE1">
        <w:t xml:space="preserve">% </w:t>
      </w:r>
      <w:r w:rsidR="002C4389">
        <w:t>nationally</w:t>
      </w:r>
      <w:r w:rsidRPr="00195FE1">
        <w:t>.</w:t>
      </w:r>
      <w:r w:rsidR="00195FE1" w:rsidRPr="00195FE1">
        <w:t xml:space="preserve"> </w:t>
      </w:r>
      <w:r w:rsidR="009B4D07">
        <w:t xml:space="preserve">The level of </w:t>
      </w:r>
      <w:r w:rsidR="007D3793">
        <w:t xml:space="preserve">housing </w:t>
      </w:r>
      <w:r w:rsidR="009B4D07">
        <w:t>growth over the last 10 and 15 years</w:t>
      </w:r>
      <w:r w:rsidR="009B4D07" w:rsidRPr="00A226E6" w:rsidDel="009B4D07">
        <w:t xml:space="preserve"> </w:t>
      </w:r>
      <w:r w:rsidRPr="00A226E6">
        <w:t>ha</w:t>
      </w:r>
      <w:r w:rsidR="00195FE1">
        <w:t>s</w:t>
      </w:r>
      <w:r w:rsidR="009B4D07">
        <w:t xml:space="preserve"> also</w:t>
      </w:r>
      <w:r w:rsidRPr="00A226E6">
        <w:t xml:space="preserve"> </w:t>
      </w:r>
      <w:r w:rsidR="00195FE1">
        <w:t>exceeded</w:t>
      </w:r>
      <w:r w:rsidRPr="00A226E6">
        <w:t xml:space="preserve"> the regional and national equivalents.</w:t>
      </w:r>
    </w:p>
    <w:p w14:paraId="1F5F5795" w14:textId="77777777" w:rsidR="00C7292A" w:rsidRPr="00A226E6" w:rsidRDefault="00C7292A" w:rsidP="008E5DB4">
      <w:pPr>
        <w:ind w:left="426"/>
      </w:pPr>
    </w:p>
    <w:p w14:paraId="27AFA920" w14:textId="1ACE967F" w:rsidR="00C7292A" w:rsidRPr="00A226E6" w:rsidRDefault="00195FE1" w:rsidP="008E5DB4">
      <w:pPr>
        <w:pStyle w:val="ListParagraph"/>
      </w:pPr>
      <w:r>
        <w:t>At £859 per month</w:t>
      </w:r>
      <w:r w:rsidR="0078380B">
        <w:t>, the</w:t>
      </w:r>
      <w:r w:rsidR="009E6EBD">
        <w:t xml:space="preserve"> average median rent</w:t>
      </w:r>
      <w:r>
        <w:t xml:space="preserve"> </w:t>
      </w:r>
      <w:r w:rsidR="009B4D07">
        <w:t>of the</w:t>
      </w:r>
      <w:r w:rsidR="009B4D07" w:rsidRPr="00A226E6">
        <w:t xml:space="preserve"> </w:t>
      </w:r>
      <w:r w:rsidR="009B4D07">
        <w:t xml:space="preserve">local authorities in the HMA </w:t>
      </w:r>
      <w:r>
        <w:t xml:space="preserve">is </w:t>
      </w:r>
      <w:r w:rsidR="009E6EBD">
        <w:t>higher than</w:t>
      </w:r>
      <w:r w:rsidR="00C7292A" w:rsidRPr="00A226E6">
        <w:t xml:space="preserve"> the national</w:t>
      </w:r>
      <w:r>
        <w:t xml:space="preserve"> (£</w:t>
      </w:r>
      <w:r w:rsidR="00950169">
        <w:t>6</w:t>
      </w:r>
      <w:r>
        <w:t>95)</w:t>
      </w:r>
      <w:r w:rsidR="00C7292A" w:rsidRPr="00A226E6">
        <w:t xml:space="preserve"> and regional </w:t>
      </w:r>
      <w:r>
        <w:t>(£</w:t>
      </w:r>
      <w:r w:rsidR="00950169">
        <w:t>7</w:t>
      </w:r>
      <w:r>
        <w:t>95)</w:t>
      </w:r>
      <w:r w:rsidR="009B4D07">
        <w:t xml:space="preserve"> median rents</w:t>
      </w:r>
      <w:r w:rsidR="00C7292A" w:rsidRPr="00A226E6">
        <w:t xml:space="preserve">. </w:t>
      </w:r>
      <w:r w:rsidR="00F17706">
        <w:t>Again,</w:t>
      </w:r>
      <w:r>
        <w:t xml:space="preserve"> there is also a large range within the HMA with t</w:t>
      </w:r>
      <w:r w:rsidR="00C7292A" w:rsidRPr="00A226E6">
        <w:t xml:space="preserve">he </w:t>
      </w:r>
      <w:r w:rsidR="00C7292A">
        <w:t>Cambridge</w:t>
      </w:r>
      <w:r>
        <w:t xml:space="preserve"> median</w:t>
      </w:r>
      <w:r w:rsidR="009E6EBD">
        <w:t xml:space="preserve"> at</w:t>
      </w:r>
      <w:r w:rsidR="00C7292A" w:rsidRPr="00A226E6">
        <w:t xml:space="preserve"> £1,200</w:t>
      </w:r>
      <w:r w:rsidR="009E6EBD">
        <w:t xml:space="preserve"> </w:t>
      </w:r>
      <w:r w:rsidR="00C7292A" w:rsidRPr="4198454A">
        <w:t xml:space="preserve">whilst in Fenland it is </w:t>
      </w:r>
      <w:r w:rsidR="00C7292A">
        <w:t>£600.</w:t>
      </w:r>
      <w:r w:rsidR="00C7292A" w:rsidRPr="00A226E6">
        <w:t xml:space="preserve"> </w:t>
      </w:r>
    </w:p>
    <w:p w14:paraId="18F7FABB" w14:textId="77777777" w:rsidR="00C7292A" w:rsidRPr="00A226E6" w:rsidRDefault="00C7292A" w:rsidP="00C7292A">
      <w:pPr>
        <w:ind w:firstLine="426"/>
        <w:rPr>
          <w:color w:val="0093D5"/>
        </w:rPr>
      </w:pPr>
    </w:p>
    <w:p w14:paraId="6E3797AC" w14:textId="5D1B5E34" w:rsidR="009E6EBD" w:rsidRPr="00A226E6" w:rsidRDefault="009E6EBD" w:rsidP="008E5DB4">
      <w:pPr>
        <w:pStyle w:val="ListParagraph"/>
      </w:pPr>
      <w:r>
        <w:t xml:space="preserve">Between 2001 and 2011 </w:t>
      </w:r>
      <w:r w:rsidRPr="00A226E6">
        <w:t>the proportion of residents living in over-occupied properties</w:t>
      </w:r>
      <w:r w:rsidR="008D4BA6">
        <w:t xml:space="preserve"> (where the ratio of bedrooms to occupants suggests they have one or more “spare room”) </w:t>
      </w:r>
      <w:r w:rsidRPr="00A226E6">
        <w:t>increase</w:t>
      </w:r>
      <w:r w:rsidR="00D75A90">
        <w:t>d</w:t>
      </w:r>
      <w:r w:rsidRPr="00A226E6">
        <w:t xml:space="preserve"> by 37.</w:t>
      </w:r>
      <w:r w:rsidR="00BE2B60">
        <w:t>3</w:t>
      </w:r>
      <w:r w:rsidRPr="00A226E6">
        <w:t>%</w:t>
      </w:r>
      <w:r w:rsidR="009B4D07">
        <w:t xml:space="preserve"> across the HMA</w:t>
      </w:r>
      <w:r w:rsidRPr="00A226E6">
        <w:t xml:space="preserve">. This is </w:t>
      </w:r>
      <w:r>
        <w:t>greater than</w:t>
      </w:r>
      <w:r w:rsidRPr="00A226E6">
        <w:t xml:space="preserve"> the </w:t>
      </w:r>
      <w:r>
        <w:t xml:space="preserve">equivalent growth seen </w:t>
      </w:r>
      <w:r w:rsidRPr="00A226E6">
        <w:t>national</w:t>
      </w:r>
      <w:r>
        <w:t>ly</w:t>
      </w:r>
      <w:r w:rsidRPr="00A226E6">
        <w:t xml:space="preserve"> (32.3%) and </w:t>
      </w:r>
      <w:r>
        <w:t>r</w:t>
      </w:r>
      <w:r w:rsidRPr="00A226E6">
        <w:t>egional</w:t>
      </w:r>
      <w:r>
        <w:t>ly</w:t>
      </w:r>
      <w:r w:rsidRPr="00A226E6">
        <w:t xml:space="preserve"> (35.6%). </w:t>
      </w:r>
    </w:p>
    <w:p w14:paraId="7D84C255" w14:textId="77777777" w:rsidR="009E6EBD" w:rsidRDefault="009E6EBD" w:rsidP="008E5DB4">
      <w:pPr>
        <w:ind w:left="426"/>
      </w:pPr>
    </w:p>
    <w:p w14:paraId="00F290B7" w14:textId="213DCC2E" w:rsidR="00C7292A" w:rsidRPr="000A484C" w:rsidRDefault="009E6EBD" w:rsidP="008E5DB4">
      <w:pPr>
        <w:pStyle w:val="ListParagraph"/>
      </w:pPr>
      <w:r w:rsidRPr="007C4F65">
        <w:t>A</w:t>
      </w:r>
      <w:r w:rsidR="00C7292A" w:rsidRPr="00AC12C5">
        <w:t>ffordability rati</w:t>
      </w:r>
      <w:r w:rsidR="00C7292A" w:rsidRPr="00717780">
        <w:t xml:space="preserve">os </w:t>
      </w:r>
      <w:r w:rsidRPr="000A484C">
        <w:t>highlight</w:t>
      </w:r>
      <w:r w:rsidR="00C7292A" w:rsidRPr="000A484C">
        <w:t xml:space="preserve"> affordability pressures across the HMA</w:t>
      </w:r>
      <w:r w:rsidR="009B4D07">
        <w:t>. T</w:t>
      </w:r>
      <w:r w:rsidRPr="007C4F65">
        <w:t xml:space="preserve">he </w:t>
      </w:r>
      <w:r w:rsidRPr="00AC12C5">
        <w:t>average</w:t>
      </w:r>
      <w:r w:rsidR="009B4D07" w:rsidRPr="00717780">
        <w:t xml:space="preserve"> </w:t>
      </w:r>
      <w:r w:rsidR="009B4D07">
        <w:t>local authority</w:t>
      </w:r>
      <w:r w:rsidR="009B4D07" w:rsidRPr="007C4F65">
        <w:t xml:space="preserve"> </w:t>
      </w:r>
      <w:r w:rsidR="009B4D07" w:rsidRPr="00AC12C5">
        <w:t>r</w:t>
      </w:r>
      <w:r w:rsidR="009B4D07" w:rsidRPr="00717780">
        <w:t>a</w:t>
      </w:r>
      <w:r w:rsidR="009B4D07" w:rsidRPr="000A484C">
        <w:t>tio</w:t>
      </w:r>
      <w:r w:rsidRPr="000A484C">
        <w:t xml:space="preserve"> </w:t>
      </w:r>
      <w:r w:rsidR="009B4D07">
        <w:t>is</w:t>
      </w:r>
      <w:r w:rsidR="009B4D07" w:rsidRPr="007C4F65">
        <w:t xml:space="preserve"> </w:t>
      </w:r>
      <w:r w:rsidRPr="00AC12C5">
        <w:t xml:space="preserve">above the </w:t>
      </w:r>
      <w:r w:rsidRPr="007C4F65">
        <w:t>regional and nat</w:t>
      </w:r>
      <w:r w:rsidRPr="00AC12C5">
        <w:t>ional equivalents.</w:t>
      </w:r>
      <w:r w:rsidR="00C7292A" w:rsidRPr="00717780">
        <w:t xml:space="preserve"> </w:t>
      </w:r>
      <w:r w:rsidR="002A7897">
        <w:t xml:space="preserve">The </w:t>
      </w:r>
      <w:r w:rsidR="0048778F">
        <w:t>Government intents that</w:t>
      </w:r>
      <w:r w:rsidR="00C7292A" w:rsidRPr="000A484C">
        <w:t xml:space="preserve"> </w:t>
      </w:r>
      <w:r w:rsidR="00BE2B60">
        <w:t>high</w:t>
      </w:r>
      <w:r w:rsidR="00BE2B60" w:rsidRPr="000A484C">
        <w:t xml:space="preserve"> </w:t>
      </w:r>
      <w:r w:rsidR="00C7292A" w:rsidRPr="000A484C">
        <w:t xml:space="preserve">affordability issues will in part be addressed through </w:t>
      </w:r>
      <w:r w:rsidR="004F4630" w:rsidRPr="000A484C">
        <w:t xml:space="preserve">the </w:t>
      </w:r>
      <w:r w:rsidR="00C7292A" w:rsidRPr="000A484C">
        <w:t xml:space="preserve">fulfilment of </w:t>
      </w:r>
      <w:r w:rsidR="009B4D07">
        <w:t xml:space="preserve">the </w:t>
      </w:r>
      <w:r w:rsidR="00C7292A" w:rsidRPr="007C4F65">
        <w:t>standard method</w:t>
      </w:r>
      <w:r w:rsidR="009B4D07">
        <w:t xml:space="preserve"> </w:t>
      </w:r>
      <w:r w:rsidR="00C7292A" w:rsidRPr="000A484C">
        <w:t>based housing targets.</w:t>
      </w:r>
    </w:p>
    <w:p w14:paraId="74A66DA1" w14:textId="77777777" w:rsidR="00C7292A" w:rsidRPr="00A226E6" w:rsidRDefault="00C7292A" w:rsidP="00C7292A">
      <w:pPr>
        <w:ind w:firstLine="426"/>
        <w:rPr>
          <w:color w:val="0093D5"/>
        </w:rPr>
      </w:pPr>
    </w:p>
    <w:p w14:paraId="2FC8BFB0" w14:textId="77777777" w:rsidR="00C7292A" w:rsidRPr="002A5C0A" w:rsidRDefault="00C7292A" w:rsidP="00FE37EA">
      <w:pPr>
        <w:pStyle w:val="Heading2"/>
        <w:ind w:left="0"/>
      </w:pPr>
      <w:r w:rsidRPr="002A5C0A">
        <w:t>Local Housing Need</w:t>
      </w:r>
    </w:p>
    <w:p w14:paraId="436E8E3E" w14:textId="77777777" w:rsidR="00C7292A" w:rsidRPr="00A226E6" w:rsidRDefault="00C7292A" w:rsidP="00C7292A">
      <w:pPr>
        <w:ind w:firstLine="426"/>
        <w:rPr>
          <w:color w:val="0093D5"/>
        </w:rPr>
      </w:pPr>
    </w:p>
    <w:p w14:paraId="0353A90F" w14:textId="0270593C" w:rsidR="00C7292A" w:rsidRDefault="00C7292A" w:rsidP="008E5DB4">
      <w:pPr>
        <w:pStyle w:val="ListParagraph"/>
      </w:pPr>
      <w:r w:rsidRPr="002635AA">
        <w:t>The</w:t>
      </w:r>
      <w:r w:rsidR="009B4D07">
        <w:t xml:space="preserve"> 2019</w:t>
      </w:r>
      <w:r w:rsidRPr="002635AA">
        <w:t xml:space="preserve"> </w:t>
      </w:r>
      <w:r w:rsidR="009B4D07">
        <w:t>NPPF</w:t>
      </w:r>
      <w:r w:rsidRPr="002635AA">
        <w:t xml:space="preserve"> introduced a Standard Method for local </w:t>
      </w:r>
      <w:r w:rsidRPr="00DB11A2">
        <w:t xml:space="preserve">authorities to </w:t>
      </w:r>
      <w:r w:rsidR="004F3111">
        <w:t xml:space="preserve">use to </w:t>
      </w:r>
      <w:r w:rsidR="003B0880">
        <w:t>determine the minimum number of homes needed in their area</w:t>
      </w:r>
      <w:r w:rsidRPr="00DB11A2">
        <w:t xml:space="preserve">. This method uses </w:t>
      </w:r>
      <w:r w:rsidR="004F4630">
        <w:t>several</w:t>
      </w:r>
      <w:r w:rsidRPr="00DB11A2">
        <w:t xml:space="preserve"> datasets that are periodically updated and a requirement to look at the current year as a starting point. As such the figures are subject to regular revision.</w:t>
      </w:r>
    </w:p>
    <w:p w14:paraId="3C6BD4D3" w14:textId="77777777" w:rsidR="00281678" w:rsidRDefault="00281678" w:rsidP="00097650">
      <w:pPr>
        <w:pStyle w:val="10BulletBodytext"/>
        <w:numPr>
          <w:ilvl w:val="0"/>
          <w:numId w:val="0"/>
        </w:numPr>
        <w:ind w:left="720"/>
      </w:pPr>
    </w:p>
    <w:p w14:paraId="368EDD0C" w14:textId="2C4DB6D5" w:rsidR="00281678" w:rsidRPr="00256CFE" w:rsidRDefault="00281678" w:rsidP="008E5DB4">
      <w:pPr>
        <w:pStyle w:val="ListParagraph"/>
      </w:pPr>
      <w:r w:rsidRPr="00256CFE">
        <w:t>Step 1 of the standard method draws on the 2014-based household projections which set out a household growth of 3,420 per annum between 2020 and 2030 across the HMA.</w:t>
      </w:r>
    </w:p>
    <w:p w14:paraId="0025B0F0" w14:textId="77777777" w:rsidR="00281678" w:rsidRDefault="00281678" w:rsidP="008E5DB4">
      <w:pPr>
        <w:ind w:left="426"/>
      </w:pPr>
    </w:p>
    <w:p w14:paraId="21C2DF9E" w14:textId="48C65162" w:rsidR="00281678" w:rsidRPr="00256CFE" w:rsidRDefault="00281678" w:rsidP="008E5DB4">
      <w:pPr>
        <w:pStyle w:val="ListParagraph"/>
      </w:pPr>
      <w:r w:rsidRPr="00256CFE">
        <w:t>Step 2 of the standard method increases the Housing Need based on local affordability. The affordability ratio</w:t>
      </w:r>
      <w:r w:rsidR="00EB7D97">
        <w:t>s</w:t>
      </w:r>
      <w:r w:rsidRPr="00256CFE">
        <w:t xml:space="preserve"> (2019) vary from 8.1</w:t>
      </w:r>
      <w:r w:rsidR="009B4D07">
        <w:t xml:space="preserve"> in Fenland</w:t>
      </w:r>
      <w:r w:rsidRPr="00256CFE">
        <w:t xml:space="preserve"> to 12.8</w:t>
      </w:r>
      <w:r w:rsidR="009B4D07">
        <w:t xml:space="preserve"> in Cambridge</w:t>
      </w:r>
      <w:r w:rsidRPr="00256CFE">
        <w:t xml:space="preserve">. Using the prescribed formula, the local affordability ratios </w:t>
      </w:r>
      <w:r w:rsidR="009B4D07">
        <w:t>uplift</w:t>
      </w:r>
      <w:r w:rsidRPr="00256CFE">
        <w:t xml:space="preserve"> the need across the HMA by 1,234 </w:t>
      </w:r>
      <w:proofErr w:type="spellStart"/>
      <w:r w:rsidRPr="00256CFE">
        <w:t>dpa</w:t>
      </w:r>
      <w:proofErr w:type="spellEnd"/>
      <w:r w:rsidRPr="00256CFE">
        <w:t xml:space="preserve"> to 4,654 </w:t>
      </w:r>
      <w:proofErr w:type="spellStart"/>
      <w:r w:rsidRPr="00256CFE">
        <w:t>dpa</w:t>
      </w:r>
      <w:proofErr w:type="spellEnd"/>
      <w:r w:rsidRPr="00256CFE">
        <w:t xml:space="preserve">. </w:t>
      </w:r>
    </w:p>
    <w:p w14:paraId="2FEF751A" w14:textId="77777777" w:rsidR="00281678" w:rsidRDefault="00281678" w:rsidP="008E5DB4">
      <w:pPr>
        <w:ind w:left="426"/>
      </w:pPr>
    </w:p>
    <w:p w14:paraId="2F2263D6" w14:textId="7CFDD3F0" w:rsidR="00281678" w:rsidRDefault="00281678" w:rsidP="008E5DB4">
      <w:pPr>
        <w:pStyle w:val="ListParagraph"/>
      </w:pPr>
      <w:r w:rsidRPr="00186D2F">
        <w:lastRenderedPageBreak/>
        <w:t>Step 3 of the standard method caps the uplifts</w:t>
      </w:r>
      <w:r w:rsidR="00F5012C">
        <w:t xml:space="preserve"> applied</w:t>
      </w:r>
      <w:r w:rsidRPr="00186D2F">
        <w:t xml:space="preserve"> in Step 2. </w:t>
      </w:r>
      <w:r w:rsidR="00F5012C">
        <w:t xml:space="preserve">However, </w:t>
      </w:r>
      <w:r w:rsidR="003B0880">
        <w:t>the cap is not applied</w:t>
      </w:r>
      <w:r w:rsidR="00F5012C">
        <w:t xml:space="preserve"> </w:t>
      </w:r>
      <w:r w:rsidRPr="00186D2F">
        <w:t xml:space="preserve">in the HMA as </w:t>
      </w:r>
      <w:r w:rsidR="00B36AEA">
        <w:t>housing figures arrived as in step 2 do not exceed relevant thresholds</w:t>
      </w:r>
      <w:r w:rsidRPr="00186D2F">
        <w:t>.</w:t>
      </w:r>
      <w:r w:rsidR="00186D2F">
        <w:t xml:space="preserve">  </w:t>
      </w:r>
      <w:r w:rsidR="00186D2F" w:rsidRPr="00186D2F">
        <w:t>The table below summarises the Standard Method for the different local authorities.</w:t>
      </w:r>
    </w:p>
    <w:p w14:paraId="0E7D32C2" w14:textId="725A56D5" w:rsidR="00CC11B7" w:rsidRDefault="00CC11B7" w:rsidP="005A1047"/>
    <w:tbl>
      <w:tblPr>
        <w:tblW w:w="8930" w:type="dxa"/>
        <w:tblInd w:w="416" w:type="dxa"/>
        <w:tblLayout w:type="fixed"/>
        <w:tblLook w:val="04A0" w:firstRow="1" w:lastRow="0" w:firstColumn="1" w:lastColumn="0" w:noHBand="0" w:noVBand="1"/>
      </w:tblPr>
      <w:tblGrid>
        <w:gridCol w:w="2120"/>
        <w:gridCol w:w="2270"/>
        <w:gridCol w:w="2270"/>
        <w:gridCol w:w="2270"/>
      </w:tblGrid>
      <w:tr w:rsidR="00CC11B7" w:rsidRPr="008E5DB4" w14:paraId="78EB3567" w14:textId="77777777" w:rsidTr="004F4BA7">
        <w:trPr>
          <w:trHeight w:val="1020"/>
        </w:trPr>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21DB1D" w14:textId="77777777" w:rsidR="00CC11B7" w:rsidRPr="004F4BA7" w:rsidRDefault="00CC11B7" w:rsidP="004F4BA7">
            <w:pP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Local Authority</w:t>
            </w:r>
          </w:p>
        </w:tc>
        <w:tc>
          <w:tcPr>
            <w:tcW w:w="2270" w:type="dxa"/>
            <w:tcBorders>
              <w:top w:val="single" w:sz="8" w:space="0" w:color="auto"/>
              <w:left w:val="nil"/>
              <w:bottom w:val="nil"/>
              <w:right w:val="single" w:sz="8" w:space="0" w:color="auto"/>
            </w:tcBorders>
            <w:shd w:val="clear" w:color="auto" w:fill="auto"/>
            <w:vAlign w:val="center"/>
            <w:hideMark/>
          </w:tcPr>
          <w:p w14:paraId="2BDF9EFC" w14:textId="77777777" w:rsidR="00CC11B7" w:rsidRPr="004F4BA7" w:rsidRDefault="00CC11B7" w:rsidP="00CC11B7">
            <w:pPr>
              <w:jc w:val="cente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Household Change</w:t>
            </w:r>
          </w:p>
        </w:tc>
        <w:tc>
          <w:tcPr>
            <w:tcW w:w="2270" w:type="dxa"/>
            <w:tcBorders>
              <w:top w:val="single" w:sz="8" w:space="0" w:color="auto"/>
              <w:left w:val="nil"/>
              <w:bottom w:val="nil"/>
              <w:right w:val="single" w:sz="8" w:space="0" w:color="auto"/>
            </w:tcBorders>
            <w:shd w:val="clear" w:color="auto" w:fill="auto"/>
            <w:vAlign w:val="center"/>
            <w:hideMark/>
          </w:tcPr>
          <w:p w14:paraId="3CE2ECE8" w14:textId="77777777" w:rsidR="00CC11B7" w:rsidRPr="004F4BA7" w:rsidRDefault="00CC11B7" w:rsidP="00CC11B7">
            <w:pPr>
              <w:jc w:val="cente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Affordability Adjustment</w:t>
            </w:r>
          </w:p>
        </w:tc>
        <w:tc>
          <w:tcPr>
            <w:tcW w:w="2270" w:type="dxa"/>
            <w:tcBorders>
              <w:top w:val="single" w:sz="8" w:space="0" w:color="auto"/>
              <w:left w:val="nil"/>
              <w:bottom w:val="nil"/>
              <w:right w:val="single" w:sz="8" w:space="0" w:color="auto"/>
            </w:tcBorders>
            <w:shd w:val="clear" w:color="auto" w:fill="auto"/>
            <w:vAlign w:val="center"/>
            <w:hideMark/>
          </w:tcPr>
          <w:p w14:paraId="68A7656F" w14:textId="77777777" w:rsidR="00CC11B7" w:rsidRPr="004F4BA7" w:rsidRDefault="00CC11B7" w:rsidP="00CC11B7">
            <w:pPr>
              <w:jc w:val="cente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Housing Need</w:t>
            </w:r>
          </w:p>
        </w:tc>
      </w:tr>
      <w:tr w:rsidR="00CC11B7" w:rsidRPr="008E5DB4" w14:paraId="6B02C67C" w14:textId="77777777" w:rsidTr="004F4BA7">
        <w:trPr>
          <w:trHeight w:val="315"/>
        </w:trPr>
        <w:tc>
          <w:tcPr>
            <w:tcW w:w="2120" w:type="dxa"/>
            <w:vMerge/>
            <w:tcBorders>
              <w:top w:val="single" w:sz="8" w:space="0" w:color="auto"/>
              <w:left w:val="single" w:sz="8" w:space="0" w:color="auto"/>
              <w:bottom w:val="single" w:sz="8" w:space="0" w:color="000000"/>
              <w:right w:val="single" w:sz="8" w:space="0" w:color="auto"/>
            </w:tcBorders>
            <w:vAlign w:val="center"/>
            <w:hideMark/>
          </w:tcPr>
          <w:p w14:paraId="726CA7B3" w14:textId="77777777" w:rsidR="00CC11B7" w:rsidRPr="004F4BA7" w:rsidRDefault="00CC11B7" w:rsidP="00C4126C">
            <w:pPr>
              <w:rPr>
                <w:rFonts w:ascii="Arial Narrow" w:eastAsia="Times New Roman" w:hAnsi="Arial Narrow"/>
                <w:b/>
                <w:bCs/>
                <w:color w:val="000000"/>
                <w:sz w:val="24"/>
                <w:szCs w:val="24"/>
                <w:lang w:eastAsia="en-GB"/>
              </w:rPr>
            </w:pPr>
          </w:p>
        </w:tc>
        <w:tc>
          <w:tcPr>
            <w:tcW w:w="2270" w:type="dxa"/>
            <w:tcBorders>
              <w:top w:val="nil"/>
              <w:left w:val="nil"/>
              <w:bottom w:val="single" w:sz="8" w:space="0" w:color="auto"/>
              <w:right w:val="single" w:sz="8" w:space="0" w:color="auto"/>
            </w:tcBorders>
            <w:shd w:val="clear" w:color="auto" w:fill="auto"/>
            <w:vAlign w:val="center"/>
            <w:hideMark/>
          </w:tcPr>
          <w:p w14:paraId="4D6A84D3" w14:textId="77777777" w:rsidR="00CC11B7" w:rsidRPr="004F4BA7" w:rsidRDefault="00CC11B7" w:rsidP="00CC11B7">
            <w:pPr>
              <w:jc w:val="cente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(Step 1)</w:t>
            </w:r>
          </w:p>
        </w:tc>
        <w:tc>
          <w:tcPr>
            <w:tcW w:w="2270" w:type="dxa"/>
            <w:tcBorders>
              <w:top w:val="nil"/>
              <w:left w:val="nil"/>
              <w:bottom w:val="single" w:sz="8" w:space="0" w:color="auto"/>
              <w:right w:val="single" w:sz="8" w:space="0" w:color="auto"/>
            </w:tcBorders>
            <w:shd w:val="clear" w:color="auto" w:fill="auto"/>
            <w:vAlign w:val="center"/>
            <w:hideMark/>
          </w:tcPr>
          <w:p w14:paraId="0A7663CE" w14:textId="77777777" w:rsidR="00CC11B7" w:rsidRPr="004F4BA7" w:rsidRDefault="00CC11B7" w:rsidP="00CC11B7">
            <w:pPr>
              <w:jc w:val="cente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(Step 2)</w:t>
            </w:r>
          </w:p>
        </w:tc>
        <w:tc>
          <w:tcPr>
            <w:tcW w:w="2270" w:type="dxa"/>
            <w:tcBorders>
              <w:top w:val="nil"/>
              <w:left w:val="nil"/>
              <w:bottom w:val="single" w:sz="8" w:space="0" w:color="auto"/>
              <w:right w:val="single" w:sz="8" w:space="0" w:color="auto"/>
            </w:tcBorders>
            <w:shd w:val="clear" w:color="auto" w:fill="auto"/>
            <w:vAlign w:val="center"/>
            <w:hideMark/>
          </w:tcPr>
          <w:p w14:paraId="7ADF7E72" w14:textId="77777777" w:rsidR="00CC11B7" w:rsidRPr="004F4BA7" w:rsidRDefault="00CC11B7" w:rsidP="00CC11B7">
            <w:pPr>
              <w:jc w:val="cente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(Step 3)</w:t>
            </w:r>
            <w:r w:rsidRPr="004F4BA7">
              <w:rPr>
                <w:rFonts w:ascii="Arial Narrow" w:eastAsia="Times New Roman" w:hAnsi="Arial Narrow" w:cs="Times New Roman"/>
                <w:b/>
                <w:bCs/>
                <w:color w:val="000000"/>
                <w:sz w:val="24"/>
                <w:szCs w:val="24"/>
                <w:lang w:eastAsia="en-GB"/>
              </w:rPr>
              <w:t>   </w:t>
            </w:r>
          </w:p>
        </w:tc>
      </w:tr>
      <w:tr w:rsidR="00CC11B7" w:rsidRPr="008E5DB4" w14:paraId="34F4C23C"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6485729D" w14:textId="77777777" w:rsidR="00CC11B7" w:rsidRPr="004F4BA7" w:rsidRDefault="00CC11B7" w:rsidP="00C4126C">
            <w:pPr>
              <w:rPr>
                <w:rFonts w:ascii="Arial Narrow" w:eastAsia="Times New Roman" w:hAnsi="Arial Narrow"/>
                <w:color w:val="000000"/>
                <w:sz w:val="24"/>
                <w:szCs w:val="24"/>
                <w:lang w:eastAsia="en-GB"/>
              </w:rPr>
            </w:pPr>
            <w:r w:rsidRPr="004F4BA7">
              <w:rPr>
                <w:rFonts w:ascii="Arial Narrow" w:eastAsia="Times New Roman" w:hAnsi="Arial Narrow"/>
                <w:color w:val="000000"/>
                <w:sz w:val="24"/>
                <w:szCs w:val="24"/>
                <w:lang w:eastAsia="en-GB"/>
              </w:rPr>
              <w:t>Cambridge</w:t>
            </w:r>
          </w:p>
        </w:tc>
        <w:tc>
          <w:tcPr>
            <w:tcW w:w="2270" w:type="dxa"/>
            <w:tcBorders>
              <w:top w:val="nil"/>
              <w:left w:val="nil"/>
              <w:bottom w:val="single" w:sz="8" w:space="0" w:color="auto"/>
              <w:right w:val="single" w:sz="8" w:space="0" w:color="auto"/>
            </w:tcBorders>
            <w:shd w:val="clear" w:color="000000" w:fill="FFFFFF"/>
            <w:noWrap/>
            <w:vAlign w:val="center"/>
            <w:hideMark/>
          </w:tcPr>
          <w:p w14:paraId="6E8ADCB4"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425</w:t>
            </w:r>
          </w:p>
        </w:tc>
        <w:tc>
          <w:tcPr>
            <w:tcW w:w="2270" w:type="dxa"/>
            <w:tcBorders>
              <w:top w:val="nil"/>
              <w:left w:val="nil"/>
              <w:bottom w:val="single" w:sz="8" w:space="0" w:color="auto"/>
              <w:right w:val="single" w:sz="8" w:space="0" w:color="auto"/>
            </w:tcBorders>
            <w:shd w:val="clear" w:color="000000" w:fill="FFFFFF"/>
            <w:noWrap/>
            <w:vAlign w:val="center"/>
            <w:hideMark/>
          </w:tcPr>
          <w:p w14:paraId="6041E644"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658</w:t>
            </w:r>
          </w:p>
        </w:tc>
        <w:tc>
          <w:tcPr>
            <w:tcW w:w="2270" w:type="dxa"/>
            <w:tcBorders>
              <w:top w:val="nil"/>
              <w:left w:val="nil"/>
              <w:bottom w:val="single" w:sz="8" w:space="0" w:color="auto"/>
              <w:right w:val="single" w:sz="8" w:space="0" w:color="auto"/>
            </w:tcBorders>
            <w:shd w:val="clear" w:color="000000" w:fill="FFFFFF"/>
            <w:noWrap/>
            <w:vAlign w:val="center"/>
            <w:hideMark/>
          </w:tcPr>
          <w:p w14:paraId="5B2BA8BA"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658</w:t>
            </w:r>
          </w:p>
        </w:tc>
      </w:tr>
      <w:tr w:rsidR="00CC11B7" w:rsidRPr="008E5DB4" w14:paraId="5CBEFF2E"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2CCC4965" w14:textId="77777777" w:rsidR="00CC11B7" w:rsidRPr="004F4BA7" w:rsidRDefault="00CC11B7" w:rsidP="00C4126C">
            <w:pPr>
              <w:rPr>
                <w:rFonts w:ascii="Arial Narrow" w:eastAsia="Times New Roman" w:hAnsi="Arial Narrow"/>
                <w:color w:val="000000"/>
                <w:sz w:val="24"/>
                <w:szCs w:val="24"/>
                <w:lang w:eastAsia="en-GB"/>
              </w:rPr>
            </w:pPr>
            <w:r w:rsidRPr="004F4BA7">
              <w:rPr>
                <w:rFonts w:ascii="Arial Narrow" w:eastAsia="Times New Roman" w:hAnsi="Arial Narrow"/>
                <w:color w:val="000000"/>
                <w:sz w:val="24"/>
                <w:szCs w:val="24"/>
                <w:lang w:eastAsia="en-GB"/>
              </w:rPr>
              <w:t>East Cambs</w:t>
            </w:r>
          </w:p>
        </w:tc>
        <w:tc>
          <w:tcPr>
            <w:tcW w:w="2270" w:type="dxa"/>
            <w:tcBorders>
              <w:top w:val="nil"/>
              <w:left w:val="nil"/>
              <w:bottom w:val="single" w:sz="8" w:space="0" w:color="auto"/>
              <w:right w:val="single" w:sz="8" w:space="0" w:color="auto"/>
            </w:tcBorders>
            <w:shd w:val="clear" w:color="000000" w:fill="FFFFFF"/>
            <w:noWrap/>
            <w:vAlign w:val="center"/>
            <w:hideMark/>
          </w:tcPr>
          <w:p w14:paraId="34287A1D"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429</w:t>
            </w:r>
          </w:p>
        </w:tc>
        <w:tc>
          <w:tcPr>
            <w:tcW w:w="2270" w:type="dxa"/>
            <w:tcBorders>
              <w:top w:val="nil"/>
              <w:left w:val="nil"/>
              <w:bottom w:val="single" w:sz="8" w:space="0" w:color="auto"/>
              <w:right w:val="single" w:sz="8" w:space="0" w:color="auto"/>
            </w:tcBorders>
            <w:shd w:val="clear" w:color="000000" w:fill="FFFFFF"/>
            <w:noWrap/>
            <w:vAlign w:val="center"/>
            <w:hideMark/>
          </w:tcPr>
          <w:p w14:paraId="0FE17CE2"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597</w:t>
            </w:r>
          </w:p>
        </w:tc>
        <w:tc>
          <w:tcPr>
            <w:tcW w:w="2270" w:type="dxa"/>
            <w:tcBorders>
              <w:top w:val="nil"/>
              <w:left w:val="nil"/>
              <w:bottom w:val="single" w:sz="8" w:space="0" w:color="auto"/>
              <w:right w:val="single" w:sz="8" w:space="0" w:color="auto"/>
            </w:tcBorders>
            <w:shd w:val="clear" w:color="000000" w:fill="FFFFFF"/>
            <w:noWrap/>
            <w:vAlign w:val="center"/>
            <w:hideMark/>
          </w:tcPr>
          <w:p w14:paraId="5880B57A"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597</w:t>
            </w:r>
          </w:p>
        </w:tc>
      </w:tr>
      <w:tr w:rsidR="00CC11B7" w:rsidRPr="008E5DB4" w14:paraId="7D2FDCB5"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26507D33" w14:textId="77777777" w:rsidR="00CC11B7" w:rsidRPr="004F4BA7" w:rsidRDefault="00CC11B7" w:rsidP="00C4126C">
            <w:pPr>
              <w:rPr>
                <w:rFonts w:ascii="Arial Narrow" w:eastAsia="Times New Roman" w:hAnsi="Arial Narrow"/>
                <w:color w:val="000000"/>
                <w:sz w:val="24"/>
                <w:szCs w:val="24"/>
                <w:lang w:eastAsia="en-GB"/>
              </w:rPr>
            </w:pPr>
            <w:r w:rsidRPr="004F4BA7">
              <w:rPr>
                <w:rFonts w:ascii="Arial Narrow" w:eastAsia="Times New Roman" w:hAnsi="Arial Narrow"/>
                <w:color w:val="000000"/>
                <w:sz w:val="24"/>
                <w:szCs w:val="24"/>
                <w:lang w:eastAsia="en-GB"/>
              </w:rPr>
              <w:t>Fenland</w:t>
            </w:r>
          </w:p>
        </w:tc>
        <w:tc>
          <w:tcPr>
            <w:tcW w:w="2270" w:type="dxa"/>
            <w:tcBorders>
              <w:top w:val="nil"/>
              <w:left w:val="nil"/>
              <w:bottom w:val="single" w:sz="8" w:space="0" w:color="auto"/>
              <w:right w:val="single" w:sz="8" w:space="0" w:color="auto"/>
            </w:tcBorders>
            <w:shd w:val="clear" w:color="000000" w:fill="FFFFFF"/>
            <w:noWrap/>
            <w:vAlign w:val="center"/>
            <w:hideMark/>
          </w:tcPr>
          <w:p w14:paraId="78DFE02C"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428</w:t>
            </w:r>
          </w:p>
        </w:tc>
        <w:tc>
          <w:tcPr>
            <w:tcW w:w="2270" w:type="dxa"/>
            <w:tcBorders>
              <w:top w:val="nil"/>
              <w:left w:val="nil"/>
              <w:bottom w:val="single" w:sz="8" w:space="0" w:color="auto"/>
              <w:right w:val="single" w:sz="8" w:space="0" w:color="auto"/>
            </w:tcBorders>
            <w:shd w:val="clear" w:color="000000" w:fill="FFFFFF"/>
            <w:noWrap/>
            <w:vAlign w:val="center"/>
            <w:hideMark/>
          </w:tcPr>
          <w:p w14:paraId="3FA7DF3C"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538</w:t>
            </w:r>
          </w:p>
        </w:tc>
        <w:tc>
          <w:tcPr>
            <w:tcW w:w="2270" w:type="dxa"/>
            <w:tcBorders>
              <w:top w:val="nil"/>
              <w:left w:val="nil"/>
              <w:bottom w:val="single" w:sz="8" w:space="0" w:color="auto"/>
              <w:right w:val="single" w:sz="8" w:space="0" w:color="auto"/>
            </w:tcBorders>
            <w:shd w:val="clear" w:color="000000" w:fill="FFFFFF"/>
            <w:noWrap/>
            <w:vAlign w:val="center"/>
            <w:hideMark/>
          </w:tcPr>
          <w:p w14:paraId="262BE654"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538</w:t>
            </w:r>
            <w:r w:rsidRPr="008E5DB4">
              <w:rPr>
                <w:rFonts w:ascii="Arial Narrow" w:eastAsia="Times New Roman" w:hAnsi="Arial Narrow" w:cs="Times New Roman"/>
                <w:color w:val="000000"/>
                <w:sz w:val="24"/>
                <w:szCs w:val="24"/>
                <w:lang w:eastAsia="en-GB"/>
              </w:rPr>
              <w:t> </w:t>
            </w:r>
          </w:p>
        </w:tc>
      </w:tr>
      <w:tr w:rsidR="00CC11B7" w:rsidRPr="008E5DB4" w14:paraId="06603A77"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303314CD" w14:textId="4AE8F328" w:rsidR="00CC11B7" w:rsidRPr="004F4BA7" w:rsidRDefault="00CC11B7" w:rsidP="00C4126C">
            <w:pPr>
              <w:rPr>
                <w:rFonts w:ascii="Arial Narrow" w:eastAsia="Times New Roman" w:hAnsi="Arial Narrow"/>
                <w:color w:val="000000"/>
                <w:sz w:val="24"/>
                <w:szCs w:val="24"/>
                <w:lang w:eastAsia="en-GB"/>
              </w:rPr>
            </w:pPr>
            <w:r w:rsidRPr="004F4BA7">
              <w:rPr>
                <w:rFonts w:ascii="Arial Narrow" w:eastAsia="Times New Roman" w:hAnsi="Arial Narrow"/>
                <w:color w:val="auto"/>
                <w:sz w:val="24"/>
                <w:szCs w:val="24"/>
                <w:lang w:eastAsia="en-GB"/>
              </w:rPr>
              <w:t>Hunt</w:t>
            </w:r>
            <w:r w:rsidR="00F957F3" w:rsidRPr="004F4BA7">
              <w:rPr>
                <w:rFonts w:ascii="Arial Narrow" w:eastAsia="Times New Roman" w:hAnsi="Arial Narrow"/>
                <w:color w:val="auto"/>
                <w:sz w:val="24"/>
                <w:szCs w:val="24"/>
                <w:lang w:eastAsia="en-GB"/>
              </w:rPr>
              <w:t>ingdon</w:t>
            </w:r>
            <w:r w:rsidRPr="004F4BA7">
              <w:rPr>
                <w:rFonts w:ascii="Arial Narrow" w:eastAsia="Times New Roman" w:hAnsi="Arial Narrow"/>
                <w:color w:val="auto"/>
                <w:sz w:val="24"/>
                <w:szCs w:val="24"/>
                <w:lang w:eastAsia="en-GB"/>
              </w:rPr>
              <w:t>s</w:t>
            </w:r>
            <w:r w:rsidR="00F957F3" w:rsidRPr="004F4BA7">
              <w:rPr>
                <w:rFonts w:ascii="Arial Narrow" w:eastAsia="Times New Roman" w:hAnsi="Arial Narrow"/>
                <w:color w:val="auto"/>
                <w:sz w:val="24"/>
                <w:szCs w:val="24"/>
                <w:lang w:eastAsia="en-GB"/>
              </w:rPr>
              <w:t>hire</w:t>
            </w:r>
          </w:p>
        </w:tc>
        <w:tc>
          <w:tcPr>
            <w:tcW w:w="2270" w:type="dxa"/>
            <w:tcBorders>
              <w:top w:val="nil"/>
              <w:left w:val="nil"/>
              <w:bottom w:val="single" w:sz="8" w:space="0" w:color="auto"/>
              <w:right w:val="single" w:sz="8" w:space="0" w:color="auto"/>
            </w:tcBorders>
            <w:shd w:val="clear" w:color="000000" w:fill="FFFFFF"/>
            <w:noWrap/>
            <w:vAlign w:val="center"/>
            <w:hideMark/>
          </w:tcPr>
          <w:p w14:paraId="32B1B87E"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733</w:t>
            </w:r>
          </w:p>
        </w:tc>
        <w:tc>
          <w:tcPr>
            <w:tcW w:w="2270" w:type="dxa"/>
            <w:tcBorders>
              <w:top w:val="nil"/>
              <w:left w:val="nil"/>
              <w:bottom w:val="single" w:sz="8" w:space="0" w:color="auto"/>
              <w:right w:val="single" w:sz="8" w:space="0" w:color="auto"/>
            </w:tcBorders>
            <w:shd w:val="clear" w:color="000000" w:fill="FFFFFF"/>
            <w:noWrap/>
            <w:vAlign w:val="center"/>
            <w:hideMark/>
          </w:tcPr>
          <w:p w14:paraId="66FF8034"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976</w:t>
            </w:r>
          </w:p>
        </w:tc>
        <w:tc>
          <w:tcPr>
            <w:tcW w:w="2270" w:type="dxa"/>
            <w:tcBorders>
              <w:top w:val="nil"/>
              <w:left w:val="nil"/>
              <w:bottom w:val="single" w:sz="8" w:space="0" w:color="auto"/>
              <w:right w:val="single" w:sz="8" w:space="0" w:color="auto"/>
            </w:tcBorders>
            <w:shd w:val="clear" w:color="000000" w:fill="FFFFFF"/>
            <w:noWrap/>
            <w:vAlign w:val="center"/>
            <w:hideMark/>
          </w:tcPr>
          <w:p w14:paraId="72E64133"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976</w:t>
            </w:r>
          </w:p>
        </w:tc>
      </w:tr>
      <w:tr w:rsidR="00CC11B7" w:rsidRPr="008E5DB4" w14:paraId="3B5A77F1"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34AFA14D" w14:textId="77777777" w:rsidR="00CC11B7" w:rsidRPr="004F4BA7" w:rsidRDefault="00CC11B7" w:rsidP="00C4126C">
            <w:pPr>
              <w:rPr>
                <w:rFonts w:ascii="Arial Narrow" w:eastAsia="Times New Roman" w:hAnsi="Arial Narrow"/>
                <w:color w:val="000000"/>
                <w:sz w:val="24"/>
                <w:szCs w:val="24"/>
                <w:lang w:eastAsia="en-GB"/>
              </w:rPr>
            </w:pPr>
            <w:r w:rsidRPr="004F4BA7">
              <w:rPr>
                <w:rFonts w:ascii="Arial Narrow" w:eastAsia="Times New Roman" w:hAnsi="Arial Narrow"/>
                <w:color w:val="auto"/>
                <w:sz w:val="24"/>
                <w:szCs w:val="24"/>
                <w:lang w:eastAsia="en-GB"/>
              </w:rPr>
              <w:t>South Cambs</w:t>
            </w:r>
          </w:p>
        </w:tc>
        <w:tc>
          <w:tcPr>
            <w:tcW w:w="2270" w:type="dxa"/>
            <w:tcBorders>
              <w:top w:val="nil"/>
              <w:left w:val="nil"/>
              <w:bottom w:val="single" w:sz="8" w:space="0" w:color="auto"/>
              <w:right w:val="single" w:sz="8" w:space="0" w:color="auto"/>
            </w:tcBorders>
            <w:shd w:val="clear" w:color="000000" w:fill="FFFFFF"/>
            <w:noWrap/>
            <w:vAlign w:val="center"/>
            <w:hideMark/>
          </w:tcPr>
          <w:p w14:paraId="50CBD80B"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797</w:t>
            </w:r>
          </w:p>
        </w:tc>
        <w:tc>
          <w:tcPr>
            <w:tcW w:w="2270" w:type="dxa"/>
            <w:tcBorders>
              <w:top w:val="nil"/>
              <w:left w:val="nil"/>
              <w:bottom w:val="single" w:sz="8" w:space="0" w:color="auto"/>
              <w:right w:val="single" w:sz="8" w:space="0" w:color="auto"/>
            </w:tcBorders>
            <w:shd w:val="clear" w:color="000000" w:fill="FFFFFF"/>
            <w:noWrap/>
            <w:vAlign w:val="center"/>
            <w:hideMark/>
          </w:tcPr>
          <w:p w14:paraId="372C0C5E"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1,085</w:t>
            </w:r>
          </w:p>
        </w:tc>
        <w:tc>
          <w:tcPr>
            <w:tcW w:w="2270" w:type="dxa"/>
            <w:tcBorders>
              <w:top w:val="nil"/>
              <w:left w:val="nil"/>
              <w:bottom w:val="single" w:sz="8" w:space="0" w:color="auto"/>
              <w:right w:val="single" w:sz="8" w:space="0" w:color="auto"/>
            </w:tcBorders>
            <w:shd w:val="clear" w:color="000000" w:fill="FFFFFF"/>
            <w:noWrap/>
            <w:vAlign w:val="center"/>
            <w:hideMark/>
          </w:tcPr>
          <w:p w14:paraId="2FE33AFB"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1,085</w:t>
            </w:r>
          </w:p>
        </w:tc>
      </w:tr>
      <w:tr w:rsidR="00CC11B7" w:rsidRPr="008E5DB4" w14:paraId="79CDA0E4"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18B81A57" w14:textId="77777777" w:rsidR="00CC11B7" w:rsidRPr="004F4BA7" w:rsidRDefault="00CC11B7" w:rsidP="00C4126C">
            <w:pPr>
              <w:rPr>
                <w:rFonts w:ascii="Arial Narrow" w:eastAsia="Times New Roman" w:hAnsi="Arial Narrow"/>
                <w:color w:val="000000"/>
                <w:sz w:val="24"/>
                <w:szCs w:val="24"/>
                <w:lang w:eastAsia="en-GB"/>
              </w:rPr>
            </w:pPr>
            <w:r w:rsidRPr="004F4BA7">
              <w:rPr>
                <w:rFonts w:ascii="Arial Narrow" w:eastAsia="Times New Roman" w:hAnsi="Arial Narrow"/>
                <w:color w:val="000000"/>
                <w:sz w:val="24"/>
                <w:szCs w:val="24"/>
                <w:lang w:eastAsia="en-GB"/>
              </w:rPr>
              <w:t>West Suffolk</w:t>
            </w:r>
          </w:p>
        </w:tc>
        <w:tc>
          <w:tcPr>
            <w:tcW w:w="2270" w:type="dxa"/>
            <w:tcBorders>
              <w:top w:val="nil"/>
              <w:left w:val="nil"/>
              <w:bottom w:val="single" w:sz="8" w:space="0" w:color="auto"/>
              <w:right w:val="single" w:sz="8" w:space="0" w:color="auto"/>
            </w:tcBorders>
            <w:shd w:val="clear" w:color="000000" w:fill="FFFFFF"/>
            <w:noWrap/>
            <w:vAlign w:val="center"/>
            <w:hideMark/>
          </w:tcPr>
          <w:p w14:paraId="69D74183"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608</w:t>
            </w:r>
          </w:p>
        </w:tc>
        <w:tc>
          <w:tcPr>
            <w:tcW w:w="2270" w:type="dxa"/>
            <w:tcBorders>
              <w:top w:val="nil"/>
              <w:left w:val="nil"/>
              <w:bottom w:val="single" w:sz="8" w:space="0" w:color="auto"/>
              <w:right w:val="single" w:sz="8" w:space="0" w:color="auto"/>
            </w:tcBorders>
            <w:shd w:val="clear" w:color="000000" w:fill="FFFFFF"/>
            <w:noWrap/>
            <w:vAlign w:val="center"/>
            <w:hideMark/>
          </w:tcPr>
          <w:p w14:paraId="01F92A7E"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800</w:t>
            </w:r>
          </w:p>
        </w:tc>
        <w:tc>
          <w:tcPr>
            <w:tcW w:w="2270" w:type="dxa"/>
            <w:tcBorders>
              <w:top w:val="nil"/>
              <w:left w:val="nil"/>
              <w:bottom w:val="single" w:sz="8" w:space="0" w:color="auto"/>
              <w:right w:val="single" w:sz="8" w:space="0" w:color="auto"/>
            </w:tcBorders>
            <w:shd w:val="clear" w:color="000000" w:fill="FFFFFF"/>
            <w:noWrap/>
            <w:vAlign w:val="center"/>
            <w:hideMark/>
          </w:tcPr>
          <w:p w14:paraId="4EDFC677" w14:textId="77777777" w:rsidR="00CC11B7" w:rsidRPr="008E5DB4" w:rsidRDefault="00CC11B7" w:rsidP="00CC11B7">
            <w:pPr>
              <w:jc w:val="center"/>
              <w:rPr>
                <w:rFonts w:ascii="Arial Narrow" w:eastAsia="Times New Roman" w:hAnsi="Arial Narrow"/>
                <w:color w:val="000000"/>
                <w:sz w:val="24"/>
                <w:szCs w:val="24"/>
                <w:lang w:eastAsia="en-GB"/>
              </w:rPr>
            </w:pPr>
            <w:r w:rsidRPr="008E5DB4">
              <w:rPr>
                <w:rFonts w:ascii="Arial Narrow" w:eastAsia="Times New Roman" w:hAnsi="Arial Narrow"/>
                <w:color w:val="000000"/>
                <w:sz w:val="24"/>
                <w:szCs w:val="24"/>
                <w:lang w:eastAsia="en-GB"/>
              </w:rPr>
              <w:t>800</w:t>
            </w:r>
            <w:r w:rsidRPr="008E5DB4">
              <w:rPr>
                <w:rFonts w:ascii="Arial Narrow" w:eastAsia="Times New Roman" w:hAnsi="Arial Narrow" w:cs="Times New Roman"/>
                <w:color w:val="000000"/>
                <w:sz w:val="24"/>
                <w:szCs w:val="24"/>
                <w:lang w:eastAsia="en-GB"/>
              </w:rPr>
              <w:t> </w:t>
            </w:r>
          </w:p>
        </w:tc>
      </w:tr>
      <w:tr w:rsidR="00CC11B7" w:rsidRPr="008E5DB4" w14:paraId="538D312E" w14:textId="77777777" w:rsidTr="004F4BA7">
        <w:trPr>
          <w:trHeight w:val="315"/>
        </w:trPr>
        <w:tc>
          <w:tcPr>
            <w:tcW w:w="2120" w:type="dxa"/>
            <w:tcBorders>
              <w:top w:val="nil"/>
              <w:left w:val="single" w:sz="8" w:space="0" w:color="auto"/>
              <w:bottom w:val="single" w:sz="8" w:space="0" w:color="auto"/>
              <w:right w:val="single" w:sz="8" w:space="0" w:color="auto"/>
            </w:tcBorders>
            <w:shd w:val="clear" w:color="000000" w:fill="FFFFFF"/>
            <w:noWrap/>
            <w:vAlign w:val="center"/>
            <w:hideMark/>
          </w:tcPr>
          <w:p w14:paraId="60A23D9E" w14:textId="77777777" w:rsidR="00CC11B7" w:rsidRPr="004F4BA7" w:rsidRDefault="00CC11B7" w:rsidP="00C4126C">
            <w:pPr>
              <w:rPr>
                <w:rFonts w:ascii="Arial Narrow" w:eastAsia="Times New Roman" w:hAnsi="Arial Narrow"/>
                <w:b/>
                <w:bCs/>
                <w:color w:val="000000"/>
                <w:sz w:val="24"/>
                <w:szCs w:val="24"/>
                <w:lang w:eastAsia="en-GB"/>
              </w:rPr>
            </w:pPr>
            <w:r w:rsidRPr="004F4BA7">
              <w:rPr>
                <w:rFonts w:ascii="Arial Narrow" w:eastAsia="Times New Roman" w:hAnsi="Arial Narrow"/>
                <w:b/>
                <w:bCs/>
                <w:color w:val="000000"/>
                <w:sz w:val="24"/>
                <w:szCs w:val="24"/>
                <w:lang w:eastAsia="en-GB"/>
              </w:rPr>
              <w:t>HMA</w:t>
            </w:r>
          </w:p>
        </w:tc>
        <w:tc>
          <w:tcPr>
            <w:tcW w:w="2270" w:type="dxa"/>
            <w:tcBorders>
              <w:top w:val="nil"/>
              <w:left w:val="nil"/>
              <w:bottom w:val="single" w:sz="8" w:space="0" w:color="auto"/>
              <w:right w:val="single" w:sz="8" w:space="0" w:color="auto"/>
            </w:tcBorders>
            <w:shd w:val="clear" w:color="000000" w:fill="FFFFFF"/>
            <w:noWrap/>
            <w:vAlign w:val="center"/>
            <w:hideMark/>
          </w:tcPr>
          <w:p w14:paraId="4B22BABA" w14:textId="77777777" w:rsidR="00CC11B7" w:rsidRPr="008E5DB4" w:rsidRDefault="00CC11B7" w:rsidP="00CC11B7">
            <w:pPr>
              <w:jc w:val="center"/>
              <w:rPr>
                <w:rFonts w:ascii="Arial Narrow" w:eastAsia="Times New Roman" w:hAnsi="Arial Narrow"/>
                <w:b/>
                <w:bCs/>
                <w:color w:val="000000"/>
                <w:sz w:val="24"/>
                <w:szCs w:val="24"/>
                <w:lang w:eastAsia="en-GB"/>
              </w:rPr>
            </w:pPr>
            <w:r w:rsidRPr="008E5DB4">
              <w:rPr>
                <w:rFonts w:ascii="Arial Narrow" w:eastAsia="Times New Roman" w:hAnsi="Arial Narrow"/>
                <w:b/>
                <w:bCs/>
                <w:color w:val="000000"/>
                <w:sz w:val="24"/>
                <w:szCs w:val="24"/>
                <w:lang w:eastAsia="en-GB"/>
              </w:rPr>
              <w:t>3,420</w:t>
            </w:r>
          </w:p>
        </w:tc>
        <w:tc>
          <w:tcPr>
            <w:tcW w:w="2270" w:type="dxa"/>
            <w:tcBorders>
              <w:top w:val="nil"/>
              <w:left w:val="nil"/>
              <w:bottom w:val="single" w:sz="8" w:space="0" w:color="auto"/>
              <w:right w:val="single" w:sz="8" w:space="0" w:color="auto"/>
            </w:tcBorders>
            <w:shd w:val="clear" w:color="000000" w:fill="FFFFFF"/>
            <w:noWrap/>
            <w:vAlign w:val="center"/>
            <w:hideMark/>
          </w:tcPr>
          <w:p w14:paraId="0E6253BB" w14:textId="77777777" w:rsidR="00CC11B7" w:rsidRPr="008E5DB4" w:rsidRDefault="00CC11B7" w:rsidP="00CC11B7">
            <w:pPr>
              <w:jc w:val="center"/>
              <w:rPr>
                <w:rFonts w:ascii="Arial Narrow" w:eastAsia="Times New Roman" w:hAnsi="Arial Narrow"/>
                <w:b/>
                <w:bCs/>
                <w:color w:val="000000"/>
                <w:sz w:val="24"/>
                <w:szCs w:val="24"/>
                <w:lang w:eastAsia="en-GB"/>
              </w:rPr>
            </w:pPr>
            <w:r w:rsidRPr="008E5DB4">
              <w:rPr>
                <w:rFonts w:ascii="Arial Narrow" w:eastAsia="Times New Roman" w:hAnsi="Arial Narrow"/>
                <w:b/>
                <w:bCs/>
                <w:color w:val="000000"/>
                <w:sz w:val="24"/>
                <w:szCs w:val="24"/>
                <w:lang w:eastAsia="en-GB"/>
              </w:rPr>
              <w:t>4,654</w:t>
            </w:r>
          </w:p>
        </w:tc>
        <w:tc>
          <w:tcPr>
            <w:tcW w:w="2270" w:type="dxa"/>
            <w:tcBorders>
              <w:top w:val="nil"/>
              <w:left w:val="nil"/>
              <w:bottom w:val="single" w:sz="8" w:space="0" w:color="auto"/>
              <w:right w:val="single" w:sz="8" w:space="0" w:color="auto"/>
            </w:tcBorders>
            <w:shd w:val="clear" w:color="000000" w:fill="FFFFFF"/>
            <w:noWrap/>
            <w:vAlign w:val="center"/>
            <w:hideMark/>
          </w:tcPr>
          <w:p w14:paraId="6D32DE75" w14:textId="77777777" w:rsidR="00CC11B7" w:rsidRPr="008E5DB4" w:rsidRDefault="00CC11B7" w:rsidP="00CC11B7">
            <w:pPr>
              <w:jc w:val="center"/>
              <w:rPr>
                <w:rFonts w:ascii="Arial Narrow" w:eastAsia="Times New Roman" w:hAnsi="Arial Narrow"/>
                <w:b/>
                <w:bCs/>
                <w:color w:val="000000"/>
                <w:sz w:val="24"/>
                <w:szCs w:val="24"/>
                <w:lang w:eastAsia="en-GB"/>
              </w:rPr>
            </w:pPr>
            <w:r w:rsidRPr="008E5DB4">
              <w:rPr>
                <w:rFonts w:ascii="Arial Narrow" w:eastAsia="Times New Roman" w:hAnsi="Arial Narrow"/>
                <w:b/>
                <w:bCs/>
                <w:color w:val="000000"/>
                <w:sz w:val="24"/>
                <w:szCs w:val="24"/>
                <w:lang w:eastAsia="en-GB"/>
              </w:rPr>
              <w:t>4,654</w:t>
            </w:r>
          </w:p>
        </w:tc>
      </w:tr>
    </w:tbl>
    <w:p w14:paraId="26DF2675" w14:textId="77777777" w:rsidR="00CC11B7" w:rsidRDefault="00CC11B7" w:rsidP="008E5DB4">
      <w:pPr>
        <w:ind w:left="426"/>
      </w:pPr>
    </w:p>
    <w:p w14:paraId="60A048D6" w14:textId="1DDCE808" w:rsidR="00186D2F" w:rsidRPr="001E4DC6" w:rsidRDefault="00186D2F" w:rsidP="008E5DB4">
      <w:pPr>
        <w:pStyle w:val="ListParagraph"/>
      </w:pPr>
      <w:r w:rsidRPr="00256CFE">
        <w:t>Based on the standard method, t</w:t>
      </w:r>
      <w:r w:rsidRPr="0027409F">
        <w:t xml:space="preserve">he </w:t>
      </w:r>
      <w:r w:rsidR="009439E2">
        <w:t>total combined need the</w:t>
      </w:r>
      <w:r w:rsidRPr="0027409F">
        <w:t xml:space="preserve"> local authorities should seek to deliver </w:t>
      </w:r>
      <w:r w:rsidR="009439E2">
        <w:t>across the HMA is</w:t>
      </w:r>
      <w:r w:rsidRPr="0027409F">
        <w:t xml:space="preserve"> </w:t>
      </w:r>
      <w:r w:rsidRPr="00256CFE">
        <w:t>a minimum</w:t>
      </w:r>
      <w:r w:rsidR="004F4630">
        <w:t xml:space="preserve"> of</w:t>
      </w:r>
      <w:r w:rsidRPr="00256CFE">
        <w:t xml:space="preserve"> 4,654</w:t>
      </w:r>
      <w:r w:rsidRPr="0027409F">
        <w:t xml:space="preserve"> dwellings per annum. Although calculated over the 2020</w:t>
      </w:r>
      <w:r w:rsidR="00F5012C">
        <w:t xml:space="preserve"> to </w:t>
      </w:r>
      <w:r w:rsidRPr="0027409F">
        <w:t>2030 period the Housing Need</w:t>
      </w:r>
      <w:r w:rsidRPr="00256CFE">
        <w:t xml:space="preserve"> figure</w:t>
      </w:r>
      <w:r w:rsidRPr="0027409F">
        <w:t xml:space="preserve"> can be applied across the plan period and </w:t>
      </w:r>
      <w:r w:rsidR="00F5012C">
        <w:t xml:space="preserve">also </w:t>
      </w:r>
      <w:r w:rsidRPr="0027409F">
        <w:t>responds to all under-delivery before 2020</w:t>
      </w:r>
      <w:r w:rsidR="006B41DF">
        <w:t xml:space="preserve"> (the use of the affordability uplift in Step 2 </w:t>
      </w:r>
      <w:r w:rsidR="00A9516C">
        <w:t>is seen as enough to address this issue)</w:t>
      </w:r>
      <w:r w:rsidRPr="0027409F">
        <w:t xml:space="preserve">. </w:t>
      </w:r>
    </w:p>
    <w:p w14:paraId="52E6202A" w14:textId="77777777" w:rsidR="00186D2F" w:rsidRDefault="00186D2F" w:rsidP="008E5DB4">
      <w:pPr>
        <w:ind w:left="426"/>
      </w:pPr>
    </w:p>
    <w:p w14:paraId="66C90FC7" w14:textId="58766AD6" w:rsidR="00186D2F" w:rsidRPr="008E6E40" w:rsidRDefault="00186D2F" w:rsidP="008E5DB4">
      <w:pPr>
        <w:pStyle w:val="ListParagraph"/>
      </w:pPr>
      <w:r w:rsidRPr="00256CFE">
        <w:t xml:space="preserve">In the years preceding </w:t>
      </w:r>
      <w:r w:rsidR="004F4630">
        <w:t xml:space="preserve">the </w:t>
      </w:r>
      <w:r w:rsidRPr="00256CFE">
        <w:t>adoption of Local Plans it may be necessary to update the housing needs figure</w:t>
      </w:r>
      <w:r w:rsidR="00F957F3">
        <w:t>s</w:t>
      </w:r>
      <w:r w:rsidRPr="00256CFE">
        <w:t xml:space="preserve"> </w:t>
      </w:r>
      <w:r w:rsidR="00F84C47" w:rsidRPr="008E5DB4">
        <w:t>based</w:t>
      </w:r>
      <w:r w:rsidR="00F84C47">
        <w:t xml:space="preserve"> </w:t>
      </w:r>
      <w:r w:rsidR="00F5012C">
        <w:t>on</w:t>
      </w:r>
      <w:r w:rsidRPr="00256CFE">
        <w:t xml:space="preserve"> new demographic data</w:t>
      </w:r>
      <w:r w:rsidR="00F5012C">
        <w:t xml:space="preserve"> or affordability ratios</w:t>
      </w:r>
      <w:r w:rsidRPr="00256CFE">
        <w:t xml:space="preserve"> and</w:t>
      </w:r>
      <w:r w:rsidR="00F5012C">
        <w:t xml:space="preserve"> potentially</w:t>
      </w:r>
      <w:r w:rsidRPr="00256CFE">
        <w:t xml:space="preserve"> revisions to the stan</w:t>
      </w:r>
      <w:r w:rsidR="004F4630">
        <w:t>d</w:t>
      </w:r>
      <w:r w:rsidRPr="00256CFE">
        <w:t xml:space="preserve">ard method. </w:t>
      </w:r>
    </w:p>
    <w:p w14:paraId="765CBCE7" w14:textId="77777777" w:rsidR="00186D2F" w:rsidRDefault="00186D2F" w:rsidP="008E5DB4">
      <w:pPr>
        <w:ind w:left="426"/>
      </w:pPr>
    </w:p>
    <w:p w14:paraId="0B295BCE" w14:textId="0DA3EFE8" w:rsidR="00186D2F" w:rsidRDefault="00186D2F" w:rsidP="008E5DB4">
      <w:pPr>
        <w:pStyle w:val="ListParagraph"/>
      </w:pPr>
      <w:r w:rsidRPr="007C4F65">
        <w:t>To understa</w:t>
      </w:r>
      <w:r w:rsidRPr="00AC12C5">
        <w:t>nd the population implications of deliv</w:t>
      </w:r>
      <w:r w:rsidRPr="00717780">
        <w:t xml:space="preserve">ering 4,654 </w:t>
      </w:r>
      <w:proofErr w:type="spellStart"/>
      <w:r w:rsidRPr="00717780">
        <w:t>dpa</w:t>
      </w:r>
      <w:proofErr w:type="spellEnd"/>
      <w:r w:rsidR="007D26E6">
        <w:t>,</w:t>
      </w:r>
      <w:r w:rsidRPr="00717780">
        <w:t xml:space="preserve"> a</w:t>
      </w:r>
      <w:r w:rsidR="00F5012C" w:rsidRPr="000A484C">
        <w:t xml:space="preserve"> demographic</w:t>
      </w:r>
      <w:r w:rsidRPr="000A484C">
        <w:t xml:space="preserve"> model has been developed whereby</w:t>
      </w:r>
      <w:r w:rsidR="00FA457B" w:rsidRPr="000A484C">
        <w:t>, in line with the PPG,</w:t>
      </w:r>
      <w:r w:rsidRPr="000A484C">
        <w:t xml:space="preserve"> household formation rates are </w:t>
      </w:r>
      <w:proofErr w:type="gramStart"/>
      <w:r w:rsidR="00A9516C">
        <w:t>increased</w:t>
      </w:r>
      <w:proofErr w:type="gramEnd"/>
      <w:r w:rsidR="00A9516C" w:rsidRPr="000A484C">
        <w:t xml:space="preserve"> </w:t>
      </w:r>
      <w:r w:rsidRPr="000A484C">
        <w:t xml:space="preserve">and population growth increased to a point where these homes are filled. </w:t>
      </w:r>
      <w:r w:rsidR="00FA457B" w:rsidRPr="000A484C">
        <w:t xml:space="preserve"> </w:t>
      </w:r>
      <w:r w:rsidRPr="00256CFE">
        <w:t xml:space="preserve">This modelling sees an additional </w:t>
      </w:r>
      <w:r w:rsidRPr="00A041A7">
        <w:t xml:space="preserve">181,459 </w:t>
      </w:r>
      <w:r w:rsidRPr="00256CFE">
        <w:t>people in the study area (over the period 2020-2040). This can be disaggregated to the local authorities on the following basis.</w:t>
      </w:r>
      <w:r w:rsidR="007D3793">
        <w:t xml:space="preserve"> </w:t>
      </w:r>
    </w:p>
    <w:p w14:paraId="4227DBF6" w14:textId="77777777" w:rsidR="00B86114" w:rsidRDefault="00B86114" w:rsidP="008E5DB4">
      <w:pPr>
        <w:ind w:left="426"/>
      </w:pPr>
    </w:p>
    <w:tbl>
      <w:tblPr>
        <w:tblStyle w:val="TableGridLight1"/>
        <w:tblW w:w="0" w:type="auto"/>
        <w:tblInd w:w="421" w:type="dxa"/>
        <w:tblLook w:val="04A0" w:firstRow="1" w:lastRow="0" w:firstColumn="1" w:lastColumn="0" w:noHBand="0" w:noVBand="1"/>
      </w:tblPr>
      <w:tblGrid>
        <w:gridCol w:w="1244"/>
        <w:gridCol w:w="1890"/>
        <w:gridCol w:w="971"/>
        <w:gridCol w:w="1791"/>
        <w:gridCol w:w="1943"/>
        <w:gridCol w:w="1078"/>
      </w:tblGrid>
      <w:tr w:rsidR="005F180B" w:rsidRPr="00256CFE" w14:paraId="5BB322EA" w14:textId="77777777" w:rsidTr="008E5DB4">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0" w:type="auto"/>
          </w:tcPr>
          <w:p w14:paraId="796F4B1E" w14:textId="7F4FFA3F" w:rsidR="00186D2F" w:rsidRPr="008E5DB4" w:rsidRDefault="00186D2F" w:rsidP="008E6E40">
            <w:pPr>
              <w:rPr>
                <w:szCs w:val="24"/>
                <w:lang w:eastAsia="en-GB"/>
              </w:rPr>
            </w:pPr>
            <w:r w:rsidRPr="008E5DB4">
              <w:rPr>
                <w:szCs w:val="24"/>
                <w:lang w:eastAsia="en-GB"/>
              </w:rPr>
              <w:t>Cambridge</w:t>
            </w:r>
          </w:p>
        </w:tc>
        <w:tc>
          <w:tcPr>
            <w:tcW w:w="0" w:type="auto"/>
          </w:tcPr>
          <w:p w14:paraId="3DA1C119" w14:textId="4D77054F" w:rsidR="00186D2F" w:rsidRPr="008E5DB4" w:rsidRDefault="00186D2F" w:rsidP="008E6E40">
            <w:pPr>
              <w:cnfStyle w:val="100000000000" w:firstRow="1" w:lastRow="0" w:firstColumn="0" w:lastColumn="0" w:oddVBand="0" w:evenVBand="0" w:oddHBand="0" w:evenHBand="0" w:firstRowFirstColumn="0" w:firstRowLastColumn="0" w:lastRowFirstColumn="0" w:lastRowLastColumn="0"/>
              <w:rPr>
                <w:szCs w:val="24"/>
                <w:lang w:eastAsia="en-GB"/>
              </w:rPr>
            </w:pPr>
            <w:r w:rsidRPr="008E5DB4">
              <w:rPr>
                <w:szCs w:val="24"/>
                <w:lang w:eastAsia="en-GB"/>
              </w:rPr>
              <w:t>East Camb</w:t>
            </w:r>
            <w:r w:rsidR="00F326B0" w:rsidRPr="008E5DB4">
              <w:rPr>
                <w:szCs w:val="24"/>
                <w:lang w:eastAsia="en-GB"/>
              </w:rPr>
              <w:t>ridgeshire</w:t>
            </w:r>
          </w:p>
        </w:tc>
        <w:tc>
          <w:tcPr>
            <w:tcW w:w="0" w:type="auto"/>
          </w:tcPr>
          <w:p w14:paraId="0179B806" w14:textId="77777777" w:rsidR="00186D2F" w:rsidRPr="008E5DB4" w:rsidRDefault="00186D2F" w:rsidP="008E6E40">
            <w:pPr>
              <w:cnfStyle w:val="100000000000" w:firstRow="1" w:lastRow="0" w:firstColumn="0" w:lastColumn="0" w:oddVBand="0" w:evenVBand="0" w:oddHBand="0" w:evenHBand="0" w:firstRowFirstColumn="0" w:firstRowLastColumn="0" w:lastRowFirstColumn="0" w:lastRowLastColumn="0"/>
              <w:rPr>
                <w:szCs w:val="24"/>
                <w:lang w:eastAsia="en-GB"/>
              </w:rPr>
            </w:pPr>
            <w:r w:rsidRPr="008E5DB4">
              <w:rPr>
                <w:szCs w:val="24"/>
                <w:lang w:eastAsia="en-GB"/>
              </w:rPr>
              <w:t>Fenland</w:t>
            </w:r>
          </w:p>
        </w:tc>
        <w:tc>
          <w:tcPr>
            <w:tcW w:w="0" w:type="auto"/>
          </w:tcPr>
          <w:p w14:paraId="35956CC9" w14:textId="0951DD53" w:rsidR="00186D2F" w:rsidRPr="008E5DB4" w:rsidRDefault="00186D2F" w:rsidP="008E6E40">
            <w:pPr>
              <w:cnfStyle w:val="100000000000" w:firstRow="1" w:lastRow="0" w:firstColumn="0" w:lastColumn="0" w:oddVBand="0" w:evenVBand="0" w:oddHBand="0" w:evenHBand="0" w:firstRowFirstColumn="0" w:firstRowLastColumn="0" w:lastRowFirstColumn="0" w:lastRowLastColumn="0"/>
              <w:rPr>
                <w:szCs w:val="24"/>
                <w:lang w:eastAsia="en-GB"/>
              </w:rPr>
            </w:pPr>
            <w:r w:rsidRPr="008E5DB4">
              <w:rPr>
                <w:szCs w:val="24"/>
                <w:lang w:eastAsia="en-GB"/>
              </w:rPr>
              <w:t>Hunt</w:t>
            </w:r>
            <w:r w:rsidR="00F326B0" w:rsidRPr="008E5DB4">
              <w:rPr>
                <w:szCs w:val="24"/>
                <w:lang w:eastAsia="en-GB"/>
              </w:rPr>
              <w:t>ingdonshire</w:t>
            </w:r>
          </w:p>
        </w:tc>
        <w:tc>
          <w:tcPr>
            <w:tcW w:w="0" w:type="auto"/>
          </w:tcPr>
          <w:p w14:paraId="407B341C" w14:textId="554F527C" w:rsidR="00186D2F" w:rsidRPr="008E5DB4" w:rsidRDefault="00186D2F" w:rsidP="008E6E40">
            <w:pPr>
              <w:cnfStyle w:val="100000000000" w:firstRow="1" w:lastRow="0" w:firstColumn="0" w:lastColumn="0" w:oddVBand="0" w:evenVBand="0" w:oddHBand="0" w:evenHBand="0" w:firstRowFirstColumn="0" w:firstRowLastColumn="0" w:lastRowFirstColumn="0" w:lastRowLastColumn="0"/>
              <w:rPr>
                <w:szCs w:val="24"/>
                <w:lang w:eastAsia="en-GB"/>
              </w:rPr>
            </w:pPr>
            <w:r w:rsidRPr="008E5DB4">
              <w:rPr>
                <w:szCs w:val="24"/>
              </w:rPr>
              <w:t>South Camb</w:t>
            </w:r>
            <w:r w:rsidR="00F326B0" w:rsidRPr="008E5DB4">
              <w:rPr>
                <w:szCs w:val="24"/>
              </w:rPr>
              <w:t>ridgeshire</w:t>
            </w:r>
          </w:p>
        </w:tc>
        <w:tc>
          <w:tcPr>
            <w:tcW w:w="0" w:type="auto"/>
          </w:tcPr>
          <w:p w14:paraId="518AFA5A" w14:textId="77777777" w:rsidR="00186D2F" w:rsidRPr="008E5DB4" w:rsidRDefault="00186D2F" w:rsidP="008E6E40">
            <w:pPr>
              <w:cnfStyle w:val="100000000000" w:firstRow="1" w:lastRow="0" w:firstColumn="0" w:lastColumn="0" w:oddVBand="0" w:evenVBand="0" w:oddHBand="0" w:evenHBand="0" w:firstRowFirstColumn="0" w:firstRowLastColumn="0" w:lastRowFirstColumn="0" w:lastRowLastColumn="0"/>
              <w:rPr>
                <w:szCs w:val="24"/>
                <w:lang w:eastAsia="en-GB"/>
              </w:rPr>
            </w:pPr>
            <w:r w:rsidRPr="008E5DB4">
              <w:rPr>
                <w:szCs w:val="24"/>
                <w:lang w:eastAsia="en-GB"/>
              </w:rPr>
              <w:t>West Suffolk</w:t>
            </w:r>
          </w:p>
        </w:tc>
      </w:tr>
      <w:tr w:rsidR="00186D2F" w:rsidRPr="00256CFE" w14:paraId="43D7B6B4" w14:textId="77777777" w:rsidTr="008E5DB4">
        <w:trPr>
          <w:trHeight w:val="277"/>
        </w:trPr>
        <w:tc>
          <w:tcPr>
            <w:cnfStyle w:val="001000000000" w:firstRow="0" w:lastRow="0" w:firstColumn="1" w:lastColumn="0" w:oddVBand="0" w:evenVBand="0" w:oddHBand="0" w:evenHBand="0" w:firstRowFirstColumn="0" w:firstRowLastColumn="0" w:lastRowFirstColumn="0" w:lastRowLastColumn="0"/>
            <w:tcW w:w="0" w:type="auto"/>
            <w:hideMark/>
          </w:tcPr>
          <w:p w14:paraId="024F4B25" w14:textId="77777777" w:rsidR="00186D2F" w:rsidRPr="008E5DB4" w:rsidRDefault="00186D2F">
            <w:pPr>
              <w:jc w:val="center"/>
              <w:rPr>
                <w:b/>
                <w:bCs/>
                <w:szCs w:val="24"/>
                <w:lang w:eastAsia="en-GB"/>
              </w:rPr>
            </w:pPr>
            <w:r w:rsidRPr="008E5DB4">
              <w:rPr>
                <w:rFonts w:cstheme="minorHAnsi"/>
                <w:color w:val="000000"/>
                <w:szCs w:val="24"/>
                <w:lang w:eastAsia="en-GB"/>
              </w:rPr>
              <w:t>28,318</w:t>
            </w:r>
          </w:p>
        </w:tc>
        <w:tc>
          <w:tcPr>
            <w:tcW w:w="0" w:type="auto"/>
          </w:tcPr>
          <w:p w14:paraId="37027FA4" w14:textId="77777777" w:rsidR="00186D2F" w:rsidRPr="008E5DB4" w:rsidRDefault="00186D2F">
            <w:pPr>
              <w:cnfStyle w:val="000000000000" w:firstRow="0" w:lastRow="0" w:firstColumn="0" w:lastColumn="0" w:oddVBand="0" w:evenVBand="0" w:oddHBand="0" w:evenHBand="0" w:firstRowFirstColumn="0" w:firstRowLastColumn="0" w:lastRowFirstColumn="0" w:lastRowLastColumn="0"/>
              <w:rPr>
                <w:b/>
                <w:bCs/>
                <w:szCs w:val="24"/>
                <w:lang w:eastAsia="en-GB"/>
              </w:rPr>
            </w:pPr>
            <w:r w:rsidRPr="008E5DB4">
              <w:rPr>
                <w:rFonts w:cstheme="minorHAnsi"/>
                <w:color w:val="000000"/>
                <w:szCs w:val="24"/>
                <w:lang w:eastAsia="en-GB"/>
              </w:rPr>
              <w:t>24,442</w:t>
            </w:r>
          </w:p>
        </w:tc>
        <w:tc>
          <w:tcPr>
            <w:tcW w:w="0" w:type="auto"/>
          </w:tcPr>
          <w:p w14:paraId="75E78F11" w14:textId="77777777" w:rsidR="00186D2F" w:rsidRPr="008E5DB4" w:rsidRDefault="00186D2F">
            <w:pPr>
              <w:cnfStyle w:val="000000000000" w:firstRow="0" w:lastRow="0" w:firstColumn="0" w:lastColumn="0" w:oddVBand="0" w:evenVBand="0" w:oddHBand="0" w:evenHBand="0" w:firstRowFirstColumn="0" w:firstRowLastColumn="0" w:lastRowFirstColumn="0" w:lastRowLastColumn="0"/>
              <w:rPr>
                <w:szCs w:val="24"/>
                <w:lang w:eastAsia="en-GB"/>
              </w:rPr>
            </w:pPr>
            <w:r w:rsidRPr="008E5DB4">
              <w:rPr>
                <w:rFonts w:cstheme="minorHAnsi"/>
                <w:color w:val="000000"/>
                <w:szCs w:val="24"/>
                <w:lang w:eastAsia="en-GB"/>
              </w:rPr>
              <w:t>18,270</w:t>
            </w:r>
          </w:p>
        </w:tc>
        <w:tc>
          <w:tcPr>
            <w:tcW w:w="0" w:type="auto"/>
          </w:tcPr>
          <w:p w14:paraId="4F6883E0" w14:textId="77777777" w:rsidR="00186D2F" w:rsidRPr="008E5DB4" w:rsidRDefault="00186D2F">
            <w:pPr>
              <w:cnfStyle w:val="000000000000" w:firstRow="0" w:lastRow="0" w:firstColumn="0" w:lastColumn="0" w:oddVBand="0" w:evenVBand="0" w:oddHBand="0" w:evenHBand="0" w:firstRowFirstColumn="0" w:firstRowLastColumn="0" w:lastRowFirstColumn="0" w:lastRowLastColumn="0"/>
              <w:rPr>
                <w:b/>
                <w:bCs/>
                <w:szCs w:val="24"/>
                <w:lang w:eastAsia="en-GB"/>
              </w:rPr>
            </w:pPr>
            <w:r w:rsidRPr="008E5DB4">
              <w:rPr>
                <w:rFonts w:cstheme="minorHAnsi"/>
                <w:color w:val="000000"/>
                <w:szCs w:val="24"/>
                <w:lang w:eastAsia="en-GB"/>
              </w:rPr>
              <w:t>36,209</w:t>
            </w:r>
          </w:p>
        </w:tc>
        <w:tc>
          <w:tcPr>
            <w:tcW w:w="0" w:type="auto"/>
          </w:tcPr>
          <w:p w14:paraId="7797F639" w14:textId="77777777" w:rsidR="00186D2F" w:rsidRPr="008E5DB4" w:rsidRDefault="00186D2F">
            <w:pPr>
              <w:cnfStyle w:val="000000000000" w:firstRow="0" w:lastRow="0" w:firstColumn="0" w:lastColumn="0" w:oddVBand="0" w:evenVBand="0" w:oddHBand="0" w:evenHBand="0" w:firstRowFirstColumn="0" w:firstRowLastColumn="0" w:lastRowFirstColumn="0" w:lastRowLastColumn="0"/>
              <w:rPr>
                <w:b/>
                <w:bCs/>
                <w:szCs w:val="24"/>
                <w:lang w:eastAsia="en-GB"/>
              </w:rPr>
            </w:pPr>
            <w:r w:rsidRPr="008E5DB4">
              <w:rPr>
                <w:rFonts w:cstheme="minorHAnsi"/>
                <w:color w:val="000000"/>
                <w:szCs w:val="24"/>
                <w:lang w:eastAsia="en-GB"/>
              </w:rPr>
              <w:t>41,942</w:t>
            </w:r>
          </w:p>
        </w:tc>
        <w:tc>
          <w:tcPr>
            <w:tcW w:w="0" w:type="auto"/>
          </w:tcPr>
          <w:p w14:paraId="1BCDDE59" w14:textId="77777777" w:rsidR="00186D2F" w:rsidRPr="008E5DB4" w:rsidRDefault="00186D2F">
            <w:pPr>
              <w:cnfStyle w:val="000000000000" w:firstRow="0" w:lastRow="0" w:firstColumn="0" w:lastColumn="0" w:oddVBand="0" w:evenVBand="0" w:oddHBand="0" w:evenHBand="0" w:firstRowFirstColumn="0" w:firstRowLastColumn="0" w:lastRowFirstColumn="0" w:lastRowLastColumn="0"/>
              <w:rPr>
                <w:b/>
                <w:bCs/>
                <w:szCs w:val="24"/>
                <w:lang w:eastAsia="en-GB"/>
              </w:rPr>
            </w:pPr>
            <w:r w:rsidRPr="008E5DB4">
              <w:rPr>
                <w:rFonts w:cstheme="minorHAnsi"/>
                <w:szCs w:val="24"/>
                <w:lang w:eastAsia="en-GB"/>
              </w:rPr>
              <w:t>32,279</w:t>
            </w:r>
          </w:p>
        </w:tc>
      </w:tr>
    </w:tbl>
    <w:p w14:paraId="6EFA44F1" w14:textId="77777777" w:rsidR="00C7292A" w:rsidRPr="00A226E6" w:rsidRDefault="00C7292A" w:rsidP="00FE37EA">
      <w:pPr>
        <w:pStyle w:val="Heading2"/>
        <w:ind w:left="0"/>
      </w:pPr>
      <w:r w:rsidRPr="00A226E6">
        <w:t>Affordable Housing Need</w:t>
      </w:r>
    </w:p>
    <w:p w14:paraId="1233D38E" w14:textId="77777777" w:rsidR="00C7292A" w:rsidRPr="00A226E6" w:rsidRDefault="00C7292A" w:rsidP="00C7292A">
      <w:pPr>
        <w:rPr>
          <w:color w:val="0093D5"/>
        </w:rPr>
      </w:pPr>
    </w:p>
    <w:p w14:paraId="7437BFAB" w14:textId="2B1C1722" w:rsidR="00B805A0" w:rsidRDefault="00C7292A" w:rsidP="008E5DB4">
      <w:pPr>
        <w:pStyle w:val="ListParagraph"/>
      </w:pPr>
      <w:r w:rsidRPr="00A226E6">
        <w:t xml:space="preserve">The </w:t>
      </w:r>
      <w:r w:rsidR="00276EB8">
        <w:t xml:space="preserve">affordable housing </w:t>
      </w:r>
      <w:r w:rsidRPr="00A226E6">
        <w:t>analysis shows that 2,0</w:t>
      </w:r>
      <w:r>
        <w:t>66</w:t>
      </w:r>
      <w:r w:rsidRPr="00A226E6">
        <w:t xml:space="preserve"> households will </w:t>
      </w:r>
      <w:r>
        <w:t>require</w:t>
      </w:r>
      <w:r w:rsidRPr="00A226E6">
        <w:t xml:space="preserve"> affordable housing to rent per annum between 2020 and 2040</w:t>
      </w:r>
      <w:r w:rsidR="00B805A0">
        <w:t xml:space="preserve">. </w:t>
      </w:r>
      <w:r w:rsidR="00167518">
        <w:t xml:space="preserve">The table </w:t>
      </w:r>
      <w:r w:rsidR="00F957F3">
        <w:t>below</w:t>
      </w:r>
      <w:r w:rsidR="00167518">
        <w:t xml:space="preserve"> show</w:t>
      </w:r>
      <w:r w:rsidR="00F957F3">
        <w:t>s</w:t>
      </w:r>
      <w:r w:rsidR="00167518">
        <w:t xml:space="preserve"> how this is </w:t>
      </w:r>
      <w:r w:rsidR="00B805A0">
        <w:t xml:space="preserve">broken down to the individual authorities </w:t>
      </w:r>
      <w:r w:rsidR="00167518">
        <w:t xml:space="preserve">together with the </w:t>
      </w:r>
      <w:r w:rsidR="00BC14AE">
        <w:t xml:space="preserve">% of overall housing need </w:t>
      </w:r>
      <w:r w:rsidR="00F957F3">
        <w:t xml:space="preserve">that </w:t>
      </w:r>
      <w:r w:rsidR="00BC14AE">
        <w:t xml:space="preserve">is represented by the affordable component. </w:t>
      </w:r>
    </w:p>
    <w:p w14:paraId="7368BBC3" w14:textId="77777777" w:rsidR="00B805A0" w:rsidRDefault="00B805A0" w:rsidP="008E5DB4">
      <w:pPr>
        <w:ind w:left="426"/>
      </w:pPr>
    </w:p>
    <w:p w14:paraId="6947A7C1" w14:textId="2B49392B" w:rsidR="00C7292A" w:rsidRDefault="0068710E" w:rsidP="008E5DB4">
      <w:pPr>
        <w:pStyle w:val="ListParagraph"/>
      </w:pPr>
      <w:r>
        <w:lastRenderedPageBreak/>
        <w:t xml:space="preserve">2,066 households </w:t>
      </w:r>
      <w:proofErr w:type="gramStart"/>
      <w:r w:rsidR="00C7292A">
        <w:t>equates</w:t>
      </w:r>
      <w:proofErr w:type="gramEnd"/>
      <w:r w:rsidR="00C7292A">
        <w:t xml:space="preserve"> to around </w:t>
      </w:r>
      <w:r w:rsidR="00C7292A" w:rsidRPr="008E6E40">
        <w:t>44%</w:t>
      </w:r>
      <w:r w:rsidR="00C7292A">
        <w:t xml:space="preserve"> of the overall need (</w:t>
      </w:r>
      <w:r w:rsidR="00126077">
        <w:t>4,654</w:t>
      </w:r>
      <w:r w:rsidR="00C7292A">
        <w:t xml:space="preserve"> </w:t>
      </w:r>
      <w:proofErr w:type="spellStart"/>
      <w:r w:rsidR="00C7292A">
        <w:t>dpa</w:t>
      </w:r>
      <w:proofErr w:type="spellEnd"/>
      <w:r>
        <w:t xml:space="preserve">). </w:t>
      </w:r>
      <w:r w:rsidR="00067ECD">
        <w:t xml:space="preserve">While not translating into a policy for affordable housing, this does indicate affordable housing delivery should be prioritised. </w:t>
      </w:r>
      <w:r>
        <w:t>I</w:t>
      </w:r>
      <w:r w:rsidR="00C7292A">
        <w:t>t is important to note this calculation should be treated with caution as it contains an element of double counting</w:t>
      </w:r>
      <w:r w:rsidR="00276EB8">
        <w:t xml:space="preserve"> for example </w:t>
      </w:r>
      <w:r w:rsidR="007950D2">
        <w:t xml:space="preserve">of </w:t>
      </w:r>
      <w:r w:rsidR="00276EB8">
        <w:t>newly forming households.</w:t>
      </w:r>
    </w:p>
    <w:p w14:paraId="78C225A8" w14:textId="77777777" w:rsidR="00167518" w:rsidRPr="008E6E40" w:rsidRDefault="00167518" w:rsidP="008E5DB4">
      <w:pPr>
        <w:ind w:left="426"/>
      </w:pPr>
    </w:p>
    <w:tbl>
      <w:tblPr>
        <w:tblStyle w:val="TableGridLight1"/>
        <w:tblW w:w="4782" w:type="pct"/>
        <w:tblInd w:w="421" w:type="dxa"/>
        <w:tblLook w:val="04A0" w:firstRow="1" w:lastRow="0" w:firstColumn="1" w:lastColumn="0" w:noHBand="0" w:noVBand="1"/>
      </w:tblPr>
      <w:tblGrid>
        <w:gridCol w:w="2461"/>
        <w:gridCol w:w="2156"/>
        <w:gridCol w:w="2156"/>
        <w:gridCol w:w="2158"/>
      </w:tblGrid>
      <w:tr w:rsidR="00167518" w14:paraId="1403B39D" w14:textId="77777777" w:rsidTr="004F4B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8" w:type="pct"/>
          </w:tcPr>
          <w:p w14:paraId="5762A0ED" w14:textId="77777777" w:rsidR="00167518" w:rsidRPr="00477FF3" w:rsidRDefault="00167518" w:rsidP="00050BB1">
            <w:pPr>
              <w:rPr>
                <w:bCs/>
                <w:color w:val="FFFFFF" w:themeColor="background1"/>
                <w:lang w:eastAsia="en-GB"/>
              </w:rPr>
            </w:pPr>
          </w:p>
        </w:tc>
        <w:tc>
          <w:tcPr>
            <w:tcW w:w="1207" w:type="pct"/>
          </w:tcPr>
          <w:p w14:paraId="7DC49682" w14:textId="77777777" w:rsidR="00167518" w:rsidRPr="008E5DB4" w:rsidRDefault="00167518" w:rsidP="00050BB1">
            <w:pPr>
              <w:ind w:hanging="79"/>
              <w:cnfStyle w:val="100000000000" w:firstRow="1" w:lastRow="0" w:firstColumn="0" w:lastColumn="0" w:oddVBand="0" w:evenVBand="0" w:oddHBand="0" w:evenHBand="0" w:firstRowFirstColumn="0" w:firstRowLastColumn="0" w:lastRowFirstColumn="0" w:lastRowLastColumn="0"/>
              <w:rPr>
                <w:lang w:eastAsia="en-GB"/>
              </w:rPr>
            </w:pPr>
            <w:r w:rsidRPr="008E5DB4">
              <w:rPr>
                <w:lang w:eastAsia="en-GB"/>
              </w:rPr>
              <w:t>Affordable Net Need</w:t>
            </w:r>
          </w:p>
        </w:tc>
        <w:tc>
          <w:tcPr>
            <w:tcW w:w="1207" w:type="pct"/>
          </w:tcPr>
          <w:p w14:paraId="79CF0770" w14:textId="77777777" w:rsidR="00167518" w:rsidRPr="008E5DB4" w:rsidRDefault="00167518" w:rsidP="00050BB1">
            <w:pPr>
              <w:ind w:hanging="79"/>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8E5DB4">
              <w:rPr>
                <w:rFonts w:cstheme="minorHAnsi"/>
                <w:lang w:eastAsia="en-GB"/>
              </w:rPr>
              <w:t>Housing Need</w:t>
            </w:r>
          </w:p>
        </w:tc>
        <w:tc>
          <w:tcPr>
            <w:tcW w:w="1208" w:type="pct"/>
          </w:tcPr>
          <w:p w14:paraId="165D4A9A" w14:textId="77777777" w:rsidR="00167518" w:rsidRPr="008E5DB4" w:rsidRDefault="00167518" w:rsidP="00050BB1">
            <w:pPr>
              <w:ind w:hanging="79"/>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8E5DB4">
              <w:rPr>
                <w:rFonts w:cstheme="minorHAnsi"/>
                <w:lang w:eastAsia="en-GB"/>
              </w:rPr>
              <w:t>% of Housing Need</w:t>
            </w:r>
          </w:p>
        </w:tc>
      </w:tr>
      <w:tr w:rsidR="00167518" w14:paraId="0D2D1329"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6D0E5451" w14:textId="77777777" w:rsidR="00167518" w:rsidRDefault="00167518" w:rsidP="00050BB1">
            <w:pPr>
              <w:rPr>
                <w:color w:val="000000"/>
                <w:lang w:eastAsia="en-GB"/>
              </w:rPr>
            </w:pPr>
            <w:r>
              <w:rPr>
                <w:bCs/>
                <w:color w:val="000000"/>
                <w:lang w:eastAsia="en-GB"/>
              </w:rPr>
              <w:t>Cambridge</w:t>
            </w:r>
          </w:p>
        </w:tc>
        <w:tc>
          <w:tcPr>
            <w:tcW w:w="1207" w:type="pct"/>
            <w:hideMark/>
          </w:tcPr>
          <w:p w14:paraId="59C58FCD" w14:textId="77777777" w:rsidR="00167518" w:rsidRDefault="00167518"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314</w:t>
            </w:r>
          </w:p>
        </w:tc>
        <w:tc>
          <w:tcPr>
            <w:tcW w:w="1207" w:type="pct"/>
            <w:hideMark/>
          </w:tcPr>
          <w:p w14:paraId="0B2A865D" w14:textId="6FB04001" w:rsidR="00167518" w:rsidRDefault="00F957F3"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rFonts w:cstheme="minorHAnsi"/>
                <w:lang w:eastAsia="en-GB"/>
              </w:rPr>
              <w:t>658</w:t>
            </w:r>
          </w:p>
        </w:tc>
        <w:tc>
          <w:tcPr>
            <w:tcW w:w="1208" w:type="pct"/>
            <w:hideMark/>
          </w:tcPr>
          <w:p w14:paraId="79715DEC" w14:textId="5794503C" w:rsidR="00167518" w:rsidRDefault="000F35ED" w:rsidP="00050BB1">
            <w:pPr>
              <w:ind w:hanging="79"/>
              <w:cnfStyle w:val="000000000000" w:firstRow="0" w:lastRow="0" w:firstColumn="0" w:lastColumn="0" w:oddVBand="0" w:evenVBand="0" w:oddHBand="0" w:evenHBand="0" w:firstRowFirstColumn="0" w:firstRowLastColumn="0" w:lastRowFirstColumn="0" w:lastRowLastColumn="0"/>
              <w:rPr>
                <w:rFonts w:cstheme="minorHAnsi"/>
                <w:color w:val="auto"/>
                <w:lang w:eastAsia="en-GB"/>
              </w:rPr>
            </w:pPr>
            <w:r>
              <w:rPr>
                <w:rFonts w:cstheme="minorHAnsi"/>
                <w:lang w:eastAsia="en-GB"/>
              </w:rPr>
              <w:t>48%</w:t>
            </w:r>
          </w:p>
        </w:tc>
      </w:tr>
      <w:tr w:rsidR="00167518" w14:paraId="7D0D194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1544B914" w14:textId="77777777" w:rsidR="00167518" w:rsidRDefault="00167518" w:rsidP="00050BB1">
            <w:pPr>
              <w:rPr>
                <w:rFonts w:cstheme="minorBidi"/>
                <w:color w:val="000000"/>
                <w:lang w:eastAsia="en-GB"/>
              </w:rPr>
            </w:pPr>
            <w:r>
              <w:rPr>
                <w:bCs/>
                <w:color w:val="000000"/>
                <w:lang w:eastAsia="en-GB"/>
              </w:rPr>
              <w:t>East Cambs</w:t>
            </w:r>
          </w:p>
        </w:tc>
        <w:tc>
          <w:tcPr>
            <w:tcW w:w="1207" w:type="pct"/>
            <w:hideMark/>
          </w:tcPr>
          <w:p w14:paraId="087CFC0D" w14:textId="77777777" w:rsidR="00167518" w:rsidRDefault="00167518"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215</w:t>
            </w:r>
          </w:p>
        </w:tc>
        <w:tc>
          <w:tcPr>
            <w:tcW w:w="1207" w:type="pct"/>
            <w:hideMark/>
          </w:tcPr>
          <w:p w14:paraId="3DDE32A6" w14:textId="6FD700F6" w:rsidR="00167518" w:rsidRDefault="00F957F3"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rFonts w:cstheme="minorHAnsi"/>
                <w:lang w:eastAsia="en-GB"/>
              </w:rPr>
              <w:t>597</w:t>
            </w:r>
          </w:p>
        </w:tc>
        <w:tc>
          <w:tcPr>
            <w:tcW w:w="1208" w:type="pct"/>
            <w:hideMark/>
          </w:tcPr>
          <w:p w14:paraId="1049DF6D" w14:textId="264CBE2D" w:rsidR="00167518" w:rsidRDefault="000F35ED" w:rsidP="00050BB1">
            <w:pPr>
              <w:ind w:hanging="79"/>
              <w:cnfStyle w:val="000000000000" w:firstRow="0" w:lastRow="0" w:firstColumn="0" w:lastColumn="0" w:oddVBand="0" w:evenVBand="0" w:oddHBand="0" w:evenHBand="0" w:firstRowFirstColumn="0" w:firstRowLastColumn="0" w:lastRowFirstColumn="0" w:lastRowLastColumn="0"/>
              <w:rPr>
                <w:rFonts w:cstheme="minorHAnsi"/>
                <w:color w:val="auto"/>
                <w:lang w:eastAsia="en-GB"/>
              </w:rPr>
            </w:pPr>
            <w:r>
              <w:rPr>
                <w:rFonts w:cstheme="minorHAnsi"/>
                <w:lang w:eastAsia="en-GB"/>
              </w:rPr>
              <w:t>36%</w:t>
            </w:r>
          </w:p>
        </w:tc>
      </w:tr>
      <w:tr w:rsidR="00167518" w14:paraId="7A65206C"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7A8EEFCF" w14:textId="77777777" w:rsidR="00167518" w:rsidRDefault="00167518" w:rsidP="00050BB1">
            <w:pPr>
              <w:rPr>
                <w:rFonts w:cstheme="minorBidi"/>
                <w:color w:val="000000"/>
                <w:lang w:eastAsia="en-GB"/>
              </w:rPr>
            </w:pPr>
            <w:r>
              <w:rPr>
                <w:bCs/>
                <w:color w:val="000000"/>
                <w:lang w:eastAsia="en-GB"/>
              </w:rPr>
              <w:t>Fenland</w:t>
            </w:r>
          </w:p>
        </w:tc>
        <w:tc>
          <w:tcPr>
            <w:tcW w:w="1207" w:type="pct"/>
            <w:hideMark/>
          </w:tcPr>
          <w:p w14:paraId="5892DBB2" w14:textId="77777777" w:rsidR="00167518" w:rsidRDefault="00167518"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289</w:t>
            </w:r>
          </w:p>
        </w:tc>
        <w:tc>
          <w:tcPr>
            <w:tcW w:w="1207" w:type="pct"/>
            <w:hideMark/>
          </w:tcPr>
          <w:p w14:paraId="1503337A" w14:textId="692891E5" w:rsidR="00167518" w:rsidRDefault="00F957F3"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rFonts w:cstheme="minorHAnsi"/>
                <w:lang w:eastAsia="en-GB"/>
              </w:rPr>
              <w:t>538</w:t>
            </w:r>
          </w:p>
        </w:tc>
        <w:tc>
          <w:tcPr>
            <w:tcW w:w="1208" w:type="pct"/>
            <w:hideMark/>
          </w:tcPr>
          <w:p w14:paraId="36DA93CE" w14:textId="5471FE51" w:rsidR="00167518" w:rsidRDefault="000F35ED" w:rsidP="00050BB1">
            <w:pPr>
              <w:ind w:hanging="79"/>
              <w:cnfStyle w:val="000000000000" w:firstRow="0" w:lastRow="0" w:firstColumn="0" w:lastColumn="0" w:oddVBand="0" w:evenVBand="0" w:oddHBand="0" w:evenHBand="0" w:firstRowFirstColumn="0" w:firstRowLastColumn="0" w:lastRowFirstColumn="0" w:lastRowLastColumn="0"/>
              <w:rPr>
                <w:rFonts w:cstheme="minorHAnsi"/>
                <w:color w:val="auto"/>
                <w:lang w:eastAsia="en-GB"/>
              </w:rPr>
            </w:pPr>
            <w:r>
              <w:rPr>
                <w:rFonts w:cstheme="minorHAnsi"/>
                <w:lang w:eastAsia="en-GB"/>
              </w:rPr>
              <w:t>54%</w:t>
            </w:r>
          </w:p>
        </w:tc>
      </w:tr>
      <w:tr w:rsidR="00167518" w14:paraId="38D1F13B"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1499C03B" w14:textId="77777777" w:rsidR="00167518" w:rsidRDefault="00167518" w:rsidP="00050BB1">
            <w:pPr>
              <w:rPr>
                <w:rFonts w:cstheme="minorBidi"/>
                <w:color w:val="000000"/>
                <w:lang w:eastAsia="en-GB"/>
              </w:rPr>
            </w:pPr>
            <w:r>
              <w:rPr>
                <w:color w:val="000000"/>
                <w:lang w:eastAsia="en-GB"/>
              </w:rPr>
              <w:t>Huntingdonshire</w:t>
            </w:r>
          </w:p>
        </w:tc>
        <w:tc>
          <w:tcPr>
            <w:tcW w:w="1207" w:type="pct"/>
            <w:hideMark/>
          </w:tcPr>
          <w:p w14:paraId="6970479C" w14:textId="77777777" w:rsidR="00167518" w:rsidRDefault="00167518"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404</w:t>
            </w:r>
          </w:p>
        </w:tc>
        <w:tc>
          <w:tcPr>
            <w:tcW w:w="1207" w:type="pct"/>
            <w:hideMark/>
          </w:tcPr>
          <w:p w14:paraId="13782402" w14:textId="34365A7E" w:rsidR="00167518" w:rsidRDefault="00F957F3"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rFonts w:cstheme="minorHAnsi"/>
                <w:lang w:eastAsia="en-GB"/>
              </w:rPr>
              <w:t>976</w:t>
            </w:r>
          </w:p>
        </w:tc>
        <w:tc>
          <w:tcPr>
            <w:tcW w:w="1208" w:type="pct"/>
            <w:hideMark/>
          </w:tcPr>
          <w:p w14:paraId="030A2FA1" w14:textId="243A7149" w:rsidR="00167518" w:rsidRDefault="000F35ED" w:rsidP="00050BB1">
            <w:pPr>
              <w:ind w:hanging="79"/>
              <w:cnfStyle w:val="000000000000" w:firstRow="0" w:lastRow="0" w:firstColumn="0" w:lastColumn="0" w:oddVBand="0" w:evenVBand="0" w:oddHBand="0" w:evenHBand="0" w:firstRowFirstColumn="0" w:firstRowLastColumn="0" w:lastRowFirstColumn="0" w:lastRowLastColumn="0"/>
              <w:rPr>
                <w:rFonts w:cstheme="minorHAnsi"/>
                <w:color w:val="auto"/>
                <w:lang w:eastAsia="en-GB"/>
              </w:rPr>
            </w:pPr>
            <w:r>
              <w:rPr>
                <w:rFonts w:cstheme="minorHAnsi"/>
                <w:lang w:eastAsia="en-GB"/>
              </w:rPr>
              <w:t>41%</w:t>
            </w:r>
          </w:p>
        </w:tc>
      </w:tr>
      <w:tr w:rsidR="00167518" w14:paraId="036C281C"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692031AF" w14:textId="77777777" w:rsidR="00167518" w:rsidRDefault="00167518" w:rsidP="00050BB1">
            <w:pPr>
              <w:rPr>
                <w:rFonts w:cstheme="minorBidi"/>
                <w:color w:val="000000"/>
                <w:lang w:eastAsia="en-GB"/>
              </w:rPr>
            </w:pPr>
            <w:r>
              <w:rPr>
                <w:bCs/>
                <w:color w:val="000000"/>
                <w:lang w:eastAsia="en-GB"/>
              </w:rPr>
              <w:t>South Cambs</w:t>
            </w:r>
          </w:p>
        </w:tc>
        <w:tc>
          <w:tcPr>
            <w:tcW w:w="1207" w:type="pct"/>
            <w:hideMark/>
          </w:tcPr>
          <w:p w14:paraId="131F01D6" w14:textId="77777777" w:rsidR="00167518" w:rsidRDefault="00167518"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435</w:t>
            </w:r>
          </w:p>
        </w:tc>
        <w:tc>
          <w:tcPr>
            <w:tcW w:w="1207" w:type="pct"/>
            <w:hideMark/>
          </w:tcPr>
          <w:p w14:paraId="27961A81" w14:textId="7118CB5E" w:rsidR="00167518" w:rsidRDefault="00F957F3"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rFonts w:cstheme="minorHAnsi"/>
                <w:lang w:eastAsia="en-GB"/>
              </w:rPr>
              <w:t>1,085</w:t>
            </w:r>
          </w:p>
        </w:tc>
        <w:tc>
          <w:tcPr>
            <w:tcW w:w="1208" w:type="pct"/>
            <w:hideMark/>
          </w:tcPr>
          <w:p w14:paraId="44837D56" w14:textId="5F3ECAC9" w:rsidR="00167518" w:rsidRDefault="000F35ED" w:rsidP="00050BB1">
            <w:pPr>
              <w:ind w:hanging="79"/>
              <w:cnfStyle w:val="000000000000" w:firstRow="0" w:lastRow="0" w:firstColumn="0" w:lastColumn="0" w:oddVBand="0" w:evenVBand="0" w:oddHBand="0" w:evenHBand="0" w:firstRowFirstColumn="0" w:firstRowLastColumn="0" w:lastRowFirstColumn="0" w:lastRowLastColumn="0"/>
              <w:rPr>
                <w:rFonts w:cstheme="minorHAnsi"/>
                <w:color w:val="auto"/>
                <w:lang w:eastAsia="en-GB"/>
              </w:rPr>
            </w:pPr>
            <w:r>
              <w:rPr>
                <w:rFonts w:cstheme="minorHAnsi"/>
                <w:lang w:eastAsia="en-GB"/>
              </w:rPr>
              <w:t>40%</w:t>
            </w:r>
          </w:p>
        </w:tc>
      </w:tr>
      <w:tr w:rsidR="00167518" w14:paraId="4E81B0EB"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674B61CF" w14:textId="77777777" w:rsidR="00167518" w:rsidRDefault="00167518" w:rsidP="00050BB1">
            <w:pPr>
              <w:rPr>
                <w:rFonts w:cstheme="minorBidi"/>
                <w:color w:val="000000"/>
                <w:lang w:eastAsia="en-GB"/>
              </w:rPr>
            </w:pPr>
            <w:r>
              <w:rPr>
                <w:bCs/>
                <w:color w:val="000000"/>
                <w:lang w:eastAsia="en-GB"/>
              </w:rPr>
              <w:t>West Suffolk</w:t>
            </w:r>
          </w:p>
        </w:tc>
        <w:tc>
          <w:tcPr>
            <w:tcW w:w="1207" w:type="pct"/>
            <w:hideMark/>
          </w:tcPr>
          <w:p w14:paraId="51F41F69" w14:textId="77777777" w:rsidR="00167518" w:rsidRDefault="00167518"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409</w:t>
            </w:r>
          </w:p>
        </w:tc>
        <w:tc>
          <w:tcPr>
            <w:tcW w:w="1207" w:type="pct"/>
            <w:hideMark/>
          </w:tcPr>
          <w:p w14:paraId="1D65D77D" w14:textId="06F661C1" w:rsidR="00167518" w:rsidRDefault="00F957F3" w:rsidP="00050BB1">
            <w:pPr>
              <w:ind w:hanging="79"/>
              <w:cnfStyle w:val="000000000000" w:firstRow="0" w:lastRow="0" w:firstColumn="0" w:lastColumn="0" w:oddVBand="0" w:evenVBand="0" w:oddHBand="0" w:evenHBand="0" w:firstRowFirstColumn="0" w:firstRowLastColumn="0" w:lastRowFirstColumn="0" w:lastRowLastColumn="0"/>
              <w:rPr>
                <w:color w:val="000000"/>
                <w:lang w:eastAsia="en-GB"/>
              </w:rPr>
            </w:pPr>
            <w:r>
              <w:rPr>
                <w:rFonts w:cstheme="minorHAnsi"/>
                <w:lang w:eastAsia="en-GB"/>
              </w:rPr>
              <w:t>800</w:t>
            </w:r>
          </w:p>
        </w:tc>
        <w:tc>
          <w:tcPr>
            <w:tcW w:w="1208" w:type="pct"/>
            <w:hideMark/>
          </w:tcPr>
          <w:p w14:paraId="67088FCE" w14:textId="3510EFB2" w:rsidR="00167518" w:rsidRDefault="000F35ED" w:rsidP="00050BB1">
            <w:pPr>
              <w:ind w:hanging="79"/>
              <w:cnfStyle w:val="000000000000" w:firstRow="0" w:lastRow="0" w:firstColumn="0" w:lastColumn="0" w:oddVBand="0" w:evenVBand="0" w:oddHBand="0" w:evenHBand="0" w:firstRowFirstColumn="0" w:firstRowLastColumn="0" w:lastRowFirstColumn="0" w:lastRowLastColumn="0"/>
              <w:rPr>
                <w:rFonts w:cstheme="minorHAnsi"/>
                <w:color w:val="auto"/>
                <w:lang w:eastAsia="en-GB"/>
              </w:rPr>
            </w:pPr>
            <w:r>
              <w:rPr>
                <w:rFonts w:cstheme="minorHAnsi"/>
                <w:lang w:eastAsia="en-GB"/>
              </w:rPr>
              <w:t>51%</w:t>
            </w:r>
          </w:p>
        </w:tc>
      </w:tr>
      <w:tr w:rsidR="00167518" w14:paraId="2E073B9E"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78" w:type="pct"/>
            <w:hideMark/>
          </w:tcPr>
          <w:p w14:paraId="606D1477" w14:textId="77777777" w:rsidR="00167518" w:rsidRPr="004F4BA7" w:rsidRDefault="00167518" w:rsidP="00050BB1">
            <w:pPr>
              <w:rPr>
                <w:rFonts w:cstheme="minorBidi"/>
                <w:b/>
                <w:color w:val="000000"/>
                <w:lang w:eastAsia="en-GB"/>
              </w:rPr>
            </w:pPr>
            <w:r w:rsidRPr="004F4BA7">
              <w:rPr>
                <w:b/>
                <w:color w:val="000000"/>
                <w:lang w:eastAsia="en-GB"/>
              </w:rPr>
              <w:t>HMA</w:t>
            </w:r>
          </w:p>
        </w:tc>
        <w:tc>
          <w:tcPr>
            <w:tcW w:w="1207" w:type="pct"/>
            <w:hideMark/>
          </w:tcPr>
          <w:p w14:paraId="53B7050D" w14:textId="77777777" w:rsidR="00167518" w:rsidRPr="004F4BA7" w:rsidRDefault="00167518" w:rsidP="00050BB1">
            <w:pPr>
              <w:ind w:hanging="79"/>
              <w:cnfStyle w:val="000000000000" w:firstRow="0" w:lastRow="0" w:firstColumn="0" w:lastColumn="0" w:oddVBand="0" w:evenVBand="0" w:oddHBand="0" w:evenHBand="0" w:firstRowFirstColumn="0" w:firstRowLastColumn="0" w:lastRowFirstColumn="0" w:lastRowLastColumn="0"/>
              <w:rPr>
                <w:b/>
                <w:color w:val="000000"/>
                <w:lang w:eastAsia="en-GB"/>
              </w:rPr>
            </w:pPr>
            <w:r w:rsidRPr="004F4BA7">
              <w:rPr>
                <w:b/>
                <w:color w:val="000000"/>
                <w:lang w:eastAsia="en-GB"/>
              </w:rPr>
              <w:t>2,066</w:t>
            </w:r>
          </w:p>
        </w:tc>
        <w:tc>
          <w:tcPr>
            <w:tcW w:w="1207" w:type="pct"/>
            <w:hideMark/>
          </w:tcPr>
          <w:p w14:paraId="2F49AC2D" w14:textId="77777777" w:rsidR="00167518" w:rsidRPr="004F4BA7" w:rsidRDefault="00167518" w:rsidP="00050BB1">
            <w:pPr>
              <w:ind w:hanging="79"/>
              <w:cnfStyle w:val="000000000000" w:firstRow="0" w:lastRow="0" w:firstColumn="0" w:lastColumn="0" w:oddVBand="0" w:evenVBand="0" w:oddHBand="0" w:evenHBand="0" w:firstRowFirstColumn="0" w:firstRowLastColumn="0" w:lastRowFirstColumn="0" w:lastRowLastColumn="0"/>
              <w:rPr>
                <w:b/>
                <w:color w:val="000000"/>
                <w:lang w:eastAsia="en-GB"/>
              </w:rPr>
            </w:pPr>
            <w:r w:rsidRPr="004F4BA7">
              <w:rPr>
                <w:rFonts w:cstheme="minorHAnsi"/>
                <w:b/>
                <w:lang w:eastAsia="en-GB"/>
              </w:rPr>
              <w:t>4,654</w:t>
            </w:r>
          </w:p>
        </w:tc>
        <w:tc>
          <w:tcPr>
            <w:tcW w:w="1208" w:type="pct"/>
            <w:hideMark/>
          </w:tcPr>
          <w:p w14:paraId="385EF5C4" w14:textId="77777777" w:rsidR="00167518" w:rsidRPr="004F4BA7" w:rsidRDefault="00167518" w:rsidP="00050BB1">
            <w:pPr>
              <w:ind w:hanging="79"/>
              <w:cnfStyle w:val="000000000000" w:firstRow="0" w:lastRow="0" w:firstColumn="0" w:lastColumn="0" w:oddVBand="0" w:evenVBand="0" w:oddHBand="0" w:evenHBand="0" w:firstRowFirstColumn="0" w:firstRowLastColumn="0" w:lastRowFirstColumn="0" w:lastRowLastColumn="0"/>
              <w:rPr>
                <w:rFonts w:cstheme="minorHAnsi"/>
                <w:b/>
                <w:color w:val="auto"/>
                <w:lang w:eastAsia="en-GB"/>
              </w:rPr>
            </w:pPr>
            <w:r w:rsidRPr="004F4BA7">
              <w:rPr>
                <w:rFonts w:cstheme="minorHAnsi"/>
                <w:b/>
                <w:lang w:eastAsia="en-GB"/>
              </w:rPr>
              <w:t>44%</w:t>
            </w:r>
          </w:p>
        </w:tc>
      </w:tr>
    </w:tbl>
    <w:p w14:paraId="686C84A8" w14:textId="77777777" w:rsidR="00BC14AE" w:rsidRDefault="00BC14AE" w:rsidP="008E5DB4">
      <w:pPr>
        <w:ind w:left="426"/>
      </w:pPr>
    </w:p>
    <w:p w14:paraId="4A849BB8" w14:textId="74CFF164" w:rsidR="00C7292A" w:rsidRPr="008B0419" w:rsidRDefault="00C7292A" w:rsidP="008E5DB4">
      <w:pPr>
        <w:pStyle w:val="ListParagraph"/>
      </w:pPr>
      <w:r w:rsidRPr="008B0419">
        <w:t xml:space="preserve">Such is the scale of affordable housing need the local authorities should seek to deliver as much affordable housing to rent as viability allows. </w:t>
      </w:r>
    </w:p>
    <w:p w14:paraId="5C56C50C" w14:textId="77777777" w:rsidR="00C7292A" w:rsidRDefault="00C7292A" w:rsidP="00C7292A">
      <w:pPr>
        <w:keepNext/>
        <w:jc w:val="both"/>
        <w:rPr>
          <w:b/>
          <w:bCs/>
          <w:color w:val="auto"/>
        </w:rPr>
      </w:pPr>
    </w:p>
    <w:p w14:paraId="67FFC75D" w14:textId="23CC08A2" w:rsidR="00C7292A" w:rsidRDefault="00C7292A" w:rsidP="008E5DB4">
      <w:pPr>
        <w:pStyle w:val="ListParagraph"/>
      </w:pPr>
      <w:r w:rsidRPr="007C4F65">
        <w:t xml:space="preserve">The analysis </w:t>
      </w:r>
      <w:r w:rsidR="00276EB8" w:rsidRPr="00AC12C5">
        <w:t>a</w:t>
      </w:r>
      <w:r w:rsidR="00276EB8" w:rsidRPr="00717780">
        <w:t>l</w:t>
      </w:r>
      <w:r w:rsidR="00276EB8" w:rsidRPr="000A484C">
        <w:t xml:space="preserve">so </w:t>
      </w:r>
      <w:r w:rsidRPr="000A484C">
        <w:t xml:space="preserve">suggests a need for both social and affordable rented housing and that there are many households who are likely to need </w:t>
      </w:r>
      <w:r w:rsidR="00276EB8" w:rsidRPr="000A484C">
        <w:t xml:space="preserve">government </w:t>
      </w:r>
      <w:r w:rsidRPr="000A484C">
        <w:t>support (and</w:t>
      </w:r>
      <w:r w:rsidR="00276EB8" w:rsidRPr="000A484C">
        <w:t xml:space="preserve"> </w:t>
      </w:r>
      <w:r w:rsidRPr="000A484C">
        <w:t xml:space="preserve">might therefore be able to ‘afford’ either </w:t>
      </w:r>
      <w:r w:rsidR="007D3793">
        <w:t xml:space="preserve">of these two </w:t>
      </w:r>
      <w:r w:rsidRPr="000A484C">
        <w:t>product</w:t>
      </w:r>
      <w:r w:rsidR="007D3793">
        <w:t>s</w:t>
      </w:r>
      <w:r w:rsidRPr="000A484C">
        <w:t xml:space="preserve">). </w:t>
      </w:r>
      <w:r w:rsidR="00276EB8">
        <w:t xml:space="preserve">  </w:t>
      </w:r>
      <w:r w:rsidRPr="008B0419">
        <w:t>On this basis, it is not recommended that the Councils have a rigid policy for the split between social and affordable rented housing</w:t>
      </w:r>
      <w:r w:rsidR="584C2EEE" w:rsidRPr="5CA02F07">
        <w:t xml:space="preserve"> on the basis of </w:t>
      </w:r>
      <w:r w:rsidR="584C2EEE" w:rsidRPr="2F969260">
        <w:t>afforda</w:t>
      </w:r>
      <w:r w:rsidR="00F64C5A">
        <w:t>b</w:t>
      </w:r>
      <w:r w:rsidR="584C2EEE" w:rsidRPr="2F969260">
        <w:t>i</w:t>
      </w:r>
      <w:r w:rsidR="00F64C5A">
        <w:t>lity</w:t>
      </w:r>
      <w:r w:rsidR="00FA17FE">
        <w:t>.</w:t>
      </w:r>
    </w:p>
    <w:p w14:paraId="5A901AB1" w14:textId="77777777" w:rsidR="00C7292A" w:rsidRPr="008B0419" w:rsidRDefault="00C7292A" w:rsidP="008E5DB4">
      <w:pPr>
        <w:ind w:left="426"/>
      </w:pPr>
    </w:p>
    <w:p w14:paraId="655CE552" w14:textId="65C85D8C" w:rsidR="00C7292A" w:rsidRPr="000A484C" w:rsidRDefault="00C7292A" w:rsidP="008E5DB4">
      <w:pPr>
        <w:pStyle w:val="ListParagraph"/>
      </w:pPr>
      <w:r w:rsidRPr="000A484C">
        <w:t xml:space="preserve">Local authorities should consider the </w:t>
      </w:r>
      <w:r w:rsidR="00FA17FE" w:rsidRPr="000A484C">
        <w:t>cost of</w:t>
      </w:r>
      <w:r w:rsidRPr="000A484C">
        <w:t xml:space="preserve"> affordable rent</w:t>
      </w:r>
      <w:r w:rsidR="009439E2">
        <w:t>ed</w:t>
      </w:r>
      <w:r w:rsidR="00FA17FE" w:rsidRPr="000A484C">
        <w:t xml:space="preserve"> homes</w:t>
      </w:r>
      <w:r w:rsidRPr="000A484C">
        <w:t xml:space="preserve">. Whilst affordable rents are not capped at </w:t>
      </w:r>
      <w:r w:rsidR="00FA17FE" w:rsidRPr="000A484C">
        <w:t xml:space="preserve">Local Housing Allowance </w:t>
      </w:r>
      <w:r w:rsidRPr="000A484C">
        <w:t xml:space="preserve">limits, government policy states that </w:t>
      </w:r>
      <w:r w:rsidR="00FA17FE">
        <w:t xml:space="preserve">the </w:t>
      </w:r>
      <w:r w:rsidRPr="000A484C">
        <w:t xml:space="preserve">relevant LHA should be a consideration when setting rent levels. The Councils may also wish to reduce these </w:t>
      </w:r>
      <w:r w:rsidR="007D3793">
        <w:t xml:space="preserve">rent limits </w:t>
      </w:r>
      <w:r w:rsidRPr="000A484C">
        <w:t>further to ensure a greater number of low-income working families can access these products.</w:t>
      </w:r>
    </w:p>
    <w:p w14:paraId="37D65FA5" w14:textId="77777777" w:rsidR="00C7292A" w:rsidRPr="008B0419" w:rsidRDefault="00C7292A" w:rsidP="00C7292A">
      <w:pPr>
        <w:keepNext/>
        <w:jc w:val="both"/>
        <w:rPr>
          <w:color w:val="auto"/>
        </w:rPr>
      </w:pPr>
    </w:p>
    <w:p w14:paraId="05595211" w14:textId="5D015FA2" w:rsidR="00D848CD" w:rsidRPr="00A041A7" w:rsidRDefault="00D848CD" w:rsidP="008E5DB4">
      <w:pPr>
        <w:pStyle w:val="ListParagraph"/>
      </w:pPr>
      <w:bookmarkStart w:id="7" w:name="_Hlk54955505"/>
      <w:bookmarkStart w:id="8" w:name="_Hlk54876638"/>
      <w:r w:rsidRPr="007C4F65">
        <w:t>When looking at the need for affordable home ownershi</w:t>
      </w:r>
      <w:r w:rsidRPr="00AC12C5">
        <w:t>p products it is clear that there are a number of households likely to be able to afford to rent priva</w:t>
      </w:r>
      <w:r w:rsidRPr="00717780">
        <w:t>tely but who cannot afford t</w:t>
      </w:r>
      <w:r w:rsidRPr="000A484C">
        <w:t>o buy a suitable home</w:t>
      </w:r>
      <w:r w:rsidR="00FA17FE">
        <w:t xml:space="preserve"> (at or above lower quartile prices)</w:t>
      </w:r>
      <w:r w:rsidRPr="007C4F65">
        <w:t xml:space="preserve">. </w:t>
      </w:r>
      <w:r w:rsidR="00FA17FE" w:rsidRPr="00AC12C5">
        <w:t>A</w:t>
      </w:r>
      <w:r w:rsidR="00FA17FE" w:rsidRPr="00717780">
        <w:t>s well as the cost of housing to buy</w:t>
      </w:r>
      <w:r w:rsidR="00FA17FE" w:rsidRPr="000A484C">
        <w:t>, a</w:t>
      </w:r>
      <w:r w:rsidRPr="000A484C">
        <w:t xml:space="preserve"> key issue is access to capital (</w:t>
      </w:r>
      <w:proofErr w:type="gramStart"/>
      <w:r w:rsidRPr="000A484C">
        <w:t>e.g.</w:t>
      </w:r>
      <w:proofErr w:type="gramEnd"/>
      <w:r w:rsidRPr="000A484C">
        <w:t xml:space="preserve"> for deposits, stamp duty, legal costs) </w:t>
      </w:r>
      <w:r w:rsidR="00F326B0">
        <w:t>and</w:t>
      </w:r>
      <w:r w:rsidRPr="000A484C">
        <w:t xml:space="preserve"> potential mortgage restrictions (e.g. where employment is temporary).</w:t>
      </w:r>
      <w:r w:rsidR="00FA17FE" w:rsidRPr="000A484C">
        <w:t xml:space="preserve"> </w:t>
      </w:r>
      <w:r w:rsidR="00E232F3">
        <w:t>However, it is acknowledged that in many areas within the HMA, those on median household incomes cannot afford to buy on the open market and are unlikely to be prioritised for affordable or social rented accommodation</w:t>
      </w:r>
      <w:r w:rsidR="00CA3AFD">
        <w:t xml:space="preserve"> and therefore without affordable home ownership products </w:t>
      </w:r>
      <w:r w:rsidR="000D65E9">
        <w:t>their housing options are limited.</w:t>
      </w:r>
    </w:p>
    <w:p w14:paraId="4EADFC77" w14:textId="77777777" w:rsidR="00D848CD" w:rsidRPr="00A041A7" w:rsidRDefault="00D848CD" w:rsidP="008E5DB4">
      <w:pPr>
        <w:ind w:left="426"/>
      </w:pPr>
    </w:p>
    <w:p w14:paraId="5B4BC02C" w14:textId="06CD1065" w:rsidR="00D848CD" w:rsidRDefault="00D848CD" w:rsidP="008E5DB4">
      <w:pPr>
        <w:pStyle w:val="ListParagraph"/>
      </w:pPr>
      <w:r w:rsidRPr="00A041A7">
        <w:t>With the possible exception of Cambridge and South Cambridgeshire</w:t>
      </w:r>
      <w:r w:rsidR="004F4630">
        <w:t>,</w:t>
      </w:r>
      <w:r w:rsidRPr="00A041A7">
        <w:t xml:space="preserve"> the evidence does not show any basis to increase the provision of affordable home ownership above the 10% figure currently suggested in the NPPF. </w:t>
      </w:r>
    </w:p>
    <w:p w14:paraId="0F4F1056" w14:textId="77777777" w:rsidR="00693BB4" w:rsidRPr="00A041A7" w:rsidRDefault="00693BB4" w:rsidP="008E5DB4">
      <w:pPr>
        <w:ind w:left="426"/>
      </w:pPr>
    </w:p>
    <w:p w14:paraId="1C20470F" w14:textId="41CE30E8" w:rsidR="00693BB4" w:rsidRPr="00A041A7" w:rsidRDefault="00693BB4" w:rsidP="008E5DB4">
      <w:pPr>
        <w:pStyle w:val="ListParagraph"/>
      </w:pPr>
      <w:bookmarkStart w:id="9" w:name="_Hlk54957104"/>
      <w:r w:rsidRPr="00A041A7">
        <w:t>Ultimately the choice</w:t>
      </w:r>
      <w:r w:rsidR="003A0F4E">
        <w:t xml:space="preserve"> to meet or exceed the 10% minimum</w:t>
      </w:r>
      <w:r w:rsidRPr="00A041A7">
        <w:t xml:space="preserve"> will be for the Councils to make and in doing so they </w:t>
      </w:r>
      <w:r w:rsidR="003A0F4E">
        <w:t xml:space="preserve">should </w:t>
      </w:r>
      <w:r w:rsidRPr="00A041A7">
        <w:t xml:space="preserve">consider a wide range of factors including local </w:t>
      </w:r>
      <w:r w:rsidRPr="00A041A7">
        <w:lastRenderedPageBreak/>
        <w:t>priori</w:t>
      </w:r>
      <w:r w:rsidR="003A0F4E">
        <w:t>ties</w:t>
      </w:r>
      <w:r w:rsidRPr="00A041A7">
        <w:t xml:space="preserve"> (</w:t>
      </w:r>
      <w:proofErr w:type="gramStart"/>
      <w:r w:rsidR="003A0F4E">
        <w:t>i.e.</w:t>
      </w:r>
      <w:proofErr w:type="gramEnd"/>
      <w:r w:rsidR="003A0F4E">
        <w:t xml:space="preserve"> </w:t>
      </w:r>
      <w:r w:rsidRPr="00A041A7">
        <w:t xml:space="preserve">dealing with </w:t>
      </w:r>
      <w:r w:rsidR="004F4630">
        <w:t>the</w:t>
      </w:r>
      <w:r w:rsidR="003A0F4E">
        <w:t xml:space="preserve"> most</w:t>
      </w:r>
      <w:r w:rsidR="004F4630">
        <w:t xml:space="preserve"> </w:t>
      </w:r>
      <w:r w:rsidRPr="00A041A7">
        <w:t>acute need or promoting home-ownership) and the viability of different products</w:t>
      </w:r>
      <w:r w:rsidR="00047C5F">
        <w:t xml:space="preserve"> and viability across a mixed tenure site</w:t>
      </w:r>
      <w:r w:rsidRPr="00A041A7">
        <w:t>.</w:t>
      </w:r>
    </w:p>
    <w:bookmarkEnd w:id="7"/>
    <w:bookmarkEnd w:id="9"/>
    <w:p w14:paraId="444E5F7F" w14:textId="77777777" w:rsidR="00C7292A" w:rsidRDefault="00C7292A" w:rsidP="008E5DB4">
      <w:pPr>
        <w:ind w:left="426"/>
      </w:pPr>
    </w:p>
    <w:p w14:paraId="3A18A164" w14:textId="47D32443" w:rsidR="00BE53FF" w:rsidRPr="00FE37EA" w:rsidRDefault="00BE53FF" w:rsidP="008E5DB4">
      <w:pPr>
        <w:pStyle w:val="ListParagraph"/>
        <w:rPr>
          <w:b/>
          <w:bCs/>
        </w:rPr>
      </w:pPr>
      <w:r w:rsidRPr="00FE37EA">
        <w:rPr>
          <w:b/>
          <w:bCs/>
        </w:rPr>
        <w:t>Recommendation: Given the affordable need as set out for each district, the councils should consider seeking to deliver as much affordable housing to rent as viability allows.</w:t>
      </w:r>
    </w:p>
    <w:p w14:paraId="620A90EB" w14:textId="77777777" w:rsidR="00BE53FF" w:rsidRPr="00FE37EA" w:rsidRDefault="00BE53FF" w:rsidP="008E5DB4">
      <w:pPr>
        <w:ind w:left="426"/>
        <w:rPr>
          <w:b/>
          <w:bCs/>
        </w:rPr>
      </w:pPr>
    </w:p>
    <w:p w14:paraId="0DB26F3F" w14:textId="745B14C1" w:rsidR="00C7292A" w:rsidRPr="00FE37EA" w:rsidRDefault="00C7292A" w:rsidP="008E5DB4">
      <w:pPr>
        <w:pStyle w:val="ListParagraph"/>
        <w:rPr>
          <w:b/>
          <w:bCs/>
        </w:rPr>
      </w:pPr>
      <w:r w:rsidRPr="00FE37EA">
        <w:rPr>
          <w:b/>
          <w:bCs/>
        </w:rPr>
        <w:t xml:space="preserve">Recommendation: The Councils should consider seeking 10% of all housing (on </w:t>
      </w:r>
      <w:r w:rsidR="00BE53FF" w:rsidRPr="00FE37EA">
        <w:rPr>
          <w:b/>
          <w:bCs/>
        </w:rPr>
        <w:t xml:space="preserve">major </w:t>
      </w:r>
      <w:r w:rsidRPr="00FE37EA">
        <w:rPr>
          <w:b/>
          <w:bCs/>
        </w:rPr>
        <w:t>sites</w:t>
      </w:r>
      <w:r w:rsidR="00E03EF0" w:rsidRPr="00FE37EA">
        <w:rPr>
          <w:rStyle w:val="FootnoteReference"/>
          <w:b/>
          <w:bCs/>
        </w:rPr>
        <w:footnoteReference w:id="2"/>
      </w:r>
      <w:r w:rsidRPr="00FE37EA">
        <w:rPr>
          <w:b/>
          <w:bCs/>
        </w:rPr>
        <w:t xml:space="preserve">) to be affordable home ownership (in line with the policy expectation in the NPPF) unless this would prejudice meeting the needs of other groups. </w:t>
      </w:r>
    </w:p>
    <w:p w14:paraId="11626AC7" w14:textId="77777777" w:rsidR="00C7292A" w:rsidRDefault="00C7292A" w:rsidP="008E5DB4">
      <w:pPr>
        <w:ind w:left="426"/>
      </w:pPr>
    </w:p>
    <w:p w14:paraId="07A71230" w14:textId="69323A13" w:rsidR="00C7292A" w:rsidRPr="00972A9E" w:rsidRDefault="00C7292A" w:rsidP="008E5DB4">
      <w:pPr>
        <w:pStyle w:val="ListParagraph"/>
        <w:rPr>
          <w:b/>
          <w:bCs/>
        </w:rPr>
      </w:pPr>
      <w:r w:rsidRPr="00972A9E">
        <w:rPr>
          <w:b/>
          <w:bCs/>
        </w:rPr>
        <w:t xml:space="preserve">Recommendation: </w:t>
      </w:r>
      <w:bookmarkStart w:id="10" w:name="_Hlk54961123"/>
      <w:r w:rsidRPr="00972A9E">
        <w:rPr>
          <w:b/>
          <w:bCs/>
        </w:rPr>
        <w:t>If the Councils do seek to provide 10% of housing as affordable home ownership then it is suggested that shared ownership is the most appropriate option. This is due to the lower deposit requirements and lower overall costs (given that the rent would also be subsidised).</w:t>
      </w:r>
      <w:bookmarkEnd w:id="10"/>
    </w:p>
    <w:bookmarkEnd w:id="8"/>
    <w:p w14:paraId="2F717043" w14:textId="77777777" w:rsidR="00C7292A" w:rsidRPr="00A226E6" w:rsidRDefault="00C7292A" w:rsidP="008E5DB4">
      <w:pPr>
        <w:ind w:left="426"/>
      </w:pPr>
    </w:p>
    <w:p w14:paraId="2DEC965A" w14:textId="53DC2788" w:rsidR="00C7292A" w:rsidRPr="008B0419" w:rsidRDefault="00C7292A" w:rsidP="008E5DB4">
      <w:pPr>
        <w:pStyle w:val="ListParagraph"/>
      </w:pPr>
      <w:r w:rsidRPr="008B0419">
        <w:t>Where other forms of affordable home ownership are provided (</w:t>
      </w:r>
      <w:proofErr w:type="gramStart"/>
      <w:r w:rsidRPr="008B0419">
        <w:t>e.g.</w:t>
      </w:r>
      <w:proofErr w:type="gramEnd"/>
      <w:r w:rsidRPr="008B0419">
        <w:t xml:space="preserve"> discounted market</w:t>
      </w:r>
      <w:r w:rsidR="003A0F4E">
        <w:t xml:space="preserve"> sale</w:t>
      </w:r>
      <w:r w:rsidRPr="008B0419">
        <w:t>), the Councils should set prices</w:t>
      </w:r>
      <w:r w:rsidR="003A0F4E">
        <w:t xml:space="preserve"> that are truly affordable</w:t>
      </w:r>
      <w:r w:rsidRPr="008B0419">
        <w:t xml:space="preserve">. This could </w:t>
      </w:r>
      <w:r w:rsidR="003A0F4E">
        <w:t>mean a discount greater than</w:t>
      </w:r>
      <w:r w:rsidRPr="008B0419">
        <w:t xml:space="preserve"> 20% </w:t>
      </w:r>
      <w:r w:rsidR="003A0F4E">
        <w:t>of</w:t>
      </w:r>
      <w:r w:rsidRPr="008B0419">
        <w:t xml:space="preserve"> Open Market Value</w:t>
      </w:r>
      <w:r w:rsidR="003A0F4E">
        <w:t>s</w:t>
      </w:r>
      <w:r w:rsidRPr="008B0419">
        <w:t xml:space="preserve"> for some types/sizes of home.</w:t>
      </w:r>
    </w:p>
    <w:p w14:paraId="48ECBD09" w14:textId="77777777" w:rsidR="00FE37EA" w:rsidRDefault="00FE37EA" w:rsidP="00FE37EA">
      <w:pPr>
        <w:rPr>
          <w:color w:val="0093D5"/>
        </w:rPr>
      </w:pPr>
    </w:p>
    <w:p w14:paraId="7B102FF4" w14:textId="67C6991C" w:rsidR="00C7292A" w:rsidRPr="00A226E6" w:rsidRDefault="00C7292A" w:rsidP="00FE37EA">
      <w:pPr>
        <w:pStyle w:val="Heading2"/>
        <w:ind w:left="0"/>
      </w:pPr>
      <w:r w:rsidRPr="00A226E6">
        <w:t>Housing Mix</w:t>
      </w:r>
    </w:p>
    <w:p w14:paraId="370C8E44" w14:textId="77777777" w:rsidR="00C7292A" w:rsidRPr="00A226E6" w:rsidRDefault="00C7292A" w:rsidP="00C7292A">
      <w:pPr>
        <w:rPr>
          <w:color w:val="0093D5"/>
        </w:rPr>
      </w:pPr>
    </w:p>
    <w:p w14:paraId="2CE15E77" w14:textId="65381869" w:rsidR="00C7292A" w:rsidRPr="008B0419" w:rsidRDefault="00F72FE7" w:rsidP="008E5DB4">
      <w:pPr>
        <w:pStyle w:val="ListParagraph"/>
      </w:pPr>
      <w:r>
        <w:t xml:space="preserve">The </w:t>
      </w:r>
      <w:r w:rsidR="00C7292A" w:rsidRPr="007C4F65">
        <w:t>approach to housing mix starts with the current pr</w:t>
      </w:r>
      <w:r w:rsidR="00C7292A" w:rsidRPr="00AC12C5">
        <w:t>ofile of housing in terms of</w:t>
      </w:r>
      <w:r w:rsidR="00C7292A" w:rsidRPr="00717780">
        <w:t xml:space="preserve"> size an</w:t>
      </w:r>
      <w:r w:rsidR="00C7292A" w:rsidRPr="000A484C">
        <w:t xml:space="preserve">d tenure and how the age of a household influences the typical size of </w:t>
      </w:r>
      <w:r w:rsidR="004F4630" w:rsidRPr="000A484C">
        <w:t xml:space="preserve">the </w:t>
      </w:r>
      <w:r w:rsidR="00C7292A" w:rsidRPr="000A484C">
        <w:t xml:space="preserve">home they occupy in different tenures. These occupancy patterns are then applied to the demographic projections on the assumption that occupancy patterns for each age group (within each tenure) remain the same. </w:t>
      </w:r>
      <w:r w:rsidR="003A0F4E">
        <w:t xml:space="preserve"> </w:t>
      </w:r>
      <w:r w:rsidR="00C7292A" w:rsidRPr="008B0419">
        <w:t xml:space="preserve">Whilst the output of the modelling provides estimates of the proportion of homes of different sizes that are needed, other factors should be </w:t>
      </w:r>
      <w:r w:rsidR="00F17706" w:rsidRPr="008B0419">
        <w:t>considered</w:t>
      </w:r>
      <w:r w:rsidR="00C7292A" w:rsidRPr="008B0419">
        <w:t xml:space="preserve"> in setting policies</w:t>
      </w:r>
      <w:r w:rsidR="00C7292A">
        <w:t>. Two</w:t>
      </w:r>
      <w:r w:rsidR="00F17706">
        <w:t xml:space="preserve"> are</w:t>
      </w:r>
      <w:r w:rsidR="00C7292A">
        <w:t xml:space="preserve"> worth highlighting, </w:t>
      </w:r>
    </w:p>
    <w:p w14:paraId="5CF1BFB7" w14:textId="77777777" w:rsidR="00C7292A" w:rsidRPr="008B0419" w:rsidRDefault="00C7292A" w:rsidP="008E5DB4">
      <w:pPr>
        <w:pStyle w:val="ListParagraph"/>
      </w:pPr>
    </w:p>
    <w:p w14:paraId="4154AA12" w14:textId="133921AB" w:rsidR="00C7292A" w:rsidRPr="00B963B6" w:rsidRDefault="00C7292A" w:rsidP="00097650">
      <w:pPr>
        <w:pStyle w:val="10BulletBodytext"/>
      </w:pPr>
      <w:r w:rsidRPr="00B963B6">
        <w:t xml:space="preserve">firstly, the demand for and high levels of turnover of 1-bedroom homes in the affordable rent sector and the high number of households on the housing register seeking 1-bedroom homes; </w:t>
      </w:r>
    </w:p>
    <w:p w14:paraId="5F3D2B29" w14:textId="77777777" w:rsidR="00C7292A" w:rsidRPr="00B963B6" w:rsidRDefault="00C7292A" w:rsidP="00097650">
      <w:pPr>
        <w:pStyle w:val="10BulletBodytext"/>
      </w:pPr>
      <w:r w:rsidRPr="00B963B6">
        <w:t>secondly, the stock of 4-bedroom affordable homes is very limited and tends to have a very low turnover. The strategic conclusions recognise the role which delivery of larger family homes can play in releasing a supply of smaller properties for other households.</w:t>
      </w:r>
    </w:p>
    <w:p w14:paraId="48ADBC3B" w14:textId="77777777" w:rsidR="00C7292A" w:rsidRPr="008B0419" w:rsidRDefault="00C7292A" w:rsidP="008E5DB4">
      <w:pPr>
        <w:ind w:left="426"/>
      </w:pPr>
    </w:p>
    <w:p w14:paraId="4C1AF255" w14:textId="77777777" w:rsidR="00C7292A" w:rsidRPr="008B0419" w:rsidRDefault="00C7292A" w:rsidP="008E5DB4">
      <w:pPr>
        <w:pStyle w:val="ListParagraph"/>
      </w:pPr>
      <w:r w:rsidRPr="008B0419">
        <w:t>In the affordable home ownership and market sectors, a profile of housing that more closely matches the outputs of the modelling is suggested. However, in the market sector, a modest adjustment is made to further support downsizing and better use of the existing stock.</w:t>
      </w:r>
    </w:p>
    <w:p w14:paraId="40CF8AFC" w14:textId="77777777" w:rsidR="00C7292A" w:rsidRPr="008B0419" w:rsidRDefault="00C7292A" w:rsidP="008E5DB4">
      <w:pPr>
        <w:ind w:left="426"/>
      </w:pPr>
    </w:p>
    <w:p w14:paraId="7513B2CC" w14:textId="24BE609B" w:rsidR="00C7292A" w:rsidRPr="00FE37EA" w:rsidRDefault="00C7292A" w:rsidP="008E5DB4">
      <w:pPr>
        <w:pStyle w:val="ListParagraph"/>
        <w:rPr>
          <w:b/>
          <w:bCs/>
        </w:rPr>
      </w:pPr>
      <w:r w:rsidRPr="00FE37EA">
        <w:rPr>
          <w:b/>
          <w:bCs/>
        </w:rPr>
        <w:lastRenderedPageBreak/>
        <w:t>Recommendation: The following mix of home size</w:t>
      </w:r>
      <w:r w:rsidR="00AD256A" w:rsidRPr="00FE37EA">
        <w:rPr>
          <w:b/>
          <w:bCs/>
        </w:rPr>
        <w:t>s</w:t>
      </w:r>
      <w:r w:rsidRPr="00FE37EA">
        <w:rPr>
          <w:b/>
          <w:bCs/>
        </w:rPr>
        <w:t xml:space="preserve"> by tenure is suggested as a strategic mix across the 2020-2040 period for the HMA.</w:t>
      </w:r>
      <w:r w:rsidR="00BB0C00" w:rsidRPr="00FE37EA">
        <w:rPr>
          <w:b/>
          <w:bCs/>
        </w:rPr>
        <w:t xml:space="preserve"> These are combined HMA figures. </w:t>
      </w:r>
      <w:r w:rsidR="00AD256A" w:rsidRPr="00FE37EA">
        <w:rPr>
          <w:b/>
          <w:bCs/>
        </w:rPr>
        <w:t>Appendix D provides t</w:t>
      </w:r>
      <w:r w:rsidR="00BB0C00" w:rsidRPr="00FE37EA">
        <w:rPr>
          <w:b/>
          <w:bCs/>
        </w:rPr>
        <w:t xml:space="preserve">he individual district </w:t>
      </w:r>
      <w:r w:rsidR="00AD256A" w:rsidRPr="00FE37EA">
        <w:rPr>
          <w:b/>
          <w:bCs/>
        </w:rPr>
        <w:t>figures</w:t>
      </w:r>
      <w:r w:rsidR="00BB0C00" w:rsidRPr="00FE37EA">
        <w:rPr>
          <w:b/>
          <w:bCs/>
        </w:rPr>
        <w:t>.</w:t>
      </w:r>
    </w:p>
    <w:tbl>
      <w:tblPr>
        <w:tblStyle w:val="TableGridLight1"/>
        <w:tblW w:w="9002" w:type="dxa"/>
        <w:tblInd w:w="349" w:type="dxa"/>
        <w:tblLayout w:type="fixed"/>
        <w:tblLook w:val="04A0" w:firstRow="1" w:lastRow="0" w:firstColumn="1" w:lastColumn="0" w:noHBand="0" w:noVBand="1"/>
      </w:tblPr>
      <w:tblGrid>
        <w:gridCol w:w="1747"/>
        <w:gridCol w:w="2418"/>
        <w:gridCol w:w="2418"/>
        <w:gridCol w:w="2419"/>
      </w:tblGrid>
      <w:tr w:rsidR="00C7292A" w:rsidRPr="00271794" w14:paraId="4053BDB4" w14:textId="77777777" w:rsidTr="004F4BA7">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747" w:type="dxa"/>
            <w:noWrap/>
            <w:hideMark/>
          </w:tcPr>
          <w:p w14:paraId="32496B20" w14:textId="2065DC34" w:rsidR="00C7292A" w:rsidRPr="008E5DB4" w:rsidRDefault="00C7292A" w:rsidP="008E6E40">
            <w:pPr>
              <w:keepNext/>
              <w:ind w:left="35" w:right="227"/>
              <w:rPr>
                <w:lang w:eastAsia="en-GB"/>
              </w:rPr>
            </w:pPr>
            <w:r w:rsidRPr="008E5DB4">
              <w:rPr>
                <w:lang w:eastAsia="en-GB"/>
              </w:rPr>
              <w:t>Size</w:t>
            </w:r>
          </w:p>
        </w:tc>
        <w:tc>
          <w:tcPr>
            <w:tcW w:w="2418" w:type="dxa"/>
            <w:noWrap/>
            <w:hideMark/>
          </w:tcPr>
          <w:p w14:paraId="459F6E36" w14:textId="77777777" w:rsidR="00C7292A" w:rsidRPr="008E5DB4" w:rsidRDefault="00C7292A" w:rsidP="008E6E40">
            <w:pPr>
              <w:keepNext/>
              <w:ind w:left="35" w:right="227"/>
              <w:cnfStyle w:val="100000000000" w:firstRow="1" w:lastRow="0" w:firstColumn="0" w:lastColumn="0" w:oddVBand="0" w:evenVBand="0" w:oddHBand="0" w:evenHBand="0" w:firstRowFirstColumn="0" w:firstRowLastColumn="0" w:lastRowFirstColumn="0" w:lastRowLastColumn="0"/>
              <w:rPr>
                <w:lang w:eastAsia="en-GB"/>
              </w:rPr>
            </w:pPr>
            <w:r w:rsidRPr="008E5DB4">
              <w:rPr>
                <w:lang w:eastAsia="en-GB"/>
              </w:rPr>
              <w:t>Market</w:t>
            </w:r>
          </w:p>
        </w:tc>
        <w:tc>
          <w:tcPr>
            <w:tcW w:w="2418" w:type="dxa"/>
            <w:noWrap/>
            <w:hideMark/>
          </w:tcPr>
          <w:p w14:paraId="1053E151" w14:textId="77777777" w:rsidR="00C7292A" w:rsidRPr="008E5DB4" w:rsidRDefault="00C7292A" w:rsidP="008E6E40">
            <w:pPr>
              <w:keepNext/>
              <w:ind w:left="35" w:right="227"/>
              <w:cnfStyle w:val="100000000000" w:firstRow="1" w:lastRow="0" w:firstColumn="0" w:lastColumn="0" w:oddVBand="0" w:evenVBand="0" w:oddHBand="0" w:evenHBand="0" w:firstRowFirstColumn="0" w:firstRowLastColumn="0" w:lastRowFirstColumn="0" w:lastRowLastColumn="0"/>
              <w:rPr>
                <w:lang w:eastAsia="en-GB"/>
              </w:rPr>
            </w:pPr>
            <w:r w:rsidRPr="008E5DB4">
              <w:rPr>
                <w:lang w:eastAsia="en-GB"/>
              </w:rPr>
              <w:t>Affordable Homes to Buy</w:t>
            </w:r>
          </w:p>
        </w:tc>
        <w:tc>
          <w:tcPr>
            <w:tcW w:w="2419" w:type="dxa"/>
            <w:noWrap/>
            <w:hideMark/>
          </w:tcPr>
          <w:p w14:paraId="7CF78FC7" w14:textId="77777777" w:rsidR="00C7292A" w:rsidRPr="008E5DB4" w:rsidRDefault="00C7292A" w:rsidP="008E6E40">
            <w:pPr>
              <w:keepNext/>
              <w:ind w:left="35" w:right="227"/>
              <w:cnfStyle w:val="100000000000" w:firstRow="1" w:lastRow="0" w:firstColumn="0" w:lastColumn="0" w:oddVBand="0" w:evenVBand="0" w:oddHBand="0" w:evenHBand="0" w:firstRowFirstColumn="0" w:firstRowLastColumn="0" w:lastRowFirstColumn="0" w:lastRowLastColumn="0"/>
              <w:rPr>
                <w:lang w:eastAsia="en-GB"/>
              </w:rPr>
            </w:pPr>
            <w:r w:rsidRPr="008E5DB4">
              <w:rPr>
                <w:lang w:eastAsia="en-GB"/>
              </w:rPr>
              <w:t>Affordable Homes to Rent</w:t>
            </w:r>
          </w:p>
        </w:tc>
      </w:tr>
      <w:tr w:rsidR="00C7292A" w:rsidRPr="00271794" w14:paraId="085AB8AF" w14:textId="77777777" w:rsidTr="004F4BA7">
        <w:trPr>
          <w:trHeight w:val="155"/>
        </w:trPr>
        <w:tc>
          <w:tcPr>
            <w:cnfStyle w:val="001000000000" w:firstRow="0" w:lastRow="0" w:firstColumn="1" w:lastColumn="0" w:oddVBand="0" w:evenVBand="0" w:oddHBand="0" w:evenHBand="0" w:firstRowFirstColumn="0" w:firstRowLastColumn="0" w:lastRowFirstColumn="0" w:lastRowLastColumn="0"/>
            <w:tcW w:w="1747" w:type="dxa"/>
            <w:hideMark/>
          </w:tcPr>
          <w:p w14:paraId="67A17855" w14:textId="77777777" w:rsidR="00C7292A" w:rsidRPr="00271794" w:rsidRDefault="00C7292A" w:rsidP="008E6E40">
            <w:pPr>
              <w:keepNext/>
              <w:ind w:left="35" w:right="227"/>
              <w:rPr>
                <w:color w:val="000000"/>
                <w:lang w:eastAsia="en-GB"/>
              </w:rPr>
            </w:pPr>
            <w:r w:rsidRPr="00271794">
              <w:rPr>
                <w:color w:val="000000"/>
                <w:lang w:eastAsia="en-GB"/>
              </w:rPr>
              <w:t>1-bedroom</w:t>
            </w:r>
          </w:p>
        </w:tc>
        <w:tc>
          <w:tcPr>
            <w:tcW w:w="2418" w:type="dxa"/>
            <w:hideMark/>
          </w:tcPr>
          <w:p w14:paraId="38923BD5"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D85EDC">
              <w:t>0-10%</w:t>
            </w:r>
          </w:p>
        </w:tc>
        <w:tc>
          <w:tcPr>
            <w:tcW w:w="2418" w:type="dxa"/>
            <w:hideMark/>
          </w:tcPr>
          <w:p w14:paraId="5D0E23E2"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9D4FA2">
              <w:t>15-25%</w:t>
            </w:r>
          </w:p>
        </w:tc>
        <w:tc>
          <w:tcPr>
            <w:tcW w:w="2419" w:type="dxa"/>
            <w:hideMark/>
          </w:tcPr>
          <w:p w14:paraId="02837636"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8A0330">
              <w:t>30-40%</w:t>
            </w:r>
          </w:p>
        </w:tc>
      </w:tr>
      <w:tr w:rsidR="00C7292A" w:rsidRPr="00271794" w14:paraId="38C1EE39" w14:textId="77777777" w:rsidTr="004F4BA7">
        <w:trPr>
          <w:trHeight w:val="189"/>
        </w:trPr>
        <w:tc>
          <w:tcPr>
            <w:cnfStyle w:val="001000000000" w:firstRow="0" w:lastRow="0" w:firstColumn="1" w:lastColumn="0" w:oddVBand="0" w:evenVBand="0" w:oddHBand="0" w:evenHBand="0" w:firstRowFirstColumn="0" w:firstRowLastColumn="0" w:lastRowFirstColumn="0" w:lastRowLastColumn="0"/>
            <w:tcW w:w="1747" w:type="dxa"/>
            <w:hideMark/>
          </w:tcPr>
          <w:p w14:paraId="1B6BB47F" w14:textId="77777777" w:rsidR="00C7292A" w:rsidRPr="00271794" w:rsidRDefault="00C7292A" w:rsidP="008E6E40">
            <w:pPr>
              <w:keepNext/>
              <w:ind w:left="35" w:right="227"/>
              <w:rPr>
                <w:color w:val="000000"/>
                <w:lang w:eastAsia="en-GB"/>
              </w:rPr>
            </w:pPr>
            <w:r w:rsidRPr="00271794">
              <w:rPr>
                <w:color w:val="000000"/>
                <w:lang w:eastAsia="en-GB"/>
              </w:rPr>
              <w:t>2-bedrooms</w:t>
            </w:r>
          </w:p>
        </w:tc>
        <w:tc>
          <w:tcPr>
            <w:tcW w:w="2418" w:type="dxa"/>
            <w:hideMark/>
          </w:tcPr>
          <w:p w14:paraId="0DF828F9"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D85EDC">
              <w:t>20-30%</w:t>
            </w:r>
          </w:p>
        </w:tc>
        <w:tc>
          <w:tcPr>
            <w:tcW w:w="2418" w:type="dxa"/>
            <w:hideMark/>
          </w:tcPr>
          <w:p w14:paraId="04488F92"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9D4FA2">
              <w:t>35-45%</w:t>
            </w:r>
          </w:p>
        </w:tc>
        <w:tc>
          <w:tcPr>
            <w:tcW w:w="2419" w:type="dxa"/>
            <w:hideMark/>
          </w:tcPr>
          <w:p w14:paraId="6EB88B39"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8A0330">
              <w:t>35-45%</w:t>
            </w:r>
          </w:p>
        </w:tc>
      </w:tr>
      <w:tr w:rsidR="00C7292A" w:rsidRPr="00271794" w14:paraId="54CD8FC3" w14:textId="77777777" w:rsidTr="004F4BA7">
        <w:trPr>
          <w:trHeight w:val="238"/>
        </w:trPr>
        <w:tc>
          <w:tcPr>
            <w:cnfStyle w:val="001000000000" w:firstRow="0" w:lastRow="0" w:firstColumn="1" w:lastColumn="0" w:oddVBand="0" w:evenVBand="0" w:oddHBand="0" w:evenHBand="0" w:firstRowFirstColumn="0" w:firstRowLastColumn="0" w:lastRowFirstColumn="0" w:lastRowLastColumn="0"/>
            <w:tcW w:w="1747" w:type="dxa"/>
            <w:hideMark/>
          </w:tcPr>
          <w:p w14:paraId="02DCE125" w14:textId="77777777" w:rsidR="00C7292A" w:rsidRPr="00271794" w:rsidRDefault="00C7292A" w:rsidP="008E6E40">
            <w:pPr>
              <w:keepNext/>
              <w:ind w:left="35" w:right="227"/>
              <w:rPr>
                <w:color w:val="000000"/>
                <w:lang w:eastAsia="en-GB"/>
              </w:rPr>
            </w:pPr>
            <w:r w:rsidRPr="00271794">
              <w:rPr>
                <w:color w:val="000000"/>
                <w:lang w:eastAsia="en-GB"/>
              </w:rPr>
              <w:t>3-bedrooms</w:t>
            </w:r>
          </w:p>
        </w:tc>
        <w:tc>
          <w:tcPr>
            <w:tcW w:w="2418" w:type="dxa"/>
            <w:hideMark/>
          </w:tcPr>
          <w:p w14:paraId="6EB5F326"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D85EDC">
              <w:t>40-50%</w:t>
            </w:r>
          </w:p>
        </w:tc>
        <w:tc>
          <w:tcPr>
            <w:tcW w:w="2418" w:type="dxa"/>
            <w:hideMark/>
          </w:tcPr>
          <w:p w14:paraId="553DE72D"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9D4FA2">
              <w:t>25-35%</w:t>
            </w:r>
          </w:p>
        </w:tc>
        <w:tc>
          <w:tcPr>
            <w:tcW w:w="2419" w:type="dxa"/>
            <w:hideMark/>
          </w:tcPr>
          <w:p w14:paraId="42DA892E"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8A0330">
              <w:t>15-25%</w:t>
            </w:r>
          </w:p>
        </w:tc>
      </w:tr>
      <w:tr w:rsidR="00C7292A" w:rsidRPr="00271794" w14:paraId="1C2CE44B"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747" w:type="dxa"/>
            <w:hideMark/>
          </w:tcPr>
          <w:p w14:paraId="6D1114D0" w14:textId="77777777" w:rsidR="00C7292A" w:rsidRPr="00271794" w:rsidRDefault="00C7292A" w:rsidP="008E6E40">
            <w:pPr>
              <w:keepNext/>
              <w:ind w:left="35" w:right="227"/>
              <w:rPr>
                <w:color w:val="000000"/>
                <w:lang w:eastAsia="en-GB"/>
              </w:rPr>
            </w:pPr>
            <w:r w:rsidRPr="00271794">
              <w:rPr>
                <w:color w:val="000000"/>
                <w:lang w:eastAsia="en-GB"/>
              </w:rPr>
              <w:t>4+-bedrooms</w:t>
            </w:r>
          </w:p>
        </w:tc>
        <w:tc>
          <w:tcPr>
            <w:tcW w:w="2418" w:type="dxa"/>
            <w:hideMark/>
          </w:tcPr>
          <w:p w14:paraId="43585BC2"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D85EDC">
              <w:t>20-30%</w:t>
            </w:r>
          </w:p>
        </w:tc>
        <w:tc>
          <w:tcPr>
            <w:tcW w:w="2418" w:type="dxa"/>
            <w:hideMark/>
          </w:tcPr>
          <w:p w14:paraId="2FC50668"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9D4FA2">
              <w:t>5-15%</w:t>
            </w:r>
          </w:p>
        </w:tc>
        <w:tc>
          <w:tcPr>
            <w:tcW w:w="2419" w:type="dxa"/>
            <w:hideMark/>
          </w:tcPr>
          <w:p w14:paraId="349390F5" w14:textId="77777777" w:rsidR="00C7292A" w:rsidRPr="00271794" w:rsidRDefault="00C7292A" w:rsidP="008E6E40">
            <w:pPr>
              <w:keepNext/>
              <w:ind w:left="35" w:right="227"/>
              <w:cnfStyle w:val="000000000000" w:firstRow="0" w:lastRow="0" w:firstColumn="0" w:lastColumn="0" w:oddVBand="0" w:evenVBand="0" w:oddHBand="0" w:evenHBand="0" w:firstRowFirstColumn="0" w:firstRowLastColumn="0" w:lastRowFirstColumn="0" w:lastRowLastColumn="0"/>
              <w:rPr>
                <w:color w:val="000000"/>
                <w:lang w:eastAsia="en-GB"/>
              </w:rPr>
            </w:pPr>
            <w:r w:rsidRPr="008A0330">
              <w:t>0-10%</w:t>
            </w:r>
          </w:p>
        </w:tc>
      </w:tr>
    </w:tbl>
    <w:p w14:paraId="013ECA32" w14:textId="77777777" w:rsidR="00C7292A" w:rsidRDefault="00C7292A" w:rsidP="00C7292A">
      <w:pPr>
        <w:pStyle w:val="Bulletblackplain"/>
        <w:numPr>
          <w:ilvl w:val="0"/>
          <w:numId w:val="0"/>
        </w:numPr>
        <w:spacing w:before="0" w:after="0" w:line="240" w:lineRule="auto"/>
        <w:ind w:right="227"/>
      </w:pPr>
    </w:p>
    <w:p w14:paraId="60DF9570" w14:textId="271F828C" w:rsidR="00C7292A" w:rsidRPr="008B0419" w:rsidRDefault="00C7292A" w:rsidP="008E5DB4">
      <w:pPr>
        <w:pStyle w:val="ListParagraph"/>
      </w:pPr>
      <w:r w:rsidRPr="008B0419">
        <w:t>At a local authority level, this mix may be adjusted to reflect local demand patterns, for example</w:t>
      </w:r>
      <w:r w:rsidR="004F4630">
        <w:t>,</w:t>
      </w:r>
      <w:r w:rsidRPr="008B0419">
        <w:t xml:space="preserve"> the high demand in Greater Cambridge for family homes</w:t>
      </w:r>
      <w:r>
        <w:t xml:space="preserve"> and</w:t>
      </w:r>
      <w:r w:rsidRPr="008B0419">
        <w:t xml:space="preserve"> the need in Fenland for </w:t>
      </w:r>
      <w:r w:rsidR="00442A4E">
        <w:t>additional</w:t>
      </w:r>
      <w:r w:rsidRPr="008B0419">
        <w:t xml:space="preserve"> smaller affordable homes. </w:t>
      </w:r>
    </w:p>
    <w:p w14:paraId="7C74C925" w14:textId="77777777" w:rsidR="00C7292A" w:rsidRPr="008B0419" w:rsidRDefault="00C7292A" w:rsidP="008E5DB4">
      <w:pPr>
        <w:ind w:left="426"/>
      </w:pPr>
    </w:p>
    <w:p w14:paraId="2755857B" w14:textId="340D6E5B" w:rsidR="00C7292A" w:rsidRPr="008E6005" w:rsidRDefault="00C7292A" w:rsidP="008E5DB4">
      <w:pPr>
        <w:pStyle w:val="ListParagraph"/>
      </w:pPr>
      <w:r w:rsidRPr="008B0419">
        <w:t>It will ultimately be for the Council</w:t>
      </w:r>
      <w:r w:rsidR="00442A4E">
        <w:t>s</w:t>
      </w:r>
      <w:r w:rsidRPr="008B0419">
        <w:t xml:space="preserve"> to write into policy the approach which best meets their local circumstance</w:t>
      </w:r>
      <w:r>
        <w:t>s</w:t>
      </w:r>
      <w:r w:rsidRPr="008B0419">
        <w:t>. This could, for example,</w:t>
      </w:r>
      <w:r w:rsidR="00442A4E">
        <w:t xml:space="preserve"> reflect</w:t>
      </w:r>
      <w:r w:rsidRPr="008B0419">
        <w:t xml:space="preserve"> a desire for further downsizing or a pragmatic approach to a </w:t>
      </w:r>
      <w:r w:rsidRPr="008E6005">
        <w:t>constrained housing supply both of which would see more smaller homes being built.</w:t>
      </w:r>
    </w:p>
    <w:p w14:paraId="16EE8F09" w14:textId="77777777" w:rsidR="00C7292A" w:rsidRPr="008E6005" w:rsidRDefault="00C7292A" w:rsidP="008E5DB4">
      <w:pPr>
        <w:ind w:left="426"/>
      </w:pPr>
    </w:p>
    <w:p w14:paraId="4D0E5DA0" w14:textId="38B08480" w:rsidR="002B3C3D" w:rsidRPr="000A484C" w:rsidRDefault="002B3C3D" w:rsidP="008E5DB4">
      <w:pPr>
        <w:pStyle w:val="ListParagraph"/>
      </w:pPr>
      <w:r w:rsidRPr="000A484C">
        <w:t xml:space="preserve">The strategic mix identified above should inform policies. But in applying the mix to individual development sites regard should also be had to the nature of the site and character of the area, up-to-date evidence of need (such as the housing register) as well as the existing mix and turnover of properties at the local level. </w:t>
      </w:r>
      <w:r w:rsidR="00442A4E" w:rsidRPr="001B0740">
        <w:t>The Councils should also monitor the mix of housing delivered</w:t>
      </w:r>
      <w:r w:rsidR="00442A4E">
        <w:t xml:space="preserve"> and respond accordingly so that the strategic mix requirements are closely met</w:t>
      </w:r>
      <w:r w:rsidR="00442A4E" w:rsidRPr="001B0740">
        <w:t>.</w:t>
      </w:r>
    </w:p>
    <w:p w14:paraId="3D524022" w14:textId="77777777" w:rsidR="00442A4E" w:rsidRPr="008E6005" w:rsidRDefault="00442A4E" w:rsidP="00B963B6"/>
    <w:p w14:paraId="75B97EF8" w14:textId="77777777" w:rsidR="00442A4E" w:rsidRDefault="00442A4E">
      <w:pPr>
        <w:spacing w:after="200"/>
        <w:rPr>
          <w:b/>
          <w:bCs/>
          <w:color w:val="0093D5"/>
        </w:rPr>
      </w:pPr>
      <w:r>
        <w:rPr>
          <w:b/>
          <w:bCs/>
          <w:color w:val="0093D5"/>
        </w:rPr>
        <w:br w:type="page"/>
      </w:r>
    </w:p>
    <w:p w14:paraId="58FB1C64" w14:textId="02E3BC3F" w:rsidR="00C7292A" w:rsidRPr="00A226E6" w:rsidRDefault="00C7292A" w:rsidP="00FE37EA">
      <w:pPr>
        <w:pStyle w:val="Heading2"/>
        <w:ind w:left="0"/>
        <w:rPr>
          <w:bCs/>
        </w:rPr>
      </w:pPr>
      <w:r w:rsidRPr="00A226E6">
        <w:lastRenderedPageBreak/>
        <w:t>Older and disabled people need</w:t>
      </w:r>
    </w:p>
    <w:p w14:paraId="347D0ED5" w14:textId="77777777" w:rsidR="00C7292A" w:rsidRDefault="00C7292A" w:rsidP="008E5DB4">
      <w:pPr>
        <w:ind w:left="426"/>
      </w:pPr>
    </w:p>
    <w:p w14:paraId="3CAEC770" w14:textId="067CE3D8" w:rsidR="00C7292A" w:rsidRPr="00A226E6" w:rsidRDefault="00442A4E" w:rsidP="008E5DB4">
      <w:pPr>
        <w:pStyle w:val="ListParagraph"/>
      </w:pPr>
      <w:r>
        <w:t>T</w:t>
      </w:r>
      <w:r w:rsidR="00C7292A" w:rsidRPr="00A226E6">
        <w:t>he population aged 65</w:t>
      </w:r>
      <w:r w:rsidR="00F24E9E">
        <w:t xml:space="preserve"> or</w:t>
      </w:r>
      <w:r w:rsidR="00C7292A" w:rsidRPr="00A226E6">
        <w:t xml:space="preserve"> over </w:t>
      </w:r>
      <w:r>
        <w:t xml:space="preserve">is </w:t>
      </w:r>
      <w:r w:rsidRPr="00A226E6">
        <w:t xml:space="preserve">projected to </w:t>
      </w:r>
      <w:r>
        <w:t>grow by</w:t>
      </w:r>
      <w:r w:rsidRPr="00A226E6">
        <w:t xml:space="preserve"> 55% </w:t>
      </w:r>
      <w:r>
        <w:t>between</w:t>
      </w:r>
      <w:r w:rsidRPr="00A226E6">
        <w:t xml:space="preserve"> </w:t>
      </w:r>
      <w:r w:rsidR="00C7292A" w:rsidRPr="00A226E6">
        <w:t>2020</w:t>
      </w:r>
      <w:r>
        <w:t xml:space="preserve"> and </w:t>
      </w:r>
      <w:r w:rsidR="00C7292A" w:rsidRPr="00A226E6">
        <w:t>2040 across the HMA (potentially accounting for 50% of total population growth).</w:t>
      </w:r>
    </w:p>
    <w:p w14:paraId="1825E729" w14:textId="77777777" w:rsidR="00C7292A" w:rsidRPr="00A226E6" w:rsidRDefault="00C7292A" w:rsidP="008E5DB4">
      <w:pPr>
        <w:ind w:left="426"/>
      </w:pPr>
    </w:p>
    <w:p w14:paraId="726AB600" w14:textId="3310541C" w:rsidR="00C7292A" w:rsidRPr="000A484C" w:rsidRDefault="00C7292A" w:rsidP="008E5DB4">
      <w:pPr>
        <w:pStyle w:val="ListParagraph"/>
      </w:pPr>
      <w:r w:rsidRPr="00A226E6">
        <w:t xml:space="preserve">Based on prevalence rates and the identified population growth of those aged </w:t>
      </w:r>
      <w:r>
        <w:t>75</w:t>
      </w:r>
      <w:r w:rsidR="00F24E9E">
        <w:t xml:space="preserve"> or over</w:t>
      </w:r>
      <w:r>
        <w:t xml:space="preserve"> </w:t>
      </w:r>
      <w:r w:rsidRPr="00A226E6">
        <w:t>we have identified the need for different types of older person accommodation</w:t>
      </w:r>
      <w:r w:rsidR="002F485D">
        <w:t xml:space="preserve"> up to 2040</w:t>
      </w:r>
      <w:r w:rsidR="002A2CA2">
        <w:t>.</w:t>
      </w:r>
      <w:r w:rsidR="00442A4E">
        <w:t xml:space="preserve"> </w:t>
      </w:r>
      <w:r w:rsidRPr="000A484C">
        <w:t xml:space="preserve">The need for the following levels of older person accommodation is identified and should be planned for across the HMA: </w:t>
      </w:r>
    </w:p>
    <w:p w14:paraId="02D5140E" w14:textId="40C3ED30" w:rsidR="00C7292A" w:rsidRDefault="00C7292A" w:rsidP="008E5DB4">
      <w:pPr>
        <w:ind w:left="426"/>
      </w:pPr>
    </w:p>
    <w:tbl>
      <w:tblPr>
        <w:tblStyle w:val="TableGridLight1"/>
        <w:tblW w:w="0" w:type="auto"/>
        <w:tblInd w:w="421" w:type="dxa"/>
        <w:tblLook w:val="04A0" w:firstRow="1" w:lastRow="0" w:firstColumn="1" w:lastColumn="0" w:noHBand="0" w:noVBand="1"/>
      </w:tblPr>
      <w:tblGrid>
        <w:gridCol w:w="1215"/>
        <w:gridCol w:w="1125"/>
        <w:gridCol w:w="1244"/>
        <w:gridCol w:w="933"/>
        <w:gridCol w:w="971"/>
        <w:gridCol w:w="774"/>
        <w:gridCol w:w="933"/>
        <w:gridCol w:w="1013"/>
        <w:gridCol w:w="709"/>
      </w:tblGrid>
      <w:tr w:rsidR="00605B15" w:rsidRPr="00605B15" w14:paraId="29247BC8" w14:textId="77777777" w:rsidTr="004F4BA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38EC7ABC" w14:textId="77777777" w:rsidR="00605B15" w:rsidRPr="00605B15" w:rsidRDefault="00605B15" w:rsidP="00605B15">
            <w:pPr>
              <w:rPr>
                <w:lang w:eastAsia="en-GB"/>
              </w:rPr>
            </w:pPr>
            <w:r w:rsidRPr="00605B15">
              <w:rPr>
                <w:lang w:eastAsia="en-GB"/>
              </w:rPr>
              <w:t>Type</w:t>
            </w:r>
          </w:p>
        </w:tc>
        <w:tc>
          <w:tcPr>
            <w:tcW w:w="0" w:type="auto"/>
            <w:hideMark/>
          </w:tcPr>
          <w:p w14:paraId="632D5330"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Tenure</w:t>
            </w:r>
          </w:p>
        </w:tc>
        <w:tc>
          <w:tcPr>
            <w:tcW w:w="0" w:type="auto"/>
            <w:hideMark/>
          </w:tcPr>
          <w:p w14:paraId="5CDD50EC"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Cambridge</w:t>
            </w:r>
          </w:p>
        </w:tc>
        <w:tc>
          <w:tcPr>
            <w:tcW w:w="0" w:type="auto"/>
            <w:hideMark/>
          </w:tcPr>
          <w:p w14:paraId="31764A92"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E. Cambs</w:t>
            </w:r>
          </w:p>
        </w:tc>
        <w:tc>
          <w:tcPr>
            <w:tcW w:w="0" w:type="auto"/>
            <w:hideMark/>
          </w:tcPr>
          <w:p w14:paraId="22179EE7"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Fenland</w:t>
            </w:r>
          </w:p>
        </w:tc>
        <w:tc>
          <w:tcPr>
            <w:tcW w:w="0" w:type="auto"/>
            <w:hideMark/>
          </w:tcPr>
          <w:p w14:paraId="7F37D1EA"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Hunts</w:t>
            </w:r>
          </w:p>
        </w:tc>
        <w:tc>
          <w:tcPr>
            <w:tcW w:w="0" w:type="auto"/>
            <w:hideMark/>
          </w:tcPr>
          <w:p w14:paraId="1B7D0196"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S. Cambs</w:t>
            </w:r>
          </w:p>
        </w:tc>
        <w:tc>
          <w:tcPr>
            <w:tcW w:w="0" w:type="auto"/>
            <w:hideMark/>
          </w:tcPr>
          <w:p w14:paraId="25B28979"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West Suffolk</w:t>
            </w:r>
          </w:p>
        </w:tc>
        <w:tc>
          <w:tcPr>
            <w:tcW w:w="0" w:type="auto"/>
            <w:hideMark/>
          </w:tcPr>
          <w:p w14:paraId="4D50A05A" w14:textId="77777777" w:rsidR="00605B15" w:rsidRPr="00605B15" w:rsidRDefault="00605B15" w:rsidP="00605B15">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HMA</w:t>
            </w:r>
            <w:r w:rsidRPr="00605B15">
              <w:rPr>
                <w:rFonts w:ascii="Times New Roman" w:hAnsi="Times New Roman"/>
                <w:sz w:val="16"/>
                <w:szCs w:val="16"/>
                <w:lang w:eastAsia="en-GB"/>
              </w:rPr>
              <w:t> </w:t>
            </w:r>
          </w:p>
        </w:tc>
      </w:tr>
      <w:tr w:rsidR="00605B15" w:rsidRPr="00605B15" w14:paraId="2C8DF76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7AD6E63" w14:textId="77777777" w:rsidR="00605B15" w:rsidRPr="00605B15" w:rsidRDefault="00605B15" w:rsidP="00605B15">
            <w:pPr>
              <w:rPr>
                <w:color w:val="000000"/>
                <w:lang w:eastAsia="en-GB"/>
              </w:rPr>
            </w:pPr>
            <w:r w:rsidRPr="00605B15">
              <w:rPr>
                <w:color w:val="000000"/>
                <w:lang w:eastAsia="en-GB"/>
              </w:rPr>
              <w:t xml:space="preserve">Housing with support </w:t>
            </w:r>
          </w:p>
        </w:tc>
        <w:tc>
          <w:tcPr>
            <w:tcW w:w="0" w:type="auto"/>
            <w:hideMark/>
          </w:tcPr>
          <w:p w14:paraId="5370B7C9"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Rented</w:t>
            </w:r>
          </w:p>
        </w:tc>
        <w:tc>
          <w:tcPr>
            <w:tcW w:w="0" w:type="auto"/>
            <w:hideMark/>
          </w:tcPr>
          <w:p w14:paraId="2647828C"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-289</w:t>
            </w:r>
          </w:p>
        </w:tc>
        <w:tc>
          <w:tcPr>
            <w:tcW w:w="0" w:type="auto"/>
            <w:hideMark/>
          </w:tcPr>
          <w:p w14:paraId="2067F740"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-88</w:t>
            </w:r>
          </w:p>
        </w:tc>
        <w:tc>
          <w:tcPr>
            <w:tcW w:w="0" w:type="auto"/>
            <w:hideMark/>
          </w:tcPr>
          <w:p w14:paraId="4F85032D"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440</w:t>
            </w:r>
          </w:p>
        </w:tc>
        <w:tc>
          <w:tcPr>
            <w:tcW w:w="0" w:type="auto"/>
            <w:hideMark/>
          </w:tcPr>
          <w:p w14:paraId="3CD7C6A4"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194</w:t>
            </w:r>
          </w:p>
        </w:tc>
        <w:tc>
          <w:tcPr>
            <w:tcW w:w="0" w:type="auto"/>
            <w:hideMark/>
          </w:tcPr>
          <w:p w14:paraId="3CEC4DA1"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-502</w:t>
            </w:r>
          </w:p>
        </w:tc>
        <w:tc>
          <w:tcPr>
            <w:tcW w:w="0" w:type="auto"/>
            <w:hideMark/>
          </w:tcPr>
          <w:p w14:paraId="506B0157"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483</w:t>
            </w:r>
          </w:p>
        </w:tc>
        <w:tc>
          <w:tcPr>
            <w:tcW w:w="0" w:type="auto"/>
            <w:hideMark/>
          </w:tcPr>
          <w:p w14:paraId="341F3701"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238</w:t>
            </w:r>
          </w:p>
        </w:tc>
      </w:tr>
      <w:tr w:rsidR="00605B15" w:rsidRPr="00605B15" w14:paraId="6BF6F3D9" w14:textId="77777777" w:rsidTr="004F4BA7">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5D583228" w14:textId="77777777" w:rsidR="00605B15" w:rsidRPr="00605B15" w:rsidRDefault="00605B15" w:rsidP="00605B15">
            <w:pPr>
              <w:rPr>
                <w:color w:val="000000"/>
                <w:lang w:eastAsia="en-GB"/>
              </w:rPr>
            </w:pPr>
            <w:r w:rsidRPr="00605B15">
              <w:rPr>
                <w:color w:val="000000"/>
                <w:lang w:eastAsia="en-GB"/>
              </w:rPr>
              <w:t> </w:t>
            </w:r>
          </w:p>
        </w:tc>
        <w:tc>
          <w:tcPr>
            <w:tcW w:w="0" w:type="auto"/>
            <w:hideMark/>
          </w:tcPr>
          <w:p w14:paraId="1B891448"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Leasehold</w:t>
            </w:r>
          </w:p>
        </w:tc>
        <w:tc>
          <w:tcPr>
            <w:tcW w:w="0" w:type="auto"/>
            <w:hideMark/>
          </w:tcPr>
          <w:p w14:paraId="74DBC946"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643</w:t>
            </w:r>
          </w:p>
        </w:tc>
        <w:tc>
          <w:tcPr>
            <w:tcW w:w="0" w:type="auto"/>
            <w:hideMark/>
          </w:tcPr>
          <w:p w14:paraId="2EC56855"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969</w:t>
            </w:r>
          </w:p>
        </w:tc>
        <w:tc>
          <w:tcPr>
            <w:tcW w:w="0" w:type="auto"/>
            <w:hideMark/>
          </w:tcPr>
          <w:p w14:paraId="66405FEA"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1,115</w:t>
            </w:r>
          </w:p>
        </w:tc>
        <w:tc>
          <w:tcPr>
            <w:tcW w:w="0" w:type="auto"/>
            <w:hideMark/>
          </w:tcPr>
          <w:p w14:paraId="4EAC8872"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1,533</w:t>
            </w:r>
          </w:p>
        </w:tc>
        <w:tc>
          <w:tcPr>
            <w:tcW w:w="0" w:type="auto"/>
            <w:hideMark/>
          </w:tcPr>
          <w:p w14:paraId="4BFB6198"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1,447</w:t>
            </w:r>
          </w:p>
        </w:tc>
        <w:tc>
          <w:tcPr>
            <w:tcW w:w="0" w:type="auto"/>
            <w:hideMark/>
          </w:tcPr>
          <w:p w14:paraId="05DBD871"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1,697</w:t>
            </w:r>
          </w:p>
        </w:tc>
        <w:tc>
          <w:tcPr>
            <w:tcW w:w="0" w:type="auto"/>
            <w:hideMark/>
          </w:tcPr>
          <w:p w14:paraId="5E0B20D2"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7,404</w:t>
            </w:r>
          </w:p>
        </w:tc>
      </w:tr>
      <w:tr w:rsidR="00605B15" w:rsidRPr="00605B15" w14:paraId="50637F3C"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BF5CAAF" w14:textId="77777777" w:rsidR="00605B15" w:rsidRPr="00605B15" w:rsidRDefault="00605B15" w:rsidP="00605B15">
            <w:pPr>
              <w:rPr>
                <w:color w:val="000000"/>
                <w:lang w:eastAsia="en-GB"/>
              </w:rPr>
            </w:pPr>
            <w:r w:rsidRPr="00605B15">
              <w:rPr>
                <w:color w:val="000000"/>
                <w:lang w:eastAsia="en-GB"/>
              </w:rPr>
              <w:t>Housing with care</w:t>
            </w:r>
            <w:r w:rsidRPr="00605B15">
              <w:rPr>
                <w:rFonts w:ascii="Times New Roman" w:hAnsi="Times New Roman"/>
                <w:color w:val="auto"/>
                <w:sz w:val="16"/>
                <w:szCs w:val="16"/>
                <w:lang w:eastAsia="en-GB"/>
              </w:rPr>
              <w:t>  </w:t>
            </w:r>
          </w:p>
        </w:tc>
        <w:tc>
          <w:tcPr>
            <w:tcW w:w="0" w:type="auto"/>
            <w:hideMark/>
          </w:tcPr>
          <w:p w14:paraId="1F6D8959"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Rented</w:t>
            </w:r>
          </w:p>
        </w:tc>
        <w:tc>
          <w:tcPr>
            <w:tcW w:w="0" w:type="auto"/>
            <w:hideMark/>
          </w:tcPr>
          <w:p w14:paraId="483AD2DB"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121</w:t>
            </w:r>
          </w:p>
        </w:tc>
        <w:tc>
          <w:tcPr>
            <w:tcW w:w="0" w:type="auto"/>
            <w:hideMark/>
          </w:tcPr>
          <w:p w14:paraId="13B7E5E4"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122</w:t>
            </w:r>
          </w:p>
        </w:tc>
        <w:tc>
          <w:tcPr>
            <w:tcW w:w="0" w:type="auto"/>
            <w:hideMark/>
          </w:tcPr>
          <w:p w14:paraId="10FB1680"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304</w:t>
            </w:r>
          </w:p>
        </w:tc>
        <w:tc>
          <w:tcPr>
            <w:tcW w:w="0" w:type="auto"/>
            <w:hideMark/>
          </w:tcPr>
          <w:p w14:paraId="0B9AE899"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371</w:t>
            </w:r>
          </w:p>
        </w:tc>
        <w:tc>
          <w:tcPr>
            <w:tcW w:w="0" w:type="auto"/>
            <w:hideMark/>
          </w:tcPr>
          <w:p w14:paraId="50D9DC9E"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192</w:t>
            </w:r>
          </w:p>
        </w:tc>
        <w:tc>
          <w:tcPr>
            <w:tcW w:w="0" w:type="auto"/>
            <w:hideMark/>
          </w:tcPr>
          <w:p w14:paraId="50F18B97"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434</w:t>
            </w:r>
          </w:p>
        </w:tc>
        <w:tc>
          <w:tcPr>
            <w:tcW w:w="0" w:type="auto"/>
            <w:hideMark/>
          </w:tcPr>
          <w:p w14:paraId="5D84F2CD"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1,544</w:t>
            </w:r>
          </w:p>
        </w:tc>
      </w:tr>
      <w:tr w:rsidR="00605B15" w:rsidRPr="00605B15" w14:paraId="6BF2D718" w14:textId="77777777" w:rsidTr="004F4BA7">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1414F5B2" w14:textId="77777777" w:rsidR="00605B15" w:rsidRPr="00605B15" w:rsidRDefault="00605B15" w:rsidP="00605B15">
            <w:pPr>
              <w:rPr>
                <w:color w:val="000000"/>
                <w:lang w:eastAsia="en-GB"/>
              </w:rPr>
            </w:pPr>
            <w:r w:rsidRPr="00605B15">
              <w:rPr>
                <w:color w:val="000000"/>
                <w:lang w:eastAsia="en-GB"/>
              </w:rPr>
              <w:t> </w:t>
            </w:r>
          </w:p>
        </w:tc>
        <w:tc>
          <w:tcPr>
            <w:tcW w:w="0" w:type="auto"/>
            <w:hideMark/>
          </w:tcPr>
          <w:p w14:paraId="0322596D"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Leasehold</w:t>
            </w:r>
          </w:p>
        </w:tc>
        <w:tc>
          <w:tcPr>
            <w:tcW w:w="0" w:type="auto"/>
            <w:hideMark/>
          </w:tcPr>
          <w:p w14:paraId="57CD6112"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271</w:t>
            </w:r>
          </w:p>
        </w:tc>
        <w:tc>
          <w:tcPr>
            <w:tcW w:w="0" w:type="auto"/>
            <w:hideMark/>
          </w:tcPr>
          <w:p w14:paraId="7D11CB66"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271</w:t>
            </w:r>
          </w:p>
        </w:tc>
        <w:tc>
          <w:tcPr>
            <w:tcW w:w="0" w:type="auto"/>
            <w:hideMark/>
          </w:tcPr>
          <w:p w14:paraId="2EB5136C"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377</w:t>
            </w:r>
          </w:p>
        </w:tc>
        <w:tc>
          <w:tcPr>
            <w:tcW w:w="0" w:type="auto"/>
            <w:hideMark/>
          </w:tcPr>
          <w:p w14:paraId="73B6EA60"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635</w:t>
            </w:r>
          </w:p>
        </w:tc>
        <w:tc>
          <w:tcPr>
            <w:tcW w:w="0" w:type="auto"/>
            <w:hideMark/>
          </w:tcPr>
          <w:p w14:paraId="4B4A6467"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473</w:t>
            </w:r>
          </w:p>
        </w:tc>
        <w:tc>
          <w:tcPr>
            <w:tcW w:w="0" w:type="auto"/>
            <w:hideMark/>
          </w:tcPr>
          <w:p w14:paraId="7FFAA33F"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562</w:t>
            </w:r>
          </w:p>
        </w:tc>
        <w:tc>
          <w:tcPr>
            <w:tcW w:w="0" w:type="auto"/>
            <w:hideMark/>
          </w:tcPr>
          <w:p w14:paraId="4D55B44D"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2,589</w:t>
            </w:r>
          </w:p>
        </w:tc>
      </w:tr>
      <w:tr w:rsidR="00605B15" w:rsidRPr="00605B15" w14:paraId="5B52B833"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E32ADDA" w14:textId="77777777" w:rsidR="00605B15" w:rsidRPr="00605B15" w:rsidRDefault="00605B15" w:rsidP="00605B15">
            <w:pPr>
              <w:rPr>
                <w:color w:val="000000"/>
                <w:lang w:eastAsia="en-GB"/>
              </w:rPr>
            </w:pPr>
            <w:r w:rsidRPr="00605B15">
              <w:rPr>
                <w:color w:val="000000"/>
                <w:lang w:eastAsia="en-GB"/>
              </w:rPr>
              <w:t>Care Bed-spaces</w:t>
            </w:r>
          </w:p>
        </w:tc>
        <w:tc>
          <w:tcPr>
            <w:tcW w:w="0" w:type="auto"/>
            <w:hideMark/>
          </w:tcPr>
          <w:p w14:paraId="59446108"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 </w:t>
            </w:r>
          </w:p>
        </w:tc>
        <w:tc>
          <w:tcPr>
            <w:tcW w:w="0" w:type="auto"/>
            <w:hideMark/>
          </w:tcPr>
          <w:p w14:paraId="2F4B4BC5"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179</w:t>
            </w:r>
          </w:p>
        </w:tc>
        <w:tc>
          <w:tcPr>
            <w:tcW w:w="0" w:type="auto"/>
            <w:hideMark/>
          </w:tcPr>
          <w:p w14:paraId="76A69290"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1,145</w:t>
            </w:r>
          </w:p>
        </w:tc>
        <w:tc>
          <w:tcPr>
            <w:tcW w:w="0" w:type="auto"/>
            <w:hideMark/>
          </w:tcPr>
          <w:p w14:paraId="6F51A1E2"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1,200</w:t>
            </w:r>
          </w:p>
        </w:tc>
        <w:tc>
          <w:tcPr>
            <w:tcW w:w="0" w:type="auto"/>
            <w:hideMark/>
          </w:tcPr>
          <w:p w14:paraId="29BC59CF"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1,803</w:t>
            </w:r>
          </w:p>
        </w:tc>
        <w:tc>
          <w:tcPr>
            <w:tcW w:w="0" w:type="auto"/>
            <w:hideMark/>
          </w:tcPr>
          <w:p w14:paraId="39CE13AC"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1,613</w:t>
            </w:r>
          </w:p>
        </w:tc>
        <w:tc>
          <w:tcPr>
            <w:tcW w:w="0" w:type="auto"/>
            <w:hideMark/>
          </w:tcPr>
          <w:p w14:paraId="31D56D2D"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1,761  </w:t>
            </w:r>
          </w:p>
        </w:tc>
        <w:tc>
          <w:tcPr>
            <w:tcW w:w="0" w:type="auto"/>
            <w:hideMark/>
          </w:tcPr>
          <w:p w14:paraId="63CA19F5" w14:textId="77777777" w:rsidR="00605B15" w:rsidRPr="00605B15" w:rsidRDefault="00605B15" w:rsidP="00605B15">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5,940</w:t>
            </w:r>
          </w:p>
        </w:tc>
      </w:tr>
    </w:tbl>
    <w:p w14:paraId="2F99090C" w14:textId="77777777" w:rsidR="00C7292A" w:rsidRPr="00A52665" w:rsidRDefault="00C7292A" w:rsidP="00C7292A">
      <w:pPr>
        <w:keepNext/>
        <w:jc w:val="both"/>
        <w:rPr>
          <w:color w:val="auto"/>
        </w:rPr>
      </w:pPr>
    </w:p>
    <w:p w14:paraId="1CFCD852" w14:textId="6354E47C" w:rsidR="00C7292A" w:rsidRPr="00A226E6" w:rsidRDefault="00C7292A" w:rsidP="008E5DB4">
      <w:pPr>
        <w:pStyle w:val="ListParagraph"/>
      </w:pPr>
      <w:r w:rsidRPr="00A226E6">
        <w:t xml:space="preserve">Cambridgeshire and West Suffolk has </w:t>
      </w:r>
      <w:r w:rsidR="00C265B9">
        <w:t xml:space="preserve">a </w:t>
      </w:r>
      <w:r w:rsidRPr="00A226E6">
        <w:t xml:space="preserve">slightly </w:t>
      </w:r>
      <w:r>
        <w:t>lower</w:t>
      </w:r>
      <w:r w:rsidRPr="00A226E6">
        <w:t xml:space="preserve"> level of </w:t>
      </w:r>
      <w:r>
        <w:t xml:space="preserve">people with a </w:t>
      </w:r>
      <w:r w:rsidR="002C4389">
        <w:t>long-term</w:t>
      </w:r>
      <w:r>
        <w:t xml:space="preserve"> health problem or </w:t>
      </w:r>
      <w:r w:rsidRPr="00A226E6">
        <w:t xml:space="preserve">disability compared to the region and country. An ageing population means that the number of people requiring specialist accommodation and/or with disabilities is likely to increase substantially in the future. </w:t>
      </w:r>
    </w:p>
    <w:p w14:paraId="2B0375CA" w14:textId="77777777" w:rsidR="00C7292A" w:rsidRPr="00A226E6" w:rsidRDefault="00C7292A" w:rsidP="008E5DB4">
      <w:pPr>
        <w:ind w:left="426"/>
      </w:pPr>
    </w:p>
    <w:p w14:paraId="3ECAA278" w14:textId="2CC05A8F" w:rsidR="00C7292A" w:rsidRPr="00A226E6" w:rsidRDefault="00C265B9" w:rsidP="008E5DB4">
      <w:pPr>
        <w:pStyle w:val="ListParagraph"/>
      </w:pPr>
      <w:r>
        <w:t>Between 2020 and 2040 t</w:t>
      </w:r>
      <w:r w:rsidR="00C7292A" w:rsidRPr="00A226E6">
        <w:t xml:space="preserve">he number of older people with dementia is expected to increase by </w:t>
      </w:r>
      <w:r w:rsidR="00DA2541">
        <w:t>7</w:t>
      </w:r>
      <w:r w:rsidR="00EE75F6">
        <w:t>6.2</w:t>
      </w:r>
      <w:r w:rsidR="00C7292A" w:rsidRPr="00A226E6">
        <w:t xml:space="preserve">% </w:t>
      </w:r>
      <w:r>
        <w:t xml:space="preserve">and </w:t>
      </w:r>
      <w:r w:rsidR="00C7292A" w:rsidRPr="00A226E6">
        <w:t>those with mobility problems</w:t>
      </w:r>
      <w:r>
        <w:t xml:space="preserve"> is expected to increase by </w:t>
      </w:r>
      <w:r w:rsidR="00DA2541">
        <w:t>65.6</w:t>
      </w:r>
      <w:r w:rsidR="00C7292A" w:rsidRPr="00A226E6">
        <w:t>%.</w:t>
      </w:r>
    </w:p>
    <w:p w14:paraId="7EC7B87F" w14:textId="77777777" w:rsidR="00C7292A" w:rsidRPr="00A226E6" w:rsidRDefault="00C7292A" w:rsidP="008E5DB4">
      <w:pPr>
        <w:ind w:left="426"/>
      </w:pPr>
    </w:p>
    <w:p w14:paraId="0A947D07" w14:textId="62AE05C4" w:rsidR="00C4126C" w:rsidRDefault="00C7292A" w:rsidP="008E5DB4">
      <w:pPr>
        <w:pStyle w:val="ListParagraph"/>
      </w:pPr>
      <w:r w:rsidRPr="008B0419">
        <w:t xml:space="preserve">Using data from English Housing Survey (EHS) </w:t>
      </w:r>
      <w:r w:rsidR="00DC44CE">
        <w:t xml:space="preserve">cross tabulated with Census data in prevalence of disability, </w:t>
      </w:r>
      <w:r w:rsidR="00047C5F">
        <w:t xml:space="preserve">have </w:t>
      </w:r>
      <w:r w:rsidR="00353C82">
        <w:t>identifie</w:t>
      </w:r>
      <w:r w:rsidR="00047C5F">
        <w:t>d</w:t>
      </w:r>
      <w:r w:rsidR="00353C82">
        <w:t xml:space="preserve"> a need for </w:t>
      </w:r>
      <w:r w:rsidR="00DC44CE">
        <w:t xml:space="preserve">8,278 </w:t>
      </w:r>
      <w:r w:rsidR="00353C82">
        <w:t>additional</w:t>
      </w:r>
      <w:r w:rsidRPr="008B0419">
        <w:t xml:space="preserve"> wheelchair user dwellings to 2040 across the HMA. This equates to 8.</w:t>
      </w:r>
      <w:r w:rsidR="00DC44CE">
        <w:t>9</w:t>
      </w:r>
      <w:r w:rsidRPr="008B0419">
        <w:t>% of the total Local Housing Need</w:t>
      </w:r>
      <w:r w:rsidR="00C265B9">
        <w:t>.</w:t>
      </w:r>
    </w:p>
    <w:p w14:paraId="172D0BF6" w14:textId="422B8177" w:rsidR="00DC44CE" w:rsidRDefault="00DC44CE" w:rsidP="00C4126C"/>
    <w:p w14:paraId="1A127D50" w14:textId="5FF391A4" w:rsidR="00C4126C" w:rsidRDefault="00C4126C" w:rsidP="00C4126C"/>
    <w:p w14:paraId="1E273013" w14:textId="49CFF5ED" w:rsidR="00C4126C" w:rsidRDefault="00C4126C" w:rsidP="00C4126C"/>
    <w:p w14:paraId="4A1A50C6" w14:textId="350EE272" w:rsidR="00C4126C" w:rsidRDefault="00C4126C" w:rsidP="00C4126C"/>
    <w:p w14:paraId="1711F553" w14:textId="6429A3E3" w:rsidR="00C4126C" w:rsidRDefault="00C4126C" w:rsidP="00C4126C"/>
    <w:p w14:paraId="2C8119BA" w14:textId="3475AF96" w:rsidR="00C4126C" w:rsidRDefault="00C4126C" w:rsidP="00C4126C"/>
    <w:p w14:paraId="21DDDEF1" w14:textId="4638D451" w:rsidR="00C4126C" w:rsidRDefault="00C4126C" w:rsidP="00C4126C"/>
    <w:p w14:paraId="0D360ECB" w14:textId="6D0B9EF4" w:rsidR="00C4126C" w:rsidRDefault="00C4126C" w:rsidP="00C4126C"/>
    <w:p w14:paraId="71DDE24F" w14:textId="7BFCC057" w:rsidR="00C4126C" w:rsidRDefault="00C4126C" w:rsidP="00C4126C"/>
    <w:p w14:paraId="2A6BB4C1" w14:textId="77777777" w:rsidR="00C4126C" w:rsidRDefault="00C4126C" w:rsidP="004F4BA7"/>
    <w:p w14:paraId="4EFDD759" w14:textId="49200BB1" w:rsidR="00C7292A" w:rsidRDefault="00DC44CE" w:rsidP="004F4BA7">
      <w:pPr>
        <w:pStyle w:val="Tableheading"/>
      </w:pPr>
      <w:r>
        <w:lastRenderedPageBreak/>
        <w:t>Need for wheelchair user housing</w:t>
      </w:r>
    </w:p>
    <w:tbl>
      <w:tblPr>
        <w:tblStyle w:val="TableGridLight1"/>
        <w:tblW w:w="8930" w:type="dxa"/>
        <w:tblInd w:w="421" w:type="dxa"/>
        <w:tblLayout w:type="fixed"/>
        <w:tblLook w:val="04A0" w:firstRow="1" w:lastRow="0" w:firstColumn="1" w:lastColumn="0" w:noHBand="0" w:noVBand="1"/>
      </w:tblPr>
      <w:tblGrid>
        <w:gridCol w:w="1673"/>
        <w:gridCol w:w="1451"/>
        <w:gridCol w:w="1451"/>
        <w:gridCol w:w="1452"/>
        <w:gridCol w:w="1451"/>
        <w:gridCol w:w="1452"/>
      </w:tblGrid>
      <w:tr w:rsidR="00DC44CE" w:rsidRPr="00DC44CE" w14:paraId="59399EE0" w14:textId="77777777" w:rsidTr="004F4BA7">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673" w:type="dxa"/>
            <w:hideMark/>
          </w:tcPr>
          <w:p w14:paraId="0ACFE62B" w14:textId="77777777" w:rsidR="00DC44CE" w:rsidRPr="00DC44CE" w:rsidRDefault="00DC44CE" w:rsidP="00DC44CE">
            <w:pPr>
              <w:rPr>
                <w:color w:val="FFFFFF"/>
                <w:lang w:eastAsia="en-GB"/>
              </w:rPr>
            </w:pPr>
            <w:r w:rsidRPr="00DC44CE">
              <w:rPr>
                <w:color w:val="FFFFFF"/>
                <w:lang w:eastAsia="en-GB"/>
              </w:rPr>
              <w:t> </w:t>
            </w:r>
          </w:p>
        </w:tc>
        <w:tc>
          <w:tcPr>
            <w:tcW w:w="1451" w:type="dxa"/>
            <w:hideMark/>
          </w:tcPr>
          <w:p w14:paraId="64BDBCFC" w14:textId="77777777" w:rsidR="00DC44CE" w:rsidRPr="00605B15" w:rsidRDefault="00DC44CE" w:rsidP="00DC44CE">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Current need</w:t>
            </w:r>
          </w:p>
        </w:tc>
        <w:tc>
          <w:tcPr>
            <w:tcW w:w="1451" w:type="dxa"/>
            <w:hideMark/>
          </w:tcPr>
          <w:p w14:paraId="5E0806AE" w14:textId="77777777" w:rsidR="00DC44CE" w:rsidRPr="00605B15" w:rsidRDefault="00DC44CE" w:rsidP="00DC44CE">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Projected need (2020-40)</w:t>
            </w:r>
          </w:p>
        </w:tc>
        <w:tc>
          <w:tcPr>
            <w:tcW w:w="1452" w:type="dxa"/>
            <w:hideMark/>
          </w:tcPr>
          <w:p w14:paraId="74F53A11" w14:textId="77777777" w:rsidR="00DC44CE" w:rsidRPr="00605B15" w:rsidRDefault="00DC44CE" w:rsidP="00DC44CE">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Total current and future need</w:t>
            </w:r>
          </w:p>
        </w:tc>
        <w:tc>
          <w:tcPr>
            <w:tcW w:w="1451" w:type="dxa"/>
            <w:hideMark/>
          </w:tcPr>
          <w:p w14:paraId="7EC19DDA" w14:textId="77777777" w:rsidR="00DC44CE" w:rsidRPr="00605B15" w:rsidRDefault="00DC44CE" w:rsidP="00DC44CE">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Housing need (2020-40)</w:t>
            </w:r>
          </w:p>
        </w:tc>
        <w:tc>
          <w:tcPr>
            <w:tcW w:w="1452" w:type="dxa"/>
            <w:hideMark/>
          </w:tcPr>
          <w:p w14:paraId="64D1A1D0" w14:textId="77777777" w:rsidR="00DC44CE" w:rsidRPr="00605B15" w:rsidRDefault="00DC44CE" w:rsidP="00DC44CE">
            <w:pPr>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 of Housing Need</w:t>
            </w:r>
          </w:p>
        </w:tc>
      </w:tr>
      <w:tr w:rsidR="00DC44CE" w:rsidRPr="00DC44CE" w14:paraId="08AA57B7"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1290C9F3" w14:textId="77777777" w:rsidR="00DC44CE" w:rsidRPr="00DC44CE" w:rsidRDefault="00DC44CE" w:rsidP="00DC44CE">
            <w:pPr>
              <w:rPr>
                <w:color w:val="000000"/>
                <w:lang w:eastAsia="en-GB"/>
              </w:rPr>
            </w:pPr>
            <w:r w:rsidRPr="00DC44CE">
              <w:rPr>
                <w:color w:val="000000"/>
                <w:lang w:eastAsia="en-GB"/>
              </w:rPr>
              <w:t>Cambridge</w:t>
            </w:r>
          </w:p>
        </w:tc>
        <w:tc>
          <w:tcPr>
            <w:tcW w:w="1451" w:type="dxa"/>
            <w:shd w:val="clear" w:color="auto" w:fill="auto"/>
            <w:noWrap/>
            <w:hideMark/>
          </w:tcPr>
          <w:p w14:paraId="57A02932"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298</w:t>
            </w:r>
          </w:p>
        </w:tc>
        <w:tc>
          <w:tcPr>
            <w:tcW w:w="1451" w:type="dxa"/>
            <w:shd w:val="clear" w:color="auto" w:fill="auto"/>
            <w:noWrap/>
            <w:hideMark/>
          </w:tcPr>
          <w:p w14:paraId="36594CAA"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537</w:t>
            </w:r>
          </w:p>
        </w:tc>
        <w:tc>
          <w:tcPr>
            <w:tcW w:w="1452" w:type="dxa"/>
            <w:shd w:val="clear" w:color="auto" w:fill="auto"/>
            <w:noWrap/>
            <w:hideMark/>
          </w:tcPr>
          <w:p w14:paraId="1ADEE602"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836</w:t>
            </w:r>
          </w:p>
        </w:tc>
        <w:tc>
          <w:tcPr>
            <w:tcW w:w="1451" w:type="dxa"/>
            <w:shd w:val="clear" w:color="auto" w:fill="auto"/>
            <w:hideMark/>
          </w:tcPr>
          <w:p w14:paraId="742AA2CE"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13,160</w:t>
            </w:r>
          </w:p>
        </w:tc>
        <w:tc>
          <w:tcPr>
            <w:tcW w:w="1452" w:type="dxa"/>
            <w:shd w:val="clear" w:color="auto" w:fill="auto"/>
            <w:hideMark/>
          </w:tcPr>
          <w:p w14:paraId="22B4AF00"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6.40%</w:t>
            </w:r>
          </w:p>
        </w:tc>
      </w:tr>
      <w:tr w:rsidR="00DC44CE" w:rsidRPr="00DC44CE" w14:paraId="52BCF7BA"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09F3AA40" w14:textId="77777777" w:rsidR="00DC44CE" w:rsidRPr="00DC44CE" w:rsidRDefault="00DC44CE" w:rsidP="00DC44CE">
            <w:pPr>
              <w:rPr>
                <w:color w:val="000000"/>
                <w:lang w:eastAsia="en-GB"/>
              </w:rPr>
            </w:pPr>
            <w:r w:rsidRPr="00DC44CE">
              <w:rPr>
                <w:color w:val="000000"/>
                <w:lang w:eastAsia="en-GB"/>
              </w:rPr>
              <w:t>East Cambs</w:t>
            </w:r>
          </w:p>
        </w:tc>
        <w:tc>
          <w:tcPr>
            <w:tcW w:w="1451" w:type="dxa"/>
            <w:shd w:val="clear" w:color="auto" w:fill="auto"/>
            <w:noWrap/>
            <w:hideMark/>
          </w:tcPr>
          <w:p w14:paraId="63D71783"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282</w:t>
            </w:r>
          </w:p>
        </w:tc>
        <w:tc>
          <w:tcPr>
            <w:tcW w:w="1451" w:type="dxa"/>
            <w:shd w:val="clear" w:color="auto" w:fill="auto"/>
            <w:noWrap/>
            <w:hideMark/>
          </w:tcPr>
          <w:p w14:paraId="4DADFA9E"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697</w:t>
            </w:r>
          </w:p>
        </w:tc>
        <w:tc>
          <w:tcPr>
            <w:tcW w:w="1452" w:type="dxa"/>
            <w:shd w:val="clear" w:color="auto" w:fill="auto"/>
            <w:noWrap/>
            <w:hideMark/>
          </w:tcPr>
          <w:p w14:paraId="26746D2C"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979</w:t>
            </w:r>
          </w:p>
        </w:tc>
        <w:tc>
          <w:tcPr>
            <w:tcW w:w="1451" w:type="dxa"/>
            <w:shd w:val="clear" w:color="auto" w:fill="auto"/>
            <w:hideMark/>
          </w:tcPr>
          <w:p w14:paraId="5B8CE86E"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11,940</w:t>
            </w:r>
          </w:p>
        </w:tc>
        <w:tc>
          <w:tcPr>
            <w:tcW w:w="1452" w:type="dxa"/>
            <w:shd w:val="clear" w:color="auto" w:fill="auto"/>
            <w:hideMark/>
          </w:tcPr>
          <w:p w14:paraId="47BDADAF"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8.20%</w:t>
            </w:r>
          </w:p>
        </w:tc>
      </w:tr>
      <w:tr w:rsidR="00DC44CE" w:rsidRPr="00DC44CE" w14:paraId="65A3477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36787CA7" w14:textId="77777777" w:rsidR="00DC44CE" w:rsidRPr="00DC44CE" w:rsidRDefault="00DC44CE" w:rsidP="00DC44CE">
            <w:pPr>
              <w:rPr>
                <w:color w:val="000000"/>
                <w:lang w:eastAsia="en-GB"/>
              </w:rPr>
            </w:pPr>
            <w:r w:rsidRPr="00DC44CE">
              <w:rPr>
                <w:color w:val="000000"/>
                <w:lang w:eastAsia="en-GB"/>
              </w:rPr>
              <w:t>Fenland</w:t>
            </w:r>
          </w:p>
        </w:tc>
        <w:tc>
          <w:tcPr>
            <w:tcW w:w="1451" w:type="dxa"/>
            <w:shd w:val="clear" w:color="auto" w:fill="auto"/>
            <w:noWrap/>
            <w:hideMark/>
          </w:tcPr>
          <w:p w14:paraId="4752E397"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451</w:t>
            </w:r>
          </w:p>
        </w:tc>
        <w:tc>
          <w:tcPr>
            <w:tcW w:w="1451" w:type="dxa"/>
            <w:shd w:val="clear" w:color="auto" w:fill="auto"/>
            <w:noWrap/>
            <w:hideMark/>
          </w:tcPr>
          <w:p w14:paraId="51F1F84A"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816</w:t>
            </w:r>
          </w:p>
        </w:tc>
        <w:tc>
          <w:tcPr>
            <w:tcW w:w="1452" w:type="dxa"/>
            <w:shd w:val="clear" w:color="auto" w:fill="auto"/>
            <w:noWrap/>
            <w:hideMark/>
          </w:tcPr>
          <w:p w14:paraId="4ACEFFF4"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1,267</w:t>
            </w:r>
          </w:p>
        </w:tc>
        <w:tc>
          <w:tcPr>
            <w:tcW w:w="1451" w:type="dxa"/>
            <w:shd w:val="clear" w:color="auto" w:fill="auto"/>
            <w:hideMark/>
          </w:tcPr>
          <w:p w14:paraId="023E2204"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10,760</w:t>
            </w:r>
          </w:p>
        </w:tc>
        <w:tc>
          <w:tcPr>
            <w:tcW w:w="1452" w:type="dxa"/>
            <w:shd w:val="clear" w:color="auto" w:fill="auto"/>
            <w:hideMark/>
          </w:tcPr>
          <w:p w14:paraId="24AB95EC"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11.80%</w:t>
            </w:r>
          </w:p>
        </w:tc>
      </w:tr>
      <w:tr w:rsidR="00DC44CE" w:rsidRPr="00DC44CE" w14:paraId="30648B9F"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43FA8590" w14:textId="77777777" w:rsidR="00DC44CE" w:rsidRPr="00DC44CE" w:rsidRDefault="00DC44CE" w:rsidP="00DC44CE">
            <w:pPr>
              <w:rPr>
                <w:color w:val="000000"/>
                <w:lang w:eastAsia="en-GB"/>
              </w:rPr>
            </w:pPr>
            <w:r w:rsidRPr="00DC44CE">
              <w:rPr>
                <w:color w:val="000000"/>
                <w:lang w:eastAsia="en-GB"/>
              </w:rPr>
              <w:t>Huntingdonshire</w:t>
            </w:r>
          </w:p>
        </w:tc>
        <w:tc>
          <w:tcPr>
            <w:tcW w:w="1451" w:type="dxa"/>
            <w:shd w:val="clear" w:color="auto" w:fill="auto"/>
            <w:noWrap/>
            <w:hideMark/>
          </w:tcPr>
          <w:p w14:paraId="7CE2C884"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502</w:t>
            </w:r>
          </w:p>
        </w:tc>
        <w:tc>
          <w:tcPr>
            <w:tcW w:w="1451" w:type="dxa"/>
            <w:shd w:val="clear" w:color="auto" w:fill="auto"/>
            <w:noWrap/>
            <w:hideMark/>
          </w:tcPr>
          <w:p w14:paraId="23335CAD"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1,360</w:t>
            </w:r>
          </w:p>
        </w:tc>
        <w:tc>
          <w:tcPr>
            <w:tcW w:w="1452" w:type="dxa"/>
            <w:shd w:val="clear" w:color="auto" w:fill="auto"/>
            <w:noWrap/>
            <w:hideMark/>
          </w:tcPr>
          <w:p w14:paraId="047721E8"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1,862</w:t>
            </w:r>
          </w:p>
        </w:tc>
        <w:tc>
          <w:tcPr>
            <w:tcW w:w="1451" w:type="dxa"/>
            <w:shd w:val="clear" w:color="auto" w:fill="auto"/>
            <w:hideMark/>
          </w:tcPr>
          <w:p w14:paraId="695C7893"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19,520</w:t>
            </w:r>
          </w:p>
        </w:tc>
        <w:tc>
          <w:tcPr>
            <w:tcW w:w="1452" w:type="dxa"/>
            <w:shd w:val="clear" w:color="auto" w:fill="auto"/>
            <w:hideMark/>
          </w:tcPr>
          <w:p w14:paraId="1B8AA18E"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9.50%</w:t>
            </w:r>
          </w:p>
        </w:tc>
      </w:tr>
      <w:tr w:rsidR="00DC44CE" w:rsidRPr="00DC44CE" w14:paraId="723643CC"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1C4D0DBC" w14:textId="77777777" w:rsidR="00DC44CE" w:rsidRPr="00DC44CE" w:rsidRDefault="00DC44CE" w:rsidP="00DC44CE">
            <w:pPr>
              <w:rPr>
                <w:color w:val="000000"/>
                <w:lang w:eastAsia="en-GB"/>
              </w:rPr>
            </w:pPr>
            <w:r w:rsidRPr="00DC44CE">
              <w:rPr>
                <w:color w:val="000000"/>
                <w:lang w:eastAsia="en-GB"/>
              </w:rPr>
              <w:t>South Cambs</w:t>
            </w:r>
          </w:p>
        </w:tc>
        <w:tc>
          <w:tcPr>
            <w:tcW w:w="1451" w:type="dxa"/>
            <w:shd w:val="clear" w:color="auto" w:fill="auto"/>
            <w:noWrap/>
            <w:hideMark/>
          </w:tcPr>
          <w:p w14:paraId="531496E6"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428</w:t>
            </w:r>
          </w:p>
        </w:tc>
        <w:tc>
          <w:tcPr>
            <w:tcW w:w="1451" w:type="dxa"/>
            <w:shd w:val="clear" w:color="auto" w:fill="auto"/>
            <w:noWrap/>
            <w:hideMark/>
          </w:tcPr>
          <w:p w14:paraId="57EDD8D5"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1,003</w:t>
            </w:r>
          </w:p>
        </w:tc>
        <w:tc>
          <w:tcPr>
            <w:tcW w:w="1452" w:type="dxa"/>
            <w:shd w:val="clear" w:color="auto" w:fill="auto"/>
            <w:noWrap/>
            <w:hideMark/>
          </w:tcPr>
          <w:p w14:paraId="5AA45711"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1,430</w:t>
            </w:r>
          </w:p>
        </w:tc>
        <w:tc>
          <w:tcPr>
            <w:tcW w:w="1451" w:type="dxa"/>
            <w:shd w:val="clear" w:color="auto" w:fill="auto"/>
            <w:hideMark/>
          </w:tcPr>
          <w:p w14:paraId="6DAD1265"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21,700</w:t>
            </w:r>
          </w:p>
        </w:tc>
        <w:tc>
          <w:tcPr>
            <w:tcW w:w="1452" w:type="dxa"/>
            <w:shd w:val="clear" w:color="auto" w:fill="auto"/>
            <w:hideMark/>
          </w:tcPr>
          <w:p w14:paraId="23A7AA20"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6.60%</w:t>
            </w:r>
          </w:p>
        </w:tc>
      </w:tr>
      <w:tr w:rsidR="00DC44CE" w:rsidRPr="00DC44CE" w14:paraId="4C7B6196"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26D3CF77" w14:textId="77777777" w:rsidR="00DC44CE" w:rsidRPr="00DC44CE" w:rsidRDefault="00DC44CE" w:rsidP="00DC44CE">
            <w:pPr>
              <w:rPr>
                <w:color w:val="000000"/>
                <w:lang w:eastAsia="en-GB"/>
              </w:rPr>
            </w:pPr>
            <w:r w:rsidRPr="00DC44CE">
              <w:rPr>
                <w:color w:val="000000"/>
                <w:lang w:eastAsia="en-GB"/>
              </w:rPr>
              <w:t>West Suffolk</w:t>
            </w:r>
          </w:p>
        </w:tc>
        <w:tc>
          <w:tcPr>
            <w:tcW w:w="1451" w:type="dxa"/>
            <w:shd w:val="clear" w:color="auto" w:fill="auto"/>
            <w:noWrap/>
            <w:hideMark/>
          </w:tcPr>
          <w:p w14:paraId="26CAC081"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592</w:t>
            </w:r>
          </w:p>
        </w:tc>
        <w:tc>
          <w:tcPr>
            <w:tcW w:w="1451" w:type="dxa"/>
            <w:shd w:val="clear" w:color="auto" w:fill="auto"/>
            <w:noWrap/>
            <w:hideMark/>
          </w:tcPr>
          <w:p w14:paraId="4B47D826"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1,280</w:t>
            </w:r>
          </w:p>
        </w:tc>
        <w:tc>
          <w:tcPr>
            <w:tcW w:w="1452" w:type="dxa"/>
            <w:shd w:val="clear" w:color="auto" w:fill="auto"/>
            <w:noWrap/>
            <w:hideMark/>
          </w:tcPr>
          <w:p w14:paraId="1E3C07FE"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1,872</w:t>
            </w:r>
          </w:p>
        </w:tc>
        <w:tc>
          <w:tcPr>
            <w:tcW w:w="1451" w:type="dxa"/>
            <w:shd w:val="clear" w:color="auto" w:fill="auto"/>
            <w:hideMark/>
          </w:tcPr>
          <w:p w14:paraId="000B5B1E"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16,000</w:t>
            </w:r>
          </w:p>
        </w:tc>
        <w:tc>
          <w:tcPr>
            <w:tcW w:w="1452" w:type="dxa"/>
            <w:shd w:val="clear" w:color="auto" w:fill="auto"/>
            <w:hideMark/>
          </w:tcPr>
          <w:p w14:paraId="4EB33815"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11.70%</w:t>
            </w:r>
          </w:p>
        </w:tc>
      </w:tr>
      <w:tr w:rsidR="00DC44CE" w:rsidRPr="00DC44CE" w14:paraId="3A140EDA"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673" w:type="dxa"/>
            <w:shd w:val="clear" w:color="auto" w:fill="auto"/>
            <w:hideMark/>
          </w:tcPr>
          <w:p w14:paraId="345B8472" w14:textId="77777777" w:rsidR="00DC44CE" w:rsidRPr="00DC44CE" w:rsidRDefault="00DC44CE" w:rsidP="00DC44CE">
            <w:pPr>
              <w:rPr>
                <w:color w:val="000000"/>
                <w:lang w:eastAsia="en-GB"/>
              </w:rPr>
            </w:pPr>
            <w:r w:rsidRPr="00DC44CE">
              <w:rPr>
                <w:color w:val="000000"/>
                <w:lang w:eastAsia="en-GB"/>
              </w:rPr>
              <w:t>HMA</w:t>
            </w:r>
          </w:p>
        </w:tc>
        <w:tc>
          <w:tcPr>
            <w:tcW w:w="1451" w:type="dxa"/>
            <w:shd w:val="clear" w:color="auto" w:fill="auto"/>
            <w:noWrap/>
            <w:hideMark/>
          </w:tcPr>
          <w:p w14:paraId="35F4D1CC"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2,555</w:t>
            </w:r>
          </w:p>
        </w:tc>
        <w:tc>
          <w:tcPr>
            <w:tcW w:w="1451" w:type="dxa"/>
            <w:shd w:val="clear" w:color="auto" w:fill="auto"/>
            <w:noWrap/>
            <w:hideMark/>
          </w:tcPr>
          <w:p w14:paraId="0C21446C"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5,723</w:t>
            </w:r>
          </w:p>
        </w:tc>
        <w:tc>
          <w:tcPr>
            <w:tcW w:w="1452" w:type="dxa"/>
            <w:shd w:val="clear" w:color="auto" w:fill="auto"/>
            <w:noWrap/>
            <w:hideMark/>
          </w:tcPr>
          <w:p w14:paraId="734A9762"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8,278</w:t>
            </w:r>
          </w:p>
        </w:tc>
        <w:tc>
          <w:tcPr>
            <w:tcW w:w="1451" w:type="dxa"/>
            <w:shd w:val="clear" w:color="auto" w:fill="auto"/>
            <w:hideMark/>
          </w:tcPr>
          <w:p w14:paraId="0F9E74A1"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93,080</w:t>
            </w:r>
          </w:p>
        </w:tc>
        <w:tc>
          <w:tcPr>
            <w:tcW w:w="1452" w:type="dxa"/>
            <w:shd w:val="clear" w:color="auto" w:fill="auto"/>
            <w:hideMark/>
          </w:tcPr>
          <w:p w14:paraId="4CECF8DD" w14:textId="77777777" w:rsidR="00DC44CE" w:rsidRPr="00DC44CE" w:rsidRDefault="00DC44CE" w:rsidP="00DC44CE">
            <w:pPr>
              <w:cnfStyle w:val="000000000000" w:firstRow="0" w:lastRow="0" w:firstColumn="0" w:lastColumn="0" w:oddVBand="0" w:evenVBand="0" w:oddHBand="0" w:evenHBand="0" w:firstRowFirstColumn="0" w:firstRowLastColumn="0" w:lastRowFirstColumn="0" w:lastRowLastColumn="0"/>
              <w:rPr>
                <w:color w:val="000000"/>
                <w:lang w:eastAsia="en-GB"/>
              </w:rPr>
            </w:pPr>
            <w:r w:rsidRPr="00DC44CE">
              <w:rPr>
                <w:color w:val="000000"/>
                <w:lang w:eastAsia="en-GB"/>
              </w:rPr>
              <w:t>8.90%</w:t>
            </w:r>
          </w:p>
        </w:tc>
      </w:tr>
    </w:tbl>
    <w:p w14:paraId="7089E834" w14:textId="6D6D56D2" w:rsidR="00C7292A" w:rsidRPr="00047466" w:rsidRDefault="00C7292A" w:rsidP="00FE37EA">
      <w:pPr>
        <w:pStyle w:val="11Bodytext"/>
        <w:numPr>
          <w:ilvl w:val="0"/>
          <w:numId w:val="0"/>
        </w:numPr>
        <w:spacing w:before="0"/>
        <w:ind w:left="709"/>
      </w:pPr>
      <w:r w:rsidRPr="00047466">
        <w:t>Source: Derived from demographic projection</w:t>
      </w:r>
      <w:r w:rsidR="00DC44CE">
        <w:t>s, EHS and Census 2011</w:t>
      </w:r>
    </w:p>
    <w:p w14:paraId="759E0048" w14:textId="77777777" w:rsidR="00C7292A" w:rsidRDefault="00C7292A" w:rsidP="008E5DB4">
      <w:pPr>
        <w:pStyle w:val="ListParagraph"/>
      </w:pPr>
      <w:r w:rsidRPr="00583FF7">
        <w:t>Drawing this information together there is a need to increase the supply of M4(2) accessible and adaptable dwellings and M4(3) wheelchair user dwellings. In seeking M4(2) compliant homes, the Councils should also be mindful that such homes could be considered as ‘homes for life’ and would be suitable for any occupant, regardless of whether or not they have a health problem or disability at the time of initial occupation.</w:t>
      </w:r>
    </w:p>
    <w:p w14:paraId="497DD1DA" w14:textId="77777777" w:rsidR="00C7292A" w:rsidRPr="00583FF7" w:rsidRDefault="00C7292A" w:rsidP="008E5DB4">
      <w:pPr>
        <w:ind w:left="426"/>
      </w:pPr>
    </w:p>
    <w:p w14:paraId="02E6192B" w14:textId="3B27AA6D" w:rsidR="00E8777B" w:rsidRPr="00972A9E" w:rsidRDefault="00E8777B" w:rsidP="008E5DB4">
      <w:pPr>
        <w:pStyle w:val="ListParagraph"/>
        <w:rPr>
          <w:b/>
          <w:bCs/>
        </w:rPr>
      </w:pPr>
      <w:bookmarkStart w:id="11" w:name="_Hlk56694161"/>
      <w:r w:rsidRPr="00972A9E">
        <w:rPr>
          <w:b/>
          <w:bCs/>
        </w:rPr>
        <w:t xml:space="preserve">Recommendation: </w:t>
      </w:r>
      <w:r w:rsidR="00C265B9" w:rsidRPr="00972A9E">
        <w:rPr>
          <w:b/>
          <w:bCs/>
        </w:rPr>
        <w:t>Where possible a</w:t>
      </w:r>
      <w:r w:rsidRPr="00972A9E">
        <w:rPr>
          <w:b/>
          <w:bCs/>
        </w:rPr>
        <w:t>ll new homes should be M4(2) compliant</w:t>
      </w:r>
      <w:r w:rsidR="00AD4D59" w:rsidRPr="00972A9E">
        <w:rPr>
          <w:b/>
          <w:bCs/>
        </w:rPr>
        <w:t xml:space="preserve"> to ensure homes are future proofed</w:t>
      </w:r>
      <w:r w:rsidRPr="00972A9E">
        <w:rPr>
          <w:b/>
          <w:bCs/>
        </w:rPr>
        <w:t xml:space="preserve">.  </w:t>
      </w:r>
      <w:r w:rsidR="00EE75F6" w:rsidRPr="00972A9E">
        <w:rPr>
          <w:b/>
          <w:bCs/>
        </w:rPr>
        <w:t>The</w:t>
      </w:r>
      <w:r w:rsidRPr="00972A9E">
        <w:rPr>
          <w:b/>
          <w:bCs/>
        </w:rPr>
        <w:t xml:space="preserve"> Councils should also seek 10% of all new market homes and 25% of affordable homes to be M4(3) compliant. Higher numbers may also be considered but in all cases the numbers applied in policy should be viability tested.</w:t>
      </w:r>
    </w:p>
    <w:bookmarkEnd w:id="11"/>
    <w:p w14:paraId="4226980C" w14:textId="77777777" w:rsidR="00C7292A" w:rsidRPr="00583FF7" w:rsidRDefault="00C7292A" w:rsidP="008E5DB4">
      <w:pPr>
        <w:ind w:left="426"/>
      </w:pPr>
    </w:p>
    <w:p w14:paraId="5DA3CDB6" w14:textId="6AE8C6EB" w:rsidR="00C7292A" w:rsidRPr="00583FF7" w:rsidRDefault="00C7292A" w:rsidP="008E5DB4">
      <w:pPr>
        <w:pStyle w:val="ListParagraph"/>
      </w:pPr>
      <w:r w:rsidRPr="00583FF7">
        <w:t>Th</w:t>
      </w:r>
      <w:r w:rsidR="00C265B9">
        <w:t>e different target for affordable and market homes</w:t>
      </w:r>
      <w:r w:rsidRPr="00583FF7">
        <w:t xml:space="preserve"> reflect</w:t>
      </w:r>
      <w:r w:rsidR="000740AB">
        <w:t>s</w:t>
      </w:r>
      <w:r w:rsidRPr="00583FF7">
        <w:t xml:space="preserve"> a number of issues includi</w:t>
      </w:r>
      <w:r w:rsidR="00C265B9">
        <w:t xml:space="preserve">ng </w:t>
      </w:r>
      <w:r w:rsidRPr="00583FF7">
        <w:t xml:space="preserve">restrictions on the tenure </w:t>
      </w:r>
      <w:r>
        <w:t xml:space="preserve">to which </w:t>
      </w:r>
      <w:r w:rsidRPr="00583FF7">
        <w:t>wheelchair accessible homes standards are applied (</w:t>
      </w:r>
      <w:proofErr w:type="gramStart"/>
      <w:r w:rsidRPr="00583FF7">
        <w:t>i.e.</w:t>
      </w:r>
      <w:proofErr w:type="gramEnd"/>
      <w:r w:rsidRPr="00583FF7">
        <w:t xml:space="preserve"> only to those dwellings where the local authority is responsible for allocating or nominating a person to live in that dwelling) and higher prevalence of wheelchair use within the social</w:t>
      </w:r>
      <w:r w:rsidR="59AAC810" w:rsidRPr="4BE75AA4">
        <w:t>/affordable</w:t>
      </w:r>
      <w:r w:rsidRPr="00583FF7">
        <w:t xml:space="preserve"> rent sector.</w:t>
      </w:r>
      <w:r w:rsidR="00C265B9">
        <w:t xml:space="preserve">  The difference between the HMA wide need and the local authority level needs are not sufficiently different to adopt local targets.</w:t>
      </w:r>
      <w:r w:rsidR="00615F7D">
        <w:t xml:space="preserve"> This is, however, ultimately a matter for each authority to decide.</w:t>
      </w:r>
    </w:p>
    <w:p w14:paraId="50712902" w14:textId="2C602449" w:rsidR="0017211E" w:rsidRPr="00A041A7" w:rsidRDefault="00C7292A" w:rsidP="00FE37EA">
      <w:pPr>
        <w:pStyle w:val="Heading2"/>
        <w:ind w:left="0"/>
      </w:pPr>
      <w:r w:rsidRPr="00A226E6">
        <w:t>Student Accommodation</w:t>
      </w:r>
    </w:p>
    <w:p w14:paraId="256D1B0E" w14:textId="2AD3AFCC" w:rsidR="006937D3" w:rsidRPr="00A041A7" w:rsidRDefault="0017211E" w:rsidP="008E5DB4">
      <w:pPr>
        <w:pStyle w:val="ListParagraph"/>
      </w:pPr>
      <w:r>
        <w:t>T</w:t>
      </w:r>
      <w:r w:rsidR="006937D3" w:rsidRPr="00A041A7">
        <w:t xml:space="preserve">he University of Cambridge and the </w:t>
      </w:r>
      <w:r w:rsidR="00C265B9">
        <w:t>main (</w:t>
      </w:r>
      <w:r w:rsidR="006937D3" w:rsidRPr="00A041A7">
        <w:t>Cambridge</w:t>
      </w:r>
      <w:r w:rsidR="00C265B9">
        <w:t>)</w:t>
      </w:r>
      <w:r w:rsidR="006937D3" w:rsidRPr="00A041A7">
        <w:t xml:space="preserve"> </w:t>
      </w:r>
      <w:r w:rsidR="00C265B9">
        <w:t>c</w:t>
      </w:r>
      <w:r w:rsidR="006937D3" w:rsidRPr="00A041A7">
        <w:t>ampus of Anglia Ruskin University are located within the HMA. The University of Suffolk also has a small campus in Bury St Edm</w:t>
      </w:r>
      <w:r w:rsidR="0029242A">
        <w:t>u</w:t>
      </w:r>
      <w:r w:rsidR="006937D3" w:rsidRPr="00A041A7">
        <w:t>nds.</w:t>
      </w:r>
    </w:p>
    <w:p w14:paraId="65B3B8C8" w14:textId="77777777" w:rsidR="006937D3" w:rsidRPr="00A041A7" w:rsidRDefault="006937D3" w:rsidP="008E5DB4">
      <w:pPr>
        <w:ind w:left="426"/>
      </w:pPr>
    </w:p>
    <w:p w14:paraId="3AC4C28C" w14:textId="6312DB09" w:rsidR="006937D3" w:rsidRPr="00A041A7" w:rsidRDefault="006937D3" w:rsidP="008E5DB4">
      <w:pPr>
        <w:pStyle w:val="ListParagraph"/>
      </w:pPr>
      <w:r w:rsidRPr="00A041A7">
        <w:t xml:space="preserve">We have analysed data from </w:t>
      </w:r>
      <w:r w:rsidR="00C265B9">
        <w:t>the Higher Education Statistics Authority</w:t>
      </w:r>
      <w:r w:rsidR="0043401E">
        <w:t xml:space="preserve"> </w:t>
      </w:r>
      <w:r w:rsidRPr="00A041A7">
        <w:t>and available online statistics from the Universities websites together with the 2017 Student Accommodation Study undertaken by the Cambridge Centre for Housing and Planning Research covering the 2016-26 period.</w:t>
      </w:r>
    </w:p>
    <w:p w14:paraId="2968524C" w14:textId="77777777" w:rsidR="006937D3" w:rsidRPr="00A041A7" w:rsidRDefault="006937D3" w:rsidP="008E5DB4">
      <w:pPr>
        <w:ind w:left="426"/>
      </w:pPr>
    </w:p>
    <w:p w14:paraId="7D2665E4" w14:textId="77777777" w:rsidR="004F4BA7" w:rsidRDefault="004F4BA7">
      <w:pPr>
        <w:spacing w:after="200"/>
        <w:rPr>
          <w:color w:val="auto"/>
          <w:sz w:val="24"/>
          <w:szCs w:val="24"/>
        </w:rPr>
      </w:pPr>
      <w:r>
        <w:br w:type="page"/>
      </w:r>
    </w:p>
    <w:p w14:paraId="028AA6D5" w14:textId="507D9769" w:rsidR="006937D3" w:rsidRPr="00A041A7" w:rsidRDefault="006937D3" w:rsidP="008E5DB4">
      <w:pPr>
        <w:pStyle w:val="ListParagraph"/>
      </w:pPr>
      <w:r w:rsidRPr="007C4F65">
        <w:lastRenderedPageBreak/>
        <w:t xml:space="preserve">The research suggests that Anglia Ruskin University is planning </w:t>
      </w:r>
      <w:r w:rsidRPr="00AC12C5">
        <w:t>to remain at the same studen</w:t>
      </w:r>
      <w:r w:rsidRPr="00717780">
        <w:t xml:space="preserve">t numbers in Cambridge over the next five to ten years. </w:t>
      </w:r>
      <w:r w:rsidR="00C265B9">
        <w:t xml:space="preserve"> </w:t>
      </w:r>
      <w:r w:rsidRPr="00A041A7">
        <w:t xml:space="preserve">The University of Cambridge’s current </w:t>
      </w:r>
      <w:r w:rsidR="00C265B9">
        <w:t xml:space="preserve">(pre-Covid) </w:t>
      </w:r>
      <w:r w:rsidRPr="00A041A7">
        <w:t>planning framework envisages an expansion in undergraduate numbers of 0.5% per year for the next ten years and postgraduate numbers of 2% per year</w:t>
      </w:r>
      <w:r w:rsidR="00B84157">
        <w:t>.</w:t>
      </w:r>
    </w:p>
    <w:p w14:paraId="1C2EF58D" w14:textId="77777777" w:rsidR="006937D3" w:rsidRPr="00A041A7" w:rsidRDefault="006937D3" w:rsidP="008E5DB4">
      <w:pPr>
        <w:ind w:left="426"/>
      </w:pPr>
    </w:p>
    <w:p w14:paraId="0AAAC3B3" w14:textId="7B1593E9" w:rsidR="006937D3" w:rsidRPr="00A041A7" w:rsidRDefault="006937D3" w:rsidP="008E5DB4">
      <w:pPr>
        <w:pStyle w:val="ListParagraph"/>
      </w:pPr>
      <w:r w:rsidRPr="007C4F65">
        <w:t>The research</w:t>
      </w:r>
      <w:r w:rsidRPr="00AC12C5">
        <w:t xml:space="preserve"> concludes that a total of 8,959 student bedspaces would need to be built</w:t>
      </w:r>
      <w:r w:rsidRPr="00717780">
        <w:t xml:space="preserve"> in purpose-built student accommodation by 2026 </w:t>
      </w:r>
      <w:r w:rsidRPr="000A484C">
        <w:t xml:space="preserve">to meet the current (6,085) and future (2,874) demand. </w:t>
      </w:r>
      <w:r w:rsidR="001141DA">
        <w:t>Extrapolating this to the</w:t>
      </w:r>
      <w:r w:rsidRPr="00A041A7">
        <w:t xml:space="preserve"> 2040/41 academic year</w:t>
      </w:r>
      <w:r w:rsidR="001141DA">
        <w:t xml:space="preserve"> increases the future need to </w:t>
      </w:r>
      <w:r w:rsidRPr="00A041A7">
        <w:t xml:space="preserve">3,571 student </w:t>
      </w:r>
      <w:r w:rsidR="001141DA">
        <w:t>bedspaces</w:t>
      </w:r>
      <w:r w:rsidRPr="00A041A7">
        <w:t xml:space="preserve">. </w:t>
      </w:r>
    </w:p>
    <w:p w14:paraId="54225DBA" w14:textId="77777777" w:rsidR="006937D3" w:rsidRPr="00A041A7" w:rsidRDefault="006937D3" w:rsidP="008E5DB4">
      <w:pPr>
        <w:ind w:left="426"/>
      </w:pPr>
    </w:p>
    <w:p w14:paraId="45728F26" w14:textId="2AEE1251" w:rsidR="006937D3" w:rsidRPr="00A041A7" w:rsidRDefault="006937D3" w:rsidP="008E5DB4">
      <w:pPr>
        <w:pStyle w:val="ListParagraph"/>
      </w:pPr>
      <w:r w:rsidRPr="00972A9E">
        <w:rPr>
          <w:b/>
          <w:bCs/>
        </w:rPr>
        <w:t xml:space="preserve">Recommendation: The Greater Cambridge authorities should plan to deliver </w:t>
      </w:r>
      <w:r w:rsidR="008E406B" w:rsidRPr="00972A9E">
        <w:rPr>
          <w:b/>
          <w:bCs/>
        </w:rPr>
        <w:t xml:space="preserve">purpose built student accommodation (i.e., halls of residence or </w:t>
      </w:r>
      <w:r w:rsidR="00B730D2" w:rsidRPr="00972A9E">
        <w:rPr>
          <w:b/>
          <w:bCs/>
        </w:rPr>
        <w:t>communal student accommodation for their exclusive use)</w:t>
      </w:r>
      <w:r w:rsidR="00D75C65" w:rsidRPr="00972A9E">
        <w:rPr>
          <w:b/>
          <w:bCs/>
        </w:rPr>
        <w:t xml:space="preserve"> </w:t>
      </w:r>
      <w:r w:rsidRPr="00972A9E">
        <w:rPr>
          <w:b/>
          <w:bCs/>
        </w:rPr>
        <w:t>which is at least in line with the growth of the Universities student body (3,571 bedspaces by 2040).</w:t>
      </w:r>
      <w:r w:rsidRPr="00A041A7">
        <w:t xml:space="preserve">  It should also encourage further delivery (up to 6,085 bedspaces) to encourage the release of shared housing back into the wider housing stock.</w:t>
      </w:r>
    </w:p>
    <w:p w14:paraId="56EA71D4" w14:textId="77777777" w:rsidR="006937D3" w:rsidRPr="00A041A7" w:rsidRDefault="006937D3" w:rsidP="008E5DB4">
      <w:pPr>
        <w:ind w:left="426"/>
      </w:pPr>
    </w:p>
    <w:p w14:paraId="4D3FBF9A" w14:textId="62CDF9F6" w:rsidR="00C7292A" w:rsidRPr="00185BEA" w:rsidRDefault="006937D3" w:rsidP="008E5DB4">
      <w:pPr>
        <w:pStyle w:val="ListParagraph"/>
      </w:pPr>
      <w:r w:rsidRPr="00185BEA">
        <w:t>Any development being proposed which relates to purpose buil</w:t>
      </w:r>
      <w:r w:rsidR="001141DA" w:rsidRPr="00B730D2">
        <w:t>t</w:t>
      </w:r>
      <w:r w:rsidRPr="00B730D2">
        <w:t xml:space="preserve"> student accommodation should be judged on its merits alongside an assessment of local demand. The developer should also demonstrate an agreement with a higher education provider.</w:t>
      </w:r>
      <w:r w:rsidR="00667C27" w:rsidRPr="00B730D2">
        <w:t xml:space="preserve"> </w:t>
      </w:r>
    </w:p>
    <w:p w14:paraId="02073F21" w14:textId="77777777" w:rsidR="00B726BD" w:rsidRDefault="00C7292A" w:rsidP="00FE37EA">
      <w:pPr>
        <w:pStyle w:val="Heading2"/>
        <w:ind w:left="0"/>
      </w:pPr>
      <w:r w:rsidRPr="00A226E6">
        <w:t>People who rent their properties</w:t>
      </w:r>
    </w:p>
    <w:p w14:paraId="21A6428D" w14:textId="4144A8A9" w:rsidR="00C7292A" w:rsidRPr="00A226E6" w:rsidRDefault="00C7292A" w:rsidP="00B726BD">
      <w:pPr>
        <w:spacing w:before="120"/>
        <w:ind w:firstLine="426"/>
        <w:rPr>
          <w:b/>
          <w:bCs/>
          <w:color w:val="0093D5"/>
        </w:rPr>
      </w:pPr>
      <w:r>
        <w:rPr>
          <w:b/>
          <w:bCs/>
          <w:color w:val="0093D5"/>
        </w:rPr>
        <w:tab/>
      </w:r>
    </w:p>
    <w:p w14:paraId="0253D944" w14:textId="26DF5FE1" w:rsidR="00C7292A" w:rsidRPr="008B0419" w:rsidRDefault="00C7292A" w:rsidP="008E5DB4">
      <w:pPr>
        <w:pStyle w:val="ListParagraph"/>
      </w:pPr>
      <w:r w:rsidRPr="008B0419">
        <w:t xml:space="preserve">The private rental sector </w:t>
      </w:r>
      <w:r w:rsidR="001141DA">
        <w:t xml:space="preserve">in </w:t>
      </w:r>
      <w:r w:rsidRPr="008B0419">
        <w:t>Cambridge</w:t>
      </w:r>
      <w:r w:rsidR="00AD256A">
        <w:t>shire</w:t>
      </w:r>
      <w:r w:rsidRPr="008B0419">
        <w:t xml:space="preserve"> and West Suffolk</w:t>
      </w:r>
      <w:r w:rsidR="001141DA">
        <w:t xml:space="preserve"> </w:t>
      </w:r>
      <w:r w:rsidR="001141DA" w:rsidRPr="008B0419">
        <w:t xml:space="preserve">has grown </w:t>
      </w:r>
      <w:r w:rsidR="001141DA">
        <w:t xml:space="preserve">by </w:t>
      </w:r>
      <w:r w:rsidRPr="008B0419">
        <w:t>101%</w:t>
      </w:r>
      <w:r w:rsidR="001141DA">
        <w:t xml:space="preserve"> between 2001 and 2011.  This is a</w:t>
      </w:r>
      <w:r w:rsidRPr="008B0419">
        <w:t xml:space="preserve"> lower growth than the rest of the East of England region (111%) and England as a whole (107%).</w:t>
      </w:r>
      <w:r w:rsidR="0019363C">
        <w:t xml:space="preserve">  Much of this growth has been supported by a growth in buy to let landlords rather than the build to rent sector.</w:t>
      </w:r>
    </w:p>
    <w:p w14:paraId="6DDD60B0" w14:textId="77777777" w:rsidR="00C7292A" w:rsidRPr="008B0419" w:rsidRDefault="00C7292A" w:rsidP="008E5DB4">
      <w:pPr>
        <w:ind w:left="426"/>
      </w:pPr>
    </w:p>
    <w:p w14:paraId="60D32B29" w14:textId="01759A98" w:rsidR="00C7292A" w:rsidRPr="00972A9E" w:rsidRDefault="00C7292A" w:rsidP="008E5DB4">
      <w:pPr>
        <w:pStyle w:val="ListParagraph"/>
        <w:rPr>
          <w:b/>
          <w:bCs/>
        </w:rPr>
      </w:pPr>
      <w:r w:rsidRPr="00972A9E">
        <w:rPr>
          <w:b/>
          <w:bCs/>
        </w:rPr>
        <w:t>Recommendation: With the exception o</w:t>
      </w:r>
      <w:r w:rsidR="001141DA" w:rsidRPr="00972A9E">
        <w:rPr>
          <w:b/>
          <w:bCs/>
        </w:rPr>
        <w:t>f</w:t>
      </w:r>
      <w:r w:rsidRPr="00972A9E">
        <w:rPr>
          <w:b/>
          <w:bCs/>
        </w:rPr>
        <w:t xml:space="preserve"> Cambridge</w:t>
      </w:r>
      <w:r w:rsidR="00693BB4" w:rsidRPr="00972A9E">
        <w:rPr>
          <w:b/>
          <w:bCs/>
        </w:rPr>
        <w:t xml:space="preserve"> and its immediately surrounding towns and villages</w:t>
      </w:r>
      <w:r w:rsidRPr="00972A9E">
        <w:rPr>
          <w:b/>
          <w:bCs/>
        </w:rPr>
        <w:t xml:space="preserve"> (who </w:t>
      </w:r>
      <w:r w:rsidR="00551010" w:rsidRPr="00972A9E">
        <w:rPr>
          <w:b/>
          <w:bCs/>
        </w:rPr>
        <w:t>have</w:t>
      </w:r>
      <w:r w:rsidRPr="00972A9E">
        <w:rPr>
          <w:b/>
          <w:bCs/>
        </w:rPr>
        <w:t xml:space="preserve"> </w:t>
      </w:r>
      <w:r w:rsidR="00F04D4D" w:rsidRPr="00972A9E">
        <w:rPr>
          <w:b/>
          <w:bCs/>
        </w:rPr>
        <w:t xml:space="preserve">a </w:t>
      </w:r>
      <w:r w:rsidRPr="00972A9E">
        <w:rPr>
          <w:b/>
          <w:bCs/>
        </w:rPr>
        <w:t xml:space="preserve">high proportion of students and young professionals) and West Suffolk (where demand comes from military personnel) there is no requirement for the Councils to allocate sites for build-to-rent accommodation. </w:t>
      </w:r>
    </w:p>
    <w:p w14:paraId="75795C23" w14:textId="77777777" w:rsidR="0019363C" w:rsidRDefault="0019363C" w:rsidP="008E5DB4">
      <w:pPr>
        <w:ind w:left="426"/>
      </w:pPr>
    </w:p>
    <w:p w14:paraId="71156028" w14:textId="626DF69B" w:rsidR="0019363C" w:rsidRDefault="0019363C" w:rsidP="008E5DB4">
      <w:pPr>
        <w:pStyle w:val="ListParagraph"/>
      </w:pPr>
      <w:r w:rsidRPr="007D4337">
        <w:t>Where build to rent is being proposed on a site, the policy position should be supportive, subject to the location and characteristics of the site in question and the proportion of units for affordable private rent being provided.</w:t>
      </w:r>
    </w:p>
    <w:p w14:paraId="484D93B7" w14:textId="77777777" w:rsidR="00B726BD" w:rsidRPr="00B726BD" w:rsidRDefault="00B726BD" w:rsidP="00B726BD">
      <w:pPr>
        <w:keepNext/>
        <w:jc w:val="both"/>
        <w:rPr>
          <w:color w:val="auto"/>
        </w:rPr>
      </w:pPr>
    </w:p>
    <w:p w14:paraId="657AE8F8" w14:textId="37DA1300" w:rsidR="00C7292A" w:rsidRPr="003477B6" w:rsidRDefault="00C7292A" w:rsidP="00FE37EA">
      <w:pPr>
        <w:pStyle w:val="Heading2"/>
        <w:ind w:left="0"/>
      </w:pPr>
      <w:r w:rsidRPr="003477B6">
        <w:t>Custom- and Self- Buil</w:t>
      </w:r>
      <w:r>
        <w:t>d</w:t>
      </w:r>
    </w:p>
    <w:p w14:paraId="3DDF7D8E" w14:textId="2F9A772B" w:rsidR="00CF7B7D" w:rsidRDefault="00CF7B7D" w:rsidP="008E5DB4">
      <w:pPr>
        <w:pStyle w:val="ListParagraph"/>
      </w:pPr>
      <w:r w:rsidRPr="000A484C">
        <w:t>The local authorities will need to ensure the actual number of entries on the</w:t>
      </w:r>
      <w:r w:rsidR="00667C27">
        <w:t>ir</w:t>
      </w:r>
      <w:r w:rsidRPr="000A484C">
        <w:t xml:space="preserve"> </w:t>
      </w:r>
      <w:r w:rsidR="00667C27">
        <w:t xml:space="preserve">self-build </w:t>
      </w:r>
      <w:r w:rsidRPr="000A484C">
        <w:t>register</w:t>
      </w:r>
      <w:r w:rsidR="00667C27">
        <w:t>s</w:t>
      </w:r>
      <w:r w:rsidRPr="000A484C">
        <w:t xml:space="preserve"> each year are </w:t>
      </w:r>
      <w:r w:rsidR="005C2734">
        <w:t xml:space="preserve">matched by the number of </w:t>
      </w:r>
      <w:r w:rsidR="0043401E">
        <w:t>self-build</w:t>
      </w:r>
      <w:r w:rsidR="00885538">
        <w:t xml:space="preserve"> plots given planning permission</w:t>
      </w:r>
      <w:r w:rsidRPr="000A484C">
        <w:t xml:space="preserve"> within three years.  The registers suggest this will be around </w:t>
      </w:r>
      <w:r w:rsidR="00567BD7">
        <w:t>250</w:t>
      </w:r>
      <w:r w:rsidR="00AD256A">
        <w:t xml:space="preserve"> </w:t>
      </w:r>
      <w:proofErr w:type="spellStart"/>
      <w:r w:rsidR="00567BD7">
        <w:t>d</w:t>
      </w:r>
      <w:r w:rsidR="00AD256A">
        <w:t>p</w:t>
      </w:r>
      <w:r w:rsidR="00567BD7">
        <w:t>a</w:t>
      </w:r>
      <w:proofErr w:type="spellEnd"/>
      <w:r w:rsidR="00567BD7">
        <w:t xml:space="preserve"> for the study area as a whole, as set out in the table below</w:t>
      </w:r>
      <w:r w:rsidRPr="000A484C">
        <w:t>.</w:t>
      </w:r>
    </w:p>
    <w:p w14:paraId="6A539948" w14:textId="2F9CBB8A" w:rsidR="00C4126C" w:rsidRDefault="00C4126C" w:rsidP="00FE37EA"/>
    <w:p w14:paraId="2AD376F9" w14:textId="77777777" w:rsidR="00FE37EA" w:rsidRDefault="00FE37EA" w:rsidP="004F4BA7"/>
    <w:p w14:paraId="22343C0E" w14:textId="77777777" w:rsidR="001758E4" w:rsidRDefault="001758E4" w:rsidP="008E5DB4">
      <w:pPr>
        <w:ind w:left="426"/>
      </w:pPr>
    </w:p>
    <w:tbl>
      <w:tblPr>
        <w:tblStyle w:val="TableGridLight1"/>
        <w:tblW w:w="8930" w:type="dxa"/>
        <w:tblInd w:w="421" w:type="dxa"/>
        <w:tblLook w:val="04A0" w:firstRow="1" w:lastRow="0" w:firstColumn="1" w:lastColumn="0" w:noHBand="0" w:noVBand="1"/>
      </w:tblPr>
      <w:tblGrid>
        <w:gridCol w:w="3150"/>
        <w:gridCol w:w="2890"/>
        <w:gridCol w:w="2890"/>
      </w:tblGrid>
      <w:tr w:rsidR="00073080" w14:paraId="592A9FF0" w14:textId="77777777" w:rsidTr="004F4BA7">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50" w:type="dxa"/>
            <w:noWrap/>
            <w:hideMark/>
          </w:tcPr>
          <w:p w14:paraId="34556AC2" w14:textId="77777777" w:rsidR="00073080" w:rsidRPr="00C4126C" w:rsidRDefault="00073080" w:rsidP="00050BB1">
            <w:pPr>
              <w:spacing w:line="256" w:lineRule="auto"/>
              <w:rPr>
                <w:color w:val="FFFFFF"/>
                <w:szCs w:val="24"/>
                <w:lang w:eastAsia="en-GB"/>
              </w:rPr>
            </w:pPr>
            <w:r w:rsidRPr="00C4126C">
              <w:rPr>
                <w:color w:val="FFFFFF"/>
                <w:szCs w:val="24"/>
                <w:lang w:eastAsia="en-GB"/>
              </w:rPr>
              <w:t> </w:t>
            </w:r>
          </w:p>
        </w:tc>
        <w:tc>
          <w:tcPr>
            <w:tcW w:w="2890" w:type="dxa"/>
            <w:hideMark/>
          </w:tcPr>
          <w:p w14:paraId="4BED75F5" w14:textId="77777777" w:rsidR="00073080" w:rsidRPr="004F4BA7" w:rsidRDefault="00073080" w:rsidP="00050BB1">
            <w:pPr>
              <w:spacing w:line="256" w:lineRule="auto"/>
              <w:cnfStyle w:val="100000000000" w:firstRow="1" w:lastRow="0" w:firstColumn="0" w:lastColumn="0" w:oddVBand="0" w:evenVBand="0" w:oddHBand="0" w:evenHBand="0" w:firstRowFirstColumn="0" w:firstRowLastColumn="0" w:lastRowFirstColumn="0" w:lastRowLastColumn="0"/>
              <w:rPr>
                <w:bCs/>
                <w:szCs w:val="24"/>
                <w:lang w:eastAsia="en-GB"/>
              </w:rPr>
            </w:pPr>
            <w:r w:rsidRPr="004F4BA7">
              <w:rPr>
                <w:bCs/>
                <w:szCs w:val="24"/>
                <w:lang w:eastAsia="en-GB"/>
              </w:rPr>
              <w:t>Current Register</w:t>
            </w:r>
          </w:p>
        </w:tc>
        <w:tc>
          <w:tcPr>
            <w:tcW w:w="2890" w:type="dxa"/>
            <w:hideMark/>
          </w:tcPr>
          <w:p w14:paraId="6FD31DE7" w14:textId="77777777" w:rsidR="00073080" w:rsidRPr="004F4BA7" w:rsidRDefault="00073080" w:rsidP="00050BB1">
            <w:pPr>
              <w:spacing w:line="256" w:lineRule="auto"/>
              <w:cnfStyle w:val="100000000000" w:firstRow="1" w:lastRow="0" w:firstColumn="0" w:lastColumn="0" w:oddVBand="0" w:evenVBand="0" w:oddHBand="0" w:evenHBand="0" w:firstRowFirstColumn="0" w:firstRowLastColumn="0" w:lastRowFirstColumn="0" w:lastRowLastColumn="0"/>
              <w:rPr>
                <w:bCs/>
                <w:szCs w:val="24"/>
                <w:lang w:eastAsia="en-GB"/>
              </w:rPr>
            </w:pPr>
            <w:r w:rsidRPr="004F4BA7">
              <w:rPr>
                <w:bCs/>
                <w:szCs w:val="24"/>
                <w:lang w:eastAsia="en-GB"/>
              </w:rPr>
              <w:t xml:space="preserve">Average Per Base Period </w:t>
            </w:r>
          </w:p>
          <w:p w14:paraId="112F2853" w14:textId="77777777" w:rsidR="00073080" w:rsidRPr="004F4BA7" w:rsidRDefault="00073080" w:rsidP="00050BB1">
            <w:pPr>
              <w:spacing w:line="256" w:lineRule="auto"/>
              <w:cnfStyle w:val="100000000000" w:firstRow="1" w:lastRow="0" w:firstColumn="0" w:lastColumn="0" w:oddVBand="0" w:evenVBand="0" w:oddHBand="0" w:evenHBand="0" w:firstRowFirstColumn="0" w:firstRowLastColumn="0" w:lastRowFirstColumn="0" w:lastRowLastColumn="0"/>
              <w:rPr>
                <w:bCs/>
                <w:szCs w:val="24"/>
                <w:lang w:eastAsia="en-GB"/>
              </w:rPr>
            </w:pPr>
            <w:r w:rsidRPr="004F4BA7">
              <w:rPr>
                <w:bCs/>
                <w:szCs w:val="24"/>
                <w:lang w:eastAsia="en-GB"/>
              </w:rPr>
              <w:t>(4.5 periods)</w:t>
            </w:r>
          </w:p>
        </w:tc>
      </w:tr>
      <w:tr w:rsidR="00073080" w14:paraId="69D4F693" w14:textId="77777777" w:rsidTr="004F4BA7">
        <w:trPr>
          <w:trHeight w:val="283"/>
        </w:trPr>
        <w:tc>
          <w:tcPr>
            <w:cnfStyle w:val="001000000000" w:firstRow="0" w:lastRow="0" w:firstColumn="1" w:lastColumn="0" w:oddVBand="0" w:evenVBand="0" w:oddHBand="0" w:evenHBand="0" w:firstRowFirstColumn="0" w:firstRowLastColumn="0" w:lastRowFirstColumn="0" w:lastRowLastColumn="0"/>
            <w:tcW w:w="3150" w:type="dxa"/>
            <w:noWrap/>
            <w:hideMark/>
          </w:tcPr>
          <w:p w14:paraId="5346A556" w14:textId="77777777" w:rsidR="00073080" w:rsidRPr="00C4126C" w:rsidRDefault="00073080" w:rsidP="00050BB1">
            <w:pPr>
              <w:spacing w:line="256" w:lineRule="auto"/>
              <w:rPr>
                <w:color w:val="000000"/>
                <w:szCs w:val="24"/>
                <w:lang w:eastAsia="en-GB"/>
              </w:rPr>
            </w:pPr>
            <w:r w:rsidRPr="00C4126C">
              <w:rPr>
                <w:color w:val="000000"/>
                <w:szCs w:val="24"/>
                <w:lang w:eastAsia="en-GB"/>
              </w:rPr>
              <w:t>Greater Cambridge</w:t>
            </w:r>
          </w:p>
        </w:tc>
        <w:tc>
          <w:tcPr>
            <w:tcW w:w="2890" w:type="dxa"/>
            <w:noWrap/>
            <w:hideMark/>
          </w:tcPr>
          <w:p w14:paraId="5841A457"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C4126C">
              <w:rPr>
                <w:color w:val="000000"/>
                <w:szCs w:val="24"/>
                <w:lang w:eastAsia="en-GB"/>
              </w:rPr>
              <w:t>737</w:t>
            </w:r>
          </w:p>
        </w:tc>
        <w:tc>
          <w:tcPr>
            <w:tcW w:w="2890" w:type="dxa"/>
            <w:hideMark/>
          </w:tcPr>
          <w:p w14:paraId="694A7E1C"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4F4BA7">
              <w:rPr>
                <w:rFonts w:ascii="Arial" w:hAnsi="Arial" w:cs="Calibri"/>
                <w:color w:val="000000"/>
                <w:sz w:val="20"/>
                <w:szCs w:val="24"/>
              </w:rPr>
              <w:t>164</w:t>
            </w:r>
          </w:p>
        </w:tc>
      </w:tr>
      <w:tr w:rsidR="00073080" w14:paraId="540D8438" w14:textId="77777777" w:rsidTr="004F4BA7">
        <w:trPr>
          <w:trHeight w:val="283"/>
        </w:trPr>
        <w:tc>
          <w:tcPr>
            <w:cnfStyle w:val="001000000000" w:firstRow="0" w:lastRow="0" w:firstColumn="1" w:lastColumn="0" w:oddVBand="0" w:evenVBand="0" w:oddHBand="0" w:evenHBand="0" w:firstRowFirstColumn="0" w:firstRowLastColumn="0" w:lastRowFirstColumn="0" w:lastRowLastColumn="0"/>
            <w:tcW w:w="3150" w:type="dxa"/>
            <w:noWrap/>
            <w:hideMark/>
          </w:tcPr>
          <w:p w14:paraId="2A044FA7" w14:textId="77777777" w:rsidR="00073080" w:rsidRPr="00C4126C" w:rsidRDefault="00073080" w:rsidP="00050BB1">
            <w:pPr>
              <w:spacing w:line="256" w:lineRule="auto"/>
              <w:rPr>
                <w:color w:val="000000"/>
                <w:szCs w:val="24"/>
                <w:lang w:eastAsia="en-GB"/>
              </w:rPr>
            </w:pPr>
            <w:r w:rsidRPr="00C4126C">
              <w:rPr>
                <w:color w:val="000000"/>
                <w:szCs w:val="24"/>
                <w:lang w:eastAsia="en-GB"/>
              </w:rPr>
              <w:t>East Cambridgeshire</w:t>
            </w:r>
          </w:p>
        </w:tc>
        <w:tc>
          <w:tcPr>
            <w:tcW w:w="2890" w:type="dxa"/>
            <w:noWrap/>
            <w:hideMark/>
          </w:tcPr>
          <w:p w14:paraId="027082E1"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C4126C">
              <w:rPr>
                <w:color w:val="000000"/>
                <w:szCs w:val="24"/>
                <w:lang w:eastAsia="en-GB"/>
              </w:rPr>
              <w:t>8</w:t>
            </w:r>
          </w:p>
        </w:tc>
        <w:tc>
          <w:tcPr>
            <w:tcW w:w="2890" w:type="dxa"/>
            <w:hideMark/>
          </w:tcPr>
          <w:p w14:paraId="3159909C"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4F4BA7">
              <w:rPr>
                <w:rFonts w:ascii="Arial" w:hAnsi="Arial" w:cs="Calibri"/>
                <w:color w:val="000000"/>
                <w:sz w:val="20"/>
                <w:szCs w:val="24"/>
              </w:rPr>
              <w:t>2</w:t>
            </w:r>
          </w:p>
        </w:tc>
      </w:tr>
      <w:tr w:rsidR="00073080" w14:paraId="53BA9BE6" w14:textId="77777777" w:rsidTr="004F4BA7">
        <w:trPr>
          <w:trHeight w:val="283"/>
        </w:trPr>
        <w:tc>
          <w:tcPr>
            <w:cnfStyle w:val="001000000000" w:firstRow="0" w:lastRow="0" w:firstColumn="1" w:lastColumn="0" w:oddVBand="0" w:evenVBand="0" w:oddHBand="0" w:evenHBand="0" w:firstRowFirstColumn="0" w:firstRowLastColumn="0" w:lastRowFirstColumn="0" w:lastRowLastColumn="0"/>
            <w:tcW w:w="3150" w:type="dxa"/>
            <w:noWrap/>
            <w:hideMark/>
          </w:tcPr>
          <w:p w14:paraId="25963721" w14:textId="77777777" w:rsidR="00073080" w:rsidRPr="00C4126C" w:rsidRDefault="00073080" w:rsidP="00050BB1">
            <w:pPr>
              <w:spacing w:line="256" w:lineRule="auto"/>
              <w:rPr>
                <w:color w:val="000000"/>
                <w:szCs w:val="24"/>
                <w:lang w:eastAsia="en-GB"/>
              </w:rPr>
            </w:pPr>
            <w:r w:rsidRPr="00C4126C">
              <w:rPr>
                <w:color w:val="000000"/>
                <w:szCs w:val="24"/>
                <w:lang w:eastAsia="en-GB"/>
              </w:rPr>
              <w:t>Fenland</w:t>
            </w:r>
          </w:p>
        </w:tc>
        <w:tc>
          <w:tcPr>
            <w:tcW w:w="2890" w:type="dxa"/>
            <w:noWrap/>
            <w:hideMark/>
          </w:tcPr>
          <w:p w14:paraId="0ECDBE37"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C4126C">
              <w:rPr>
                <w:color w:val="000000"/>
                <w:szCs w:val="24"/>
                <w:lang w:eastAsia="en-GB"/>
              </w:rPr>
              <w:t>3</w:t>
            </w:r>
          </w:p>
        </w:tc>
        <w:tc>
          <w:tcPr>
            <w:tcW w:w="2890" w:type="dxa"/>
            <w:hideMark/>
          </w:tcPr>
          <w:p w14:paraId="0606F390"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4F4BA7">
              <w:rPr>
                <w:rFonts w:ascii="Arial" w:hAnsi="Arial" w:cs="Calibri"/>
                <w:color w:val="000000"/>
                <w:sz w:val="20"/>
                <w:szCs w:val="24"/>
              </w:rPr>
              <w:t>1</w:t>
            </w:r>
          </w:p>
        </w:tc>
      </w:tr>
      <w:tr w:rsidR="00073080" w14:paraId="41496130" w14:textId="77777777" w:rsidTr="004F4BA7">
        <w:trPr>
          <w:trHeight w:val="283"/>
        </w:trPr>
        <w:tc>
          <w:tcPr>
            <w:cnfStyle w:val="001000000000" w:firstRow="0" w:lastRow="0" w:firstColumn="1" w:lastColumn="0" w:oddVBand="0" w:evenVBand="0" w:oddHBand="0" w:evenHBand="0" w:firstRowFirstColumn="0" w:firstRowLastColumn="0" w:lastRowFirstColumn="0" w:lastRowLastColumn="0"/>
            <w:tcW w:w="3150" w:type="dxa"/>
            <w:noWrap/>
            <w:hideMark/>
          </w:tcPr>
          <w:p w14:paraId="38FBB66C" w14:textId="77777777" w:rsidR="00073080" w:rsidRPr="00C4126C" w:rsidRDefault="00073080" w:rsidP="00050BB1">
            <w:pPr>
              <w:spacing w:line="256" w:lineRule="auto"/>
              <w:rPr>
                <w:color w:val="000000"/>
                <w:szCs w:val="24"/>
                <w:lang w:eastAsia="en-GB"/>
              </w:rPr>
            </w:pPr>
            <w:r w:rsidRPr="00C4126C">
              <w:rPr>
                <w:color w:val="000000"/>
                <w:szCs w:val="24"/>
                <w:lang w:eastAsia="en-GB"/>
              </w:rPr>
              <w:t>Huntingdonshire</w:t>
            </w:r>
          </w:p>
        </w:tc>
        <w:tc>
          <w:tcPr>
            <w:tcW w:w="2890" w:type="dxa"/>
            <w:noWrap/>
            <w:hideMark/>
          </w:tcPr>
          <w:p w14:paraId="2B922E58"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C4126C">
              <w:rPr>
                <w:color w:val="000000"/>
                <w:szCs w:val="24"/>
                <w:lang w:eastAsia="en-GB"/>
              </w:rPr>
              <w:t>241</w:t>
            </w:r>
          </w:p>
        </w:tc>
        <w:tc>
          <w:tcPr>
            <w:tcW w:w="2890" w:type="dxa"/>
            <w:hideMark/>
          </w:tcPr>
          <w:p w14:paraId="2208A908"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4F4BA7">
              <w:rPr>
                <w:rFonts w:ascii="Arial" w:hAnsi="Arial" w:cs="Calibri"/>
                <w:color w:val="000000"/>
                <w:sz w:val="20"/>
                <w:szCs w:val="24"/>
              </w:rPr>
              <w:t>54</w:t>
            </w:r>
          </w:p>
        </w:tc>
      </w:tr>
      <w:tr w:rsidR="00073080" w14:paraId="40941815" w14:textId="77777777" w:rsidTr="004F4BA7">
        <w:trPr>
          <w:trHeight w:val="283"/>
        </w:trPr>
        <w:tc>
          <w:tcPr>
            <w:cnfStyle w:val="001000000000" w:firstRow="0" w:lastRow="0" w:firstColumn="1" w:lastColumn="0" w:oddVBand="0" w:evenVBand="0" w:oddHBand="0" w:evenHBand="0" w:firstRowFirstColumn="0" w:firstRowLastColumn="0" w:lastRowFirstColumn="0" w:lastRowLastColumn="0"/>
            <w:tcW w:w="3150" w:type="dxa"/>
            <w:noWrap/>
            <w:hideMark/>
          </w:tcPr>
          <w:p w14:paraId="37223AA4" w14:textId="77777777" w:rsidR="00073080" w:rsidRPr="00C4126C" w:rsidRDefault="00073080" w:rsidP="00050BB1">
            <w:pPr>
              <w:spacing w:line="256" w:lineRule="auto"/>
              <w:rPr>
                <w:color w:val="000000"/>
                <w:szCs w:val="24"/>
                <w:lang w:eastAsia="en-GB"/>
              </w:rPr>
            </w:pPr>
            <w:r w:rsidRPr="00C4126C">
              <w:rPr>
                <w:color w:val="000000"/>
                <w:szCs w:val="24"/>
                <w:lang w:eastAsia="en-GB"/>
              </w:rPr>
              <w:t>West Suffolk</w:t>
            </w:r>
          </w:p>
        </w:tc>
        <w:tc>
          <w:tcPr>
            <w:tcW w:w="2890" w:type="dxa"/>
            <w:noWrap/>
            <w:hideMark/>
          </w:tcPr>
          <w:p w14:paraId="37307501"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C4126C">
              <w:rPr>
                <w:color w:val="000000"/>
                <w:szCs w:val="24"/>
                <w:lang w:eastAsia="en-GB"/>
              </w:rPr>
              <w:t>137</w:t>
            </w:r>
          </w:p>
        </w:tc>
        <w:tc>
          <w:tcPr>
            <w:tcW w:w="2890" w:type="dxa"/>
            <w:hideMark/>
          </w:tcPr>
          <w:p w14:paraId="59056F85" w14:textId="77777777" w:rsidR="00073080" w:rsidRPr="00C4126C"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4F4BA7">
              <w:rPr>
                <w:rFonts w:ascii="Arial" w:hAnsi="Arial" w:cs="Calibri"/>
                <w:color w:val="000000"/>
                <w:sz w:val="20"/>
                <w:szCs w:val="24"/>
              </w:rPr>
              <w:t>30</w:t>
            </w:r>
          </w:p>
        </w:tc>
      </w:tr>
      <w:tr w:rsidR="00073080" w14:paraId="1969143A" w14:textId="77777777" w:rsidTr="004F4BA7">
        <w:trPr>
          <w:trHeight w:val="283"/>
        </w:trPr>
        <w:tc>
          <w:tcPr>
            <w:cnfStyle w:val="001000000000" w:firstRow="0" w:lastRow="0" w:firstColumn="1" w:lastColumn="0" w:oddVBand="0" w:evenVBand="0" w:oddHBand="0" w:evenHBand="0" w:firstRowFirstColumn="0" w:firstRowLastColumn="0" w:lastRowFirstColumn="0" w:lastRowLastColumn="0"/>
            <w:tcW w:w="3150" w:type="dxa"/>
            <w:noWrap/>
            <w:hideMark/>
          </w:tcPr>
          <w:p w14:paraId="0C6CC482" w14:textId="77777777" w:rsidR="00073080" w:rsidRPr="004F4BA7" w:rsidRDefault="00073080" w:rsidP="00050BB1">
            <w:pPr>
              <w:spacing w:line="256" w:lineRule="auto"/>
              <w:rPr>
                <w:b/>
                <w:bCs/>
                <w:color w:val="000000"/>
                <w:szCs w:val="24"/>
                <w:lang w:eastAsia="en-GB"/>
              </w:rPr>
            </w:pPr>
            <w:r w:rsidRPr="004F4BA7">
              <w:rPr>
                <w:b/>
                <w:bCs/>
                <w:color w:val="000000"/>
                <w:szCs w:val="24"/>
                <w:lang w:eastAsia="en-GB"/>
              </w:rPr>
              <w:t>HMA</w:t>
            </w:r>
          </w:p>
        </w:tc>
        <w:tc>
          <w:tcPr>
            <w:tcW w:w="2890" w:type="dxa"/>
            <w:noWrap/>
            <w:hideMark/>
          </w:tcPr>
          <w:p w14:paraId="43BB71C3" w14:textId="77777777" w:rsidR="00073080" w:rsidRPr="004F4BA7"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rPr>
              <w:t>1126</w:t>
            </w:r>
          </w:p>
        </w:tc>
        <w:tc>
          <w:tcPr>
            <w:tcW w:w="2890" w:type="dxa"/>
            <w:hideMark/>
          </w:tcPr>
          <w:p w14:paraId="09082B12" w14:textId="77777777" w:rsidR="00073080" w:rsidRPr="004F4BA7" w:rsidRDefault="00073080" w:rsidP="00050BB1">
            <w:pPr>
              <w:spacing w:line="256" w:lineRule="auto"/>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rFonts w:ascii="Arial" w:hAnsi="Arial" w:cs="Calibri"/>
                <w:b/>
                <w:bCs/>
                <w:color w:val="000000"/>
                <w:sz w:val="20"/>
                <w:szCs w:val="24"/>
              </w:rPr>
              <w:t>250</w:t>
            </w:r>
          </w:p>
        </w:tc>
      </w:tr>
    </w:tbl>
    <w:p w14:paraId="5E39A89F" w14:textId="2D54C133" w:rsidR="00CF7B7D" w:rsidRPr="00FE37EA" w:rsidRDefault="00CF7B7D" w:rsidP="008E5DB4">
      <w:pPr>
        <w:pStyle w:val="ListParagraph"/>
        <w:rPr>
          <w:b/>
          <w:bCs/>
        </w:rPr>
      </w:pPr>
      <w:r w:rsidRPr="00FE37EA">
        <w:rPr>
          <w:b/>
          <w:bCs/>
        </w:rPr>
        <w:t xml:space="preserve">Recommendation: </w:t>
      </w:r>
      <w:r w:rsidR="008E58DF" w:rsidRPr="00FE37EA">
        <w:rPr>
          <w:b/>
          <w:bCs/>
        </w:rPr>
        <w:t xml:space="preserve">The Local Authorities should include appropriate policies to address the level of identified need.  </w:t>
      </w:r>
      <w:r w:rsidR="008E58DF" w:rsidRPr="00972A9E">
        <w:t>Where need is low this could be through policies to encourage provision and where more substantial through policies to require provision on sites above a qualifying threshold including on strategic sites</w:t>
      </w:r>
      <w:r w:rsidRPr="00972A9E">
        <w:t xml:space="preserve">. The exact level should be determined in reference to the identified need and the number and capacity of strategic sites. This should also </w:t>
      </w:r>
      <w:proofErr w:type="gramStart"/>
      <w:r w:rsidRPr="00972A9E">
        <w:t>take into account</w:t>
      </w:r>
      <w:proofErr w:type="gramEnd"/>
      <w:r w:rsidRPr="00972A9E">
        <w:t xml:space="preserve"> committed supply </w:t>
      </w:r>
      <w:r w:rsidR="00667C27" w:rsidRPr="00972A9E">
        <w:t xml:space="preserve">of other homes </w:t>
      </w:r>
      <w:r w:rsidRPr="00972A9E">
        <w:t>and viability considerations.</w:t>
      </w:r>
    </w:p>
    <w:p w14:paraId="2CAD54BF" w14:textId="77777777" w:rsidR="00FE37EA" w:rsidRDefault="00FE37EA" w:rsidP="000A484C">
      <w:pPr>
        <w:spacing w:after="200"/>
        <w:ind w:firstLine="426"/>
        <w:rPr>
          <w:b/>
          <w:bCs/>
          <w:color w:val="0093D5" w:themeColor="accent2"/>
        </w:rPr>
      </w:pPr>
    </w:p>
    <w:p w14:paraId="3305848C" w14:textId="6894B9EB" w:rsidR="00C7292A" w:rsidRPr="00E37BE1" w:rsidRDefault="00C7292A" w:rsidP="00FE37EA">
      <w:pPr>
        <w:pStyle w:val="Heading2"/>
        <w:ind w:left="0"/>
      </w:pPr>
      <w:r w:rsidRPr="003477B6">
        <w:t xml:space="preserve">Service Families </w:t>
      </w:r>
    </w:p>
    <w:p w14:paraId="2F59DB12" w14:textId="58F2FB7B" w:rsidR="00C7292A" w:rsidRPr="008B0419" w:rsidRDefault="00C7292A" w:rsidP="008E5DB4">
      <w:pPr>
        <w:pStyle w:val="ListParagraph"/>
      </w:pPr>
      <w:r w:rsidRPr="007C4F65">
        <w:t xml:space="preserve">There </w:t>
      </w:r>
      <w:r w:rsidR="008E58DF">
        <w:t>are two</w:t>
      </w:r>
      <w:r w:rsidRPr="00AC12C5">
        <w:t xml:space="preserve"> Royal Air</w:t>
      </w:r>
      <w:r w:rsidR="00CF7B7D" w:rsidRPr="00717780">
        <w:t xml:space="preserve"> </w:t>
      </w:r>
      <w:r w:rsidR="00CF7B7D" w:rsidRPr="000A484C">
        <w:t>F</w:t>
      </w:r>
      <w:r w:rsidRPr="000A484C">
        <w:t>orce site</w:t>
      </w:r>
      <w:r w:rsidR="00F4160F">
        <w:t>s</w:t>
      </w:r>
      <w:r w:rsidRPr="000A484C">
        <w:t xml:space="preserve"> and four sites operated by the United States Air Forces across </w:t>
      </w:r>
      <w:r w:rsidR="00694410">
        <w:t xml:space="preserve">the </w:t>
      </w:r>
      <w:r w:rsidRPr="000A484C">
        <w:t xml:space="preserve">Huntingdonshire and West Suffolk authorities. </w:t>
      </w:r>
      <w:r w:rsidRPr="008B0419">
        <w:t>While the sites have their own accommodation, the bases drive the local rental markets</w:t>
      </w:r>
      <w:r w:rsidR="0018490C">
        <w:t>,</w:t>
      </w:r>
      <w:r w:rsidRPr="008B0419">
        <w:t xml:space="preserve"> with </w:t>
      </w:r>
      <w:proofErr w:type="gramStart"/>
      <w:r w:rsidRPr="008B0419">
        <w:t>prices  significantly</w:t>
      </w:r>
      <w:proofErr w:type="gramEnd"/>
      <w:r w:rsidRPr="008B0419">
        <w:t xml:space="preserve"> </w:t>
      </w:r>
      <w:r w:rsidR="0018490C">
        <w:t>uplifted</w:t>
      </w:r>
      <w:r w:rsidRPr="008B0419">
        <w:t xml:space="preserve"> due to military housing allowance</w:t>
      </w:r>
      <w:r>
        <w:t>s</w:t>
      </w:r>
      <w:r w:rsidRPr="008B0419">
        <w:t xml:space="preserve">. </w:t>
      </w:r>
    </w:p>
    <w:p w14:paraId="253603ED" w14:textId="77777777" w:rsidR="00C7292A" w:rsidRPr="008B0419" w:rsidRDefault="00C7292A" w:rsidP="008E5DB4">
      <w:pPr>
        <w:ind w:left="426"/>
      </w:pPr>
    </w:p>
    <w:p w14:paraId="24417264" w14:textId="53DA84D0" w:rsidR="00C7292A" w:rsidRPr="008B0419" w:rsidRDefault="00C7292A" w:rsidP="008E5DB4">
      <w:pPr>
        <w:pStyle w:val="ListParagraph"/>
      </w:pPr>
      <w:r w:rsidRPr="008B0419">
        <w:t xml:space="preserve">Discussions with RAF and USAF representatives as part of this study reveal </w:t>
      </w:r>
      <w:r w:rsidR="0018490C">
        <w:t xml:space="preserve">a </w:t>
      </w:r>
      <w:r w:rsidRPr="008B0419">
        <w:t xml:space="preserve">demand for bespoke build-to-rent schemes to accommodate the military personnel at these bases. Particular requirements are a location close to the bases and </w:t>
      </w:r>
      <w:r w:rsidR="00CF7B7D">
        <w:t xml:space="preserve">with </w:t>
      </w:r>
      <w:r w:rsidRPr="008B0419">
        <w:t>good transport links.</w:t>
      </w:r>
    </w:p>
    <w:p w14:paraId="7DCE3141" w14:textId="77777777" w:rsidR="00C7292A" w:rsidRPr="008B0419" w:rsidRDefault="00C7292A" w:rsidP="008E5DB4">
      <w:pPr>
        <w:ind w:left="426"/>
      </w:pPr>
    </w:p>
    <w:p w14:paraId="6A447D07" w14:textId="776EEB91" w:rsidR="00C7292A" w:rsidRPr="00802567" w:rsidRDefault="00C7292A" w:rsidP="008E5DB4">
      <w:pPr>
        <w:pStyle w:val="ListParagraph"/>
      </w:pPr>
      <w:r w:rsidRPr="008B0419">
        <w:t xml:space="preserve">At present, there are </w:t>
      </w:r>
      <w:r w:rsidR="008E58DF">
        <w:t>small number</w:t>
      </w:r>
      <w:r w:rsidR="00F4160F">
        <w:t>s</w:t>
      </w:r>
      <w:r w:rsidR="008E58DF" w:rsidRPr="008B0419">
        <w:t xml:space="preserve"> </w:t>
      </w:r>
      <w:r w:rsidR="00F4160F">
        <w:t xml:space="preserve">of </w:t>
      </w:r>
      <w:r w:rsidRPr="008B0419">
        <w:t xml:space="preserve">service families on the </w:t>
      </w:r>
      <w:r w:rsidRPr="5D4BA10C">
        <w:t>Councils</w:t>
      </w:r>
      <w:r w:rsidR="4F846C94" w:rsidRPr="5D4BA10C">
        <w:t>’</w:t>
      </w:r>
      <w:r w:rsidRPr="008B0419">
        <w:t xml:space="preserve"> housing </w:t>
      </w:r>
      <w:r w:rsidRPr="5D4BA10C">
        <w:t>register</w:t>
      </w:r>
      <w:r w:rsidR="2D271AE4" w:rsidRPr="5D4BA10C">
        <w:t>s</w:t>
      </w:r>
      <w:r w:rsidRPr="5D4BA10C">
        <w:t>.</w:t>
      </w:r>
      <w:r w:rsidRPr="008B0419">
        <w:t xml:space="preserve"> The Council</w:t>
      </w:r>
      <w:r w:rsidR="00F4160F">
        <w:t>s</w:t>
      </w:r>
      <w:r w:rsidRPr="008B0419">
        <w:t xml:space="preserve"> </w:t>
      </w:r>
      <w:r w:rsidR="00914A1C">
        <w:t>should</w:t>
      </w:r>
      <w:r w:rsidRPr="008B0419">
        <w:t xml:space="preserve"> continue to monitor the register</w:t>
      </w:r>
      <w:r w:rsidR="00F4160F">
        <w:t>s</w:t>
      </w:r>
      <w:r w:rsidRPr="008B0419">
        <w:t xml:space="preserve"> to identify any future needs. A study is currently underway examining the specific needs of these bases.</w:t>
      </w:r>
      <w:r>
        <w:t xml:space="preserve"> </w:t>
      </w:r>
    </w:p>
    <w:p w14:paraId="607D5D78" w14:textId="77777777" w:rsidR="00C7292A" w:rsidRDefault="00C7292A" w:rsidP="00097650">
      <w:pPr>
        <w:pStyle w:val="10BulletBodytext"/>
        <w:numPr>
          <w:ilvl w:val="0"/>
          <w:numId w:val="0"/>
        </w:numPr>
      </w:pPr>
    </w:p>
    <w:p w14:paraId="44779BF6" w14:textId="73054D39" w:rsidR="00C7292A" w:rsidRPr="00AB36B4" w:rsidRDefault="00C7292A" w:rsidP="00FE37EA">
      <w:pPr>
        <w:pStyle w:val="Heading2"/>
        <w:ind w:left="0"/>
      </w:pPr>
      <w:r w:rsidRPr="5D4BA10C">
        <w:t>Gyp</w:t>
      </w:r>
      <w:r w:rsidR="00A2024E">
        <w:t>s</w:t>
      </w:r>
      <w:r w:rsidR="259478EC" w:rsidRPr="5D4BA10C">
        <w:t>ies</w:t>
      </w:r>
      <w:r w:rsidRPr="00AB36B4">
        <w:t xml:space="preserve"> and </w:t>
      </w:r>
      <w:r w:rsidRPr="282AD810">
        <w:t>Traveller</w:t>
      </w:r>
      <w:r w:rsidR="6FEF2E28" w:rsidRPr="282AD810">
        <w:t>s etc</w:t>
      </w:r>
    </w:p>
    <w:p w14:paraId="3BA6FE44" w14:textId="77777777" w:rsidR="00C7292A" w:rsidRDefault="00C7292A" w:rsidP="00097650">
      <w:pPr>
        <w:pStyle w:val="10BulletBodytext"/>
        <w:numPr>
          <w:ilvl w:val="0"/>
          <w:numId w:val="0"/>
        </w:numPr>
      </w:pPr>
    </w:p>
    <w:p w14:paraId="395F8D25" w14:textId="23C12F13" w:rsidR="00C7292A" w:rsidRDefault="00C7292A" w:rsidP="008E5DB4">
      <w:pPr>
        <w:pStyle w:val="ListParagraph"/>
      </w:pPr>
      <w:r w:rsidRPr="007C4F65">
        <w:t>A separate study has been c</w:t>
      </w:r>
      <w:r w:rsidRPr="00AC12C5">
        <w:t xml:space="preserve">ommissioned to assess the needs of Gypsies, Travellers, </w:t>
      </w:r>
      <w:r w:rsidR="00236E71">
        <w:t>Roma</w:t>
      </w:r>
      <w:r w:rsidR="00B63E24">
        <w:t>,</w:t>
      </w:r>
      <w:r w:rsidR="00236E71">
        <w:t xml:space="preserve"> </w:t>
      </w:r>
      <w:r w:rsidRPr="00AC12C5">
        <w:t>Travelling Showm</w:t>
      </w:r>
      <w:r w:rsidRPr="00717780">
        <w:t>en and Bargee Travellers and</w:t>
      </w:r>
      <w:r w:rsidRPr="000A484C">
        <w:t xml:space="preserve"> other caravan and houseboat dwellers, satisfying relevant legislation and guidance. </w:t>
      </w:r>
      <w:r w:rsidRPr="008B0419">
        <w:t xml:space="preserve">This study, once completed, should be included as part of the overall identified needs for specific groups set out in this report and </w:t>
      </w:r>
      <w:r w:rsidR="00236E71">
        <w:t xml:space="preserve">form </w:t>
      </w:r>
      <w:r w:rsidRPr="008B0419">
        <w:t>a component part of the overall housing numbers requirement.</w:t>
      </w:r>
    </w:p>
    <w:p w14:paraId="6F6C0A15" w14:textId="77777777" w:rsidR="00E07D1C" w:rsidRDefault="00E07D1C">
      <w:pPr>
        <w:spacing w:after="200"/>
        <w:rPr>
          <w:b/>
          <w:bCs/>
          <w:caps/>
          <w:sz w:val="24"/>
        </w:rPr>
      </w:pPr>
      <w:r>
        <w:br w:type="page"/>
      </w:r>
    </w:p>
    <w:p w14:paraId="14430C43" w14:textId="3EAC34A2" w:rsidR="00E07D1C" w:rsidRDefault="00E07D1C" w:rsidP="007D0FBF">
      <w:pPr>
        <w:pStyle w:val="Heading1"/>
        <w:numPr>
          <w:ilvl w:val="0"/>
          <w:numId w:val="0"/>
        </w:numPr>
        <w:ind w:left="794" w:hanging="794"/>
      </w:pPr>
      <w:bookmarkStart w:id="12" w:name="_Toc79590818"/>
      <w:r>
        <w:lastRenderedPageBreak/>
        <w:t>Addendum – new data and updated PPG</w:t>
      </w:r>
      <w:bookmarkEnd w:id="12"/>
    </w:p>
    <w:p w14:paraId="3072E7C9" w14:textId="77777777" w:rsidR="00E07D1C" w:rsidRPr="007D0FBF" w:rsidRDefault="00E07D1C" w:rsidP="007D0FBF">
      <w:pPr>
        <w:pStyle w:val="11Bodytext"/>
      </w:pPr>
      <w:r w:rsidRPr="007D0FBF">
        <w:t xml:space="preserve">This report sets out a LHNA using data available at the time the report was commissioned. However, changes have taken place in the interim. In particular, in December 2020 PPG was updated as to the source of data it is appropriate to use where the relevant geography has recently been subject to Local Government re-organisation. Also, new median workplace affordability ratios were released in March 2021. Both these factors impact on the LHNA for the study area. </w:t>
      </w:r>
    </w:p>
    <w:p w14:paraId="4332E4C2" w14:textId="77777777" w:rsidR="00E07D1C" w:rsidRPr="003A52A6" w:rsidRDefault="00E07D1C" w:rsidP="007D0FBF">
      <w:pPr>
        <w:pStyle w:val="11Bodytext"/>
      </w:pPr>
      <w:r w:rsidRPr="003A52A6">
        <w:t xml:space="preserve">As a result of these changes, the housing needs figure for the HMA has changed from 4,654 to </w:t>
      </w:r>
      <w:r>
        <w:t>4,625</w:t>
      </w:r>
      <w:r w:rsidRPr="003A52A6">
        <w:t xml:space="preserve">. This will not make a material change to the outputs of this study. </w:t>
      </w:r>
    </w:p>
    <w:p w14:paraId="127EBF0B" w14:textId="77777777" w:rsidR="00E07D1C" w:rsidRPr="003A52A6" w:rsidRDefault="00E07D1C" w:rsidP="007D0FBF">
      <w:pPr>
        <w:pStyle w:val="11Bodytext"/>
      </w:pPr>
      <w:r w:rsidRPr="003A52A6">
        <w:t xml:space="preserve">The standard method steps are set out below to show how the </w:t>
      </w:r>
      <w:r>
        <w:t>4,625</w:t>
      </w:r>
      <w:r w:rsidRPr="003A52A6">
        <w:t xml:space="preserve"> figure is arrived at. </w:t>
      </w:r>
    </w:p>
    <w:p w14:paraId="2373D74C" w14:textId="77777777" w:rsidR="00E07D1C" w:rsidRDefault="00E07D1C" w:rsidP="007D0FBF">
      <w:pPr>
        <w:pStyle w:val="11Bodytext"/>
      </w:pPr>
      <w:r>
        <w:t xml:space="preserve">As regards the change to PPG, the new wording states that: </w:t>
      </w:r>
    </w:p>
    <w:p w14:paraId="2E175155" w14:textId="77777777" w:rsidR="00E07D1C" w:rsidRPr="00B963B6" w:rsidRDefault="00E07D1C" w:rsidP="00B126BB">
      <w:pPr>
        <w:pStyle w:val="Quotetext"/>
      </w:pPr>
      <w:r w:rsidRPr="00B963B6">
        <w:t>“Sourcing data inputs for re-organised authorities is dependent on the geographies at which these data inputs are published. Where local authorities have recently re-organised, to form a new unitary or single-tier authority:</w:t>
      </w:r>
    </w:p>
    <w:p w14:paraId="13219A8F" w14:textId="77777777" w:rsidR="00E07D1C" w:rsidRPr="00B963B6" w:rsidRDefault="00E07D1C" w:rsidP="00B126BB">
      <w:pPr>
        <w:pStyle w:val="Quotetext"/>
      </w:pPr>
      <w:r w:rsidRPr="00B963B6">
        <w:t>As 2014 Household Projections are used in Step 1 of the standard method, these will not be available for the new/merged authorities – so local housing need in decision-making and plan-making, should be calculated at the predecessor local authority level for steps 1 to 3 (and 4 if appropriate</w:t>
      </w:r>
      <w:proofErr w:type="gramStart"/>
      <w:r w:rsidRPr="00B963B6">
        <w:t>);</w:t>
      </w:r>
      <w:proofErr w:type="gramEnd"/>
    </w:p>
    <w:p w14:paraId="4029DD88" w14:textId="77777777" w:rsidR="00E07D1C" w:rsidRPr="00B963B6" w:rsidRDefault="00E07D1C" w:rsidP="00B126BB">
      <w:pPr>
        <w:pStyle w:val="Quotetext"/>
      </w:pPr>
      <w:r w:rsidRPr="00B963B6">
        <w:t>If the latest affordability ratios are available at predecessor local authority level, these should be used for the affordability adjustment (Step 2). Where the latest published ratios are not available at these geographies, the latest available affordability ratio at that predecessor level should be used.</w:t>
      </w:r>
    </w:p>
    <w:p w14:paraId="0F03CCCE" w14:textId="77777777" w:rsidR="00E07D1C" w:rsidRPr="00B963B6" w:rsidRDefault="00E07D1C" w:rsidP="00B126BB">
      <w:pPr>
        <w:pStyle w:val="Quotetext"/>
      </w:pPr>
      <w:r w:rsidRPr="00B963B6">
        <w:t>The cap (Step 3) should also be applied at the predecessor authority level with each predecessor area will have their cap applied based on the status of the predecessor authorities’ strategic housing requirements. This will mean the cap is set against either local plan, or household growth as appropriate.</w:t>
      </w:r>
    </w:p>
    <w:p w14:paraId="1FD4C026" w14:textId="77777777" w:rsidR="00E07D1C" w:rsidRPr="00B963B6" w:rsidRDefault="00E07D1C" w:rsidP="00B126BB">
      <w:pPr>
        <w:pStyle w:val="Quotetext"/>
      </w:pPr>
    </w:p>
    <w:p w14:paraId="3FDC25F5" w14:textId="77777777" w:rsidR="00E07D1C" w:rsidRPr="00B963B6" w:rsidRDefault="00E07D1C" w:rsidP="00B126BB">
      <w:pPr>
        <w:pStyle w:val="Quotetext"/>
      </w:pPr>
      <w:r w:rsidRPr="00B963B6">
        <w:lastRenderedPageBreak/>
        <w:t>For plan-making, the new/re-organised local authority should use a local housing need for the new/merged authority area, which is at least is the sum of the local housing need of all the predecessor local authorities. Once a re-organised authority has adopted strategic housing policies covering the whole of its area, this will be used to determine the housing requirement, and the cap should then be applied on these policies.”</w:t>
      </w:r>
      <w:r w:rsidRPr="00B963B6">
        <w:rPr>
          <w:rStyle w:val="FootnoteReference"/>
          <w:vertAlign w:val="baseline"/>
        </w:rPr>
        <w:footnoteReference w:id="3"/>
      </w:r>
    </w:p>
    <w:p w14:paraId="7BA8EBA9" w14:textId="77777777" w:rsidR="00E07D1C" w:rsidRDefault="00E07D1C" w:rsidP="007D0FBF">
      <w:pPr>
        <w:pStyle w:val="11Bodytext"/>
      </w:pPr>
      <w:r>
        <w:t>In the case of West Suffolk, as regards Step 2, given that the most recent available median workplace affordability ratio for Forest Heath and St. Edmundsbury is from 2020, it is this data</w:t>
      </w:r>
      <w:r>
        <w:rPr>
          <w:rStyle w:val="FootnoteReference"/>
        </w:rPr>
        <w:footnoteReference w:id="4"/>
      </w:r>
      <w:r>
        <w:t xml:space="preserve"> that should be used in calculating the standard method-based housing needs figure for West Suffolk.  </w:t>
      </w:r>
    </w:p>
    <w:p w14:paraId="1A65B36C" w14:textId="77777777" w:rsidR="00E07D1C" w:rsidRDefault="00E07D1C" w:rsidP="007D0FBF">
      <w:pPr>
        <w:pStyle w:val="11Bodytext"/>
      </w:pPr>
      <w:r>
        <w:t xml:space="preserve">The table below sets out the results of the Standard Method to Step 2 that is compliant with PPG 2a-039. This results in a housing need figure across the HMA of 4,625 </w:t>
      </w:r>
      <w:proofErr w:type="spellStart"/>
      <w:r>
        <w:t>dpa</w:t>
      </w:r>
      <w:proofErr w:type="spellEnd"/>
      <w:r>
        <w:t xml:space="preserve">. </w:t>
      </w:r>
    </w:p>
    <w:p w14:paraId="4AA107FB" w14:textId="1C13FF9C" w:rsidR="00E07D1C" w:rsidRDefault="00E07D1C" w:rsidP="003D5E23">
      <w:pPr>
        <w:pStyle w:val="Tableheading"/>
        <w:numPr>
          <w:ilvl w:val="0"/>
          <w:numId w:val="54"/>
        </w:numPr>
      </w:pPr>
      <w:r>
        <w:t xml:space="preserve">Housing Need Step 2 – Affordability Adjustment Factor </w:t>
      </w:r>
    </w:p>
    <w:tbl>
      <w:tblPr>
        <w:tblStyle w:val="TableGridLight1"/>
        <w:tblW w:w="0" w:type="auto"/>
        <w:tblInd w:w="846" w:type="dxa"/>
        <w:tblLook w:val="04A0" w:firstRow="1" w:lastRow="0" w:firstColumn="1" w:lastColumn="0" w:noHBand="0" w:noVBand="1"/>
      </w:tblPr>
      <w:tblGrid>
        <w:gridCol w:w="1901"/>
        <w:gridCol w:w="1915"/>
        <w:gridCol w:w="1657"/>
        <w:gridCol w:w="1477"/>
        <w:gridCol w:w="1542"/>
      </w:tblGrid>
      <w:tr w:rsidR="00605B15" w:rsidRPr="00605B15" w14:paraId="05A81C33" w14:textId="77777777" w:rsidTr="00605B15">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0" w:type="auto"/>
            <w:hideMark/>
          </w:tcPr>
          <w:p w14:paraId="5B0E3B9E" w14:textId="77777777" w:rsidR="00605B15" w:rsidRPr="004F4BA7" w:rsidRDefault="00605B15" w:rsidP="007D0FBF">
            <w:pPr>
              <w:rPr>
                <w:lang w:eastAsia="en-GB"/>
              </w:rPr>
            </w:pPr>
            <w:r w:rsidRPr="004F4BA7">
              <w:rPr>
                <w:lang w:eastAsia="en-GB"/>
              </w:rPr>
              <w:t>Local Authority</w:t>
            </w:r>
          </w:p>
        </w:tc>
        <w:tc>
          <w:tcPr>
            <w:tcW w:w="0" w:type="auto"/>
            <w:hideMark/>
          </w:tcPr>
          <w:p w14:paraId="4C1208E5" w14:textId="69D157EC" w:rsidR="00605B15" w:rsidRPr="004F4BA7" w:rsidRDefault="00605B15" w:rsidP="007D0FBF">
            <w:pPr>
              <w:cnfStyle w:val="100000000000" w:firstRow="1" w:lastRow="0" w:firstColumn="0" w:lastColumn="0" w:oddVBand="0" w:evenVBand="0" w:oddHBand="0" w:evenHBand="0" w:firstRowFirstColumn="0" w:firstRowLastColumn="0" w:lastRowFirstColumn="0" w:lastRowLastColumn="0"/>
              <w:rPr>
                <w:lang w:eastAsia="en-GB"/>
              </w:rPr>
            </w:pPr>
            <w:r w:rsidRPr="004F4BA7">
              <w:rPr>
                <w:lang w:eastAsia="en-GB"/>
              </w:rPr>
              <w:t>Average Annual Change (2021-2031) (Step 1)</w:t>
            </w:r>
          </w:p>
        </w:tc>
        <w:tc>
          <w:tcPr>
            <w:tcW w:w="0" w:type="auto"/>
            <w:hideMark/>
          </w:tcPr>
          <w:p w14:paraId="6AEC13A1" w14:textId="77777777" w:rsidR="00605B15" w:rsidRPr="004F4BA7" w:rsidRDefault="00605B15" w:rsidP="007D0FBF">
            <w:pPr>
              <w:cnfStyle w:val="100000000000" w:firstRow="1" w:lastRow="0" w:firstColumn="0" w:lastColumn="0" w:oddVBand="0" w:evenVBand="0" w:oddHBand="0" w:evenHBand="0" w:firstRowFirstColumn="0" w:firstRowLastColumn="0" w:lastRowFirstColumn="0" w:lastRowLastColumn="0"/>
              <w:rPr>
                <w:lang w:eastAsia="en-GB"/>
              </w:rPr>
            </w:pPr>
            <w:r w:rsidRPr="004F4BA7">
              <w:rPr>
                <w:lang w:eastAsia="en-GB"/>
              </w:rPr>
              <w:t>Affordability Ratio 2020</w:t>
            </w:r>
          </w:p>
        </w:tc>
        <w:tc>
          <w:tcPr>
            <w:tcW w:w="0" w:type="auto"/>
            <w:hideMark/>
          </w:tcPr>
          <w:p w14:paraId="7DB9EA8A" w14:textId="77777777" w:rsidR="00605B15" w:rsidRPr="004F4BA7" w:rsidRDefault="00605B15" w:rsidP="007D0FBF">
            <w:pPr>
              <w:cnfStyle w:val="100000000000" w:firstRow="1" w:lastRow="0" w:firstColumn="0" w:lastColumn="0" w:oddVBand="0" w:evenVBand="0" w:oddHBand="0" w:evenHBand="0" w:firstRowFirstColumn="0" w:firstRowLastColumn="0" w:lastRowFirstColumn="0" w:lastRowLastColumn="0"/>
              <w:rPr>
                <w:lang w:eastAsia="en-GB"/>
              </w:rPr>
            </w:pPr>
            <w:r w:rsidRPr="004F4BA7">
              <w:rPr>
                <w:lang w:eastAsia="en-GB"/>
              </w:rPr>
              <w:t>Adjustment Factor</w:t>
            </w:r>
          </w:p>
        </w:tc>
        <w:tc>
          <w:tcPr>
            <w:tcW w:w="0" w:type="auto"/>
            <w:hideMark/>
          </w:tcPr>
          <w:p w14:paraId="0C615F41" w14:textId="77777777" w:rsidR="00605B15" w:rsidRPr="003A75AB" w:rsidRDefault="00605B15" w:rsidP="007D0FBF">
            <w:pPr>
              <w:cnfStyle w:val="100000000000" w:firstRow="1" w:lastRow="0" w:firstColumn="0" w:lastColumn="0" w:oddVBand="0" w:evenVBand="0" w:oddHBand="0" w:evenHBand="0" w:firstRowFirstColumn="0" w:firstRowLastColumn="0" w:lastRowFirstColumn="0" w:lastRowLastColumn="0"/>
              <w:rPr>
                <w:lang w:eastAsia="en-GB"/>
              </w:rPr>
            </w:pPr>
            <w:r w:rsidRPr="004F4BA7">
              <w:rPr>
                <w:lang w:eastAsia="en-GB"/>
              </w:rPr>
              <w:t xml:space="preserve">Housing Need Uncapped </w:t>
            </w:r>
          </w:p>
          <w:p w14:paraId="6067B56E" w14:textId="76E6B958" w:rsidR="00605B15" w:rsidRPr="004F4BA7" w:rsidRDefault="00605B15" w:rsidP="007D0FBF">
            <w:pPr>
              <w:cnfStyle w:val="100000000000" w:firstRow="1" w:lastRow="0" w:firstColumn="0" w:lastColumn="0" w:oddVBand="0" w:evenVBand="0" w:oddHBand="0" w:evenHBand="0" w:firstRowFirstColumn="0" w:firstRowLastColumn="0" w:lastRowFirstColumn="0" w:lastRowLastColumn="0"/>
              <w:rPr>
                <w:lang w:eastAsia="en-GB"/>
              </w:rPr>
            </w:pPr>
            <w:r w:rsidRPr="004F4BA7">
              <w:rPr>
                <w:lang w:eastAsia="en-GB"/>
              </w:rPr>
              <w:t>(Step 2)</w:t>
            </w:r>
          </w:p>
        </w:tc>
      </w:tr>
      <w:tr w:rsidR="00605B15" w:rsidRPr="00605B15" w14:paraId="1E1ADD63"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1D4E7ED6" w14:textId="77777777" w:rsidR="00605B15" w:rsidRPr="00605B15" w:rsidRDefault="00605B15" w:rsidP="007D0FBF">
            <w:pPr>
              <w:rPr>
                <w:color w:val="000000"/>
                <w:lang w:eastAsia="en-GB"/>
              </w:rPr>
            </w:pPr>
            <w:r w:rsidRPr="00605B15">
              <w:rPr>
                <w:color w:val="000000"/>
                <w:lang w:eastAsia="en-GB"/>
              </w:rPr>
              <w:t>Cambridge</w:t>
            </w:r>
          </w:p>
        </w:tc>
        <w:tc>
          <w:tcPr>
            <w:tcW w:w="0" w:type="auto"/>
            <w:noWrap/>
            <w:hideMark/>
          </w:tcPr>
          <w:p w14:paraId="676494F5"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434</w:t>
            </w:r>
          </w:p>
        </w:tc>
        <w:tc>
          <w:tcPr>
            <w:tcW w:w="0" w:type="auto"/>
            <w:noWrap/>
            <w:hideMark/>
          </w:tcPr>
          <w:p w14:paraId="18B36435"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12.42</w:t>
            </w:r>
          </w:p>
        </w:tc>
        <w:tc>
          <w:tcPr>
            <w:tcW w:w="0" w:type="auto"/>
            <w:noWrap/>
            <w:hideMark/>
          </w:tcPr>
          <w:p w14:paraId="3517F9A1"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153%</w:t>
            </w:r>
          </w:p>
        </w:tc>
        <w:tc>
          <w:tcPr>
            <w:tcW w:w="0" w:type="auto"/>
            <w:noWrap/>
            <w:hideMark/>
          </w:tcPr>
          <w:p w14:paraId="73D06E0D"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662</w:t>
            </w:r>
          </w:p>
        </w:tc>
      </w:tr>
      <w:tr w:rsidR="00605B15" w:rsidRPr="00605B15" w14:paraId="16C5C241"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07ABF1C4" w14:textId="77777777" w:rsidR="00605B15" w:rsidRPr="00605B15" w:rsidRDefault="00605B15" w:rsidP="007D0FBF">
            <w:pPr>
              <w:rPr>
                <w:color w:val="000000"/>
                <w:lang w:eastAsia="en-GB"/>
              </w:rPr>
            </w:pPr>
            <w:r w:rsidRPr="00605B15">
              <w:rPr>
                <w:color w:val="000000"/>
                <w:lang w:eastAsia="en-GB"/>
              </w:rPr>
              <w:t>East Cambs</w:t>
            </w:r>
          </w:p>
        </w:tc>
        <w:tc>
          <w:tcPr>
            <w:tcW w:w="0" w:type="auto"/>
            <w:noWrap/>
            <w:hideMark/>
          </w:tcPr>
          <w:p w14:paraId="6A6694AA"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426</w:t>
            </w:r>
          </w:p>
        </w:tc>
        <w:tc>
          <w:tcPr>
            <w:tcW w:w="0" w:type="auto"/>
            <w:noWrap/>
            <w:hideMark/>
          </w:tcPr>
          <w:p w14:paraId="7C621AE4"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11.12</w:t>
            </w:r>
          </w:p>
        </w:tc>
        <w:tc>
          <w:tcPr>
            <w:tcW w:w="0" w:type="auto"/>
            <w:noWrap/>
            <w:hideMark/>
          </w:tcPr>
          <w:p w14:paraId="5AAE9490"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145%</w:t>
            </w:r>
          </w:p>
        </w:tc>
        <w:tc>
          <w:tcPr>
            <w:tcW w:w="0" w:type="auto"/>
            <w:noWrap/>
            <w:hideMark/>
          </w:tcPr>
          <w:p w14:paraId="76863C57"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616</w:t>
            </w:r>
          </w:p>
        </w:tc>
      </w:tr>
      <w:tr w:rsidR="00605B15" w:rsidRPr="00605B15" w14:paraId="400CB6F6"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BB9F9C7" w14:textId="77777777" w:rsidR="00605B15" w:rsidRPr="00605B15" w:rsidRDefault="00605B15" w:rsidP="007D0FBF">
            <w:pPr>
              <w:rPr>
                <w:color w:val="000000"/>
                <w:lang w:eastAsia="en-GB"/>
              </w:rPr>
            </w:pPr>
            <w:r w:rsidRPr="00605B15">
              <w:rPr>
                <w:color w:val="000000"/>
                <w:lang w:eastAsia="en-GB"/>
              </w:rPr>
              <w:t>Fenland</w:t>
            </w:r>
          </w:p>
        </w:tc>
        <w:tc>
          <w:tcPr>
            <w:tcW w:w="0" w:type="auto"/>
            <w:noWrap/>
            <w:hideMark/>
          </w:tcPr>
          <w:p w14:paraId="68B009AD"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426</w:t>
            </w:r>
          </w:p>
        </w:tc>
        <w:tc>
          <w:tcPr>
            <w:tcW w:w="0" w:type="auto"/>
            <w:noWrap/>
            <w:hideMark/>
          </w:tcPr>
          <w:p w14:paraId="44702F81"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7.41</w:t>
            </w:r>
          </w:p>
        </w:tc>
        <w:tc>
          <w:tcPr>
            <w:tcW w:w="0" w:type="auto"/>
            <w:noWrap/>
            <w:hideMark/>
          </w:tcPr>
          <w:p w14:paraId="1EDB32CB"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121%</w:t>
            </w:r>
          </w:p>
        </w:tc>
        <w:tc>
          <w:tcPr>
            <w:tcW w:w="0" w:type="auto"/>
            <w:noWrap/>
            <w:hideMark/>
          </w:tcPr>
          <w:p w14:paraId="5A3861CC"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517</w:t>
            </w:r>
          </w:p>
        </w:tc>
      </w:tr>
      <w:tr w:rsidR="00605B15" w:rsidRPr="00605B15" w14:paraId="08BC54DD"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42D3CBC4" w14:textId="77777777" w:rsidR="00605B15" w:rsidRPr="00605B15" w:rsidRDefault="00605B15" w:rsidP="007D0FBF">
            <w:pPr>
              <w:rPr>
                <w:color w:val="000000"/>
                <w:lang w:eastAsia="en-GB"/>
              </w:rPr>
            </w:pPr>
            <w:r w:rsidRPr="00605B15">
              <w:rPr>
                <w:color w:val="000000"/>
                <w:lang w:eastAsia="en-GB"/>
              </w:rPr>
              <w:t>Huntingdonshire</w:t>
            </w:r>
          </w:p>
        </w:tc>
        <w:tc>
          <w:tcPr>
            <w:tcW w:w="0" w:type="auto"/>
            <w:noWrap/>
            <w:hideMark/>
          </w:tcPr>
          <w:p w14:paraId="523CF438"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718</w:t>
            </w:r>
          </w:p>
        </w:tc>
        <w:tc>
          <w:tcPr>
            <w:tcW w:w="0" w:type="auto"/>
            <w:noWrap/>
            <w:hideMark/>
          </w:tcPr>
          <w:p w14:paraId="0771F644"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9.18</w:t>
            </w:r>
          </w:p>
        </w:tc>
        <w:tc>
          <w:tcPr>
            <w:tcW w:w="0" w:type="auto"/>
            <w:noWrap/>
            <w:hideMark/>
          </w:tcPr>
          <w:p w14:paraId="3A015416"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132%</w:t>
            </w:r>
          </w:p>
        </w:tc>
        <w:tc>
          <w:tcPr>
            <w:tcW w:w="0" w:type="auto"/>
            <w:noWrap/>
            <w:hideMark/>
          </w:tcPr>
          <w:p w14:paraId="6003B179"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951</w:t>
            </w:r>
          </w:p>
        </w:tc>
      </w:tr>
      <w:tr w:rsidR="00605B15" w:rsidRPr="00605B15" w14:paraId="4B64BD09"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C1056F6" w14:textId="77777777" w:rsidR="00605B15" w:rsidRPr="00605B15" w:rsidRDefault="00605B15" w:rsidP="007D0FBF">
            <w:pPr>
              <w:rPr>
                <w:color w:val="000000"/>
                <w:lang w:eastAsia="en-GB"/>
              </w:rPr>
            </w:pPr>
            <w:r w:rsidRPr="00605B15">
              <w:rPr>
                <w:color w:val="000000"/>
                <w:lang w:eastAsia="en-GB"/>
              </w:rPr>
              <w:t>South Cambs</w:t>
            </w:r>
          </w:p>
        </w:tc>
        <w:tc>
          <w:tcPr>
            <w:tcW w:w="0" w:type="auto"/>
            <w:noWrap/>
            <w:hideMark/>
          </w:tcPr>
          <w:p w14:paraId="59E4E971"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783</w:t>
            </w:r>
          </w:p>
        </w:tc>
        <w:tc>
          <w:tcPr>
            <w:tcW w:w="0" w:type="auto"/>
            <w:noWrap/>
            <w:hideMark/>
          </w:tcPr>
          <w:p w14:paraId="3DDC783B"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10.13</w:t>
            </w:r>
          </w:p>
        </w:tc>
        <w:tc>
          <w:tcPr>
            <w:tcW w:w="0" w:type="auto"/>
            <w:noWrap/>
            <w:hideMark/>
          </w:tcPr>
          <w:p w14:paraId="4DFD43A7"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138%</w:t>
            </w:r>
          </w:p>
        </w:tc>
        <w:tc>
          <w:tcPr>
            <w:tcW w:w="0" w:type="auto"/>
            <w:noWrap/>
            <w:hideMark/>
          </w:tcPr>
          <w:p w14:paraId="08193DCE"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1,083</w:t>
            </w:r>
          </w:p>
        </w:tc>
      </w:tr>
      <w:tr w:rsidR="00605B15" w:rsidRPr="00605B15" w14:paraId="004D565B"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72B4DAC2" w14:textId="77777777" w:rsidR="00605B15" w:rsidRPr="00605B15" w:rsidRDefault="00605B15" w:rsidP="007D0FBF">
            <w:pPr>
              <w:rPr>
                <w:i/>
                <w:iCs/>
                <w:lang w:eastAsia="en-GB"/>
              </w:rPr>
            </w:pPr>
            <w:r w:rsidRPr="00605B15">
              <w:rPr>
                <w:i/>
                <w:iCs/>
                <w:lang w:eastAsia="en-GB"/>
              </w:rPr>
              <w:t>Forest Heath</w:t>
            </w:r>
          </w:p>
        </w:tc>
        <w:tc>
          <w:tcPr>
            <w:tcW w:w="0" w:type="auto"/>
            <w:noWrap/>
            <w:hideMark/>
          </w:tcPr>
          <w:p w14:paraId="1F39322D"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279</w:t>
            </w:r>
          </w:p>
        </w:tc>
        <w:tc>
          <w:tcPr>
            <w:tcW w:w="0" w:type="auto"/>
            <w:noWrap/>
            <w:hideMark/>
          </w:tcPr>
          <w:p w14:paraId="704698D3"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8.81</w:t>
            </w:r>
          </w:p>
        </w:tc>
        <w:tc>
          <w:tcPr>
            <w:tcW w:w="0" w:type="auto"/>
            <w:noWrap/>
            <w:hideMark/>
          </w:tcPr>
          <w:p w14:paraId="5F61C47F"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130%</w:t>
            </w:r>
          </w:p>
        </w:tc>
        <w:tc>
          <w:tcPr>
            <w:tcW w:w="0" w:type="auto"/>
            <w:noWrap/>
            <w:hideMark/>
          </w:tcPr>
          <w:p w14:paraId="44BC2111"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363</w:t>
            </w:r>
          </w:p>
        </w:tc>
      </w:tr>
      <w:tr w:rsidR="00605B15" w:rsidRPr="00605B15" w14:paraId="6D780034"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1F697FB" w14:textId="77777777" w:rsidR="00605B15" w:rsidRPr="00605B15" w:rsidRDefault="00605B15" w:rsidP="007D0FBF">
            <w:pPr>
              <w:rPr>
                <w:i/>
                <w:iCs/>
                <w:lang w:eastAsia="en-GB"/>
              </w:rPr>
            </w:pPr>
            <w:r w:rsidRPr="00605B15">
              <w:rPr>
                <w:i/>
                <w:iCs/>
                <w:lang w:eastAsia="en-GB"/>
              </w:rPr>
              <w:t>St Edmundsbury</w:t>
            </w:r>
          </w:p>
        </w:tc>
        <w:tc>
          <w:tcPr>
            <w:tcW w:w="0" w:type="auto"/>
            <w:noWrap/>
            <w:hideMark/>
          </w:tcPr>
          <w:p w14:paraId="5C31577E"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328</w:t>
            </w:r>
          </w:p>
        </w:tc>
        <w:tc>
          <w:tcPr>
            <w:tcW w:w="0" w:type="auto"/>
            <w:noWrap/>
            <w:hideMark/>
          </w:tcPr>
          <w:p w14:paraId="6BF666CB"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9.13</w:t>
            </w:r>
          </w:p>
        </w:tc>
        <w:tc>
          <w:tcPr>
            <w:tcW w:w="0" w:type="auto"/>
            <w:noWrap/>
            <w:hideMark/>
          </w:tcPr>
          <w:p w14:paraId="66D27AC5"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132%</w:t>
            </w:r>
          </w:p>
        </w:tc>
        <w:tc>
          <w:tcPr>
            <w:tcW w:w="0" w:type="auto"/>
            <w:noWrap/>
            <w:hideMark/>
          </w:tcPr>
          <w:p w14:paraId="33BCCFAD"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433</w:t>
            </w:r>
          </w:p>
        </w:tc>
      </w:tr>
      <w:tr w:rsidR="00605B15" w:rsidRPr="00605B15" w14:paraId="2A878F3E"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2FACBB5C" w14:textId="77777777" w:rsidR="00605B15" w:rsidRPr="00605B15" w:rsidRDefault="00605B15" w:rsidP="007D0FBF">
            <w:pPr>
              <w:rPr>
                <w:color w:val="000000"/>
                <w:lang w:eastAsia="en-GB"/>
              </w:rPr>
            </w:pPr>
            <w:r w:rsidRPr="00605B15">
              <w:rPr>
                <w:color w:val="000000"/>
                <w:lang w:eastAsia="en-GB"/>
              </w:rPr>
              <w:t xml:space="preserve">West Suffolk </w:t>
            </w:r>
          </w:p>
        </w:tc>
        <w:tc>
          <w:tcPr>
            <w:tcW w:w="0" w:type="auto"/>
            <w:noWrap/>
            <w:hideMark/>
          </w:tcPr>
          <w:p w14:paraId="109C84A1"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607</w:t>
            </w:r>
          </w:p>
        </w:tc>
        <w:tc>
          <w:tcPr>
            <w:tcW w:w="0" w:type="auto"/>
            <w:noWrap/>
            <w:hideMark/>
          </w:tcPr>
          <w:p w14:paraId="5F98BD8C"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 </w:t>
            </w:r>
          </w:p>
        </w:tc>
        <w:tc>
          <w:tcPr>
            <w:tcW w:w="0" w:type="auto"/>
            <w:noWrap/>
            <w:hideMark/>
          </w:tcPr>
          <w:p w14:paraId="01AC9262"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 </w:t>
            </w:r>
          </w:p>
        </w:tc>
        <w:tc>
          <w:tcPr>
            <w:tcW w:w="0" w:type="auto"/>
            <w:noWrap/>
            <w:hideMark/>
          </w:tcPr>
          <w:p w14:paraId="54786A01"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796</w:t>
            </w:r>
          </w:p>
        </w:tc>
      </w:tr>
      <w:tr w:rsidR="00605B15" w:rsidRPr="00605B15" w14:paraId="7C99D679"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2D8F1710" w14:textId="77777777" w:rsidR="00605B15" w:rsidRPr="00605B15" w:rsidRDefault="00605B15" w:rsidP="007D0FBF">
            <w:pPr>
              <w:rPr>
                <w:b/>
                <w:bCs/>
                <w:color w:val="000000"/>
                <w:lang w:eastAsia="en-GB"/>
              </w:rPr>
            </w:pPr>
            <w:r w:rsidRPr="00605B15">
              <w:rPr>
                <w:b/>
                <w:bCs/>
                <w:color w:val="000000"/>
                <w:lang w:eastAsia="en-GB"/>
              </w:rPr>
              <w:t>HMA</w:t>
            </w:r>
          </w:p>
        </w:tc>
        <w:tc>
          <w:tcPr>
            <w:tcW w:w="0" w:type="auto"/>
            <w:noWrap/>
            <w:hideMark/>
          </w:tcPr>
          <w:p w14:paraId="65749CF9" w14:textId="77777777" w:rsidR="00605B15" w:rsidRPr="004F4BA7" w:rsidRDefault="00605B15" w:rsidP="007D0FBF">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3,394</w:t>
            </w:r>
          </w:p>
        </w:tc>
        <w:tc>
          <w:tcPr>
            <w:tcW w:w="0" w:type="auto"/>
            <w:noWrap/>
            <w:hideMark/>
          </w:tcPr>
          <w:p w14:paraId="45B6E655" w14:textId="77777777" w:rsidR="00605B15" w:rsidRPr="004F4BA7" w:rsidRDefault="00605B15" w:rsidP="007D0FB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eastAsia="en-GB"/>
              </w:rPr>
            </w:pPr>
            <w:r w:rsidRPr="004F4BA7">
              <w:rPr>
                <w:rFonts w:ascii="Calibri" w:hAnsi="Calibri"/>
                <w:b/>
                <w:bCs/>
                <w:color w:val="000000"/>
                <w:sz w:val="22"/>
                <w:szCs w:val="22"/>
                <w:lang w:eastAsia="en-GB"/>
              </w:rPr>
              <w:t> </w:t>
            </w:r>
          </w:p>
        </w:tc>
        <w:tc>
          <w:tcPr>
            <w:tcW w:w="0" w:type="auto"/>
            <w:noWrap/>
            <w:hideMark/>
          </w:tcPr>
          <w:p w14:paraId="14AF179C" w14:textId="77777777" w:rsidR="00605B15" w:rsidRPr="004F4BA7" w:rsidRDefault="00605B15" w:rsidP="007D0FB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eastAsia="en-GB"/>
              </w:rPr>
            </w:pPr>
            <w:r w:rsidRPr="004F4BA7">
              <w:rPr>
                <w:rFonts w:ascii="Calibri" w:hAnsi="Calibri"/>
                <w:b/>
                <w:bCs/>
                <w:color w:val="000000"/>
                <w:sz w:val="22"/>
                <w:szCs w:val="22"/>
                <w:lang w:eastAsia="en-GB"/>
              </w:rPr>
              <w:t> </w:t>
            </w:r>
          </w:p>
        </w:tc>
        <w:tc>
          <w:tcPr>
            <w:tcW w:w="0" w:type="auto"/>
            <w:noWrap/>
            <w:hideMark/>
          </w:tcPr>
          <w:p w14:paraId="1C296F26" w14:textId="77777777" w:rsidR="00605B15" w:rsidRPr="004F4BA7" w:rsidRDefault="00605B15" w:rsidP="007D0FBF">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4,625</w:t>
            </w:r>
          </w:p>
        </w:tc>
      </w:tr>
      <w:tr w:rsidR="00605B15" w:rsidRPr="00605B15" w14:paraId="2243DD0B" w14:textId="77777777" w:rsidTr="00605B15">
        <w:trPr>
          <w:trHeight w:val="264"/>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5DFB6" w14:textId="77777777" w:rsidR="00605B15" w:rsidRPr="00605B15" w:rsidRDefault="00605B15" w:rsidP="007D0FBF">
            <w:pPr>
              <w:rPr>
                <w:color w:val="000000"/>
                <w:lang w:eastAsia="en-GB"/>
              </w:rPr>
            </w:pPr>
            <w:r w:rsidRPr="00605B15">
              <w:rPr>
                <w:color w:val="000000"/>
                <w:lang w:eastAsia="en-GB"/>
              </w:rPr>
              <w:t>Greater Cambridge</w:t>
            </w:r>
          </w:p>
        </w:tc>
        <w:tc>
          <w:tcPr>
            <w:tcW w:w="0" w:type="auto"/>
            <w:noWrap/>
            <w:hideMark/>
          </w:tcPr>
          <w:p w14:paraId="2624176B"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1,217</w:t>
            </w:r>
          </w:p>
        </w:tc>
        <w:tc>
          <w:tcPr>
            <w:tcW w:w="0" w:type="auto"/>
            <w:noWrap/>
            <w:hideMark/>
          </w:tcPr>
          <w:p w14:paraId="51A33697"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605B15">
              <w:rPr>
                <w:rFonts w:ascii="Calibri" w:hAnsi="Calibri"/>
                <w:color w:val="000000"/>
                <w:sz w:val="22"/>
                <w:szCs w:val="22"/>
                <w:lang w:eastAsia="en-GB"/>
              </w:rPr>
              <w:t> </w:t>
            </w:r>
          </w:p>
        </w:tc>
        <w:tc>
          <w:tcPr>
            <w:tcW w:w="0" w:type="auto"/>
            <w:noWrap/>
            <w:hideMark/>
          </w:tcPr>
          <w:p w14:paraId="7D722D12"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605B15">
              <w:rPr>
                <w:rFonts w:ascii="Calibri" w:hAnsi="Calibri"/>
                <w:color w:val="000000"/>
                <w:sz w:val="22"/>
                <w:szCs w:val="22"/>
                <w:lang w:eastAsia="en-GB"/>
              </w:rPr>
              <w:t> </w:t>
            </w:r>
          </w:p>
        </w:tc>
        <w:tc>
          <w:tcPr>
            <w:tcW w:w="0" w:type="auto"/>
            <w:noWrap/>
            <w:hideMark/>
          </w:tcPr>
          <w:p w14:paraId="20381329" w14:textId="77777777" w:rsidR="00605B15" w:rsidRPr="00605B15" w:rsidRDefault="00605B15" w:rsidP="007D0FBF">
            <w:pPr>
              <w:cnfStyle w:val="000000000000" w:firstRow="0" w:lastRow="0" w:firstColumn="0" w:lastColumn="0" w:oddVBand="0" w:evenVBand="0" w:oddHBand="0" w:evenHBand="0" w:firstRowFirstColumn="0" w:firstRowLastColumn="0" w:lastRowFirstColumn="0" w:lastRowLastColumn="0"/>
              <w:rPr>
                <w:color w:val="000000"/>
                <w:lang w:eastAsia="en-GB"/>
              </w:rPr>
            </w:pPr>
            <w:r w:rsidRPr="00605B15">
              <w:rPr>
                <w:color w:val="000000"/>
                <w:lang w:eastAsia="en-GB"/>
              </w:rPr>
              <w:t>1,745</w:t>
            </w:r>
          </w:p>
        </w:tc>
      </w:tr>
    </w:tbl>
    <w:p w14:paraId="3C8DBEFE" w14:textId="77777777" w:rsidR="00E07D1C" w:rsidRDefault="00E07D1C" w:rsidP="007D0FBF">
      <w:pPr>
        <w:pStyle w:val="11Bodytext"/>
        <w:numPr>
          <w:ilvl w:val="0"/>
          <w:numId w:val="0"/>
        </w:numPr>
        <w:spacing w:before="0" w:after="0" w:line="240" w:lineRule="auto"/>
        <w:ind w:left="794"/>
      </w:pPr>
      <w:r>
        <w:t>Source: ONS - Ministry of Housing, Communities &amp; Local Government 2014-based household projections</w:t>
      </w:r>
    </w:p>
    <w:p w14:paraId="24E4E985" w14:textId="77777777" w:rsidR="00E07D1C" w:rsidRDefault="00E07D1C" w:rsidP="00B74A73">
      <w:pPr>
        <w:pStyle w:val="Heading3"/>
      </w:pPr>
      <w:r>
        <w:lastRenderedPageBreak/>
        <w:t>Step 3 – Capping the level of any increase</w:t>
      </w:r>
    </w:p>
    <w:p w14:paraId="7CDF6596" w14:textId="77777777" w:rsidR="00E07D1C" w:rsidRDefault="00E07D1C" w:rsidP="007D0FBF">
      <w:pPr>
        <w:pStyle w:val="11Bodytext"/>
      </w:pPr>
      <w:r>
        <w:t xml:space="preserve">As noted in the main report, the third step of the standard method is to cap the level of increase to a deliverable level. How the cap is applied depends on the age of the Local Plan and the extent of the housing target within it. </w:t>
      </w:r>
    </w:p>
    <w:p w14:paraId="21491644" w14:textId="77777777" w:rsidR="00E07D1C" w:rsidRDefault="00E07D1C" w:rsidP="007D0FBF">
      <w:pPr>
        <w:pStyle w:val="11Bodytext"/>
      </w:pPr>
      <w:r>
        <w:t xml:space="preserve">As shown in the table below, the position as regards the age of each of the districts’ Local Plans has not changed, therefore in every case the HNF resulting from Step 2 applies. </w:t>
      </w:r>
    </w:p>
    <w:p w14:paraId="0BE80267" w14:textId="77777777" w:rsidR="00E07D1C" w:rsidRPr="007D0FBF" w:rsidRDefault="00E07D1C" w:rsidP="003D5E23">
      <w:pPr>
        <w:pStyle w:val="Tableheading"/>
        <w:numPr>
          <w:ilvl w:val="0"/>
          <w:numId w:val="54"/>
        </w:numPr>
      </w:pPr>
      <w:r w:rsidRPr="007D0FBF">
        <w:t>Housing Need Step 3 (following PPG 039)</w:t>
      </w:r>
    </w:p>
    <w:tbl>
      <w:tblPr>
        <w:tblStyle w:val="TableGridLight1"/>
        <w:tblW w:w="8816" w:type="dxa"/>
        <w:tblInd w:w="846" w:type="dxa"/>
        <w:tblLook w:val="04A0" w:firstRow="1" w:lastRow="0" w:firstColumn="1" w:lastColumn="0" w:noHBand="0" w:noVBand="1"/>
      </w:tblPr>
      <w:tblGrid>
        <w:gridCol w:w="1885"/>
        <w:gridCol w:w="1091"/>
        <w:gridCol w:w="1283"/>
        <w:gridCol w:w="1321"/>
        <w:gridCol w:w="1103"/>
        <w:gridCol w:w="1030"/>
        <w:gridCol w:w="1103"/>
      </w:tblGrid>
      <w:tr w:rsidR="002B3FE2" w:rsidRPr="002B3FE2" w14:paraId="3844C026" w14:textId="77777777" w:rsidTr="004F4BA7">
        <w:trPr>
          <w:cnfStyle w:val="100000000000" w:firstRow="1" w:lastRow="0" w:firstColumn="0" w:lastColumn="0" w:oddVBand="0" w:evenVBand="0" w:oddHBand="0" w:evenHBand="0" w:firstRowFirstColumn="0" w:firstRowLastColumn="0" w:lastRowFirstColumn="0" w:lastRowLastColumn="0"/>
          <w:cantSplit/>
          <w:trHeight w:val="1142"/>
        </w:trPr>
        <w:tc>
          <w:tcPr>
            <w:cnfStyle w:val="001000000000" w:firstRow="0" w:lastRow="0" w:firstColumn="1" w:lastColumn="0" w:oddVBand="0" w:evenVBand="0" w:oddHBand="0" w:evenHBand="0" w:firstRowFirstColumn="0" w:firstRowLastColumn="0" w:lastRowFirstColumn="0" w:lastRowLastColumn="0"/>
            <w:tcW w:w="1885" w:type="dxa"/>
            <w:hideMark/>
          </w:tcPr>
          <w:p w14:paraId="09DA5710" w14:textId="77777777" w:rsidR="002B3FE2" w:rsidRPr="002B3FE2" w:rsidRDefault="002B3FE2" w:rsidP="00C4126C">
            <w:pPr>
              <w:rPr>
                <w:color w:val="000000"/>
                <w:szCs w:val="24"/>
                <w:lang w:eastAsia="en-GB"/>
              </w:rPr>
            </w:pPr>
            <w:r w:rsidRPr="002B3FE2">
              <w:rPr>
                <w:color w:val="000000"/>
                <w:szCs w:val="24"/>
                <w:lang w:eastAsia="en-GB"/>
              </w:rPr>
              <w:t>Local Authority</w:t>
            </w:r>
          </w:p>
        </w:tc>
        <w:tc>
          <w:tcPr>
            <w:tcW w:w="1091" w:type="dxa"/>
            <w:hideMark/>
          </w:tcPr>
          <w:p w14:paraId="184AAD19" w14:textId="0F2B7833" w:rsidR="002B3FE2" w:rsidRPr="002B3FE2" w:rsidRDefault="002B3FE2" w:rsidP="00C4126C">
            <w:pPr>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Average Annual Change (Step 1)</w:t>
            </w:r>
          </w:p>
        </w:tc>
        <w:tc>
          <w:tcPr>
            <w:tcW w:w="1283" w:type="dxa"/>
            <w:hideMark/>
          </w:tcPr>
          <w:p w14:paraId="03DF58F9" w14:textId="77777777" w:rsidR="002B3FE2" w:rsidRPr="002B3FE2" w:rsidRDefault="002B3FE2" w:rsidP="00C4126C">
            <w:pPr>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Housing Need Uncapped (Step 2)</w:t>
            </w:r>
          </w:p>
        </w:tc>
        <w:tc>
          <w:tcPr>
            <w:tcW w:w="1321" w:type="dxa"/>
            <w:hideMark/>
          </w:tcPr>
          <w:p w14:paraId="2A650779" w14:textId="77777777" w:rsidR="002B3FE2" w:rsidRPr="002B3FE2" w:rsidRDefault="002B3FE2" w:rsidP="00C4126C">
            <w:pPr>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Current Local Plan Adoption Date</w:t>
            </w:r>
          </w:p>
        </w:tc>
        <w:tc>
          <w:tcPr>
            <w:tcW w:w="1103" w:type="dxa"/>
            <w:hideMark/>
          </w:tcPr>
          <w:p w14:paraId="00DC7D96" w14:textId="77777777" w:rsidR="002B3FE2" w:rsidRPr="002B3FE2" w:rsidRDefault="002B3FE2" w:rsidP="00C4126C">
            <w:pPr>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Local Plan Housing Target</w:t>
            </w:r>
          </w:p>
        </w:tc>
        <w:tc>
          <w:tcPr>
            <w:tcW w:w="1030" w:type="dxa"/>
            <w:hideMark/>
          </w:tcPr>
          <w:p w14:paraId="25CA81B1" w14:textId="77777777" w:rsidR="002B3FE2" w:rsidRPr="002B3FE2" w:rsidRDefault="002B3FE2" w:rsidP="00C4126C">
            <w:pPr>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Capped Figure (+40%)</w:t>
            </w:r>
          </w:p>
        </w:tc>
        <w:tc>
          <w:tcPr>
            <w:tcW w:w="1103" w:type="dxa"/>
            <w:hideMark/>
          </w:tcPr>
          <w:p w14:paraId="64DE1E7E" w14:textId="77777777" w:rsidR="002B3FE2" w:rsidRPr="002B3FE2" w:rsidRDefault="002B3FE2" w:rsidP="00C4126C">
            <w:pPr>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Housing Need (Step 3)</w:t>
            </w:r>
          </w:p>
        </w:tc>
      </w:tr>
      <w:tr w:rsidR="002B3FE2" w:rsidRPr="002B3FE2" w14:paraId="198D813E" w14:textId="77777777" w:rsidTr="004F4BA7">
        <w:trPr>
          <w:trHeight w:val="575"/>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08C310B" w14:textId="77777777" w:rsidR="002B3FE2" w:rsidRPr="002B3FE2" w:rsidRDefault="002B3FE2" w:rsidP="002B3FE2">
            <w:pPr>
              <w:rPr>
                <w:color w:val="000000"/>
                <w:szCs w:val="24"/>
                <w:lang w:eastAsia="en-GB"/>
              </w:rPr>
            </w:pPr>
            <w:r w:rsidRPr="002B3FE2">
              <w:rPr>
                <w:color w:val="000000"/>
                <w:szCs w:val="24"/>
                <w:lang w:eastAsia="en-GB"/>
              </w:rPr>
              <w:t>Cambridge</w:t>
            </w:r>
          </w:p>
        </w:tc>
        <w:tc>
          <w:tcPr>
            <w:tcW w:w="1091" w:type="dxa"/>
            <w:noWrap/>
            <w:hideMark/>
          </w:tcPr>
          <w:p w14:paraId="5D42588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434</w:t>
            </w:r>
          </w:p>
        </w:tc>
        <w:tc>
          <w:tcPr>
            <w:tcW w:w="1283" w:type="dxa"/>
            <w:noWrap/>
            <w:hideMark/>
          </w:tcPr>
          <w:p w14:paraId="554AEB3D"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662</w:t>
            </w:r>
          </w:p>
        </w:tc>
        <w:tc>
          <w:tcPr>
            <w:tcW w:w="1321" w:type="dxa"/>
            <w:hideMark/>
          </w:tcPr>
          <w:p w14:paraId="362F65D7"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18/10/2018 (&lt;5 Years)</w:t>
            </w:r>
          </w:p>
        </w:tc>
        <w:tc>
          <w:tcPr>
            <w:tcW w:w="1103" w:type="dxa"/>
            <w:noWrap/>
            <w:hideMark/>
          </w:tcPr>
          <w:p w14:paraId="5362CB69"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700</w:t>
            </w:r>
          </w:p>
        </w:tc>
        <w:tc>
          <w:tcPr>
            <w:tcW w:w="1030" w:type="dxa"/>
            <w:hideMark/>
          </w:tcPr>
          <w:p w14:paraId="102260FA"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980</w:t>
            </w:r>
          </w:p>
        </w:tc>
        <w:tc>
          <w:tcPr>
            <w:tcW w:w="1103" w:type="dxa"/>
            <w:noWrap/>
            <w:hideMark/>
          </w:tcPr>
          <w:p w14:paraId="11EF0488"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662</w:t>
            </w:r>
          </w:p>
        </w:tc>
      </w:tr>
      <w:tr w:rsidR="002B3FE2" w:rsidRPr="002B3FE2" w14:paraId="6904D91F" w14:textId="77777777" w:rsidTr="004F4BA7">
        <w:trPr>
          <w:trHeight w:val="575"/>
        </w:trPr>
        <w:tc>
          <w:tcPr>
            <w:cnfStyle w:val="001000000000" w:firstRow="0" w:lastRow="0" w:firstColumn="1" w:lastColumn="0" w:oddVBand="0" w:evenVBand="0" w:oddHBand="0" w:evenHBand="0" w:firstRowFirstColumn="0" w:firstRowLastColumn="0" w:lastRowFirstColumn="0" w:lastRowLastColumn="0"/>
            <w:tcW w:w="1885" w:type="dxa"/>
            <w:noWrap/>
            <w:hideMark/>
          </w:tcPr>
          <w:p w14:paraId="64A3E4F6" w14:textId="77777777" w:rsidR="002B3FE2" w:rsidRPr="002B3FE2" w:rsidRDefault="002B3FE2" w:rsidP="002B3FE2">
            <w:pPr>
              <w:rPr>
                <w:color w:val="000000"/>
                <w:szCs w:val="24"/>
                <w:lang w:eastAsia="en-GB"/>
              </w:rPr>
            </w:pPr>
            <w:r w:rsidRPr="002B3FE2">
              <w:rPr>
                <w:color w:val="000000"/>
                <w:szCs w:val="24"/>
                <w:lang w:eastAsia="en-GB"/>
              </w:rPr>
              <w:t>East Cambs</w:t>
            </w:r>
          </w:p>
        </w:tc>
        <w:tc>
          <w:tcPr>
            <w:tcW w:w="1091" w:type="dxa"/>
            <w:noWrap/>
            <w:hideMark/>
          </w:tcPr>
          <w:p w14:paraId="7E93AF78"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426</w:t>
            </w:r>
          </w:p>
        </w:tc>
        <w:tc>
          <w:tcPr>
            <w:tcW w:w="1283" w:type="dxa"/>
            <w:noWrap/>
            <w:hideMark/>
          </w:tcPr>
          <w:p w14:paraId="02BF835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616</w:t>
            </w:r>
          </w:p>
        </w:tc>
        <w:tc>
          <w:tcPr>
            <w:tcW w:w="1321" w:type="dxa"/>
            <w:hideMark/>
          </w:tcPr>
          <w:p w14:paraId="081E2DB9"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21/04/2015 (&gt;5 Years)</w:t>
            </w:r>
          </w:p>
        </w:tc>
        <w:tc>
          <w:tcPr>
            <w:tcW w:w="1103" w:type="dxa"/>
            <w:noWrap/>
            <w:hideMark/>
          </w:tcPr>
          <w:p w14:paraId="08CCBD8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575</w:t>
            </w:r>
          </w:p>
        </w:tc>
        <w:tc>
          <w:tcPr>
            <w:tcW w:w="1030" w:type="dxa"/>
            <w:hideMark/>
          </w:tcPr>
          <w:p w14:paraId="318F615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805</w:t>
            </w:r>
          </w:p>
        </w:tc>
        <w:tc>
          <w:tcPr>
            <w:tcW w:w="1103" w:type="dxa"/>
            <w:noWrap/>
            <w:hideMark/>
          </w:tcPr>
          <w:p w14:paraId="6495FC81"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616</w:t>
            </w:r>
          </w:p>
        </w:tc>
      </w:tr>
      <w:tr w:rsidR="002B3FE2" w:rsidRPr="002B3FE2" w14:paraId="1E7B9BD3" w14:textId="77777777" w:rsidTr="004F4BA7">
        <w:trPr>
          <w:trHeight w:val="575"/>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A0A688E" w14:textId="77777777" w:rsidR="002B3FE2" w:rsidRPr="002B3FE2" w:rsidRDefault="002B3FE2" w:rsidP="002B3FE2">
            <w:pPr>
              <w:rPr>
                <w:color w:val="000000"/>
                <w:szCs w:val="24"/>
                <w:lang w:eastAsia="en-GB"/>
              </w:rPr>
            </w:pPr>
            <w:r w:rsidRPr="002B3FE2">
              <w:rPr>
                <w:color w:val="000000"/>
                <w:szCs w:val="24"/>
                <w:lang w:eastAsia="en-GB"/>
              </w:rPr>
              <w:t>Fenland</w:t>
            </w:r>
          </w:p>
        </w:tc>
        <w:tc>
          <w:tcPr>
            <w:tcW w:w="1091" w:type="dxa"/>
            <w:noWrap/>
            <w:hideMark/>
          </w:tcPr>
          <w:p w14:paraId="7C59F7CF"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426</w:t>
            </w:r>
          </w:p>
        </w:tc>
        <w:tc>
          <w:tcPr>
            <w:tcW w:w="1283" w:type="dxa"/>
            <w:noWrap/>
            <w:hideMark/>
          </w:tcPr>
          <w:p w14:paraId="2284B384"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517</w:t>
            </w:r>
          </w:p>
        </w:tc>
        <w:tc>
          <w:tcPr>
            <w:tcW w:w="1321" w:type="dxa"/>
            <w:hideMark/>
          </w:tcPr>
          <w:p w14:paraId="57E79768"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08/05/2014 (&gt;5 Years)</w:t>
            </w:r>
          </w:p>
        </w:tc>
        <w:tc>
          <w:tcPr>
            <w:tcW w:w="1103" w:type="dxa"/>
            <w:noWrap/>
            <w:hideMark/>
          </w:tcPr>
          <w:p w14:paraId="6AA8636B"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550</w:t>
            </w:r>
          </w:p>
        </w:tc>
        <w:tc>
          <w:tcPr>
            <w:tcW w:w="1030" w:type="dxa"/>
            <w:hideMark/>
          </w:tcPr>
          <w:p w14:paraId="58FAFCA0"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770</w:t>
            </w:r>
          </w:p>
        </w:tc>
        <w:tc>
          <w:tcPr>
            <w:tcW w:w="1103" w:type="dxa"/>
            <w:noWrap/>
            <w:hideMark/>
          </w:tcPr>
          <w:p w14:paraId="2FBA708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517</w:t>
            </w:r>
          </w:p>
        </w:tc>
      </w:tr>
      <w:tr w:rsidR="002B3FE2" w:rsidRPr="002B3FE2" w14:paraId="3502AD8D" w14:textId="77777777" w:rsidTr="004F4BA7">
        <w:trPr>
          <w:trHeight w:val="291"/>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715AAA6" w14:textId="77777777" w:rsidR="002B3FE2" w:rsidRPr="002B3FE2" w:rsidRDefault="002B3FE2" w:rsidP="002B3FE2">
            <w:pPr>
              <w:rPr>
                <w:color w:val="000000"/>
                <w:szCs w:val="24"/>
                <w:lang w:eastAsia="en-GB"/>
              </w:rPr>
            </w:pPr>
            <w:r w:rsidRPr="002B3FE2">
              <w:rPr>
                <w:color w:val="000000"/>
                <w:szCs w:val="24"/>
                <w:lang w:eastAsia="en-GB"/>
              </w:rPr>
              <w:t>Huntingdonshire</w:t>
            </w:r>
          </w:p>
        </w:tc>
        <w:tc>
          <w:tcPr>
            <w:tcW w:w="1091" w:type="dxa"/>
            <w:noWrap/>
            <w:hideMark/>
          </w:tcPr>
          <w:p w14:paraId="6540503C"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718</w:t>
            </w:r>
          </w:p>
        </w:tc>
        <w:tc>
          <w:tcPr>
            <w:tcW w:w="1283" w:type="dxa"/>
            <w:noWrap/>
            <w:hideMark/>
          </w:tcPr>
          <w:p w14:paraId="6F52F4E5"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951</w:t>
            </w:r>
          </w:p>
        </w:tc>
        <w:tc>
          <w:tcPr>
            <w:tcW w:w="1321" w:type="dxa"/>
            <w:hideMark/>
          </w:tcPr>
          <w:p w14:paraId="5C89F2FF"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15/05/2019</w:t>
            </w:r>
          </w:p>
        </w:tc>
        <w:tc>
          <w:tcPr>
            <w:tcW w:w="1103" w:type="dxa"/>
            <w:noWrap/>
            <w:hideMark/>
          </w:tcPr>
          <w:p w14:paraId="333BF994"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804</w:t>
            </w:r>
          </w:p>
        </w:tc>
        <w:tc>
          <w:tcPr>
            <w:tcW w:w="1030" w:type="dxa"/>
            <w:hideMark/>
          </w:tcPr>
          <w:p w14:paraId="1EE26D8C"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1,126</w:t>
            </w:r>
          </w:p>
        </w:tc>
        <w:tc>
          <w:tcPr>
            <w:tcW w:w="1103" w:type="dxa"/>
            <w:noWrap/>
            <w:hideMark/>
          </w:tcPr>
          <w:p w14:paraId="6F9151F9"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951</w:t>
            </w:r>
          </w:p>
        </w:tc>
      </w:tr>
      <w:tr w:rsidR="002B3FE2" w:rsidRPr="002B3FE2" w14:paraId="058C64EC" w14:textId="77777777" w:rsidTr="004F4BA7">
        <w:trPr>
          <w:trHeight w:val="575"/>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2C8C9DF" w14:textId="77777777" w:rsidR="002B3FE2" w:rsidRPr="002B3FE2" w:rsidRDefault="002B3FE2" w:rsidP="002B3FE2">
            <w:pPr>
              <w:rPr>
                <w:color w:val="000000"/>
                <w:szCs w:val="24"/>
                <w:lang w:eastAsia="en-GB"/>
              </w:rPr>
            </w:pPr>
            <w:r w:rsidRPr="002B3FE2">
              <w:rPr>
                <w:color w:val="000000"/>
                <w:szCs w:val="24"/>
                <w:lang w:eastAsia="en-GB"/>
              </w:rPr>
              <w:t>South Cambs</w:t>
            </w:r>
          </w:p>
        </w:tc>
        <w:tc>
          <w:tcPr>
            <w:tcW w:w="1091" w:type="dxa"/>
            <w:noWrap/>
            <w:hideMark/>
          </w:tcPr>
          <w:p w14:paraId="2BF54D13"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783</w:t>
            </w:r>
          </w:p>
        </w:tc>
        <w:tc>
          <w:tcPr>
            <w:tcW w:w="1283" w:type="dxa"/>
            <w:noWrap/>
            <w:hideMark/>
          </w:tcPr>
          <w:p w14:paraId="7C9A9C4E"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1,083</w:t>
            </w:r>
          </w:p>
        </w:tc>
        <w:tc>
          <w:tcPr>
            <w:tcW w:w="1321" w:type="dxa"/>
            <w:hideMark/>
          </w:tcPr>
          <w:p w14:paraId="526B445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27/09/2018 (&lt;5 Years)</w:t>
            </w:r>
          </w:p>
        </w:tc>
        <w:tc>
          <w:tcPr>
            <w:tcW w:w="1103" w:type="dxa"/>
            <w:noWrap/>
            <w:hideMark/>
          </w:tcPr>
          <w:p w14:paraId="78297593"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975</w:t>
            </w:r>
          </w:p>
        </w:tc>
        <w:tc>
          <w:tcPr>
            <w:tcW w:w="1030" w:type="dxa"/>
            <w:hideMark/>
          </w:tcPr>
          <w:p w14:paraId="69907C8A"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1,365</w:t>
            </w:r>
          </w:p>
        </w:tc>
        <w:tc>
          <w:tcPr>
            <w:tcW w:w="1103" w:type="dxa"/>
            <w:noWrap/>
            <w:hideMark/>
          </w:tcPr>
          <w:p w14:paraId="6706A8F3"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1,083</w:t>
            </w:r>
          </w:p>
        </w:tc>
      </w:tr>
      <w:tr w:rsidR="002B3FE2" w:rsidRPr="002B3FE2" w14:paraId="6AA97284" w14:textId="77777777" w:rsidTr="004F4BA7">
        <w:trPr>
          <w:trHeight w:val="575"/>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60861C3" w14:textId="77777777" w:rsidR="002B3FE2" w:rsidRPr="002B3FE2" w:rsidRDefault="002B3FE2" w:rsidP="002B3FE2">
            <w:pPr>
              <w:rPr>
                <w:i/>
                <w:iCs/>
                <w:color w:val="000000"/>
                <w:szCs w:val="24"/>
                <w:lang w:eastAsia="en-GB"/>
              </w:rPr>
            </w:pPr>
            <w:r w:rsidRPr="002B3FE2">
              <w:rPr>
                <w:i/>
                <w:iCs/>
                <w:color w:val="000000"/>
                <w:szCs w:val="24"/>
                <w:lang w:eastAsia="en-GB"/>
              </w:rPr>
              <w:t>Forest Heath</w:t>
            </w:r>
          </w:p>
        </w:tc>
        <w:tc>
          <w:tcPr>
            <w:tcW w:w="1091" w:type="dxa"/>
            <w:noWrap/>
            <w:hideMark/>
          </w:tcPr>
          <w:p w14:paraId="3A9B603D"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279</w:t>
            </w:r>
          </w:p>
        </w:tc>
        <w:tc>
          <w:tcPr>
            <w:tcW w:w="1283" w:type="dxa"/>
            <w:noWrap/>
            <w:hideMark/>
          </w:tcPr>
          <w:p w14:paraId="75C7DB4C"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363</w:t>
            </w:r>
          </w:p>
        </w:tc>
        <w:tc>
          <w:tcPr>
            <w:tcW w:w="1321" w:type="dxa"/>
            <w:hideMark/>
          </w:tcPr>
          <w:p w14:paraId="0F34FC55"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19/09/2019 (&lt;5 Years)</w:t>
            </w:r>
          </w:p>
        </w:tc>
        <w:tc>
          <w:tcPr>
            <w:tcW w:w="1103" w:type="dxa"/>
            <w:noWrap/>
            <w:hideMark/>
          </w:tcPr>
          <w:p w14:paraId="7EC0F6F5"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i/>
                <w:iCs/>
                <w:color w:val="000000"/>
                <w:szCs w:val="24"/>
                <w:lang w:eastAsia="en-GB"/>
              </w:rPr>
            </w:pPr>
            <w:r w:rsidRPr="002B3FE2">
              <w:rPr>
                <w:i/>
                <w:iCs/>
                <w:color w:val="000000"/>
                <w:szCs w:val="24"/>
                <w:lang w:val="en-US" w:eastAsia="en-GB"/>
              </w:rPr>
              <w:t>340</w:t>
            </w:r>
          </w:p>
        </w:tc>
        <w:tc>
          <w:tcPr>
            <w:tcW w:w="1030" w:type="dxa"/>
            <w:hideMark/>
          </w:tcPr>
          <w:p w14:paraId="4BCF0A0B"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476</w:t>
            </w:r>
          </w:p>
        </w:tc>
        <w:tc>
          <w:tcPr>
            <w:tcW w:w="1103" w:type="dxa"/>
            <w:noWrap/>
            <w:hideMark/>
          </w:tcPr>
          <w:p w14:paraId="60C11758"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363</w:t>
            </w:r>
          </w:p>
        </w:tc>
      </w:tr>
      <w:tr w:rsidR="002B3FE2" w:rsidRPr="002B3FE2" w14:paraId="70944770" w14:textId="77777777" w:rsidTr="004F4BA7">
        <w:trPr>
          <w:trHeight w:val="575"/>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19B3335" w14:textId="77777777" w:rsidR="002B3FE2" w:rsidRPr="002B3FE2" w:rsidRDefault="002B3FE2" w:rsidP="002B3FE2">
            <w:pPr>
              <w:rPr>
                <w:i/>
                <w:iCs/>
                <w:color w:val="000000"/>
                <w:szCs w:val="24"/>
                <w:lang w:eastAsia="en-GB"/>
              </w:rPr>
            </w:pPr>
            <w:r w:rsidRPr="002B3FE2">
              <w:rPr>
                <w:i/>
                <w:iCs/>
                <w:color w:val="000000"/>
                <w:szCs w:val="24"/>
                <w:lang w:eastAsia="en-GB"/>
              </w:rPr>
              <w:t>St Edmundsbury</w:t>
            </w:r>
          </w:p>
        </w:tc>
        <w:tc>
          <w:tcPr>
            <w:tcW w:w="1091" w:type="dxa"/>
            <w:noWrap/>
            <w:hideMark/>
          </w:tcPr>
          <w:p w14:paraId="3A083865"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328</w:t>
            </w:r>
          </w:p>
        </w:tc>
        <w:tc>
          <w:tcPr>
            <w:tcW w:w="1283" w:type="dxa"/>
            <w:noWrap/>
            <w:hideMark/>
          </w:tcPr>
          <w:p w14:paraId="686840C0"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433</w:t>
            </w:r>
          </w:p>
        </w:tc>
        <w:tc>
          <w:tcPr>
            <w:tcW w:w="1321" w:type="dxa"/>
            <w:hideMark/>
          </w:tcPr>
          <w:p w14:paraId="0288E4B0"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val="en-US" w:eastAsia="en-GB"/>
              </w:rPr>
              <w:t>14/12/2010 (&gt;5 Years)</w:t>
            </w:r>
          </w:p>
        </w:tc>
        <w:tc>
          <w:tcPr>
            <w:tcW w:w="1103" w:type="dxa"/>
            <w:noWrap/>
            <w:hideMark/>
          </w:tcPr>
          <w:p w14:paraId="58B9ECBB"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i/>
                <w:iCs/>
                <w:color w:val="000000"/>
                <w:szCs w:val="24"/>
                <w:lang w:eastAsia="en-GB"/>
              </w:rPr>
            </w:pPr>
            <w:r w:rsidRPr="002B3FE2">
              <w:rPr>
                <w:i/>
                <w:iCs/>
                <w:color w:val="000000"/>
                <w:szCs w:val="24"/>
                <w:lang w:val="en-US" w:eastAsia="en-GB"/>
              </w:rPr>
              <w:t>520</w:t>
            </w:r>
          </w:p>
        </w:tc>
        <w:tc>
          <w:tcPr>
            <w:tcW w:w="1030" w:type="dxa"/>
            <w:hideMark/>
          </w:tcPr>
          <w:p w14:paraId="6FBBB5FF"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728</w:t>
            </w:r>
          </w:p>
        </w:tc>
        <w:tc>
          <w:tcPr>
            <w:tcW w:w="1103" w:type="dxa"/>
            <w:noWrap/>
            <w:hideMark/>
          </w:tcPr>
          <w:p w14:paraId="0F41F658"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433</w:t>
            </w:r>
          </w:p>
        </w:tc>
      </w:tr>
      <w:tr w:rsidR="002B3FE2" w:rsidRPr="002B3FE2" w14:paraId="74536D67" w14:textId="77777777" w:rsidTr="004F4BA7">
        <w:trPr>
          <w:trHeight w:val="291"/>
        </w:trPr>
        <w:tc>
          <w:tcPr>
            <w:cnfStyle w:val="001000000000" w:firstRow="0" w:lastRow="0" w:firstColumn="1" w:lastColumn="0" w:oddVBand="0" w:evenVBand="0" w:oddHBand="0" w:evenHBand="0" w:firstRowFirstColumn="0" w:firstRowLastColumn="0" w:lastRowFirstColumn="0" w:lastRowLastColumn="0"/>
            <w:tcW w:w="1885" w:type="dxa"/>
            <w:noWrap/>
            <w:hideMark/>
          </w:tcPr>
          <w:p w14:paraId="038579BE" w14:textId="77777777" w:rsidR="002B3FE2" w:rsidRPr="002B3FE2" w:rsidRDefault="002B3FE2" w:rsidP="002B3FE2">
            <w:pPr>
              <w:rPr>
                <w:color w:val="000000"/>
                <w:szCs w:val="24"/>
                <w:lang w:eastAsia="en-GB"/>
              </w:rPr>
            </w:pPr>
            <w:r w:rsidRPr="002B3FE2">
              <w:rPr>
                <w:color w:val="000000"/>
                <w:szCs w:val="24"/>
                <w:lang w:eastAsia="en-GB"/>
              </w:rPr>
              <w:t xml:space="preserve">West Suffolk </w:t>
            </w:r>
          </w:p>
        </w:tc>
        <w:tc>
          <w:tcPr>
            <w:tcW w:w="1091" w:type="dxa"/>
            <w:noWrap/>
            <w:hideMark/>
          </w:tcPr>
          <w:p w14:paraId="329C30C9"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607</w:t>
            </w:r>
          </w:p>
        </w:tc>
        <w:tc>
          <w:tcPr>
            <w:tcW w:w="1283" w:type="dxa"/>
            <w:noWrap/>
            <w:hideMark/>
          </w:tcPr>
          <w:p w14:paraId="2D0862CA"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796</w:t>
            </w:r>
          </w:p>
        </w:tc>
        <w:tc>
          <w:tcPr>
            <w:tcW w:w="1321" w:type="dxa"/>
            <w:noWrap/>
            <w:hideMark/>
          </w:tcPr>
          <w:p w14:paraId="35C2BC12" w14:textId="11AF0476"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p>
        </w:tc>
        <w:tc>
          <w:tcPr>
            <w:tcW w:w="1103" w:type="dxa"/>
            <w:noWrap/>
            <w:hideMark/>
          </w:tcPr>
          <w:p w14:paraId="0AB5CC78" w14:textId="024AE4BC"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p>
        </w:tc>
        <w:tc>
          <w:tcPr>
            <w:tcW w:w="1030" w:type="dxa"/>
            <w:hideMark/>
          </w:tcPr>
          <w:p w14:paraId="7B71C778"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1,204</w:t>
            </w:r>
          </w:p>
        </w:tc>
        <w:tc>
          <w:tcPr>
            <w:tcW w:w="1103" w:type="dxa"/>
            <w:hideMark/>
          </w:tcPr>
          <w:p w14:paraId="56FE496B"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796</w:t>
            </w:r>
          </w:p>
        </w:tc>
      </w:tr>
      <w:tr w:rsidR="002B3FE2" w:rsidRPr="002B3FE2" w14:paraId="400446D4" w14:textId="77777777" w:rsidTr="004F4BA7">
        <w:trPr>
          <w:trHeight w:val="291"/>
        </w:trPr>
        <w:tc>
          <w:tcPr>
            <w:cnfStyle w:val="001000000000" w:firstRow="0" w:lastRow="0" w:firstColumn="1" w:lastColumn="0" w:oddVBand="0" w:evenVBand="0" w:oddHBand="0" w:evenHBand="0" w:firstRowFirstColumn="0" w:firstRowLastColumn="0" w:lastRowFirstColumn="0" w:lastRowLastColumn="0"/>
            <w:tcW w:w="1885" w:type="dxa"/>
            <w:noWrap/>
            <w:hideMark/>
          </w:tcPr>
          <w:p w14:paraId="3F98F8F6" w14:textId="77777777" w:rsidR="002B3FE2" w:rsidRPr="002B3FE2" w:rsidRDefault="002B3FE2" w:rsidP="002B3FE2">
            <w:pPr>
              <w:rPr>
                <w:b/>
                <w:bCs/>
                <w:color w:val="000000"/>
                <w:szCs w:val="24"/>
                <w:lang w:eastAsia="en-GB"/>
              </w:rPr>
            </w:pPr>
            <w:r w:rsidRPr="002B3FE2">
              <w:rPr>
                <w:b/>
                <w:bCs/>
                <w:color w:val="000000"/>
                <w:szCs w:val="24"/>
                <w:lang w:eastAsia="en-GB"/>
              </w:rPr>
              <w:t>HMA</w:t>
            </w:r>
          </w:p>
        </w:tc>
        <w:tc>
          <w:tcPr>
            <w:tcW w:w="1091" w:type="dxa"/>
            <w:noWrap/>
            <w:hideMark/>
          </w:tcPr>
          <w:p w14:paraId="6A93C89C"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2B3FE2">
              <w:rPr>
                <w:b/>
                <w:bCs/>
                <w:color w:val="000000"/>
                <w:szCs w:val="24"/>
                <w:lang w:eastAsia="en-GB"/>
              </w:rPr>
              <w:t>3,394</w:t>
            </w:r>
          </w:p>
        </w:tc>
        <w:tc>
          <w:tcPr>
            <w:tcW w:w="1283" w:type="dxa"/>
            <w:noWrap/>
            <w:hideMark/>
          </w:tcPr>
          <w:p w14:paraId="4284014E"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2B3FE2">
              <w:rPr>
                <w:b/>
                <w:bCs/>
                <w:color w:val="000000"/>
                <w:szCs w:val="24"/>
                <w:lang w:eastAsia="en-GB"/>
              </w:rPr>
              <w:t>4,625</w:t>
            </w:r>
          </w:p>
        </w:tc>
        <w:tc>
          <w:tcPr>
            <w:tcW w:w="1321" w:type="dxa"/>
            <w:noWrap/>
            <w:hideMark/>
          </w:tcPr>
          <w:p w14:paraId="5D32F81B" w14:textId="0E35A6D0"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p>
        </w:tc>
        <w:tc>
          <w:tcPr>
            <w:tcW w:w="1103" w:type="dxa"/>
            <w:noWrap/>
            <w:hideMark/>
          </w:tcPr>
          <w:p w14:paraId="07651DCC" w14:textId="3B4D3AFA"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p>
        </w:tc>
        <w:tc>
          <w:tcPr>
            <w:tcW w:w="1030" w:type="dxa"/>
            <w:noWrap/>
            <w:hideMark/>
          </w:tcPr>
          <w:p w14:paraId="4D34C37F"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2B3FE2">
              <w:rPr>
                <w:b/>
                <w:bCs/>
                <w:color w:val="000000"/>
                <w:szCs w:val="24"/>
                <w:lang w:eastAsia="en-GB"/>
              </w:rPr>
              <w:t>6,250</w:t>
            </w:r>
          </w:p>
        </w:tc>
        <w:tc>
          <w:tcPr>
            <w:tcW w:w="1103" w:type="dxa"/>
            <w:noWrap/>
            <w:hideMark/>
          </w:tcPr>
          <w:p w14:paraId="7C3CB54D"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2B3FE2">
              <w:rPr>
                <w:b/>
                <w:bCs/>
                <w:color w:val="000000"/>
                <w:szCs w:val="24"/>
                <w:lang w:eastAsia="en-GB"/>
              </w:rPr>
              <w:t>4,625</w:t>
            </w:r>
          </w:p>
        </w:tc>
      </w:tr>
      <w:tr w:rsidR="002B3FE2" w:rsidRPr="002B3FE2" w14:paraId="2BD4A060" w14:textId="77777777" w:rsidTr="004F4BA7">
        <w:trPr>
          <w:trHeight w:val="291"/>
        </w:trPr>
        <w:tc>
          <w:tcPr>
            <w:cnfStyle w:val="001000000000" w:firstRow="0" w:lastRow="0" w:firstColumn="1" w:lastColumn="0" w:oddVBand="0" w:evenVBand="0" w:oddHBand="0" w:evenHBand="0" w:firstRowFirstColumn="0" w:firstRowLastColumn="0" w:lastRowFirstColumn="0" w:lastRowLastColumn="0"/>
            <w:tcW w:w="1885" w:type="dxa"/>
            <w:noWrap/>
            <w:hideMark/>
          </w:tcPr>
          <w:p w14:paraId="7F1E1698" w14:textId="77777777" w:rsidR="002B3FE2" w:rsidRPr="002B3FE2" w:rsidRDefault="002B3FE2" w:rsidP="002B3FE2">
            <w:pPr>
              <w:rPr>
                <w:color w:val="000000"/>
                <w:szCs w:val="24"/>
                <w:lang w:eastAsia="en-GB"/>
              </w:rPr>
            </w:pPr>
            <w:r w:rsidRPr="002B3FE2">
              <w:rPr>
                <w:color w:val="000000"/>
                <w:szCs w:val="24"/>
                <w:lang w:eastAsia="en-GB"/>
              </w:rPr>
              <w:t>Greater Cambridge</w:t>
            </w:r>
          </w:p>
        </w:tc>
        <w:tc>
          <w:tcPr>
            <w:tcW w:w="1091" w:type="dxa"/>
            <w:noWrap/>
            <w:hideMark/>
          </w:tcPr>
          <w:p w14:paraId="4055AE6B"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1,217</w:t>
            </w:r>
          </w:p>
        </w:tc>
        <w:tc>
          <w:tcPr>
            <w:tcW w:w="1283" w:type="dxa"/>
            <w:noWrap/>
            <w:hideMark/>
          </w:tcPr>
          <w:p w14:paraId="3211199C"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1,745</w:t>
            </w:r>
          </w:p>
        </w:tc>
        <w:tc>
          <w:tcPr>
            <w:tcW w:w="1321" w:type="dxa"/>
            <w:noWrap/>
            <w:hideMark/>
          </w:tcPr>
          <w:p w14:paraId="55104E3C" w14:textId="1CDC6941"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p>
        </w:tc>
        <w:tc>
          <w:tcPr>
            <w:tcW w:w="1103" w:type="dxa"/>
            <w:noWrap/>
            <w:hideMark/>
          </w:tcPr>
          <w:p w14:paraId="6D964875" w14:textId="4EBEB3AF"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p>
        </w:tc>
        <w:tc>
          <w:tcPr>
            <w:tcW w:w="1030" w:type="dxa"/>
            <w:noWrap/>
            <w:hideMark/>
          </w:tcPr>
          <w:p w14:paraId="3966A997"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2,345</w:t>
            </w:r>
          </w:p>
        </w:tc>
        <w:tc>
          <w:tcPr>
            <w:tcW w:w="1103" w:type="dxa"/>
            <w:noWrap/>
            <w:hideMark/>
          </w:tcPr>
          <w:p w14:paraId="3284CDB6" w14:textId="77777777" w:rsidR="002B3FE2" w:rsidRPr="002B3FE2" w:rsidRDefault="002B3FE2" w:rsidP="002B3FE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2B3FE2">
              <w:rPr>
                <w:color w:val="000000"/>
                <w:szCs w:val="24"/>
                <w:lang w:eastAsia="en-GB"/>
              </w:rPr>
              <w:t>1,745</w:t>
            </w:r>
          </w:p>
        </w:tc>
      </w:tr>
    </w:tbl>
    <w:p w14:paraId="66272DF2" w14:textId="77777777" w:rsidR="00E07D1C" w:rsidRDefault="00E07D1C" w:rsidP="007D0FBF">
      <w:pPr>
        <w:pStyle w:val="11Bodytext"/>
        <w:numPr>
          <w:ilvl w:val="0"/>
          <w:numId w:val="0"/>
        </w:numPr>
        <w:ind w:left="794"/>
      </w:pPr>
    </w:p>
    <w:p w14:paraId="5DCBAD2B" w14:textId="5A07D59A" w:rsidR="00583FF7" w:rsidRDefault="00583FF7" w:rsidP="00583FF7">
      <w:pPr>
        <w:spacing w:after="200"/>
        <w:rPr>
          <w:color w:val="auto"/>
        </w:rPr>
      </w:pPr>
      <w:r>
        <w:rPr>
          <w:color w:val="auto"/>
        </w:rPr>
        <w:br w:type="page"/>
      </w:r>
    </w:p>
    <w:p w14:paraId="45E499A1" w14:textId="6C189076" w:rsidR="006808A9" w:rsidRPr="005A0B3D" w:rsidRDefault="006808A9" w:rsidP="005A0B3D">
      <w:pPr>
        <w:pStyle w:val="Heading1"/>
      </w:pPr>
      <w:bookmarkStart w:id="13" w:name="_Toc79590819"/>
      <w:bookmarkEnd w:id="3"/>
      <w:r w:rsidRPr="005A0B3D">
        <w:rPr>
          <w:rStyle w:val="Heading1Char"/>
          <w:b/>
          <w:caps/>
        </w:rPr>
        <w:lastRenderedPageBreak/>
        <w:t>Introduction</w:t>
      </w:r>
      <w:bookmarkEnd w:id="13"/>
    </w:p>
    <w:p w14:paraId="18020A29" w14:textId="6521474C" w:rsidR="00BD468D" w:rsidRDefault="009F0A5C" w:rsidP="007D0FBF">
      <w:pPr>
        <w:pStyle w:val="11Bodytext"/>
      </w:pPr>
      <w:r>
        <w:t xml:space="preserve">GL Hearn </w:t>
      </w:r>
      <w:r w:rsidR="006C17C8">
        <w:t>together with</w:t>
      </w:r>
      <w:r w:rsidR="0060489D">
        <w:t xml:space="preserve"> Iceni Projects and</w:t>
      </w:r>
      <w:r w:rsidR="006C17C8">
        <w:t xml:space="preserve"> Justin Gardener Consulting </w:t>
      </w:r>
      <w:r w:rsidR="00F04D4D">
        <w:t>ha</w:t>
      </w:r>
      <w:r w:rsidR="00CF7B7D">
        <w:t>ve</w:t>
      </w:r>
      <w:r w:rsidR="00F04D4D">
        <w:t xml:space="preserve"> </w:t>
      </w:r>
      <w:r w:rsidR="006C17C8">
        <w:t xml:space="preserve">been commissioned by </w:t>
      </w:r>
      <w:r w:rsidR="00BD468D">
        <w:t xml:space="preserve">the </w:t>
      </w:r>
      <w:r w:rsidR="006C17C8">
        <w:t>Cambridgeshire</w:t>
      </w:r>
      <w:r w:rsidR="00CA0F24">
        <w:t xml:space="preserve"> </w:t>
      </w:r>
      <w:r w:rsidR="006C17C8">
        <w:t>and West Suffolk Local Planning Authorities</w:t>
      </w:r>
      <w:r w:rsidR="00810AE3">
        <w:t xml:space="preserve"> (</w:t>
      </w:r>
      <w:r w:rsidR="00810AE3">
        <w:rPr>
          <w:color w:val="auto"/>
        </w:rPr>
        <w:t xml:space="preserve">Cambridge, East Cambridgeshire, Fenland, Huntingdonshire, South </w:t>
      </w:r>
      <w:proofErr w:type="gramStart"/>
      <w:r w:rsidR="00810AE3">
        <w:rPr>
          <w:color w:val="auto"/>
        </w:rPr>
        <w:t>Cambridgeshire</w:t>
      </w:r>
      <w:proofErr w:type="gramEnd"/>
      <w:r w:rsidR="00810AE3">
        <w:rPr>
          <w:color w:val="auto"/>
        </w:rPr>
        <w:t xml:space="preserve"> and West Suffolk)</w:t>
      </w:r>
      <w:r w:rsidR="006C17C8">
        <w:t xml:space="preserve"> to undertake a</w:t>
      </w:r>
      <w:r w:rsidR="00BD468D">
        <w:t>n analysis of the h</w:t>
      </w:r>
      <w:r w:rsidR="006C17C8">
        <w:t xml:space="preserve">ousing </w:t>
      </w:r>
      <w:r w:rsidR="00BD468D">
        <w:t>n</w:t>
      </w:r>
      <w:r w:rsidR="006C17C8">
        <w:t xml:space="preserve">eeds of </w:t>
      </w:r>
      <w:r w:rsidR="00BD468D">
        <w:t>s</w:t>
      </w:r>
      <w:r w:rsidR="006C17C8">
        <w:t xml:space="preserve">pecific </w:t>
      </w:r>
      <w:r w:rsidR="00BD468D">
        <w:t>g</w:t>
      </w:r>
      <w:r w:rsidR="006C17C8">
        <w:t>roups</w:t>
      </w:r>
      <w:r w:rsidR="00904017">
        <w:t>.</w:t>
      </w:r>
      <w:r w:rsidR="006C17C8">
        <w:t xml:space="preserve"> The </w:t>
      </w:r>
      <w:r w:rsidR="00CF7B7D">
        <w:t>s</w:t>
      </w:r>
      <w:r w:rsidR="00B55402">
        <w:t>tudy aim</w:t>
      </w:r>
      <w:r w:rsidR="006C17C8">
        <w:t>s to provide robust and sound evidence to support the preparation of the different Local Plans</w:t>
      </w:r>
      <w:r w:rsidR="00904017">
        <w:t>.</w:t>
      </w:r>
      <w:r w:rsidR="006C17C8">
        <w:t xml:space="preserve"> </w:t>
      </w:r>
    </w:p>
    <w:p w14:paraId="3CFDF2EA" w14:textId="315E222C" w:rsidR="009A3120" w:rsidRDefault="006C17C8" w:rsidP="007D0FBF">
      <w:pPr>
        <w:pStyle w:val="11Bodytext"/>
      </w:pPr>
      <w:r>
        <w:t xml:space="preserve">The </w:t>
      </w:r>
      <w:r w:rsidR="00CF7B7D">
        <w:t>s</w:t>
      </w:r>
      <w:r>
        <w:t>tudy’s outcomes</w:t>
      </w:r>
      <w:r w:rsidR="00B55402">
        <w:t xml:space="preserve"> </w:t>
      </w:r>
      <w:r w:rsidR="00BD468D">
        <w:t xml:space="preserve">are </w:t>
      </w:r>
      <w:r w:rsidR="00D02598">
        <w:t xml:space="preserve">presented </w:t>
      </w:r>
      <w:r w:rsidR="00904017">
        <w:t>for the 2020 to 2040 plan period and</w:t>
      </w:r>
      <w:r w:rsidR="00CA0F24">
        <w:t xml:space="preserve"> </w:t>
      </w:r>
      <w:r w:rsidR="00D02598">
        <w:t>individually for each Local Authority</w:t>
      </w:r>
      <w:r w:rsidR="00CF7B7D">
        <w:t xml:space="preserve">.  In </w:t>
      </w:r>
      <w:proofErr w:type="gramStart"/>
      <w:r w:rsidR="00CF7B7D">
        <w:t>addition</w:t>
      </w:r>
      <w:proofErr w:type="gramEnd"/>
      <w:r w:rsidR="00CF7B7D">
        <w:t xml:space="preserve"> findings are also</w:t>
      </w:r>
      <w:r w:rsidR="00D02598">
        <w:t xml:space="preserve"> aggregated </w:t>
      </w:r>
      <w:r w:rsidR="00CF7B7D">
        <w:t>to</w:t>
      </w:r>
      <w:r w:rsidR="00D02598">
        <w:t xml:space="preserve"> the </w:t>
      </w:r>
      <w:r w:rsidR="0098093E">
        <w:t xml:space="preserve">Cambridge </w:t>
      </w:r>
      <w:r w:rsidR="00CF7B7D">
        <w:t>s</w:t>
      </w:r>
      <w:r w:rsidR="0098093E">
        <w:t>ub-</w:t>
      </w:r>
      <w:r w:rsidR="00CF7B7D">
        <w:t>r</w:t>
      </w:r>
      <w:r w:rsidR="0098093E">
        <w:t>egion</w:t>
      </w:r>
      <w:r w:rsidR="00CF7B7D">
        <w:t>al</w:t>
      </w:r>
      <w:r w:rsidR="00D02598">
        <w:t xml:space="preserve"> </w:t>
      </w:r>
      <w:r w:rsidR="0098093E">
        <w:t xml:space="preserve">Housing </w:t>
      </w:r>
      <w:r w:rsidR="00D02598">
        <w:t xml:space="preserve">Market Area </w:t>
      </w:r>
      <w:r w:rsidR="0098093E">
        <w:t xml:space="preserve">(HMA) </w:t>
      </w:r>
      <w:r w:rsidR="00D02598">
        <w:t xml:space="preserve">and the Greater Cambridge </w:t>
      </w:r>
      <w:r w:rsidR="00630E7A">
        <w:rPr>
          <w:color w:val="auto"/>
        </w:rPr>
        <w:t>area (Cambridge and South Cambridgeshire)</w:t>
      </w:r>
      <w:r w:rsidR="00D02598">
        <w:t>.</w:t>
      </w:r>
      <w:r w:rsidR="00BD468D">
        <w:t xml:space="preserve"> </w:t>
      </w:r>
    </w:p>
    <w:p w14:paraId="214C77AD" w14:textId="0125F163" w:rsidR="006C17C8" w:rsidRDefault="00904017" w:rsidP="007D0FBF">
      <w:pPr>
        <w:pStyle w:val="11Bodytext"/>
      </w:pPr>
      <w:r>
        <w:t>D</w:t>
      </w:r>
      <w:r w:rsidR="00BD468D">
        <w:t xml:space="preserve">ue to data constraints, we </w:t>
      </w:r>
      <w:r w:rsidR="00CF7B7D">
        <w:t xml:space="preserve">are occasionally required to </w:t>
      </w:r>
      <w:r w:rsidR="00BD468D">
        <w:t>provide outputs for</w:t>
      </w:r>
      <w:r>
        <w:t xml:space="preserve"> </w:t>
      </w:r>
      <w:r w:rsidR="003A5561">
        <w:t xml:space="preserve">the </w:t>
      </w:r>
      <w:r w:rsidR="00313287">
        <w:t xml:space="preserve">former Forest Heath </w:t>
      </w:r>
      <w:r w:rsidR="00BD468D">
        <w:t xml:space="preserve">and </w:t>
      </w:r>
      <w:r w:rsidR="00313287">
        <w:t xml:space="preserve">former St Edmundsbury </w:t>
      </w:r>
      <w:r w:rsidR="00BD468D">
        <w:t>Council</w:t>
      </w:r>
      <w:r>
        <w:t>s</w:t>
      </w:r>
      <w:r w:rsidR="00BD468D">
        <w:t xml:space="preserve"> which merged in 2019 to become West Suffolk Council.</w:t>
      </w:r>
    </w:p>
    <w:p w14:paraId="0D97FBD8" w14:textId="27AA23EE" w:rsidR="006C17C8" w:rsidRDefault="006C17C8" w:rsidP="007D0FBF">
      <w:pPr>
        <w:pStyle w:val="11Bodytext"/>
      </w:pPr>
      <w:r>
        <w:t xml:space="preserve">The </w:t>
      </w:r>
      <w:r w:rsidR="00CF7B7D">
        <w:t>s</w:t>
      </w:r>
      <w:r>
        <w:t xml:space="preserve">tudy has been prepared in compliance </w:t>
      </w:r>
      <w:r w:rsidR="00B55402">
        <w:t>with</w:t>
      </w:r>
      <w:r>
        <w:t xml:space="preserve"> </w:t>
      </w:r>
      <w:r w:rsidR="00372967">
        <w:t xml:space="preserve">the </w:t>
      </w:r>
      <w:r>
        <w:t xml:space="preserve">National Planning Policy Framework (NPPF 2019) and the revised Planning </w:t>
      </w:r>
      <w:r w:rsidR="00FF70B3">
        <w:t>Practice</w:t>
      </w:r>
      <w:r>
        <w:t xml:space="preserve"> Guidance (PPG). </w:t>
      </w:r>
    </w:p>
    <w:p w14:paraId="1AA558B3" w14:textId="77777777" w:rsidR="005B0328" w:rsidRDefault="005B0328" w:rsidP="007D0FBF">
      <w:pPr>
        <w:pStyle w:val="Heading2"/>
      </w:pPr>
      <w:r w:rsidRPr="00624322">
        <w:t>Over</w:t>
      </w:r>
      <w:r>
        <w:t>view</w:t>
      </w:r>
      <w:r w:rsidRPr="00624322">
        <w:t xml:space="preserve"> </w:t>
      </w:r>
      <w:r>
        <w:t xml:space="preserve">of the </w:t>
      </w:r>
      <w:r w:rsidRPr="00624322">
        <w:t>Methodology</w:t>
      </w:r>
    </w:p>
    <w:p w14:paraId="54488C97" w14:textId="01629F3C" w:rsidR="005B0328" w:rsidRDefault="005B0328" w:rsidP="007D0FBF">
      <w:pPr>
        <w:pStyle w:val="11Bodytext"/>
      </w:pPr>
      <w:r>
        <w:t xml:space="preserve">The methodology used in this report responds to the NPPF (2019) which sets out the Government’s objective to significantly boost housing supply. Chapter 5 of the NPPF relates to delivering a sufficient supply of homes, with Paragraph 60 </w:t>
      </w:r>
      <w:r w:rsidR="00B55402">
        <w:t xml:space="preserve">highlighting </w:t>
      </w:r>
      <w:r>
        <w:t>that “</w:t>
      </w:r>
      <w:r w:rsidRPr="007F64A9">
        <w:rPr>
          <w:i/>
        </w:rPr>
        <w:t>to determine the minimum number of homes needed, strategic policies should be informed by a local housing need assessment, conducted using the standard methodology”</w:t>
      </w:r>
      <w:r>
        <w:rPr>
          <w:i/>
        </w:rPr>
        <w:t>.</w:t>
      </w:r>
      <w:r w:rsidR="00CA0F24">
        <w:rPr>
          <w:i/>
        </w:rPr>
        <w:t xml:space="preserve"> </w:t>
      </w:r>
      <w:r w:rsidR="00652D6D">
        <w:t>Within this study</w:t>
      </w:r>
      <w:r w:rsidR="00B55402">
        <w:t>,</w:t>
      </w:r>
      <w:r w:rsidR="00652D6D">
        <w:t xml:space="preserve"> </w:t>
      </w:r>
      <w:r w:rsidR="0098093E">
        <w:t xml:space="preserve">Chapter </w:t>
      </w:r>
      <w:r w:rsidR="00EA54B1">
        <w:t>5</w:t>
      </w:r>
      <w:r w:rsidR="0098093E">
        <w:t xml:space="preserve"> presents those requirements.</w:t>
      </w:r>
      <w:r w:rsidR="00CA0F24">
        <w:t xml:space="preserve"> </w:t>
      </w:r>
    </w:p>
    <w:p w14:paraId="56AC1679" w14:textId="43BBD324" w:rsidR="0074674A" w:rsidRDefault="005B0328" w:rsidP="007D0FBF">
      <w:pPr>
        <w:pStyle w:val="11Bodytext"/>
      </w:pPr>
      <w:r w:rsidRPr="00C863E7">
        <w:t>Paragraph 61 of the NPPF sets out that “within this context, the size, type</w:t>
      </w:r>
      <w:r w:rsidR="00B55402">
        <w:t>,</w:t>
      </w:r>
      <w:r w:rsidRPr="00C863E7">
        <w:t xml:space="preserve"> and tenure of housing needed for different groups in the community should be assessed”. It adds that specific groups include but are not limited to “those who </w:t>
      </w:r>
      <w:r w:rsidRPr="00C863E7">
        <w:lastRenderedPageBreak/>
        <w:t xml:space="preserve">require affordable housing, families with children, older people, students, people with disabilities, service families, travellers, people who rent their homes and people wishing to commission or build their own homes”. </w:t>
      </w:r>
    </w:p>
    <w:p w14:paraId="7E465438" w14:textId="6BE11B24" w:rsidR="005B0328" w:rsidRPr="00C863E7" w:rsidRDefault="005B0328" w:rsidP="007D0FBF">
      <w:pPr>
        <w:pStyle w:val="11Bodytext"/>
      </w:pPr>
      <w:r w:rsidRPr="00C863E7">
        <w:t xml:space="preserve">This </w:t>
      </w:r>
      <w:r w:rsidR="00B55402">
        <w:t>s</w:t>
      </w:r>
      <w:r w:rsidRPr="00C863E7">
        <w:t>tudy respond</w:t>
      </w:r>
      <w:r w:rsidR="0098093E">
        <w:t>s</w:t>
      </w:r>
      <w:r w:rsidRPr="00C863E7">
        <w:t xml:space="preserve"> to</w:t>
      </w:r>
      <w:r w:rsidR="0074674A">
        <w:t xml:space="preserve"> most of</w:t>
      </w:r>
      <w:r w:rsidRPr="00C863E7">
        <w:t xml:space="preserve"> these requirements</w:t>
      </w:r>
      <w:r w:rsidR="0098093E">
        <w:t xml:space="preserve"> and the findings are presented in Chapters </w:t>
      </w:r>
      <w:r w:rsidR="00EA54B1">
        <w:t>7</w:t>
      </w:r>
      <w:r w:rsidR="0098093E">
        <w:t xml:space="preserve"> onwards</w:t>
      </w:r>
      <w:r w:rsidRPr="00C863E7">
        <w:t>.</w:t>
      </w:r>
      <w:r w:rsidR="00CA0F24">
        <w:t xml:space="preserve"> </w:t>
      </w:r>
      <w:r w:rsidR="00E8777B">
        <w:t xml:space="preserve">The report </w:t>
      </w:r>
      <w:r w:rsidR="00FC6235">
        <w:t>does not</w:t>
      </w:r>
      <w:r w:rsidR="00E8777B">
        <w:t xml:space="preserve"> </w:t>
      </w:r>
      <w:r w:rsidR="00FC6235">
        <w:t>address the requirement of travellers which is being assessed separately.</w:t>
      </w:r>
    </w:p>
    <w:p w14:paraId="6B19E09A" w14:textId="14208DE1" w:rsidR="00BD468D" w:rsidRDefault="005B0328" w:rsidP="007D0FBF">
      <w:pPr>
        <w:pStyle w:val="11Bodytext"/>
      </w:pPr>
      <w:r>
        <w:t xml:space="preserve">The Planning Practice Guidance on </w:t>
      </w:r>
      <w:r>
        <w:rPr>
          <w:i/>
        </w:rPr>
        <w:t xml:space="preserve">Housing &amp; </w:t>
      </w:r>
      <w:r w:rsidR="00BD468D">
        <w:rPr>
          <w:i/>
        </w:rPr>
        <w:t>E</w:t>
      </w:r>
      <w:r>
        <w:rPr>
          <w:i/>
        </w:rPr>
        <w:t xml:space="preserve">conomic </w:t>
      </w:r>
      <w:r w:rsidR="00BD468D">
        <w:rPr>
          <w:i/>
        </w:rPr>
        <w:t>N</w:t>
      </w:r>
      <w:r>
        <w:rPr>
          <w:i/>
        </w:rPr>
        <w:t xml:space="preserve">eeds </w:t>
      </w:r>
      <w:r w:rsidR="00BD468D">
        <w:rPr>
          <w:i/>
        </w:rPr>
        <w:t>A</w:t>
      </w:r>
      <w:r>
        <w:rPr>
          <w:i/>
        </w:rPr>
        <w:t>ssessments</w:t>
      </w:r>
      <w:r>
        <w:t xml:space="preserve"> (2019)</w:t>
      </w:r>
      <w:r>
        <w:rPr>
          <w:rStyle w:val="FootnoteReference"/>
          <w:rFonts w:asciiTheme="minorHAnsi" w:hAnsiTheme="minorHAnsi" w:cstheme="minorHAnsi"/>
        </w:rPr>
        <w:footnoteReference w:id="5"/>
      </w:r>
      <w:r>
        <w:t xml:space="preserve"> requires that housing need </w:t>
      </w:r>
      <w:r w:rsidR="00B0250B">
        <w:t>be</w:t>
      </w:r>
      <w:r>
        <w:t xml:space="preserve"> assessed across the relevant Housing Market Area leaving aside factors related to land availability, infrastructure</w:t>
      </w:r>
      <w:r w:rsidR="00B55402">
        <w:t>,</w:t>
      </w:r>
      <w:r>
        <w:t xml:space="preserve"> and capacity. </w:t>
      </w:r>
    </w:p>
    <w:p w14:paraId="5ACA6250" w14:textId="21DBF169" w:rsidR="006310EC" w:rsidRPr="006310EC" w:rsidRDefault="005B0328" w:rsidP="007D0FBF">
      <w:pPr>
        <w:pStyle w:val="11Bodytext"/>
      </w:pPr>
      <w:r>
        <w:t xml:space="preserve">The PPG was updated in February 2019 to reflect the government’s standard method </w:t>
      </w:r>
      <w:r w:rsidR="00B55CC7">
        <w:t>for assessing</w:t>
      </w:r>
      <w:r>
        <w:t xml:space="preserve"> housing need.</w:t>
      </w:r>
      <w:r w:rsidR="00BD468D">
        <w:t xml:space="preserve"> </w:t>
      </w:r>
      <w:r w:rsidR="006310EC" w:rsidRPr="006310EC">
        <w:t xml:space="preserve">The standard method is calculated over </w:t>
      </w:r>
      <w:r w:rsidR="00687967">
        <w:t>10 years</w:t>
      </w:r>
      <w:r w:rsidR="006310EC" w:rsidRPr="006310EC">
        <w:t xml:space="preserve"> with “the current year being used as the starting point” (</w:t>
      </w:r>
      <w:r w:rsidR="003661AA">
        <w:t xml:space="preserve">PPG </w:t>
      </w:r>
      <w:r w:rsidR="006310EC" w:rsidRPr="006310EC">
        <w:t>Paragraph 4).</w:t>
      </w:r>
      <w:r w:rsidR="00CA0F24">
        <w:t xml:space="preserve"> </w:t>
      </w:r>
      <w:r w:rsidR="003661AA">
        <w:t xml:space="preserve">PPG </w:t>
      </w:r>
      <w:r w:rsidR="006310EC" w:rsidRPr="006310EC">
        <w:t>Paragraph 12 states that</w:t>
      </w:r>
      <w:r w:rsidR="006310EC">
        <w:t xml:space="preserve"> </w:t>
      </w:r>
      <w:r w:rsidR="006310EC" w:rsidRPr="003661AA">
        <w:t xml:space="preserve">“The method provides authorities with an annual number, based on a 10-year baseline, which </w:t>
      </w:r>
      <w:r w:rsidR="006310EC" w:rsidRPr="00BD468D">
        <w:rPr>
          <w:u w:val="single"/>
        </w:rPr>
        <w:t>can be applied to the whole plan period</w:t>
      </w:r>
      <w:r w:rsidR="003661AA" w:rsidRPr="003661AA">
        <w:t>”</w:t>
      </w:r>
      <w:r w:rsidR="006310EC" w:rsidRPr="006310EC">
        <w:t xml:space="preserve"> (</w:t>
      </w:r>
      <w:r w:rsidR="003661AA">
        <w:t xml:space="preserve">our </w:t>
      </w:r>
      <w:r w:rsidR="006310EC" w:rsidRPr="006310EC">
        <w:t>emphasis).</w:t>
      </w:r>
    </w:p>
    <w:p w14:paraId="212A8655" w14:textId="77777777" w:rsidR="00BD468D" w:rsidRDefault="006310EC" w:rsidP="007D0FBF">
      <w:pPr>
        <w:pStyle w:val="11Bodytext"/>
      </w:pPr>
      <w:r w:rsidRPr="006310EC">
        <w:t>The National Planning Policy Framework requires strategic policies to look ahead over a minimum 15 year period from adoption, although authorities are required to keep their policies under review.</w:t>
      </w:r>
      <w:r w:rsidR="00BD468D">
        <w:t xml:space="preserve"> </w:t>
      </w:r>
      <w:r w:rsidRPr="006310EC">
        <w:t xml:space="preserve">Local Authorities are therefore able to use the </w:t>
      </w:r>
      <w:r w:rsidR="00B55CC7">
        <w:t>need figure arising from the s</w:t>
      </w:r>
      <w:r w:rsidRPr="006310EC">
        <w:t xml:space="preserve">tandard </w:t>
      </w:r>
      <w:r w:rsidR="00B55CC7">
        <w:t>m</w:t>
      </w:r>
      <w:r w:rsidRPr="006310EC">
        <w:t xml:space="preserve">ethod across their plan period regardless of when the plan period ends. </w:t>
      </w:r>
      <w:r w:rsidR="00BD468D">
        <w:t>For this study</w:t>
      </w:r>
      <w:r w:rsidR="00372967">
        <w:t>,</w:t>
      </w:r>
      <w:r w:rsidR="00BD468D">
        <w:t xml:space="preserve"> we have applied the standard method across the period to 2040.</w:t>
      </w:r>
      <w:r w:rsidRPr="006310EC">
        <w:t xml:space="preserve"> </w:t>
      </w:r>
    </w:p>
    <w:p w14:paraId="77703A99" w14:textId="77777777" w:rsidR="006310EC" w:rsidRPr="006310EC" w:rsidRDefault="00BD468D" w:rsidP="007D0FBF">
      <w:pPr>
        <w:pStyle w:val="11Bodytext"/>
      </w:pPr>
      <w:r>
        <w:t>Use of the standard method also means that t</w:t>
      </w:r>
      <w:r w:rsidR="006310EC" w:rsidRPr="006310EC">
        <w:t xml:space="preserve">here will be no requirement to include provision for any historic under-provision. Paragraph 5 of the PPG </w:t>
      </w:r>
      <w:r>
        <w:t>states</w:t>
      </w:r>
      <w:r w:rsidR="006310EC" w:rsidRPr="006310EC">
        <w:t xml:space="preserve"> that:</w:t>
      </w:r>
    </w:p>
    <w:p w14:paraId="278509FA" w14:textId="77777777" w:rsidR="006310EC" w:rsidRPr="00B963B6" w:rsidRDefault="006310EC" w:rsidP="00B126BB">
      <w:pPr>
        <w:pStyle w:val="Quotetext"/>
      </w:pPr>
      <w:r w:rsidRPr="00B963B6">
        <w:t xml:space="preserve">“The 2014-based household projections are used within the standard method to provide stability for planning authorities and communities, ensure that historic under-delivery and declining affordability are reflected, and to </w:t>
      </w:r>
      <w:r w:rsidRPr="00B963B6">
        <w:lastRenderedPageBreak/>
        <w:t>be consistent with the Government’s objective of significantly boosting the supply of homes.”</w:t>
      </w:r>
    </w:p>
    <w:p w14:paraId="35DC822E" w14:textId="77777777" w:rsidR="006310EC" w:rsidRPr="006310EC" w:rsidRDefault="006310EC" w:rsidP="007D0FBF">
      <w:pPr>
        <w:pStyle w:val="11Bodytext"/>
      </w:pPr>
      <w:r w:rsidRPr="006310EC">
        <w:t xml:space="preserve">Paragraph 11 of the PPG adds: </w:t>
      </w:r>
    </w:p>
    <w:p w14:paraId="677AE7B0" w14:textId="77777777" w:rsidR="006310EC" w:rsidRPr="002D6C53" w:rsidRDefault="006310EC" w:rsidP="00B126BB">
      <w:pPr>
        <w:pStyle w:val="Quotetext"/>
      </w:pPr>
      <w:r w:rsidRPr="002D6C53">
        <w:t>“The affordability adjustment is applied to take account of past under-delivery. The standard method identifies the minimum uplift that will be required and therefore it is not a requirement to specifically address under-delivery separately.</w:t>
      </w:r>
    </w:p>
    <w:p w14:paraId="711747FD" w14:textId="77777777" w:rsidR="006310EC" w:rsidRPr="002D6C53" w:rsidRDefault="006310EC" w:rsidP="00B126BB">
      <w:pPr>
        <w:pStyle w:val="Quotetext"/>
      </w:pPr>
      <w:r w:rsidRPr="002D6C53">
        <w:t>Where an alternative approach to the standard method is used, past under</w:t>
      </w:r>
      <w:r w:rsidR="00B55402">
        <w:t>-</w:t>
      </w:r>
      <w:r w:rsidRPr="002D6C53">
        <w:t xml:space="preserve">delivery should be </w:t>
      </w:r>
      <w:proofErr w:type="gramStart"/>
      <w:r w:rsidRPr="002D6C53">
        <w:t>taken into account</w:t>
      </w:r>
      <w:proofErr w:type="gramEnd"/>
      <w:r w:rsidRPr="002D6C53">
        <w:t>.”</w:t>
      </w:r>
    </w:p>
    <w:p w14:paraId="2531BB2F" w14:textId="7B1CBB1E" w:rsidR="006310EC" w:rsidRDefault="006310EC" w:rsidP="007D0FBF">
      <w:pPr>
        <w:pStyle w:val="11Bodytext"/>
      </w:pPr>
      <w:r w:rsidRPr="006310EC">
        <w:t xml:space="preserve">Given that there is a clear direction that the calculation should use the current year as a starting point (paragraph 4) and that the calculation </w:t>
      </w:r>
      <w:proofErr w:type="gramStart"/>
      <w:r w:rsidRPr="006310EC">
        <w:t>takes into account</w:t>
      </w:r>
      <w:proofErr w:type="gramEnd"/>
      <w:r w:rsidRPr="006310EC">
        <w:t xml:space="preserve"> historic under</w:t>
      </w:r>
      <w:r w:rsidR="00B55402">
        <w:t>-</w:t>
      </w:r>
      <w:r w:rsidRPr="006310EC">
        <w:t>delivery (Paragraph 5 and 11)</w:t>
      </w:r>
      <w:r w:rsidR="00C20726">
        <w:t xml:space="preserve">, if a local authority wishes to start their plan period prior to </w:t>
      </w:r>
      <w:r w:rsidR="003E42BB">
        <w:t>2020</w:t>
      </w:r>
      <w:r w:rsidRPr="006310EC">
        <w:t xml:space="preserve"> </w:t>
      </w:r>
      <w:r w:rsidR="00D46C1E">
        <w:t xml:space="preserve">it would be logical for </w:t>
      </w:r>
      <w:r w:rsidR="003E42BB">
        <w:t xml:space="preserve">the </w:t>
      </w:r>
      <w:r w:rsidRPr="006310EC">
        <w:t>local authorit</w:t>
      </w:r>
      <w:r w:rsidR="003E42BB">
        <w:t>y</w:t>
      </w:r>
      <w:r w:rsidRPr="006310EC">
        <w:t xml:space="preserve"> </w:t>
      </w:r>
      <w:r w:rsidR="00D46C1E">
        <w:t xml:space="preserve">to </w:t>
      </w:r>
      <w:r w:rsidRPr="006310EC">
        <w:t xml:space="preserve">use </w:t>
      </w:r>
      <w:r w:rsidR="00AB1155">
        <w:t xml:space="preserve">housing </w:t>
      </w:r>
      <w:r w:rsidRPr="006310EC">
        <w:t xml:space="preserve">completions </w:t>
      </w:r>
      <w:r w:rsidR="003E42BB">
        <w:t>for the</w:t>
      </w:r>
      <w:r w:rsidRPr="006310EC">
        <w:t xml:space="preserve"> </w:t>
      </w:r>
      <w:r w:rsidR="00B55CC7">
        <w:t>period prior to</w:t>
      </w:r>
      <w:r w:rsidRPr="006310EC">
        <w:t xml:space="preserve"> 2020 and use the standard method as their housing need for any period thereafter.</w:t>
      </w:r>
    </w:p>
    <w:p w14:paraId="7FE6C0BA" w14:textId="77777777" w:rsidR="00F4469F" w:rsidRDefault="00F4469F" w:rsidP="007D0FBF">
      <w:pPr>
        <w:pStyle w:val="Heading2"/>
      </w:pPr>
      <w:r w:rsidRPr="001C597D">
        <w:t>Policy Review</w:t>
      </w:r>
    </w:p>
    <w:p w14:paraId="527CAAC9" w14:textId="16D66696" w:rsidR="003022D6" w:rsidRPr="001C597D" w:rsidRDefault="003022D6" w:rsidP="007D0FBF">
      <w:pPr>
        <w:pStyle w:val="11Bodytext"/>
      </w:pPr>
      <w:r>
        <w:t xml:space="preserve">To contextualise this </w:t>
      </w:r>
      <w:r w:rsidR="002F24CE">
        <w:t>report,</w:t>
      </w:r>
      <w:r>
        <w:t xml:space="preserve"> we have set out the key policies relating to housing need and affordable housing need in each of the Local Plans across Cambridgeshire and West Suffolk.</w:t>
      </w:r>
      <w:r w:rsidR="00CA0F24">
        <w:t xml:space="preserve"> </w:t>
      </w:r>
      <w:r>
        <w:t xml:space="preserve">This information also feeds into the assessment of housing need as </w:t>
      </w:r>
      <w:r w:rsidR="0047651A">
        <w:t>calculated using the standard method.</w:t>
      </w:r>
      <w:r>
        <w:t xml:space="preserve"> </w:t>
      </w:r>
    </w:p>
    <w:p w14:paraId="13B0CDBE" w14:textId="3A83C897" w:rsidR="001C597D" w:rsidRPr="00957C97" w:rsidRDefault="001C597D" w:rsidP="007D0FBF">
      <w:pPr>
        <w:pStyle w:val="Heading3"/>
      </w:pPr>
      <w:r w:rsidRPr="00957C97">
        <w:t xml:space="preserve">Cambridge </w:t>
      </w:r>
    </w:p>
    <w:p w14:paraId="00D1BB02" w14:textId="77777777" w:rsidR="001C597D" w:rsidRPr="00957C97" w:rsidRDefault="001C597D" w:rsidP="007D0FBF">
      <w:pPr>
        <w:pStyle w:val="11Bodytext"/>
      </w:pPr>
      <w:r w:rsidRPr="00957C97">
        <w:t xml:space="preserve">The Cambridge Local Plan was adopted in October 2018 and covers a plan period of 2011 to 2031. The </w:t>
      </w:r>
      <w:r w:rsidR="003022D6">
        <w:t>Local Plan</w:t>
      </w:r>
      <w:r w:rsidRPr="00957C97">
        <w:t xml:space="preserve"> confirms a </w:t>
      </w:r>
      <w:r w:rsidR="003022D6">
        <w:t>target</w:t>
      </w:r>
      <w:r w:rsidRPr="00957C97">
        <w:t xml:space="preserve"> for 14,000 homes over the plan period </w:t>
      </w:r>
      <w:r w:rsidR="00D931ED">
        <w:t>equivalent to</w:t>
      </w:r>
      <w:r w:rsidRPr="00957C97">
        <w:t xml:space="preserve"> 700 dwellings per annum. </w:t>
      </w:r>
    </w:p>
    <w:p w14:paraId="08FFEC0F" w14:textId="77777777" w:rsidR="001C597D" w:rsidRPr="00957C97" w:rsidRDefault="001C597D" w:rsidP="007D0FBF">
      <w:pPr>
        <w:pStyle w:val="11Bodytext"/>
      </w:pPr>
      <w:r w:rsidRPr="007C4F65">
        <w:t>Policy 45 Affordable Housing and Dwell</w:t>
      </w:r>
      <w:r w:rsidRPr="00660A33">
        <w:t>ing Mix</w:t>
      </w:r>
      <w:r w:rsidRPr="00957C97">
        <w:t xml:space="preserve"> outlines the parameters for different forms</w:t>
      </w:r>
      <w:r w:rsidR="00BC19FD">
        <w:t xml:space="preserve"> and</w:t>
      </w:r>
      <w:r w:rsidRPr="00957C97">
        <w:t xml:space="preserve"> types of housing and establish</w:t>
      </w:r>
      <w:r w:rsidR="00BC19FD">
        <w:t>es</w:t>
      </w:r>
      <w:r w:rsidRPr="00957C97">
        <w:t xml:space="preserve"> standards for residential development. The minimum affordable housing </w:t>
      </w:r>
      <w:r w:rsidR="00D931ED">
        <w:t>requirement</w:t>
      </w:r>
      <w:r w:rsidRPr="00957C97">
        <w:t xml:space="preserve"> is 25% for</w:t>
      </w:r>
      <w:r w:rsidR="00BC19FD">
        <w:t xml:space="preserve"> schemes on</w:t>
      </w:r>
      <w:r w:rsidRPr="00957C97">
        <w:t xml:space="preserve"> 11 to 14 dwellings and 40% </w:t>
      </w:r>
      <w:r w:rsidR="00BC19FD">
        <w:t xml:space="preserve">at schemes of </w:t>
      </w:r>
      <w:r w:rsidRPr="00957C97">
        <w:t>15 or more dwellings. The policy also states that developments should include a balanced mix of dwelling sizes, type</w:t>
      </w:r>
      <w:r w:rsidR="00D82D7A">
        <w:t>,</w:t>
      </w:r>
      <w:r w:rsidRPr="00957C97">
        <w:t xml:space="preserve"> and tenure to meet projected future needs within Cambridge. </w:t>
      </w:r>
    </w:p>
    <w:p w14:paraId="5D0FB4FE" w14:textId="48D23D53" w:rsidR="00BC19FD" w:rsidRDefault="001C597D" w:rsidP="007D0FBF">
      <w:pPr>
        <w:pStyle w:val="11Bodytext"/>
      </w:pPr>
      <w:r w:rsidRPr="00957C97">
        <w:lastRenderedPageBreak/>
        <w:t>Cambridge is home</w:t>
      </w:r>
      <w:r w:rsidR="00D931ED">
        <w:t xml:space="preserve"> to</w:t>
      </w:r>
      <w:r w:rsidRPr="00957C97">
        <w:t xml:space="preserve"> two large universities, </w:t>
      </w:r>
      <w:r w:rsidR="005F46C6">
        <w:t xml:space="preserve">the </w:t>
      </w:r>
      <w:r w:rsidRPr="00957C97">
        <w:t>University</w:t>
      </w:r>
      <w:r w:rsidR="005F46C6">
        <w:t xml:space="preserve"> of </w:t>
      </w:r>
      <w:proofErr w:type="gramStart"/>
      <w:r w:rsidR="005F46C6">
        <w:t>Cambridge</w:t>
      </w:r>
      <w:proofErr w:type="gramEnd"/>
      <w:r w:rsidRPr="00957C97">
        <w:t xml:space="preserve"> and Anglia Ruskin University along with other educational institutions </w:t>
      </w:r>
      <w:r w:rsidR="00D82D7A">
        <w:t>that</w:t>
      </w:r>
      <w:r w:rsidRPr="00957C97">
        <w:t xml:space="preserve"> impact the demography of </w:t>
      </w:r>
      <w:r w:rsidR="00BC19FD">
        <w:t>the City</w:t>
      </w:r>
      <w:r w:rsidRPr="00957C97">
        <w:t>’s housing market, especially the private</w:t>
      </w:r>
      <w:r>
        <w:t xml:space="preserve"> </w:t>
      </w:r>
      <w:r w:rsidRPr="00957C97">
        <w:t xml:space="preserve">rented sector. </w:t>
      </w:r>
    </w:p>
    <w:p w14:paraId="3E9F6CCC" w14:textId="77777777" w:rsidR="001C597D" w:rsidRPr="00957C97" w:rsidRDefault="001C597D" w:rsidP="007D0FBF">
      <w:pPr>
        <w:pStyle w:val="11Bodytext"/>
      </w:pPr>
      <w:r w:rsidRPr="007C4F65">
        <w:t>Policy 46 Development of Student Housing</w:t>
      </w:r>
      <w:r w:rsidRPr="00957C97">
        <w:t xml:space="preserve"> sets out that for any</w:t>
      </w:r>
      <w:r w:rsidR="00BC19FD">
        <w:t xml:space="preserve"> development of</w:t>
      </w:r>
      <w:r w:rsidRPr="00957C97">
        <w:t xml:space="preserve"> student accommodation there must be an identified institution that the accommodation will serve and proof that there is suitable demand. The location of the new student development must also be appropriate for the institution that it serves and should discourage car</w:t>
      </w:r>
      <w:r w:rsidR="00D931ED">
        <w:t xml:space="preserve"> usage</w:t>
      </w:r>
      <w:r w:rsidRPr="00957C97">
        <w:t xml:space="preserve">. </w:t>
      </w:r>
    </w:p>
    <w:p w14:paraId="051D9B4A" w14:textId="41E45636" w:rsidR="001C597D" w:rsidRPr="00957C97" w:rsidRDefault="001C597D" w:rsidP="007D0FBF">
      <w:pPr>
        <w:pStyle w:val="Heading3"/>
      </w:pPr>
      <w:r w:rsidRPr="00957C97">
        <w:t xml:space="preserve">East Cambridgeshire </w:t>
      </w:r>
    </w:p>
    <w:p w14:paraId="5BDB1CCE" w14:textId="77777777" w:rsidR="001C597D" w:rsidRPr="00E83944" w:rsidRDefault="001C597D" w:rsidP="007D0FBF">
      <w:pPr>
        <w:pStyle w:val="11Bodytext"/>
      </w:pPr>
      <w:r w:rsidRPr="00E83944">
        <w:t xml:space="preserve">The 2013 Strategic Housing Market Assessment for East Cambridgeshire concluded that the objectively assessed need (OAN) for housing in the district for the period 2011 to 2031 </w:t>
      </w:r>
      <w:r w:rsidR="00BC19FD">
        <w:t>wa</w:t>
      </w:r>
      <w:r w:rsidRPr="00E83944">
        <w:t xml:space="preserve">s 13,000 dwellings. However, under the Duty to Cooperate with Cambridgeshire and Peterborough authorities, it </w:t>
      </w:r>
      <w:r w:rsidR="00BC19FD">
        <w:t>was agreed</w:t>
      </w:r>
      <w:r w:rsidRPr="00E83944">
        <w:t xml:space="preserve"> that 1,500</w:t>
      </w:r>
      <w:r w:rsidR="00D931ED" w:rsidRPr="00E83944">
        <w:t xml:space="preserve"> dwellings</w:t>
      </w:r>
      <w:r w:rsidRPr="00E83944">
        <w:t xml:space="preserve"> of East Cambridgeshire’s housing need </w:t>
      </w:r>
      <w:r w:rsidR="00D931ED" w:rsidRPr="00E83944">
        <w:t>should</w:t>
      </w:r>
      <w:r w:rsidRPr="00E83944">
        <w:t xml:space="preserve"> </w:t>
      </w:r>
      <w:r w:rsidR="00BC19FD">
        <w:t xml:space="preserve">be </w:t>
      </w:r>
      <w:r w:rsidRPr="00E83944">
        <w:t>redistribute</w:t>
      </w:r>
      <w:r w:rsidR="00BC19FD">
        <w:t>d</w:t>
      </w:r>
      <w:r w:rsidRPr="00E83944">
        <w:t xml:space="preserve"> </w:t>
      </w:r>
      <w:r w:rsidR="00BC19FD">
        <w:t>across</w:t>
      </w:r>
      <w:r w:rsidRPr="00E83944">
        <w:t xml:space="preserve"> the HMA are</w:t>
      </w:r>
      <w:r w:rsidR="00D931ED" w:rsidRPr="00E83944">
        <w:t>a</w:t>
      </w:r>
      <w:r w:rsidRPr="00E83944">
        <w:t xml:space="preserve">, resulting in a Local Plan target of 11,500 dwellings or </w:t>
      </w:r>
      <w:r w:rsidR="00E83944" w:rsidRPr="00E83944">
        <w:t>575</w:t>
      </w:r>
      <w:r w:rsidRPr="00E83944">
        <w:t xml:space="preserve"> dwellings per annum for the plan period 2011 to 2031. </w:t>
      </w:r>
    </w:p>
    <w:p w14:paraId="7FECEA24" w14:textId="4AA01F4D" w:rsidR="001C597D" w:rsidRPr="00957C97" w:rsidRDefault="001C597D" w:rsidP="007D0FBF">
      <w:pPr>
        <w:pStyle w:val="11Bodytext"/>
      </w:pPr>
      <w:r w:rsidRPr="00E83944">
        <w:t>The East Cambridge</w:t>
      </w:r>
      <w:r w:rsidR="00D931ED" w:rsidRPr="00E83944">
        <w:t>shire</w:t>
      </w:r>
      <w:r w:rsidRPr="00E83944">
        <w:t xml:space="preserve"> Local Plan identifies that the success of the Cambridge economy has had</w:t>
      </w:r>
      <w:r w:rsidRPr="00957C97">
        <w:t xml:space="preserve"> a profound effect on the affordability of housing in the area. </w:t>
      </w:r>
      <w:r w:rsidRPr="007C4F65">
        <w:t>Policy HOU3 Affordable Housing Provision</w:t>
      </w:r>
      <w:r w:rsidRPr="00AC12C5">
        <w:t xml:space="preserve"> addresses the affordable housing provision in E</w:t>
      </w:r>
      <w:r w:rsidRPr="00717780">
        <w:t>ast C</w:t>
      </w:r>
      <w:r w:rsidRPr="00957C97">
        <w:t>ambridge</w:t>
      </w:r>
      <w:r w:rsidR="00FF70B3">
        <w:t>shire</w:t>
      </w:r>
      <w:r w:rsidRPr="00957C97">
        <w:t xml:space="preserve"> where all-new open market housing developments of 10 or more</w:t>
      </w:r>
      <w:r w:rsidR="00BC19FD">
        <w:t xml:space="preserve"> dwellings</w:t>
      </w:r>
      <w:r w:rsidRPr="00957C97">
        <w:t xml:space="preserve"> must make appropriate provision for affordable housing. There is a 40% affordable housing requirement in the </w:t>
      </w:r>
      <w:r w:rsidR="00D931ED">
        <w:t>s</w:t>
      </w:r>
      <w:r w:rsidRPr="00957C97">
        <w:t>outh</w:t>
      </w:r>
      <w:r w:rsidR="00BC19FD">
        <w:t>ern</w:t>
      </w:r>
      <w:r w:rsidR="00D931ED">
        <w:t xml:space="preserve"> parts</w:t>
      </w:r>
      <w:r w:rsidRPr="00957C97">
        <w:t xml:space="preserve"> of the district and 30% affordable housing in the </w:t>
      </w:r>
      <w:r w:rsidR="00D931ED">
        <w:t>n</w:t>
      </w:r>
      <w:r w:rsidRPr="00957C97">
        <w:t>orth</w:t>
      </w:r>
      <w:r w:rsidR="00D82D7A">
        <w:t>ern</w:t>
      </w:r>
      <w:r w:rsidRPr="00957C97">
        <w:t xml:space="preserve"> </w:t>
      </w:r>
      <w:r w:rsidR="00D931ED">
        <w:t xml:space="preserve">parts </w:t>
      </w:r>
      <w:r w:rsidRPr="00957C97">
        <w:t xml:space="preserve">of the district. </w:t>
      </w:r>
    </w:p>
    <w:p w14:paraId="3EDF6914" w14:textId="1360EA78" w:rsidR="001C597D" w:rsidRPr="000A484C" w:rsidRDefault="001C597D" w:rsidP="007D0FBF">
      <w:pPr>
        <w:pStyle w:val="11Bodytext"/>
      </w:pPr>
      <w:r w:rsidRPr="00957C97">
        <w:t>Evidence fr</w:t>
      </w:r>
      <w:r w:rsidR="00BC19FD">
        <w:t>o</w:t>
      </w:r>
      <w:r w:rsidRPr="00957C97">
        <w:t xml:space="preserve">m the Cambridge Sub-Region Strategic Housing Market Assessment indicates that East Cambridgeshire needs more 2 and 3-bed dwellings to cater </w:t>
      </w:r>
      <w:r w:rsidR="00F04D4D">
        <w:t>to</w:t>
      </w:r>
      <w:r w:rsidR="00F04D4D" w:rsidRPr="00957C97">
        <w:t xml:space="preserve"> </w:t>
      </w:r>
      <w:r w:rsidRPr="00957C97">
        <w:t xml:space="preserve">smaller families and older people. This need feeds </w:t>
      </w:r>
      <w:r w:rsidRPr="007C4F65">
        <w:t>into Polic</w:t>
      </w:r>
      <w:r w:rsidRPr="00660A33">
        <w:t>y HOU1 Ho</w:t>
      </w:r>
      <w:r w:rsidRPr="00AC12C5">
        <w:t>using Mix</w:t>
      </w:r>
      <w:r w:rsidRPr="00717780">
        <w:t xml:space="preserve"> where developments of 10 or more</w:t>
      </w:r>
      <w:r w:rsidRPr="000A484C">
        <w:t xml:space="preserve"> should provide an appropriate mix of dwelling types and sizes to contribute to future needs. </w:t>
      </w:r>
    </w:p>
    <w:p w14:paraId="1BCF03CD" w14:textId="77777777" w:rsidR="001C597D" w:rsidRPr="000A484C" w:rsidRDefault="001C597D" w:rsidP="007D0FBF">
      <w:pPr>
        <w:pStyle w:val="11Bodytext"/>
      </w:pPr>
      <w:r w:rsidRPr="000A484C">
        <w:lastRenderedPageBreak/>
        <w:t xml:space="preserve">The Local Plan has </w:t>
      </w:r>
      <w:r w:rsidR="00BC19FD" w:rsidRPr="000A484C">
        <w:t xml:space="preserve">a </w:t>
      </w:r>
      <w:r w:rsidRPr="000A484C">
        <w:t>specific housing policy for target groups within East Cambridge</w:t>
      </w:r>
      <w:r w:rsidR="00F672A6" w:rsidRPr="000A484C">
        <w:t>shire</w:t>
      </w:r>
      <w:r w:rsidR="00BC19FD" w:rsidRPr="000A484C">
        <w:t>,</w:t>
      </w:r>
      <w:r w:rsidRPr="000A484C">
        <w:t xml:space="preserve"> these include a policy for rural workers (Policy HOU5 Dwellings for Rural Workers), residential care accommodation (Policy HOU6 Residential Care Accommodation) and mobile homes and residential caravan parks (Policy HOU7 Mobile homes and Residential Caravan Parks). </w:t>
      </w:r>
    </w:p>
    <w:p w14:paraId="6FD199A6" w14:textId="32440ABC" w:rsidR="001C597D" w:rsidRPr="00957C97" w:rsidRDefault="001C597D" w:rsidP="007D0FBF">
      <w:pPr>
        <w:pStyle w:val="Heading3"/>
      </w:pPr>
      <w:r w:rsidRPr="00957C97">
        <w:t xml:space="preserve">Huntingdonshire </w:t>
      </w:r>
    </w:p>
    <w:p w14:paraId="57006EC3" w14:textId="506A1187" w:rsidR="001C597D" w:rsidRPr="00E83944" w:rsidRDefault="001C597D" w:rsidP="007D0FBF">
      <w:pPr>
        <w:pStyle w:val="11Bodytext"/>
      </w:pPr>
      <w:r w:rsidRPr="00E83944">
        <w:t>The Huntingdonshire Local Plan</w:t>
      </w:r>
      <w:r w:rsidR="009A6CA2">
        <w:t xml:space="preserve"> was</w:t>
      </w:r>
      <w:r w:rsidRPr="00E83944">
        <w:t xml:space="preserve"> adopted </w:t>
      </w:r>
      <w:r w:rsidR="00E82D08" w:rsidRPr="00E83944">
        <w:t xml:space="preserve">in </w:t>
      </w:r>
      <w:r w:rsidRPr="00E83944">
        <w:t>20</w:t>
      </w:r>
      <w:r w:rsidR="00386168">
        <w:t>1</w:t>
      </w:r>
      <w:r w:rsidRPr="00E83944">
        <w:t xml:space="preserve">9 </w:t>
      </w:r>
      <w:r w:rsidR="00E82D08" w:rsidRPr="00E83944">
        <w:t>and cover</w:t>
      </w:r>
      <w:r w:rsidR="00193E63">
        <w:t>s</w:t>
      </w:r>
      <w:r w:rsidR="00E82D08" w:rsidRPr="00E83944">
        <w:t xml:space="preserve"> the</w:t>
      </w:r>
      <w:r w:rsidRPr="00E83944">
        <w:t xml:space="preserve"> 2011</w:t>
      </w:r>
      <w:r w:rsidR="00E82D08" w:rsidRPr="00E83944">
        <w:t>-</w:t>
      </w:r>
      <w:r w:rsidRPr="00E83944">
        <w:t>36</w:t>
      </w:r>
      <w:r w:rsidR="00E82D08" w:rsidRPr="00E83944">
        <w:t xml:space="preserve"> plan period</w:t>
      </w:r>
      <w:r w:rsidRPr="00E83944">
        <w:t xml:space="preserve">. The Huntingdonshire Objectively Assessed Housing Need Update 2017 identified housing pressure in Huntingdonshire which </w:t>
      </w:r>
      <w:r w:rsidR="00E82D08" w:rsidRPr="00E83944">
        <w:t xml:space="preserve">is </w:t>
      </w:r>
      <w:r w:rsidRPr="00E83944">
        <w:t>partly in response to housing market pressure</w:t>
      </w:r>
      <w:r w:rsidR="00E82D08" w:rsidRPr="00E83944">
        <w:t>s</w:t>
      </w:r>
      <w:r w:rsidRPr="00E83944">
        <w:t xml:space="preserve"> in Cambridge</w:t>
      </w:r>
      <w:r w:rsidR="009A6CA2">
        <w:t>. It identified a need to</w:t>
      </w:r>
      <w:r w:rsidRPr="00E83944">
        <w:t xml:space="preserve"> provide 20,100 homes (both market and affordable) in the district by 2036</w:t>
      </w:r>
      <w:r w:rsidR="00E83944" w:rsidRPr="00E83944">
        <w:t>. Th</w:t>
      </w:r>
      <w:r w:rsidR="009A6CA2">
        <w:t>is equated to an</w:t>
      </w:r>
      <w:r w:rsidR="00E83944" w:rsidRPr="00E83944">
        <w:t xml:space="preserve"> annual requirement </w:t>
      </w:r>
      <w:r w:rsidR="009A6CA2">
        <w:t>of</w:t>
      </w:r>
      <w:r w:rsidR="00E83944" w:rsidRPr="00E83944">
        <w:t xml:space="preserve"> 804 dwellings per annum</w:t>
      </w:r>
      <w:r w:rsidR="00E83944" w:rsidRPr="00E83944">
        <w:rPr>
          <w:rStyle w:val="FootnoteReference"/>
          <w:rFonts w:asciiTheme="minorHAnsi" w:hAnsiTheme="minorHAnsi" w:cstheme="minorHAnsi"/>
        </w:rPr>
        <w:footnoteReference w:id="6"/>
      </w:r>
      <w:r w:rsidR="00E83944" w:rsidRPr="00E83944">
        <w:t>.</w:t>
      </w:r>
      <w:r w:rsidR="00E82D08" w:rsidRPr="00E83944">
        <w:t xml:space="preserve"> </w:t>
      </w:r>
    </w:p>
    <w:p w14:paraId="46A6199D" w14:textId="23844820" w:rsidR="001C597D" w:rsidRPr="000A484C" w:rsidRDefault="001C597D" w:rsidP="007D0FBF">
      <w:pPr>
        <w:pStyle w:val="11Bodytext"/>
      </w:pPr>
      <w:r w:rsidRPr="00E83944">
        <w:t>Affordable dwellings are addresse</w:t>
      </w:r>
      <w:r w:rsidR="009A6CA2">
        <w:t>d</w:t>
      </w:r>
      <w:r w:rsidRPr="00E83944">
        <w:t xml:space="preserve"> in three ways in Huntingdonshire. Firstly, through the application of a 40% affordable housing provision</w:t>
      </w:r>
      <w:r w:rsidR="009A6CA2">
        <w:t xml:space="preserve"> target</w:t>
      </w:r>
      <w:r w:rsidRPr="00E83944">
        <w:t xml:space="preserve"> on all qualifying sites</w:t>
      </w:r>
      <w:r w:rsidR="00593FD4">
        <w:t xml:space="preserve"> through Policy LP 24 </w:t>
      </w:r>
      <w:r w:rsidR="001B1E32">
        <w:t>‘</w:t>
      </w:r>
      <w:r w:rsidR="00593FD4">
        <w:t>Affordable Housing Provision</w:t>
      </w:r>
      <w:r w:rsidR="001B1E32">
        <w:t>’</w:t>
      </w:r>
      <w:r w:rsidR="00FF70B3">
        <w:t>.</w:t>
      </w:r>
      <w:r w:rsidRPr="00E83944">
        <w:t xml:space="preserve"> Secondly, through the introduction of an enhance</w:t>
      </w:r>
      <w:r w:rsidR="00D82D7A">
        <w:t>d</w:t>
      </w:r>
      <w:r w:rsidRPr="00E83944">
        <w:t xml:space="preserve"> ‘Rural Exception Housing’ policy </w:t>
      </w:r>
      <w:r w:rsidR="00193E63">
        <w:t>(</w:t>
      </w:r>
      <w:r w:rsidR="001B1E32">
        <w:t>P</w:t>
      </w:r>
      <w:r w:rsidR="00193E63">
        <w:t>olicy</w:t>
      </w:r>
      <w:r w:rsidR="001B1E32">
        <w:t xml:space="preserve"> </w:t>
      </w:r>
      <w:r w:rsidR="00193E63">
        <w:t xml:space="preserve">LP 28) </w:t>
      </w:r>
      <w:r w:rsidRPr="00E83944">
        <w:t xml:space="preserve">to promote additional sites. Thirdly, through </w:t>
      </w:r>
      <w:r w:rsidRPr="008E6E40">
        <w:t xml:space="preserve">Policy </w:t>
      </w:r>
      <w:r w:rsidRPr="007C4F65">
        <w:t xml:space="preserve">LP2 ‘Strategy </w:t>
      </w:r>
      <w:r w:rsidRPr="00660A33">
        <w:t>for Devel</w:t>
      </w:r>
      <w:r w:rsidRPr="00AC12C5">
        <w:t>opment</w:t>
      </w:r>
      <w:r w:rsidRPr="00717780">
        <w:t>’</w:t>
      </w:r>
      <w:r w:rsidRPr="000A484C">
        <w:t xml:space="preserve"> to promote a higher level of growth than the OAN figure</w:t>
      </w:r>
      <w:r w:rsidR="009A6CA2" w:rsidRPr="000A484C">
        <w:t>, which in turn will deliver more affordable homes</w:t>
      </w:r>
      <w:r w:rsidRPr="000A484C">
        <w:t>.</w:t>
      </w:r>
    </w:p>
    <w:p w14:paraId="6D316FA7" w14:textId="7E3783E2" w:rsidR="001C597D" w:rsidRDefault="001C597D" w:rsidP="007D0FBF">
      <w:pPr>
        <w:pStyle w:val="11Bodytext"/>
      </w:pPr>
      <w:r w:rsidRPr="000A484C">
        <w:t xml:space="preserve">The SHMA </w:t>
      </w:r>
      <w:r w:rsidR="00193E63">
        <w:t xml:space="preserve">2013 </w:t>
      </w:r>
      <w:r w:rsidRPr="000A484C">
        <w:t xml:space="preserve">identified that the majority of household change between 2011 and 2036 </w:t>
      </w:r>
      <w:r w:rsidR="00E817D6" w:rsidRPr="000A484C">
        <w:t>will be</w:t>
      </w:r>
      <w:r w:rsidRPr="000A484C">
        <w:t xml:space="preserve"> </w:t>
      </w:r>
      <w:r w:rsidR="009A6CA2" w:rsidRPr="000A484C">
        <w:t>in</w:t>
      </w:r>
      <w:r w:rsidRPr="000A484C">
        <w:t xml:space="preserve"> households age</w:t>
      </w:r>
      <w:r w:rsidR="009A6CA2" w:rsidRPr="000A484C">
        <w:t>d</w:t>
      </w:r>
      <w:r w:rsidRPr="000A484C">
        <w:t xml:space="preserve"> over 65 and single people</w:t>
      </w:r>
      <w:r w:rsidR="00193E63">
        <w:t xml:space="preserve"> households</w:t>
      </w:r>
      <w:r w:rsidRPr="000A484C">
        <w:t xml:space="preserve">. This creates a need for a range of accommodation types </w:t>
      </w:r>
      <w:r w:rsidR="00E817D6" w:rsidRPr="000A484C">
        <w:t xml:space="preserve">and </w:t>
      </w:r>
      <w:r w:rsidRPr="000A484C">
        <w:t xml:space="preserve">Policy LP25 </w:t>
      </w:r>
      <w:r w:rsidR="001B1E32">
        <w:t>‘</w:t>
      </w:r>
      <w:r w:rsidRPr="000A484C">
        <w:t>Housing Mix</w:t>
      </w:r>
      <w:r w:rsidR="001B1E32">
        <w:t>’</w:t>
      </w:r>
      <w:r w:rsidRPr="000A484C">
        <w:t xml:space="preserve"> outlines that proposals should support and provide a mix of sizes, types</w:t>
      </w:r>
      <w:r w:rsidR="00D82D7A" w:rsidRPr="000A484C">
        <w:t>,</w:t>
      </w:r>
      <w:r w:rsidRPr="000A484C">
        <w:t xml:space="preserve"> and tenures</w:t>
      </w:r>
      <w:r w:rsidR="001B1E32">
        <w:t xml:space="preserve">, include accessible and adaptable homes </w:t>
      </w:r>
      <w:proofErr w:type="gramStart"/>
      <w:r w:rsidR="001B1E32">
        <w:t>standards</w:t>
      </w:r>
      <w:proofErr w:type="gramEnd"/>
      <w:r w:rsidR="001B1E32">
        <w:t xml:space="preserve"> and take account of the opportunity to provide self and custom build homes</w:t>
      </w:r>
      <w:r w:rsidRPr="000A484C">
        <w:t xml:space="preserve">. </w:t>
      </w:r>
      <w:r w:rsidR="009A3120" w:rsidRPr="000A484C">
        <w:t xml:space="preserve">Policy </w:t>
      </w:r>
      <w:r w:rsidR="00E817D6" w:rsidRPr="000A484C">
        <w:t>LP</w:t>
      </w:r>
      <w:r w:rsidRPr="000A484C">
        <w:t xml:space="preserve">26 </w:t>
      </w:r>
      <w:r w:rsidR="001B1E32">
        <w:t>‘</w:t>
      </w:r>
      <w:r w:rsidRPr="000A484C">
        <w:t>Specialist Housing</w:t>
      </w:r>
      <w:r w:rsidR="001B1E32">
        <w:t>’</w:t>
      </w:r>
      <w:r w:rsidRPr="000A484C">
        <w:t xml:space="preserve"> stresses the demand for a range of attractive housing options for older people with specific needs.</w:t>
      </w:r>
      <w:r>
        <w:t xml:space="preserve"> </w:t>
      </w:r>
    </w:p>
    <w:p w14:paraId="1C954EC9" w14:textId="49C35018" w:rsidR="00386168" w:rsidRDefault="001C597D" w:rsidP="007D0FBF">
      <w:pPr>
        <w:pStyle w:val="Heading3"/>
      </w:pPr>
      <w:r w:rsidRPr="00957C97">
        <w:lastRenderedPageBreak/>
        <w:t xml:space="preserve">South Cambridgeshire </w:t>
      </w:r>
    </w:p>
    <w:p w14:paraId="26FC24E7" w14:textId="17D88735" w:rsidR="00E817D6" w:rsidRDefault="001C597D" w:rsidP="007D0FBF">
      <w:pPr>
        <w:pStyle w:val="11Bodytext"/>
      </w:pPr>
      <w:r w:rsidRPr="00FF1C0D">
        <w:t xml:space="preserve">The South Cambridgeshire Local Plan adopted in </w:t>
      </w:r>
      <w:r w:rsidR="00241B5D">
        <w:t xml:space="preserve">September </w:t>
      </w:r>
      <w:r w:rsidRPr="00FF1C0D">
        <w:t>2018 covers the plan period 2011</w:t>
      </w:r>
      <w:r w:rsidR="00C86F5E" w:rsidRPr="00FF1C0D">
        <w:t>-</w:t>
      </w:r>
      <w:r w:rsidR="004A78E3">
        <w:t>31</w:t>
      </w:r>
      <w:r w:rsidRPr="00FF1C0D">
        <w:t xml:space="preserve">. The Plan has a </w:t>
      </w:r>
      <w:r w:rsidR="00241B5D">
        <w:t>h</w:t>
      </w:r>
      <w:r w:rsidR="00241B5D" w:rsidRPr="00FF1C0D">
        <w:t xml:space="preserve">ousing </w:t>
      </w:r>
      <w:r w:rsidR="00241B5D">
        <w:t>t</w:t>
      </w:r>
      <w:r w:rsidR="00241B5D" w:rsidRPr="00FF1C0D">
        <w:t>arget</w:t>
      </w:r>
      <w:r w:rsidRPr="00FF1C0D">
        <w:t xml:space="preserve"> of 19,500 dwellings for the plan period equating to 975 dwellings per </w:t>
      </w:r>
      <w:r w:rsidR="00C86F5E" w:rsidRPr="00FF1C0D">
        <w:t>annum</w:t>
      </w:r>
      <w:r w:rsidRPr="00FF1C0D">
        <w:t xml:space="preserve">. This is a rounded target from the 19,337 homes identified </w:t>
      </w:r>
      <w:r w:rsidR="00E817D6">
        <w:t>as the district</w:t>
      </w:r>
      <w:r w:rsidR="00FF70B3">
        <w:t>’</w:t>
      </w:r>
      <w:r w:rsidR="00E817D6">
        <w:t>s OAN</w:t>
      </w:r>
      <w:r w:rsidRPr="00FF1C0D">
        <w:t xml:space="preserve">. </w:t>
      </w:r>
    </w:p>
    <w:p w14:paraId="32206804" w14:textId="03AA7DB5" w:rsidR="00E817D6" w:rsidRPr="00E817D6" w:rsidRDefault="001C597D" w:rsidP="007D0FBF">
      <w:pPr>
        <w:pStyle w:val="11Bodytext"/>
        <w:rPr>
          <w:b/>
        </w:rPr>
      </w:pPr>
      <w:r w:rsidRPr="00FF1C0D">
        <w:t xml:space="preserve">To meet the housing target there are eight identified allocated sites for residential development which comprise new settlements, </w:t>
      </w:r>
      <w:r w:rsidR="00282594">
        <w:t xml:space="preserve">and </w:t>
      </w:r>
      <w:r w:rsidRPr="00FF1C0D">
        <w:t xml:space="preserve">sustainable village locations. </w:t>
      </w:r>
    </w:p>
    <w:p w14:paraId="204340D7" w14:textId="04A9CE79" w:rsidR="00E817D6" w:rsidRPr="000A484C" w:rsidRDefault="001C597D" w:rsidP="007D0FBF">
      <w:pPr>
        <w:pStyle w:val="11Bodytext"/>
      </w:pPr>
      <w:r w:rsidRPr="00FF1C0D">
        <w:t xml:space="preserve">The </w:t>
      </w:r>
      <w:r w:rsidR="00E817D6">
        <w:t>Local Plan</w:t>
      </w:r>
      <w:r w:rsidRPr="00FF1C0D">
        <w:t xml:space="preserve"> </w:t>
      </w:r>
      <w:r w:rsidR="00E817D6">
        <w:t>also has policies</w:t>
      </w:r>
      <w:r w:rsidRPr="00FF1C0D">
        <w:t xml:space="preserve"> for housing density, housing mix and affordable housing</w:t>
      </w:r>
      <w:r w:rsidR="00E817D6">
        <w:t xml:space="preserve">. </w:t>
      </w:r>
      <w:r w:rsidRPr="008E6E40">
        <w:t>Policy H</w:t>
      </w:r>
      <w:r w:rsidR="00C86F5E" w:rsidRPr="008E6E40">
        <w:t>/</w:t>
      </w:r>
      <w:r w:rsidRPr="008E6E40">
        <w:t>8</w:t>
      </w:r>
      <w:r w:rsidRPr="000A484C">
        <w:rPr>
          <w:b/>
        </w:rPr>
        <w:t xml:space="preserve"> </w:t>
      </w:r>
      <w:r w:rsidRPr="007C4F65">
        <w:t>Housing Density</w:t>
      </w:r>
      <w:r w:rsidRPr="00660A33">
        <w:t xml:space="preserve"> sets out that a density of 30 dwel</w:t>
      </w:r>
      <w:r w:rsidRPr="00AC12C5">
        <w:t>lings per hectare will achieve efficient use of land</w:t>
      </w:r>
      <w:r w:rsidR="004A78E3" w:rsidRPr="00717780">
        <w:t xml:space="preserve"> i</w:t>
      </w:r>
      <w:r w:rsidR="004A78E3" w:rsidRPr="000A484C">
        <w:t>n the villages with 40 dwellings per hectare in urban extensions to Cambridge and new settlements</w:t>
      </w:r>
      <w:r w:rsidRPr="000A484C">
        <w:t xml:space="preserve">. </w:t>
      </w:r>
    </w:p>
    <w:p w14:paraId="5FFC8896" w14:textId="45312772" w:rsidR="00FC6235" w:rsidRPr="000A484C" w:rsidRDefault="001C597D" w:rsidP="007D0FBF">
      <w:pPr>
        <w:pStyle w:val="11Bodytext"/>
      </w:pPr>
      <w:r w:rsidRPr="007C4F65">
        <w:t xml:space="preserve">Policy H/9 </w:t>
      </w:r>
      <w:r w:rsidRPr="00660A33">
        <w:t>Housing Mix</w:t>
      </w:r>
      <w:r w:rsidR="00E817D6" w:rsidRPr="00AC12C5">
        <w:t xml:space="preserve"> seeks to</w:t>
      </w:r>
      <w:r w:rsidRPr="00717780">
        <w:t xml:space="preserve"> </w:t>
      </w:r>
      <w:r w:rsidR="00E817D6" w:rsidRPr="000A484C">
        <w:t>ensure</w:t>
      </w:r>
      <w:r w:rsidRPr="000A484C">
        <w:t xml:space="preserve"> a wide choice, </w:t>
      </w:r>
      <w:proofErr w:type="gramStart"/>
      <w:r w:rsidRPr="000A484C">
        <w:t>type</w:t>
      </w:r>
      <w:proofErr w:type="gramEnd"/>
      <w:r w:rsidRPr="000A484C">
        <w:t xml:space="preserve"> and mix of housing will be provided to meet the community needs</w:t>
      </w:r>
      <w:r w:rsidR="00E817D6" w:rsidRPr="000A484C">
        <w:t>.</w:t>
      </w:r>
      <w:r w:rsidR="00CA0F24" w:rsidRPr="000A484C">
        <w:t xml:space="preserve"> </w:t>
      </w:r>
      <w:r w:rsidR="00687967" w:rsidRPr="000A484C">
        <w:t>Consequently,</w:t>
      </w:r>
      <w:r w:rsidRPr="000A484C">
        <w:t xml:space="preserve"> for </w:t>
      </w:r>
      <w:r w:rsidR="00E817D6" w:rsidRPr="000A484C">
        <w:t>schemes</w:t>
      </w:r>
      <w:r w:rsidRPr="000A484C">
        <w:t xml:space="preserve"> of 10 or more</w:t>
      </w:r>
      <w:r w:rsidR="00E817D6" w:rsidRPr="000A484C">
        <w:t xml:space="preserve"> dwellings</w:t>
      </w:r>
      <w:r w:rsidR="00687967" w:rsidRPr="000A484C">
        <w:t>,</w:t>
      </w:r>
      <w:r w:rsidR="00E817D6" w:rsidRPr="000A484C">
        <w:t xml:space="preserve"> </w:t>
      </w:r>
      <w:r w:rsidRPr="000A484C">
        <w:t>30% of homes will have to be 1 or 2 bedrooms, 30% 3-bedroom homes and 30% 4-bedroom homes</w:t>
      </w:r>
      <w:r w:rsidR="00BC2EE5">
        <w:t xml:space="preserve"> with a 10% flexibility allowance</w:t>
      </w:r>
      <w:r w:rsidRPr="000A484C">
        <w:t xml:space="preserve">. </w:t>
      </w:r>
      <w:r w:rsidR="00FC6235" w:rsidRPr="000A484C">
        <w:t xml:space="preserve">Policy H/9 Housing Mix requires all sites with 20 or more dwellings to </w:t>
      </w:r>
      <w:r w:rsidR="0030734F" w:rsidRPr="000A484C">
        <w:t>supply dwelling plots for sale to self and custom builders.</w:t>
      </w:r>
      <w:r w:rsidR="00CA0F24" w:rsidRPr="000A484C">
        <w:t xml:space="preserve"> </w:t>
      </w:r>
      <w:r w:rsidR="0030734F" w:rsidRPr="000A484C">
        <w:t>The housing strategy for Greater Cambridge stipulates that this should be 5% of all plots</w:t>
      </w:r>
      <w:r w:rsidR="00241B5D">
        <w:t>.</w:t>
      </w:r>
    </w:p>
    <w:p w14:paraId="61B415AB" w14:textId="274B9B65" w:rsidR="00E817D6" w:rsidRPr="000A484C" w:rsidRDefault="001C597D" w:rsidP="007D0FBF">
      <w:pPr>
        <w:pStyle w:val="11Bodytext"/>
      </w:pPr>
      <w:r w:rsidRPr="007C4F65">
        <w:t>Policy H/10 Affordable Housing</w:t>
      </w:r>
      <w:r w:rsidRPr="00660A33">
        <w:t xml:space="preserve"> </w:t>
      </w:r>
      <w:r w:rsidRPr="00AC12C5">
        <w:t xml:space="preserve">states for </w:t>
      </w:r>
      <w:r w:rsidR="00FC6235" w:rsidRPr="00717780">
        <w:t>1</w:t>
      </w:r>
      <w:r w:rsidR="00FC6235" w:rsidRPr="000A484C">
        <w:t xml:space="preserve">0 </w:t>
      </w:r>
      <w:r w:rsidRPr="000A484C">
        <w:t xml:space="preserve">or more dwellings, 40% of homes on site will be affordable. </w:t>
      </w:r>
    </w:p>
    <w:p w14:paraId="54B02B12" w14:textId="5E61AF13" w:rsidR="001C597D" w:rsidRPr="00957C97" w:rsidRDefault="001C597D" w:rsidP="007D0FBF">
      <w:pPr>
        <w:pStyle w:val="Heading3"/>
      </w:pPr>
      <w:r w:rsidRPr="00957C97">
        <w:t xml:space="preserve">Fenland </w:t>
      </w:r>
    </w:p>
    <w:p w14:paraId="0571253D" w14:textId="368C4F4F" w:rsidR="001C597D" w:rsidRPr="000A484C" w:rsidRDefault="001C597D" w:rsidP="007D0FBF">
      <w:pPr>
        <w:pStyle w:val="11Bodytext"/>
      </w:pPr>
      <w:r w:rsidRPr="00957C97">
        <w:t>The Fenland Local Plan was adopted in May 2014</w:t>
      </w:r>
      <w:r>
        <w:t xml:space="preserve"> and </w:t>
      </w:r>
      <w:r w:rsidR="00241B5D">
        <w:t xml:space="preserve">covers </w:t>
      </w:r>
      <w:r>
        <w:t>the plan period 2011</w:t>
      </w:r>
      <w:r w:rsidR="00243686">
        <w:t>-</w:t>
      </w:r>
      <w:r>
        <w:t>31.</w:t>
      </w:r>
      <w:r w:rsidRPr="00957C97">
        <w:t xml:space="preserve"> </w:t>
      </w:r>
      <w:r>
        <w:t>The Local Plan</w:t>
      </w:r>
      <w:r w:rsidRPr="00957C97">
        <w:t xml:space="preserve"> </w:t>
      </w:r>
      <w:r w:rsidRPr="007C4F65">
        <w:t xml:space="preserve">sets </w:t>
      </w:r>
      <w:r w:rsidR="00351B42" w:rsidRPr="00660A33">
        <w:t>a</w:t>
      </w:r>
      <w:r w:rsidRPr="00AC12C5">
        <w:t xml:space="preserve"> </w:t>
      </w:r>
      <w:r w:rsidRPr="00717780">
        <w:t>housin</w:t>
      </w:r>
      <w:r w:rsidRPr="000A484C">
        <w:t>g target of delivering 11,000 new homes over the 20-year plan period. The distribution of these new dwellings must be compliant with Policy LP3: Spatial Strategy, the Settlement Hierarchy</w:t>
      </w:r>
      <w:r w:rsidR="00D82D7A" w:rsidRPr="000A484C">
        <w:t>,</w:t>
      </w:r>
      <w:r w:rsidRPr="000A484C">
        <w:t xml:space="preserve"> and Countryside, which aims for sustainable growth within the District and places the focus on growth around </w:t>
      </w:r>
      <w:r w:rsidR="00351B42" w:rsidRPr="000A484C">
        <w:t xml:space="preserve">the </w:t>
      </w:r>
      <w:r w:rsidRPr="000A484C">
        <w:t xml:space="preserve">four market towns which have the best access to services and facilities. </w:t>
      </w:r>
    </w:p>
    <w:p w14:paraId="60AE4483" w14:textId="1B289F98" w:rsidR="00351B42" w:rsidRPr="000A484C" w:rsidRDefault="001C597D" w:rsidP="007D0FBF">
      <w:pPr>
        <w:pStyle w:val="11Bodytext"/>
      </w:pPr>
      <w:r w:rsidRPr="000A484C">
        <w:lastRenderedPageBreak/>
        <w:t>The provision of affordable housing is one of the key aims of the Local Plan</w:t>
      </w:r>
      <w:r w:rsidR="00241B5D">
        <w:t xml:space="preserve"> and is i</w:t>
      </w:r>
      <w:r w:rsidRPr="000A484C">
        <w:t>nformed by the Cambridge Housing Sub-Region SHMA</w:t>
      </w:r>
      <w:r w:rsidR="00351B42" w:rsidRPr="000A484C">
        <w:t xml:space="preserve"> (2012)</w:t>
      </w:r>
      <w:r w:rsidRPr="000A484C">
        <w:t>, local market conditions and viability and feasibility testing</w:t>
      </w:r>
      <w:r w:rsidR="00351B42" w:rsidRPr="000A484C">
        <w:t>.</w:t>
      </w:r>
      <w:r w:rsidRPr="000A484C">
        <w:t xml:space="preserve"> </w:t>
      </w:r>
    </w:p>
    <w:p w14:paraId="18874E01" w14:textId="77777777" w:rsidR="001C597D" w:rsidRPr="000A484C" w:rsidRDefault="001C597D" w:rsidP="007D0FBF">
      <w:pPr>
        <w:pStyle w:val="11Bodytext"/>
      </w:pPr>
      <w:r w:rsidRPr="000A484C">
        <w:t xml:space="preserve">Policy LP5: Meeting Housing Needs outlines the affordable housing need for Fenland being for all development of five or more dwellings. The tenure mix of affordable dwellings should also be compatible with the latest SHMA. </w:t>
      </w:r>
    </w:p>
    <w:p w14:paraId="19C82BDF" w14:textId="28DD1ECA" w:rsidR="00351B42" w:rsidRDefault="00351B42" w:rsidP="007D0FBF">
      <w:pPr>
        <w:pStyle w:val="Heading3"/>
      </w:pPr>
      <w:r>
        <w:t xml:space="preserve">West Suffolk </w:t>
      </w:r>
    </w:p>
    <w:p w14:paraId="2F47C3A2" w14:textId="09C3186C" w:rsidR="00351B42" w:rsidRPr="00351B42" w:rsidRDefault="00FF70B3" w:rsidP="007D0FBF">
      <w:pPr>
        <w:pStyle w:val="11Bodytext"/>
      </w:pPr>
      <w:r>
        <w:t>F</w:t>
      </w:r>
      <w:r w:rsidR="00313287">
        <w:t xml:space="preserve">ormer Forest Heath </w:t>
      </w:r>
      <w:r w:rsidR="00351B42" w:rsidRPr="00351B42">
        <w:t xml:space="preserve">and </w:t>
      </w:r>
      <w:r w:rsidR="00313287">
        <w:t xml:space="preserve">former St Edmundsbury </w:t>
      </w:r>
      <w:r w:rsidR="00351B42" w:rsidRPr="00351B42">
        <w:t xml:space="preserve">Local Authorities merged to form West Suffolk </w:t>
      </w:r>
      <w:r w:rsidR="00AD09FB">
        <w:t>C</w:t>
      </w:r>
      <w:r w:rsidR="00FB56FA">
        <w:t>ouncil</w:t>
      </w:r>
      <w:r w:rsidR="00351B42" w:rsidRPr="00351B42">
        <w:t xml:space="preserve"> </w:t>
      </w:r>
      <w:r w:rsidR="00FB56FA">
        <w:t>o</w:t>
      </w:r>
      <w:r w:rsidR="00351B42" w:rsidRPr="00351B42">
        <w:t>n</w:t>
      </w:r>
      <w:r w:rsidR="00FB56FA">
        <w:t xml:space="preserve"> 1</w:t>
      </w:r>
      <w:r w:rsidR="00FB56FA" w:rsidRPr="00FF7A90">
        <w:rPr>
          <w:vertAlign w:val="superscript"/>
        </w:rPr>
        <w:t>st</w:t>
      </w:r>
      <w:r w:rsidR="00FB56FA">
        <w:t xml:space="preserve"> April</w:t>
      </w:r>
      <w:r w:rsidR="00351B42" w:rsidRPr="00351B42">
        <w:t xml:space="preserve"> 2019.</w:t>
      </w:r>
      <w:r w:rsidR="00CA0F24">
        <w:t xml:space="preserve"> </w:t>
      </w:r>
      <w:r w:rsidR="00351B42">
        <w:t>We have set out below the local policy position for each of these</w:t>
      </w:r>
      <w:r w:rsidR="00257456">
        <w:t xml:space="preserve"> areas</w:t>
      </w:r>
      <w:r w:rsidR="00351B42">
        <w:t>.</w:t>
      </w:r>
      <w:r w:rsidR="00351B42" w:rsidRPr="00351B42">
        <w:t xml:space="preserve"> </w:t>
      </w:r>
      <w:r w:rsidR="00351B42">
        <w:t>These will continue to be valid until the West Suffolk Local Plan is adopted which is scheduled for 2024.</w:t>
      </w:r>
    </w:p>
    <w:p w14:paraId="6F28EB7A" w14:textId="161384CF" w:rsidR="001C597D" w:rsidRPr="002A2E68" w:rsidRDefault="00313287" w:rsidP="007D0FBF">
      <w:pPr>
        <w:pStyle w:val="Heading3"/>
      </w:pPr>
      <w:r>
        <w:t>Former Forest Heath</w:t>
      </w:r>
    </w:p>
    <w:p w14:paraId="78EC05F1" w14:textId="4EC01897" w:rsidR="00B665A9" w:rsidRPr="000A484C" w:rsidRDefault="00386168" w:rsidP="007D0FBF">
      <w:pPr>
        <w:pStyle w:val="11Bodytext"/>
      </w:pPr>
      <w:r w:rsidRPr="007C4F65">
        <w:t xml:space="preserve">There </w:t>
      </w:r>
      <w:r w:rsidRPr="00660A33">
        <w:t xml:space="preserve">was a </w:t>
      </w:r>
      <w:r w:rsidR="002464CB" w:rsidRPr="00660A33">
        <w:t>Single-Issue</w:t>
      </w:r>
      <w:r w:rsidRPr="00660A33">
        <w:t xml:space="preserve"> </w:t>
      </w:r>
      <w:r w:rsidRPr="00AC12C5">
        <w:t xml:space="preserve">Review of the Core Strategy </w:t>
      </w:r>
      <w:r w:rsidRPr="00717780">
        <w:t>Policy CS7</w:t>
      </w:r>
      <w:r w:rsidRPr="000A484C">
        <w:t xml:space="preserve"> in September 2019.</w:t>
      </w:r>
      <w:r w:rsidR="00CA0F24" w:rsidRPr="000A484C">
        <w:t xml:space="preserve"> </w:t>
      </w:r>
      <w:r w:rsidR="00B665A9" w:rsidRPr="000A484C">
        <w:t>This was to review the housing requirement for the district.</w:t>
      </w:r>
      <w:r w:rsidR="00CA0F24" w:rsidRPr="000A484C">
        <w:t xml:space="preserve"> </w:t>
      </w:r>
      <w:r w:rsidR="00B665A9" w:rsidRPr="000A484C">
        <w:t>The starting point for assessing housing need was the 2016 SHMA which identified a need for 6,800 homes over the period 2011-2031, or 340 homes a year.</w:t>
      </w:r>
      <w:r w:rsidR="008026A0" w:rsidRPr="000A484C">
        <w:t xml:space="preserve"> </w:t>
      </w:r>
      <w:proofErr w:type="gramStart"/>
      <w:r w:rsidR="008026A0" w:rsidRPr="000A484C">
        <w:t>Taking into account</w:t>
      </w:r>
      <w:proofErr w:type="gramEnd"/>
      <w:r w:rsidR="008026A0" w:rsidRPr="000A484C">
        <w:t xml:space="preserve"> interim delivery left a requirement to deliver 4</w:t>
      </w:r>
      <w:r w:rsidR="00241B5D">
        <w:t>,</w:t>
      </w:r>
      <w:r w:rsidR="008026A0" w:rsidRPr="000A484C">
        <w:t>363 homes over the 2016-</w:t>
      </w:r>
      <w:r w:rsidR="00257456">
        <w:t>20</w:t>
      </w:r>
      <w:r w:rsidR="008026A0" w:rsidRPr="000A484C">
        <w:t xml:space="preserve">31 period or 290 </w:t>
      </w:r>
      <w:proofErr w:type="spellStart"/>
      <w:r w:rsidR="008026A0" w:rsidRPr="000A484C">
        <w:t>dpa</w:t>
      </w:r>
      <w:proofErr w:type="spellEnd"/>
      <w:r w:rsidR="008026A0" w:rsidRPr="000A484C">
        <w:t>.</w:t>
      </w:r>
      <w:r w:rsidR="00B665A9" w:rsidRPr="000A484C">
        <w:t xml:space="preserve"> </w:t>
      </w:r>
    </w:p>
    <w:p w14:paraId="15BDDE27" w14:textId="5DED29AC" w:rsidR="00FE7307" w:rsidRDefault="00F04D4D" w:rsidP="007D0FBF">
      <w:pPr>
        <w:pStyle w:val="11Bodytext"/>
      </w:pPr>
      <w:r w:rsidRPr="000A484C">
        <w:t>P</w:t>
      </w:r>
      <w:r w:rsidR="00FE7307" w:rsidRPr="000A484C">
        <w:t>olicy CS9 requires 30% of housing developments of 10 or more dwellings or more than 0.33 ha should be affordable. The mix of tenure and sizes should be as presented in the</w:t>
      </w:r>
      <w:r w:rsidR="00CA0F24" w:rsidRPr="000A484C">
        <w:t xml:space="preserve"> </w:t>
      </w:r>
      <w:r w:rsidR="00FE7307" w:rsidRPr="000A484C">
        <w:t xml:space="preserve">SHMA 2012. </w:t>
      </w:r>
      <w:r w:rsidR="008026A0" w:rsidRPr="000A484C">
        <w:t>The policy also set a requirement for 20%</w:t>
      </w:r>
      <w:r w:rsidR="008026A0">
        <w:t xml:space="preserve"> </w:t>
      </w:r>
      <w:r w:rsidR="00241B5D">
        <w:t xml:space="preserve">to be affordable </w:t>
      </w:r>
      <w:r w:rsidR="008026A0">
        <w:t xml:space="preserve">on smaller sites in certain settlements. </w:t>
      </w:r>
      <w:r w:rsidR="00E8777B">
        <w:t>That said</w:t>
      </w:r>
      <w:r w:rsidR="008026A0">
        <w:t xml:space="preserve">, this is no longer </w:t>
      </w:r>
      <w:r w:rsidR="00D46C1E">
        <w:t>valid</w:t>
      </w:r>
      <w:r w:rsidR="008026A0">
        <w:t xml:space="preserve"> due to changes brought about by a ministerial statement.</w:t>
      </w:r>
      <w:r w:rsidR="00CA0F24">
        <w:t xml:space="preserve"> </w:t>
      </w:r>
    </w:p>
    <w:p w14:paraId="11ACF653" w14:textId="25D175E7" w:rsidR="001C597D" w:rsidRPr="00957C97" w:rsidRDefault="00313287" w:rsidP="007D0FBF">
      <w:pPr>
        <w:pStyle w:val="Heading3"/>
      </w:pPr>
      <w:r>
        <w:t xml:space="preserve">Former St Edmundsbury </w:t>
      </w:r>
    </w:p>
    <w:p w14:paraId="337286B9" w14:textId="25286EB3" w:rsidR="001C597D" w:rsidRPr="000A484C" w:rsidRDefault="000A43DD" w:rsidP="007D0FBF">
      <w:pPr>
        <w:pStyle w:val="11Bodytext"/>
      </w:pPr>
      <w:r w:rsidRPr="007C4F65">
        <w:t>T</w:t>
      </w:r>
      <w:r w:rsidR="001C597D" w:rsidRPr="00660A33">
        <w:t xml:space="preserve">he </w:t>
      </w:r>
      <w:r w:rsidR="00313287">
        <w:t xml:space="preserve">former St Edmundsbury </w:t>
      </w:r>
      <w:r w:rsidR="001C597D" w:rsidRPr="00717780">
        <w:t xml:space="preserve">Core Strategy </w:t>
      </w:r>
      <w:r w:rsidR="00241B5D">
        <w:t xml:space="preserve">that </w:t>
      </w:r>
      <w:r w:rsidR="00386168" w:rsidRPr="000A484C">
        <w:t xml:space="preserve">was </w:t>
      </w:r>
      <w:r w:rsidR="001C597D" w:rsidRPr="000A484C">
        <w:t>adopted in December 2010</w:t>
      </w:r>
      <w:r w:rsidR="00386168" w:rsidRPr="000A484C">
        <w:t xml:space="preserve"> reflected </w:t>
      </w:r>
      <w:r w:rsidR="001C597D" w:rsidRPr="000A484C">
        <w:t xml:space="preserve">the East of England Plan, </w:t>
      </w:r>
      <w:r w:rsidR="00386168" w:rsidRPr="000A484C">
        <w:t>which</w:t>
      </w:r>
      <w:r w:rsidR="001C597D" w:rsidRPr="000A484C">
        <w:t xml:space="preserve"> required 10,000 homes</w:t>
      </w:r>
      <w:r w:rsidR="00386168" w:rsidRPr="000A484C">
        <w:t xml:space="preserve"> to be built</w:t>
      </w:r>
      <w:r w:rsidR="001C597D" w:rsidRPr="000A484C">
        <w:t xml:space="preserve"> between 2001 and 2021, with a minimum of a further 5,400 between 2021 and 2031. The Core Strategy makes provision for the construction of at least 9,000 new homes in </w:t>
      </w:r>
      <w:r w:rsidR="00313287">
        <w:t xml:space="preserve">former St Edmundsbury </w:t>
      </w:r>
      <w:r w:rsidR="001C597D" w:rsidRPr="000A484C">
        <w:t xml:space="preserve">between 2008 and 2031. </w:t>
      </w:r>
    </w:p>
    <w:p w14:paraId="4BA7465E" w14:textId="3EF83319" w:rsidR="001C597D" w:rsidRPr="000A484C" w:rsidRDefault="001C597D" w:rsidP="007D0FBF">
      <w:pPr>
        <w:pStyle w:val="11Bodytext"/>
      </w:pPr>
      <w:r w:rsidRPr="000A484C">
        <w:lastRenderedPageBreak/>
        <w:t>Due to the rural nature of the district, an increasing amount of housing will</w:t>
      </w:r>
      <w:r w:rsidR="00386168" w:rsidRPr="000A484C">
        <w:t xml:space="preserve"> need to</w:t>
      </w:r>
      <w:r w:rsidRPr="000A484C">
        <w:t xml:space="preserve"> be delivered in </w:t>
      </w:r>
      <w:r w:rsidR="00687967" w:rsidRPr="000A484C">
        <w:t xml:space="preserve">a </w:t>
      </w:r>
      <w:r w:rsidRPr="000A484C">
        <w:t>rural are</w:t>
      </w:r>
      <w:r w:rsidR="00386168" w:rsidRPr="000A484C">
        <w:t>a</w:t>
      </w:r>
      <w:r w:rsidRPr="000A484C">
        <w:t>. A rural hierarchy has been produced in Policy CS4, Settle</w:t>
      </w:r>
      <w:r w:rsidR="00386168" w:rsidRPr="000A484C">
        <w:t>ment</w:t>
      </w:r>
      <w:r w:rsidRPr="000A484C">
        <w:t xml:space="preserve"> Hierarchy and Identity, </w:t>
      </w:r>
      <w:r w:rsidR="00241B5D">
        <w:t xml:space="preserve">which sets </w:t>
      </w:r>
      <w:r w:rsidR="00390AFC" w:rsidRPr="000A484C">
        <w:t>out where new development is expected to go.</w:t>
      </w:r>
      <w:r w:rsidRPr="000A484C">
        <w:t xml:space="preserve"> </w:t>
      </w:r>
    </w:p>
    <w:p w14:paraId="6B4351D9" w14:textId="2C6CDB50" w:rsidR="00011200" w:rsidRPr="000A484C" w:rsidRDefault="001C597D" w:rsidP="007D0FBF">
      <w:pPr>
        <w:pStyle w:val="11Bodytext"/>
      </w:pPr>
      <w:r w:rsidRPr="000A484C">
        <w:t xml:space="preserve">Policy CS5 Affordable Housing sets </w:t>
      </w:r>
      <w:r w:rsidR="00386168" w:rsidRPr="000A484C">
        <w:t>an</w:t>
      </w:r>
      <w:r w:rsidRPr="000A484C">
        <w:t xml:space="preserve"> affordable housing target </w:t>
      </w:r>
      <w:r w:rsidR="00386168" w:rsidRPr="000A484C">
        <w:t>at</w:t>
      </w:r>
      <w:r w:rsidRPr="000A484C">
        <w:t xml:space="preserve"> 20% </w:t>
      </w:r>
      <w:r w:rsidR="00386168" w:rsidRPr="000A484C">
        <w:t>at developments of</w:t>
      </w:r>
      <w:r w:rsidRPr="000A484C">
        <w:t xml:space="preserve"> </w:t>
      </w:r>
      <w:r w:rsidR="00386168" w:rsidRPr="000A484C">
        <w:t xml:space="preserve">up to </w:t>
      </w:r>
      <w:r w:rsidR="00D46C1E" w:rsidRPr="000A484C">
        <w:t xml:space="preserve">10 </w:t>
      </w:r>
      <w:r w:rsidRPr="000A484C">
        <w:t>dwellings and 30% afford</w:t>
      </w:r>
      <w:r w:rsidR="00386168" w:rsidRPr="000A484C">
        <w:t>able</w:t>
      </w:r>
      <w:r w:rsidRPr="000A484C">
        <w:t xml:space="preserve"> housing w</w:t>
      </w:r>
      <w:r w:rsidR="00386168" w:rsidRPr="000A484C">
        <w:t>h</w:t>
      </w:r>
      <w:r w:rsidRPr="000A484C">
        <w:t>ere 10 or more dwellings are built. Within the same policy, the mix, size, type</w:t>
      </w:r>
      <w:r w:rsidR="00D82D7A" w:rsidRPr="000A484C">
        <w:t>,</w:t>
      </w:r>
      <w:r w:rsidRPr="000A484C">
        <w:t xml:space="preserve"> and tenure of affordable homes is set and should be in line with the locally identified housing need. </w:t>
      </w:r>
      <w:r w:rsidR="00D46C1E" w:rsidRPr="000A484C">
        <w:t>The policy requirement for 20% on smaller sites is no longer valid due to changes brought about by a ministerial statement.</w:t>
      </w:r>
      <w:r w:rsidR="00CA0F24" w:rsidRPr="000A484C">
        <w:t xml:space="preserve"> </w:t>
      </w:r>
    </w:p>
    <w:p w14:paraId="0E043CCA" w14:textId="3FA21744" w:rsidR="0022753D" w:rsidRDefault="0022753D" w:rsidP="007D0FBF">
      <w:pPr>
        <w:pStyle w:val="Heading2"/>
      </w:pPr>
      <w:r>
        <w:t>Covid-19</w:t>
      </w:r>
    </w:p>
    <w:p w14:paraId="05A038D5" w14:textId="52CD1AFA" w:rsidR="0022753D" w:rsidRDefault="0022753D" w:rsidP="007D0FBF">
      <w:pPr>
        <w:pStyle w:val="11Bodytext"/>
      </w:pPr>
      <w:r>
        <w:t xml:space="preserve">The report was largely prepared </w:t>
      </w:r>
      <w:r w:rsidR="00B72C7B">
        <w:t>before and during the</w:t>
      </w:r>
      <w:r>
        <w:t xml:space="preserve"> Covid-19 outbreak</w:t>
      </w:r>
      <w:r w:rsidR="00E8777B">
        <w:t xml:space="preserve"> and</w:t>
      </w:r>
      <w:r>
        <w:t xml:space="preserve"> it does not seek to model any impact that may result from it. The data accessed and used in this report all pre-date the Covid-19 </w:t>
      </w:r>
      <w:r w:rsidR="001B1E32">
        <w:t>e</w:t>
      </w:r>
      <w:r>
        <w:t xml:space="preserve">mergency. </w:t>
      </w:r>
    </w:p>
    <w:p w14:paraId="2D967060" w14:textId="2190BAF2" w:rsidR="0022753D" w:rsidRDefault="0022753D" w:rsidP="007D0FBF">
      <w:pPr>
        <w:pStyle w:val="11Bodytext"/>
      </w:pPr>
      <w:r>
        <w:t xml:space="preserve">Whilst it is currently too early to know what the full impact of Covid-19 will be on the housing </w:t>
      </w:r>
      <w:r w:rsidR="00B72C7B">
        <w:t>market;</w:t>
      </w:r>
      <w:r>
        <w:t xml:space="preserve"> it will be important for outcomes to be monitored and consideration given to any short or long-term consequences for a range of groups. Below is a very brief initial discussion of some of the areas that will need to be monitored:</w:t>
      </w:r>
    </w:p>
    <w:p w14:paraId="67422280" w14:textId="4D97C2EE" w:rsidR="0022753D" w:rsidRDefault="0022753D" w:rsidP="00097650">
      <w:pPr>
        <w:pStyle w:val="10BulletBodytext"/>
        <w:rPr>
          <w:szCs w:val="20"/>
        </w:rPr>
      </w:pPr>
      <w:r w:rsidRPr="000A484C">
        <w:rPr>
          <w:b/>
        </w:rPr>
        <w:t xml:space="preserve">Affordable </w:t>
      </w:r>
      <w:r w:rsidR="00B72C7B" w:rsidRPr="000A484C">
        <w:rPr>
          <w:b/>
        </w:rPr>
        <w:t>H</w:t>
      </w:r>
      <w:r w:rsidRPr="000A484C">
        <w:rPr>
          <w:b/>
        </w:rPr>
        <w:t>ousing</w:t>
      </w:r>
      <w:r>
        <w:t xml:space="preserve"> – potentially the most immediate impact will be</w:t>
      </w:r>
      <w:r w:rsidR="007C0291" w:rsidRPr="007C0291">
        <w:t xml:space="preserve"> </w:t>
      </w:r>
      <w:r w:rsidR="007C0291">
        <w:t>a greater affordable housing need</w:t>
      </w:r>
      <w:r>
        <w:t>, as a result of higher levels of unemployment. Given that the</w:t>
      </w:r>
      <w:r w:rsidR="00236E71">
        <w:t xml:space="preserve">re is </w:t>
      </w:r>
      <w:r>
        <w:t>a finite amount of social housing stock</w:t>
      </w:r>
      <w:r w:rsidR="00236E71">
        <w:t>,</w:t>
      </w:r>
      <w:r>
        <w:t xml:space="preserve"> this could put pressure on the </w:t>
      </w:r>
      <w:r w:rsidR="00236E71">
        <w:t xml:space="preserve">housing register, the homelessness system and the </w:t>
      </w:r>
      <w:r>
        <w:t>private rented sector as well as various service providers.</w:t>
      </w:r>
      <w:r w:rsidR="00CA0F24">
        <w:t xml:space="preserve"> </w:t>
      </w:r>
      <w:r w:rsidR="00236E71">
        <w:t xml:space="preserve">One </w:t>
      </w:r>
      <w:r>
        <w:t>immediate response from banks has been to offer those affected mortgage holidays.</w:t>
      </w:r>
      <w:r w:rsidR="00CA0F24">
        <w:t xml:space="preserve"> </w:t>
      </w:r>
      <w:r>
        <w:t xml:space="preserve">This has postponed the immediate increase in demand for affordable housing and </w:t>
      </w:r>
      <w:r w:rsidR="005F1450">
        <w:t xml:space="preserve">private rented </w:t>
      </w:r>
      <w:r w:rsidR="00236E71">
        <w:t xml:space="preserve">housing </w:t>
      </w:r>
      <w:r>
        <w:t>although it is unlikely to be offered indefinitely.</w:t>
      </w:r>
    </w:p>
    <w:p w14:paraId="6F3275D1" w14:textId="4AA93F88" w:rsidR="0022753D" w:rsidRDefault="0022753D" w:rsidP="00097650">
      <w:pPr>
        <w:pStyle w:val="10BulletBodytext"/>
      </w:pPr>
      <w:r w:rsidRPr="000A484C">
        <w:rPr>
          <w:b/>
        </w:rPr>
        <w:t xml:space="preserve">Housing </w:t>
      </w:r>
      <w:r w:rsidR="00B72C7B" w:rsidRPr="000A484C">
        <w:rPr>
          <w:b/>
        </w:rPr>
        <w:t>M</w:t>
      </w:r>
      <w:r w:rsidRPr="000A484C">
        <w:rPr>
          <w:b/>
        </w:rPr>
        <w:t>arket</w:t>
      </w:r>
      <w:r>
        <w:t xml:space="preserve"> – it is likely that a greater focus will be on house prices and sales volumes with some analysts predicting a notable short-term fall in prices and transactions. Whilst this would arguably make housing more affordable, it does look like lenders are changing their lending criteria (requiring higher deposits) which is likely to make it more difficult for new households to access the market. This potentially will put pressure on the need for private rented accommodation. The government responded to this by </w:t>
      </w:r>
      <w:r w:rsidR="00082420">
        <w:t>cutting</w:t>
      </w:r>
      <w:r>
        <w:t xml:space="preserve"> stamp duty on homes until March 2021.</w:t>
      </w:r>
      <w:r w:rsidR="00082420">
        <w:t xml:space="preserve"> This had the effect of dampening the impact of the Pandemic on the housing market. </w:t>
      </w:r>
    </w:p>
    <w:p w14:paraId="7DDED3A6" w14:textId="5A62EA18" w:rsidR="0022753D" w:rsidRDefault="0022753D" w:rsidP="00097650">
      <w:pPr>
        <w:pStyle w:val="10BulletBodytext"/>
      </w:pPr>
      <w:r w:rsidRPr="000A484C">
        <w:rPr>
          <w:b/>
        </w:rPr>
        <w:lastRenderedPageBreak/>
        <w:t>Older People</w:t>
      </w:r>
      <w:r>
        <w:t xml:space="preserve"> – whilst the number of excess deaths due to Covid-19 is high in England, it still represents only a fraction of the number of deaths that might have been anticipated. However, given the</w:t>
      </w:r>
      <w:r w:rsidR="00A8020E">
        <w:t xml:space="preserve"> demographic</w:t>
      </w:r>
      <w:r>
        <w:t xml:space="preserve"> groups impacted there may be a short-term shift </w:t>
      </w:r>
      <w:r w:rsidR="005F1450">
        <w:t>in</w:t>
      </w:r>
      <w:r w:rsidR="0043401E">
        <w:t xml:space="preserve"> </w:t>
      </w:r>
      <w:r w:rsidR="00FC7B46">
        <w:t>the</w:t>
      </w:r>
      <w:r>
        <w:t xml:space="preserve"> population profile</w:t>
      </w:r>
      <w:r w:rsidR="00A8020E">
        <w:t xml:space="preserve"> </w:t>
      </w:r>
      <w:r>
        <w:t xml:space="preserve">and hence the need for </w:t>
      </w:r>
      <w:r w:rsidR="00A8020E">
        <w:t>older people’s housing</w:t>
      </w:r>
      <w:r>
        <w:t>. On the flip side, given high numbers of deaths in care homes, it may be (in the longer-term) that there is a change in models of care; in particular away from traditional residential care home setting</w:t>
      </w:r>
      <w:r w:rsidR="00236E71">
        <w:t>s</w:t>
      </w:r>
      <w:r>
        <w:t>. Although the forced isolation of older people outside of this context has somewhat perversely seen a growth in demand for specialist older persons accommodation</w:t>
      </w:r>
      <w:r w:rsidR="005F1450">
        <w:t>.</w:t>
      </w:r>
    </w:p>
    <w:p w14:paraId="5A3953D5" w14:textId="58D5D62B" w:rsidR="0022753D" w:rsidRDefault="0022753D" w:rsidP="00097650">
      <w:pPr>
        <w:pStyle w:val="10BulletBodytext"/>
      </w:pPr>
      <w:r w:rsidRPr="00B726BD">
        <w:rPr>
          <w:b/>
        </w:rPr>
        <w:t>Commuting and Migration</w:t>
      </w:r>
      <w:r>
        <w:t xml:space="preserve"> – </w:t>
      </w:r>
      <w:r w:rsidR="00B72C7B">
        <w:t>t</w:t>
      </w:r>
      <w:r>
        <w:t xml:space="preserve">here may well be a </w:t>
      </w:r>
      <w:r w:rsidR="00F04D4D">
        <w:t>longer-</w:t>
      </w:r>
      <w:r>
        <w:t xml:space="preserve">term shift to increased working from home. This may well see people having less of a need to be close to their traditional place of work. This may potentially have a </w:t>
      </w:r>
      <w:r w:rsidR="00F04D4D">
        <w:t>longer-</w:t>
      </w:r>
      <w:r>
        <w:t>term impact on migration patterns as people move away from major employment hubs i.e. cities towards more rural locations.</w:t>
      </w:r>
    </w:p>
    <w:p w14:paraId="64520850" w14:textId="548D3F69" w:rsidR="0022753D" w:rsidRDefault="0022753D" w:rsidP="007D0FBF">
      <w:pPr>
        <w:pStyle w:val="11Bodytext"/>
      </w:pPr>
      <w:r>
        <w:t xml:space="preserve">These are just a small number of topics that might be impacted by Covid-19 and as noted it will be important to monitor the situation moving forward. That said, this report does project needs many years into the future and it may be that the </w:t>
      </w:r>
      <w:r w:rsidR="006A4676">
        <w:t>Covid</w:t>
      </w:r>
      <w:r w:rsidR="008B0419">
        <w:t>-19</w:t>
      </w:r>
      <w:r>
        <w:t xml:space="preserve"> </w:t>
      </w:r>
      <w:r w:rsidR="00A8020E">
        <w:t>e</w:t>
      </w:r>
      <w:r>
        <w:t xml:space="preserve">mergency will only create minor or short-term housing market impacts. </w:t>
      </w:r>
    </w:p>
    <w:p w14:paraId="16AA547C" w14:textId="77777777" w:rsidR="003E5662" w:rsidRDefault="003E5662">
      <w:pPr>
        <w:spacing w:after="200"/>
        <w:rPr>
          <w:color w:val="0093D5"/>
          <w:sz w:val="24"/>
          <w:szCs w:val="24"/>
        </w:rPr>
      </w:pPr>
      <w:r>
        <w:br w:type="page"/>
      </w:r>
    </w:p>
    <w:p w14:paraId="10A7D989" w14:textId="71A9B5A4" w:rsidR="00BB0B7C" w:rsidRDefault="00BB0B7C" w:rsidP="007D0FBF">
      <w:pPr>
        <w:pStyle w:val="Heading2"/>
      </w:pPr>
      <w:r>
        <w:lastRenderedPageBreak/>
        <w:t>Structure of the Study</w:t>
      </w:r>
    </w:p>
    <w:p w14:paraId="12511F3C" w14:textId="45D32A7E" w:rsidR="00BB0B7C" w:rsidRDefault="00BB0B7C" w:rsidP="007D0FBF">
      <w:pPr>
        <w:pStyle w:val="11Bodytext"/>
      </w:pPr>
      <w:r>
        <w:t xml:space="preserve">The remainder </w:t>
      </w:r>
      <w:r w:rsidR="00FC7B46">
        <w:t xml:space="preserve">of the </w:t>
      </w:r>
      <w:r>
        <w:t>study is structured as below:</w:t>
      </w:r>
    </w:p>
    <w:p w14:paraId="4D27F8B1" w14:textId="791B1764" w:rsidR="00BB0B7C" w:rsidRPr="00B963B6" w:rsidRDefault="00BB0B7C" w:rsidP="00097650">
      <w:pPr>
        <w:pStyle w:val="10BulletBodytext"/>
      </w:pPr>
      <w:r w:rsidRPr="00B963B6">
        <w:t xml:space="preserve">Chapter </w:t>
      </w:r>
      <w:r w:rsidR="003146AD">
        <w:t>3</w:t>
      </w:r>
      <w:r w:rsidRPr="00B963B6">
        <w:t xml:space="preserve">: </w:t>
      </w:r>
      <w:r w:rsidR="00881603" w:rsidRPr="00B963B6">
        <w:t>Demographic Profile</w:t>
      </w:r>
    </w:p>
    <w:p w14:paraId="117C8B79" w14:textId="02CF2F85" w:rsidR="00BB0B7C" w:rsidRPr="00B963B6" w:rsidRDefault="00BB0B7C" w:rsidP="00097650">
      <w:pPr>
        <w:pStyle w:val="10BulletBodytext"/>
      </w:pPr>
      <w:r w:rsidRPr="00B963B6">
        <w:t xml:space="preserve">Chapter </w:t>
      </w:r>
      <w:r w:rsidR="003146AD">
        <w:t>4</w:t>
      </w:r>
      <w:r w:rsidRPr="00B963B6">
        <w:t xml:space="preserve">: </w:t>
      </w:r>
      <w:r w:rsidR="00CD61E2" w:rsidRPr="00B963B6">
        <w:t>Market Signals</w:t>
      </w:r>
    </w:p>
    <w:p w14:paraId="71FF6D62" w14:textId="19872A20" w:rsidR="00BB0B7C" w:rsidRPr="00B963B6" w:rsidRDefault="00BB0B7C" w:rsidP="00097650">
      <w:pPr>
        <w:pStyle w:val="10BulletBodytext"/>
      </w:pPr>
      <w:r w:rsidRPr="00B963B6">
        <w:t xml:space="preserve">Chapter </w:t>
      </w:r>
      <w:r w:rsidR="003146AD">
        <w:t>5</w:t>
      </w:r>
      <w:r w:rsidRPr="00B963B6">
        <w:t xml:space="preserve">: </w:t>
      </w:r>
      <w:r w:rsidR="00F92FD9" w:rsidRPr="00B963B6">
        <w:t>Local</w:t>
      </w:r>
      <w:r w:rsidR="00881603" w:rsidRPr="00B963B6">
        <w:t xml:space="preserve"> </w:t>
      </w:r>
      <w:r w:rsidR="00F92FD9" w:rsidRPr="00B963B6">
        <w:t>Housing</w:t>
      </w:r>
      <w:r w:rsidR="00881603" w:rsidRPr="00B963B6">
        <w:t xml:space="preserve"> Need</w:t>
      </w:r>
      <w:r w:rsidR="00E1129E" w:rsidRPr="00B963B6">
        <w:t xml:space="preserve"> and </w:t>
      </w:r>
      <w:r w:rsidR="00AB7883" w:rsidRPr="00B963B6">
        <w:t>P</w:t>
      </w:r>
      <w:r w:rsidR="00E1129E" w:rsidRPr="00B963B6">
        <w:t xml:space="preserve">opulation </w:t>
      </w:r>
      <w:r w:rsidR="00AB7883" w:rsidRPr="00B963B6">
        <w:t>G</w:t>
      </w:r>
      <w:r w:rsidR="00E1129E" w:rsidRPr="00B963B6">
        <w:t>rowth</w:t>
      </w:r>
    </w:p>
    <w:p w14:paraId="6F142CEE" w14:textId="6E3038B7" w:rsidR="00BB0B7C" w:rsidRPr="00B963B6" w:rsidRDefault="00BB0B7C" w:rsidP="00097650">
      <w:pPr>
        <w:pStyle w:val="10BulletBodytext"/>
      </w:pPr>
      <w:r w:rsidRPr="00B963B6">
        <w:t xml:space="preserve">Chapter </w:t>
      </w:r>
      <w:r w:rsidR="003146AD">
        <w:t>6</w:t>
      </w:r>
      <w:r w:rsidRPr="00B963B6">
        <w:t xml:space="preserve">: </w:t>
      </w:r>
      <w:r w:rsidR="00881603" w:rsidRPr="00B963B6">
        <w:t>Affordable Housing Need</w:t>
      </w:r>
    </w:p>
    <w:p w14:paraId="740C88B0" w14:textId="6CA79262" w:rsidR="008A3FA2" w:rsidRPr="00B963B6" w:rsidRDefault="00BB0B7C" w:rsidP="00097650">
      <w:pPr>
        <w:pStyle w:val="10BulletBodytext"/>
      </w:pPr>
      <w:r w:rsidRPr="00B963B6">
        <w:t xml:space="preserve">Chapter </w:t>
      </w:r>
      <w:r w:rsidR="003146AD">
        <w:t>7</w:t>
      </w:r>
      <w:r w:rsidRPr="00B963B6">
        <w:t xml:space="preserve">: </w:t>
      </w:r>
      <w:r w:rsidR="00AB7883" w:rsidRPr="00B963B6">
        <w:t>Housing Mix</w:t>
      </w:r>
    </w:p>
    <w:p w14:paraId="1FE4CD3D" w14:textId="7167C957" w:rsidR="00BB0B7C" w:rsidRPr="00B963B6" w:rsidRDefault="00BB0B7C" w:rsidP="00097650">
      <w:pPr>
        <w:pStyle w:val="10BulletBodytext"/>
      </w:pPr>
      <w:r w:rsidRPr="00B963B6">
        <w:t xml:space="preserve">Chapter </w:t>
      </w:r>
      <w:r w:rsidR="003146AD">
        <w:t>8</w:t>
      </w:r>
      <w:r w:rsidRPr="00B963B6">
        <w:t xml:space="preserve">: </w:t>
      </w:r>
      <w:r w:rsidR="00881603" w:rsidRPr="00B963B6">
        <w:t xml:space="preserve">Older and </w:t>
      </w:r>
      <w:r w:rsidR="00AB7883" w:rsidRPr="00B963B6">
        <w:t>D</w:t>
      </w:r>
      <w:r w:rsidR="00881603" w:rsidRPr="00B963B6">
        <w:t xml:space="preserve">isabled </w:t>
      </w:r>
      <w:r w:rsidR="00F92FD9" w:rsidRPr="00B963B6">
        <w:t>Persons</w:t>
      </w:r>
    </w:p>
    <w:p w14:paraId="27A25608" w14:textId="2B6C31B4" w:rsidR="008A3FA2" w:rsidRPr="00B963B6" w:rsidRDefault="00BB0B7C" w:rsidP="00097650">
      <w:pPr>
        <w:pStyle w:val="10BulletBodytext"/>
      </w:pPr>
      <w:r w:rsidRPr="00B963B6">
        <w:t xml:space="preserve">Chapter </w:t>
      </w:r>
      <w:r w:rsidR="003146AD">
        <w:t>9</w:t>
      </w:r>
      <w:r w:rsidRPr="00B963B6">
        <w:t xml:space="preserve">: </w:t>
      </w:r>
      <w:r w:rsidR="00881603" w:rsidRPr="00B963B6">
        <w:t>Student</w:t>
      </w:r>
      <w:r w:rsidR="00AB7883" w:rsidRPr="00B963B6">
        <w:t>s</w:t>
      </w:r>
    </w:p>
    <w:p w14:paraId="19CB4594" w14:textId="69880D24" w:rsidR="008A3FA2" w:rsidRPr="00B963B6" w:rsidRDefault="00BB0B7C" w:rsidP="00097650">
      <w:pPr>
        <w:pStyle w:val="10BulletBodytext"/>
      </w:pPr>
      <w:r w:rsidRPr="00B963B6">
        <w:t xml:space="preserve">Chapter </w:t>
      </w:r>
      <w:r w:rsidR="003146AD">
        <w:t>10</w:t>
      </w:r>
      <w:r w:rsidRPr="00B963B6">
        <w:t xml:space="preserve">: </w:t>
      </w:r>
      <w:r w:rsidR="00E1129E" w:rsidRPr="00B963B6">
        <w:t>Other Groups</w:t>
      </w:r>
    </w:p>
    <w:p w14:paraId="2638FBFC" w14:textId="2F94C78B" w:rsidR="0085724F" w:rsidRPr="00B963B6" w:rsidRDefault="0085724F">
      <w:pPr>
        <w:spacing w:after="200"/>
        <w:rPr>
          <w:rStyle w:val="Emphasis"/>
        </w:rPr>
      </w:pPr>
      <w:r>
        <w:br w:type="page"/>
      </w:r>
    </w:p>
    <w:p w14:paraId="55664B57" w14:textId="499972B5" w:rsidR="0087703B" w:rsidRDefault="00ED2E6E" w:rsidP="007D0FBF">
      <w:pPr>
        <w:pStyle w:val="Heading1"/>
      </w:pPr>
      <w:bookmarkStart w:id="14" w:name="_Toc79590820"/>
      <w:r>
        <w:lastRenderedPageBreak/>
        <w:t>Demographic Profile</w:t>
      </w:r>
      <w:bookmarkEnd w:id="14"/>
    </w:p>
    <w:p w14:paraId="01127316" w14:textId="35A405E4" w:rsidR="001D508A" w:rsidRPr="00526C6E" w:rsidRDefault="001D508A" w:rsidP="007D0FBF">
      <w:pPr>
        <w:pStyle w:val="11Bodytext"/>
      </w:pPr>
      <w:r w:rsidRPr="00526C6E">
        <w:t xml:space="preserve">This section analyses key demographic trends. The analysis uses local authority data for the study </w:t>
      </w:r>
      <w:proofErr w:type="gramStart"/>
      <w:r w:rsidRPr="00526C6E">
        <w:t>area</w:t>
      </w:r>
      <w:proofErr w:type="gramEnd"/>
      <w:r w:rsidRPr="00526C6E">
        <w:t xml:space="preserve"> and this will be compared to the trends in the HMA along with the regional </w:t>
      </w:r>
      <w:r w:rsidR="00CB6911" w:rsidRPr="00526C6E">
        <w:t xml:space="preserve">comparators </w:t>
      </w:r>
      <w:r w:rsidRPr="00526C6E">
        <w:t xml:space="preserve">of the East of England and the national comparison of England. </w:t>
      </w:r>
    </w:p>
    <w:p w14:paraId="3BD5B396" w14:textId="77777777" w:rsidR="001D508A" w:rsidRDefault="001D508A" w:rsidP="007D0FBF">
      <w:pPr>
        <w:pStyle w:val="Heading2"/>
      </w:pPr>
      <w:r>
        <w:t xml:space="preserve">Past Population Trends </w:t>
      </w:r>
    </w:p>
    <w:p w14:paraId="10575BDC" w14:textId="77777777" w:rsidR="001D508A" w:rsidRDefault="001D508A" w:rsidP="007D0FBF">
      <w:pPr>
        <w:pStyle w:val="11Bodytext"/>
      </w:pPr>
      <w:r>
        <w:t xml:space="preserve">As of mid-2019, the total population of the HMA was 826,600 persons. The figure below indicates how the population has changed since 1991. Over this period the population has grown by 26% with an average annual growth rate of 0.8%. As the graph illustrates the population remained fairly stable until 2001 followed by almost continual but gradual growth since. </w:t>
      </w:r>
    </w:p>
    <w:p w14:paraId="026BC81D" w14:textId="77777777" w:rsidR="001D508A" w:rsidRPr="007D0FBF" w:rsidRDefault="001D508A" w:rsidP="003D5E23">
      <w:pPr>
        <w:pStyle w:val="FigureHeading"/>
      </w:pPr>
      <w:r w:rsidRPr="007D0FBF">
        <w:t>Population Change, 1991-2019</w:t>
      </w:r>
    </w:p>
    <w:p w14:paraId="7BE8B50E" w14:textId="77777777" w:rsidR="001D508A" w:rsidRDefault="001D508A" w:rsidP="003D5E23">
      <w:pPr>
        <w:pStyle w:val="11Bodytext"/>
        <w:numPr>
          <w:ilvl w:val="0"/>
          <w:numId w:val="0"/>
        </w:numPr>
        <w:spacing w:before="0" w:after="0" w:line="240" w:lineRule="auto"/>
        <w:ind w:left="794"/>
      </w:pPr>
      <w:r>
        <w:rPr>
          <w:noProof/>
          <w:lang w:eastAsia="en-GB"/>
        </w:rPr>
        <w:drawing>
          <wp:inline distT="0" distB="0" distL="0" distR="0" wp14:anchorId="0CB97D8A" wp14:editId="74150CE4">
            <wp:extent cx="5229225" cy="3438525"/>
            <wp:effectExtent l="0" t="0" r="9525" b="9525"/>
            <wp:docPr id="201" name="Chart 201" descr="Bar chart showing population change 1991-2019&#10;">
              <a:extLst xmlns:a="http://schemas.openxmlformats.org/drawingml/2006/main">
                <a:ext uri="{FF2B5EF4-FFF2-40B4-BE49-F238E27FC236}">
                  <a16:creationId xmlns:a16="http://schemas.microsoft.com/office/drawing/2014/main" id="{D51B1221-34C0-4DBF-84F5-AD025B451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Source: ONS Mid-Year Population Estimates, Dataset ID: pop, Series ID: ENPOP, 2020  </w:t>
      </w:r>
    </w:p>
    <w:p w14:paraId="4B1EFBE8" w14:textId="77777777" w:rsidR="004F4BA7" w:rsidRDefault="004F4BA7">
      <w:pPr>
        <w:spacing w:after="200"/>
        <w:rPr>
          <w:bCs/>
          <w:sz w:val="24"/>
          <w:szCs w:val="24"/>
        </w:rPr>
      </w:pPr>
      <w:r>
        <w:br w:type="page"/>
      </w:r>
    </w:p>
    <w:p w14:paraId="2976E6F5" w14:textId="1DC935BB" w:rsidR="001D508A" w:rsidRDefault="001D508A" w:rsidP="007D0FBF">
      <w:pPr>
        <w:pStyle w:val="11Bodytext"/>
      </w:pPr>
      <w:r>
        <w:lastRenderedPageBreak/>
        <w:t>The figure below compares the indexed population growth since 1991 of the local authorities and the wider comparators. East Cambridgeshire has seen the largest population increase (47%) since 1991 with an annual growth rate of 1.4%. Whereas the lowest rates of growth were in Cambridge (17%) and West Suffolk (19%).</w:t>
      </w:r>
    </w:p>
    <w:p w14:paraId="5186FBC7" w14:textId="77777777" w:rsidR="001D508A" w:rsidRPr="00526C6E" w:rsidRDefault="001D508A" w:rsidP="007D0FBF">
      <w:pPr>
        <w:pStyle w:val="11Bodytext"/>
        <w:rPr>
          <w:b/>
        </w:rPr>
      </w:pPr>
      <w:r>
        <w:t xml:space="preserve">The HMA population growth since 1991 (26%) exceeds both the regional growth of the East of England (22%) and the national growth (18%).  </w:t>
      </w:r>
    </w:p>
    <w:p w14:paraId="4275D2AA" w14:textId="77777777" w:rsidR="001D508A" w:rsidRPr="007D0FBF" w:rsidRDefault="001D508A" w:rsidP="003D5E23">
      <w:pPr>
        <w:pStyle w:val="FigureHeading"/>
      </w:pPr>
      <w:r w:rsidRPr="007D0FBF">
        <w:t xml:space="preserve">Benchmarking Population Growth, 1991-2019 (Indexed:1991) </w:t>
      </w:r>
    </w:p>
    <w:p w14:paraId="3D1FA7A3" w14:textId="77777777" w:rsidR="001D508A" w:rsidRDefault="001D508A" w:rsidP="00B74A73">
      <w:pPr>
        <w:pStyle w:val="11Bodytext"/>
        <w:numPr>
          <w:ilvl w:val="0"/>
          <w:numId w:val="0"/>
        </w:numPr>
        <w:spacing w:before="0" w:after="0" w:line="240" w:lineRule="auto"/>
        <w:ind w:left="794"/>
      </w:pPr>
      <w:r>
        <w:rPr>
          <w:noProof/>
          <w:lang w:eastAsia="en-GB"/>
        </w:rPr>
        <w:drawing>
          <wp:inline distT="0" distB="0" distL="0" distR="0" wp14:anchorId="1F3A15F4" wp14:editId="068F281A">
            <wp:extent cx="5501031" cy="3050438"/>
            <wp:effectExtent l="0" t="0" r="4445" b="17145"/>
            <wp:docPr id="202" name="Chart 202" descr="Line chart that benchmarks population growth  1991-2019">
              <a:extLst xmlns:a="http://schemas.openxmlformats.org/drawingml/2006/main">
                <a:ext uri="{FF2B5EF4-FFF2-40B4-BE49-F238E27FC236}">
                  <a16:creationId xmlns:a16="http://schemas.microsoft.com/office/drawing/2014/main" id="{D1E8B10B-577A-490C-A73B-E8DF91C6E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p>
    <w:p w14:paraId="026EF6EE" w14:textId="77777777" w:rsidR="001D508A" w:rsidRDefault="001D508A" w:rsidP="00B74A73">
      <w:pPr>
        <w:pStyle w:val="11Bodytext"/>
        <w:numPr>
          <w:ilvl w:val="0"/>
          <w:numId w:val="0"/>
        </w:numPr>
        <w:spacing w:before="0" w:line="240" w:lineRule="auto"/>
        <w:ind w:left="794"/>
      </w:pPr>
      <w:r>
        <w:t xml:space="preserve">Source: ONS Mid-Year Population Estimates, Dataset ID: pop, Series ID: ENPOP, 2020  </w:t>
      </w:r>
    </w:p>
    <w:p w14:paraId="7603AC59" w14:textId="77777777" w:rsidR="001D508A" w:rsidRDefault="001D508A" w:rsidP="007D0FBF">
      <w:pPr>
        <w:pStyle w:val="11Bodytext"/>
      </w:pPr>
      <w:r>
        <w:t xml:space="preserve">Table 1 complements the above figures by presenting the population and population growth for different periods for each local authority together with the aggregated figures for the HMA, Greater Cambridge area, and the regional and national comparisons.  </w:t>
      </w:r>
    </w:p>
    <w:p w14:paraId="05F7D2C4" w14:textId="77777777" w:rsidR="001D508A" w:rsidRDefault="001D508A" w:rsidP="003D5E23">
      <w:pPr>
        <w:pStyle w:val="Tableheading"/>
        <w:numPr>
          <w:ilvl w:val="0"/>
          <w:numId w:val="54"/>
        </w:numPr>
      </w:pPr>
      <w:r>
        <w:lastRenderedPageBreak/>
        <w:t>Population Growth 1991-2019</w:t>
      </w:r>
    </w:p>
    <w:tbl>
      <w:tblPr>
        <w:tblStyle w:val="TableGridLight1"/>
        <w:tblW w:w="0" w:type="auto"/>
        <w:tblInd w:w="794" w:type="dxa"/>
        <w:tblLayout w:type="fixed"/>
        <w:tblLook w:val="04A0" w:firstRow="1" w:lastRow="0" w:firstColumn="1" w:lastColumn="0" w:noHBand="0" w:noVBand="1"/>
      </w:tblPr>
      <w:tblGrid>
        <w:gridCol w:w="1186"/>
        <w:gridCol w:w="1134"/>
        <w:gridCol w:w="1134"/>
        <w:gridCol w:w="845"/>
        <w:gridCol w:w="1061"/>
        <w:gridCol w:w="1061"/>
        <w:gridCol w:w="1061"/>
        <w:gridCol w:w="1062"/>
      </w:tblGrid>
      <w:tr w:rsidR="002464CB" w14:paraId="4CEC05B4" w14:textId="77777777" w:rsidTr="004F4BA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86" w:type="dxa"/>
            <w:textDirection w:val="tbRl"/>
          </w:tcPr>
          <w:p w14:paraId="2C10581D" w14:textId="77777777" w:rsidR="002464CB" w:rsidRDefault="002464CB" w:rsidP="004F4BA7">
            <w:pPr>
              <w:keepNext/>
              <w:ind w:left="113" w:right="113"/>
              <w:rPr>
                <w:bCs/>
                <w:color w:val="auto"/>
                <w:lang w:eastAsia="en-GB"/>
              </w:rPr>
            </w:pPr>
          </w:p>
        </w:tc>
        <w:tc>
          <w:tcPr>
            <w:tcW w:w="1134" w:type="dxa"/>
          </w:tcPr>
          <w:p w14:paraId="0A110C08" w14:textId="6F6799F5"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2019 Pop.</w:t>
            </w:r>
          </w:p>
        </w:tc>
        <w:tc>
          <w:tcPr>
            <w:tcW w:w="1134" w:type="dxa"/>
            <w:noWrap/>
          </w:tcPr>
          <w:p w14:paraId="4B074AEC" w14:textId="748A32BA"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1991-2019 Change</w:t>
            </w:r>
          </w:p>
        </w:tc>
        <w:tc>
          <w:tcPr>
            <w:tcW w:w="845" w:type="dxa"/>
            <w:noWrap/>
          </w:tcPr>
          <w:p w14:paraId="71D22C87" w14:textId="74C90AF8"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1991-2019 Change %</w:t>
            </w:r>
          </w:p>
        </w:tc>
        <w:tc>
          <w:tcPr>
            <w:tcW w:w="1061" w:type="dxa"/>
            <w:noWrap/>
          </w:tcPr>
          <w:p w14:paraId="27032D5B" w14:textId="5FB6C09B"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1991-2019 Annual Change</w:t>
            </w:r>
          </w:p>
        </w:tc>
        <w:tc>
          <w:tcPr>
            <w:tcW w:w="1061" w:type="dxa"/>
          </w:tcPr>
          <w:p w14:paraId="3FEFCEB4" w14:textId="0107E589"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2011-2019 Change</w:t>
            </w:r>
          </w:p>
        </w:tc>
        <w:tc>
          <w:tcPr>
            <w:tcW w:w="1061" w:type="dxa"/>
          </w:tcPr>
          <w:p w14:paraId="6DD9B6A4" w14:textId="26FD697A"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2011-2019 Change %</w:t>
            </w:r>
          </w:p>
        </w:tc>
        <w:tc>
          <w:tcPr>
            <w:tcW w:w="1062" w:type="dxa"/>
          </w:tcPr>
          <w:p w14:paraId="544096F5" w14:textId="62C42358" w:rsidR="002464CB" w:rsidRPr="00605B15" w:rsidRDefault="002464CB"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2011-2019 Annual Change</w:t>
            </w:r>
          </w:p>
        </w:tc>
      </w:tr>
      <w:tr w:rsidR="002464CB" w14:paraId="21F92773"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168A7D38" w14:textId="77777777" w:rsidR="002464CB" w:rsidRDefault="002464CB" w:rsidP="008E6E40">
            <w:pPr>
              <w:keepNext/>
              <w:rPr>
                <w:b/>
                <w:bCs/>
                <w:color w:val="auto"/>
                <w:lang w:eastAsia="en-GB"/>
              </w:rPr>
            </w:pPr>
            <w:r>
              <w:rPr>
                <w:bCs/>
                <w:color w:val="auto"/>
                <w:lang w:eastAsia="en-GB"/>
              </w:rPr>
              <w:t>Cambridge</w:t>
            </w:r>
          </w:p>
        </w:tc>
        <w:tc>
          <w:tcPr>
            <w:tcW w:w="1134" w:type="dxa"/>
            <w:hideMark/>
          </w:tcPr>
          <w:p w14:paraId="59F279ED"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124,800</w:t>
            </w:r>
          </w:p>
        </w:tc>
        <w:tc>
          <w:tcPr>
            <w:tcW w:w="1134" w:type="dxa"/>
            <w:noWrap/>
            <w:hideMark/>
          </w:tcPr>
          <w:p w14:paraId="463C55D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19,078</w:t>
            </w:r>
          </w:p>
        </w:tc>
        <w:tc>
          <w:tcPr>
            <w:tcW w:w="845" w:type="dxa"/>
            <w:noWrap/>
            <w:hideMark/>
          </w:tcPr>
          <w:p w14:paraId="13B6ADD2"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18%</w:t>
            </w:r>
          </w:p>
        </w:tc>
        <w:tc>
          <w:tcPr>
            <w:tcW w:w="1061" w:type="dxa"/>
            <w:noWrap/>
            <w:hideMark/>
          </w:tcPr>
          <w:p w14:paraId="6236FD0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0.6%</w:t>
            </w:r>
          </w:p>
        </w:tc>
        <w:tc>
          <w:tcPr>
            <w:tcW w:w="1061" w:type="dxa"/>
            <w:hideMark/>
          </w:tcPr>
          <w:p w14:paraId="72969231"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2,075</w:t>
            </w:r>
          </w:p>
        </w:tc>
        <w:tc>
          <w:tcPr>
            <w:tcW w:w="1061" w:type="dxa"/>
            <w:hideMark/>
          </w:tcPr>
          <w:p w14:paraId="15736407"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w:t>
            </w:r>
          </w:p>
        </w:tc>
        <w:tc>
          <w:tcPr>
            <w:tcW w:w="1062" w:type="dxa"/>
            <w:hideMark/>
          </w:tcPr>
          <w:p w14:paraId="06D12EB2"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0.2%</w:t>
            </w:r>
          </w:p>
        </w:tc>
      </w:tr>
      <w:tr w:rsidR="002464CB" w14:paraId="0C493454"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6E6B36E0" w14:textId="77777777" w:rsidR="002464CB" w:rsidRDefault="002464CB" w:rsidP="008E6E40">
            <w:pPr>
              <w:keepNext/>
              <w:rPr>
                <w:b/>
                <w:bCs/>
                <w:color w:val="000000"/>
                <w:lang w:eastAsia="en-GB"/>
              </w:rPr>
            </w:pPr>
            <w:r>
              <w:rPr>
                <w:bCs/>
                <w:color w:val="000000"/>
                <w:lang w:eastAsia="en-GB"/>
              </w:rPr>
              <w:t>East Cambridgeshire</w:t>
            </w:r>
          </w:p>
        </w:tc>
        <w:tc>
          <w:tcPr>
            <w:tcW w:w="1134" w:type="dxa"/>
            <w:hideMark/>
          </w:tcPr>
          <w:p w14:paraId="22250FE3"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89,800</w:t>
            </w:r>
          </w:p>
        </w:tc>
        <w:tc>
          <w:tcPr>
            <w:tcW w:w="1134" w:type="dxa"/>
            <w:noWrap/>
            <w:hideMark/>
          </w:tcPr>
          <w:p w14:paraId="02DF2925"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28,509</w:t>
            </w:r>
          </w:p>
        </w:tc>
        <w:tc>
          <w:tcPr>
            <w:tcW w:w="845" w:type="dxa"/>
            <w:noWrap/>
            <w:hideMark/>
          </w:tcPr>
          <w:p w14:paraId="463A3454"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47%</w:t>
            </w:r>
          </w:p>
        </w:tc>
        <w:tc>
          <w:tcPr>
            <w:tcW w:w="1061" w:type="dxa"/>
            <w:noWrap/>
            <w:hideMark/>
          </w:tcPr>
          <w:p w14:paraId="41F643B9"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w:t>
            </w:r>
          </w:p>
        </w:tc>
        <w:tc>
          <w:tcPr>
            <w:tcW w:w="1061" w:type="dxa"/>
            <w:hideMark/>
          </w:tcPr>
          <w:p w14:paraId="1F90EC72"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5,555</w:t>
            </w:r>
          </w:p>
        </w:tc>
        <w:tc>
          <w:tcPr>
            <w:tcW w:w="1061" w:type="dxa"/>
            <w:hideMark/>
          </w:tcPr>
          <w:p w14:paraId="15CB9BE5"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6.6%</w:t>
            </w:r>
          </w:p>
        </w:tc>
        <w:tc>
          <w:tcPr>
            <w:tcW w:w="1062" w:type="dxa"/>
            <w:hideMark/>
          </w:tcPr>
          <w:p w14:paraId="3F2868C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0.8%</w:t>
            </w:r>
          </w:p>
        </w:tc>
      </w:tr>
      <w:tr w:rsidR="002464CB" w14:paraId="1E26C938"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6F69224D" w14:textId="77777777" w:rsidR="002464CB" w:rsidRDefault="002464CB" w:rsidP="008E6E40">
            <w:pPr>
              <w:keepNext/>
              <w:rPr>
                <w:b/>
                <w:bCs/>
                <w:color w:val="auto"/>
                <w:lang w:eastAsia="en-GB"/>
              </w:rPr>
            </w:pPr>
            <w:r>
              <w:rPr>
                <w:bCs/>
                <w:color w:val="auto"/>
                <w:lang w:eastAsia="en-GB"/>
              </w:rPr>
              <w:t>Fenland</w:t>
            </w:r>
          </w:p>
        </w:tc>
        <w:tc>
          <w:tcPr>
            <w:tcW w:w="1134" w:type="dxa"/>
            <w:hideMark/>
          </w:tcPr>
          <w:p w14:paraId="2F55CF1F"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101,900</w:t>
            </w:r>
          </w:p>
        </w:tc>
        <w:tc>
          <w:tcPr>
            <w:tcW w:w="1134" w:type="dxa"/>
            <w:noWrap/>
            <w:hideMark/>
          </w:tcPr>
          <w:p w14:paraId="09F7A883"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26,414</w:t>
            </w:r>
          </w:p>
        </w:tc>
        <w:tc>
          <w:tcPr>
            <w:tcW w:w="845" w:type="dxa"/>
            <w:noWrap/>
            <w:hideMark/>
          </w:tcPr>
          <w:p w14:paraId="7D0871AB"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35%</w:t>
            </w:r>
          </w:p>
        </w:tc>
        <w:tc>
          <w:tcPr>
            <w:tcW w:w="1061" w:type="dxa"/>
            <w:noWrap/>
            <w:hideMark/>
          </w:tcPr>
          <w:p w14:paraId="47FDA348"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w:t>
            </w:r>
          </w:p>
        </w:tc>
        <w:tc>
          <w:tcPr>
            <w:tcW w:w="1061" w:type="dxa"/>
            <w:hideMark/>
          </w:tcPr>
          <w:p w14:paraId="686DEC3A"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6,439</w:t>
            </w:r>
          </w:p>
        </w:tc>
        <w:tc>
          <w:tcPr>
            <w:tcW w:w="1061" w:type="dxa"/>
            <w:hideMark/>
          </w:tcPr>
          <w:p w14:paraId="5C0C5C90"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6.7%</w:t>
            </w:r>
          </w:p>
        </w:tc>
        <w:tc>
          <w:tcPr>
            <w:tcW w:w="1062" w:type="dxa"/>
            <w:hideMark/>
          </w:tcPr>
          <w:p w14:paraId="6147E4F1"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0.8%</w:t>
            </w:r>
          </w:p>
        </w:tc>
      </w:tr>
      <w:tr w:rsidR="002464CB" w14:paraId="6C38DAB7" w14:textId="77777777" w:rsidTr="004F4BA7">
        <w:trPr>
          <w:trHeight w:val="303"/>
        </w:trPr>
        <w:tc>
          <w:tcPr>
            <w:cnfStyle w:val="001000000000" w:firstRow="0" w:lastRow="0" w:firstColumn="1" w:lastColumn="0" w:oddVBand="0" w:evenVBand="0" w:oddHBand="0" w:evenHBand="0" w:firstRowFirstColumn="0" w:firstRowLastColumn="0" w:lastRowFirstColumn="0" w:lastRowLastColumn="0"/>
            <w:tcW w:w="1186" w:type="dxa"/>
            <w:hideMark/>
          </w:tcPr>
          <w:p w14:paraId="510230C0" w14:textId="77777777" w:rsidR="002464CB" w:rsidRDefault="002464CB" w:rsidP="008E6E40">
            <w:pPr>
              <w:keepNext/>
              <w:rPr>
                <w:b/>
                <w:bCs/>
                <w:color w:val="000000"/>
                <w:lang w:eastAsia="en-GB"/>
              </w:rPr>
            </w:pPr>
            <w:r>
              <w:rPr>
                <w:bCs/>
                <w:color w:val="000000"/>
                <w:lang w:eastAsia="en-GB"/>
              </w:rPr>
              <w:t>Huntingdonshire</w:t>
            </w:r>
          </w:p>
        </w:tc>
        <w:tc>
          <w:tcPr>
            <w:tcW w:w="1134" w:type="dxa"/>
            <w:hideMark/>
          </w:tcPr>
          <w:p w14:paraId="5C15138F"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178,000</w:t>
            </w:r>
          </w:p>
        </w:tc>
        <w:tc>
          <w:tcPr>
            <w:tcW w:w="1134" w:type="dxa"/>
            <w:noWrap/>
            <w:hideMark/>
          </w:tcPr>
          <w:p w14:paraId="2F9C3EAD"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31,288</w:t>
            </w:r>
          </w:p>
        </w:tc>
        <w:tc>
          <w:tcPr>
            <w:tcW w:w="845" w:type="dxa"/>
            <w:noWrap/>
            <w:hideMark/>
          </w:tcPr>
          <w:p w14:paraId="181D31A4"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21%</w:t>
            </w:r>
          </w:p>
        </w:tc>
        <w:tc>
          <w:tcPr>
            <w:tcW w:w="1061" w:type="dxa"/>
            <w:noWrap/>
            <w:hideMark/>
          </w:tcPr>
          <w:p w14:paraId="33061C4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0.7%</w:t>
            </w:r>
          </w:p>
        </w:tc>
        <w:tc>
          <w:tcPr>
            <w:tcW w:w="1061" w:type="dxa"/>
            <w:hideMark/>
          </w:tcPr>
          <w:p w14:paraId="0C786089"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7,961</w:t>
            </w:r>
          </w:p>
        </w:tc>
        <w:tc>
          <w:tcPr>
            <w:tcW w:w="1061" w:type="dxa"/>
            <w:hideMark/>
          </w:tcPr>
          <w:p w14:paraId="011C21D8"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4.7%</w:t>
            </w:r>
          </w:p>
        </w:tc>
        <w:tc>
          <w:tcPr>
            <w:tcW w:w="1062" w:type="dxa"/>
            <w:hideMark/>
          </w:tcPr>
          <w:p w14:paraId="2F4B062E"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0.6%</w:t>
            </w:r>
          </w:p>
        </w:tc>
      </w:tr>
      <w:tr w:rsidR="002464CB" w14:paraId="761014CD" w14:textId="77777777" w:rsidTr="004F4BA7">
        <w:trPr>
          <w:trHeight w:val="325"/>
        </w:trPr>
        <w:tc>
          <w:tcPr>
            <w:cnfStyle w:val="001000000000" w:firstRow="0" w:lastRow="0" w:firstColumn="1" w:lastColumn="0" w:oddVBand="0" w:evenVBand="0" w:oddHBand="0" w:evenHBand="0" w:firstRowFirstColumn="0" w:firstRowLastColumn="0" w:lastRowFirstColumn="0" w:lastRowLastColumn="0"/>
            <w:tcW w:w="1186" w:type="dxa"/>
            <w:hideMark/>
          </w:tcPr>
          <w:p w14:paraId="5C2B992D" w14:textId="77777777" w:rsidR="002464CB" w:rsidRDefault="002464CB" w:rsidP="008E6E40">
            <w:pPr>
              <w:keepNext/>
              <w:rPr>
                <w:b/>
                <w:bCs/>
                <w:color w:val="000000"/>
                <w:lang w:eastAsia="en-GB"/>
              </w:rPr>
            </w:pPr>
            <w:r>
              <w:rPr>
                <w:bCs/>
                <w:color w:val="000000"/>
                <w:lang w:eastAsia="en-GB"/>
              </w:rPr>
              <w:t>South Cambridgeshire</w:t>
            </w:r>
          </w:p>
        </w:tc>
        <w:tc>
          <w:tcPr>
            <w:tcW w:w="1134" w:type="dxa"/>
            <w:hideMark/>
          </w:tcPr>
          <w:p w14:paraId="0FA02ACB"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159,100</w:t>
            </w:r>
          </w:p>
        </w:tc>
        <w:tc>
          <w:tcPr>
            <w:tcW w:w="1134" w:type="dxa"/>
            <w:noWrap/>
            <w:hideMark/>
          </w:tcPr>
          <w:p w14:paraId="0E966040"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35,607</w:t>
            </w:r>
          </w:p>
        </w:tc>
        <w:tc>
          <w:tcPr>
            <w:tcW w:w="845" w:type="dxa"/>
            <w:noWrap/>
            <w:hideMark/>
          </w:tcPr>
          <w:p w14:paraId="39F73B10"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29%</w:t>
            </w:r>
          </w:p>
        </w:tc>
        <w:tc>
          <w:tcPr>
            <w:tcW w:w="1061" w:type="dxa"/>
            <w:noWrap/>
            <w:hideMark/>
          </w:tcPr>
          <w:p w14:paraId="5CA1970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w:t>
            </w:r>
          </w:p>
        </w:tc>
        <w:tc>
          <w:tcPr>
            <w:tcW w:w="1061" w:type="dxa"/>
            <w:hideMark/>
          </w:tcPr>
          <w:p w14:paraId="3E2C9714"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9,258</w:t>
            </w:r>
          </w:p>
        </w:tc>
        <w:tc>
          <w:tcPr>
            <w:tcW w:w="1061" w:type="dxa"/>
            <w:hideMark/>
          </w:tcPr>
          <w:p w14:paraId="4FACAD6F"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6.2%</w:t>
            </w:r>
          </w:p>
        </w:tc>
        <w:tc>
          <w:tcPr>
            <w:tcW w:w="1062" w:type="dxa"/>
            <w:hideMark/>
          </w:tcPr>
          <w:p w14:paraId="2E866CFE"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0.8%</w:t>
            </w:r>
          </w:p>
        </w:tc>
      </w:tr>
      <w:tr w:rsidR="002464CB" w14:paraId="3C3DAEA7"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61FAF614" w14:textId="77777777" w:rsidR="002464CB" w:rsidRDefault="002464CB" w:rsidP="008E6E40">
            <w:pPr>
              <w:keepNext/>
              <w:rPr>
                <w:b/>
                <w:bCs/>
                <w:color w:val="000000"/>
                <w:lang w:eastAsia="en-GB"/>
              </w:rPr>
            </w:pPr>
            <w:r>
              <w:rPr>
                <w:bCs/>
                <w:color w:val="000000"/>
                <w:lang w:eastAsia="en-GB"/>
              </w:rPr>
              <w:t>West Suffolk</w:t>
            </w:r>
          </w:p>
        </w:tc>
        <w:tc>
          <w:tcPr>
            <w:tcW w:w="1134" w:type="dxa"/>
            <w:hideMark/>
          </w:tcPr>
          <w:p w14:paraId="73BF55F9"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179,000</w:t>
            </w:r>
          </w:p>
        </w:tc>
        <w:tc>
          <w:tcPr>
            <w:tcW w:w="1134" w:type="dxa"/>
            <w:noWrap/>
            <w:hideMark/>
          </w:tcPr>
          <w:p w14:paraId="0E522334"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28,662</w:t>
            </w:r>
          </w:p>
        </w:tc>
        <w:tc>
          <w:tcPr>
            <w:tcW w:w="845" w:type="dxa"/>
            <w:noWrap/>
            <w:hideMark/>
          </w:tcPr>
          <w:p w14:paraId="001D2B2E"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19%</w:t>
            </w:r>
          </w:p>
        </w:tc>
        <w:tc>
          <w:tcPr>
            <w:tcW w:w="1061" w:type="dxa"/>
            <w:noWrap/>
            <w:hideMark/>
          </w:tcPr>
          <w:p w14:paraId="7A0E3A68"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0.6%</w:t>
            </w:r>
          </w:p>
        </w:tc>
        <w:tc>
          <w:tcPr>
            <w:tcW w:w="1061" w:type="dxa"/>
            <w:hideMark/>
          </w:tcPr>
          <w:p w14:paraId="0EE3988E"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7,519</w:t>
            </w:r>
          </w:p>
        </w:tc>
        <w:tc>
          <w:tcPr>
            <w:tcW w:w="1061" w:type="dxa"/>
            <w:hideMark/>
          </w:tcPr>
          <w:p w14:paraId="4C602952"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4.4%</w:t>
            </w:r>
          </w:p>
        </w:tc>
        <w:tc>
          <w:tcPr>
            <w:tcW w:w="1062" w:type="dxa"/>
            <w:hideMark/>
          </w:tcPr>
          <w:p w14:paraId="201E0F4D"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0.5%</w:t>
            </w:r>
          </w:p>
        </w:tc>
      </w:tr>
      <w:tr w:rsidR="002464CB" w14:paraId="6297997E"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2562008E" w14:textId="77777777" w:rsidR="002464CB" w:rsidRPr="004F4BA7" w:rsidRDefault="002464CB" w:rsidP="008E6E40">
            <w:pPr>
              <w:keepNext/>
              <w:rPr>
                <w:b/>
                <w:bCs/>
                <w:color w:val="auto"/>
                <w:lang w:eastAsia="en-GB"/>
              </w:rPr>
            </w:pPr>
            <w:r w:rsidRPr="004F4BA7">
              <w:rPr>
                <w:b/>
                <w:bCs/>
                <w:color w:val="auto"/>
                <w:lang w:eastAsia="en-GB"/>
              </w:rPr>
              <w:t>HMA</w:t>
            </w:r>
          </w:p>
        </w:tc>
        <w:tc>
          <w:tcPr>
            <w:tcW w:w="1134" w:type="dxa"/>
            <w:hideMark/>
          </w:tcPr>
          <w:p w14:paraId="3BBC10CB"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832,600</w:t>
            </w:r>
          </w:p>
        </w:tc>
        <w:tc>
          <w:tcPr>
            <w:tcW w:w="1134" w:type="dxa"/>
            <w:noWrap/>
            <w:hideMark/>
          </w:tcPr>
          <w:p w14:paraId="38DD00FB"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169,558</w:t>
            </w:r>
          </w:p>
        </w:tc>
        <w:tc>
          <w:tcPr>
            <w:tcW w:w="845" w:type="dxa"/>
            <w:noWrap/>
            <w:hideMark/>
          </w:tcPr>
          <w:p w14:paraId="117B70BB"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26%</w:t>
            </w:r>
          </w:p>
        </w:tc>
        <w:tc>
          <w:tcPr>
            <w:tcW w:w="1061" w:type="dxa"/>
            <w:noWrap/>
            <w:hideMark/>
          </w:tcPr>
          <w:p w14:paraId="47A07DB7"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0.8%</w:t>
            </w:r>
          </w:p>
        </w:tc>
        <w:tc>
          <w:tcPr>
            <w:tcW w:w="1061" w:type="dxa"/>
            <w:hideMark/>
          </w:tcPr>
          <w:p w14:paraId="7303AFC4"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38,807</w:t>
            </w:r>
          </w:p>
        </w:tc>
        <w:tc>
          <w:tcPr>
            <w:tcW w:w="1061" w:type="dxa"/>
            <w:hideMark/>
          </w:tcPr>
          <w:p w14:paraId="6F7AEDAF"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4.9%</w:t>
            </w:r>
          </w:p>
        </w:tc>
        <w:tc>
          <w:tcPr>
            <w:tcW w:w="1062" w:type="dxa"/>
            <w:hideMark/>
          </w:tcPr>
          <w:p w14:paraId="59FD3999"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Pr>
                <w:b/>
                <w:bCs/>
                <w:color w:val="000000"/>
                <w:lang w:eastAsia="en-GB"/>
              </w:rPr>
              <w:t>0.6%</w:t>
            </w:r>
          </w:p>
        </w:tc>
      </w:tr>
      <w:tr w:rsidR="002464CB" w14:paraId="74D7D7E3" w14:textId="77777777" w:rsidTr="004F4BA7">
        <w:trPr>
          <w:trHeight w:val="279"/>
        </w:trPr>
        <w:tc>
          <w:tcPr>
            <w:cnfStyle w:val="001000000000" w:firstRow="0" w:lastRow="0" w:firstColumn="1" w:lastColumn="0" w:oddVBand="0" w:evenVBand="0" w:oddHBand="0" w:evenHBand="0" w:firstRowFirstColumn="0" w:firstRowLastColumn="0" w:lastRowFirstColumn="0" w:lastRowLastColumn="0"/>
            <w:tcW w:w="1186" w:type="dxa"/>
            <w:hideMark/>
          </w:tcPr>
          <w:p w14:paraId="6CE85ABA" w14:textId="77777777" w:rsidR="002464CB" w:rsidRDefault="002464CB" w:rsidP="008E6E40">
            <w:pPr>
              <w:keepNext/>
              <w:rPr>
                <w:b/>
                <w:bCs/>
                <w:color w:val="000000"/>
                <w:lang w:eastAsia="en-GB"/>
              </w:rPr>
            </w:pPr>
            <w:r>
              <w:rPr>
                <w:bCs/>
                <w:color w:val="000000"/>
                <w:lang w:eastAsia="en-GB"/>
              </w:rPr>
              <w:t>Greater Cambridge</w:t>
            </w:r>
          </w:p>
        </w:tc>
        <w:tc>
          <w:tcPr>
            <w:tcW w:w="1134" w:type="dxa"/>
            <w:hideMark/>
          </w:tcPr>
          <w:p w14:paraId="28ED7740"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283,900</w:t>
            </w:r>
          </w:p>
        </w:tc>
        <w:tc>
          <w:tcPr>
            <w:tcW w:w="1134" w:type="dxa"/>
            <w:noWrap/>
            <w:hideMark/>
          </w:tcPr>
          <w:p w14:paraId="39049875"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54,685</w:t>
            </w:r>
          </w:p>
        </w:tc>
        <w:tc>
          <w:tcPr>
            <w:tcW w:w="845" w:type="dxa"/>
            <w:noWrap/>
            <w:hideMark/>
          </w:tcPr>
          <w:p w14:paraId="0059A1EA"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24%</w:t>
            </w:r>
          </w:p>
        </w:tc>
        <w:tc>
          <w:tcPr>
            <w:tcW w:w="1061" w:type="dxa"/>
            <w:noWrap/>
            <w:hideMark/>
          </w:tcPr>
          <w:p w14:paraId="09A54695"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0.8%</w:t>
            </w:r>
          </w:p>
        </w:tc>
        <w:tc>
          <w:tcPr>
            <w:tcW w:w="1061" w:type="dxa"/>
            <w:hideMark/>
          </w:tcPr>
          <w:p w14:paraId="24917AEE"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11,333</w:t>
            </w:r>
          </w:p>
        </w:tc>
        <w:tc>
          <w:tcPr>
            <w:tcW w:w="1061" w:type="dxa"/>
            <w:hideMark/>
          </w:tcPr>
          <w:p w14:paraId="7C25B22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4.2%</w:t>
            </w:r>
          </w:p>
        </w:tc>
        <w:tc>
          <w:tcPr>
            <w:tcW w:w="1062" w:type="dxa"/>
            <w:hideMark/>
          </w:tcPr>
          <w:p w14:paraId="4D313C01"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0.5%</w:t>
            </w:r>
          </w:p>
        </w:tc>
      </w:tr>
      <w:tr w:rsidR="002464CB" w14:paraId="65753B42"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17822464" w14:textId="77777777" w:rsidR="002464CB" w:rsidRDefault="002464CB" w:rsidP="008E6E40">
            <w:pPr>
              <w:keepNext/>
              <w:rPr>
                <w:b/>
                <w:bCs/>
                <w:color w:val="auto"/>
                <w:lang w:eastAsia="en-GB"/>
              </w:rPr>
            </w:pPr>
            <w:r>
              <w:rPr>
                <w:bCs/>
                <w:color w:val="auto"/>
                <w:lang w:eastAsia="en-GB"/>
              </w:rPr>
              <w:t>E</w:t>
            </w:r>
            <w:r w:rsidRPr="003A75AB">
              <w:rPr>
                <w:bCs/>
                <w:color w:val="auto"/>
                <w:lang w:eastAsia="en-GB"/>
              </w:rPr>
              <w:t>ast</w:t>
            </w:r>
            <w:r w:rsidRPr="004F4BA7">
              <w:rPr>
                <w:bCs/>
                <w:color w:val="auto"/>
                <w:lang w:eastAsia="en-GB"/>
              </w:rPr>
              <w:t xml:space="preserve"> of England</w:t>
            </w:r>
            <w:r>
              <w:rPr>
                <w:b/>
                <w:bCs/>
                <w:color w:val="auto"/>
                <w:lang w:eastAsia="en-GB"/>
              </w:rPr>
              <w:t xml:space="preserve"> </w:t>
            </w:r>
          </w:p>
        </w:tc>
        <w:tc>
          <w:tcPr>
            <w:tcW w:w="1134" w:type="dxa"/>
            <w:hideMark/>
          </w:tcPr>
          <w:p w14:paraId="76BACCCB"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6,236,100</w:t>
            </w:r>
          </w:p>
        </w:tc>
        <w:tc>
          <w:tcPr>
            <w:tcW w:w="1134" w:type="dxa"/>
            <w:noWrap/>
            <w:hideMark/>
          </w:tcPr>
          <w:p w14:paraId="774F77FC"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1,080,162</w:t>
            </w:r>
          </w:p>
        </w:tc>
        <w:tc>
          <w:tcPr>
            <w:tcW w:w="845" w:type="dxa"/>
            <w:noWrap/>
            <w:hideMark/>
          </w:tcPr>
          <w:p w14:paraId="3EBB02A5"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21%</w:t>
            </w:r>
          </w:p>
        </w:tc>
        <w:tc>
          <w:tcPr>
            <w:tcW w:w="1061" w:type="dxa"/>
            <w:noWrap/>
            <w:hideMark/>
          </w:tcPr>
          <w:p w14:paraId="276156C6"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0.7%</w:t>
            </w:r>
          </w:p>
        </w:tc>
        <w:tc>
          <w:tcPr>
            <w:tcW w:w="1061" w:type="dxa"/>
            <w:hideMark/>
          </w:tcPr>
          <w:p w14:paraId="5C4AB3CF"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373,682</w:t>
            </w:r>
          </w:p>
        </w:tc>
        <w:tc>
          <w:tcPr>
            <w:tcW w:w="1061" w:type="dxa"/>
            <w:hideMark/>
          </w:tcPr>
          <w:p w14:paraId="38E0E9C9"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6.4%</w:t>
            </w:r>
          </w:p>
        </w:tc>
        <w:tc>
          <w:tcPr>
            <w:tcW w:w="1062" w:type="dxa"/>
            <w:hideMark/>
          </w:tcPr>
          <w:p w14:paraId="277598D7"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0.8%</w:t>
            </w:r>
          </w:p>
        </w:tc>
      </w:tr>
      <w:tr w:rsidR="002464CB" w14:paraId="73813310"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186" w:type="dxa"/>
            <w:hideMark/>
          </w:tcPr>
          <w:p w14:paraId="5D6F33EF" w14:textId="77777777" w:rsidR="002464CB" w:rsidRDefault="002464CB" w:rsidP="008E6E40">
            <w:pPr>
              <w:keepNext/>
              <w:rPr>
                <w:b/>
                <w:bCs/>
                <w:color w:val="000000"/>
                <w:lang w:eastAsia="en-GB"/>
              </w:rPr>
            </w:pPr>
            <w:r>
              <w:rPr>
                <w:bCs/>
                <w:color w:val="000000"/>
                <w:lang w:eastAsia="en-GB"/>
              </w:rPr>
              <w:t>England</w:t>
            </w:r>
          </w:p>
        </w:tc>
        <w:tc>
          <w:tcPr>
            <w:tcW w:w="1134" w:type="dxa"/>
            <w:hideMark/>
          </w:tcPr>
          <w:p w14:paraId="0E283351"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56,287,000</w:t>
            </w:r>
          </w:p>
        </w:tc>
        <w:tc>
          <w:tcPr>
            <w:tcW w:w="1134" w:type="dxa"/>
            <w:noWrap/>
            <w:hideMark/>
          </w:tcPr>
          <w:p w14:paraId="37455596"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8,102,143</w:t>
            </w:r>
          </w:p>
        </w:tc>
        <w:tc>
          <w:tcPr>
            <w:tcW w:w="845" w:type="dxa"/>
            <w:noWrap/>
            <w:hideMark/>
          </w:tcPr>
          <w:p w14:paraId="79F126F1"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w:t>
            </w:r>
          </w:p>
        </w:tc>
        <w:tc>
          <w:tcPr>
            <w:tcW w:w="1061" w:type="dxa"/>
            <w:noWrap/>
            <w:hideMark/>
          </w:tcPr>
          <w:p w14:paraId="336FE862"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0.6%</w:t>
            </w:r>
          </w:p>
        </w:tc>
        <w:tc>
          <w:tcPr>
            <w:tcW w:w="1061" w:type="dxa"/>
            <w:hideMark/>
          </w:tcPr>
          <w:p w14:paraId="6732C2C1"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3,179,831</w:t>
            </w:r>
          </w:p>
        </w:tc>
        <w:tc>
          <w:tcPr>
            <w:tcW w:w="1061" w:type="dxa"/>
            <w:hideMark/>
          </w:tcPr>
          <w:p w14:paraId="21664713"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6.0%</w:t>
            </w:r>
          </w:p>
        </w:tc>
        <w:tc>
          <w:tcPr>
            <w:tcW w:w="1062" w:type="dxa"/>
            <w:hideMark/>
          </w:tcPr>
          <w:p w14:paraId="6BC15906" w14:textId="77777777" w:rsidR="002464CB" w:rsidRDefault="002464CB"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0.7%</w:t>
            </w:r>
          </w:p>
        </w:tc>
      </w:tr>
    </w:tbl>
    <w:p w14:paraId="3E90DEA1" w14:textId="77777777" w:rsidR="001D508A" w:rsidRDefault="001D508A" w:rsidP="00B74A73">
      <w:pPr>
        <w:pStyle w:val="11Bodytext"/>
        <w:numPr>
          <w:ilvl w:val="0"/>
          <w:numId w:val="0"/>
        </w:numPr>
        <w:spacing w:before="0" w:line="240" w:lineRule="auto"/>
        <w:ind w:left="794"/>
        <w:rPr>
          <w:b/>
        </w:rPr>
      </w:pPr>
      <w:r>
        <w:t xml:space="preserve">Source: ONS Mid-Year Population Estimates, Dataset ID: pop, Series ID: ENPOP, 2020  </w:t>
      </w:r>
    </w:p>
    <w:p w14:paraId="56B99D08" w14:textId="77777777" w:rsidR="001D508A" w:rsidRDefault="001D508A" w:rsidP="007D0FBF">
      <w:pPr>
        <w:pStyle w:val="11Bodytext"/>
      </w:pPr>
      <w:r>
        <w:t>Since 2011, the highest rates of growth have been in Fenland (6.7%) and East Cambridgeshire (6.6%). The lowest rate of growth was in Cambridge (1.7%) with the next lowest West Suffolk (4.4%).</w:t>
      </w:r>
    </w:p>
    <w:p w14:paraId="29CA0DE1" w14:textId="77777777" w:rsidR="001D508A" w:rsidRDefault="001D508A" w:rsidP="007D0FBF">
      <w:pPr>
        <w:pStyle w:val="Heading3"/>
      </w:pPr>
      <w:r>
        <w:t>Age Structure</w:t>
      </w:r>
    </w:p>
    <w:p w14:paraId="47833FA3" w14:textId="68CE04E0" w:rsidR="001D508A" w:rsidRDefault="001D508A" w:rsidP="007D0FBF">
      <w:pPr>
        <w:pStyle w:val="11Bodytext"/>
      </w:pPr>
      <w:r>
        <w:t xml:space="preserve">The figure below illustrates the HMA age structure against wider comparators. The population structure of the HMA is broadly in line with the population structure of the East of England and England with the 50-54 age bracket representing the greatest proportion of the populations' age structure (7.0%). </w:t>
      </w:r>
    </w:p>
    <w:p w14:paraId="429DF82A" w14:textId="031D399A" w:rsidR="00F00F5F" w:rsidRDefault="00F00F5F" w:rsidP="007D0FBF">
      <w:pPr>
        <w:pStyle w:val="11Bodytext"/>
      </w:pPr>
      <w:r>
        <w:t xml:space="preserve">It is also worth noting the variation within the age structure of the Greater Cambridge population in younger age groups. This is explained by the large student population. </w:t>
      </w:r>
    </w:p>
    <w:p w14:paraId="112D3452" w14:textId="56A0BBEF" w:rsidR="001D508A" w:rsidRDefault="001D508A" w:rsidP="003D5E23">
      <w:pPr>
        <w:pStyle w:val="FigureHeading"/>
      </w:pPr>
      <w:r>
        <w:lastRenderedPageBreak/>
        <w:t>Age Structure, HMA and wider comparators, 2019</w:t>
      </w:r>
    </w:p>
    <w:p w14:paraId="3A8EF2CB" w14:textId="7082DC42" w:rsidR="00F00F5F" w:rsidRPr="00F00F5F" w:rsidRDefault="00F00F5F" w:rsidP="004F4BA7">
      <w:pPr>
        <w:pStyle w:val="Bodytextwithindent"/>
        <w:spacing w:before="0" w:after="0" w:line="240" w:lineRule="auto"/>
      </w:pPr>
      <w:r>
        <w:rPr>
          <w:bCs/>
          <w:noProof/>
          <w:sz w:val="24"/>
          <w:szCs w:val="24"/>
        </w:rPr>
        <w:drawing>
          <wp:inline distT="0" distB="0" distL="0" distR="0" wp14:anchorId="05050656" wp14:editId="1571A80B">
            <wp:extent cx="5019152" cy="2743200"/>
            <wp:effectExtent l="0" t="0" r="10160" b="0"/>
            <wp:docPr id="3" name="Chart 3" descr="Line chart that displays age structure, HMA and wider comparators, 2019">
              <a:extLst xmlns:a="http://schemas.openxmlformats.org/drawingml/2006/main">
                <a:ext uri="{FF2B5EF4-FFF2-40B4-BE49-F238E27FC236}">
                  <a16:creationId xmlns:a16="http://schemas.microsoft.com/office/drawing/2014/main" id="{90FBAE67-BEC2-4DC4-A89D-53BE647B2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7792E3" w14:textId="17D9E73B" w:rsidR="001D508A" w:rsidRDefault="001D508A" w:rsidP="004F4BA7">
      <w:pPr>
        <w:pStyle w:val="11Bodytext"/>
        <w:numPr>
          <w:ilvl w:val="0"/>
          <w:numId w:val="0"/>
        </w:numPr>
        <w:spacing w:before="0" w:line="240" w:lineRule="auto"/>
        <w:ind w:left="709"/>
        <w:rPr>
          <w:b/>
        </w:rPr>
      </w:pPr>
      <w:r>
        <w:t xml:space="preserve">Source: ONS Mid-Year Population Estimates Dataset ID: pop, Series ID: ENPOP, 2020   </w:t>
      </w:r>
    </w:p>
    <w:p w14:paraId="0A4AE9A8" w14:textId="77777777" w:rsidR="001D508A" w:rsidRDefault="001D508A" w:rsidP="007D0FBF">
      <w:pPr>
        <w:pStyle w:val="11Bodytext"/>
      </w:pPr>
      <w:r>
        <w:t>The figure overleaf shows the age structure for each local authority. Cambridge City’s profile reflects the impact of the Universities. As illustrated, there is a significant representation of people aged between 15 and 29 years old and conversely a lower representation in other age groups.</w:t>
      </w:r>
    </w:p>
    <w:p w14:paraId="76F287AD" w14:textId="77777777" w:rsidR="001D508A" w:rsidRDefault="001D508A" w:rsidP="007D0FBF">
      <w:pPr>
        <w:pStyle w:val="11Bodytext"/>
      </w:pPr>
      <w:r>
        <w:t xml:space="preserve">East Cambridgeshire and South Cambridgeshire have a higher representation of children aged 5 to 14.  This is likely to reflect the area's attractiveness to young families while maintaining access to employment locations. </w:t>
      </w:r>
    </w:p>
    <w:p w14:paraId="514BFA26" w14:textId="77777777" w:rsidR="001D508A" w:rsidRDefault="001D508A" w:rsidP="003D5E23">
      <w:pPr>
        <w:pStyle w:val="FigureHeading"/>
      </w:pPr>
      <w:r>
        <w:lastRenderedPageBreak/>
        <w:t xml:space="preserve"> Age Structure, Across the Study Area, 2019</w:t>
      </w:r>
    </w:p>
    <w:p w14:paraId="6AC858D9" w14:textId="77777777" w:rsidR="001D508A" w:rsidRDefault="001D508A" w:rsidP="00B74A73">
      <w:pPr>
        <w:pStyle w:val="11Bodytext"/>
        <w:numPr>
          <w:ilvl w:val="0"/>
          <w:numId w:val="0"/>
        </w:numPr>
        <w:spacing w:before="0" w:line="240" w:lineRule="auto"/>
        <w:ind w:left="794"/>
        <w:rPr>
          <w:b/>
        </w:rPr>
      </w:pPr>
      <w:r>
        <w:rPr>
          <w:noProof/>
          <w:lang w:eastAsia="en-GB"/>
        </w:rPr>
        <w:drawing>
          <wp:inline distT="0" distB="0" distL="0" distR="0" wp14:anchorId="4D868271" wp14:editId="182D2E47">
            <wp:extent cx="5449824" cy="5815584"/>
            <wp:effectExtent l="0" t="0" r="17780" b="13970"/>
            <wp:docPr id="204" name="Chart 204" descr="Bar chart that shows the age structure across the study areas, 2019">
              <a:extLst xmlns:a="http://schemas.openxmlformats.org/drawingml/2006/main">
                <a:ext uri="{FF2B5EF4-FFF2-40B4-BE49-F238E27FC236}">
                  <a16:creationId xmlns:a16="http://schemas.microsoft.com/office/drawing/2014/main" id="{0D6C728C-5689-420B-B60D-AA57BEF85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Source: ONS Mid-Year Population Estimates, Dataset ID: pop, Series ID: ENPOP, 2020  </w:t>
      </w:r>
    </w:p>
    <w:p w14:paraId="1FC96B93" w14:textId="2E136F00" w:rsidR="001D508A" w:rsidRDefault="001D508A" w:rsidP="007D0FBF">
      <w:pPr>
        <w:pStyle w:val="11Bodytext"/>
      </w:pPr>
      <w:r>
        <w:t>Fenland District has a notably lower proportion of people aged under 50 years of age (56.8% of the population) and higher for those aged 50 and older (43.0% of the population) in comparison to England (63.0% under 50 years and 37.0%</w:t>
      </w:r>
      <w:r w:rsidR="006B2124">
        <w:t xml:space="preserve"> aged 50 and over</w:t>
      </w:r>
      <w:r>
        <w:t xml:space="preserve">). </w:t>
      </w:r>
    </w:p>
    <w:p w14:paraId="18785A9D" w14:textId="77777777" w:rsidR="004F4BA7" w:rsidRDefault="004F4BA7">
      <w:pPr>
        <w:spacing w:after="200"/>
        <w:rPr>
          <w:bCs/>
          <w:sz w:val="24"/>
          <w:szCs w:val="24"/>
        </w:rPr>
      </w:pPr>
      <w:r>
        <w:br w:type="page"/>
      </w:r>
    </w:p>
    <w:p w14:paraId="0D30AA97" w14:textId="718F107C" w:rsidR="001D508A" w:rsidRDefault="001D508A" w:rsidP="007D0FBF">
      <w:pPr>
        <w:pStyle w:val="11Bodytext"/>
      </w:pPr>
      <w:r>
        <w:lastRenderedPageBreak/>
        <w:t xml:space="preserve">On a similar basis, Huntingdonshire District has a lower proportion of the population aged under 40 (45.9% of the population) and a higher proportion of those aged 40 years and older compared (54.1% of the population) to the national average (49.8% aged over 40). </w:t>
      </w:r>
    </w:p>
    <w:p w14:paraId="1F0D2193" w14:textId="77777777" w:rsidR="001D508A" w:rsidRDefault="001D508A" w:rsidP="007D0FBF">
      <w:pPr>
        <w:pStyle w:val="11Bodytext"/>
      </w:pPr>
      <w:r>
        <w:t>West Suffolk has a similar age structure to that seen nationally with a slightly lower representation of those aged 15 to 24 and 40 to 44. Conversely, there is a higher representation of those aged 25 to 29 and those aged over 65 years old.</w:t>
      </w:r>
    </w:p>
    <w:p w14:paraId="55CDB927" w14:textId="77777777" w:rsidR="001D508A" w:rsidRDefault="001D508A" w:rsidP="007D0FBF">
      <w:pPr>
        <w:pStyle w:val="Heading3"/>
      </w:pPr>
      <w:r>
        <w:t>Components of Past Population Change</w:t>
      </w:r>
    </w:p>
    <w:p w14:paraId="5044E236" w14:textId="6E16F5A9" w:rsidR="001D508A" w:rsidRDefault="001D508A" w:rsidP="007D0FBF">
      <w:pPr>
        <w:pStyle w:val="11Bodytext"/>
      </w:pPr>
      <w:r>
        <w:t>This section presents the drivers of population change in the HMA from 2001 to 2019</w:t>
      </w:r>
      <w:r w:rsidR="00CB6911">
        <w:t xml:space="preserve">. This </w:t>
      </w:r>
      <w:r>
        <w:t>is the longest period for which a reasonable quality of data is available. Appendix B includes tables and graphs presenting the Components of Population Change at a local authority level.</w:t>
      </w:r>
    </w:p>
    <w:p w14:paraId="7DA711AC" w14:textId="01DB5187" w:rsidR="001D508A" w:rsidRDefault="001D508A" w:rsidP="007D0FBF">
      <w:pPr>
        <w:pStyle w:val="11Bodytext"/>
      </w:pPr>
      <w:r>
        <w:t>Across the HMA</w:t>
      </w:r>
      <w:r w:rsidR="00CB6911">
        <w:t>,</w:t>
      </w:r>
      <w:r>
        <w:t xml:space="preserve"> population change is largely driven by international migration and natural change (births minus deaths). Within the ONS data, there is also </w:t>
      </w:r>
      <w:proofErr w:type="gramStart"/>
      <w:r>
        <w:t>an ‘other’</w:t>
      </w:r>
      <w:proofErr w:type="gramEnd"/>
      <w:r>
        <w:t xml:space="preserve"> category the main constituents of which include changes to the size of armed forces stationed in the area (the UK and Foreign Forces) and other special population adjustments including the prison population. </w:t>
      </w:r>
    </w:p>
    <w:p w14:paraId="0D5DEE72" w14:textId="55D368B5" w:rsidR="001D508A" w:rsidRDefault="001D508A" w:rsidP="007D0FBF">
      <w:pPr>
        <w:pStyle w:val="11Bodytext"/>
      </w:pPr>
      <w:r>
        <w:t xml:space="preserve">There are notable changes (both positive and negative) brought about by the ‘other’ </w:t>
      </w:r>
      <w:proofErr w:type="gramStart"/>
      <w:r>
        <w:t>category  in</w:t>
      </w:r>
      <w:proofErr w:type="gramEnd"/>
      <w:r>
        <w:t xml:space="preserve"> West Suffolk (from 2010 onward) and Huntingdonshire (2003 and 2004)</w:t>
      </w:r>
      <w:r w:rsidR="00CB6911">
        <w:t>. These</w:t>
      </w:r>
      <w:r>
        <w:t xml:space="preserve"> can be linked to the military airbases in these areas. Cambridge also has a sizeable “other” component although it’s not clear whether this relates to military moves or other institutions such as halls of residence.</w:t>
      </w:r>
    </w:p>
    <w:p w14:paraId="679141BC" w14:textId="77777777" w:rsidR="001D508A" w:rsidRDefault="001D508A" w:rsidP="007D0FBF">
      <w:pPr>
        <w:pStyle w:val="11Bodytext"/>
      </w:pPr>
      <w:r>
        <w:t xml:space="preserve">The components also include unattributable population change (UPC). This is an adjustment made by ONS to mid-year population estimates where Census data has suggested that population growth had either been over or under-estimated in the inter-Census years. As UPC links back to Census data, a figure is only provided up to 2011. </w:t>
      </w:r>
    </w:p>
    <w:p w14:paraId="4A93BD96" w14:textId="3730C133" w:rsidR="001D508A" w:rsidRDefault="001D508A" w:rsidP="007D0FBF">
      <w:pPr>
        <w:pStyle w:val="11Bodytext"/>
      </w:pPr>
      <w:r>
        <w:lastRenderedPageBreak/>
        <w:t xml:space="preserve">Figure 5 and Table </w:t>
      </w:r>
      <w:r w:rsidR="00EA54B1">
        <w:t>4</w:t>
      </w:r>
      <w:r>
        <w:t xml:space="preserve"> show the components of population change across the HMA from 2001 onwards. The year shown in the table relates to the year these changes took place therefore the 2018 figure is the components of change to get to the 2019 mid-year estimate.</w:t>
      </w:r>
    </w:p>
    <w:p w14:paraId="20DCF9BD" w14:textId="6C388BAB" w:rsidR="001D508A" w:rsidRDefault="001D508A" w:rsidP="003D5E23">
      <w:pPr>
        <w:pStyle w:val="FigureHeading"/>
      </w:pPr>
      <w:r>
        <w:t>Components of Population Change HMA 2001-18</w:t>
      </w:r>
    </w:p>
    <w:p w14:paraId="58657DC2" w14:textId="74FC7D0E" w:rsidR="001D508A" w:rsidRDefault="005C7B42" w:rsidP="00B74A73">
      <w:pPr>
        <w:pStyle w:val="11Bodytext"/>
        <w:numPr>
          <w:ilvl w:val="0"/>
          <w:numId w:val="0"/>
        </w:numPr>
        <w:spacing w:before="0" w:line="240" w:lineRule="auto"/>
        <w:ind w:left="709"/>
        <w:rPr>
          <w:b/>
        </w:rPr>
      </w:pPr>
      <w:r>
        <w:rPr>
          <w:noProof/>
        </w:rPr>
        <w:drawing>
          <wp:inline distT="0" distB="0" distL="0" distR="0" wp14:anchorId="5BD5E5AE" wp14:editId="15411D9B">
            <wp:extent cx="5588759" cy="2942590"/>
            <wp:effectExtent l="0" t="0" r="12065" b="10160"/>
            <wp:docPr id="6" name="Chart 6" descr="Line and bar chart displaying the components of population change HMA 2001-2018">
              <a:extLst xmlns:a="http://schemas.openxmlformats.org/drawingml/2006/main">
                <a:ext uri="{FF2B5EF4-FFF2-40B4-BE49-F238E27FC236}">
                  <a16:creationId xmlns:a16="http://schemas.microsoft.com/office/drawing/2014/main" id="{5E0A0202-A662-4215-94BE-E870C1286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D508A">
        <w:t xml:space="preserve">Source: ONS Mid-Year Population Estimates, Dataset ID: pop, Series ID: ENPOP, 2020  </w:t>
      </w:r>
    </w:p>
    <w:p w14:paraId="48965ADC" w14:textId="77777777" w:rsidR="001D508A" w:rsidRPr="00526C6E" w:rsidRDefault="001D508A" w:rsidP="007D0FBF">
      <w:pPr>
        <w:pStyle w:val="11Bodytext"/>
        <w:rPr>
          <w:b/>
        </w:rPr>
      </w:pPr>
      <w:r>
        <w:t xml:space="preserve">Overall, population change (as shown by the blue line) remained positive between 2001 and 2010. After 2010, the population change across the HMA falls as a result of </w:t>
      </w:r>
      <w:r w:rsidRPr="00526C6E">
        <w:rPr>
          <w:b/>
        </w:rPr>
        <w:t>t</w:t>
      </w:r>
      <w:r>
        <w:t xml:space="preserve">he “other” category which in 2011, 2012, 2015, 2017 and 2018 was negative (these changes mainly occurred in West Suffolk due to military moves). All the other components of change remain almost consistently positive throughout the recorded period. </w:t>
      </w:r>
    </w:p>
    <w:p w14:paraId="4B288C87" w14:textId="77777777" w:rsidR="001D508A" w:rsidRPr="00526C6E" w:rsidRDefault="001D508A" w:rsidP="007D0FBF">
      <w:pPr>
        <w:pStyle w:val="11Bodytext"/>
        <w:rPr>
          <w:b/>
        </w:rPr>
      </w:pPr>
      <w:r>
        <w:t xml:space="preserve">International migration (as shown by the grey bars) has been positive in all years except for the last recorded year.  However, it has seen significant variation over the whole period examined.   This ranges from 6,726 in 2004 to a decline of 115 in 2018.  It is also worth noting the steady decline since 2014. This is likely to be caused by combination of factors including short term growths in certain industries attracting international migration to the area or the universities seeking </w:t>
      </w:r>
      <w:r>
        <w:lastRenderedPageBreak/>
        <w:t xml:space="preserve">international students. Also, the UK’s departure from the European Union has precipitated a fall in arrivals in the Country from EU member states. </w:t>
      </w:r>
    </w:p>
    <w:p w14:paraId="6DA3F261" w14:textId="77777777" w:rsidR="001D508A" w:rsidRDefault="001D508A" w:rsidP="003D5E23">
      <w:pPr>
        <w:pStyle w:val="Tableheading"/>
        <w:numPr>
          <w:ilvl w:val="0"/>
          <w:numId w:val="54"/>
        </w:numPr>
      </w:pPr>
      <w:r>
        <w:t>Components of Population Change HMA 2001-19</w:t>
      </w:r>
    </w:p>
    <w:tbl>
      <w:tblPr>
        <w:tblStyle w:val="TableGridLight1"/>
        <w:tblW w:w="8528" w:type="dxa"/>
        <w:tblInd w:w="820" w:type="dxa"/>
        <w:tblLook w:val="04A0" w:firstRow="1" w:lastRow="0" w:firstColumn="1" w:lastColumn="0" w:noHBand="0" w:noVBand="1"/>
      </w:tblPr>
      <w:tblGrid>
        <w:gridCol w:w="725"/>
        <w:gridCol w:w="1196"/>
        <w:gridCol w:w="992"/>
        <w:gridCol w:w="995"/>
        <w:gridCol w:w="1398"/>
        <w:gridCol w:w="995"/>
        <w:gridCol w:w="1233"/>
        <w:gridCol w:w="1196"/>
      </w:tblGrid>
      <w:tr w:rsidR="001D508A" w14:paraId="4D562DB2" w14:textId="77777777" w:rsidTr="004F4BA7">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725" w:type="dxa"/>
            <w:hideMark/>
          </w:tcPr>
          <w:p w14:paraId="45965D30" w14:textId="77777777" w:rsidR="001D508A" w:rsidRPr="00605B15" w:rsidRDefault="001D508A" w:rsidP="001D508A">
            <w:pPr>
              <w:keepNext/>
              <w:spacing w:line="256" w:lineRule="auto"/>
              <w:rPr>
                <w:lang w:eastAsia="en-GB"/>
              </w:rPr>
            </w:pPr>
            <w:r w:rsidRPr="00605B15">
              <w:rPr>
                <w:lang w:eastAsia="en-GB"/>
              </w:rPr>
              <w:t>Year</w:t>
            </w:r>
          </w:p>
        </w:tc>
        <w:tc>
          <w:tcPr>
            <w:tcW w:w="1196" w:type="dxa"/>
            <w:hideMark/>
          </w:tcPr>
          <w:p w14:paraId="3481CE49"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Start pop.</w:t>
            </w:r>
          </w:p>
        </w:tc>
        <w:tc>
          <w:tcPr>
            <w:tcW w:w="992" w:type="dxa"/>
            <w:hideMark/>
          </w:tcPr>
          <w:p w14:paraId="72D383CF"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Natural Change</w:t>
            </w:r>
          </w:p>
        </w:tc>
        <w:tc>
          <w:tcPr>
            <w:tcW w:w="995" w:type="dxa"/>
            <w:hideMark/>
          </w:tcPr>
          <w:p w14:paraId="37748C5E"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Internal</w:t>
            </w:r>
          </w:p>
        </w:tc>
        <w:tc>
          <w:tcPr>
            <w:tcW w:w="1291" w:type="dxa"/>
            <w:hideMark/>
          </w:tcPr>
          <w:p w14:paraId="0D39C8D8"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International</w:t>
            </w:r>
          </w:p>
        </w:tc>
        <w:tc>
          <w:tcPr>
            <w:tcW w:w="995" w:type="dxa"/>
            <w:hideMark/>
          </w:tcPr>
          <w:p w14:paraId="7CDAC003"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Other</w:t>
            </w:r>
          </w:p>
        </w:tc>
        <w:tc>
          <w:tcPr>
            <w:tcW w:w="1138" w:type="dxa"/>
            <w:hideMark/>
          </w:tcPr>
          <w:p w14:paraId="6F05201C"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Population Change</w:t>
            </w:r>
          </w:p>
        </w:tc>
        <w:tc>
          <w:tcPr>
            <w:tcW w:w="1196" w:type="dxa"/>
            <w:hideMark/>
          </w:tcPr>
          <w:p w14:paraId="32ADB71A" w14:textId="77777777" w:rsidR="001D508A" w:rsidRPr="00605B15" w:rsidRDefault="001D508A"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End Pop.</w:t>
            </w:r>
          </w:p>
        </w:tc>
      </w:tr>
      <w:tr w:rsidR="001D508A" w14:paraId="0411E0EF"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7E23E9EA" w14:textId="77777777" w:rsidR="001D508A" w:rsidRDefault="001D508A" w:rsidP="001D508A">
            <w:pPr>
              <w:keepNext/>
              <w:spacing w:line="256" w:lineRule="auto"/>
              <w:rPr>
                <w:color w:val="000000"/>
                <w:lang w:eastAsia="en-GB"/>
              </w:rPr>
            </w:pPr>
            <w:r>
              <w:rPr>
                <w:color w:val="000000"/>
                <w:lang w:eastAsia="en-GB"/>
              </w:rPr>
              <w:t xml:space="preserve">2002 </w:t>
            </w:r>
          </w:p>
        </w:tc>
        <w:tc>
          <w:tcPr>
            <w:tcW w:w="1196" w:type="dxa"/>
            <w:noWrap/>
            <w:hideMark/>
          </w:tcPr>
          <w:p w14:paraId="42D1B78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709,172</w:t>
            </w:r>
          </w:p>
        </w:tc>
        <w:tc>
          <w:tcPr>
            <w:tcW w:w="992" w:type="dxa"/>
            <w:noWrap/>
            <w:hideMark/>
          </w:tcPr>
          <w:p w14:paraId="027BC50A"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1,487</w:t>
            </w:r>
          </w:p>
        </w:tc>
        <w:tc>
          <w:tcPr>
            <w:tcW w:w="995" w:type="dxa"/>
            <w:noWrap/>
            <w:hideMark/>
          </w:tcPr>
          <w:p w14:paraId="6142CD2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2,640</w:t>
            </w:r>
          </w:p>
        </w:tc>
        <w:tc>
          <w:tcPr>
            <w:tcW w:w="1291" w:type="dxa"/>
            <w:noWrap/>
            <w:hideMark/>
          </w:tcPr>
          <w:p w14:paraId="5AC6083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566</w:t>
            </w:r>
          </w:p>
        </w:tc>
        <w:tc>
          <w:tcPr>
            <w:tcW w:w="995" w:type="dxa"/>
            <w:noWrap/>
            <w:hideMark/>
          </w:tcPr>
          <w:p w14:paraId="7A3556A1"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1,042</w:t>
            </w:r>
          </w:p>
        </w:tc>
        <w:tc>
          <w:tcPr>
            <w:tcW w:w="1138" w:type="dxa"/>
            <w:hideMark/>
          </w:tcPr>
          <w:p w14:paraId="6B4950FA"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5,735</w:t>
            </w:r>
          </w:p>
        </w:tc>
        <w:tc>
          <w:tcPr>
            <w:tcW w:w="1196" w:type="dxa"/>
            <w:noWrap/>
            <w:hideMark/>
          </w:tcPr>
          <w:p w14:paraId="76B475A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714,907</w:t>
            </w:r>
          </w:p>
        </w:tc>
      </w:tr>
      <w:tr w:rsidR="001D508A" w14:paraId="14197E27"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3CEEE7E6" w14:textId="77777777" w:rsidR="001D508A" w:rsidRDefault="001D508A" w:rsidP="001D508A">
            <w:pPr>
              <w:keepNext/>
              <w:spacing w:line="256" w:lineRule="auto"/>
              <w:rPr>
                <w:color w:val="000000"/>
                <w:lang w:eastAsia="en-GB"/>
              </w:rPr>
            </w:pPr>
            <w:r>
              <w:rPr>
                <w:color w:val="000000"/>
                <w:lang w:eastAsia="en-GB"/>
              </w:rPr>
              <w:t xml:space="preserve">2003 </w:t>
            </w:r>
          </w:p>
        </w:tc>
        <w:tc>
          <w:tcPr>
            <w:tcW w:w="1196" w:type="dxa"/>
            <w:noWrap/>
            <w:hideMark/>
          </w:tcPr>
          <w:p w14:paraId="3443297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714,907</w:t>
            </w:r>
          </w:p>
        </w:tc>
        <w:tc>
          <w:tcPr>
            <w:tcW w:w="992" w:type="dxa"/>
            <w:noWrap/>
            <w:hideMark/>
          </w:tcPr>
          <w:p w14:paraId="0F99811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1,474</w:t>
            </w:r>
          </w:p>
        </w:tc>
        <w:tc>
          <w:tcPr>
            <w:tcW w:w="995" w:type="dxa"/>
            <w:noWrap/>
            <w:hideMark/>
          </w:tcPr>
          <w:p w14:paraId="0EF9E2D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2,605</w:t>
            </w:r>
          </w:p>
        </w:tc>
        <w:tc>
          <w:tcPr>
            <w:tcW w:w="1291" w:type="dxa"/>
            <w:noWrap/>
            <w:hideMark/>
          </w:tcPr>
          <w:p w14:paraId="23800E4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3,696</w:t>
            </w:r>
          </w:p>
        </w:tc>
        <w:tc>
          <w:tcPr>
            <w:tcW w:w="995" w:type="dxa"/>
            <w:noWrap/>
            <w:hideMark/>
          </w:tcPr>
          <w:p w14:paraId="02B067C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4,051</w:t>
            </w:r>
          </w:p>
        </w:tc>
        <w:tc>
          <w:tcPr>
            <w:tcW w:w="1138" w:type="dxa"/>
            <w:hideMark/>
          </w:tcPr>
          <w:p w14:paraId="448AEB2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11,826</w:t>
            </w:r>
          </w:p>
        </w:tc>
        <w:tc>
          <w:tcPr>
            <w:tcW w:w="1196" w:type="dxa"/>
            <w:noWrap/>
            <w:hideMark/>
          </w:tcPr>
          <w:p w14:paraId="206D1709"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726,733</w:t>
            </w:r>
          </w:p>
        </w:tc>
      </w:tr>
      <w:tr w:rsidR="001D508A" w14:paraId="414C373C"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31095564" w14:textId="77777777" w:rsidR="001D508A" w:rsidRDefault="001D508A" w:rsidP="001D508A">
            <w:pPr>
              <w:keepNext/>
              <w:spacing w:line="256" w:lineRule="auto"/>
              <w:rPr>
                <w:color w:val="000000"/>
                <w:lang w:eastAsia="en-GB"/>
              </w:rPr>
            </w:pPr>
            <w:r>
              <w:rPr>
                <w:color w:val="000000"/>
                <w:lang w:eastAsia="en-GB"/>
              </w:rPr>
              <w:t xml:space="preserve">2004 </w:t>
            </w:r>
          </w:p>
        </w:tc>
        <w:tc>
          <w:tcPr>
            <w:tcW w:w="1196" w:type="dxa"/>
            <w:noWrap/>
            <w:hideMark/>
          </w:tcPr>
          <w:p w14:paraId="4E1DB22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726,733</w:t>
            </w:r>
          </w:p>
        </w:tc>
        <w:tc>
          <w:tcPr>
            <w:tcW w:w="992" w:type="dxa"/>
            <w:noWrap/>
            <w:hideMark/>
          </w:tcPr>
          <w:p w14:paraId="644826F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1,843</w:t>
            </w:r>
          </w:p>
        </w:tc>
        <w:tc>
          <w:tcPr>
            <w:tcW w:w="995" w:type="dxa"/>
            <w:noWrap/>
            <w:hideMark/>
          </w:tcPr>
          <w:p w14:paraId="3F0B65F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3,406</w:t>
            </w:r>
          </w:p>
        </w:tc>
        <w:tc>
          <w:tcPr>
            <w:tcW w:w="1291" w:type="dxa"/>
            <w:noWrap/>
            <w:hideMark/>
          </w:tcPr>
          <w:p w14:paraId="335369D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960</w:t>
            </w:r>
          </w:p>
        </w:tc>
        <w:tc>
          <w:tcPr>
            <w:tcW w:w="995" w:type="dxa"/>
            <w:noWrap/>
            <w:hideMark/>
          </w:tcPr>
          <w:p w14:paraId="2210C81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972</w:t>
            </w:r>
          </w:p>
        </w:tc>
        <w:tc>
          <w:tcPr>
            <w:tcW w:w="1138" w:type="dxa"/>
            <w:hideMark/>
          </w:tcPr>
          <w:p w14:paraId="78D8991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7,181</w:t>
            </w:r>
          </w:p>
        </w:tc>
        <w:tc>
          <w:tcPr>
            <w:tcW w:w="1196" w:type="dxa"/>
            <w:noWrap/>
            <w:hideMark/>
          </w:tcPr>
          <w:p w14:paraId="28759119"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733,914</w:t>
            </w:r>
          </w:p>
        </w:tc>
      </w:tr>
      <w:tr w:rsidR="001D508A" w14:paraId="63BC0BBA"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23EFD9C2" w14:textId="77777777" w:rsidR="001D508A" w:rsidRDefault="001D508A" w:rsidP="001D508A">
            <w:pPr>
              <w:keepNext/>
              <w:spacing w:line="256" w:lineRule="auto"/>
              <w:rPr>
                <w:color w:val="000000"/>
                <w:lang w:eastAsia="en-GB"/>
              </w:rPr>
            </w:pPr>
            <w:r>
              <w:rPr>
                <w:color w:val="000000"/>
                <w:lang w:eastAsia="en-GB"/>
              </w:rPr>
              <w:t xml:space="preserve">2005 </w:t>
            </w:r>
          </w:p>
        </w:tc>
        <w:tc>
          <w:tcPr>
            <w:tcW w:w="1196" w:type="dxa"/>
            <w:noWrap/>
            <w:hideMark/>
          </w:tcPr>
          <w:p w14:paraId="43819C9A"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733,914</w:t>
            </w:r>
          </w:p>
        </w:tc>
        <w:tc>
          <w:tcPr>
            <w:tcW w:w="992" w:type="dxa"/>
            <w:noWrap/>
            <w:hideMark/>
          </w:tcPr>
          <w:p w14:paraId="5E61917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1,991</w:t>
            </w:r>
          </w:p>
        </w:tc>
        <w:tc>
          <w:tcPr>
            <w:tcW w:w="995" w:type="dxa"/>
            <w:noWrap/>
            <w:hideMark/>
          </w:tcPr>
          <w:p w14:paraId="6016740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1,542</w:t>
            </w:r>
          </w:p>
        </w:tc>
        <w:tc>
          <w:tcPr>
            <w:tcW w:w="1291" w:type="dxa"/>
            <w:noWrap/>
            <w:hideMark/>
          </w:tcPr>
          <w:p w14:paraId="586EC6D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6,726</w:t>
            </w:r>
          </w:p>
        </w:tc>
        <w:tc>
          <w:tcPr>
            <w:tcW w:w="995" w:type="dxa"/>
            <w:noWrap/>
            <w:hideMark/>
          </w:tcPr>
          <w:p w14:paraId="2CCE7E0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884</w:t>
            </w:r>
          </w:p>
        </w:tc>
        <w:tc>
          <w:tcPr>
            <w:tcW w:w="1138" w:type="dxa"/>
            <w:hideMark/>
          </w:tcPr>
          <w:p w14:paraId="08C558D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11,143</w:t>
            </w:r>
          </w:p>
        </w:tc>
        <w:tc>
          <w:tcPr>
            <w:tcW w:w="1196" w:type="dxa"/>
            <w:noWrap/>
            <w:hideMark/>
          </w:tcPr>
          <w:p w14:paraId="15EDED7A"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745,057</w:t>
            </w:r>
          </w:p>
        </w:tc>
      </w:tr>
      <w:tr w:rsidR="001D508A" w14:paraId="0430D6A3"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401AD76E" w14:textId="77777777" w:rsidR="001D508A" w:rsidRDefault="001D508A" w:rsidP="001D508A">
            <w:pPr>
              <w:keepNext/>
              <w:spacing w:line="256" w:lineRule="auto"/>
              <w:rPr>
                <w:color w:val="000000"/>
                <w:lang w:eastAsia="en-GB"/>
              </w:rPr>
            </w:pPr>
            <w:r>
              <w:rPr>
                <w:color w:val="000000"/>
                <w:lang w:eastAsia="en-GB"/>
              </w:rPr>
              <w:t xml:space="preserve">2006 </w:t>
            </w:r>
          </w:p>
        </w:tc>
        <w:tc>
          <w:tcPr>
            <w:tcW w:w="1196" w:type="dxa"/>
            <w:noWrap/>
            <w:hideMark/>
          </w:tcPr>
          <w:p w14:paraId="60C7704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745,057</w:t>
            </w:r>
          </w:p>
        </w:tc>
        <w:tc>
          <w:tcPr>
            <w:tcW w:w="992" w:type="dxa"/>
            <w:noWrap/>
            <w:hideMark/>
          </w:tcPr>
          <w:p w14:paraId="5E2B1B0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2,136</w:t>
            </w:r>
          </w:p>
        </w:tc>
        <w:tc>
          <w:tcPr>
            <w:tcW w:w="995" w:type="dxa"/>
            <w:noWrap/>
            <w:hideMark/>
          </w:tcPr>
          <w:p w14:paraId="36B99199"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2,666</w:t>
            </w:r>
          </w:p>
        </w:tc>
        <w:tc>
          <w:tcPr>
            <w:tcW w:w="1291" w:type="dxa"/>
            <w:noWrap/>
            <w:hideMark/>
          </w:tcPr>
          <w:p w14:paraId="0813663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1,013</w:t>
            </w:r>
          </w:p>
        </w:tc>
        <w:tc>
          <w:tcPr>
            <w:tcW w:w="995" w:type="dxa"/>
            <w:noWrap/>
            <w:hideMark/>
          </w:tcPr>
          <w:p w14:paraId="6B43FD7A"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426</w:t>
            </w:r>
          </w:p>
        </w:tc>
        <w:tc>
          <w:tcPr>
            <w:tcW w:w="1138" w:type="dxa"/>
            <w:hideMark/>
          </w:tcPr>
          <w:p w14:paraId="2A601A7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6,241</w:t>
            </w:r>
          </w:p>
        </w:tc>
        <w:tc>
          <w:tcPr>
            <w:tcW w:w="1196" w:type="dxa"/>
            <w:noWrap/>
            <w:hideMark/>
          </w:tcPr>
          <w:p w14:paraId="43E35B4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751,298</w:t>
            </w:r>
          </w:p>
        </w:tc>
      </w:tr>
      <w:tr w:rsidR="001D508A" w14:paraId="482953E9"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60A6CEA7" w14:textId="77777777" w:rsidR="001D508A" w:rsidRDefault="001D508A" w:rsidP="001D508A">
            <w:pPr>
              <w:keepNext/>
              <w:spacing w:line="256" w:lineRule="auto"/>
              <w:rPr>
                <w:color w:val="000000"/>
                <w:lang w:eastAsia="en-GB"/>
              </w:rPr>
            </w:pPr>
            <w:r>
              <w:rPr>
                <w:color w:val="000000"/>
                <w:lang w:eastAsia="en-GB"/>
              </w:rPr>
              <w:t xml:space="preserve">2007 </w:t>
            </w:r>
          </w:p>
        </w:tc>
        <w:tc>
          <w:tcPr>
            <w:tcW w:w="1196" w:type="dxa"/>
            <w:noWrap/>
            <w:hideMark/>
          </w:tcPr>
          <w:p w14:paraId="7A52D9A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751,298</w:t>
            </w:r>
          </w:p>
        </w:tc>
        <w:tc>
          <w:tcPr>
            <w:tcW w:w="992" w:type="dxa"/>
            <w:noWrap/>
            <w:hideMark/>
          </w:tcPr>
          <w:p w14:paraId="57748E3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2,724</w:t>
            </w:r>
          </w:p>
        </w:tc>
        <w:tc>
          <w:tcPr>
            <w:tcW w:w="995" w:type="dxa"/>
            <w:noWrap/>
            <w:hideMark/>
          </w:tcPr>
          <w:p w14:paraId="2D81D1B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2,455</w:t>
            </w:r>
          </w:p>
        </w:tc>
        <w:tc>
          <w:tcPr>
            <w:tcW w:w="1291" w:type="dxa"/>
            <w:noWrap/>
            <w:hideMark/>
          </w:tcPr>
          <w:p w14:paraId="68582B1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588</w:t>
            </w:r>
          </w:p>
        </w:tc>
        <w:tc>
          <w:tcPr>
            <w:tcW w:w="995" w:type="dxa"/>
            <w:noWrap/>
            <w:hideMark/>
          </w:tcPr>
          <w:p w14:paraId="197A96C8"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964</w:t>
            </w:r>
          </w:p>
        </w:tc>
        <w:tc>
          <w:tcPr>
            <w:tcW w:w="1138" w:type="dxa"/>
            <w:hideMark/>
          </w:tcPr>
          <w:p w14:paraId="0EF746A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6,731</w:t>
            </w:r>
          </w:p>
        </w:tc>
        <w:tc>
          <w:tcPr>
            <w:tcW w:w="1196" w:type="dxa"/>
            <w:noWrap/>
            <w:hideMark/>
          </w:tcPr>
          <w:p w14:paraId="3F5F5AC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758,029</w:t>
            </w:r>
          </w:p>
        </w:tc>
      </w:tr>
      <w:tr w:rsidR="001D508A" w14:paraId="1C179626"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7484FB84" w14:textId="77777777" w:rsidR="001D508A" w:rsidRDefault="001D508A" w:rsidP="001D508A">
            <w:pPr>
              <w:keepNext/>
              <w:spacing w:line="256" w:lineRule="auto"/>
              <w:rPr>
                <w:color w:val="000000"/>
                <w:lang w:eastAsia="en-GB"/>
              </w:rPr>
            </w:pPr>
            <w:r>
              <w:rPr>
                <w:color w:val="000000"/>
                <w:lang w:eastAsia="en-GB"/>
              </w:rPr>
              <w:t xml:space="preserve">2008 </w:t>
            </w:r>
          </w:p>
        </w:tc>
        <w:tc>
          <w:tcPr>
            <w:tcW w:w="1196" w:type="dxa"/>
            <w:noWrap/>
            <w:hideMark/>
          </w:tcPr>
          <w:p w14:paraId="2CB1EA0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758,029</w:t>
            </w:r>
          </w:p>
        </w:tc>
        <w:tc>
          <w:tcPr>
            <w:tcW w:w="992" w:type="dxa"/>
            <w:noWrap/>
            <w:hideMark/>
          </w:tcPr>
          <w:p w14:paraId="406C81D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3,194</w:t>
            </w:r>
          </w:p>
        </w:tc>
        <w:tc>
          <w:tcPr>
            <w:tcW w:w="995" w:type="dxa"/>
            <w:noWrap/>
            <w:hideMark/>
          </w:tcPr>
          <w:p w14:paraId="1DBDC06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2,502</w:t>
            </w:r>
          </w:p>
        </w:tc>
        <w:tc>
          <w:tcPr>
            <w:tcW w:w="1291" w:type="dxa"/>
            <w:noWrap/>
            <w:hideMark/>
          </w:tcPr>
          <w:p w14:paraId="138B7BE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1,580</w:t>
            </w:r>
          </w:p>
        </w:tc>
        <w:tc>
          <w:tcPr>
            <w:tcW w:w="995" w:type="dxa"/>
            <w:noWrap/>
            <w:hideMark/>
          </w:tcPr>
          <w:p w14:paraId="691CF4C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462</w:t>
            </w:r>
          </w:p>
        </w:tc>
        <w:tc>
          <w:tcPr>
            <w:tcW w:w="1138" w:type="dxa"/>
            <w:hideMark/>
          </w:tcPr>
          <w:p w14:paraId="16E76869"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7,738</w:t>
            </w:r>
          </w:p>
        </w:tc>
        <w:tc>
          <w:tcPr>
            <w:tcW w:w="1196" w:type="dxa"/>
            <w:noWrap/>
            <w:hideMark/>
          </w:tcPr>
          <w:p w14:paraId="469D501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765,767</w:t>
            </w:r>
          </w:p>
        </w:tc>
      </w:tr>
      <w:tr w:rsidR="001D508A" w14:paraId="50E9B90F"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4FE7DDF6" w14:textId="77777777" w:rsidR="001D508A" w:rsidRDefault="001D508A" w:rsidP="001D508A">
            <w:pPr>
              <w:keepNext/>
              <w:spacing w:line="256" w:lineRule="auto"/>
              <w:rPr>
                <w:color w:val="000000"/>
                <w:lang w:eastAsia="en-GB"/>
              </w:rPr>
            </w:pPr>
            <w:r>
              <w:rPr>
                <w:color w:val="000000"/>
                <w:lang w:eastAsia="en-GB"/>
              </w:rPr>
              <w:t xml:space="preserve">2009 </w:t>
            </w:r>
          </w:p>
        </w:tc>
        <w:tc>
          <w:tcPr>
            <w:tcW w:w="1196" w:type="dxa"/>
            <w:noWrap/>
            <w:hideMark/>
          </w:tcPr>
          <w:p w14:paraId="0D3AFC0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765,767</w:t>
            </w:r>
          </w:p>
        </w:tc>
        <w:tc>
          <w:tcPr>
            <w:tcW w:w="992" w:type="dxa"/>
            <w:noWrap/>
            <w:hideMark/>
          </w:tcPr>
          <w:p w14:paraId="2AE2CA2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3,198</w:t>
            </w:r>
          </w:p>
        </w:tc>
        <w:tc>
          <w:tcPr>
            <w:tcW w:w="995" w:type="dxa"/>
            <w:noWrap/>
            <w:hideMark/>
          </w:tcPr>
          <w:p w14:paraId="5972AD9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1,388</w:t>
            </w:r>
          </w:p>
        </w:tc>
        <w:tc>
          <w:tcPr>
            <w:tcW w:w="1291" w:type="dxa"/>
            <w:noWrap/>
            <w:hideMark/>
          </w:tcPr>
          <w:p w14:paraId="1F7B1948"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935</w:t>
            </w:r>
          </w:p>
        </w:tc>
        <w:tc>
          <w:tcPr>
            <w:tcW w:w="995" w:type="dxa"/>
            <w:noWrap/>
            <w:hideMark/>
          </w:tcPr>
          <w:p w14:paraId="5085B04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1,275</w:t>
            </w:r>
          </w:p>
        </w:tc>
        <w:tc>
          <w:tcPr>
            <w:tcW w:w="1138" w:type="dxa"/>
            <w:hideMark/>
          </w:tcPr>
          <w:p w14:paraId="33C96F5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6,796</w:t>
            </w:r>
          </w:p>
        </w:tc>
        <w:tc>
          <w:tcPr>
            <w:tcW w:w="1196" w:type="dxa"/>
            <w:noWrap/>
            <w:hideMark/>
          </w:tcPr>
          <w:p w14:paraId="51C014C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772,563</w:t>
            </w:r>
          </w:p>
        </w:tc>
      </w:tr>
      <w:tr w:rsidR="001D508A" w14:paraId="1FD2B3DA"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316D5914" w14:textId="77777777" w:rsidR="001D508A" w:rsidRDefault="001D508A" w:rsidP="001D508A">
            <w:pPr>
              <w:keepNext/>
              <w:spacing w:line="256" w:lineRule="auto"/>
              <w:rPr>
                <w:color w:val="000000"/>
                <w:lang w:eastAsia="en-GB"/>
              </w:rPr>
            </w:pPr>
            <w:r>
              <w:rPr>
                <w:color w:val="000000"/>
                <w:lang w:eastAsia="en-GB"/>
              </w:rPr>
              <w:t xml:space="preserve">2010 </w:t>
            </w:r>
          </w:p>
        </w:tc>
        <w:tc>
          <w:tcPr>
            <w:tcW w:w="1196" w:type="dxa"/>
            <w:noWrap/>
            <w:hideMark/>
          </w:tcPr>
          <w:p w14:paraId="4AFF2BE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772,563</w:t>
            </w:r>
          </w:p>
        </w:tc>
        <w:tc>
          <w:tcPr>
            <w:tcW w:w="992" w:type="dxa"/>
            <w:noWrap/>
            <w:hideMark/>
          </w:tcPr>
          <w:p w14:paraId="3A45373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3,357</w:t>
            </w:r>
          </w:p>
        </w:tc>
        <w:tc>
          <w:tcPr>
            <w:tcW w:w="995" w:type="dxa"/>
            <w:noWrap/>
            <w:hideMark/>
          </w:tcPr>
          <w:p w14:paraId="0C64B03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2,129</w:t>
            </w:r>
          </w:p>
        </w:tc>
        <w:tc>
          <w:tcPr>
            <w:tcW w:w="1291" w:type="dxa"/>
            <w:noWrap/>
            <w:hideMark/>
          </w:tcPr>
          <w:p w14:paraId="0DCA244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4,728</w:t>
            </w:r>
          </w:p>
        </w:tc>
        <w:tc>
          <w:tcPr>
            <w:tcW w:w="995" w:type="dxa"/>
            <w:noWrap/>
            <w:hideMark/>
          </w:tcPr>
          <w:p w14:paraId="1EDD6A0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726</w:t>
            </w:r>
          </w:p>
        </w:tc>
        <w:tc>
          <w:tcPr>
            <w:tcW w:w="1138" w:type="dxa"/>
            <w:hideMark/>
          </w:tcPr>
          <w:p w14:paraId="2F39E3B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10,940</w:t>
            </w:r>
          </w:p>
        </w:tc>
        <w:tc>
          <w:tcPr>
            <w:tcW w:w="1196" w:type="dxa"/>
            <w:noWrap/>
            <w:hideMark/>
          </w:tcPr>
          <w:p w14:paraId="5AE1B46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783,503</w:t>
            </w:r>
          </w:p>
        </w:tc>
      </w:tr>
      <w:tr w:rsidR="001D508A" w14:paraId="32D527E5"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714A8344" w14:textId="77777777" w:rsidR="001D508A" w:rsidRDefault="001D508A" w:rsidP="001D508A">
            <w:pPr>
              <w:keepNext/>
              <w:spacing w:line="256" w:lineRule="auto"/>
              <w:rPr>
                <w:color w:val="000000"/>
                <w:lang w:eastAsia="en-GB"/>
              </w:rPr>
            </w:pPr>
            <w:r>
              <w:rPr>
                <w:color w:val="000000"/>
                <w:lang w:eastAsia="en-GB"/>
              </w:rPr>
              <w:t xml:space="preserve">2011 </w:t>
            </w:r>
          </w:p>
        </w:tc>
        <w:tc>
          <w:tcPr>
            <w:tcW w:w="1196" w:type="dxa"/>
            <w:noWrap/>
            <w:hideMark/>
          </w:tcPr>
          <w:p w14:paraId="529AB61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783,503</w:t>
            </w:r>
          </w:p>
        </w:tc>
        <w:tc>
          <w:tcPr>
            <w:tcW w:w="992" w:type="dxa"/>
            <w:noWrap/>
            <w:hideMark/>
          </w:tcPr>
          <w:p w14:paraId="1447BFD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3,714</w:t>
            </w:r>
          </w:p>
        </w:tc>
        <w:tc>
          <w:tcPr>
            <w:tcW w:w="995" w:type="dxa"/>
            <w:noWrap/>
            <w:hideMark/>
          </w:tcPr>
          <w:p w14:paraId="1F9637E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1,785</w:t>
            </w:r>
          </w:p>
        </w:tc>
        <w:tc>
          <w:tcPr>
            <w:tcW w:w="1291" w:type="dxa"/>
            <w:noWrap/>
            <w:hideMark/>
          </w:tcPr>
          <w:p w14:paraId="60EC3CC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2,715</w:t>
            </w:r>
          </w:p>
        </w:tc>
        <w:tc>
          <w:tcPr>
            <w:tcW w:w="995" w:type="dxa"/>
            <w:noWrap/>
            <w:hideMark/>
          </w:tcPr>
          <w:p w14:paraId="61E3F17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2,076</w:t>
            </w:r>
          </w:p>
        </w:tc>
        <w:tc>
          <w:tcPr>
            <w:tcW w:w="1138" w:type="dxa"/>
            <w:hideMark/>
          </w:tcPr>
          <w:p w14:paraId="00B40A6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10,290</w:t>
            </w:r>
          </w:p>
        </w:tc>
        <w:tc>
          <w:tcPr>
            <w:tcW w:w="1196" w:type="dxa"/>
            <w:noWrap/>
            <w:hideMark/>
          </w:tcPr>
          <w:p w14:paraId="1600AC0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793,793</w:t>
            </w:r>
          </w:p>
        </w:tc>
      </w:tr>
      <w:tr w:rsidR="001D508A" w14:paraId="0473ED80" w14:textId="77777777" w:rsidTr="004F4BA7">
        <w:trPr>
          <w:trHeight w:val="313"/>
        </w:trPr>
        <w:tc>
          <w:tcPr>
            <w:cnfStyle w:val="001000000000" w:firstRow="0" w:lastRow="0" w:firstColumn="1" w:lastColumn="0" w:oddVBand="0" w:evenVBand="0" w:oddHBand="0" w:evenHBand="0" w:firstRowFirstColumn="0" w:firstRowLastColumn="0" w:lastRowFirstColumn="0" w:lastRowLastColumn="0"/>
            <w:tcW w:w="725" w:type="dxa"/>
            <w:noWrap/>
            <w:hideMark/>
          </w:tcPr>
          <w:p w14:paraId="366851DF" w14:textId="77777777" w:rsidR="001D508A" w:rsidRDefault="001D508A" w:rsidP="001D508A">
            <w:pPr>
              <w:keepNext/>
              <w:spacing w:line="256" w:lineRule="auto"/>
              <w:rPr>
                <w:color w:val="000000"/>
                <w:lang w:eastAsia="en-GB"/>
              </w:rPr>
            </w:pPr>
            <w:r>
              <w:rPr>
                <w:color w:val="000000"/>
                <w:lang w:eastAsia="en-GB"/>
              </w:rPr>
              <w:t xml:space="preserve">2012 </w:t>
            </w:r>
          </w:p>
        </w:tc>
        <w:tc>
          <w:tcPr>
            <w:tcW w:w="1196" w:type="dxa"/>
            <w:noWrap/>
            <w:hideMark/>
          </w:tcPr>
          <w:p w14:paraId="5B19B9C1"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793,793</w:t>
            </w:r>
          </w:p>
        </w:tc>
        <w:tc>
          <w:tcPr>
            <w:tcW w:w="992" w:type="dxa"/>
            <w:noWrap/>
            <w:hideMark/>
          </w:tcPr>
          <w:p w14:paraId="04F80C4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3,806</w:t>
            </w:r>
          </w:p>
        </w:tc>
        <w:tc>
          <w:tcPr>
            <w:tcW w:w="995" w:type="dxa"/>
            <w:noWrap/>
            <w:hideMark/>
          </w:tcPr>
          <w:p w14:paraId="3AFB367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1,329</w:t>
            </w:r>
          </w:p>
        </w:tc>
        <w:tc>
          <w:tcPr>
            <w:tcW w:w="1291" w:type="dxa"/>
            <w:noWrap/>
            <w:hideMark/>
          </w:tcPr>
          <w:p w14:paraId="5264473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39</w:t>
            </w:r>
          </w:p>
        </w:tc>
        <w:tc>
          <w:tcPr>
            <w:tcW w:w="995" w:type="dxa"/>
            <w:noWrap/>
            <w:hideMark/>
          </w:tcPr>
          <w:p w14:paraId="6C0C213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-1,591</w:t>
            </w:r>
          </w:p>
        </w:tc>
        <w:tc>
          <w:tcPr>
            <w:tcW w:w="1138" w:type="dxa"/>
            <w:hideMark/>
          </w:tcPr>
          <w:p w14:paraId="2862B22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3,583</w:t>
            </w:r>
          </w:p>
        </w:tc>
        <w:tc>
          <w:tcPr>
            <w:tcW w:w="1196" w:type="dxa"/>
            <w:noWrap/>
            <w:hideMark/>
          </w:tcPr>
          <w:p w14:paraId="6D58D86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797,376</w:t>
            </w:r>
          </w:p>
        </w:tc>
      </w:tr>
      <w:tr w:rsidR="001D508A" w14:paraId="697BED78"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6E6AEC96" w14:textId="77777777" w:rsidR="001D508A" w:rsidRDefault="001D508A" w:rsidP="001D508A">
            <w:pPr>
              <w:keepNext/>
              <w:spacing w:line="256" w:lineRule="auto"/>
              <w:rPr>
                <w:color w:val="000000"/>
                <w:lang w:eastAsia="en-GB"/>
              </w:rPr>
            </w:pPr>
            <w:r>
              <w:rPr>
                <w:color w:val="000000"/>
                <w:lang w:eastAsia="en-GB"/>
              </w:rPr>
              <w:t xml:space="preserve">2013 </w:t>
            </w:r>
          </w:p>
        </w:tc>
        <w:tc>
          <w:tcPr>
            <w:tcW w:w="1196" w:type="dxa"/>
            <w:noWrap/>
            <w:hideMark/>
          </w:tcPr>
          <w:p w14:paraId="1703335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797,376</w:t>
            </w:r>
          </w:p>
        </w:tc>
        <w:tc>
          <w:tcPr>
            <w:tcW w:w="992" w:type="dxa"/>
            <w:noWrap/>
            <w:hideMark/>
          </w:tcPr>
          <w:p w14:paraId="70D4C24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3,237</w:t>
            </w:r>
          </w:p>
        </w:tc>
        <w:tc>
          <w:tcPr>
            <w:tcW w:w="995" w:type="dxa"/>
            <w:noWrap/>
            <w:hideMark/>
          </w:tcPr>
          <w:p w14:paraId="2D2F0B4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1,424</w:t>
            </w:r>
          </w:p>
        </w:tc>
        <w:tc>
          <w:tcPr>
            <w:tcW w:w="1291" w:type="dxa"/>
            <w:noWrap/>
            <w:hideMark/>
          </w:tcPr>
          <w:p w14:paraId="00D117E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1,508</w:t>
            </w:r>
          </w:p>
        </w:tc>
        <w:tc>
          <w:tcPr>
            <w:tcW w:w="995" w:type="dxa"/>
            <w:noWrap/>
            <w:hideMark/>
          </w:tcPr>
          <w:p w14:paraId="708E188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-2,948</w:t>
            </w:r>
          </w:p>
        </w:tc>
        <w:tc>
          <w:tcPr>
            <w:tcW w:w="1138" w:type="dxa"/>
            <w:hideMark/>
          </w:tcPr>
          <w:p w14:paraId="16510F8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3,221</w:t>
            </w:r>
          </w:p>
        </w:tc>
        <w:tc>
          <w:tcPr>
            <w:tcW w:w="1196" w:type="dxa"/>
            <w:noWrap/>
            <w:hideMark/>
          </w:tcPr>
          <w:p w14:paraId="3ECD6A8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800,597</w:t>
            </w:r>
          </w:p>
        </w:tc>
      </w:tr>
      <w:tr w:rsidR="001D508A" w14:paraId="6C7B421F"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5251F22E" w14:textId="77777777" w:rsidR="001D508A" w:rsidRDefault="001D508A" w:rsidP="001D508A">
            <w:pPr>
              <w:keepNext/>
              <w:spacing w:line="256" w:lineRule="auto"/>
              <w:rPr>
                <w:color w:val="000000"/>
                <w:lang w:eastAsia="en-GB"/>
              </w:rPr>
            </w:pPr>
            <w:r>
              <w:rPr>
                <w:color w:val="000000"/>
                <w:lang w:eastAsia="en-GB"/>
              </w:rPr>
              <w:t xml:space="preserve">2014 </w:t>
            </w:r>
          </w:p>
        </w:tc>
        <w:tc>
          <w:tcPr>
            <w:tcW w:w="1196" w:type="dxa"/>
            <w:noWrap/>
            <w:hideMark/>
          </w:tcPr>
          <w:p w14:paraId="2CC4A388"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800,597</w:t>
            </w:r>
          </w:p>
        </w:tc>
        <w:tc>
          <w:tcPr>
            <w:tcW w:w="992" w:type="dxa"/>
            <w:noWrap/>
            <w:hideMark/>
          </w:tcPr>
          <w:p w14:paraId="0EC26390"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3,089</w:t>
            </w:r>
          </w:p>
        </w:tc>
        <w:tc>
          <w:tcPr>
            <w:tcW w:w="995" w:type="dxa"/>
            <w:noWrap/>
            <w:hideMark/>
          </w:tcPr>
          <w:p w14:paraId="527245E8"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978</w:t>
            </w:r>
          </w:p>
        </w:tc>
        <w:tc>
          <w:tcPr>
            <w:tcW w:w="1291" w:type="dxa"/>
            <w:noWrap/>
            <w:hideMark/>
          </w:tcPr>
          <w:p w14:paraId="04F0B0C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2,998</w:t>
            </w:r>
          </w:p>
        </w:tc>
        <w:tc>
          <w:tcPr>
            <w:tcW w:w="995" w:type="dxa"/>
            <w:noWrap/>
            <w:hideMark/>
          </w:tcPr>
          <w:p w14:paraId="20BA471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2,406</w:t>
            </w:r>
          </w:p>
        </w:tc>
        <w:tc>
          <w:tcPr>
            <w:tcW w:w="1138" w:type="dxa"/>
            <w:hideMark/>
          </w:tcPr>
          <w:p w14:paraId="254608C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9,471</w:t>
            </w:r>
          </w:p>
        </w:tc>
        <w:tc>
          <w:tcPr>
            <w:tcW w:w="1196" w:type="dxa"/>
            <w:noWrap/>
            <w:hideMark/>
          </w:tcPr>
          <w:p w14:paraId="0ACCC3A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810,068</w:t>
            </w:r>
          </w:p>
        </w:tc>
      </w:tr>
      <w:tr w:rsidR="001D508A" w14:paraId="24E13B80"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4FA498A5" w14:textId="77777777" w:rsidR="001D508A" w:rsidRDefault="001D508A" w:rsidP="001D508A">
            <w:pPr>
              <w:keepNext/>
              <w:spacing w:line="256" w:lineRule="auto"/>
              <w:rPr>
                <w:color w:val="000000"/>
                <w:lang w:eastAsia="en-GB"/>
              </w:rPr>
            </w:pPr>
            <w:r>
              <w:rPr>
                <w:color w:val="000000"/>
                <w:lang w:eastAsia="en-GB"/>
              </w:rPr>
              <w:t xml:space="preserve">2015 </w:t>
            </w:r>
          </w:p>
        </w:tc>
        <w:tc>
          <w:tcPr>
            <w:tcW w:w="1196" w:type="dxa"/>
            <w:noWrap/>
            <w:hideMark/>
          </w:tcPr>
          <w:p w14:paraId="7880D5AB"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810,068</w:t>
            </w:r>
          </w:p>
        </w:tc>
        <w:tc>
          <w:tcPr>
            <w:tcW w:w="992" w:type="dxa"/>
            <w:noWrap/>
            <w:hideMark/>
          </w:tcPr>
          <w:p w14:paraId="0191F84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2,442</w:t>
            </w:r>
          </w:p>
        </w:tc>
        <w:tc>
          <w:tcPr>
            <w:tcW w:w="995" w:type="dxa"/>
            <w:noWrap/>
            <w:hideMark/>
          </w:tcPr>
          <w:p w14:paraId="57EDCE9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1,087</w:t>
            </w:r>
          </w:p>
        </w:tc>
        <w:tc>
          <w:tcPr>
            <w:tcW w:w="1291" w:type="dxa"/>
            <w:noWrap/>
            <w:hideMark/>
          </w:tcPr>
          <w:p w14:paraId="591C910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3,679</w:t>
            </w:r>
          </w:p>
        </w:tc>
        <w:tc>
          <w:tcPr>
            <w:tcW w:w="995" w:type="dxa"/>
            <w:noWrap/>
            <w:hideMark/>
          </w:tcPr>
          <w:p w14:paraId="37F410E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873</w:t>
            </w:r>
          </w:p>
        </w:tc>
        <w:tc>
          <w:tcPr>
            <w:tcW w:w="1138" w:type="dxa"/>
            <w:hideMark/>
          </w:tcPr>
          <w:p w14:paraId="293A696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8,081</w:t>
            </w:r>
          </w:p>
        </w:tc>
        <w:tc>
          <w:tcPr>
            <w:tcW w:w="1196" w:type="dxa"/>
            <w:noWrap/>
            <w:hideMark/>
          </w:tcPr>
          <w:p w14:paraId="40EB7B2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818,149</w:t>
            </w:r>
          </w:p>
        </w:tc>
      </w:tr>
      <w:tr w:rsidR="001D508A" w14:paraId="05A0B741"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6FB46248" w14:textId="77777777" w:rsidR="001D508A" w:rsidRDefault="001D508A" w:rsidP="001D508A">
            <w:pPr>
              <w:keepNext/>
              <w:spacing w:line="256" w:lineRule="auto"/>
              <w:rPr>
                <w:color w:val="000000"/>
                <w:lang w:eastAsia="en-GB"/>
              </w:rPr>
            </w:pPr>
            <w:r>
              <w:rPr>
                <w:color w:val="000000"/>
                <w:lang w:eastAsia="en-GB"/>
              </w:rPr>
              <w:t xml:space="preserve">2016 </w:t>
            </w:r>
          </w:p>
        </w:tc>
        <w:tc>
          <w:tcPr>
            <w:tcW w:w="1196" w:type="dxa"/>
            <w:noWrap/>
            <w:hideMark/>
          </w:tcPr>
          <w:p w14:paraId="762B5A9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818,149</w:t>
            </w:r>
          </w:p>
        </w:tc>
        <w:tc>
          <w:tcPr>
            <w:tcW w:w="992" w:type="dxa"/>
            <w:noWrap/>
            <w:hideMark/>
          </w:tcPr>
          <w:p w14:paraId="78403FFA"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2,914</w:t>
            </w:r>
          </w:p>
        </w:tc>
        <w:tc>
          <w:tcPr>
            <w:tcW w:w="995" w:type="dxa"/>
            <w:noWrap/>
            <w:hideMark/>
          </w:tcPr>
          <w:p w14:paraId="53E35F4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233</w:t>
            </w:r>
          </w:p>
        </w:tc>
        <w:tc>
          <w:tcPr>
            <w:tcW w:w="1291" w:type="dxa"/>
            <w:noWrap/>
            <w:hideMark/>
          </w:tcPr>
          <w:p w14:paraId="54CAA0D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1,827</w:t>
            </w:r>
          </w:p>
        </w:tc>
        <w:tc>
          <w:tcPr>
            <w:tcW w:w="995" w:type="dxa"/>
            <w:noWrap/>
            <w:hideMark/>
          </w:tcPr>
          <w:p w14:paraId="7C8A7DC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-1,861</w:t>
            </w:r>
          </w:p>
        </w:tc>
        <w:tc>
          <w:tcPr>
            <w:tcW w:w="1138" w:type="dxa"/>
            <w:hideMark/>
          </w:tcPr>
          <w:p w14:paraId="680905C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3,113</w:t>
            </w:r>
          </w:p>
        </w:tc>
        <w:tc>
          <w:tcPr>
            <w:tcW w:w="1196" w:type="dxa"/>
            <w:noWrap/>
            <w:hideMark/>
          </w:tcPr>
          <w:p w14:paraId="3D306BB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821,262</w:t>
            </w:r>
          </w:p>
        </w:tc>
      </w:tr>
      <w:tr w:rsidR="001D508A" w14:paraId="76D5E405"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01A2EA72" w14:textId="77777777" w:rsidR="001D508A" w:rsidRDefault="001D508A" w:rsidP="001D508A">
            <w:pPr>
              <w:keepNext/>
              <w:spacing w:line="256" w:lineRule="auto"/>
              <w:rPr>
                <w:color w:val="000000"/>
                <w:lang w:eastAsia="en-GB"/>
              </w:rPr>
            </w:pPr>
            <w:r>
              <w:rPr>
                <w:color w:val="000000"/>
                <w:lang w:eastAsia="en-GB"/>
              </w:rPr>
              <w:t xml:space="preserve">2017 </w:t>
            </w:r>
          </w:p>
        </w:tc>
        <w:tc>
          <w:tcPr>
            <w:tcW w:w="1196" w:type="dxa"/>
            <w:noWrap/>
            <w:hideMark/>
          </w:tcPr>
          <w:p w14:paraId="6208C2D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821,262</w:t>
            </w:r>
          </w:p>
        </w:tc>
        <w:tc>
          <w:tcPr>
            <w:tcW w:w="992" w:type="dxa"/>
            <w:noWrap/>
            <w:hideMark/>
          </w:tcPr>
          <w:p w14:paraId="0528CC58"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2,021</w:t>
            </w:r>
          </w:p>
        </w:tc>
        <w:tc>
          <w:tcPr>
            <w:tcW w:w="995" w:type="dxa"/>
            <w:noWrap/>
            <w:hideMark/>
          </w:tcPr>
          <w:p w14:paraId="0933F70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1,218</w:t>
            </w:r>
          </w:p>
        </w:tc>
        <w:tc>
          <w:tcPr>
            <w:tcW w:w="1291" w:type="dxa"/>
            <w:noWrap/>
            <w:hideMark/>
          </w:tcPr>
          <w:p w14:paraId="2999989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1,154</w:t>
            </w:r>
          </w:p>
        </w:tc>
        <w:tc>
          <w:tcPr>
            <w:tcW w:w="995" w:type="dxa"/>
            <w:noWrap/>
            <w:hideMark/>
          </w:tcPr>
          <w:p w14:paraId="047EF3A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1,830</w:t>
            </w:r>
          </w:p>
        </w:tc>
        <w:tc>
          <w:tcPr>
            <w:tcW w:w="1138" w:type="dxa"/>
            <w:hideMark/>
          </w:tcPr>
          <w:p w14:paraId="1555321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6,223</w:t>
            </w:r>
          </w:p>
        </w:tc>
        <w:tc>
          <w:tcPr>
            <w:tcW w:w="1196" w:type="dxa"/>
            <w:noWrap/>
            <w:hideMark/>
          </w:tcPr>
          <w:p w14:paraId="00707F7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827,485</w:t>
            </w:r>
          </w:p>
        </w:tc>
      </w:tr>
      <w:tr w:rsidR="001D508A" w14:paraId="497C8461"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06998916" w14:textId="77777777" w:rsidR="001D508A" w:rsidRDefault="001D508A" w:rsidP="001D508A">
            <w:pPr>
              <w:keepNext/>
              <w:spacing w:line="256" w:lineRule="auto"/>
              <w:rPr>
                <w:color w:val="000000"/>
                <w:lang w:eastAsia="en-GB"/>
              </w:rPr>
            </w:pPr>
            <w:r>
              <w:rPr>
                <w:color w:val="000000"/>
                <w:lang w:eastAsia="en-GB"/>
              </w:rPr>
              <w:t xml:space="preserve">2018 </w:t>
            </w:r>
          </w:p>
        </w:tc>
        <w:tc>
          <w:tcPr>
            <w:tcW w:w="1196" w:type="dxa"/>
            <w:noWrap/>
            <w:hideMark/>
          </w:tcPr>
          <w:p w14:paraId="4B2CB3F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827,485</w:t>
            </w:r>
          </w:p>
        </w:tc>
        <w:tc>
          <w:tcPr>
            <w:tcW w:w="992" w:type="dxa"/>
            <w:noWrap/>
            <w:hideMark/>
          </w:tcPr>
          <w:p w14:paraId="0D019DB9"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1,774</w:t>
            </w:r>
          </w:p>
        </w:tc>
        <w:tc>
          <w:tcPr>
            <w:tcW w:w="995" w:type="dxa"/>
            <w:noWrap/>
            <w:hideMark/>
          </w:tcPr>
          <w:p w14:paraId="120C6726"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575</w:t>
            </w:r>
          </w:p>
        </w:tc>
        <w:tc>
          <w:tcPr>
            <w:tcW w:w="1291" w:type="dxa"/>
            <w:noWrap/>
            <w:hideMark/>
          </w:tcPr>
          <w:p w14:paraId="00DDE557"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863</w:t>
            </w:r>
          </w:p>
        </w:tc>
        <w:tc>
          <w:tcPr>
            <w:tcW w:w="995" w:type="dxa"/>
            <w:noWrap/>
            <w:hideMark/>
          </w:tcPr>
          <w:p w14:paraId="5BB3E77C"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-334</w:t>
            </w:r>
          </w:p>
        </w:tc>
        <w:tc>
          <w:tcPr>
            <w:tcW w:w="1138" w:type="dxa"/>
            <w:hideMark/>
          </w:tcPr>
          <w:p w14:paraId="1FC478AF"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2,878</w:t>
            </w:r>
          </w:p>
        </w:tc>
        <w:tc>
          <w:tcPr>
            <w:tcW w:w="1196" w:type="dxa"/>
            <w:noWrap/>
            <w:hideMark/>
          </w:tcPr>
          <w:p w14:paraId="4F56A172"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830,363</w:t>
            </w:r>
          </w:p>
        </w:tc>
      </w:tr>
      <w:tr w:rsidR="001D508A" w14:paraId="496E6363"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725" w:type="dxa"/>
            <w:noWrap/>
            <w:hideMark/>
          </w:tcPr>
          <w:p w14:paraId="48EF61A4" w14:textId="77777777" w:rsidR="001D508A" w:rsidRDefault="001D508A" w:rsidP="001D508A">
            <w:pPr>
              <w:keepNext/>
              <w:spacing w:line="256" w:lineRule="auto"/>
              <w:rPr>
                <w:color w:val="000000"/>
                <w:lang w:eastAsia="en-GB"/>
              </w:rPr>
            </w:pPr>
            <w:r>
              <w:rPr>
                <w:color w:val="000000"/>
                <w:lang w:eastAsia="en-GB"/>
              </w:rPr>
              <w:t>2019</w:t>
            </w:r>
          </w:p>
        </w:tc>
        <w:tc>
          <w:tcPr>
            <w:tcW w:w="1196" w:type="dxa"/>
            <w:noWrap/>
            <w:hideMark/>
          </w:tcPr>
          <w:p w14:paraId="2281B9B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830,363</w:t>
            </w:r>
          </w:p>
        </w:tc>
        <w:tc>
          <w:tcPr>
            <w:tcW w:w="992" w:type="dxa"/>
            <w:noWrap/>
            <w:hideMark/>
          </w:tcPr>
          <w:p w14:paraId="65BE0229"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1,729</w:t>
            </w:r>
          </w:p>
        </w:tc>
        <w:tc>
          <w:tcPr>
            <w:tcW w:w="995" w:type="dxa"/>
            <w:noWrap/>
            <w:hideMark/>
          </w:tcPr>
          <w:p w14:paraId="4565BB95"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705</w:t>
            </w:r>
          </w:p>
        </w:tc>
        <w:tc>
          <w:tcPr>
            <w:tcW w:w="1291" w:type="dxa"/>
            <w:noWrap/>
            <w:hideMark/>
          </w:tcPr>
          <w:p w14:paraId="6ADA110D"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-115</w:t>
            </w:r>
          </w:p>
        </w:tc>
        <w:tc>
          <w:tcPr>
            <w:tcW w:w="995" w:type="dxa"/>
            <w:noWrap/>
            <w:hideMark/>
          </w:tcPr>
          <w:p w14:paraId="4ACD1C54"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-100</w:t>
            </w:r>
          </w:p>
        </w:tc>
        <w:tc>
          <w:tcPr>
            <w:tcW w:w="1138" w:type="dxa"/>
            <w:hideMark/>
          </w:tcPr>
          <w:p w14:paraId="39C49F0E"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2,219</w:t>
            </w:r>
          </w:p>
        </w:tc>
        <w:tc>
          <w:tcPr>
            <w:tcW w:w="1196" w:type="dxa"/>
            <w:noWrap/>
            <w:hideMark/>
          </w:tcPr>
          <w:p w14:paraId="47169C13" w14:textId="77777777" w:rsidR="001D508A" w:rsidRDefault="001D508A" w:rsidP="001D508A">
            <w:pPr>
              <w:keepNext/>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832,582</w:t>
            </w:r>
          </w:p>
        </w:tc>
      </w:tr>
    </w:tbl>
    <w:p w14:paraId="2AE7A8AE" w14:textId="77777777" w:rsidR="001D508A" w:rsidRDefault="001D508A" w:rsidP="00B74A73">
      <w:pPr>
        <w:pStyle w:val="11Bodytext"/>
        <w:numPr>
          <w:ilvl w:val="0"/>
          <w:numId w:val="0"/>
        </w:numPr>
        <w:spacing w:before="0" w:line="240" w:lineRule="auto"/>
        <w:ind w:left="794"/>
      </w:pPr>
      <w:r>
        <w:t xml:space="preserve">Source: ONS Mid-Year Population Estimates, Dataset ID: pop, Series ID: ENPOP, 2020  </w:t>
      </w:r>
    </w:p>
    <w:p w14:paraId="143EDB47" w14:textId="76E772B2" w:rsidR="001D508A" w:rsidRDefault="001D508A" w:rsidP="007D0FBF">
      <w:pPr>
        <w:pStyle w:val="11Bodytext"/>
      </w:pPr>
      <w:r>
        <w:t xml:space="preserve">It should also be recognised that there are reporting issues with population estimates. Specifically, this relates to the population in Cambridge and is likely to be as a result of changes to the student population. Chapter </w:t>
      </w:r>
      <w:r w:rsidR="00EA54B1">
        <w:t>5</w:t>
      </w:r>
      <w:r>
        <w:t xml:space="preserve"> of this document includes an examination of these issues in more detail.</w:t>
      </w:r>
    </w:p>
    <w:p w14:paraId="4A6EF1E2" w14:textId="77777777" w:rsidR="001D508A" w:rsidRDefault="001D508A" w:rsidP="007D0FBF">
      <w:pPr>
        <w:pStyle w:val="Heading3"/>
      </w:pPr>
      <w:r>
        <w:t>Household Composition</w:t>
      </w:r>
    </w:p>
    <w:p w14:paraId="1D4242B2" w14:textId="77777777" w:rsidR="001D508A" w:rsidRPr="00526C6E" w:rsidRDefault="001D508A" w:rsidP="007D0FBF">
      <w:pPr>
        <w:pStyle w:val="11Bodytext"/>
        <w:rPr>
          <w:b/>
        </w:rPr>
      </w:pPr>
      <w:r>
        <w:t xml:space="preserve">Data has been collated from the 2011 Census to examine household composition across the HMA. Generally, the breakdown in the HMA follows the national pattern as presented in the figure below. The most common household group in the HMA are couples with no children or non-dependent children which represent around 27% of households in the HMA. This is followed by couples with children (21.5%). </w:t>
      </w:r>
    </w:p>
    <w:p w14:paraId="74513260" w14:textId="77777777" w:rsidR="001D508A" w:rsidRDefault="001D508A" w:rsidP="003D5E23">
      <w:pPr>
        <w:pStyle w:val="FigureHeading"/>
      </w:pPr>
      <w:r>
        <w:lastRenderedPageBreak/>
        <w:t xml:space="preserve">Household Composition, HMA and Wider Comparators, 2011 </w:t>
      </w:r>
    </w:p>
    <w:p w14:paraId="6A067639" w14:textId="77777777" w:rsidR="001D508A" w:rsidRDefault="001D508A" w:rsidP="00B74A73">
      <w:pPr>
        <w:pStyle w:val="11Bodytext"/>
        <w:numPr>
          <w:ilvl w:val="0"/>
          <w:numId w:val="0"/>
        </w:numPr>
        <w:spacing w:before="0" w:after="0" w:line="240" w:lineRule="auto"/>
        <w:ind w:left="794"/>
        <w:rPr>
          <w:noProof/>
        </w:rPr>
      </w:pPr>
      <w:r>
        <w:rPr>
          <w:noProof/>
        </w:rPr>
        <w:drawing>
          <wp:inline distT="0" distB="0" distL="0" distR="0" wp14:anchorId="4E939692" wp14:editId="02CE9C34">
            <wp:extent cx="5449824" cy="3825850"/>
            <wp:effectExtent l="0" t="0" r="17780" b="3810"/>
            <wp:docPr id="206" name="Chart 206" descr="Bar chart showing household composition, HMA and Wider comparators, 2011">
              <a:extLst xmlns:a="http://schemas.openxmlformats.org/drawingml/2006/main">
                <a:ext uri="{FF2B5EF4-FFF2-40B4-BE49-F238E27FC236}">
                  <a16:creationId xmlns:a16="http://schemas.microsoft.com/office/drawing/2014/main" id="{E6EA9B6F-516D-4767-BD69-ABC4B347D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t xml:space="preserve"> </w:t>
      </w:r>
    </w:p>
    <w:p w14:paraId="14F25189" w14:textId="77777777" w:rsidR="001D508A" w:rsidRDefault="001D508A" w:rsidP="00B74A73">
      <w:pPr>
        <w:pStyle w:val="11Bodytext"/>
        <w:numPr>
          <w:ilvl w:val="0"/>
          <w:numId w:val="0"/>
        </w:numPr>
        <w:spacing w:before="0"/>
        <w:ind w:left="794"/>
      </w:pPr>
      <w:r>
        <w:rPr>
          <w:rStyle w:val="11BodytextChar"/>
        </w:rPr>
        <w:t>Source: Census 2011, KS105EW</w:t>
      </w:r>
    </w:p>
    <w:p w14:paraId="2F2EACAB" w14:textId="77777777" w:rsidR="001D508A" w:rsidRDefault="001D508A" w:rsidP="007D0FBF">
      <w:pPr>
        <w:pStyle w:val="11Bodytext"/>
      </w:pPr>
      <w:r>
        <w:t>Across the different authorities, the data reflects the urban or rural nature of each area as well as the influence of the Universities. For instance, Cambridge has a high percentage of one-person households younger than 65 (23%) compared to both the HMA and the country (18%).</w:t>
      </w:r>
    </w:p>
    <w:p w14:paraId="2CA2E2EE" w14:textId="77777777" w:rsidR="001D508A" w:rsidRDefault="001D508A" w:rsidP="007D0FBF">
      <w:pPr>
        <w:pStyle w:val="11Bodytext"/>
      </w:pPr>
      <w:r>
        <w:t>Conversely, couples with no children or non-dependent children are the second most common household typology in Cambridge (21.5%). This is much lower than the other local authorities where these groups represent between 27% and 29%.</w:t>
      </w:r>
    </w:p>
    <w:p w14:paraId="7FE890E2" w14:textId="7A66AB70" w:rsidR="001D508A" w:rsidRDefault="001D508A" w:rsidP="007D0FBF">
      <w:pPr>
        <w:pStyle w:val="11Bodytext"/>
      </w:pPr>
      <w:r>
        <w:t>As well as the highest percentage of all student households Cambridge also has the highest incidence of “other” households. This is sometimes taken as a proxy for Housing in Multiple Occupation (HMO), but it is defined as any unrelated adults sharing a household space. This again is likely to reflect part-time students but also working professional</w:t>
      </w:r>
      <w:r w:rsidR="00613EAC">
        <w:t>s</w:t>
      </w:r>
      <w:r>
        <w:t xml:space="preserve"> (or a mix of students and non-students) who house share in the City.</w:t>
      </w:r>
    </w:p>
    <w:p w14:paraId="180B38CC" w14:textId="77777777" w:rsidR="001D508A" w:rsidRDefault="001D508A" w:rsidP="007D0FBF">
      <w:pPr>
        <w:pStyle w:val="11Bodytext"/>
      </w:pPr>
      <w:r>
        <w:lastRenderedPageBreak/>
        <w:t xml:space="preserve">At 2.9% West Suffolk has the highest percentage of single-parent families, although the range is narrow across the HMA (2.0-2.9%). In comparison to the region (3.2%) and nationally (3.5%), the percentages are relatively low. </w:t>
      </w:r>
    </w:p>
    <w:p w14:paraId="018EA5FB" w14:textId="77777777" w:rsidR="001D508A" w:rsidRDefault="001D508A" w:rsidP="003D5E23">
      <w:pPr>
        <w:pStyle w:val="FigureHeading"/>
      </w:pPr>
      <w:r>
        <w:t xml:space="preserve">Household Composition, Local Authority Level, 2011 </w:t>
      </w:r>
    </w:p>
    <w:p w14:paraId="588246AE" w14:textId="77777777" w:rsidR="001D508A" w:rsidRDefault="001D508A" w:rsidP="001D508A">
      <w:pPr>
        <w:pStyle w:val="SubheadBlue12"/>
        <w:spacing w:line="240" w:lineRule="auto"/>
        <w:rPr>
          <w:rFonts w:asciiTheme="minorHAnsi" w:hAnsiTheme="minorHAnsi" w:cstheme="minorHAnsi"/>
        </w:rPr>
      </w:pPr>
      <w:r>
        <w:rPr>
          <w:noProof/>
          <w:lang w:eastAsia="en-GB"/>
        </w:rPr>
        <w:drawing>
          <wp:inline distT="0" distB="0" distL="0" distR="0" wp14:anchorId="2E495575" wp14:editId="553770F0">
            <wp:extent cx="5442509" cy="3025140"/>
            <wp:effectExtent l="0" t="0" r="6350" b="3810"/>
            <wp:docPr id="207" name="Chart 207" descr="colour coded bar chart displaying the household composition at the local authority level 2011">
              <a:extLst xmlns:a="http://schemas.openxmlformats.org/drawingml/2006/main">
                <a:ext uri="{FF2B5EF4-FFF2-40B4-BE49-F238E27FC236}">
                  <a16:creationId xmlns:a16="http://schemas.microsoft.com/office/drawing/2014/main" id="{10D78079-82E3-45F9-8C36-006E5F453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DE5968" w14:textId="77777777" w:rsidR="001D508A" w:rsidRDefault="001D508A" w:rsidP="00B74A73">
      <w:pPr>
        <w:pStyle w:val="11Bodytext"/>
        <w:numPr>
          <w:ilvl w:val="0"/>
          <w:numId w:val="0"/>
        </w:numPr>
        <w:spacing w:before="0"/>
        <w:ind w:left="794"/>
      </w:pPr>
      <w:r>
        <w:t>Source: Census 2011, KS105EW</w:t>
      </w:r>
    </w:p>
    <w:p w14:paraId="2518A1B5" w14:textId="77777777" w:rsidR="001D508A" w:rsidRDefault="001D508A" w:rsidP="007D0FBF">
      <w:pPr>
        <w:pStyle w:val="11Bodytext"/>
      </w:pPr>
      <w:r>
        <w:t xml:space="preserve">Couples with dependent children are most common in South Cambridgeshire (25.1%) reflecting the area's role as a family location counteracting the City’s role for single people. As a more rural location, Fenland has the highest percentage of single older persons. </w:t>
      </w:r>
    </w:p>
    <w:p w14:paraId="3D0055B3" w14:textId="7A735E8D" w:rsidR="001D508A" w:rsidRDefault="001D508A" w:rsidP="007D0FBF">
      <w:pPr>
        <w:pStyle w:val="11Bodytext"/>
      </w:pPr>
      <w:r>
        <w:t xml:space="preserve">It is possible to partially update this analysis concerning the 2018-based Household Projections. Although these are broken down into far fewer categories as Table </w:t>
      </w:r>
      <w:r w:rsidR="00EA54B1">
        <w:t>5</w:t>
      </w:r>
      <w:r>
        <w:t xml:space="preserve"> illustrates. </w:t>
      </w:r>
    </w:p>
    <w:p w14:paraId="50E48FAA" w14:textId="77777777" w:rsidR="001D508A" w:rsidRDefault="001D508A" w:rsidP="007D0FBF">
      <w:pPr>
        <w:pStyle w:val="11Bodytext"/>
      </w:pPr>
      <w:r>
        <w:t>In 2018, the most common household type is ‘other household with two or more adults with no dependent children’. This group comprise around 44.5% of all households in the HMA.  This is a greater percentage than in the East of England region (42.3%) and Nationally (41%). At a local authority level, the greatest number of such households are found in West Suffolk and the fewest in Cambridge.</w:t>
      </w:r>
    </w:p>
    <w:p w14:paraId="6B684C37" w14:textId="77777777" w:rsidR="001D508A" w:rsidRDefault="001D508A" w:rsidP="007D0FBF">
      <w:pPr>
        <w:pStyle w:val="11Bodytext"/>
      </w:pPr>
      <w:r>
        <w:lastRenderedPageBreak/>
        <w:t xml:space="preserve">The HMA has a below-average representation of single-person households (28.1%) compared to the regional (29.1%) and national (30.9%) figures. Although at a local authority level Cambridge does exceed the national equivalent (34.2%). </w:t>
      </w:r>
    </w:p>
    <w:p w14:paraId="39D783AB" w14:textId="77777777" w:rsidR="001D508A" w:rsidRDefault="001D508A" w:rsidP="003D5E23">
      <w:pPr>
        <w:pStyle w:val="Tableheading"/>
        <w:numPr>
          <w:ilvl w:val="0"/>
          <w:numId w:val="54"/>
        </w:numPr>
      </w:pPr>
      <w:r>
        <w:t>Households by Type (2018)</w:t>
      </w:r>
    </w:p>
    <w:tbl>
      <w:tblPr>
        <w:tblStyle w:val="TableGridLight1"/>
        <w:tblW w:w="8492" w:type="dxa"/>
        <w:tblInd w:w="846" w:type="dxa"/>
        <w:tblLayout w:type="fixed"/>
        <w:tblLook w:val="04A0" w:firstRow="1" w:lastRow="0" w:firstColumn="1" w:lastColumn="0" w:noHBand="0" w:noVBand="1"/>
      </w:tblPr>
      <w:tblGrid>
        <w:gridCol w:w="1954"/>
        <w:gridCol w:w="1089"/>
        <w:gridCol w:w="1090"/>
        <w:gridCol w:w="1090"/>
        <w:gridCol w:w="1089"/>
        <w:gridCol w:w="1090"/>
        <w:gridCol w:w="1090"/>
      </w:tblGrid>
      <w:tr w:rsidR="00C4126C" w14:paraId="2A29091B" w14:textId="77777777" w:rsidTr="004F4BA7">
        <w:trPr>
          <w:cnfStyle w:val="100000000000" w:firstRow="1" w:lastRow="0" w:firstColumn="0" w:lastColumn="0" w:oddVBand="0" w:evenVBand="0" w:oddHBand="0" w:evenHBand="0" w:firstRowFirstColumn="0" w:firstRowLastColumn="0" w:lastRowFirstColumn="0" w:lastRowLastColumn="0"/>
          <w:cantSplit/>
          <w:trHeight w:val="2110"/>
        </w:trPr>
        <w:tc>
          <w:tcPr>
            <w:cnfStyle w:val="001000000000" w:firstRow="0" w:lastRow="0" w:firstColumn="1" w:lastColumn="0" w:oddVBand="0" w:evenVBand="0" w:oddHBand="0" w:evenHBand="0" w:firstRowFirstColumn="0" w:firstRowLastColumn="0" w:lastRowFirstColumn="0" w:lastRowLastColumn="0"/>
            <w:tcW w:w="1954" w:type="dxa"/>
            <w:noWrap/>
            <w:hideMark/>
          </w:tcPr>
          <w:p w14:paraId="1BE3032D" w14:textId="77777777" w:rsidR="001D508A" w:rsidRPr="00605B15" w:rsidRDefault="001D508A" w:rsidP="001D508A">
            <w:pPr>
              <w:keepNext/>
            </w:pPr>
          </w:p>
        </w:tc>
        <w:tc>
          <w:tcPr>
            <w:tcW w:w="1089" w:type="dxa"/>
            <w:noWrap/>
            <w:textDirection w:val="btLr"/>
            <w:hideMark/>
          </w:tcPr>
          <w:p w14:paraId="6EFD96D5" w14:textId="77777777" w:rsidR="001D508A" w:rsidRPr="00605B15" w:rsidRDefault="001D508A" w:rsidP="004F4BA7">
            <w:pPr>
              <w:keepNext/>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One person households: Male</w:t>
            </w:r>
          </w:p>
        </w:tc>
        <w:tc>
          <w:tcPr>
            <w:tcW w:w="1090" w:type="dxa"/>
            <w:noWrap/>
            <w:textDirection w:val="btLr"/>
            <w:hideMark/>
          </w:tcPr>
          <w:p w14:paraId="11906025" w14:textId="77777777" w:rsidR="001D508A" w:rsidRPr="00605B15" w:rsidRDefault="001D508A" w:rsidP="004F4BA7">
            <w:pPr>
              <w:keepNext/>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One person households: Female</w:t>
            </w:r>
          </w:p>
        </w:tc>
        <w:tc>
          <w:tcPr>
            <w:tcW w:w="1090" w:type="dxa"/>
            <w:noWrap/>
            <w:textDirection w:val="btLr"/>
            <w:hideMark/>
          </w:tcPr>
          <w:p w14:paraId="6AC51B2B" w14:textId="77777777" w:rsidR="001D508A" w:rsidRPr="00605B15" w:rsidRDefault="001D508A" w:rsidP="004F4BA7">
            <w:pPr>
              <w:keepNext/>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Households with one dependent child</w:t>
            </w:r>
          </w:p>
        </w:tc>
        <w:tc>
          <w:tcPr>
            <w:tcW w:w="1089" w:type="dxa"/>
            <w:noWrap/>
            <w:textDirection w:val="btLr"/>
            <w:hideMark/>
          </w:tcPr>
          <w:p w14:paraId="26B03583" w14:textId="77777777" w:rsidR="001D508A" w:rsidRPr="00605B15" w:rsidRDefault="001D508A" w:rsidP="004F4BA7">
            <w:pPr>
              <w:keepNext/>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Households with two dependent children</w:t>
            </w:r>
          </w:p>
        </w:tc>
        <w:tc>
          <w:tcPr>
            <w:tcW w:w="1090" w:type="dxa"/>
            <w:noWrap/>
            <w:textDirection w:val="btLr"/>
            <w:hideMark/>
          </w:tcPr>
          <w:p w14:paraId="5101A3DA" w14:textId="77777777" w:rsidR="001D508A" w:rsidRPr="00605B15" w:rsidRDefault="001D508A" w:rsidP="004F4BA7">
            <w:pPr>
              <w:keepNext/>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Households with three or more dependent children</w:t>
            </w:r>
          </w:p>
        </w:tc>
        <w:tc>
          <w:tcPr>
            <w:tcW w:w="1090" w:type="dxa"/>
            <w:noWrap/>
            <w:textDirection w:val="btLr"/>
            <w:hideMark/>
          </w:tcPr>
          <w:p w14:paraId="46F7C40D" w14:textId="77777777" w:rsidR="001D508A" w:rsidRPr="00605B15" w:rsidRDefault="001D508A" w:rsidP="004F4BA7">
            <w:pPr>
              <w:keepNext/>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605B15">
              <w:rPr>
                <w:lang w:eastAsia="en-GB"/>
              </w:rPr>
              <w:t>Other households with two or more adults</w:t>
            </w:r>
          </w:p>
        </w:tc>
      </w:tr>
      <w:tr w:rsidR="00C4126C" w14:paraId="268D813A"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034F173F" w14:textId="77777777" w:rsidR="001D508A" w:rsidRDefault="001D508A" w:rsidP="001D508A">
            <w:pPr>
              <w:keepNext/>
              <w:rPr>
                <w:color w:val="000000"/>
                <w:lang w:eastAsia="en-GB"/>
              </w:rPr>
            </w:pPr>
            <w:r>
              <w:rPr>
                <w:color w:val="000000"/>
                <w:lang w:eastAsia="en-GB"/>
              </w:rPr>
              <w:t>Cambridge</w:t>
            </w:r>
          </w:p>
        </w:tc>
        <w:tc>
          <w:tcPr>
            <w:tcW w:w="1089" w:type="dxa"/>
            <w:noWrap/>
            <w:hideMark/>
          </w:tcPr>
          <w:p w14:paraId="0C3B757A"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16.9%</w:t>
            </w:r>
          </w:p>
        </w:tc>
        <w:tc>
          <w:tcPr>
            <w:tcW w:w="1090" w:type="dxa"/>
            <w:noWrap/>
            <w:hideMark/>
          </w:tcPr>
          <w:p w14:paraId="60167587"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17.3%</w:t>
            </w:r>
          </w:p>
        </w:tc>
        <w:tc>
          <w:tcPr>
            <w:tcW w:w="1090" w:type="dxa"/>
            <w:noWrap/>
            <w:hideMark/>
          </w:tcPr>
          <w:p w14:paraId="58A7B351"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10.9%</w:t>
            </w:r>
          </w:p>
        </w:tc>
        <w:tc>
          <w:tcPr>
            <w:tcW w:w="1089" w:type="dxa"/>
            <w:noWrap/>
            <w:hideMark/>
          </w:tcPr>
          <w:p w14:paraId="349721F0"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8.7%</w:t>
            </w:r>
          </w:p>
        </w:tc>
        <w:tc>
          <w:tcPr>
            <w:tcW w:w="1090" w:type="dxa"/>
            <w:noWrap/>
            <w:hideMark/>
          </w:tcPr>
          <w:p w14:paraId="24FDC32A"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3.4%</w:t>
            </w:r>
          </w:p>
        </w:tc>
        <w:tc>
          <w:tcPr>
            <w:tcW w:w="1090" w:type="dxa"/>
            <w:noWrap/>
            <w:hideMark/>
          </w:tcPr>
          <w:p w14:paraId="3634E6F8"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42.8%</w:t>
            </w:r>
          </w:p>
        </w:tc>
      </w:tr>
      <w:tr w:rsidR="00C4126C" w14:paraId="146006D2"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1DA34C57" w14:textId="77777777" w:rsidR="001D508A" w:rsidRDefault="001D508A" w:rsidP="001D508A">
            <w:pPr>
              <w:keepNext/>
              <w:rPr>
                <w:color w:val="000000"/>
                <w:lang w:eastAsia="en-GB"/>
              </w:rPr>
            </w:pPr>
            <w:r>
              <w:rPr>
                <w:color w:val="000000"/>
                <w:lang w:eastAsia="en-GB"/>
              </w:rPr>
              <w:t>East Cambridgeshire</w:t>
            </w:r>
          </w:p>
        </w:tc>
        <w:tc>
          <w:tcPr>
            <w:tcW w:w="1089" w:type="dxa"/>
            <w:noWrap/>
            <w:hideMark/>
          </w:tcPr>
          <w:p w14:paraId="1CB456E9"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11.6%</w:t>
            </w:r>
          </w:p>
        </w:tc>
        <w:tc>
          <w:tcPr>
            <w:tcW w:w="1090" w:type="dxa"/>
            <w:noWrap/>
            <w:hideMark/>
          </w:tcPr>
          <w:p w14:paraId="4D76F00D"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15.7%</w:t>
            </w:r>
          </w:p>
        </w:tc>
        <w:tc>
          <w:tcPr>
            <w:tcW w:w="1090" w:type="dxa"/>
            <w:noWrap/>
            <w:hideMark/>
          </w:tcPr>
          <w:p w14:paraId="66E40088"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12.8%</w:t>
            </w:r>
          </w:p>
        </w:tc>
        <w:tc>
          <w:tcPr>
            <w:tcW w:w="1089" w:type="dxa"/>
            <w:noWrap/>
            <w:hideMark/>
          </w:tcPr>
          <w:p w14:paraId="53F54B21"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11.8%</w:t>
            </w:r>
          </w:p>
        </w:tc>
        <w:tc>
          <w:tcPr>
            <w:tcW w:w="1090" w:type="dxa"/>
            <w:noWrap/>
            <w:hideMark/>
          </w:tcPr>
          <w:p w14:paraId="04501625"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3.8%</w:t>
            </w:r>
          </w:p>
        </w:tc>
        <w:tc>
          <w:tcPr>
            <w:tcW w:w="1090" w:type="dxa"/>
            <w:noWrap/>
            <w:hideMark/>
          </w:tcPr>
          <w:p w14:paraId="0F6E452A"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44.2%</w:t>
            </w:r>
          </w:p>
        </w:tc>
      </w:tr>
      <w:tr w:rsidR="00C4126C" w14:paraId="34E877CB"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42F2605C" w14:textId="77777777" w:rsidR="001D508A" w:rsidRDefault="001D508A" w:rsidP="001D508A">
            <w:pPr>
              <w:keepNext/>
              <w:rPr>
                <w:color w:val="000000"/>
                <w:lang w:eastAsia="en-GB"/>
              </w:rPr>
            </w:pPr>
            <w:r>
              <w:rPr>
                <w:color w:val="000000"/>
                <w:lang w:eastAsia="en-GB"/>
              </w:rPr>
              <w:t>Fenland</w:t>
            </w:r>
          </w:p>
        </w:tc>
        <w:tc>
          <w:tcPr>
            <w:tcW w:w="1089" w:type="dxa"/>
            <w:noWrap/>
            <w:hideMark/>
          </w:tcPr>
          <w:p w14:paraId="67677A7E"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13.8%</w:t>
            </w:r>
          </w:p>
        </w:tc>
        <w:tc>
          <w:tcPr>
            <w:tcW w:w="1090" w:type="dxa"/>
            <w:noWrap/>
            <w:hideMark/>
          </w:tcPr>
          <w:p w14:paraId="07D32226"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15.9%</w:t>
            </w:r>
          </w:p>
        </w:tc>
        <w:tc>
          <w:tcPr>
            <w:tcW w:w="1090" w:type="dxa"/>
            <w:noWrap/>
            <w:hideMark/>
          </w:tcPr>
          <w:p w14:paraId="49D1AE45"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12.7%</w:t>
            </w:r>
          </w:p>
        </w:tc>
        <w:tc>
          <w:tcPr>
            <w:tcW w:w="1089" w:type="dxa"/>
            <w:noWrap/>
            <w:hideMark/>
          </w:tcPr>
          <w:p w14:paraId="0C177C30"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9.4%</w:t>
            </w:r>
          </w:p>
        </w:tc>
        <w:tc>
          <w:tcPr>
            <w:tcW w:w="1090" w:type="dxa"/>
            <w:noWrap/>
            <w:hideMark/>
          </w:tcPr>
          <w:p w14:paraId="7C03FF39"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3.9%</w:t>
            </w:r>
          </w:p>
        </w:tc>
        <w:tc>
          <w:tcPr>
            <w:tcW w:w="1090" w:type="dxa"/>
            <w:noWrap/>
            <w:hideMark/>
          </w:tcPr>
          <w:p w14:paraId="406319FB"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44.3%</w:t>
            </w:r>
          </w:p>
        </w:tc>
      </w:tr>
      <w:tr w:rsidR="00C4126C" w14:paraId="208E66BB"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554876C5" w14:textId="77777777" w:rsidR="001D508A" w:rsidRDefault="001D508A" w:rsidP="001D508A">
            <w:pPr>
              <w:keepNext/>
              <w:rPr>
                <w:color w:val="000000"/>
                <w:lang w:eastAsia="en-GB"/>
              </w:rPr>
            </w:pPr>
            <w:r>
              <w:rPr>
                <w:color w:val="000000"/>
                <w:lang w:eastAsia="en-GB"/>
              </w:rPr>
              <w:t>Huntingdonshire</w:t>
            </w:r>
          </w:p>
        </w:tc>
        <w:tc>
          <w:tcPr>
            <w:tcW w:w="1089" w:type="dxa"/>
            <w:noWrap/>
            <w:hideMark/>
          </w:tcPr>
          <w:p w14:paraId="58013D1B"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12.3%</w:t>
            </w:r>
          </w:p>
        </w:tc>
        <w:tc>
          <w:tcPr>
            <w:tcW w:w="1090" w:type="dxa"/>
            <w:noWrap/>
            <w:hideMark/>
          </w:tcPr>
          <w:p w14:paraId="429210F8"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14.5%</w:t>
            </w:r>
          </w:p>
        </w:tc>
        <w:tc>
          <w:tcPr>
            <w:tcW w:w="1090" w:type="dxa"/>
            <w:noWrap/>
            <w:hideMark/>
          </w:tcPr>
          <w:p w14:paraId="78A1E3F7"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12.6%</w:t>
            </w:r>
          </w:p>
        </w:tc>
        <w:tc>
          <w:tcPr>
            <w:tcW w:w="1089" w:type="dxa"/>
            <w:noWrap/>
            <w:hideMark/>
          </w:tcPr>
          <w:p w14:paraId="75B36DD1"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11.5%</w:t>
            </w:r>
          </w:p>
        </w:tc>
        <w:tc>
          <w:tcPr>
            <w:tcW w:w="1090" w:type="dxa"/>
            <w:noWrap/>
            <w:hideMark/>
          </w:tcPr>
          <w:p w14:paraId="7F88EB20"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3.9%</w:t>
            </w:r>
          </w:p>
        </w:tc>
        <w:tc>
          <w:tcPr>
            <w:tcW w:w="1090" w:type="dxa"/>
            <w:noWrap/>
            <w:hideMark/>
          </w:tcPr>
          <w:p w14:paraId="42B122BC"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45.2%</w:t>
            </w:r>
          </w:p>
        </w:tc>
      </w:tr>
      <w:tr w:rsidR="00C4126C" w14:paraId="11CCC0A6"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1207E502" w14:textId="77777777" w:rsidR="001D508A" w:rsidRDefault="001D508A" w:rsidP="001D508A">
            <w:pPr>
              <w:keepNext/>
              <w:rPr>
                <w:color w:val="000000"/>
                <w:lang w:eastAsia="en-GB"/>
              </w:rPr>
            </w:pPr>
            <w:r>
              <w:rPr>
                <w:color w:val="000000"/>
                <w:lang w:eastAsia="en-GB"/>
              </w:rPr>
              <w:t>South Cambridgeshire</w:t>
            </w:r>
          </w:p>
        </w:tc>
        <w:tc>
          <w:tcPr>
            <w:tcW w:w="1089" w:type="dxa"/>
            <w:noWrap/>
            <w:hideMark/>
          </w:tcPr>
          <w:p w14:paraId="53E945BB"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11.2%</w:t>
            </w:r>
          </w:p>
        </w:tc>
        <w:tc>
          <w:tcPr>
            <w:tcW w:w="1090" w:type="dxa"/>
            <w:noWrap/>
            <w:hideMark/>
          </w:tcPr>
          <w:p w14:paraId="37250621"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14.2%</w:t>
            </w:r>
          </w:p>
        </w:tc>
        <w:tc>
          <w:tcPr>
            <w:tcW w:w="1090" w:type="dxa"/>
            <w:noWrap/>
            <w:hideMark/>
          </w:tcPr>
          <w:p w14:paraId="2268E8BF"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12.5%</w:t>
            </w:r>
          </w:p>
        </w:tc>
        <w:tc>
          <w:tcPr>
            <w:tcW w:w="1089" w:type="dxa"/>
            <w:noWrap/>
            <w:hideMark/>
          </w:tcPr>
          <w:p w14:paraId="2DB5A92D"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13.5%</w:t>
            </w:r>
          </w:p>
        </w:tc>
        <w:tc>
          <w:tcPr>
            <w:tcW w:w="1090" w:type="dxa"/>
            <w:noWrap/>
            <w:hideMark/>
          </w:tcPr>
          <w:p w14:paraId="2D27E942"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4.5%</w:t>
            </w:r>
          </w:p>
        </w:tc>
        <w:tc>
          <w:tcPr>
            <w:tcW w:w="1090" w:type="dxa"/>
            <w:noWrap/>
            <w:hideMark/>
          </w:tcPr>
          <w:p w14:paraId="6F2C4E82"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44.1%</w:t>
            </w:r>
          </w:p>
        </w:tc>
      </w:tr>
      <w:tr w:rsidR="00C4126C" w14:paraId="7F8E15C6"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770757AC" w14:textId="77777777" w:rsidR="001D508A" w:rsidRDefault="001D508A" w:rsidP="001D508A">
            <w:pPr>
              <w:keepNext/>
              <w:rPr>
                <w:color w:val="000000"/>
                <w:lang w:eastAsia="en-GB"/>
              </w:rPr>
            </w:pPr>
            <w:r>
              <w:rPr>
                <w:color w:val="000000"/>
                <w:lang w:eastAsia="en-GB"/>
              </w:rPr>
              <w:t>West Suffolk</w:t>
            </w:r>
          </w:p>
        </w:tc>
        <w:tc>
          <w:tcPr>
            <w:tcW w:w="1089" w:type="dxa"/>
            <w:noWrap/>
            <w:hideMark/>
          </w:tcPr>
          <w:p w14:paraId="6FBB6A9A"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12.9%</w:t>
            </w:r>
          </w:p>
        </w:tc>
        <w:tc>
          <w:tcPr>
            <w:tcW w:w="1090" w:type="dxa"/>
            <w:noWrap/>
            <w:hideMark/>
          </w:tcPr>
          <w:p w14:paraId="03F57F60"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14.6%</w:t>
            </w:r>
          </w:p>
        </w:tc>
        <w:tc>
          <w:tcPr>
            <w:tcW w:w="1090" w:type="dxa"/>
            <w:noWrap/>
            <w:hideMark/>
          </w:tcPr>
          <w:p w14:paraId="7C2428DD"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13.0%</w:t>
            </w:r>
          </w:p>
        </w:tc>
        <w:tc>
          <w:tcPr>
            <w:tcW w:w="1089" w:type="dxa"/>
            <w:noWrap/>
            <w:hideMark/>
          </w:tcPr>
          <w:p w14:paraId="12409FD2"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10.1%</w:t>
            </w:r>
          </w:p>
        </w:tc>
        <w:tc>
          <w:tcPr>
            <w:tcW w:w="1090" w:type="dxa"/>
            <w:noWrap/>
            <w:hideMark/>
          </w:tcPr>
          <w:p w14:paraId="544006BE"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4.1%</w:t>
            </w:r>
          </w:p>
        </w:tc>
        <w:tc>
          <w:tcPr>
            <w:tcW w:w="1090" w:type="dxa"/>
            <w:noWrap/>
            <w:hideMark/>
          </w:tcPr>
          <w:p w14:paraId="374F7D7E"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45.3%</w:t>
            </w:r>
          </w:p>
        </w:tc>
      </w:tr>
      <w:tr w:rsidR="00C4126C" w14:paraId="7B0F8730"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08E64651" w14:textId="77777777" w:rsidR="001D508A" w:rsidRPr="004F4BA7" w:rsidRDefault="001D508A" w:rsidP="001D508A">
            <w:pPr>
              <w:keepNext/>
              <w:rPr>
                <w:b/>
                <w:bCs/>
                <w:color w:val="000000"/>
                <w:lang w:eastAsia="en-GB"/>
              </w:rPr>
            </w:pPr>
            <w:r w:rsidRPr="004F4BA7">
              <w:rPr>
                <w:b/>
                <w:bCs/>
                <w:color w:val="000000"/>
                <w:lang w:eastAsia="en-GB"/>
              </w:rPr>
              <w:t>HMA</w:t>
            </w:r>
          </w:p>
        </w:tc>
        <w:tc>
          <w:tcPr>
            <w:tcW w:w="1089" w:type="dxa"/>
            <w:noWrap/>
            <w:hideMark/>
          </w:tcPr>
          <w:p w14:paraId="05244ECC" w14:textId="77777777" w:rsidR="001D508A" w:rsidRPr="004F4BA7" w:rsidRDefault="001D508A" w:rsidP="001D508A">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12.9%</w:t>
            </w:r>
          </w:p>
        </w:tc>
        <w:tc>
          <w:tcPr>
            <w:tcW w:w="1090" w:type="dxa"/>
            <w:noWrap/>
            <w:hideMark/>
          </w:tcPr>
          <w:p w14:paraId="5CEF9284" w14:textId="77777777" w:rsidR="001D508A" w:rsidRPr="004F4BA7" w:rsidRDefault="001D508A" w:rsidP="001D508A">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15.2%</w:t>
            </w:r>
          </w:p>
        </w:tc>
        <w:tc>
          <w:tcPr>
            <w:tcW w:w="1090" w:type="dxa"/>
            <w:noWrap/>
            <w:hideMark/>
          </w:tcPr>
          <w:p w14:paraId="6DD4CACF" w14:textId="77777777" w:rsidR="001D508A" w:rsidRPr="004F4BA7" w:rsidRDefault="001D508A" w:rsidP="001D508A">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12.5%</w:t>
            </w:r>
          </w:p>
        </w:tc>
        <w:tc>
          <w:tcPr>
            <w:tcW w:w="1089" w:type="dxa"/>
            <w:noWrap/>
            <w:hideMark/>
          </w:tcPr>
          <w:p w14:paraId="177566E1" w14:textId="77777777" w:rsidR="001D508A" w:rsidRPr="004F4BA7" w:rsidRDefault="001D508A" w:rsidP="001D508A">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11.0%</w:t>
            </w:r>
          </w:p>
        </w:tc>
        <w:tc>
          <w:tcPr>
            <w:tcW w:w="1090" w:type="dxa"/>
            <w:noWrap/>
            <w:hideMark/>
          </w:tcPr>
          <w:p w14:paraId="0DF88D00" w14:textId="77777777" w:rsidR="001D508A" w:rsidRPr="004F4BA7" w:rsidRDefault="001D508A" w:rsidP="001D508A">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4.0%</w:t>
            </w:r>
          </w:p>
        </w:tc>
        <w:tc>
          <w:tcPr>
            <w:tcW w:w="1090" w:type="dxa"/>
            <w:noWrap/>
            <w:hideMark/>
          </w:tcPr>
          <w:p w14:paraId="1345E283" w14:textId="77777777" w:rsidR="001D508A" w:rsidRPr="004F4BA7" w:rsidRDefault="001D508A" w:rsidP="001D508A">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44.5%</w:t>
            </w:r>
          </w:p>
        </w:tc>
      </w:tr>
      <w:tr w:rsidR="00C4126C" w14:paraId="293AE0E4"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1DC24735" w14:textId="77777777" w:rsidR="001D508A" w:rsidRDefault="001D508A" w:rsidP="001D508A">
            <w:pPr>
              <w:keepNext/>
              <w:rPr>
                <w:color w:val="000000"/>
                <w:lang w:eastAsia="en-GB"/>
              </w:rPr>
            </w:pPr>
            <w:r>
              <w:rPr>
                <w:color w:val="000000"/>
                <w:lang w:eastAsia="en-GB"/>
              </w:rPr>
              <w:t>Greater Cambridge</w:t>
            </w:r>
          </w:p>
        </w:tc>
        <w:tc>
          <w:tcPr>
            <w:tcW w:w="1089" w:type="dxa"/>
            <w:noWrap/>
            <w:hideMark/>
          </w:tcPr>
          <w:p w14:paraId="41327F04"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13.5%</w:t>
            </w:r>
          </w:p>
        </w:tc>
        <w:tc>
          <w:tcPr>
            <w:tcW w:w="1090" w:type="dxa"/>
            <w:noWrap/>
            <w:hideMark/>
          </w:tcPr>
          <w:p w14:paraId="493F9039"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15.5%</w:t>
            </w:r>
          </w:p>
        </w:tc>
        <w:tc>
          <w:tcPr>
            <w:tcW w:w="1090" w:type="dxa"/>
            <w:noWrap/>
            <w:hideMark/>
          </w:tcPr>
          <w:p w14:paraId="268CB765"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11.8%</w:t>
            </w:r>
          </w:p>
        </w:tc>
        <w:tc>
          <w:tcPr>
            <w:tcW w:w="1089" w:type="dxa"/>
            <w:noWrap/>
            <w:hideMark/>
          </w:tcPr>
          <w:p w14:paraId="7F646B9D"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11.5%</w:t>
            </w:r>
          </w:p>
        </w:tc>
        <w:tc>
          <w:tcPr>
            <w:tcW w:w="1090" w:type="dxa"/>
            <w:noWrap/>
            <w:hideMark/>
          </w:tcPr>
          <w:p w14:paraId="4A8162A4"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4.0%</w:t>
            </w:r>
          </w:p>
        </w:tc>
        <w:tc>
          <w:tcPr>
            <w:tcW w:w="1090" w:type="dxa"/>
            <w:noWrap/>
            <w:hideMark/>
          </w:tcPr>
          <w:p w14:paraId="60B20A1D"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43.6%</w:t>
            </w:r>
          </w:p>
        </w:tc>
      </w:tr>
      <w:tr w:rsidR="00C4126C" w14:paraId="59353D09"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52D242F3" w14:textId="77777777" w:rsidR="001D508A" w:rsidRDefault="001D508A" w:rsidP="001D508A">
            <w:pPr>
              <w:keepNext/>
              <w:rPr>
                <w:color w:val="000000"/>
                <w:lang w:eastAsia="en-GB"/>
              </w:rPr>
            </w:pPr>
            <w:r>
              <w:rPr>
                <w:color w:val="000000"/>
                <w:lang w:eastAsia="en-GB"/>
              </w:rPr>
              <w:t>East of England</w:t>
            </w:r>
          </w:p>
        </w:tc>
        <w:tc>
          <w:tcPr>
            <w:tcW w:w="1089" w:type="dxa"/>
            <w:noWrap/>
            <w:hideMark/>
          </w:tcPr>
          <w:p w14:paraId="675F3FFD"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13.5%</w:t>
            </w:r>
          </w:p>
        </w:tc>
        <w:tc>
          <w:tcPr>
            <w:tcW w:w="1090" w:type="dxa"/>
            <w:noWrap/>
            <w:hideMark/>
          </w:tcPr>
          <w:p w14:paraId="4C26B356"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15.7%</w:t>
            </w:r>
          </w:p>
        </w:tc>
        <w:tc>
          <w:tcPr>
            <w:tcW w:w="1090" w:type="dxa"/>
            <w:noWrap/>
            <w:hideMark/>
          </w:tcPr>
          <w:p w14:paraId="03BACFB3"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13.0%</w:t>
            </w:r>
          </w:p>
        </w:tc>
        <w:tc>
          <w:tcPr>
            <w:tcW w:w="1089" w:type="dxa"/>
            <w:noWrap/>
            <w:hideMark/>
          </w:tcPr>
          <w:p w14:paraId="30BEB742"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11.2%</w:t>
            </w:r>
          </w:p>
        </w:tc>
        <w:tc>
          <w:tcPr>
            <w:tcW w:w="1090" w:type="dxa"/>
            <w:noWrap/>
            <w:hideMark/>
          </w:tcPr>
          <w:p w14:paraId="1F891F6B"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4.3%</w:t>
            </w:r>
          </w:p>
        </w:tc>
        <w:tc>
          <w:tcPr>
            <w:tcW w:w="1090" w:type="dxa"/>
            <w:noWrap/>
            <w:hideMark/>
          </w:tcPr>
          <w:p w14:paraId="6A870770"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42.3%</w:t>
            </w:r>
          </w:p>
        </w:tc>
      </w:tr>
      <w:tr w:rsidR="00C4126C" w14:paraId="46F31E7A"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954" w:type="dxa"/>
            <w:noWrap/>
            <w:hideMark/>
          </w:tcPr>
          <w:p w14:paraId="6A736AF1" w14:textId="77777777" w:rsidR="001D508A" w:rsidRDefault="001D508A" w:rsidP="001D508A">
            <w:pPr>
              <w:keepNext/>
              <w:rPr>
                <w:color w:val="000000"/>
                <w:lang w:eastAsia="en-GB"/>
              </w:rPr>
            </w:pPr>
            <w:r>
              <w:rPr>
                <w:color w:val="000000"/>
                <w:lang w:eastAsia="en-GB"/>
              </w:rPr>
              <w:t>England</w:t>
            </w:r>
          </w:p>
        </w:tc>
        <w:tc>
          <w:tcPr>
            <w:tcW w:w="1089" w:type="dxa"/>
            <w:noWrap/>
            <w:hideMark/>
          </w:tcPr>
          <w:p w14:paraId="68DA963C"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14.9%</w:t>
            </w:r>
          </w:p>
        </w:tc>
        <w:tc>
          <w:tcPr>
            <w:tcW w:w="1090" w:type="dxa"/>
            <w:noWrap/>
            <w:hideMark/>
          </w:tcPr>
          <w:p w14:paraId="24C27136"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16.0%</w:t>
            </w:r>
          </w:p>
        </w:tc>
        <w:tc>
          <w:tcPr>
            <w:tcW w:w="1090" w:type="dxa"/>
            <w:noWrap/>
            <w:hideMark/>
          </w:tcPr>
          <w:p w14:paraId="527DF04B"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13.1%</w:t>
            </w:r>
          </w:p>
        </w:tc>
        <w:tc>
          <w:tcPr>
            <w:tcW w:w="1089" w:type="dxa"/>
            <w:noWrap/>
            <w:hideMark/>
          </w:tcPr>
          <w:p w14:paraId="4478589E"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10.4%</w:t>
            </w:r>
          </w:p>
        </w:tc>
        <w:tc>
          <w:tcPr>
            <w:tcW w:w="1090" w:type="dxa"/>
            <w:noWrap/>
            <w:hideMark/>
          </w:tcPr>
          <w:p w14:paraId="57EC8A67"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4.6%</w:t>
            </w:r>
          </w:p>
        </w:tc>
        <w:tc>
          <w:tcPr>
            <w:tcW w:w="1090" w:type="dxa"/>
            <w:noWrap/>
            <w:hideMark/>
          </w:tcPr>
          <w:p w14:paraId="28866590" w14:textId="77777777" w:rsidR="001D508A" w:rsidRDefault="001D508A" w:rsidP="001D508A">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41.0%</w:t>
            </w:r>
          </w:p>
        </w:tc>
      </w:tr>
    </w:tbl>
    <w:p w14:paraId="77E50E00" w14:textId="1556892F" w:rsidR="001D508A" w:rsidRPr="00B74A73" w:rsidRDefault="001D508A" w:rsidP="00B74A73">
      <w:pPr>
        <w:keepNext/>
        <w:ind w:left="794"/>
        <w:rPr>
          <w:sz w:val="24"/>
          <w:szCs w:val="24"/>
        </w:rPr>
      </w:pPr>
      <w:r w:rsidRPr="00B74A73">
        <w:rPr>
          <w:sz w:val="24"/>
          <w:szCs w:val="24"/>
        </w:rPr>
        <w:t>Source: ONS 2018-based Household Projections, Dataset ID: pop, Series ID: ENPOP, 202</w:t>
      </w:r>
      <w:r w:rsidR="00613EAC" w:rsidRPr="00B74A73">
        <w:rPr>
          <w:sz w:val="24"/>
          <w:szCs w:val="24"/>
        </w:rPr>
        <w:t>0</w:t>
      </w:r>
      <w:r w:rsidRPr="00B74A73">
        <w:rPr>
          <w:sz w:val="24"/>
          <w:szCs w:val="24"/>
        </w:rPr>
        <w:t xml:space="preserve">  </w:t>
      </w:r>
    </w:p>
    <w:p w14:paraId="6D88B90A" w14:textId="2957147B" w:rsidR="00B5173F" w:rsidRDefault="001D508A" w:rsidP="007D0FBF">
      <w:pPr>
        <w:pStyle w:val="11Bodytext"/>
      </w:pPr>
      <w:r>
        <w:t>The HMA also has a smaller representation of households with one or more children (27.4%) compared to the regional (28.5%) and national (28%) figures. Although at a local authority level South and East Cambridgeshire do exceed the national equivalent (30.5% and 28.5% respectively).</w:t>
      </w:r>
    </w:p>
    <w:p w14:paraId="0EE5D0E6" w14:textId="38DA97DC" w:rsidR="00B5173F" w:rsidRDefault="00B5173F">
      <w:pPr>
        <w:spacing w:after="200"/>
        <w:rPr>
          <w:bCs/>
        </w:rPr>
      </w:pPr>
      <w:r>
        <w:rPr>
          <w:bCs/>
        </w:rPr>
        <w:br w:type="page"/>
      </w:r>
    </w:p>
    <w:p w14:paraId="3500A92A" w14:textId="77777777" w:rsidR="00B5173F" w:rsidRPr="00652A2D" w:rsidRDefault="00B5173F" w:rsidP="00B5173F">
      <w:pPr>
        <w:spacing w:after="200"/>
        <w:rPr>
          <w:bCs/>
        </w:rPr>
      </w:pPr>
    </w:p>
    <w:tbl>
      <w:tblPr>
        <w:tblStyle w:val="TableGrid"/>
        <w:tblpPr w:leftFromText="180" w:rightFromText="180" w:vertAnchor="text" w:horzAnchor="margin" w:tblpXSpec="right" w:tblpY="79"/>
        <w:tblW w:w="8808" w:type="dxa"/>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Pr>
      <w:tblGrid>
        <w:gridCol w:w="8808"/>
      </w:tblGrid>
      <w:tr w:rsidR="004B44FB" w:rsidRPr="00CA47B9" w14:paraId="2B59F390" w14:textId="77777777" w:rsidTr="000A484C">
        <w:trPr>
          <w:cantSplit/>
          <w:trHeight w:val="5625"/>
        </w:trPr>
        <w:tc>
          <w:tcPr>
            <w:tcW w:w="8808" w:type="dxa"/>
          </w:tcPr>
          <w:p w14:paraId="170E6B76" w14:textId="3232DFDB" w:rsidR="004B44FB" w:rsidRPr="007D0FBF" w:rsidRDefault="00F00BE4" w:rsidP="007D0FBF">
            <w:pPr>
              <w:ind w:left="426" w:hanging="426"/>
              <w:rPr>
                <w:b/>
                <w:bCs/>
                <w:sz w:val="24"/>
                <w:szCs w:val="24"/>
              </w:rPr>
            </w:pPr>
            <w:bookmarkStart w:id="15" w:name="_Hlk53554396"/>
            <w:r w:rsidRPr="007D0FBF">
              <w:rPr>
                <w:b/>
                <w:bCs/>
                <w:sz w:val="24"/>
                <w:szCs w:val="24"/>
              </w:rPr>
              <w:t>Demographic Profile -</w:t>
            </w:r>
            <w:r w:rsidR="00CA0F24" w:rsidRPr="007D0FBF">
              <w:rPr>
                <w:b/>
                <w:bCs/>
                <w:sz w:val="24"/>
                <w:szCs w:val="24"/>
              </w:rPr>
              <w:t xml:space="preserve"> </w:t>
            </w:r>
            <w:r w:rsidR="003477B6" w:rsidRPr="007D0FBF">
              <w:rPr>
                <w:b/>
                <w:bCs/>
                <w:sz w:val="24"/>
                <w:szCs w:val="24"/>
              </w:rPr>
              <w:t xml:space="preserve">Key Messages </w:t>
            </w:r>
          </w:p>
          <w:p w14:paraId="1F3D422B" w14:textId="77777777" w:rsidR="00F00BE4" w:rsidRDefault="00F00BE4" w:rsidP="00605B15"/>
          <w:p w14:paraId="5ADB7041" w14:textId="42B0D0A1" w:rsidR="001D508A" w:rsidRDefault="001D508A" w:rsidP="00605B15">
            <w:pPr>
              <w:pStyle w:val="10BulletBodytext"/>
            </w:pPr>
            <w:r>
              <w:t>As of mid-2019, the total population of the HMA was 826,600 persons. Since 1991 the population has grown by 26% with an average annual growth rate of 0.8%.</w:t>
            </w:r>
          </w:p>
          <w:p w14:paraId="79AADB22" w14:textId="68E75FC1" w:rsidR="0046148E" w:rsidRDefault="001D508A" w:rsidP="00605B15">
            <w:pPr>
              <w:pStyle w:val="10BulletBodytext"/>
            </w:pPr>
            <w:r>
              <w:t>East Cambridgeshire has seen the most notable population increase since 1991  (47%) followed by Fenland (35%) and then South Cambridgeshire (29%). These figures include significant growth in the 1990s and slower growth since then</w:t>
            </w:r>
            <w:r w:rsidR="00605B15">
              <w:t>.</w:t>
            </w:r>
          </w:p>
          <w:p w14:paraId="36B1E80D" w14:textId="7225362A" w:rsidR="001D508A" w:rsidRDefault="0046148E" w:rsidP="00605B15">
            <w:pPr>
              <w:pStyle w:val="10BulletBodytext"/>
            </w:pPr>
            <w:r>
              <w:t xml:space="preserve">The significant change in population in West Suffolk is partly due to variations in military personnel. </w:t>
            </w:r>
          </w:p>
          <w:p w14:paraId="043A648E" w14:textId="421E06DF" w:rsidR="001D508A" w:rsidRDefault="001D508A" w:rsidP="00605B15">
            <w:pPr>
              <w:pStyle w:val="10BulletBodytext"/>
            </w:pPr>
            <w:r>
              <w:t>The age profile of the HMA is similar to the UK age structure. It is noted that Cambridge has a higher proportion of people aged 20-24 years old which is driven by the Universities and young professional</w:t>
            </w:r>
            <w:r w:rsidR="00613EAC">
              <w:t>s</w:t>
            </w:r>
            <w:r>
              <w:t xml:space="preserve"> living in the city. </w:t>
            </w:r>
          </w:p>
          <w:p w14:paraId="0E134AEF" w14:textId="1CECB74B" w:rsidR="001D508A" w:rsidRDefault="001D508A" w:rsidP="00605B15">
            <w:pPr>
              <w:pStyle w:val="10BulletBodytext"/>
            </w:pPr>
            <w:r>
              <w:t xml:space="preserve">Between 2001 and 2010, the HMA’s population change was consistently positive. Since then, the population growth has fluctuated with some years seeing a fall in population. This has been due to a range of ‘other’ factors such as changes in the military population. </w:t>
            </w:r>
          </w:p>
          <w:p w14:paraId="152E5DC3" w14:textId="77777777" w:rsidR="001D508A" w:rsidRDefault="001D508A" w:rsidP="00097650">
            <w:pPr>
              <w:pStyle w:val="10BulletBodytext"/>
            </w:pPr>
            <w:r>
              <w:t xml:space="preserve">The household composition across the HMA broadly follows the national pattern with couples with no children or non-dependent children being the most common type of household in the HMA (27%), followed by couples with children (21.5%). </w:t>
            </w:r>
          </w:p>
          <w:bookmarkEnd w:id="15"/>
          <w:p w14:paraId="5A87EB47" w14:textId="25AB2866" w:rsidR="00017C40" w:rsidRPr="00CA47B9" w:rsidRDefault="00017C40" w:rsidP="00097650">
            <w:pPr>
              <w:pStyle w:val="10BulletBodytext"/>
              <w:numPr>
                <w:ilvl w:val="0"/>
                <w:numId w:val="0"/>
              </w:numPr>
            </w:pPr>
          </w:p>
        </w:tc>
      </w:tr>
    </w:tbl>
    <w:p w14:paraId="34E19CF3" w14:textId="77777777" w:rsidR="00440B9F" w:rsidRDefault="00440B9F">
      <w:pPr>
        <w:spacing w:after="200"/>
        <w:rPr>
          <w:b/>
          <w:bCs/>
          <w:caps/>
          <w:sz w:val="24"/>
        </w:rPr>
      </w:pPr>
      <w:r>
        <w:br w:type="page"/>
      </w:r>
    </w:p>
    <w:p w14:paraId="4E4EF49D" w14:textId="1C23CBD2" w:rsidR="00BB0B7C" w:rsidRDefault="007D0FBF" w:rsidP="007D0FBF">
      <w:pPr>
        <w:pStyle w:val="Heading1"/>
      </w:pPr>
      <w:bookmarkStart w:id="16" w:name="_Toc79590821"/>
      <w:r>
        <w:lastRenderedPageBreak/>
        <w:t>M</w:t>
      </w:r>
      <w:r w:rsidR="00CD61E2">
        <w:t>arket Signals</w:t>
      </w:r>
      <w:bookmarkEnd w:id="16"/>
    </w:p>
    <w:p w14:paraId="2EFFB57E" w14:textId="501BB754" w:rsidR="007F2ADD" w:rsidRDefault="007F2ADD" w:rsidP="007D0FBF">
      <w:pPr>
        <w:pStyle w:val="11Bodytext"/>
      </w:pPr>
      <w:r>
        <w:t xml:space="preserve">This section of the report provides an overview of key market signals in Cambridgeshire and West Suffolk. The analysis provides a quantitative overview using publicly available datasets along with a qualitative analysis through consultation with local agents. </w:t>
      </w:r>
    </w:p>
    <w:p w14:paraId="22E278CB" w14:textId="71A9EC1F" w:rsidR="007F2ADD" w:rsidRDefault="007F2ADD" w:rsidP="007D0FBF">
      <w:pPr>
        <w:pStyle w:val="11Bodytext"/>
      </w:pPr>
      <w:r>
        <w:t xml:space="preserve">Where possible we have used data from West Suffolk but where the data is not available, we have used an average of </w:t>
      </w:r>
      <w:r w:rsidR="00313287">
        <w:t xml:space="preserve">former Forest Heath </w:t>
      </w:r>
      <w:r>
        <w:t>and St Edmundsbury. Where we have taken an average of the two former districts, we have denoted this with West Suffolk Average.</w:t>
      </w:r>
    </w:p>
    <w:p w14:paraId="6540CB4D" w14:textId="77777777" w:rsidR="007F2ADD" w:rsidRDefault="007F2ADD" w:rsidP="007D0FBF">
      <w:pPr>
        <w:pStyle w:val="Heading2"/>
      </w:pPr>
      <w:r>
        <w:t xml:space="preserve">Land Values </w:t>
      </w:r>
    </w:p>
    <w:p w14:paraId="01C434B9" w14:textId="2E1A31D6" w:rsidR="007F2ADD" w:rsidRDefault="007F2ADD" w:rsidP="007D0FBF">
      <w:pPr>
        <w:pStyle w:val="11Bodytext"/>
      </w:pPr>
      <w:r>
        <w:t xml:space="preserve">The DCLG published a report on residential land value estimates in April 2019, this is the latest available release. As shown in Table </w:t>
      </w:r>
      <w:r w:rsidR="00EA54B1">
        <w:t>6</w:t>
      </w:r>
      <w:r>
        <w:t xml:space="preserve">, the residential land value average in the HMA is £3,118,333 per hectare, which is lower than the regional and national (including London) equivalents but above the national value excluding London. </w:t>
      </w:r>
    </w:p>
    <w:p w14:paraId="5F275853" w14:textId="77777777" w:rsidR="007F2ADD" w:rsidRDefault="007F2ADD" w:rsidP="003D5E23">
      <w:pPr>
        <w:pStyle w:val="Tableheading"/>
        <w:numPr>
          <w:ilvl w:val="0"/>
          <w:numId w:val="54"/>
        </w:numPr>
      </w:pPr>
      <w:r>
        <w:t xml:space="preserve">Residential Land Values, per hectare, April 2019  </w:t>
      </w:r>
    </w:p>
    <w:tbl>
      <w:tblPr>
        <w:tblStyle w:val="TableGridLight1"/>
        <w:tblW w:w="8505" w:type="dxa"/>
        <w:tblInd w:w="846" w:type="dxa"/>
        <w:tblLook w:val="04A0" w:firstRow="1" w:lastRow="0" w:firstColumn="1" w:lastColumn="0" w:noHBand="0" w:noVBand="1"/>
      </w:tblPr>
      <w:tblGrid>
        <w:gridCol w:w="3954"/>
        <w:gridCol w:w="4551"/>
      </w:tblGrid>
      <w:tr w:rsidR="007F2ADD" w14:paraId="7111F3FF" w14:textId="77777777" w:rsidTr="004F4BA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03744E10" w14:textId="77777777" w:rsidR="007F2ADD" w:rsidRPr="00605B15" w:rsidRDefault="007F2ADD" w:rsidP="001D508A">
            <w:pPr>
              <w:pStyle w:val="TableBodytext"/>
              <w:keepNext/>
              <w:spacing w:before="0" w:after="0" w:line="240" w:lineRule="auto"/>
              <w:rPr>
                <w:sz w:val="24"/>
                <w:szCs w:val="24"/>
              </w:rPr>
            </w:pPr>
            <w:r w:rsidRPr="00605B15">
              <w:rPr>
                <w:sz w:val="24"/>
                <w:szCs w:val="24"/>
              </w:rPr>
              <w:t>Area</w:t>
            </w:r>
          </w:p>
        </w:tc>
        <w:tc>
          <w:tcPr>
            <w:tcW w:w="4551" w:type="dxa"/>
            <w:hideMark/>
          </w:tcPr>
          <w:p w14:paraId="1FE36121" w14:textId="77777777" w:rsidR="007F2ADD" w:rsidRPr="00605B15" w:rsidRDefault="007F2ADD" w:rsidP="001D508A">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sidRPr="00605B15">
              <w:rPr>
                <w:sz w:val="24"/>
                <w:szCs w:val="24"/>
              </w:rPr>
              <w:t xml:space="preserve">Land Values, per hectare </w:t>
            </w:r>
          </w:p>
        </w:tc>
      </w:tr>
      <w:tr w:rsidR="007F2ADD" w14:paraId="4449EF5F"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58CA62A4" w14:textId="77777777" w:rsidR="007F2ADD" w:rsidRDefault="007F2ADD" w:rsidP="001D508A">
            <w:pPr>
              <w:keepNext/>
              <w:rPr>
                <w:b/>
                <w:bCs/>
                <w:color w:val="000000"/>
              </w:rPr>
            </w:pPr>
            <w:r>
              <w:rPr>
                <w:color w:val="000000"/>
              </w:rPr>
              <w:t xml:space="preserve">Cambridge </w:t>
            </w:r>
          </w:p>
        </w:tc>
        <w:tc>
          <w:tcPr>
            <w:tcW w:w="4551" w:type="dxa"/>
            <w:hideMark/>
          </w:tcPr>
          <w:p w14:paraId="673701B8"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£6,250,000</w:t>
            </w:r>
          </w:p>
        </w:tc>
      </w:tr>
      <w:tr w:rsidR="007F2ADD" w14:paraId="3B5D7A03"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6370EF31" w14:textId="77777777" w:rsidR="007F2ADD" w:rsidRDefault="007F2ADD" w:rsidP="001D508A">
            <w:pPr>
              <w:keepNext/>
              <w:rPr>
                <w:b/>
                <w:bCs/>
                <w:color w:val="000000"/>
              </w:rPr>
            </w:pPr>
            <w:r>
              <w:rPr>
                <w:color w:val="000000"/>
              </w:rPr>
              <w:t>East Cambridgeshire</w:t>
            </w:r>
          </w:p>
        </w:tc>
        <w:tc>
          <w:tcPr>
            <w:tcW w:w="4551" w:type="dxa"/>
            <w:hideMark/>
          </w:tcPr>
          <w:p w14:paraId="7E952947"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£2,300,000</w:t>
            </w:r>
          </w:p>
        </w:tc>
      </w:tr>
      <w:tr w:rsidR="007F2ADD" w14:paraId="4ADCE1EB"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0C1E8A41" w14:textId="77777777" w:rsidR="007F2ADD" w:rsidRDefault="007F2ADD" w:rsidP="001D508A">
            <w:pPr>
              <w:keepNext/>
              <w:rPr>
                <w:b/>
                <w:bCs/>
                <w:color w:val="000000"/>
              </w:rPr>
            </w:pPr>
            <w:r>
              <w:rPr>
                <w:color w:val="000000"/>
              </w:rPr>
              <w:t xml:space="preserve">Fenland </w:t>
            </w:r>
          </w:p>
        </w:tc>
        <w:tc>
          <w:tcPr>
            <w:tcW w:w="4551" w:type="dxa"/>
            <w:hideMark/>
          </w:tcPr>
          <w:p w14:paraId="0AAA85D5"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£370,000</w:t>
            </w:r>
          </w:p>
        </w:tc>
      </w:tr>
      <w:tr w:rsidR="007F2ADD" w14:paraId="77EFBD29"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16D3CE4A" w14:textId="77777777" w:rsidR="007F2ADD" w:rsidRDefault="007F2ADD" w:rsidP="001D508A">
            <w:pPr>
              <w:keepNext/>
              <w:rPr>
                <w:b/>
                <w:bCs/>
                <w:color w:val="000000"/>
              </w:rPr>
            </w:pPr>
            <w:r>
              <w:t>Huntingdonshire</w:t>
            </w:r>
          </w:p>
        </w:tc>
        <w:tc>
          <w:tcPr>
            <w:tcW w:w="4551" w:type="dxa"/>
            <w:hideMark/>
          </w:tcPr>
          <w:p w14:paraId="569D9F29"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£2,700,000</w:t>
            </w:r>
          </w:p>
        </w:tc>
      </w:tr>
      <w:tr w:rsidR="007F2ADD" w14:paraId="31FEA7C6"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4338C2DC" w14:textId="77777777" w:rsidR="007F2ADD" w:rsidRDefault="007F2ADD" w:rsidP="001D508A">
            <w:pPr>
              <w:keepNext/>
              <w:rPr>
                <w:b/>
                <w:bCs/>
                <w:color w:val="000000"/>
              </w:rPr>
            </w:pPr>
            <w:r>
              <w:rPr>
                <w:color w:val="000000"/>
              </w:rPr>
              <w:t>South Cambridge</w:t>
            </w:r>
            <w:r w:rsidRPr="003C1E6B">
              <w:rPr>
                <w:color w:val="000000"/>
              </w:rPr>
              <w:t>shire</w:t>
            </w:r>
          </w:p>
        </w:tc>
        <w:tc>
          <w:tcPr>
            <w:tcW w:w="4551" w:type="dxa"/>
            <w:hideMark/>
          </w:tcPr>
          <w:p w14:paraId="73983A3A"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£5,390,000</w:t>
            </w:r>
          </w:p>
        </w:tc>
      </w:tr>
      <w:tr w:rsidR="007F2ADD" w14:paraId="5900C18D"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11773591" w14:textId="77777777" w:rsidR="007F2ADD" w:rsidRDefault="007F2ADD" w:rsidP="001D508A">
            <w:pPr>
              <w:keepNext/>
              <w:rPr>
                <w:b/>
                <w:bCs/>
                <w:color w:val="000000"/>
              </w:rPr>
            </w:pPr>
            <w:r>
              <w:rPr>
                <w:color w:val="000000"/>
              </w:rPr>
              <w:t xml:space="preserve">West Suffolk </w:t>
            </w:r>
          </w:p>
        </w:tc>
        <w:tc>
          <w:tcPr>
            <w:tcW w:w="4551" w:type="dxa"/>
            <w:hideMark/>
          </w:tcPr>
          <w:p w14:paraId="254EBEF7"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£1,700,000</w:t>
            </w:r>
          </w:p>
        </w:tc>
      </w:tr>
      <w:tr w:rsidR="007F2ADD" w14:paraId="54FB8165"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0D0E246E" w14:textId="77777777" w:rsidR="007F2ADD" w:rsidRPr="004F4BA7" w:rsidRDefault="007F2ADD" w:rsidP="001D508A">
            <w:pPr>
              <w:keepNext/>
              <w:rPr>
                <w:b/>
                <w:bCs/>
                <w:color w:val="000000"/>
              </w:rPr>
            </w:pPr>
            <w:r w:rsidRPr="004F4BA7">
              <w:rPr>
                <w:b/>
                <w:bCs/>
                <w:color w:val="000000"/>
              </w:rPr>
              <w:t>HMA Average</w:t>
            </w:r>
          </w:p>
        </w:tc>
        <w:tc>
          <w:tcPr>
            <w:tcW w:w="4551" w:type="dxa"/>
            <w:hideMark/>
          </w:tcPr>
          <w:p w14:paraId="72983A25"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£3,118,333</w:t>
            </w:r>
          </w:p>
        </w:tc>
      </w:tr>
      <w:tr w:rsidR="007F2ADD" w14:paraId="3E69EF29"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4F9FE585" w14:textId="77777777" w:rsidR="007F2ADD" w:rsidRDefault="007F2ADD" w:rsidP="001D508A">
            <w:pPr>
              <w:keepNext/>
              <w:rPr>
                <w:b/>
                <w:bCs/>
                <w:color w:val="000000"/>
              </w:rPr>
            </w:pPr>
            <w:r>
              <w:rPr>
                <w:color w:val="000000"/>
              </w:rPr>
              <w:t>Greater Cambridge</w:t>
            </w:r>
          </w:p>
        </w:tc>
        <w:tc>
          <w:tcPr>
            <w:tcW w:w="4551" w:type="dxa"/>
            <w:hideMark/>
          </w:tcPr>
          <w:p w14:paraId="4434F363"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£5,820,000</w:t>
            </w:r>
          </w:p>
        </w:tc>
      </w:tr>
      <w:tr w:rsidR="007F2ADD" w14:paraId="1A7208F2"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0108DBB4" w14:textId="77777777" w:rsidR="007F2ADD" w:rsidRDefault="007F2ADD" w:rsidP="001D508A">
            <w:pPr>
              <w:keepNext/>
              <w:rPr>
                <w:b/>
                <w:bCs/>
                <w:color w:val="000000"/>
              </w:rPr>
            </w:pPr>
            <w:r>
              <w:rPr>
                <w:color w:val="000000"/>
              </w:rPr>
              <w:t xml:space="preserve">East of England </w:t>
            </w:r>
          </w:p>
        </w:tc>
        <w:tc>
          <w:tcPr>
            <w:tcW w:w="4551" w:type="dxa"/>
            <w:hideMark/>
          </w:tcPr>
          <w:p w14:paraId="4BE139C5"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£3,691,200</w:t>
            </w:r>
          </w:p>
        </w:tc>
      </w:tr>
      <w:tr w:rsidR="007F2ADD" w14:paraId="1B8A3BE2"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23CDEAB5" w14:textId="77777777" w:rsidR="007F2ADD" w:rsidRDefault="007F2ADD" w:rsidP="001D508A">
            <w:pPr>
              <w:keepNext/>
              <w:rPr>
                <w:b/>
                <w:bCs/>
                <w:color w:val="000000"/>
              </w:rPr>
            </w:pPr>
            <w:r>
              <w:rPr>
                <w:color w:val="000000"/>
              </w:rPr>
              <w:t>England incl. London</w:t>
            </w:r>
          </w:p>
        </w:tc>
        <w:tc>
          <w:tcPr>
            <w:tcW w:w="4551" w:type="dxa"/>
            <w:hideMark/>
          </w:tcPr>
          <w:p w14:paraId="2DB1DD79"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£6,013,744</w:t>
            </w:r>
          </w:p>
        </w:tc>
      </w:tr>
      <w:tr w:rsidR="007F2ADD" w14:paraId="214AAB75"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954" w:type="dxa"/>
            <w:hideMark/>
          </w:tcPr>
          <w:p w14:paraId="2128072C" w14:textId="77777777" w:rsidR="007F2ADD" w:rsidRDefault="007F2ADD" w:rsidP="001D508A">
            <w:pPr>
              <w:keepNext/>
              <w:rPr>
                <w:b/>
                <w:bCs/>
                <w:color w:val="000000"/>
              </w:rPr>
            </w:pPr>
            <w:r>
              <w:rPr>
                <w:color w:val="000000"/>
              </w:rPr>
              <w:t>England excl. London</w:t>
            </w:r>
          </w:p>
        </w:tc>
        <w:tc>
          <w:tcPr>
            <w:tcW w:w="4551" w:type="dxa"/>
            <w:hideMark/>
          </w:tcPr>
          <w:p w14:paraId="17A7F40F"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£2,686,981</w:t>
            </w:r>
          </w:p>
        </w:tc>
      </w:tr>
    </w:tbl>
    <w:p w14:paraId="48A07056" w14:textId="77777777" w:rsidR="007F2ADD" w:rsidRDefault="007F2ADD" w:rsidP="00B74A73">
      <w:pPr>
        <w:pStyle w:val="11Bodytext"/>
        <w:numPr>
          <w:ilvl w:val="0"/>
          <w:numId w:val="0"/>
        </w:numPr>
        <w:spacing w:before="0" w:after="0" w:line="240" w:lineRule="auto"/>
        <w:ind w:left="794"/>
      </w:pPr>
      <w:r>
        <w:t xml:space="preserve">Source: DCLG, April 2019   </w:t>
      </w:r>
    </w:p>
    <w:p w14:paraId="4E025BFF" w14:textId="77777777" w:rsidR="007F2ADD" w:rsidRDefault="007F2ADD" w:rsidP="007D0FBF">
      <w:pPr>
        <w:pStyle w:val="11Bodytext"/>
      </w:pPr>
      <w:r>
        <w:t xml:space="preserve">Land values are uplifted in areas of high housing demand and constrained land availability. Low demand could be as a result of myriad socio-economic reasons including local environment, access to jobs and services and quality of place.  This would explain why there is such a range of land values across the study area with </w:t>
      </w:r>
      <w:r>
        <w:lastRenderedPageBreak/>
        <w:t xml:space="preserve">Cambridge residential land values exceeding over £6m per hectare whereas Fenland has land values of less than £400,000. </w:t>
      </w:r>
    </w:p>
    <w:p w14:paraId="4B902DC9" w14:textId="77777777" w:rsidR="007F2ADD" w:rsidRDefault="007F2ADD" w:rsidP="007D0FBF">
      <w:pPr>
        <w:pStyle w:val="11Bodytext"/>
      </w:pPr>
      <w:r>
        <w:t xml:space="preserve">The above also reflects district averages, and there will be considerable differences in different parts of a district. </w:t>
      </w:r>
    </w:p>
    <w:p w14:paraId="7539644A" w14:textId="77777777" w:rsidR="007F2ADD" w:rsidRDefault="007F2ADD" w:rsidP="007D0FBF">
      <w:pPr>
        <w:pStyle w:val="Heading2"/>
      </w:pPr>
      <w:r>
        <w:t xml:space="preserve">House Prices </w:t>
      </w:r>
    </w:p>
    <w:p w14:paraId="35C956C8" w14:textId="77777777" w:rsidR="007F2ADD" w:rsidRDefault="007F2ADD" w:rsidP="007D0FBF">
      <w:pPr>
        <w:pStyle w:val="11Bodytext"/>
      </w:pPr>
      <w:r>
        <w:t xml:space="preserve">The average (mean) house price in the HMA (2019) was £368,503, whilst the median price was less at £297,000. This indicates that there is a smaller concentration of very expensive properties across the study area. </w:t>
      </w:r>
    </w:p>
    <w:p w14:paraId="0812FFB7" w14:textId="77777777" w:rsidR="007F2ADD" w:rsidRDefault="007F2ADD" w:rsidP="007D0FBF">
      <w:pPr>
        <w:pStyle w:val="11Bodytext"/>
      </w:pPr>
      <w:r>
        <w:t xml:space="preserve">In comparison to the regional and national average, the median house prices in the HMA </w:t>
      </w:r>
      <w:proofErr w:type="gramStart"/>
      <w:r>
        <w:t>is</w:t>
      </w:r>
      <w:proofErr w:type="gramEnd"/>
      <w:r>
        <w:t xml:space="preserve"> above both the regional (£282,500) and national median (£230,000). Again, there is a considerable range with the highest median house prices found in Cambridge (£440,000) and the lowest in Fenland (£184,000).</w:t>
      </w:r>
    </w:p>
    <w:p w14:paraId="5BE8C6C7" w14:textId="77777777" w:rsidR="007F2ADD" w:rsidRDefault="007F2ADD" w:rsidP="003D5E23">
      <w:pPr>
        <w:pStyle w:val="Tableheading"/>
        <w:numPr>
          <w:ilvl w:val="0"/>
          <w:numId w:val="54"/>
        </w:numPr>
      </w:pPr>
      <w:r>
        <w:t>Average House Prices in the Housing Market Area (2019)</w:t>
      </w:r>
    </w:p>
    <w:tbl>
      <w:tblPr>
        <w:tblStyle w:val="TableGridLight1"/>
        <w:tblW w:w="8557" w:type="dxa"/>
        <w:tblInd w:w="794" w:type="dxa"/>
        <w:tblLook w:val="04A0" w:firstRow="1" w:lastRow="0" w:firstColumn="1" w:lastColumn="0" w:noHBand="0" w:noVBand="1"/>
      </w:tblPr>
      <w:tblGrid>
        <w:gridCol w:w="3312"/>
        <w:gridCol w:w="1748"/>
        <w:gridCol w:w="1748"/>
        <w:gridCol w:w="1749"/>
      </w:tblGrid>
      <w:tr w:rsidR="007F2ADD" w14:paraId="06E9B20E" w14:textId="77777777" w:rsidTr="004F4BA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0C1E9C15" w14:textId="77777777" w:rsidR="007F2ADD" w:rsidRPr="00605B15" w:rsidRDefault="007F2ADD" w:rsidP="004B1D93">
            <w:pPr>
              <w:pStyle w:val="TableBodytext"/>
              <w:keepNext/>
              <w:spacing w:before="0" w:after="0" w:line="240" w:lineRule="auto"/>
              <w:jc w:val="left"/>
              <w:rPr>
                <w:sz w:val="24"/>
                <w:szCs w:val="24"/>
              </w:rPr>
            </w:pPr>
            <w:r w:rsidRPr="00605B15">
              <w:rPr>
                <w:sz w:val="24"/>
                <w:szCs w:val="24"/>
              </w:rPr>
              <w:t>Area</w:t>
            </w:r>
          </w:p>
        </w:tc>
        <w:tc>
          <w:tcPr>
            <w:tcW w:w="1748" w:type="dxa"/>
            <w:hideMark/>
          </w:tcPr>
          <w:p w14:paraId="0D5698AA" w14:textId="77777777" w:rsidR="007F2ADD" w:rsidRPr="00605B15" w:rsidRDefault="007F2ADD" w:rsidP="001D508A">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sidRPr="00605B15">
              <w:rPr>
                <w:sz w:val="24"/>
                <w:szCs w:val="24"/>
              </w:rPr>
              <w:t>Median</w:t>
            </w:r>
          </w:p>
        </w:tc>
        <w:tc>
          <w:tcPr>
            <w:tcW w:w="1748" w:type="dxa"/>
            <w:hideMark/>
          </w:tcPr>
          <w:p w14:paraId="4E2B6CBA" w14:textId="77777777" w:rsidR="007F2ADD" w:rsidRPr="00605B15" w:rsidRDefault="007F2ADD" w:rsidP="001D508A">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sidRPr="00605B15">
              <w:rPr>
                <w:sz w:val="24"/>
                <w:szCs w:val="24"/>
              </w:rPr>
              <w:t>Mean</w:t>
            </w:r>
          </w:p>
        </w:tc>
        <w:tc>
          <w:tcPr>
            <w:tcW w:w="1749" w:type="dxa"/>
            <w:hideMark/>
          </w:tcPr>
          <w:p w14:paraId="72F6F389" w14:textId="77777777" w:rsidR="007F2ADD" w:rsidRPr="00605B15" w:rsidRDefault="007F2ADD" w:rsidP="001D508A">
            <w:pPr>
              <w:pStyle w:val="TableBodytext"/>
              <w:keepNext/>
              <w:spacing w:before="0"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sidRPr="00605B15">
              <w:rPr>
                <w:sz w:val="24"/>
                <w:szCs w:val="24"/>
              </w:rPr>
              <w:t>Lower Quartile</w:t>
            </w:r>
          </w:p>
        </w:tc>
      </w:tr>
      <w:tr w:rsidR="007F2ADD" w14:paraId="3A7D6302"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4E606A1F" w14:textId="77777777" w:rsidR="007F2ADD" w:rsidRDefault="007F2ADD" w:rsidP="001D508A">
            <w:pPr>
              <w:keepNext/>
              <w:rPr>
                <w:b/>
                <w:color w:val="000000"/>
              </w:rPr>
            </w:pPr>
            <w:r>
              <w:rPr>
                <w:color w:val="000000"/>
              </w:rPr>
              <w:t>Cambridge</w:t>
            </w:r>
          </w:p>
        </w:tc>
        <w:tc>
          <w:tcPr>
            <w:tcW w:w="1748" w:type="dxa"/>
            <w:hideMark/>
          </w:tcPr>
          <w:p w14:paraId="63D41973"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£440,000</w:t>
            </w:r>
          </w:p>
        </w:tc>
        <w:tc>
          <w:tcPr>
            <w:tcW w:w="1748" w:type="dxa"/>
            <w:hideMark/>
          </w:tcPr>
          <w:p w14:paraId="5AE14A16"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£571,657</w:t>
            </w:r>
          </w:p>
        </w:tc>
        <w:tc>
          <w:tcPr>
            <w:tcW w:w="1749" w:type="dxa"/>
            <w:hideMark/>
          </w:tcPr>
          <w:p w14:paraId="0FE40AC2"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£336,716</w:t>
            </w:r>
          </w:p>
        </w:tc>
      </w:tr>
      <w:tr w:rsidR="007F2ADD" w14:paraId="7B8D8BF5"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774C15D8" w14:textId="77777777" w:rsidR="007F2ADD" w:rsidRDefault="007F2ADD" w:rsidP="001D508A">
            <w:pPr>
              <w:keepNext/>
              <w:rPr>
                <w:b/>
                <w:color w:val="000000"/>
              </w:rPr>
            </w:pPr>
            <w:r>
              <w:rPr>
                <w:color w:val="000000"/>
              </w:rPr>
              <w:t>East Cambridgeshire</w:t>
            </w:r>
          </w:p>
        </w:tc>
        <w:tc>
          <w:tcPr>
            <w:tcW w:w="1748" w:type="dxa"/>
            <w:hideMark/>
          </w:tcPr>
          <w:p w14:paraId="3CEF02AB"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£290,998</w:t>
            </w:r>
          </w:p>
        </w:tc>
        <w:tc>
          <w:tcPr>
            <w:tcW w:w="1748" w:type="dxa"/>
            <w:hideMark/>
          </w:tcPr>
          <w:p w14:paraId="3846360F"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£346,385</w:t>
            </w:r>
          </w:p>
        </w:tc>
        <w:tc>
          <w:tcPr>
            <w:tcW w:w="1749" w:type="dxa"/>
            <w:hideMark/>
          </w:tcPr>
          <w:p w14:paraId="7894B26A"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£220,000</w:t>
            </w:r>
          </w:p>
        </w:tc>
      </w:tr>
      <w:tr w:rsidR="007F2ADD" w14:paraId="44869B3A"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003F3529" w14:textId="77777777" w:rsidR="007F2ADD" w:rsidRDefault="007F2ADD" w:rsidP="001D508A">
            <w:pPr>
              <w:keepNext/>
              <w:rPr>
                <w:b/>
                <w:color w:val="000000"/>
              </w:rPr>
            </w:pPr>
            <w:r>
              <w:rPr>
                <w:color w:val="000000"/>
              </w:rPr>
              <w:t>Fenland</w:t>
            </w:r>
          </w:p>
        </w:tc>
        <w:tc>
          <w:tcPr>
            <w:tcW w:w="1748" w:type="dxa"/>
            <w:hideMark/>
          </w:tcPr>
          <w:p w14:paraId="13E722D0"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£184,000</w:t>
            </w:r>
          </w:p>
        </w:tc>
        <w:tc>
          <w:tcPr>
            <w:tcW w:w="1748" w:type="dxa"/>
            <w:hideMark/>
          </w:tcPr>
          <w:p w14:paraId="252F52E4"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£209,043</w:t>
            </w:r>
          </w:p>
        </w:tc>
        <w:tc>
          <w:tcPr>
            <w:tcW w:w="1749" w:type="dxa"/>
            <w:hideMark/>
          </w:tcPr>
          <w:p w14:paraId="238BC80F"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£146,750</w:t>
            </w:r>
          </w:p>
        </w:tc>
      </w:tr>
      <w:tr w:rsidR="007F2ADD" w14:paraId="31B7C3CE"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7AFDC740" w14:textId="77777777" w:rsidR="007F2ADD" w:rsidRDefault="007F2ADD" w:rsidP="001D508A">
            <w:pPr>
              <w:keepNext/>
              <w:rPr>
                <w:b/>
                <w:color w:val="000000"/>
              </w:rPr>
            </w:pPr>
            <w:r>
              <w:t>Huntingdonshire</w:t>
            </w:r>
          </w:p>
        </w:tc>
        <w:tc>
          <w:tcPr>
            <w:tcW w:w="1748" w:type="dxa"/>
            <w:hideMark/>
          </w:tcPr>
          <w:p w14:paraId="74D1D184"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£275,000</w:t>
            </w:r>
          </w:p>
        </w:tc>
        <w:tc>
          <w:tcPr>
            <w:tcW w:w="1748" w:type="dxa"/>
            <w:hideMark/>
          </w:tcPr>
          <w:p w14:paraId="305FAB1E"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£313,437</w:t>
            </w:r>
          </w:p>
        </w:tc>
        <w:tc>
          <w:tcPr>
            <w:tcW w:w="1749" w:type="dxa"/>
            <w:hideMark/>
          </w:tcPr>
          <w:p w14:paraId="6134629B"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£210,000</w:t>
            </w:r>
          </w:p>
        </w:tc>
      </w:tr>
      <w:tr w:rsidR="007F2ADD" w14:paraId="641E71ED"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71DF7419" w14:textId="77777777" w:rsidR="007F2ADD" w:rsidRDefault="007F2ADD" w:rsidP="001D508A">
            <w:pPr>
              <w:keepNext/>
              <w:rPr>
                <w:b/>
                <w:color w:val="000000"/>
              </w:rPr>
            </w:pPr>
            <w:r>
              <w:rPr>
                <w:color w:val="000000"/>
              </w:rPr>
              <w:t>South Cambridgeshire</w:t>
            </w:r>
          </w:p>
        </w:tc>
        <w:tc>
          <w:tcPr>
            <w:tcW w:w="1748" w:type="dxa"/>
            <w:hideMark/>
          </w:tcPr>
          <w:p w14:paraId="2475E11D"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£360,000</w:t>
            </w:r>
          </w:p>
        </w:tc>
        <w:tc>
          <w:tcPr>
            <w:tcW w:w="1748" w:type="dxa"/>
            <w:hideMark/>
          </w:tcPr>
          <w:p w14:paraId="5949DD17"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£446,760</w:t>
            </w:r>
          </w:p>
        </w:tc>
        <w:tc>
          <w:tcPr>
            <w:tcW w:w="1749" w:type="dxa"/>
            <w:hideMark/>
          </w:tcPr>
          <w:p w14:paraId="01B3A71B"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£280,000</w:t>
            </w:r>
          </w:p>
        </w:tc>
      </w:tr>
      <w:tr w:rsidR="007F2ADD" w14:paraId="53FFA113"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7F057700" w14:textId="77777777" w:rsidR="007F2ADD" w:rsidRDefault="007F2ADD" w:rsidP="001D508A">
            <w:pPr>
              <w:keepNext/>
              <w:rPr>
                <w:b/>
                <w:color w:val="000000"/>
              </w:rPr>
            </w:pPr>
            <w:r>
              <w:rPr>
                <w:color w:val="000000"/>
              </w:rPr>
              <w:t>West Suffolk</w:t>
            </w:r>
          </w:p>
        </w:tc>
        <w:tc>
          <w:tcPr>
            <w:tcW w:w="1748" w:type="dxa"/>
            <w:hideMark/>
          </w:tcPr>
          <w:p w14:paraId="0FB32D0B"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£251,000</w:t>
            </w:r>
          </w:p>
        </w:tc>
        <w:tc>
          <w:tcPr>
            <w:tcW w:w="1748" w:type="dxa"/>
            <w:hideMark/>
          </w:tcPr>
          <w:p w14:paraId="67D3C427"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£337,948</w:t>
            </w:r>
          </w:p>
        </w:tc>
        <w:tc>
          <w:tcPr>
            <w:tcW w:w="1749" w:type="dxa"/>
            <w:hideMark/>
          </w:tcPr>
          <w:p w14:paraId="4218FF1C"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£198,000</w:t>
            </w:r>
          </w:p>
        </w:tc>
      </w:tr>
      <w:tr w:rsidR="007F2ADD" w14:paraId="02549230"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10D32FD2" w14:textId="77777777" w:rsidR="007F2ADD" w:rsidRPr="004F4BA7" w:rsidRDefault="007F2ADD" w:rsidP="001D508A">
            <w:pPr>
              <w:keepNext/>
              <w:rPr>
                <w:b/>
                <w:bCs/>
                <w:color w:val="000000"/>
              </w:rPr>
            </w:pPr>
            <w:r w:rsidRPr="004F4BA7">
              <w:rPr>
                <w:b/>
                <w:bCs/>
                <w:color w:val="000000"/>
              </w:rPr>
              <w:t>HMA</w:t>
            </w:r>
          </w:p>
        </w:tc>
        <w:tc>
          <w:tcPr>
            <w:tcW w:w="1748" w:type="dxa"/>
            <w:hideMark/>
          </w:tcPr>
          <w:p w14:paraId="10DE3D92"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£297,000</w:t>
            </w:r>
          </w:p>
        </w:tc>
        <w:tc>
          <w:tcPr>
            <w:tcW w:w="1748" w:type="dxa"/>
            <w:hideMark/>
          </w:tcPr>
          <w:p w14:paraId="38ECB8F2"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£368,503</w:t>
            </w:r>
          </w:p>
        </w:tc>
        <w:tc>
          <w:tcPr>
            <w:tcW w:w="1749" w:type="dxa"/>
            <w:hideMark/>
          </w:tcPr>
          <w:p w14:paraId="6C7FEA83"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£210,000</w:t>
            </w:r>
          </w:p>
        </w:tc>
      </w:tr>
      <w:tr w:rsidR="007F2ADD" w14:paraId="4CEEC8AD"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0178F2D0" w14:textId="77777777" w:rsidR="007F2ADD" w:rsidRDefault="007F2ADD" w:rsidP="001D508A">
            <w:pPr>
              <w:keepNext/>
              <w:rPr>
                <w:b/>
                <w:color w:val="000000"/>
              </w:rPr>
            </w:pPr>
            <w:r>
              <w:rPr>
                <w:color w:val="000000"/>
              </w:rPr>
              <w:t>Greater Cambridge</w:t>
            </w:r>
          </w:p>
        </w:tc>
        <w:tc>
          <w:tcPr>
            <w:tcW w:w="1748" w:type="dxa"/>
            <w:hideMark/>
          </w:tcPr>
          <w:p w14:paraId="1807D1F6"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£286,500</w:t>
            </w:r>
          </w:p>
        </w:tc>
        <w:tc>
          <w:tcPr>
            <w:tcW w:w="1748" w:type="dxa"/>
            <w:hideMark/>
          </w:tcPr>
          <w:p w14:paraId="7F0E7DE9"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£362,865</w:t>
            </w:r>
          </w:p>
        </w:tc>
        <w:tc>
          <w:tcPr>
            <w:tcW w:w="1749" w:type="dxa"/>
            <w:hideMark/>
          </w:tcPr>
          <w:p w14:paraId="6A013F85"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£210,000</w:t>
            </w:r>
          </w:p>
        </w:tc>
      </w:tr>
      <w:tr w:rsidR="007F2ADD" w14:paraId="34DB2C11"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7F957C3F" w14:textId="77777777" w:rsidR="007F2ADD" w:rsidRDefault="007F2ADD" w:rsidP="001D508A">
            <w:pPr>
              <w:keepNext/>
              <w:rPr>
                <w:b/>
                <w:color w:val="000000"/>
              </w:rPr>
            </w:pPr>
            <w:r>
              <w:rPr>
                <w:color w:val="000000"/>
              </w:rPr>
              <w:t>East of England</w:t>
            </w:r>
          </w:p>
        </w:tc>
        <w:tc>
          <w:tcPr>
            <w:tcW w:w="1748" w:type="dxa"/>
            <w:hideMark/>
          </w:tcPr>
          <w:p w14:paraId="24CC7034"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£282,500</w:t>
            </w:r>
          </w:p>
        </w:tc>
        <w:tc>
          <w:tcPr>
            <w:tcW w:w="1748" w:type="dxa"/>
            <w:hideMark/>
          </w:tcPr>
          <w:p w14:paraId="51F94358"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£368,830</w:t>
            </w:r>
          </w:p>
        </w:tc>
        <w:tc>
          <w:tcPr>
            <w:tcW w:w="1749" w:type="dxa"/>
            <w:hideMark/>
          </w:tcPr>
          <w:p w14:paraId="6299799B"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£206,000</w:t>
            </w:r>
          </w:p>
        </w:tc>
      </w:tr>
      <w:tr w:rsidR="007F2ADD" w14:paraId="4ED51F96"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3312" w:type="dxa"/>
            <w:hideMark/>
          </w:tcPr>
          <w:p w14:paraId="57364C36" w14:textId="77777777" w:rsidR="007F2ADD" w:rsidRDefault="007F2ADD" w:rsidP="001D508A">
            <w:pPr>
              <w:keepNext/>
              <w:rPr>
                <w:b/>
                <w:color w:val="000000"/>
              </w:rPr>
            </w:pPr>
            <w:r>
              <w:rPr>
                <w:color w:val="000000"/>
              </w:rPr>
              <w:t>England</w:t>
            </w:r>
          </w:p>
        </w:tc>
        <w:tc>
          <w:tcPr>
            <w:tcW w:w="1748" w:type="dxa"/>
            <w:hideMark/>
          </w:tcPr>
          <w:p w14:paraId="59168AC2"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£230,000</w:t>
            </w:r>
          </w:p>
        </w:tc>
        <w:tc>
          <w:tcPr>
            <w:tcW w:w="1748" w:type="dxa"/>
            <w:hideMark/>
          </w:tcPr>
          <w:p w14:paraId="50D617D5"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£351,305</w:t>
            </w:r>
          </w:p>
        </w:tc>
        <w:tc>
          <w:tcPr>
            <w:tcW w:w="1749" w:type="dxa"/>
            <w:hideMark/>
          </w:tcPr>
          <w:p w14:paraId="405D1AAC" w14:textId="77777777" w:rsidR="007F2ADD" w:rsidRDefault="007F2ADD" w:rsidP="001D508A">
            <w:pPr>
              <w:keepNext/>
              <w:cnfStyle w:val="000000000000" w:firstRow="0" w:lastRow="0" w:firstColumn="0" w:lastColumn="0" w:oddVBand="0" w:evenVBand="0" w:oddHBand="0" w:evenHBand="0" w:firstRowFirstColumn="0" w:firstRowLastColumn="0" w:lastRowFirstColumn="0" w:lastRowLastColumn="0"/>
              <w:rPr>
                <w:color w:val="000000"/>
              </w:rPr>
            </w:pPr>
            <w:r>
              <w:rPr>
                <w:color w:val="000000"/>
              </w:rPr>
              <w:t>£148,000</w:t>
            </w:r>
          </w:p>
        </w:tc>
      </w:tr>
    </w:tbl>
    <w:p w14:paraId="612994EF" w14:textId="77777777" w:rsidR="007F2ADD" w:rsidRPr="00B74A73" w:rsidRDefault="007F2ADD" w:rsidP="007F2ADD">
      <w:pPr>
        <w:keepNext/>
        <w:widowControl w:val="0"/>
        <w:ind w:firstLine="794"/>
        <w:rPr>
          <w:sz w:val="24"/>
          <w:szCs w:val="24"/>
        </w:rPr>
      </w:pPr>
      <w:r w:rsidRPr="00B74A73">
        <w:rPr>
          <w:sz w:val="24"/>
          <w:szCs w:val="24"/>
        </w:rPr>
        <w:t>Source: Land Registry Price Paid, 2019</w:t>
      </w:r>
    </w:p>
    <w:p w14:paraId="13436DB1" w14:textId="77777777" w:rsidR="007F2ADD" w:rsidRDefault="007F2ADD" w:rsidP="007D0FBF">
      <w:pPr>
        <w:pStyle w:val="11Bodytext"/>
      </w:pPr>
      <w:r>
        <w:t xml:space="preserve">As per land prices, the areas of lower value house prices such as Fenland tend to attract less competition thus house prices are lower. This can be for a variety of reasons such as local environment, access to services and employment opportunities (and associated levels of household income). </w:t>
      </w:r>
    </w:p>
    <w:p w14:paraId="6F6BB60E" w14:textId="77777777" w:rsidR="004F4BA7" w:rsidRDefault="004F4BA7">
      <w:pPr>
        <w:spacing w:after="200"/>
        <w:rPr>
          <w:bCs/>
          <w:sz w:val="24"/>
          <w:szCs w:val="24"/>
        </w:rPr>
      </w:pPr>
      <w:r>
        <w:br w:type="page"/>
      </w:r>
    </w:p>
    <w:p w14:paraId="1CD3E31D" w14:textId="56D97509" w:rsidR="007F2ADD" w:rsidRDefault="007F2ADD" w:rsidP="007D0FBF">
      <w:pPr>
        <w:pStyle w:val="11Bodytext"/>
      </w:pPr>
      <w:r>
        <w:lastRenderedPageBreak/>
        <w:t xml:space="preserve">The figure below provides a heat map to illustrate house prices across the HMA in 2019. A clear pattern emerges of lower priced properties to the North and East of the study area. Whereas there is a concentration of higher values in the South and South West of the study area. </w:t>
      </w:r>
    </w:p>
    <w:p w14:paraId="07BC91C7" w14:textId="77777777" w:rsidR="007F2ADD" w:rsidRDefault="007F2ADD" w:rsidP="007D0FBF">
      <w:pPr>
        <w:pStyle w:val="11Bodytext"/>
      </w:pPr>
      <w:r>
        <w:t>There are some exceptions to this pattern with pockets of higher-cost housing even in the North of the HMA including more rural parts of Fenland, south of Wisbech and in East Cambridgeshire and West Suffolk around Newmarket, and Huntingdonshire around Peterborough (the latter two potentially acting as affluent suburbs).</w:t>
      </w:r>
    </w:p>
    <w:p w14:paraId="7A0E881D" w14:textId="231BAF74" w:rsidR="003C7610" w:rsidRDefault="003C7610" w:rsidP="003D5E23">
      <w:pPr>
        <w:pStyle w:val="FigureHeading"/>
      </w:pPr>
      <w:r>
        <w:t>House Price Heatmap (2019)</w:t>
      </w:r>
      <w:r w:rsidRPr="007D0FBF">
        <w:rPr>
          <w:szCs w:val="20"/>
        </w:rPr>
        <w:t xml:space="preserve"> </w:t>
      </w:r>
    </w:p>
    <w:p w14:paraId="3FFD1DB1" w14:textId="1EA39E9A" w:rsidR="007F2ADD" w:rsidRDefault="007751BE" w:rsidP="003D5E23">
      <w:pPr>
        <w:pStyle w:val="FigureHeading"/>
        <w:numPr>
          <w:ilvl w:val="0"/>
          <w:numId w:val="0"/>
        </w:numPr>
        <w:ind w:left="709"/>
      </w:pPr>
      <w:r>
        <w:rPr>
          <w:noProof/>
        </w:rPr>
        <w:drawing>
          <wp:inline distT="0" distB="0" distL="0" distR="0" wp14:anchorId="706D5D2B" wp14:editId="644B5D71">
            <wp:extent cx="5177790" cy="4216400"/>
            <wp:effectExtent l="0" t="0" r="3810" b="0"/>
            <wp:docPr id="1085" name="Picture 1085" descr="Image of a house price heat map based on 2019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descr="Image of a house price heat map based on 2019 data"/>
                    <pic:cNvPicPr>
                      <a:picLocks noChangeAspect="1" noChangeArrowheads="1"/>
                    </pic:cNvPicPr>
                  </pic:nvPicPr>
                  <pic:blipFill>
                    <a:blip r:embed="rId26">
                      <a:extLst>
                        <a:ext uri="{28A0092B-C50C-407E-A947-70E740481C1C}">
                          <a14:useLocalDpi xmlns:a14="http://schemas.microsoft.com/office/drawing/2010/main" val="0"/>
                        </a:ext>
                      </a:extLst>
                    </a:blip>
                    <a:srcRect l="3656" t="3992" r="12918"/>
                    <a:stretch>
                      <a:fillRect/>
                    </a:stretch>
                  </pic:blipFill>
                  <pic:spPr bwMode="auto">
                    <a:xfrm>
                      <a:off x="0" y="0"/>
                      <a:ext cx="5177790" cy="4216400"/>
                    </a:xfrm>
                    <a:prstGeom prst="rect">
                      <a:avLst/>
                    </a:prstGeom>
                    <a:noFill/>
                  </pic:spPr>
                </pic:pic>
              </a:graphicData>
            </a:graphic>
          </wp:inline>
        </w:drawing>
      </w:r>
      <w:r w:rsidR="003C7610">
        <w:t xml:space="preserve"> </w:t>
      </w:r>
    </w:p>
    <w:p w14:paraId="6C68DA9A" w14:textId="1ED464B0" w:rsidR="007F2ADD" w:rsidRPr="00B74A73" w:rsidRDefault="003E5662" w:rsidP="003E5662">
      <w:pPr>
        <w:ind w:left="709" w:hanging="142"/>
        <w:rPr>
          <w:b/>
          <w:bCs/>
          <w:sz w:val="24"/>
          <w:szCs w:val="24"/>
        </w:rPr>
      </w:pPr>
      <w:r>
        <w:t xml:space="preserve">   </w:t>
      </w:r>
      <w:r w:rsidR="007F2ADD" w:rsidRPr="00B74A73">
        <w:rPr>
          <w:sz w:val="24"/>
          <w:szCs w:val="24"/>
        </w:rPr>
        <w:t xml:space="preserve">Source: GL Hearn based on HM Land Registry Data, 2019 </w:t>
      </w:r>
    </w:p>
    <w:p w14:paraId="0D9734D8" w14:textId="77777777" w:rsidR="007F2ADD" w:rsidRDefault="007F2ADD" w:rsidP="007F2ADD">
      <w:pPr>
        <w:pStyle w:val="Bodytextwithindent"/>
        <w:keepNext/>
        <w:spacing w:before="0" w:after="0" w:line="240" w:lineRule="auto"/>
        <w:rPr>
          <w:szCs w:val="20"/>
        </w:rPr>
      </w:pPr>
    </w:p>
    <w:p w14:paraId="7CD2EF59" w14:textId="77777777" w:rsidR="007F2ADD" w:rsidRDefault="007F2ADD" w:rsidP="007D0FBF">
      <w:pPr>
        <w:pStyle w:val="Heading3"/>
      </w:pPr>
      <w:r>
        <w:t xml:space="preserve">House Price Change </w:t>
      </w:r>
    </w:p>
    <w:p w14:paraId="668C8F58" w14:textId="77777777" w:rsidR="004F4BA7" w:rsidRDefault="004F4BA7">
      <w:pPr>
        <w:spacing w:after="200"/>
        <w:rPr>
          <w:bCs/>
          <w:sz w:val="24"/>
          <w:szCs w:val="24"/>
        </w:rPr>
      </w:pPr>
      <w:r>
        <w:br w:type="page"/>
      </w:r>
    </w:p>
    <w:p w14:paraId="433521F7" w14:textId="5F9EB4D7" w:rsidR="007F2ADD" w:rsidRDefault="007F2ADD" w:rsidP="007D0FBF">
      <w:pPr>
        <w:pStyle w:val="11Bodytext"/>
      </w:pPr>
      <w:r>
        <w:lastRenderedPageBreak/>
        <w:t>The figure below illustrates house price change in the HMA against the regional and national median house prices over the last 20 years. This shows that house price trends in the HMA closely follow the regional trends and slightly surpass the national trends since 2015.</w:t>
      </w:r>
    </w:p>
    <w:p w14:paraId="6864EBA7" w14:textId="77777777" w:rsidR="007F2ADD" w:rsidRDefault="007F2ADD" w:rsidP="007D0FBF">
      <w:pPr>
        <w:pStyle w:val="11Bodytext"/>
      </w:pPr>
      <w:r>
        <w:t xml:space="preserve">Over the pre-recession period (1999 to 2007), median house prices in the HMA increased from £76,990 to £191,588, an increase of 149%. Reflecting on the economic backdrop, trends in house prices fell with the onset of the recession, as was the case regionally and nationally. </w:t>
      </w:r>
    </w:p>
    <w:p w14:paraId="02B1473B" w14:textId="77777777" w:rsidR="007F2ADD" w:rsidRDefault="007F2ADD" w:rsidP="003D5E23">
      <w:pPr>
        <w:pStyle w:val="FigureHeading"/>
      </w:pPr>
      <w:r>
        <w:t xml:space="preserve">Median House Price Trends </w:t>
      </w:r>
    </w:p>
    <w:p w14:paraId="66064293" w14:textId="77777777" w:rsidR="007F2ADD" w:rsidRDefault="007F2ADD" w:rsidP="007F2ADD">
      <w:pPr>
        <w:pStyle w:val="Bodytextwithindent"/>
        <w:spacing w:before="0" w:after="0" w:line="240" w:lineRule="auto"/>
        <w:rPr>
          <w:szCs w:val="20"/>
        </w:rPr>
      </w:pPr>
      <w:r>
        <w:rPr>
          <w:noProof/>
          <w:szCs w:val="20"/>
        </w:rPr>
        <w:drawing>
          <wp:inline distT="0" distB="0" distL="0" distR="0" wp14:anchorId="366EE1A2" wp14:editId="2839DE87">
            <wp:extent cx="5449824" cy="2582266"/>
            <wp:effectExtent l="0" t="0" r="17780" b="8890"/>
            <wp:docPr id="1086" name="Chart 1086" descr="Line chart showing the median house price trends for greater Cambridge, HMA, East of England and England">
              <a:extLst xmlns:a="http://schemas.openxmlformats.org/drawingml/2006/main">
                <a:ext uri="{FF2B5EF4-FFF2-40B4-BE49-F238E27FC236}">
                  <a16:creationId xmlns:a16="http://schemas.microsoft.com/office/drawing/2014/main" id="{CDDBA591-FCEE-439F-B4BC-7E0DD1C84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34FEB0" w14:textId="77777777" w:rsidR="007F2ADD" w:rsidRDefault="007F2ADD" w:rsidP="004B1D93">
      <w:pPr>
        <w:pStyle w:val="11Bodytext"/>
        <w:numPr>
          <w:ilvl w:val="0"/>
          <w:numId w:val="0"/>
        </w:numPr>
        <w:spacing w:before="0"/>
        <w:ind w:left="794"/>
      </w:pPr>
      <w:r>
        <w:t>Source: DCLG Live Tables: Land Registry Data, 2019</w:t>
      </w:r>
    </w:p>
    <w:p w14:paraId="211B6508" w14:textId="77777777" w:rsidR="007F2ADD" w:rsidRDefault="007F2ADD" w:rsidP="007D0FBF">
      <w:pPr>
        <w:pStyle w:val="11Bodytext"/>
      </w:pPr>
      <w:r>
        <w:t>House prices in the HMA subsequently rose since 2009, and as of Q3 in 2010, median house prices in the HMA reached pre-recession levels. Since this time, house prices in the HMA have continued to increase at a faster rate than the national trend.</w:t>
      </w:r>
    </w:p>
    <w:p w14:paraId="32FF9523" w14:textId="146969F6" w:rsidR="007F2ADD" w:rsidRPr="00B74A73" w:rsidRDefault="007F2ADD" w:rsidP="007D0FBF">
      <w:pPr>
        <w:pStyle w:val="11Bodytext"/>
        <w:rPr>
          <w:b/>
        </w:rPr>
      </w:pPr>
      <w:r>
        <w:t xml:space="preserve">The table below shows that house prices in the HMA increased by 228% over 20 years. This is greater than both the regional (216.8%) and national increase (188.9%). </w:t>
      </w:r>
    </w:p>
    <w:p w14:paraId="12092028" w14:textId="77777777" w:rsidR="007F2ADD" w:rsidRDefault="007F2ADD" w:rsidP="003D5E23">
      <w:pPr>
        <w:pStyle w:val="Tableheading"/>
        <w:numPr>
          <w:ilvl w:val="0"/>
          <w:numId w:val="54"/>
        </w:numPr>
      </w:pPr>
      <w:r>
        <w:lastRenderedPageBreak/>
        <w:t>Percentage Change to Median House Price, 1999-2019</w:t>
      </w:r>
    </w:p>
    <w:tbl>
      <w:tblPr>
        <w:tblStyle w:val="TableGridLight1"/>
        <w:tblW w:w="8460" w:type="dxa"/>
        <w:tblInd w:w="794" w:type="dxa"/>
        <w:tblLayout w:type="fixed"/>
        <w:tblLook w:val="04A0" w:firstRow="1" w:lastRow="0" w:firstColumn="1" w:lastColumn="0" w:noHBand="0" w:noVBand="1"/>
      </w:tblPr>
      <w:tblGrid>
        <w:gridCol w:w="2973"/>
        <w:gridCol w:w="1372"/>
        <w:gridCol w:w="1372"/>
        <w:gridCol w:w="1372"/>
        <w:gridCol w:w="1371"/>
      </w:tblGrid>
      <w:tr w:rsidR="007F2ADD" w14:paraId="3E398F30" w14:textId="77777777" w:rsidTr="004F4BA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57" w:type="pct"/>
            <w:noWrap/>
            <w:hideMark/>
          </w:tcPr>
          <w:p w14:paraId="03235A1A" w14:textId="77777777" w:rsidR="007F2ADD" w:rsidRPr="00605B15" w:rsidRDefault="007F2ADD" w:rsidP="00B74A73">
            <w:pPr>
              <w:keepNext/>
            </w:pPr>
          </w:p>
        </w:tc>
        <w:tc>
          <w:tcPr>
            <w:tcW w:w="811" w:type="pct"/>
            <w:hideMark/>
          </w:tcPr>
          <w:p w14:paraId="7E445A6D"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 xml:space="preserve">5-year change </w:t>
            </w:r>
          </w:p>
        </w:tc>
        <w:tc>
          <w:tcPr>
            <w:tcW w:w="811" w:type="pct"/>
            <w:hideMark/>
          </w:tcPr>
          <w:p w14:paraId="1F4E16A4"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 xml:space="preserve">10-year change </w:t>
            </w:r>
          </w:p>
        </w:tc>
        <w:tc>
          <w:tcPr>
            <w:tcW w:w="811" w:type="pct"/>
            <w:hideMark/>
          </w:tcPr>
          <w:p w14:paraId="11C7528B"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 xml:space="preserve">15- year change </w:t>
            </w:r>
          </w:p>
        </w:tc>
        <w:tc>
          <w:tcPr>
            <w:tcW w:w="811" w:type="pct"/>
            <w:hideMark/>
          </w:tcPr>
          <w:p w14:paraId="26B6647B"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 xml:space="preserve">20-year change </w:t>
            </w:r>
          </w:p>
        </w:tc>
      </w:tr>
      <w:tr w:rsidR="007F2ADD" w14:paraId="705D699E"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4136E95F" w14:textId="77777777" w:rsidR="007F2ADD" w:rsidRDefault="007F2ADD" w:rsidP="00B74A73">
            <w:pPr>
              <w:keepNext/>
            </w:pPr>
            <w:r>
              <w:t>Cambridge</w:t>
            </w:r>
          </w:p>
        </w:tc>
        <w:tc>
          <w:tcPr>
            <w:tcW w:w="811" w:type="pct"/>
            <w:hideMark/>
          </w:tcPr>
          <w:p w14:paraId="72A3BF8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3.0%</w:t>
            </w:r>
          </w:p>
        </w:tc>
        <w:tc>
          <w:tcPr>
            <w:tcW w:w="811" w:type="pct"/>
            <w:hideMark/>
          </w:tcPr>
          <w:p w14:paraId="0EF83621"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59.3%</w:t>
            </w:r>
          </w:p>
        </w:tc>
        <w:tc>
          <w:tcPr>
            <w:tcW w:w="811" w:type="pct"/>
            <w:hideMark/>
          </w:tcPr>
          <w:p w14:paraId="63414290"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95.5%</w:t>
            </w:r>
          </w:p>
        </w:tc>
        <w:tc>
          <w:tcPr>
            <w:tcW w:w="811" w:type="pct"/>
            <w:hideMark/>
          </w:tcPr>
          <w:p w14:paraId="59A37F7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248.2%</w:t>
            </w:r>
          </w:p>
        </w:tc>
      </w:tr>
      <w:tr w:rsidR="007F2ADD" w14:paraId="0093A8A0" w14:textId="77777777" w:rsidTr="004F4BA7">
        <w:trPr>
          <w:trHeight w:val="28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4AA9C27E" w14:textId="77777777" w:rsidR="007F2ADD" w:rsidRDefault="007F2ADD" w:rsidP="00B74A73">
            <w:pPr>
              <w:keepNext/>
            </w:pPr>
            <w:r>
              <w:rPr>
                <w:color w:val="auto"/>
                <w:lang w:eastAsia="en-GB"/>
              </w:rPr>
              <w:t>East Cambs</w:t>
            </w:r>
          </w:p>
        </w:tc>
        <w:tc>
          <w:tcPr>
            <w:tcW w:w="811" w:type="pct"/>
            <w:hideMark/>
          </w:tcPr>
          <w:p w14:paraId="6D972B6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26.6%</w:t>
            </w:r>
          </w:p>
        </w:tc>
        <w:tc>
          <w:tcPr>
            <w:tcW w:w="811" w:type="pct"/>
            <w:hideMark/>
          </w:tcPr>
          <w:p w14:paraId="5B69AB4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55.4%</w:t>
            </w:r>
          </w:p>
        </w:tc>
        <w:tc>
          <w:tcPr>
            <w:tcW w:w="811" w:type="pct"/>
            <w:hideMark/>
          </w:tcPr>
          <w:p w14:paraId="7FDD4D29"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71.2%</w:t>
            </w:r>
          </w:p>
        </w:tc>
        <w:tc>
          <w:tcPr>
            <w:tcW w:w="811" w:type="pct"/>
            <w:hideMark/>
          </w:tcPr>
          <w:p w14:paraId="67E613D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206.1%</w:t>
            </w:r>
          </w:p>
        </w:tc>
      </w:tr>
      <w:tr w:rsidR="007F2ADD" w14:paraId="33FC4153" w14:textId="77777777" w:rsidTr="004F4BA7">
        <w:trPr>
          <w:trHeight w:val="28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3BB8B839" w14:textId="77777777" w:rsidR="007F2ADD" w:rsidRDefault="007F2ADD" w:rsidP="00B74A73">
            <w:pPr>
              <w:keepNext/>
            </w:pPr>
            <w:r>
              <w:t>Fenland</w:t>
            </w:r>
          </w:p>
        </w:tc>
        <w:tc>
          <w:tcPr>
            <w:tcW w:w="811" w:type="pct"/>
            <w:hideMark/>
          </w:tcPr>
          <w:p w14:paraId="38804218"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21.7%</w:t>
            </w:r>
          </w:p>
        </w:tc>
        <w:tc>
          <w:tcPr>
            <w:tcW w:w="811" w:type="pct"/>
            <w:hideMark/>
          </w:tcPr>
          <w:p w14:paraId="2B745A6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35.4%</w:t>
            </w:r>
          </w:p>
        </w:tc>
        <w:tc>
          <w:tcPr>
            <w:tcW w:w="811" w:type="pct"/>
            <w:hideMark/>
          </w:tcPr>
          <w:p w14:paraId="29BDDAE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40.4%</w:t>
            </w:r>
          </w:p>
        </w:tc>
        <w:tc>
          <w:tcPr>
            <w:tcW w:w="811" w:type="pct"/>
            <w:hideMark/>
          </w:tcPr>
          <w:p w14:paraId="7384429C"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204.2%</w:t>
            </w:r>
          </w:p>
        </w:tc>
      </w:tr>
      <w:tr w:rsidR="007F2ADD" w14:paraId="246F19AC" w14:textId="77777777" w:rsidTr="004F4BA7">
        <w:trPr>
          <w:trHeight w:val="46"/>
        </w:trPr>
        <w:tc>
          <w:tcPr>
            <w:cnfStyle w:val="001000000000" w:firstRow="0" w:lastRow="0" w:firstColumn="1" w:lastColumn="0" w:oddVBand="0" w:evenVBand="0" w:oddHBand="0" w:evenHBand="0" w:firstRowFirstColumn="0" w:firstRowLastColumn="0" w:lastRowFirstColumn="0" w:lastRowLastColumn="0"/>
            <w:tcW w:w="1757" w:type="pct"/>
            <w:noWrap/>
            <w:hideMark/>
          </w:tcPr>
          <w:p w14:paraId="6F62E14B" w14:textId="77777777" w:rsidR="007F2ADD" w:rsidRDefault="007F2ADD" w:rsidP="00B74A73">
            <w:pPr>
              <w:keepNext/>
            </w:pPr>
            <w:r>
              <w:t>Huntingdonshire</w:t>
            </w:r>
          </w:p>
        </w:tc>
        <w:tc>
          <w:tcPr>
            <w:tcW w:w="811" w:type="pct"/>
            <w:hideMark/>
          </w:tcPr>
          <w:p w14:paraId="3F69F9C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19.6%</w:t>
            </w:r>
          </w:p>
        </w:tc>
        <w:tc>
          <w:tcPr>
            <w:tcW w:w="811" w:type="pct"/>
            <w:hideMark/>
          </w:tcPr>
          <w:p w14:paraId="5FA000C3"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53.4%</w:t>
            </w:r>
          </w:p>
        </w:tc>
        <w:tc>
          <w:tcPr>
            <w:tcW w:w="811" w:type="pct"/>
            <w:hideMark/>
          </w:tcPr>
          <w:p w14:paraId="184A1EE5"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67.9%</w:t>
            </w:r>
          </w:p>
        </w:tc>
        <w:tc>
          <w:tcPr>
            <w:tcW w:w="811" w:type="pct"/>
            <w:hideMark/>
          </w:tcPr>
          <w:p w14:paraId="6E8FF9C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217.9%</w:t>
            </w:r>
          </w:p>
        </w:tc>
      </w:tr>
      <w:tr w:rsidR="007F2ADD" w14:paraId="364E0ECB"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55389A0C" w14:textId="77777777" w:rsidR="007F2ADD" w:rsidRDefault="007F2ADD" w:rsidP="00B74A73">
            <w:pPr>
              <w:keepNext/>
            </w:pPr>
            <w:r>
              <w:t>South Cambs</w:t>
            </w:r>
          </w:p>
        </w:tc>
        <w:tc>
          <w:tcPr>
            <w:tcW w:w="811" w:type="pct"/>
            <w:hideMark/>
          </w:tcPr>
          <w:p w14:paraId="777AB1E5"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16.3%</w:t>
            </w:r>
          </w:p>
        </w:tc>
        <w:tc>
          <w:tcPr>
            <w:tcW w:w="811" w:type="pct"/>
            <w:hideMark/>
          </w:tcPr>
          <w:p w14:paraId="3907A1D7"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54.3%</w:t>
            </w:r>
          </w:p>
        </w:tc>
        <w:tc>
          <w:tcPr>
            <w:tcW w:w="811" w:type="pct"/>
            <w:hideMark/>
          </w:tcPr>
          <w:p w14:paraId="74D8947C"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80.0%</w:t>
            </w:r>
          </w:p>
        </w:tc>
        <w:tc>
          <w:tcPr>
            <w:tcW w:w="811" w:type="pct"/>
            <w:hideMark/>
          </w:tcPr>
          <w:p w14:paraId="33C5620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197.1%</w:t>
            </w:r>
          </w:p>
        </w:tc>
      </w:tr>
      <w:tr w:rsidR="007F2ADD" w14:paraId="312197DD" w14:textId="77777777" w:rsidTr="004F4BA7">
        <w:trPr>
          <w:trHeight w:val="28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6B9A4554" w14:textId="77777777" w:rsidR="007F2ADD" w:rsidRDefault="007F2ADD" w:rsidP="00B74A73">
            <w:pPr>
              <w:keepNext/>
              <w:rPr>
                <w:color w:val="000000"/>
              </w:rPr>
            </w:pPr>
            <w:r>
              <w:rPr>
                <w:color w:val="000000"/>
              </w:rPr>
              <w:t>West Suffolk Ave.</w:t>
            </w:r>
          </w:p>
        </w:tc>
        <w:tc>
          <w:tcPr>
            <w:tcW w:w="811" w:type="pct"/>
            <w:hideMark/>
          </w:tcPr>
          <w:p w14:paraId="1862A19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18.1%</w:t>
            </w:r>
          </w:p>
        </w:tc>
        <w:tc>
          <w:tcPr>
            <w:tcW w:w="811" w:type="pct"/>
            <w:hideMark/>
          </w:tcPr>
          <w:p w14:paraId="1ADD5A33"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50.2%</w:t>
            </w:r>
          </w:p>
        </w:tc>
        <w:tc>
          <w:tcPr>
            <w:tcW w:w="811" w:type="pct"/>
            <w:hideMark/>
          </w:tcPr>
          <w:p w14:paraId="38DA092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66.7%</w:t>
            </w:r>
          </w:p>
        </w:tc>
        <w:tc>
          <w:tcPr>
            <w:tcW w:w="811" w:type="pct"/>
            <w:hideMark/>
          </w:tcPr>
          <w:p w14:paraId="1F9EFB7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212.9%</w:t>
            </w:r>
          </w:p>
        </w:tc>
      </w:tr>
      <w:tr w:rsidR="007F2ADD" w14:paraId="34F70747" w14:textId="77777777" w:rsidTr="004F4BA7">
        <w:trPr>
          <w:trHeight w:val="28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70CBC363" w14:textId="77777777" w:rsidR="007F2ADD" w:rsidRDefault="007F2ADD" w:rsidP="00B74A73">
            <w:pPr>
              <w:keepNext/>
              <w:rPr>
                <w:b/>
                <w:bCs/>
                <w:color w:val="000000"/>
              </w:rPr>
            </w:pPr>
            <w:r>
              <w:rPr>
                <w:b/>
                <w:bCs/>
                <w:color w:val="000000"/>
              </w:rPr>
              <w:t xml:space="preserve">HMA </w:t>
            </w:r>
          </w:p>
        </w:tc>
        <w:tc>
          <w:tcPr>
            <w:tcW w:w="811" w:type="pct"/>
            <w:hideMark/>
          </w:tcPr>
          <w:p w14:paraId="54139F7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20.9%</w:t>
            </w:r>
          </w:p>
        </w:tc>
        <w:tc>
          <w:tcPr>
            <w:tcW w:w="811" w:type="pct"/>
            <w:hideMark/>
          </w:tcPr>
          <w:p w14:paraId="0FD913F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58.5%</w:t>
            </w:r>
          </w:p>
        </w:tc>
        <w:tc>
          <w:tcPr>
            <w:tcW w:w="811" w:type="pct"/>
            <w:hideMark/>
          </w:tcPr>
          <w:p w14:paraId="15DF90A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78.7%</w:t>
            </w:r>
          </w:p>
        </w:tc>
        <w:tc>
          <w:tcPr>
            <w:tcW w:w="811" w:type="pct"/>
            <w:hideMark/>
          </w:tcPr>
          <w:p w14:paraId="3CBCE05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228.1%</w:t>
            </w:r>
          </w:p>
        </w:tc>
      </w:tr>
      <w:tr w:rsidR="007F2ADD" w14:paraId="0EE8825A" w14:textId="77777777" w:rsidTr="004F4BA7">
        <w:trPr>
          <w:trHeight w:val="28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03DF05F0" w14:textId="77777777" w:rsidR="007F2ADD" w:rsidRDefault="007F2ADD" w:rsidP="00B74A73">
            <w:pPr>
              <w:keepNext/>
              <w:rPr>
                <w:color w:val="000000"/>
              </w:rPr>
            </w:pPr>
            <w:r>
              <w:rPr>
                <w:color w:val="000000"/>
              </w:rPr>
              <w:t xml:space="preserve">Greater Cambridge </w:t>
            </w:r>
          </w:p>
        </w:tc>
        <w:tc>
          <w:tcPr>
            <w:tcW w:w="811" w:type="pct"/>
            <w:hideMark/>
          </w:tcPr>
          <w:p w14:paraId="1DF3852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8.8%</w:t>
            </w:r>
          </w:p>
        </w:tc>
        <w:tc>
          <w:tcPr>
            <w:tcW w:w="811" w:type="pct"/>
            <w:hideMark/>
          </w:tcPr>
          <w:p w14:paraId="22490A02"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56.9%</w:t>
            </w:r>
          </w:p>
        </w:tc>
        <w:tc>
          <w:tcPr>
            <w:tcW w:w="811" w:type="pct"/>
            <w:hideMark/>
          </w:tcPr>
          <w:p w14:paraId="6711AF7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87.9%</w:t>
            </w:r>
          </w:p>
        </w:tc>
        <w:tc>
          <w:tcPr>
            <w:tcW w:w="811" w:type="pct"/>
            <w:hideMark/>
          </w:tcPr>
          <w:p w14:paraId="2C853FAC"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222.2%</w:t>
            </w:r>
          </w:p>
        </w:tc>
      </w:tr>
      <w:tr w:rsidR="007F2ADD" w14:paraId="294C8958"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08DD7A82" w14:textId="77777777" w:rsidR="007F2ADD" w:rsidRDefault="007F2ADD" w:rsidP="00B74A73">
            <w:pPr>
              <w:keepNext/>
              <w:rPr>
                <w:color w:val="000000"/>
              </w:rPr>
            </w:pPr>
            <w:r>
              <w:rPr>
                <w:color w:val="000000"/>
              </w:rPr>
              <w:t>East of England</w:t>
            </w:r>
          </w:p>
        </w:tc>
        <w:tc>
          <w:tcPr>
            <w:tcW w:w="811" w:type="pct"/>
            <w:hideMark/>
          </w:tcPr>
          <w:p w14:paraId="33B18F77"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18.0%</w:t>
            </w:r>
          </w:p>
        </w:tc>
        <w:tc>
          <w:tcPr>
            <w:tcW w:w="811" w:type="pct"/>
            <w:hideMark/>
          </w:tcPr>
          <w:p w14:paraId="3DD9919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42.5%</w:t>
            </w:r>
          </w:p>
        </w:tc>
        <w:tc>
          <w:tcPr>
            <w:tcW w:w="811" w:type="pct"/>
            <w:hideMark/>
          </w:tcPr>
          <w:p w14:paraId="5EB2FAA9"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66.7%</w:t>
            </w:r>
          </w:p>
        </w:tc>
        <w:tc>
          <w:tcPr>
            <w:tcW w:w="811" w:type="pct"/>
            <w:hideMark/>
          </w:tcPr>
          <w:p w14:paraId="13471710"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216.8%</w:t>
            </w:r>
          </w:p>
        </w:tc>
      </w:tr>
      <w:tr w:rsidR="007F2ADD" w14:paraId="43DE7952" w14:textId="77777777" w:rsidTr="004F4BA7">
        <w:trPr>
          <w:trHeight w:val="285"/>
        </w:trPr>
        <w:tc>
          <w:tcPr>
            <w:cnfStyle w:val="001000000000" w:firstRow="0" w:lastRow="0" w:firstColumn="1" w:lastColumn="0" w:oddVBand="0" w:evenVBand="0" w:oddHBand="0" w:evenHBand="0" w:firstRowFirstColumn="0" w:firstRowLastColumn="0" w:lastRowFirstColumn="0" w:lastRowLastColumn="0"/>
            <w:tcW w:w="1757" w:type="pct"/>
            <w:noWrap/>
            <w:hideMark/>
          </w:tcPr>
          <w:p w14:paraId="783DC836" w14:textId="77777777" w:rsidR="007F2ADD" w:rsidRDefault="007F2ADD" w:rsidP="00B74A73">
            <w:pPr>
              <w:keepNext/>
              <w:rPr>
                <w:color w:val="000000"/>
              </w:rPr>
            </w:pPr>
            <w:r>
              <w:rPr>
                <w:color w:val="000000"/>
              </w:rPr>
              <w:t xml:space="preserve">England </w:t>
            </w:r>
          </w:p>
        </w:tc>
        <w:tc>
          <w:tcPr>
            <w:tcW w:w="811" w:type="pct"/>
            <w:hideMark/>
          </w:tcPr>
          <w:p w14:paraId="7536B840"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14.9%</w:t>
            </w:r>
          </w:p>
        </w:tc>
        <w:tc>
          <w:tcPr>
            <w:tcW w:w="811" w:type="pct"/>
            <w:hideMark/>
          </w:tcPr>
          <w:p w14:paraId="4F475A2C"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27.6%</w:t>
            </w:r>
          </w:p>
        </w:tc>
        <w:tc>
          <w:tcPr>
            <w:tcW w:w="811" w:type="pct"/>
            <w:hideMark/>
          </w:tcPr>
          <w:p w14:paraId="7F5B2B9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49.7%</w:t>
            </w:r>
          </w:p>
        </w:tc>
        <w:tc>
          <w:tcPr>
            <w:tcW w:w="811" w:type="pct"/>
            <w:hideMark/>
          </w:tcPr>
          <w:p w14:paraId="67A519DF"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188.9%</w:t>
            </w:r>
          </w:p>
        </w:tc>
      </w:tr>
    </w:tbl>
    <w:p w14:paraId="48E11B8D" w14:textId="77777777" w:rsidR="007F2ADD" w:rsidRDefault="007F2ADD" w:rsidP="00B74A73">
      <w:pPr>
        <w:pStyle w:val="11Bodytext"/>
        <w:numPr>
          <w:ilvl w:val="0"/>
          <w:numId w:val="0"/>
        </w:numPr>
        <w:spacing w:before="0" w:line="240" w:lineRule="auto"/>
        <w:ind w:left="794"/>
      </w:pPr>
      <w:r>
        <w:t>Source: DCLG Live Tables: Land Registry Data, 2019</w:t>
      </w:r>
    </w:p>
    <w:p w14:paraId="7EEAC51D" w14:textId="77777777" w:rsidR="007F2ADD" w:rsidRDefault="007F2ADD" w:rsidP="007D0FBF">
      <w:pPr>
        <w:pStyle w:val="11Bodytext"/>
      </w:pPr>
      <w:r>
        <w:t xml:space="preserve">Over the last 10, 15 and 20 years, the largest house price growth was in Cambridge. The lowest growth over these periods was in Fenland (10 and 15 years) where there is lower demand and South Cambridgeshire (20 years) which had a high starting point. </w:t>
      </w:r>
    </w:p>
    <w:p w14:paraId="0F98E206" w14:textId="77777777" w:rsidR="007F2ADD" w:rsidRDefault="007F2ADD" w:rsidP="007D0FBF">
      <w:pPr>
        <w:pStyle w:val="11Bodytext"/>
      </w:pPr>
      <w:r>
        <w:t>In the shorter term (5-years) the highest percentage growth in median house prices has been in East Cambridgeshire (26.6%) and the lowest percentage growth in median house prices has been within Cambridge (3.0%).   This could be part explained by the recent high levels of supply in Cambridge which has meant supply has kept up with demand.  The opposite is true in East Cambridgeshire (see completions section towards the end of this chapter).</w:t>
      </w:r>
    </w:p>
    <w:p w14:paraId="7723B6A6" w14:textId="77777777" w:rsidR="007F2ADD" w:rsidRDefault="007F2ADD" w:rsidP="007D0FBF">
      <w:pPr>
        <w:pStyle w:val="11Bodytext"/>
      </w:pPr>
      <w:r>
        <w:t xml:space="preserve">The figure below outlines the absolute change to median house prices across the study area. The change to median house prices over the last 20 years in the HMA is comparable to the house price changes in the East of England. However, the HMA house price growth surpasses the national median house price growth. </w:t>
      </w:r>
    </w:p>
    <w:p w14:paraId="30230088" w14:textId="33D996BC" w:rsidR="007F2ADD" w:rsidRDefault="007F2ADD" w:rsidP="003D5E23">
      <w:pPr>
        <w:pStyle w:val="Tableheading"/>
        <w:numPr>
          <w:ilvl w:val="0"/>
          <w:numId w:val="54"/>
        </w:numPr>
      </w:pPr>
      <w:r>
        <w:lastRenderedPageBreak/>
        <w:t>Absolute Change in Median House Prices, 199</w:t>
      </w:r>
      <w:r w:rsidR="00613EAC">
        <w:t>9</w:t>
      </w:r>
      <w:r>
        <w:t>-2019</w:t>
      </w:r>
    </w:p>
    <w:p w14:paraId="49D82F8E" w14:textId="77777777" w:rsidR="007F2ADD" w:rsidRDefault="007F2ADD" w:rsidP="00B74A73">
      <w:pPr>
        <w:pStyle w:val="11Bodytext"/>
        <w:numPr>
          <w:ilvl w:val="0"/>
          <w:numId w:val="0"/>
        </w:numPr>
        <w:spacing w:before="0" w:after="0" w:line="240" w:lineRule="auto"/>
        <w:ind w:left="794"/>
      </w:pPr>
      <w:r>
        <w:rPr>
          <w:noProof/>
        </w:rPr>
        <w:drawing>
          <wp:inline distT="0" distB="0" distL="0" distR="0" wp14:anchorId="6EC6EC8E" wp14:editId="357D7E60">
            <wp:extent cx="5631180" cy="3307080"/>
            <wp:effectExtent l="0" t="0" r="7620" b="7620"/>
            <wp:docPr id="1087" name="Chart 1087" descr="bar chart showing the absolute change in median house prices, 1999-2019">
              <a:extLst xmlns:a="http://schemas.openxmlformats.org/drawingml/2006/main">
                <a:ext uri="{FF2B5EF4-FFF2-40B4-BE49-F238E27FC236}">
                  <a16:creationId xmlns:a16="http://schemas.microsoft.com/office/drawing/2014/main" id="{740A6317-A4EB-49FF-8D94-E2A241539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A545BD" w14:textId="77777777" w:rsidR="007F2ADD" w:rsidRDefault="007F2ADD" w:rsidP="00B74A73">
      <w:pPr>
        <w:pStyle w:val="11Bodytext"/>
        <w:numPr>
          <w:ilvl w:val="0"/>
          <w:numId w:val="0"/>
        </w:numPr>
        <w:spacing w:before="0" w:line="240" w:lineRule="auto"/>
        <w:ind w:left="794"/>
      </w:pPr>
      <w:r>
        <w:t>Source: DCLG Live Tables: Land Registry Data, 2019</w:t>
      </w:r>
    </w:p>
    <w:p w14:paraId="30710D66" w14:textId="77777777" w:rsidR="007F2ADD" w:rsidRDefault="007F2ADD" w:rsidP="007D0FBF">
      <w:pPr>
        <w:pStyle w:val="11Bodytext"/>
      </w:pPr>
      <w:r>
        <w:t xml:space="preserve">We have also examined the compound annual growth rate (CAGR) of change which shows the house price change in annual terms. The table below presents the findings with the same commentary being applied as the table above. </w:t>
      </w:r>
    </w:p>
    <w:p w14:paraId="7C1BBC32" w14:textId="77777777" w:rsidR="007F2ADD" w:rsidRDefault="007F2ADD" w:rsidP="003D5E23">
      <w:pPr>
        <w:pStyle w:val="Tableheading"/>
        <w:numPr>
          <w:ilvl w:val="0"/>
          <w:numId w:val="54"/>
        </w:numPr>
      </w:pPr>
      <w:r>
        <w:t xml:space="preserve">Annual Compound Annual Growth Rate, 1999-2019 </w:t>
      </w:r>
    </w:p>
    <w:tbl>
      <w:tblPr>
        <w:tblStyle w:val="TableGridLight1"/>
        <w:tblW w:w="8491" w:type="dxa"/>
        <w:tblInd w:w="794" w:type="dxa"/>
        <w:tblLayout w:type="fixed"/>
        <w:tblLook w:val="04A0" w:firstRow="1" w:lastRow="0" w:firstColumn="1" w:lastColumn="0" w:noHBand="0" w:noVBand="1"/>
      </w:tblPr>
      <w:tblGrid>
        <w:gridCol w:w="2336"/>
        <w:gridCol w:w="1538"/>
        <w:gridCol w:w="1539"/>
        <w:gridCol w:w="1539"/>
        <w:gridCol w:w="1539"/>
      </w:tblGrid>
      <w:tr w:rsidR="007F2ADD" w14:paraId="4E85E7A4" w14:textId="77777777" w:rsidTr="00B74A7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376" w:type="pct"/>
            <w:noWrap/>
            <w:hideMark/>
          </w:tcPr>
          <w:p w14:paraId="4F0FC891" w14:textId="77777777" w:rsidR="007F2ADD" w:rsidRPr="00605B15" w:rsidRDefault="007F2ADD" w:rsidP="00B74A73">
            <w:pPr>
              <w:keepNext/>
            </w:pPr>
          </w:p>
        </w:tc>
        <w:tc>
          <w:tcPr>
            <w:tcW w:w="906" w:type="pct"/>
            <w:hideMark/>
          </w:tcPr>
          <w:p w14:paraId="2B8E4D00"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5-year change</w:t>
            </w:r>
          </w:p>
        </w:tc>
        <w:tc>
          <w:tcPr>
            <w:tcW w:w="906" w:type="pct"/>
            <w:hideMark/>
          </w:tcPr>
          <w:p w14:paraId="0D2CC92D"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10-year change</w:t>
            </w:r>
          </w:p>
        </w:tc>
        <w:tc>
          <w:tcPr>
            <w:tcW w:w="906" w:type="pct"/>
            <w:hideMark/>
          </w:tcPr>
          <w:p w14:paraId="0A2E8477"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15-year change</w:t>
            </w:r>
          </w:p>
        </w:tc>
        <w:tc>
          <w:tcPr>
            <w:tcW w:w="906" w:type="pct"/>
            <w:hideMark/>
          </w:tcPr>
          <w:p w14:paraId="359C76CA" w14:textId="77777777" w:rsidR="007F2ADD" w:rsidRPr="00605B15" w:rsidRDefault="007F2ADD" w:rsidP="00B74A73">
            <w:pPr>
              <w:keepNext/>
              <w:cnfStyle w:val="100000000000" w:firstRow="1" w:lastRow="0" w:firstColumn="0" w:lastColumn="0" w:oddVBand="0" w:evenVBand="0" w:oddHBand="0" w:evenHBand="0" w:firstRowFirstColumn="0" w:firstRowLastColumn="0" w:lastRowFirstColumn="0" w:lastRowLastColumn="0"/>
            </w:pPr>
            <w:r w:rsidRPr="00605B15">
              <w:t>20-year change</w:t>
            </w:r>
          </w:p>
        </w:tc>
      </w:tr>
      <w:tr w:rsidR="007F2ADD" w14:paraId="765CE2C2" w14:textId="77777777" w:rsidTr="00B74A73">
        <w:trPr>
          <w:trHeight w:val="24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02146AA1" w14:textId="77777777" w:rsidR="007F2ADD" w:rsidRDefault="007F2ADD" w:rsidP="00B74A73">
            <w:pPr>
              <w:keepNext/>
            </w:pPr>
            <w:r>
              <w:t>Cambridge</w:t>
            </w:r>
          </w:p>
        </w:tc>
        <w:tc>
          <w:tcPr>
            <w:tcW w:w="906" w:type="pct"/>
            <w:hideMark/>
          </w:tcPr>
          <w:p w14:paraId="644B531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0.6%</w:t>
            </w:r>
          </w:p>
        </w:tc>
        <w:tc>
          <w:tcPr>
            <w:tcW w:w="906" w:type="pct"/>
            <w:hideMark/>
          </w:tcPr>
          <w:p w14:paraId="38C07B52"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4.8%</w:t>
            </w:r>
          </w:p>
        </w:tc>
        <w:tc>
          <w:tcPr>
            <w:tcW w:w="906" w:type="pct"/>
            <w:hideMark/>
          </w:tcPr>
          <w:p w14:paraId="4B47C5F7"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4.6%</w:t>
            </w:r>
          </w:p>
        </w:tc>
        <w:tc>
          <w:tcPr>
            <w:tcW w:w="906" w:type="pct"/>
            <w:hideMark/>
          </w:tcPr>
          <w:p w14:paraId="1B827205"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6.4%</w:t>
            </w:r>
          </w:p>
        </w:tc>
      </w:tr>
      <w:tr w:rsidR="007F2ADD" w14:paraId="0A343738"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64742E7A" w14:textId="77777777" w:rsidR="007F2ADD" w:rsidRDefault="007F2ADD" w:rsidP="00B74A73">
            <w:pPr>
              <w:keepNext/>
            </w:pPr>
            <w:r>
              <w:rPr>
                <w:color w:val="auto"/>
                <w:lang w:eastAsia="en-GB"/>
              </w:rPr>
              <w:t>East Cambs</w:t>
            </w:r>
          </w:p>
        </w:tc>
        <w:tc>
          <w:tcPr>
            <w:tcW w:w="906" w:type="pct"/>
            <w:hideMark/>
          </w:tcPr>
          <w:p w14:paraId="5827DDDA"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4.8%</w:t>
            </w:r>
          </w:p>
        </w:tc>
        <w:tc>
          <w:tcPr>
            <w:tcW w:w="906" w:type="pct"/>
            <w:hideMark/>
          </w:tcPr>
          <w:p w14:paraId="0C76E4B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4.5%</w:t>
            </w:r>
          </w:p>
        </w:tc>
        <w:tc>
          <w:tcPr>
            <w:tcW w:w="906" w:type="pct"/>
            <w:hideMark/>
          </w:tcPr>
          <w:p w14:paraId="4831F9C1"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3.6%</w:t>
            </w:r>
          </w:p>
        </w:tc>
        <w:tc>
          <w:tcPr>
            <w:tcW w:w="906" w:type="pct"/>
            <w:hideMark/>
          </w:tcPr>
          <w:p w14:paraId="40474BD0"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5.8%</w:t>
            </w:r>
          </w:p>
        </w:tc>
      </w:tr>
      <w:tr w:rsidR="007F2ADD" w14:paraId="21C04B1F"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10370BDB" w14:textId="77777777" w:rsidR="007F2ADD" w:rsidRDefault="007F2ADD" w:rsidP="00B74A73">
            <w:pPr>
              <w:keepNext/>
            </w:pPr>
            <w:r>
              <w:t>Fenland</w:t>
            </w:r>
          </w:p>
        </w:tc>
        <w:tc>
          <w:tcPr>
            <w:tcW w:w="906" w:type="pct"/>
            <w:hideMark/>
          </w:tcPr>
          <w:p w14:paraId="2ACE7FF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4.0%</w:t>
            </w:r>
          </w:p>
        </w:tc>
        <w:tc>
          <w:tcPr>
            <w:tcW w:w="906" w:type="pct"/>
            <w:hideMark/>
          </w:tcPr>
          <w:p w14:paraId="4F10E5E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3.1%</w:t>
            </w:r>
          </w:p>
        </w:tc>
        <w:tc>
          <w:tcPr>
            <w:tcW w:w="906" w:type="pct"/>
            <w:hideMark/>
          </w:tcPr>
          <w:p w14:paraId="565186D8"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2.3%</w:t>
            </w:r>
          </w:p>
        </w:tc>
        <w:tc>
          <w:tcPr>
            <w:tcW w:w="906" w:type="pct"/>
            <w:hideMark/>
          </w:tcPr>
          <w:p w14:paraId="10AEECD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5.7%</w:t>
            </w:r>
          </w:p>
        </w:tc>
      </w:tr>
      <w:tr w:rsidR="007F2ADD" w14:paraId="5EBC0B20"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690EB063" w14:textId="77777777" w:rsidR="007F2ADD" w:rsidRDefault="007F2ADD" w:rsidP="00B74A73">
            <w:pPr>
              <w:keepNext/>
            </w:pPr>
            <w:r>
              <w:t>Huntingdonshire</w:t>
            </w:r>
          </w:p>
        </w:tc>
        <w:tc>
          <w:tcPr>
            <w:tcW w:w="906" w:type="pct"/>
            <w:hideMark/>
          </w:tcPr>
          <w:p w14:paraId="7391B4C8"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3.6%</w:t>
            </w:r>
          </w:p>
        </w:tc>
        <w:tc>
          <w:tcPr>
            <w:tcW w:w="906" w:type="pct"/>
            <w:hideMark/>
          </w:tcPr>
          <w:p w14:paraId="37D14F4C"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4.4%</w:t>
            </w:r>
          </w:p>
        </w:tc>
        <w:tc>
          <w:tcPr>
            <w:tcW w:w="906" w:type="pct"/>
            <w:hideMark/>
          </w:tcPr>
          <w:p w14:paraId="73DBED2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3.5%</w:t>
            </w:r>
          </w:p>
        </w:tc>
        <w:tc>
          <w:tcPr>
            <w:tcW w:w="906" w:type="pct"/>
            <w:hideMark/>
          </w:tcPr>
          <w:p w14:paraId="5725C323"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6.0%</w:t>
            </w:r>
          </w:p>
        </w:tc>
      </w:tr>
      <w:tr w:rsidR="007F2ADD" w14:paraId="1AFDC00D"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6F03BCAA" w14:textId="77777777" w:rsidR="007F2ADD" w:rsidRDefault="007F2ADD" w:rsidP="00B74A73">
            <w:pPr>
              <w:keepNext/>
            </w:pPr>
            <w:r>
              <w:t>South Cambs</w:t>
            </w:r>
          </w:p>
        </w:tc>
        <w:tc>
          <w:tcPr>
            <w:tcW w:w="906" w:type="pct"/>
            <w:hideMark/>
          </w:tcPr>
          <w:p w14:paraId="7D69B120"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3.1%</w:t>
            </w:r>
          </w:p>
        </w:tc>
        <w:tc>
          <w:tcPr>
            <w:tcW w:w="906" w:type="pct"/>
            <w:hideMark/>
          </w:tcPr>
          <w:p w14:paraId="5ABD2411"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4.4%</w:t>
            </w:r>
          </w:p>
        </w:tc>
        <w:tc>
          <w:tcPr>
            <w:tcW w:w="906" w:type="pct"/>
            <w:hideMark/>
          </w:tcPr>
          <w:p w14:paraId="251D7B5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4.0%</w:t>
            </w:r>
          </w:p>
        </w:tc>
        <w:tc>
          <w:tcPr>
            <w:tcW w:w="906" w:type="pct"/>
            <w:hideMark/>
          </w:tcPr>
          <w:p w14:paraId="77127AC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5.6%</w:t>
            </w:r>
          </w:p>
        </w:tc>
      </w:tr>
      <w:tr w:rsidR="007F2ADD" w14:paraId="0ADA4C49" w14:textId="77777777" w:rsidTr="00B74A73">
        <w:trPr>
          <w:trHeight w:val="24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13BD6168" w14:textId="77777777" w:rsidR="007F2ADD" w:rsidRDefault="007F2ADD" w:rsidP="00B74A73">
            <w:pPr>
              <w:keepNext/>
              <w:rPr>
                <w:color w:val="000000"/>
              </w:rPr>
            </w:pPr>
            <w:r>
              <w:rPr>
                <w:color w:val="000000"/>
              </w:rPr>
              <w:t>West Suffolk Ave.</w:t>
            </w:r>
          </w:p>
        </w:tc>
        <w:tc>
          <w:tcPr>
            <w:tcW w:w="906" w:type="pct"/>
            <w:hideMark/>
          </w:tcPr>
          <w:p w14:paraId="634E8C79"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3.4%</w:t>
            </w:r>
          </w:p>
        </w:tc>
        <w:tc>
          <w:tcPr>
            <w:tcW w:w="906" w:type="pct"/>
            <w:hideMark/>
          </w:tcPr>
          <w:p w14:paraId="576FF8EA"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4.2%</w:t>
            </w:r>
          </w:p>
        </w:tc>
        <w:tc>
          <w:tcPr>
            <w:tcW w:w="906" w:type="pct"/>
            <w:hideMark/>
          </w:tcPr>
          <w:p w14:paraId="7DAD059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3.5%</w:t>
            </w:r>
          </w:p>
        </w:tc>
        <w:tc>
          <w:tcPr>
            <w:tcW w:w="906" w:type="pct"/>
            <w:hideMark/>
          </w:tcPr>
          <w:p w14:paraId="71BD6BB7"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5.9%</w:t>
            </w:r>
          </w:p>
        </w:tc>
      </w:tr>
      <w:tr w:rsidR="007F2ADD" w14:paraId="063280E3"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73AD4949" w14:textId="77777777" w:rsidR="007F2ADD" w:rsidRDefault="007F2ADD" w:rsidP="00B74A73">
            <w:pPr>
              <w:keepNext/>
              <w:rPr>
                <w:b/>
                <w:bCs/>
                <w:color w:val="000000"/>
              </w:rPr>
            </w:pPr>
            <w:r>
              <w:rPr>
                <w:b/>
                <w:bCs/>
                <w:color w:val="000000"/>
              </w:rPr>
              <w:t xml:space="preserve">HMA </w:t>
            </w:r>
          </w:p>
        </w:tc>
        <w:tc>
          <w:tcPr>
            <w:tcW w:w="906" w:type="pct"/>
            <w:hideMark/>
          </w:tcPr>
          <w:p w14:paraId="59E15B45"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3.9%</w:t>
            </w:r>
          </w:p>
        </w:tc>
        <w:tc>
          <w:tcPr>
            <w:tcW w:w="906" w:type="pct"/>
            <w:hideMark/>
          </w:tcPr>
          <w:p w14:paraId="357759AF"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4.7%</w:t>
            </w:r>
          </w:p>
        </w:tc>
        <w:tc>
          <w:tcPr>
            <w:tcW w:w="906" w:type="pct"/>
            <w:hideMark/>
          </w:tcPr>
          <w:p w14:paraId="3EB84C77"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3.9%</w:t>
            </w:r>
          </w:p>
        </w:tc>
        <w:tc>
          <w:tcPr>
            <w:tcW w:w="906" w:type="pct"/>
            <w:hideMark/>
          </w:tcPr>
          <w:p w14:paraId="3F5A4C6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rPr>
                <w:b/>
                <w:bCs/>
              </w:rPr>
            </w:pPr>
            <w:r>
              <w:rPr>
                <w:b/>
                <w:bCs/>
              </w:rPr>
              <w:t>6.1%</w:t>
            </w:r>
          </w:p>
        </w:tc>
      </w:tr>
      <w:tr w:rsidR="007F2ADD" w14:paraId="1B9D0C81"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5A873A0A" w14:textId="77777777" w:rsidR="007F2ADD" w:rsidRDefault="007F2ADD" w:rsidP="00B74A73">
            <w:pPr>
              <w:keepNext/>
              <w:rPr>
                <w:color w:val="000000"/>
              </w:rPr>
            </w:pPr>
            <w:r>
              <w:rPr>
                <w:color w:val="000000"/>
              </w:rPr>
              <w:t xml:space="preserve">Greater Cambridge </w:t>
            </w:r>
          </w:p>
        </w:tc>
        <w:tc>
          <w:tcPr>
            <w:tcW w:w="906" w:type="pct"/>
            <w:hideMark/>
          </w:tcPr>
          <w:p w14:paraId="10CA669B"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1.7%</w:t>
            </w:r>
          </w:p>
        </w:tc>
        <w:tc>
          <w:tcPr>
            <w:tcW w:w="906" w:type="pct"/>
            <w:hideMark/>
          </w:tcPr>
          <w:p w14:paraId="3FCEFB09"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4.6%</w:t>
            </w:r>
          </w:p>
        </w:tc>
        <w:tc>
          <w:tcPr>
            <w:tcW w:w="906" w:type="pct"/>
            <w:hideMark/>
          </w:tcPr>
          <w:p w14:paraId="028160FD"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4.3%</w:t>
            </w:r>
          </w:p>
        </w:tc>
        <w:tc>
          <w:tcPr>
            <w:tcW w:w="906" w:type="pct"/>
            <w:hideMark/>
          </w:tcPr>
          <w:p w14:paraId="38727FC9"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6.0%</w:t>
            </w:r>
          </w:p>
        </w:tc>
      </w:tr>
      <w:tr w:rsidR="007F2ADD" w14:paraId="146FED4A" w14:textId="77777777" w:rsidTr="00B74A73">
        <w:trPr>
          <w:trHeight w:val="25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72F56A1B" w14:textId="77777777" w:rsidR="007F2ADD" w:rsidRDefault="007F2ADD" w:rsidP="00B74A73">
            <w:pPr>
              <w:keepNext/>
              <w:rPr>
                <w:color w:val="000000"/>
              </w:rPr>
            </w:pPr>
            <w:r>
              <w:rPr>
                <w:color w:val="000000"/>
              </w:rPr>
              <w:t>East of England</w:t>
            </w:r>
          </w:p>
        </w:tc>
        <w:tc>
          <w:tcPr>
            <w:tcW w:w="906" w:type="pct"/>
            <w:hideMark/>
          </w:tcPr>
          <w:p w14:paraId="4BF48552"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3.4%</w:t>
            </w:r>
          </w:p>
        </w:tc>
        <w:tc>
          <w:tcPr>
            <w:tcW w:w="906" w:type="pct"/>
            <w:hideMark/>
          </w:tcPr>
          <w:p w14:paraId="7EAB69D6"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3.6%</w:t>
            </w:r>
          </w:p>
        </w:tc>
        <w:tc>
          <w:tcPr>
            <w:tcW w:w="906" w:type="pct"/>
            <w:hideMark/>
          </w:tcPr>
          <w:p w14:paraId="110828C9"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3.5%</w:t>
            </w:r>
          </w:p>
        </w:tc>
        <w:tc>
          <w:tcPr>
            <w:tcW w:w="906" w:type="pct"/>
            <w:hideMark/>
          </w:tcPr>
          <w:p w14:paraId="01116C2F"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5.9%</w:t>
            </w:r>
          </w:p>
        </w:tc>
      </w:tr>
      <w:tr w:rsidR="007F2ADD" w14:paraId="3317F6A7" w14:textId="77777777" w:rsidTr="00B74A73">
        <w:trPr>
          <w:trHeight w:val="243"/>
        </w:trPr>
        <w:tc>
          <w:tcPr>
            <w:cnfStyle w:val="001000000000" w:firstRow="0" w:lastRow="0" w:firstColumn="1" w:lastColumn="0" w:oddVBand="0" w:evenVBand="0" w:oddHBand="0" w:evenHBand="0" w:firstRowFirstColumn="0" w:firstRowLastColumn="0" w:lastRowFirstColumn="0" w:lastRowLastColumn="0"/>
            <w:tcW w:w="1376" w:type="pct"/>
            <w:noWrap/>
            <w:hideMark/>
          </w:tcPr>
          <w:p w14:paraId="24EEFBCA" w14:textId="77777777" w:rsidR="007F2ADD" w:rsidRDefault="007F2ADD" w:rsidP="00B74A73">
            <w:pPr>
              <w:keepNext/>
              <w:rPr>
                <w:color w:val="000000"/>
              </w:rPr>
            </w:pPr>
            <w:r>
              <w:rPr>
                <w:color w:val="000000"/>
              </w:rPr>
              <w:t xml:space="preserve">England </w:t>
            </w:r>
          </w:p>
        </w:tc>
        <w:tc>
          <w:tcPr>
            <w:tcW w:w="906" w:type="pct"/>
            <w:hideMark/>
          </w:tcPr>
          <w:p w14:paraId="7F3E336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2.8%</w:t>
            </w:r>
          </w:p>
        </w:tc>
        <w:tc>
          <w:tcPr>
            <w:tcW w:w="906" w:type="pct"/>
            <w:hideMark/>
          </w:tcPr>
          <w:p w14:paraId="1048109E"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2.5%</w:t>
            </w:r>
          </w:p>
        </w:tc>
        <w:tc>
          <w:tcPr>
            <w:tcW w:w="906" w:type="pct"/>
            <w:hideMark/>
          </w:tcPr>
          <w:p w14:paraId="37B22CD4"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2.7%</w:t>
            </w:r>
          </w:p>
        </w:tc>
        <w:tc>
          <w:tcPr>
            <w:tcW w:w="906" w:type="pct"/>
            <w:hideMark/>
          </w:tcPr>
          <w:p w14:paraId="496E9A08" w14:textId="77777777" w:rsidR="007F2ADD" w:rsidRDefault="007F2ADD" w:rsidP="00B74A73">
            <w:pPr>
              <w:keepNext/>
              <w:cnfStyle w:val="000000000000" w:firstRow="0" w:lastRow="0" w:firstColumn="0" w:lastColumn="0" w:oddVBand="0" w:evenVBand="0" w:oddHBand="0" w:evenHBand="0" w:firstRowFirstColumn="0" w:firstRowLastColumn="0" w:lastRowFirstColumn="0" w:lastRowLastColumn="0"/>
            </w:pPr>
            <w:r>
              <w:t>5.4%</w:t>
            </w:r>
          </w:p>
        </w:tc>
      </w:tr>
    </w:tbl>
    <w:p w14:paraId="395E4507" w14:textId="77777777" w:rsidR="007F2ADD" w:rsidRDefault="007F2ADD" w:rsidP="00B74A73">
      <w:pPr>
        <w:pStyle w:val="11Bodytext"/>
        <w:numPr>
          <w:ilvl w:val="0"/>
          <w:numId w:val="0"/>
        </w:numPr>
        <w:spacing w:before="0" w:line="240" w:lineRule="auto"/>
        <w:ind w:left="794"/>
      </w:pPr>
      <w:r>
        <w:t xml:space="preserve">Source: Land Registry, Price Paid Data, 2020 </w:t>
      </w:r>
    </w:p>
    <w:p w14:paraId="708AE7A5" w14:textId="3301975B" w:rsidR="007F2ADD" w:rsidRDefault="007F2ADD" w:rsidP="007D0FBF">
      <w:pPr>
        <w:pStyle w:val="Heading3"/>
      </w:pPr>
      <w:r>
        <w:lastRenderedPageBreak/>
        <w:t xml:space="preserve">House Price and Sales by Type </w:t>
      </w:r>
    </w:p>
    <w:p w14:paraId="1BE5976F" w14:textId="77777777" w:rsidR="007F2ADD" w:rsidRDefault="007F2ADD" w:rsidP="007D0FBF">
      <w:pPr>
        <w:pStyle w:val="11Bodytext"/>
      </w:pPr>
      <w:r>
        <w:t xml:space="preserve">The following section examines sales data by type of property for 2019. Housing values for all property types are in line with the regional average and slightly higher than the national average. </w:t>
      </w:r>
    </w:p>
    <w:p w14:paraId="51EF45C7" w14:textId="77777777" w:rsidR="007F2ADD" w:rsidRDefault="007F2ADD" w:rsidP="007D0FBF">
      <w:pPr>
        <w:pStyle w:val="11Bodytext"/>
      </w:pPr>
      <w:r>
        <w:t>Detached, semi-detached and terraced homes median prices in the HMA are below the regional but above the national median price. For flats, the reverse is true with the HMA being above the regional but below the national equivalents, the latter of which tends to be skewed by sales in London.</w:t>
      </w:r>
    </w:p>
    <w:p w14:paraId="6354D5EE" w14:textId="77777777" w:rsidR="007F2ADD" w:rsidRDefault="007F2ADD" w:rsidP="003D5E23">
      <w:pPr>
        <w:pStyle w:val="FigureHeading"/>
      </w:pPr>
      <w:r>
        <w:t xml:space="preserve">Median House Prices by Type of Property, 2019 </w:t>
      </w:r>
    </w:p>
    <w:p w14:paraId="48A00837" w14:textId="77777777" w:rsidR="007F2ADD" w:rsidRDefault="007F2ADD" w:rsidP="00B74A73">
      <w:pPr>
        <w:pStyle w:val="11Bodytext"/>
        <w:numPr>
          <w:ilvl w:val="0"/>
          <w:numId w:val="0"/>
        </w:numPr>
        <w:spacing w:before="0" w:after="0" w:line="240" w:lineRule="auto"/>
        <w:ind w:left="794"/>
      </w:pPr>
      <w:r>
        <w:rPr>
          <w:noProof/>
        </w:rPr>
        <w:drawing>
          <wp:inline distT="0" distB="0" distL="0" distR="0" wp14:anchorId="72EB43B9" wp14:editId="5DA0BCD8">
            <wp:extent cx="5596128" cy="4016045"/>
            <wp:effectExtent l="0" t="0" r="5080" b="3810"/>
            <wp:docPr id="192" name="Chart 192" descr="bar chart displaying median house prices by types of property, 2019">
              <a:extLst xmlns:a="http://schemas.openxmlformats.org/drawingml/2006/main">
                <a:ext uri="{FF2B5EF4-FFF2-40B4-BE49-F238E27FC236}">
                  <a16:creationId xmlns:a16="http://schemas.microsoft.com/office/drawing/2014/main" id="{D3F142AF-6CBD-4151-98AF-FEAE65BDD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681061" w14:textId="77777777" w:rsidR="007F2ADD" w:rsidRPr="00B74A73" w:rsidRDefault="007F2ADD" w:rsidP="00B74A73">
      <w:pPr>
        <w:pStyle w:val="Subheadingbold"/>
        <w:spacing w:line="240" w:lineRule="auto"/>
        <w:rPr>
          <w:b w:val="0"/>
          <w:bCs w:val="0"/>
          <w:sz w:val="24"/>
        </w:rPr>
      </w:pPr>
      <w:r w:rsidRPr="00B74A73">
        <w:rPr>
          <w:b w:val="0"/>
          <w:bCs w:val="0"/>
          <w:sz w:val="24"/>
        </w:rPr>
        <w:t xml:space="preserve">Source: GLH Analysis of Land Registry Price Paid Data, 2019 </w:t>
      </w:r>
    </w:p>
    <w:p w14:paraId="39493061" w14:textId="77777777" w:rsidR="007F2ADD" w:rsidRDefault="007F2ADD" w:rsidP="007D0FBF">
      <w:pPr>
        <w:pStyle w:val="11Bodytext"/>
      </w:pPr>
      <w:r>
        <w:t xml:space="preserve">The figure shows that median house prices in Cambridge exceed all the comparators across all property types. Whereas Fenland is consistently lower than all the median house prices for all property types.  </w:t>
      </w:r>
    </w:p>
    <w:p w14:paraId="47D1DC98" w14:textId="77777777" w:rsidR="007F2ADD" w:rsidRDefault="007F2ADD" w:rsidP="007F2ADD">
      <w:pPr>
        <w:spacing w:after="200"/>
        <w:rPr>
          <w:b/>
        </w:rPr>
      </w:pPr>
      <w:r>
        <w:rPr>
          <w:b/>
          <w:bCs/>
        </w:rPr>
        <w:br w:type="page"/>
      </w:r>
    </w:p>
    <w:p w14:paraId="59088783" w14:textId="77777777" w:rsidR="007F2ADD" w:rsidRDefault="007F2ADD" w:rsidP="00B74A73">
      <w:pPr>
        <w:pStyle w:val="Heading3"/>
      </w:pPr>
      <w:r>
        <w:lastRenderedPageBreak/>
        <w:t>Transactions</w:t>
      </w:r>
    </w:p>
    <w:p w14:paraId="374393B1" w14:textId="77777777" w:rsidR="007F2ADD" w:rsidRDefault="007F2ADD" w:rsidP="007D0FBF">
      <w:pPr>
        <w:pStyle w:val="11Bodytext"/>
      </w:pPr>
      <w:r>
        <w:t xml:space="preserve">When examining the profile of housing sales in the study area, the HMA has a higher percentage of detached (36%) and a lower percentage of flatted dwellings (9%) being sold compared to England in 2019 (24% and 17% respectively). Semi-detached and terraced dwellings each accounted for 25% of sales, and ‘other homes’ including caravans and other non-commercial units accounted for 5%. </w:t>
      </w:r>
    </w:p>
    <w:p w14:paraId="3685C4BE" w14:textId="77777777" w:rsidR="007F2ADD" w:rsidRDefault="007F2ADD" w:rsidP="003D5E23">
      <w:pPr>
        <w:pStyle w:val="FigureHeading"/>
      </w:pPr>
      <w:r>
        <w:t xml:space="preserve">Sales by Dwelling Type (2019) </w:t>
      </w:r>
    </w:p>
    <w:p w14:paraId="44D985E3" w14:textId="77777777" w:rsidR="007F2ADD" w:rsidRDefault="007F2ADD" w:rsidP="00B74A73">
      <w:pPr>
        <w:pStyle w:val="11Bodytext"/>
        <w:numPr>
          <w:ilvl w:val="0"/>
          <w:numId w:val="0"/>
        </w:numPr>
        <w:spacing w:before="0" w:after="0" w:line="240" w:lineRule="auto"/>
        <w:ind w:left="794"/>
      </w:pPr>
      <w:r>
        <w:rPr>
          <w:noProof/>
          <w:lang w:eastAsia="en-GB"/>
        </w:rPr>
        <w:drawing>
          <wp:inline distT="0" distB="0" distL="0" distR="0" wp14:anchorId="6A111A8C" wp14:editId="16686DD3">
            <wp:extent cx="5562600" cy="3284220"/>
            <wp:effectExtent l="0" t="0" r="0" b="11430"/>
            <wp:docPr id="193" name="Chart 193" descr="bar chart showing sales by dwelling type,2019">
              <a:extLst xmlns:a="http://schemas.openxmlformats.org/drawingml/2006/main">
                <a:ext uri="{FF2B5EF4-FFF2-40B4-BE49-F238E27FC236}">
                  <a16:creationId xmlns:a16="http://schemas.microsoft.com/office/drawing/2014/main" id="{947CD4C0-C8E1-44BA-833A-F799092A9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F23FA3" w14:textId="77777777" w:rsidR="007F2ADD" w:rsidRDefault="007F2ADD" w:rsidP="00B74A73">
      <w:pPr>
        <w:pStyle w:val="11Bodytext"/>
        <w:numPr>
          <w:ilvl w:val="0"/>
          <w:numId w:val="0"/>
        </w:numPr>
        <w:spacing w:before="0" w:line="240" w:lineRule="auto"/>
        <w:ind w:left="794"/>
      </w:pPr>
      <w:r>
        <w:t xml:space="preserve">Source: GLH Analysis of Land Registry Price Paid Data, 2019 </w:t>
      </w:r>
    </w:p>
    <w:p w14:paraId="538038D0" w14:textId="3D7868CA" w:rsidR="007F2ADD" w:rsidRDefault="007F2ADD" w:rsidP="007D0FBF">
      <w:pPr>
        <w:pStyle w:val="11Bodytext"/>
      </w:pPr>
      <w:r>
        <w:t xml:space="preserve">Except for Cambridge most of the local authorities in the HMA have a similar pattern of sales. Cambridge differs notably with a disproportionately high percentage of terraced properties being sold (36%), followed by flats (26%). Detached properties in Cambridge only account for 14% of sales compared to </w:t>
      </w:r>
      <w:r w:rsidR="00613EAC">
        <w:t>23%</w:t>
      </w:r>
      <w:r>
        <w:t xml:space="preserve"> nationally. This is a reflection on the existing housing stock within the area. </w:t>
      </w:r>
    </w:p>
    <w:p w14:paraId="79107347" w14:textId="77777777" w:rsidR="007F2ADD" w:rsidRDefault="007F2ADD" w:rsidP="007D0FBF">
      <w:pPr>
        <w:pStyle w:val="11Bodytext"/>
      </w:pPr>
      <w:r>
        <w:t>Despite having the lowest average house prices, Fenland has the highest percentage of detached sales at 45%, reflecting the stock of property available. Such a profile would typically see higher median house prices, yet median prices in Fenland are notably lower.  As explained previously this might reflect wider demand issues in the district.</w:t>
      </w:r>
    </w:p>
    <w:p w14:paraId="07236455" w14:textId="77777777" w:rsidR="007F2ADD" w:rsidRPr="008E6E40" w:rsidRDefault="007F2ADD" w:rsidP="007D0FBF">
      <w:pPr>
        <w:pStyle w:val="Heading3"/>
      </w:pPr>
      <w:r w:rsidRPr="008E6E40">
        <w:lastRenderedPageBreak/>
        <w:t xml:space="preserve">Rental Trends </w:t>
      </w:r>
    </w:p>
    <w:p w14:paraId="73CCB5F7" w14:textId="1DBA2944" w:rsidR="007F2ADD" w:rsidRDefault="007F2ADD" w:rsidP="007D0FBF">
      <w:pPr>
        <w:pStyle w:val="11Bodytext"/>
      </w:pPr>
      <w:r>
        <w:t>On average Median rents in the HMA (£</w:t>
      </w:r>
      <w:r w:rsidR="00613EAC">
        <w:t>859</w:t>
      </w:r>
      <w:r>
        <w:t xml:space="preserve"> pcm) are higher than the regional (£795 pcm) and England medians (£</w:t>
      </w:r>
      <w:r w:rsidR="002548BF">
        <w:t>695</w:t>
      </w:r>
      <w:r>
        <w:t xml:space="preserve"> pcm) according to the Valuations Office Agency (VOA) data. However, only Fenland is below the national median while East Cambridgeshire equals the regional median and Fenland, Huntingdonshire and </w:t>
      </w:r>
      <w:r w:rsidR="00313287">
        <w:t xml:space="preserve">former St Edmundsbury </w:t>
      </w:r>
      <w:r>
        <w:t xml:space="preserve">are below it. The table below presents mean, </w:t>
      </w:r>
      <w:proofErr w:type="gramStart"/>
      <w:r>
        <w:t>median</w:t>
      </w:r>
      <w:proofErr w:type="gramEnd"/>
      <w:r>
        <w:t xml:space="preserve"> and lower quartile rental values by the local authority and the wider geographies. </w:t>
      </w:r>
    </w:p>
    <w:p w14:paraId="0F6DC190" w14:textId="7C094ECA" w:rsidR="007F2ADD" w:rsidRDefault="007F2ADD" w:rsidP="003D5E23">
      <w:pPr>
        <w:pStyle w:val="Tableheading"/>
        <w:numPr>
          <w:ilvl w:val="0"/>
          <w:numId w:val="54"/>
        </w:numPr>
      </w:pPr>
      <w:r>
        <w:t>Average, Median and Lower Quartile Rental Prices, 1 April 2018 to 31 March 2019</w:t>
      </w:r>
    </w:p>
    <w:tbl>
      <w:tblPr>
        <w:tblStyle w:val="TableGrid"/>
        <w:tblW w:w="8455" w:type="dxa"/>
        <w:tblInd w:w="846" w:type="dxa"/>
        <w:tblLook w:val="04A0" w:firstRow="1" w:lastRow="0" w:firstColumn="1" w:lastColumn="0" w:noHBand="0" w:noVBand="1"/>
      </w:tblPr>
      <w:tblGrid>
        <w:gridCol w:w="2551"/>
        <w:gridCol w:w="1963"/>
        <w:gridCol w:w="1879"/>
        <w:gridCol w:w="2062"/>
      </w:tblGrid>
      <w:tr w:rsidR="006721CC" w:rsidRPr="006721CC" w14:paraId="7E221F41" w14:textId="77777777" w:rsidTr="004F4BA7">
        <w:trPr>
          <w:trHeight w:val="238"/>
        </w:trPr>
        <w:tc>
          <w:tcPr>
            <w:tcW w:w="2551" w:type="dxa"/>
            <w:vAlign w:val="center"/>
            <w:hideMark/>
          </w:tcPr>
          <w:p w14:paraId="679BF774" w14:textId="77777777" w:rsidR="006721CC" w:rsidRPr="006721CC" w:rsidRDefault="006721CC" w:rsidP="005A1047">
            <w:pPr>
              <w:ind w:hanging="965"/>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 </w:t>
            </w:r>
          </w:p>
        </w:tc>
        <w:tc>
          <w:tcPr>
            <w:tcW w:w="1963" w:type="dxa"/>
            <w:vAlign w:val="center"/>
            <w:hideMark/>
          </w:tcPr>
          <w:p w14:paraId="6571060A" w14:textId="77777777" w:rsidR="006721CC" w:rsidRPr="006721CC" w:rsidRDefault="006721CC" w:rsidP="00B83A64">
            <w:pPr>
              <w:jc w:val="center"/>
              <w:rPr>
                <w:rFonts w:ascii="Arial Narrow" w:eastAsia="Times New Roman" w:hAnsi="Arial Narrow" w:cs="Times New Roman"/>
                <w:b/>
                <w:bCs/>
                <w:color w:val="000000"/>
                <w:sz w:val="24"/>
                <w:szCs w:val="24"/>
                <w:lang w:eastAsia="en-GB"/>
              </w:rPr>
            </w:pPr>
            <w:r w:rsidRPr="006721CC">
              <w:rPr>
                <w:rFonts w:ascii="Arial Narrow" w:eastAsia="Times New Roman" w:hAnsi="Arial Narrow" w:cs="Times New Roman"/>
                <w:b/>
                <w:bCs/>
                <w:color w:val="000000"/>
                <w:sz w:val="24"/>
                <w:szCs w:val="24"/>
                <w:lang w:eastAsia="en-GB"/>
              </w:rPr>
              <w:t>Mean Average Rent (</w:t>
            </w:r>
            <w:proofErr w:type="spellStart"/>
            <w:r w:rsidRPr="006721CC">
              <w:rPr>
                <w:rFonts w:ascii="Arial Narrow" w:eastAsia="Times New Roman" w:hAnsi="Arial Narrow" w:cs="Times New Roman"/>
                <w:b/>
                <w:bCs/>
                <w:color w:val="000000"/>
                <w:sz w:val="24"/>
                <w:szCs w:val="24"/>
                <w:lang w:eastAsia="en-GB"/>
              </w:rPr>
              <w:t>p.c.m</w:t>
            </w:r>
            <w:proofErr w:type="spellEnd"/>
            <w:r w:rsidRPr="006721CC">
              <w:rPr>
                <w:rFonts w:ascii="Arial Narrow" w:eastAsia="Times New Roman" w:hAnsi="Arial Narrow" w:cs="Times New Roman"/>
                <w:b/>
                <w:bCs/>
                <w:color w:val="000000"/>
                <w:sz w:val="24"/>
                <w:szCs w:val="24"/>
                <w:lang w:eastAsia="en-GB"/>
              </w:rPr>
              <w:t>.)</w:t>
            </w:r>
          </w:p>
        </w:tc>
        <w:tc>
          <w:tcPr>
            <w:tcW w:w="0" w:type="auto"/>
            <w:vAlign w:val="center"/>
            <w:hideMark/>
          </w:tcPr>
          <w:p w14:paraId="3C0192DD" w14:textId="77777777" w:rsidR="006721CC" w:rsidRPr="006721CC" w:rsidRDefault="006721CC" w:rsidP="00B83A64">
            <w:pPr>
              <w:jc w:val="center"/>
              <w:rPr>
                <w:rFonts w:ascii="Arial Narrow" w:eastAsia="Times New Roman" w:hAnsi="Arial Narrow" w:cs="Times New Roman"/>
                <w:b/>
                <w:bCs/>
                <w:color w:val="000000"/>
                <w:sz w:val="24"/>
                <w:szCs w:val="24"/>
                <w:lang w:eastAsia="en-GB"/>
              </w:rPr>
            </w:pPr>
            <w:r w:rsidRPr="006721CC">
              <w:rPr>
                <w:rFonts w:ascii="Arial Narrow" w:eastAsia="Times New Roman" w:hAnsi="Arial Narrow" w:cs="Times New Roman"/>
                <w:b/>
                <w:bCs/>
                <w:color w:val="000000"/>
                <w:sz w:val="24"/>
                <w:szCs w:val="24"/>
                <w:lang w:eastAsia="en-GB"/>
              </w:rPr>
              <w:t>Median Rent (</w:t>
            </w:r>
            <w:proofErr w:type="spellStart"/>
            <w:r w:rsidRPr="006721CC">
              <w:rPr>
                <w:rFonts w:ascii="Arial Narrow" w:eastAsia="Times New Roman" w:hAnsi="Arial Narrow" w:cs="Times New Roman"/>
                <w:b/>
                <w:bCs/>
                <w:color w:val="000000"/>
                <w:sz w:val="24"/>
                <w:szCs w:val="24"/>
                <w:lang w:eastAsia="en-GB"/>
              </w:rPr>
              <w:t>p.c.m</w:t>
            </w:r>
            <w:proofErr w:type="spellEnd"/>
            <w:r w:rsidRPr="006721CC">
              <w:rPr>
                <w:rFonts w:ascii="Arial Narrow" w:eastAsia="Times New Roman" w:hAnsi="Arial Narrow" w:cs="Times New Roman"/>
                <w:b/>
                <w:bCs/>
                <w:color w:val="000000"/>
                <w:sz w:val="24"/>
                <w:szCs w:val="24"/>
                <w:lang w:eastAsia="en-GB"/>
              </w:rPr>
              <w:t>)</w:t>
            </w:r>
          </w:p>
        </w:tc>
        <w:tc>
          <w:tcPr>
            <w:tcW w:w="0" w:type="auto"/>
            <w:vAlign w:val="center"/>
            <w:hideMark/>
          </w:tcPr>
          <w:p w14:paraId="236BEAF9" w14:textId="77777777" w:rsidR="006721CC" w:rsidRPr="006721CC" w:rsidRDefault="006721CC" w:rsidP="00B83A64">
            <w:pPr>
              <w:jc w:val="center"/>
              <w:rPr>
                <w:rFonts w:ascii="Arial Narrow" w:eastAsia="Times New Roman" w:hAnsi="Arial Narrow" w:cs="Times New Roman"/>
                <w:b/>
                <w:bCs/>
                <w:color w:val="000000"/>
                <w:sz w:val="24"/>
                <w:szCs w:val="24"/>
                <w:lang w:eastAsia="en-GB"/>
              </w:rPr>
            </w:pPr>
            <w:r w:rsidRPr="006721CC">
              <w:rPr>
                <w:rFonts w:ascii="Arial Narrow" w:eastAsia="Times New Roman" w:hAnsi="Arial Narrow" w:cs="Times New Roman"/>
                <w:b/>
                <w:bCs/>
                <w:color w:val="000000"/>
                <w:sz w:val="24"/>
                <w:szCs w:val="24"/>
                <w:lang w:eastAsia="en-GB"/>
              </w:rPr>
              <w:t>Lower Quartile (</w:t>
            </w:r>
            <w:proofErr w:type="spellStart"/>
            <w:r w:rsidRPr="006721CC">
              <w:rPr>
                <w:rFonts w:ascii="Arial Narrow" w:eastAsia="Times New Roman" w:hAnsi="Arial Narrow" w:cs="Times New Roman"/>
                <w:b/>
                <w:bCs/>
                <w:color w:val="000000"/>
                <w:sz w:val="24"/>
                <w:szCs w:val="24"/>
                <w:lang w:eastAsia="en-GB"/>
              </w:rPr>
              <w:t>p.c.m</w:t>
            </w:r>
            <w:proofErr w:type="spellEnd"/>
            <w:r w:rsidRPr="006721CC">
              <w:rPr>
                <w:rFonts w:ascii="Arial Narrow" w:eastAsia="Times New Roman" w:hAnsi="Arial Narrow" w:cs="Times New Roman"/>
                <w:b/>
                <w:bCs/>
                <w:color w:val="000000"/>
                <w:sz w:val="24"/>
                <w:szCs w:val="24"/>
                <w:lang w:eastAsia="en-GB"/>
              </w:rPr>
              <w:t>)</w:t>
            </w:r>
          </w:p>
        </w:tc>
      </w:tr>
      <w:tr w:rsidR="006721CC" w:rsidRPr="006721CC" w14:paraId="5BF3B788" w14:textId="77777777" w:rsidTr="004F4BA7">
        <w:trPr>
          <w:trHeight w:val="238"/>
        </w:trPr>
        <w:tc>
          <w:tcPr>
            <w:tcW w:w="2551" w:type="dxa"/>
            <w:vAlign w:val="center"/>
            <w:hideMark/>
          </w:tcPr>
          <w:p w14:paraId="7E1607C8"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Cambridge</w:t>
            </w:r>
          </w:p>
        </w:tc>
        <w:tc>
          <w:tcPr>
            <w:tcW w:w="1963" w:type="dxa"/>
            <w:vAlign w:val="center"/>
            <w:hideMark/>
          </w:tcPr>
          <w:p w14:paraId="2E357792"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£1,225</w:t>
            </w:r>
          </w:p>
        </w:tc>
        <w:tc>
          <w:tcPr>
            <w:tcW w:w="0" w:type="auto"/>
            <w:vAlign w:val="center"/>
            <w:hideMark/>
          </w:tcPr>
          <w:p w14:paraId="5438F5E1"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£1,200</w:t>
            </w:r>
          </w:p>
        </w:tc>
        <w:tc>
          <w:tcPr>
            <w:tcW w:w="0" w:type="auto"/>
            <w:vAlign w:val="center"/>
            <w:hideMark/>
          </w:tcPr>
          <w:p w14:paraId="283D8A69"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£925</w:t>
            </w:r>
          </w:p>
        </w:tc>
      </w:tr>
      <w:tr w:rsidR="006721CC" w:rsidRPr="006721CC" w14:paraId="4FFCC7DD" w14:textId="77777777" w:rsidTr="004F4BA7">
        <w:trPr>
          <w:trHeight w:val="238"/>
        </w:trPr>
        <w:tc>
          <w:tcPr>
            <w:tcW w:w="2551" w:type="dxa"/>
            <w:vAlign w:val="center"/>
            <w:hideMark/>
          </w:tcPr>
          <w:p w14:paraId="2FD4D0FF"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East Cambs</w:t>
            </w:r>
          </w:p>
        </w:tc>
        <w:tc>
          <w:tcPr>
            <w:tcW w:w="1963" w:type="dxa"/>
            <w:vAlign w:val="center"/>
            <w:hideMark/>
          </w:tcPr>
          <w:p w14:paraId="12629264"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£890</w:t>
            </w:r>
          </w:p>
        </w:tc>
        <w:tc>
          <w:tcPr>
            <w:tcW w:w="0" w:type="auto"/>
            <w:vAlign w:val="center"/>
            <w:hideMark/>
          </w:tcPr>
          <w:p w14:paraId="6A96D24E"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£795</w:t>
            </w:r>
          </w:p>
        </w:tc>
        <w:tc>
          <w:tcPr>
            <w:tcW w:w="0" w:type="auto"/>
            <w:vAlign w:val="center"/>
            <w:hideMark/>
          </w:tcPr>
          <w:p w14:paraId="370EDB38"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£695</w:t>
            </w:r>
          </w:p>
        </w:tc>
      </w:tr>
      <w:tr w:rsidR="006721CC" w:rsidRPr="006721CC" w14:paraId="61A9DF28" w14:textId="77777777" w:rsidTr="004F4BA7">
        <w:trPr>
          <w:trHeight w:val="238"/>
        </w:trPr>
        <w:tc>
          <w:tcPr>
            <w:tcW w:w="2551" w:type="dxa"/>
            <w:vAlign w:val="center"/>
            <w:hideMark/>
          </w:tcPr>
          <w:p w14:paraId="2F8C3EEE"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Fenland</w:t>
            </w:r>
          </w:p>
        </w:tc>
        <w:tc>
          <w:tcPr>
            <w:tcW w:w="1963" w:type="dxa"/>
            <w:vAlign w:val="center"/>
            <w:hideMark/>
          </w:tcPr>
          <w:p w14:paraId="3256FB8A"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£613</w:t>
            </w:r>
          </w:p>
        </w:tc>
        <w:tc>
          <w:tcPr>
            <w:tcW w:w="0" w:type="auto"/>
            <w:vAlign w:val="center"/>
            <w:hideMark/>
          </w:tcPr>
          <w:p w14:paraId="4DFCB71F"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£600</w:t>
            </w:r>
          </w:p>
        </w:tc>
        <w:tc>
          <w:tcPr>
            <w:tcW w:w="0" w:type="auto"/>
            <w:vAlign w:val="center"/>
            <w:hideMark/>
          </w:tcPr>
          <w:p w14:paraId="7309FFDE"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£500</w:t>
            </w:r>
          </w:p>
        </w:tc>
      </w:tr>
      <w:tr w:rsidR="006721CC" w:rsidRPr="006721CC" w14:paraId="3662380C" w14:textId="77777777" w:rsidTr="004F4BA7">
        <w:trPr>
          <w:trHeight w:val="238"/>
        </w:trPr>
        <w:tc>
          <w:tcPr>
            <w:tcW w:w="2551" w:type="dxa"/>
            <w:vAlign w:val="center"/>
            <w:hideMark/>
          </w:tcPr>
          <w:p w14:paraId="4CE2F6F2"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Huntingdonshire</w:t>
            </w:r>
          </w:p>
        </w:tc>
        <w:tc>
          <w:tcPr>
            <w:tcW w:w="1963" w:type="dxa"/>
            <w:vAlign w:val="center"/>
            <w:hideMark/>
          </w:tcPr>
          <w:p w14:paraId="3A286D98"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£811</w:t>
            </w:r>
          </w:p>
        </w:tc>
        <w:tc>
          <w:tcPr>
            <w:tcW w:w="0" w:type="auto"/>
            <w:vAlign w:val="center"/>
            <w:hideMark/>
          </w:tcPr>
          <w:p w14:paraId="3C01253A"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£765</w:t>
            </w:r>
          </w:p>
        </w:tc>
        <w:tc>
          <w:tcPr>
            <w:tcW w:w="0" w:type="auto"/>
            <w:vAlign w:val="center"/>
            <w:hideMark/>
          </w:tcPr>
          <w:p w14:paraId="12FE0714"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£650</w:t>
            </w:r>
          </w:p>
        </w:tc>
      </w:tr>
      <w:tr w:rsidR="006721CC" w:rsidRPr="006721CC" w14:paraId="00B532E9" w14:textId="77777777" w:rsidTr="004F4BA7">
        <w:trPr>
          <w:trHeight w:val="238"/>
        </w:trPr>
        <w:tc>
          <w:tcPr>
            <w:tcW w:w="2551" w:type="dxa"/>
            <w:vAlign w:val="center"/>
            <w:hideMark/>
          </w:tcPr>
          <w:p w14:paraId="710CFD85"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South Cambs</w:t>
            </w:r>
          </w:p>
        </w:tc>
        <w:tc>
          <w:tcPr>
            <w:tcW w:w="1963" w:type="dxa"/>
            <w:vAlign w:val="center"/>
            <w:hideMark/>
          </w:tcPr>
          <w:p w14:paraId="1A66DD5E"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£1,012</w:t>
            </w:r>
          </w:p>
        </w:tc>
        <w:tc>
          <w:tcPr>
            <w:tcW w:w="0" w:type="auto"/>
            <w:vAlign w:val="center"/>
            <w:hideMark/>
          </w:tcPr>
          <w:p w14:paraId="774710F9"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£950</w:t>
            </w:r>
          </w:p>
        </w:tc>
        <w:tc>
          <w:tcPr>
            <w:tcW w:w="0" w:type="auto"/>
            <w:vAlign w:val="center"/>
            <w:hideMark/>
          </w:tcPr>
          <w:p w14:paraId="7C6318A3"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£825</w:t>
            </w:r>
          </w:p>
        </w:tc>
      </w:tr>
      <w:tr w:rsidR="006721CC" w:rsidRPr="006721CC" w14:paraId="7CE158EF" w14:textId="77777777" w:rsidTr="004F4BA7">
        <w:trPr>
          <w:trHeight w:val="238"/>
        </w:trPr>
        <w:tc>
          <w:tcPr>
            <w:tcW w:w="2551" w:type="dxa"/>
            <w:vAlign w:val="center"/>
            <w:hideMark/>
          </w:tcPr>
          <w:p w14:paraId="426EB457"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Forest Heath</w:t>
            </w:r>
          </w:p>
        </w:tc>
        <w:tc>
          <w:tcPr>
            <w:tcW w:w="1963" w:type="dxa"/>
            <w:vAlign w:val="center"/>
            <w:hideMark/>
          </w:tcPr>
          <w:p w14:paraId="2C094114"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£974</w:t>
            </w:r>
          </w:p>
        </w:tc>
        <w:tc>
          <w:tcPr>
            <w:tcW w:w="0" w:type="auto"/>
            <w:vAlign w:val="center"/>
            <w:hideMark/>
          </w:tcPr>
          <w:p w14:paraId="7A12688A"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£925</w:t>
            </w:r>
          </w:p>
        </w:tc>
        <w:tc>
          <w:tcPr>
            <w:tcW w:w="0" w:type="auto"/>
            <w:vAlign w:val="center"/>
            <w:hideMark/>
          </w:tcPr>
          <w:p w14:paraId="2F4172E4"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£695</w:t>
            </w:r>
          </w:p>
        </w:tc>
      </w:tr>
      <w:tr w:rsidR="006721CC" w:rsidRPr="006721CC" w14:paraId="14FD9C57" w14:textId="77777777" w:rsidTr="004F4BA7">
        <w:trPr>
          <w:trHeight w:val="238"/>
        </w:trPr>
        <w:tc>
          <w:tcPr>
            <w:tcW w:w="2551" w:type="dxa"/>
            <w:vAlign w:val="center"/>
            <w:hideMark/>
          </w:tcPr>
          <w:p w14:paraId="6C1DCD4C"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St Edmundsbury</w:t>
            </w:r>
          </w:p>
        </w:tc>
        <w:tc>
          <w:tcPr>
            <w:tcW w:w="1963" w:type="dxa"/>
            <w:vAlign w:val="center"/>
            <w:hideMark/>
          </w:tcPr>
          <w:p w14:paraId="4E59BBD8"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£850</w:t>
            </w:r>
          </w:p>
        </w:tc>
        <w:tc>
          <w:tcPr>
            <w:tcW w:w="0" w:type="auto"/>
            <w:vAlign w:val="center"/>
            <w:hideMark/>
          </w:tcPr>
          <w:p w14:paraId="63882236"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£775</w:t>
            </w:r>
          </w:p>
        </w:tc>
        <w:tc>
          <w:tcPr>
            <w:tcW w:w="0" w:type="auto"/>
            <w:vAlign w:val="center"/>
            <w:hideMark/>
          </w:tcPr>
          <w:p w14:paraId="78955C29"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£675</w:t>
            </w:r>
          </w:p>
        </w:tc>
      </w:tr>
      <w:tr w:rsidR="006721CC" w:rsidRPr="006721CC" w14:paraId="6D33B0A2" w14:textId="77777777" w:rsidTr="004F4BA7">
        <w:trPr>
          <w:trHeight w:val="238"/>
        </w:trPr>
        <w:tc>
          <w:tcPr>
            <w:tcW w:w="2551" w:type="dxa"/>
            <w:vAlign w:val="center"/>
            <w:hideMark/>
          </w:tcPr>
          <w:p w14:paraId="60636A6E"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West Suffolk Average</w:t>
            </w:r>
          </w:p>
        </w:tc>
        <w:tc>
          <w:tcPr>
            <w:tcW w:w="1963" w:type="dxa"/>
            <w:vAlign w:val="center"/>
            <w:hideMark/>
          </w:tcPr>
          <w:p w14:paraId="60F6D9F9"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£912</w:t>
            </w:r>
          </w:p>
        </w:tc>
        <w:tc>
          <w:tcPr>
            <w:tcW w:w="0" w:type="auto"/>
            <w:vAlign w:val="center"/>
            <w:hideMark/>
          </w:tcPr>
          <w:p w14:paraId="79150164"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£850</w:t>
            </w:r>
          </w:p>
        </w:tc>
        <w:tc>
          <w:tcPr>
            <w:tcW w:w="0" w:type="auto"/>
            <w:vAlign w:val="center"/>
            <w:hideMark/>
          </w:tcPr>
          <w:p w14:paraId="35E354A9"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£685</w:t>
            </w:r>
          </w:p>
        </w:tc>
      </w:tr>
      <w:tr w:rsidR="006721CC" w:rsidRPr="006721CC" w14:paraId="50D40C98" w14:textId="77777777" w:rsidTr="004F4BA7">
        <w:trPr>
          <w:trHeight w:val="238"/>
        </w:trPr>
        <w:tc>
          <w:tcPr>
            <w:tcW w:w="2551" w:type="dxa"/>
            <w:vAlign w:val="center"/>
            <w:hideMark/>
          </w:tcPr>
          <w:p w14:paraId="730C1D80" w14:textId="77777777" w:rsidR="006721CC" w:rsidRPr="004F4BA7" w:rsidRDefault="006721CC" w:rsidP="00B83A64">
            <w:pPr>
              <w:rPr>
                <w:rFonts w:ascii="Arial Narrow" w:eastAsia="Times New Roman" w:hAnsi="Arial Narrow" w:cs="Times New Roman"/>
                <w:b/>
                <w:bCs/>
                <w:color w:val="000000"/>
                <w:sz w:val="24"/>
                <w:szCs w:val="24"/>
                <w:lang w:eastAsia="en-GB"/>
              </w:rPr>
            </w:pPr>
            <w:r w:rsidRPr="004F4BA7">
              <w:rPr>
                <w:rFonts w:ascii="Arial Narrow" w:eastAsia="Times New Roman" w:hAnsi="Arial Narrow" w:cs="Times New Roman"/>
                <w:b/>
                <w:bCs/>
                <w:color w:val="000000"/>
                <w:sz w:val="24"/>
                <w:szCs w:val="24"/>
                <w:lang w:eastAsia="en-GB"/>
              </w:rPr>
              <w:t>HMA Average</w:t>
            </w:r>
          </w:p>
        </w:tc>
        <w:tc>
          <w:tcPr>
            <w:tcW w:w="1963" w:type="dxa"/>
            <w:vAlign w:val="center"/>
            <w:hideMark/>
          </w:tcPr>
          <w:p w14:paraId="32D4B202" w14:textId="77777777" w:rsidR="006721CC" w:rsidRPr="004F4BA7" w:rsidRDefault="006721CC" w:rsidP="00B83A64">
            <w:pPr>
              <w:jc w:val="center"/>
              <w:rPr>
                <w:rFonts w:ascii="Arial Narrow" w:eastAsia="Times New Roman" w:hAnsi="Arial Narrow" w:cs="Times New Roman"/>
                <w:b/>
                <w:bCs/>
                <w:color w:val="000000"/>
                <w:sz w:val="24"/>
                <w:szCs w:val="24"/>
                <w:lang w:eastAsia="en-GB"/>
              </w:rPr>
            </w:pPr>
            <w:r w:rsidRPr="004F4BA7">
              <w:rPr>
                <w:rFonts w:ascii="Arial Narrow" w:eastAsia="Times New Roman" w:hAnsi="Arial Narrow" w:cs="Times New Roman"/>
                <w:b/>
                <w:bCs/>
                <w:color w:val="000000"/>
                <w:sz w:val="24"/>
                <w:szCs w:val="24"/>
                <w:lang w:eastAsia="en-GB"/>
              </w:rPr>
              <w:t>£911</w:t>
            </w:r>
          </w:p>
        </w:tc>
        <w:tc>
          <w:tcPr>
            <w:tcW w:w="0" w:type="auto"/>
            <w:vAlign w:val="center"/>
            <w:hideMark/>
          </w:tcPr>
          <w:p w14:paraId="24BDCFF8" w14:textId="77777777" w:rsidR="006721CC" w:rsidRPr="004F4BA7" w:rsidRDefault="006721CC" w:rsidP="00B83A64">
            <w:pPr>
              <w:jc w:val="center"/>
              <w:rPr>
                <w:rFonts w:ascii="Arial Narrow" w:eastAsia="Times New Roman" w:hAnsi="Arial Narrow" w:cs="Times New Roman"/>
                <w:b/>
                <w:bCs/>
                <w:color w:val="000000"/>
                <w:sz w:val="24"/>
                <w:szCs w:val="24"/>
                <w:lang w:eastAsia="en-GB"/>
              </w:rPr>
            </w:pPr>
            <w:r w:rsidRPr="004F4BA7">
              <w:rPr>
                <w:rFonts w:ascii="Arial Narrow" w:eastAsia="Times New Roman" w:hAnsi="Arial Narrow" w:cs="Times New Roman"/>
                <w:b/>
                <w:bCs/>
                <w:color w:val="000000"/>
                <w:sz w:val="24"/>
                <w:szCs w:val="24"/>
                <w:lang w:eastAsia="en-GB"/>
              </w:rPr>
              <w:t>£859</w:t>
            </w:r>
          </w:p>
        </w:tc>
        <w:tc>
          <w:tcPr>
            <w:tcW w:w="0" w:type="auto"/>
            <w:vAlign w:val="center"/>
            <w:hideMark/>
          </w:tcPr>
          <w:p w14:paraId="20E01D62" w14:textId="77777777" w:rsidR="006721CC" w:rsidRPr="004F4BA7" w:rsidRDefault="006721CC" w:rsidP="00B83A64">
            <w:pPr>
              <w:jc w:val="center"/>
              <w:rPr>
                <w:rFonts w:ascii="Arial Narrow" w:eastAsia="Times New Roman" w:hAnsi="Arial Narrow" w:cs="Times New Roman"/>
                <w:b/>
                <w:bCs/>
                <w:color w:val="000000"/>
                <w:sz w:val="24"/>
                <w:szCs w:val="24"/>
                <w:lang w:eastAsia="en-GB"/>
              </w:rPr>
            </w:pPr>
            <w:r w:rsidRPr="004F4BA7">
              <w:rPr>
                <w:rFonts w:ascii="Arial Narrow" w:eastAsia="Times New Roman" w:hAnsi="Arial Narrow" w:cs="Times New Roman"/>
                <w:b/>
                <w:bCs/>
                <w:color w:val="000000"/>
                <w:sz w:val="24"/>
                <w:szCs w:val="24"/>
                <w:lang w:eastAsia="en-GB"/>
              </w:rPr>
              <w:t>£709</w:t>
            </w:r>
          </w:p>
        </w:tc>
      </w:tr>
      <w:tr w:rsidR="006721CC" w:rsidRPr="006721CC" w14:paraId="08280ACF" w14:textId="77777777" w:rsidTr="004F4BA7">
        <w:trPr>
          <w:trHeight w:val="238"/>
        </w:trPr>
        <w:tc>
          <w:tcPr>
            <w:tcW w:w="2551" w:type="dxa"/>
            <w:vAlign w:val="center"/>
            <w:hideMark/>
          </w:tcPr>
          <w:p w14:paraId="71F414CF"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Greater Cambridge</w:t>
            </w:r>
          </w:p>
        </w:tc>
        <w:tc>
          <w:tcPr>
            <w:tcW w:w="1963" w:type="dxa"/>
            <w:vAlign w:val="center"/>
            <w:hideMark/>
          </w:tcPr>
          <w:p w14:paraId="3BCF3120"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£1,119</w:t>
            </w:r>
          </w:p>
        </w:tc>
        <w:tc>
          <w:tcPr>
            <w:tcW w:w="0" w:type="auto"/>
            <w:vAlign w:val="center"/>
            <w:hideMark/>
          </w:tcPr>
          <w:p w14:paraId="169C7012"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£1,075</w:t>
            </w:r>
          </w:p>
        </w:tc>
        <w:tc>
          <w:tcPr>
            <w:tcW w:w="0" w:type="auto"/>
            <w:vAlign w:val="center"/>
            <w:hideMark/>
          </w:tcPr>
          <w:p w14:paraId="0A84150B"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£875</w:t>
            </w:r>
          </w:p>
        </w:tc>
      </w:tr>
      <w:tr w:rsidR="006721CC" w:rsidRPr="006721CC" w14:paraId="681524EC" w14:textId="77777777" w:rsidTr="004F4BA7">
        <w:trPr>
          <w:trHeight w:val="238"/>
        </w:trPr>
        <w:tc>
          <w:tcPr>
            <w:tcW w:w="2551" w:type="dxa"/>
            <w:vAlign w:val="center"/>
            <w:hideMark/>
          </w:tcPr>
          <w:p w14:paraId="03336971"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East of England</w:t>
            </w:r>
          </w:p>
        </w:tc>
        <w:tc>
          <w:tcPr>
            <w:tcW w:w="1963" w:type="dxa"/>
            <w:vAlign w:val="center"/>
            <w:hideMark/>
          </w:tcPr>
          <w:p w14:paraId="6660B70A"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£863</w:t>
            </w:r>
          </w:p>
        </w:tc>
        <w:tc>
          <w:tcPr>
            <w:tcW w:w="0" w:type="auto"/>
            <w:vAlign w:val="center"/>
            <w:hideMark/>
          </w:tcPr>
          <w:p w14:paraId="275AF42C"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£795</w:t>
            </w:r>
          </w:p>
        </w:tc>
        <w:tc>
          <w:tcPr>
            <w:tcW w:w="0" w:type="auto"/>
            <w:vAlign w:val="center"/>
            <w:hideMark/>
          </w:tcPr>
          <w:p w14:paraId="6755F7ED"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£625</w:t>
            </w:r>
          </w:p>
        </w:tc>
      </w:tr>
      <w:tr w:rsidR="006721CC" w:rsidRPr="006721CC" w14:paraId="5A3E1C39" w14:textId="77777777" w:rsidTr="004F4BA7">
        <w:trPr>
          <w:trHeight w:val="238"/>
        </w:trPr>
        <w:tc>
          <w:tcPr>
            <w:tcW w:w="2551" w:type="dxa"/>
            <w:vAlign w:val="center"/>
            <w:hideMark/>
          </w:tcPr>
          <w:p w14:paraId="0E366C2C" w14:textId="77777777" w:rsidR="006721CC" w:rsidRPr="006721CC" w:rsidRDefault="006721CC" w:rsidP="00B83A64">
            <w:pP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England</w:t>
            </w:r>
          </w:p>
        </w:tc>
        <w:tc>
          <w:tcPr>
            <w:tcW w:w="1963" w:type="dxa"/>
            <w:vAlign w:val="center"/>
            <w:hideMark/>
          </w:tcPr>
          <w:p w14:paraId="58E07FD1"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£858</w:t>
            </w:r>
          </w:p>
        </w:tc>
        <w:tc>
          <w:tcPr>
            <w:tcW w:w="0" w:type="auto"/>
            <w:vAlign w:val="center"/>
            <w:hideMark/>
          </w:tcPr>
          <w:p w14:paraId="379458BB"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£695</w:t>
            </w:r>
          </w:p>
        </w:tc>
        <w:tc>
          <w:tcPr>
            <w:tcW w:w="0" w:type="auto"/>
            <w:vAlign w:val="center"/>
            <w:hideMark/>
          </w:tcPr>
          <w:p w14:paraId="511CD5AD" w14:textId="77777777" w:rsidR="006721CC" w:rsidRPr="006721CC" w:rsidRDefault="006721CC" w:rsidP="00B83A64">
            <w:pPr>
              <w:jc w:val="center"/>
              <w:rPr>
                <w:rFonts w:ascii="Arial Narrow" w:eastAsia="Times New Roman" w:hAnsi="Arial Narrow" w:cs="Times New Roman"/>
                <w:color w:val="000000"/>
                <w:sz w:val="24"/>
                <w:szCs w:val="24"/>
                <w:lang w:eastAsia="en-GB"/>
              </w:rPr>
            </w:pPr>
            <w:r w:rsidRPr="006721CC">
              <w:rPr>
                <w:rFonts w:ascii="Arial Narrow" w:eastAsia="Times New Roman" w:hAnsi="Arial Narrow" w:cs="Times New Roman"/>
                <w:color w:val="000000"/>
                <w:sz w:val="24"/>
                <w:szCs w:val="24"/>
                <w:lang w:eastAsia="en-GB"/>
              </w:rPr>
              <w:t>£525</w:t>
            </w:r>
          </w:p>
        </w:tc>
      </w:tr>
    </w:tbl>
    <w:p w14:paraId="0CA9B129" w14:textId="1401F0C3" w:rsidR="00021404" w:rsidRPr="00185BEA" w:rsidRDefault="00AB3F1A" w:rsidP="00B74A73">
      <w:pPr>
        <w:pStyle w:val="11Bodytext"/>
        <w:numPr>
          <w:ilvl w:val="0"/>
          <w:numId w:val="0"/>
        </w:numPr>
        <w:spacing w:before="0" w:line="240" w:lineRule="auto"/>
      </w:pPr>
      <w:r>
        <w:tab/>
      </w:r>
      <w:r w:rsidR="00021404">
        <w:t xml:space="preserve">Source: VOA Private Rental Data- Table 2.7 </w:t>
      </w:r>
    </w:p>
    <w:p w14:paraId="6E09FC48" w14:textId="74EB8F1F" w:rsidR="007F2ADD" w:rsidRDefault="007F2ADD" w:rsidP="007D0FBF">
      <w:pPr>
        <w:pStyle w:val="11Bodytext"/>
      </w:pPr>
      <w:r>
        <w:t xml:space="preserve">The mean and median rents in Cambridge at £1,225 pcm and £1,200 pcm are notably higher than the regional (£795) and national (£695) equivalents. South Cambridgeshire (£950) and </w:t>
      </w:r>
      <w:r w:rsidR="00313287">
        <w:t xml:space="preserve">former Forest </w:t>
      </w:r>
      <w:proofErr w:type="gramStart"/>
      <w:r w:rsidR="00313287">
        <w:t>Heath</w:t>
      </w:r>
      <w:r>
        <w:t>(</w:t>
      </w:r>
      <w:proofErr w:type="gramEnd"/>
      <w:r>
        <w:t>£925) median rents also exceed the regional equivalent.</w:t>
      </w:r>
    </w:p>
    <w:p w14:paraId="1020492D" w14:textId="30B882A4" w:rsidR="007F2ADD" w:rsidRDefault="007F2ADD" w:rsidP="007D0FBF">
      <w:pPr>
        <w:pStyle w:val="11Bodytext"/>
      </w:pPr>
      <w:r>
        <w:t xml:space="preserve">The figure below looks at the cost of median rents by the size of the home.  For smaller homes (rooms, studios and 1 and 2 </w:t>
      </w:r>
      <w:r w:rsidR="00AB3F1A">
        <w:t>bedrooms) only</w:t>
      </w:r>
      <w:r>
        <w:t xml:space="preserve"> Cambridge and South Cambridgeshire exceed the regional medians.  For </w:t>
      </w:r>
      <w:r w:rsidR="00AB3F1A">
        <w:t>3- and 4-bedroom</w:t>
      </w:r>
      <w:r>
        <w:t xml:space="preserve"> homes West Suffolk and East Cambridgeshire also meet or exceed the regional median.</w:t>
      </w:r>
    </w:p>
    <w:p w14:paraId="41A3EFEE" w14:textId="2669D8DF" w:rsidR="007F2ADD" w:rsidRDefault="007F2ADD" w:rsidP="003D5E23">
      <w:pPr>
        <w:pStyle w:val="FigureHeading"/>
      </w:pPr>
      <w:r>
        <w:lastRenderedPageBreak/>
        <w:t xml:space="preserve">Median Rents per Bedroom Type, 2019 </w:t>
      </w:r>
    </w:p>
    <w:p w14:paraId="33562DC2" w14:textId="09CDCE47" w:rsidR="00424492" w:rsidRPr="005A1047" w:rsidRDefault="005C7B42" w:rsidP="004F4BA7">
      <w:pPr>
        <w:pStyle w:val="Bodytextwithindent"/>
        <w:spacing w:before="0" w:after="0" w:line="240" w:lineRule="auto"/>
      </w:pPr>
      <w:r>
        <w:rPr>
          <w:bCs/>
          <w:noProof/>
          <w:sz w:val="24"/>
          <w:szCs w:val="24"/>
        </w:rPr>
        <w:drawing>
          <wp:inline distT="0" distB="0" distL="0" distR="0" wp14:anchorId="165F5D60" wp14:editId="144FB06D">
            <wp:extent cx="4581525" cy="2743200"/>
            <wp:effectExtent l="0" t="0" r="9525" b="0"/>
            <wp:docPr id="8" name="Chart 8" descr="bar chart showing median rents per bedroom type, 2019">
              <a:extLst xmlns:a="http://schemas.openxmlformats.org/drawingml/2006/main">
                <a:ext uri="{FF2B5EF4-FFF2-40B4-BE49-F238E27FC236}">
                  <a16:creationId xmlns:a16="http://schemas.microsoft.com/office/drawing/2014/main" id="{456AB8A9-94A6-4798-93D9-D251DBA3D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EA119B" w14:textId="3FF4988E" w:rsidR="007F2ADD" w:rsidRDefault="007F2ADD" w:rsidP="004F4BA7">
      <w:pPr>
        <w:pStyle w:val="11Bodytext"/>
        <w:numPr>
          <w:ilvl w:val="0"/>
          <w:numId w:val="0"/>
        </w:numPr>
        <w:spacing w:before="0"/>
        <w:ind w:left="709"/>
      </w:pPr>
      <w:r>
        <w:t xml:space="preserve">Source: VOA Private Rental Data- Table 2.7 </w:t>
      </w:r>
    </w:p>
    <w:p w14:paraId="5BB21311" w14:textId="77777777" w:rsidR="007F2ADD" w:rsidRDefault="007F2ADD" w:rsidP="007D0FBF">
      <w:pPr>
        <w:pStyle w:val="11Bodytext"/>
      </w:pPr>
      <w:r>
        <w:t>As the national figures are lower than the regional figures the previous paragraph applies but besides West Suffolk also exceeds the national rents for Room rates and 2-bedroom homes. East Cambridgeshire and Huntingdonshire also exceed the national median for 2-bedroom homes.   Median rents in Huntingdonshire also exceed the national equivalent for 3-bedroom homes.</w:t>
      </w:r>
    </w:p>
    <w:p w14:paraId="59925003" w14:textId="0BDE7FE4" w:rsidR="007F2ADD" w:rsidRDefault="007F2ADD" w:rsidP="007D0FBF">
      <w:pPr>
        <w:pStyle w:val="11Bodytext"/>
      </w:pPr>
      <w:r>
        <w:t xml:space="preserve">West Suffolk median rents are noteworthy as the area commands the second-highest rents for 4-bedroom properties. This is because the area has several military bases </w:t>
      </w:r>
      <w:r w:rsidR="00B63E24">
        <w:t xml:space="preserve">where </w:t>
      </w:r>
      <w:proofErr w:type="gramStart"/>
      <w:r w:rsidR="00B63E24">
        <w:t xml:space="preserve">some </w:t>
      </w:r>
      <w:r>
        <w:t xml:space="preserve"> military</w:t>
      </w:r>
      <w:proofErr w:type="gramEnd"/>
      <w:r>
        <w:t xml:space="preserve"> personnel </w:t>
      </w:r>
      <w:r w:rsidR="00B63E24">
        <w:t xml:space="preserve">prefer </w:t>
      </w:r>
      <w:r>
        <w:t xml:space="preserve">to live off-base. </w:t>
      </w:r>
      <w:r w:rsidR="00B63E24" w:rsidRPr="00B63E24">
        <w:t>They receive rent allowances that enable them to access rented housing close to early years education provision.</w:t>
      </w:r>
      <w:r w:rsidR="00B63E24">
        <w:t xml:space="preserve"> </w:t>
      </w:r>
      <w:r>
        <w:t xml:space="preserve">As a result, there is a high demand for rental properties of all sizes but in certain areas for larger homes used for families or sharers which in turn has increased local rents. </w:t>
      </w:r>
    </w:p>
    <w:p w14:paraId="5D145EF3" w14:textId="77777777" w:rsidR="007F2ADD" w:rsidRDefault="007F2ADD" w:rsidP="007D0FBF">
      <w:pPr>
        <w:pStyle w:val="Heading2"/>
        <w:rPr>
          <w:sz w:val="20"/>
          <w:szCs w:val="20"/>
        </w:rPr>
      </w:pPr>
      <w:r>
        <w:t>Affordability</w:t>
      </w:r>
      <w:r>
        <w:rPr>
          <w:sz w:val="20"/>
          <w:szCs w:val="20"/>
        </w:rPr>
        <w:t xml:space="preserve"> </w:t>
      </w:r>
    </w:p>
    <w:p w14:paraId="718B84A3" w14:textId="77777777" w:rsidR="007F2ADD" w:rsidRDefault="007F2ADD" w:rsidP="007D0FBF">
      <w:pPr>
        <w:pStyle w:val="11Bodytext"/>
      </w:pPr>
      <w:r>
        <w:t xml:space="preserve">Affordability is examined by looking at the relationship between house prices and incomes. It is calculated by dividing overall house prices by gross full-time annual earnings, based on the median and lower quartiles of both. </w:t>
      </w:r>
    </w:p>
    <w:p w14:paraId="106C64CB" w14:textId="77777777" w:rsidR="007F2ADD" w:rsidRDefault="007F2ADD" w:rsidP="007D0FBF">
      <w:pPr>
        <w:pStyle w:val="11Bodytext"/>
      </w:pPr>
      <w:r>
        <w:lastRenderedPageBreak/>
        <w:t>We have examined the ratio based on those working in the study area (workplace-based) and those living in the area (residence-based), providing both median and lower quartiles values.</w:t>
      </w:r>
    </w:p>
    <w:p w14:paraId="296371BA" w14:textId="77777777" w:rsidR="007F2ADD" w:rsidRDefault="007F2ADD" w:rsidP="007D0FBF">
      <w:pPr>
        <w:pStyle w:val="Heading3"/>
      </w:pPr>
      <w:r>
        <w:t xml:space="preserve">Workplace-based Affordability Ratio </w:t>
      </w:r>
    </w:p>
    <w:p w14:paraId="670EA5F7" w14:textId="77777777" w:rsidR="007F2ADD" w:rsidRDefault="007F2ADD" w:rsidP="007D0FBF">
      <w:pPr>
        <w:pStyle w:val="11Bodytext"/>
      </w:pPr>
      <w:r>
        <w:t xml:space="preserve">As shown in the figure below, nationally the ratio of workplace-based median earnings initially peaked in 2007 and then slightly declined as a result of the economic downturn. The affordability ratio remained stable for several years and gradually increased to 2013 until surpassing the pre-recession peak in 2016. </w:t>
      </w:r>
    </w:p>
    <w:p w14:paraId="3801D3D1" w14:textId="370AC23B" w:rsidR="007F2ADD" w:rsidRDefault="007F2ADD" w:rsidP="007D0FBF">
      <w:pPr>
        <w:pStyle w:val="11Bodytext"/>
      </w:pPr>
      <w:r>
        <w:t xml:space="preserve">The current (2019) national median workplace-based earnings ratio is 7.83 which means that median house prices are 7.83 times median full-time earnings and represent a 23% increase over the last 10 years (from </w:t>
      </w:r>
      <w:r w:rsidR="002548BF">
        <w:t>6.39</w:t>
      </w:r>
      <w:r>
        <w:t xml:space="preserve"> in 2009) and 98% over the last 20 years (3.96 in </w:t>
      </w:r>
      <w:r w:rsidR="002548BF">
        <w:t>1999</w:t>
      </w:r>
      <w:r>
        <w:t xml:space="preserve">). </w:t>
      </w:r>
    </w:p>
    <w:p w14:paraId="3927BFA9" w14:textId="77777777" w:rsidR="007F2ADD" w:rsidRDefault="007F2ADD" w:rsidP="007D0FBF">
      <w:pPr>
        <w:pStyle w:val="11Bodytext"/>
      </w:pPr>
      <w:r>
        <w:t xml:space="preserve">The HMA the ratio average is 9.88. Since 1997 the affordability ratio of the HMA has followed the wider East of England trend, which has been consistently higher than the national average. </w:t>
      </w:r>
    </w:p>
    <w:p w14:paraId="44F07BDA" w14:textId="32CA183E" w:rsidR="007F2ADD" w:rsidRDefault="007F2ADD" w:rsidP="003D5E23">
      <w:pPr>
        <w:pStyle w:val="FigureHeading"/>
      </w:pPr>
      <w:r>
        <w:t xml:space="preserve">Median Workplace-based Affordability Ratio, 1997-2019 </w:t>
      </w:r>
    </w:p>
    <w:p w14:paraId="58CC42A5" w14:textId="77777777" w:rsidR="007F2ADD" w:rsidRDefault="007F2ADD" w:rsidP="00B74A73">
      <w:pPr>
        <w:pStyle w:val="11Bodytext"/>
        <w:numPr>
          <w:ilvl w:val="0"/>
          <w:numId w:val="0"/>
        </w:numPr>
        <w:spacing w:before="0" w:after="0" w:line="240" w:lineRule="auto"/>
        <w:ind w:left="794"/>
      </w:pPr>
      <w:r>
        <w:rPr>
          <w:noProof/>
          <w:lang w:eastAsia="en-GB"/>
        </w:rPr>
        <w:drawing>
          <wp:inline distT="0" distB="0" distL="0" distR="0" wp14:anchorId="53FA2EA0" wp14:editId="1F0C8D94">
            <wp:extent cx="5383988" cy="2860243"/>
            <wp:effectExtent l="0" t="0" r="7620" b="16510"/>
            <wp:docPr id="195" name="Chart 195" descr="line chart of median workplace-based affordability ratio, 1997-2019">
              <a:extLst xmlns:a="http://schemas.openxmlformats.org/drawingml/2006/main">
                <a:ext uri="{FF2B5EF4-FFF2-40B4-BE49-F238E27FC236}">
                  <a16:creationId xmlns:a16="http://schemas.microsoft.com/office/drawing/2014/main" id="{96F412D5-74D8-42B4-8A9D-47D026CFD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Source: ONS, House Price to Workplace Base Earnings Ratio (Gross full-time earnings), 2020</w:t>
      </w:r>
    </w:p>
    <w:p w14:paraId="2F2595B9" w14:textId="77777777" w:rsidR="007F2ADD" w:rsidRPr="00526C6E" w:rsidRDefault="007F2ADD" w:rsidP="007D0FBF">
      <w:pPr>
        <w:pStyle w:val="11Bodytext"/>
        <w:rPr>
          <w:b/>
        </w:rPr>
      </w:pPr>
      <w:r>
        <w:lastRenderedPageBreak/>
        <w:t xml:space="preserve">We have also considered and compared lower quartile affordability ratios (which represent entry-level house prices) and the median affordability ratios (both workplace-based) to identify whether affordability is an issue across the market or within a particular segment. </w:t>
      </w:r>
    </w:p>
    <w:p w14:paraId="4FEDB59E" w14:textId="77777777" w:rsidR="007F2ADD" w:rsidRDefault="007F2ADD" w:rsidP="003D5E23">
      <w:pPr>
        <w:pStyle w:val="Tableheading"/>
        <w:numPr>
          <w:ilvl w:val="0"/>
          <w:numId w:val="54"/>
        </w:numPr>
      </w:pPr>
      <w:r>
        <w:t>Median and Lower Quartile Workplace-based affordability ratio, by Local Authority, 2019</w:t>
      </w:r>
    </w:p>
    <w:tbl>
      <w:tblPr>
        <w:tblStyle w:val="TableGrid"/>
        <w:tblW w:w="8505" w:type="dxa"/>
        <w:tblInd w:w="846" w:type="dxa"/>
        <w:tblLayout w:type="fixed"/>
        <w:tblLook w:val="04A0" w:firstRow="1" w:lastRow="0" w:firstColumn="1" w:lastColumn="0" w:noHBand="0" w:noVBand="1"/>
      </w:tblPr>
      <w:tblGrid>
        <w:gridCol w:w="2463"/>
        <w:gridCol w:w="3021"/>
        <w:gridCol w:w="3021"/>
      </w:tblGrid>
      <w:tr w:rsidR="007F2ADD" w:rsidRPr="00B83A64" w14:paraId="378C8AFC" w14:textId="77777777" w:rsidTr="004F4BA7">
        <w:tc>
          <w:tcPr>
            <w:tcW w:w="2463" w:type="dxa"/>
            <w:noWrap/>
            <w:hideMark/>
          </w:tcPr>
          <w:p w14:paraId="6D5D5F50" w14:textId="77777777" w:rsidR="007F2ADD" w:rsidRPr="00B83A64" w:rsidRDefault="007F2ADD" w:rsidP="008E6E40">
            <w:pPr>
              <w:keepNext/>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 </w:t>
            </w:r>
          </w:p>
        </w:tc>
        <w:tc>
          <w:tcPr>
            <w:tcW w:w="3021" w:type="dxa"/>
            <w:noWrap/>
            <w:vAlign w:val="center"/>
            <w:hideMark/>
          </w:tcPr>
          <w:p w14:paraId="321E7600" w14:textId="77777777" w:rsidR="007F2ADD" w:rsidRPr="00B83A64" w:rsidRDefault="007F2ADD" w:rsidP="00C4126C">
            <w:pPr>
              <w:keepNext/>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Lower Quartile Affordability Ratio</w:t>
            </w:r>
          </w:p>
        </w:tc>
        <w:tc>
          <w:tcPr>
            <w:tcW w:w="3021" w:type="dxa"/>
            <w:vAlign w:val="center"/>
            <w:hideMark/>
          </w:tcPr>
          <w:p w14:paraId="55A1B43E" w14:textId="77777777" w:rsidR="007F2ADD" w:rsidRPr="00B83A64" w:rsidRDefault="007F2ADD" w:rsidP="00C4126C">
            <w:pPr>
              <w:keepNext/>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Median Affordability Ratio</w:t>
            </w:r>
          </w:p>
        </w:tc>
      </w:tr>
      <w:tr w:rsidR="007F2ADD" w:rsidRPr="00B83A64" w14:paraId="5F0A7F89" w14:textId="77777777" w:rsidTr="004F4BA7">
        <w:tc>
          <w:tcPr>
            <w:tcW w:w="2463" w:type="dxa"/>
            <w:noWrap/>
            <w:hideMark/>
          </w:tcPr>
          <w:p w14:paraId="25BCC4EF"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Cambridge</w:t>
            </w:r>
          </w:p>
        </w:tc>
        <w:tc>
          <w:tcPr>
            <w:tcW w:w="3021" w:type="dxa"/>
            <w:noWrap/>
            <w:vAlign w:val="center"/>
            <w:hideMark/>
          </w:tcPr>
          <w:p w14:paraId="55DBC111"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13.51</w:t>
            </w:r>
          </w:p>
        </w:tc>
        <w:tc>
          <w:tcPr>
            <w:tcW w:w="3021" w:type="dxa"/>
            <w:vAlign w:val="center"/>
            <w:hideMark/>
          </w:tcPr>
          <w:p w14:paraId="6A8A8483"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12.76</w:t>
            </w:r>
          </w:p>
        </w:tc>
      </w:tr>
      <w:tr w:rsidR="007F2ADD" w:rsidRPr="00B83A64" w14:paraId="708369D5" w14:textId="77777777" w:rsidTr="004F4BA7">
        <w:tc>
          <w:tcPr>
            <w:tcW w:w="2463" w:type="dxa"/>
            <w:noWrap/>
            <w:hideMark/>
          </w:tcPr>
          <w:p w14:paraId="30CBA4D4"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East Cambridgeshire</w:t>
            </w:r>
          </w:p>
        </w:tc>
        <w:tc>
          <w:tcPr>
            <w:tcW w:w="3021" w:type="dxa"/>
            <w:noWrap/>
            <w:vAlign w:val="center"/>
            <w:hideMark/>
          </w:tcPr>
          <w:p w14:paraId="0F7F2EBD"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10.90</w:t>
            </w:r>
          </w:p>
        </w:tc>
        <w:tc>
          <w:tcPr>
            <w:tcW w:w="3021" w:type="dxa"/>
            <w:vAlign w:val="center"/>
            <w:hideMark/>
          </w:tcPr>
          <w:p w14:paraId="1D30B459"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10.24</w:t>
            </w:r>
          </w:p>
        </w:tc>
      </w:tr>
      <w:tr w:rsidR="007F2ADD" w:rsidRPr="00B83A64" w14:paraId="752BF0E5" w14:textId="77777777" w:rsidTr="004F4BA7">
        <w:tc>
          <w:tcPr>
            <w:tcW w:w="2463" w:type="dxa"/>
            <w:noWrap/>
            <w:hideMark/>
          </w:tcPr>
          <w:p w14:paraId="7C8016B9"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Fenland</w:t>
            </w:r>
          </w:p>
        </w:tc>
        <w:tc>
          <w:tcPr>
            <w:tcW w:w="3021" w:type="dxa"/>
            <w:noWrap/>
            <w:vAlign w:val="center"/>
            <w:hideMark/>
          </w:tcPr>
          <w:p w14:paraId="58F4AB45"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7.83</w:t>
            </w:r>
          </w:p>
        </w:tc>
        <w:tc>
          <w:tcPr>
            <w:tcW w:w="3021" w:type="dxa"/>
            <w:vAlign w:val="center"/>
            <w:hideMark/>
          </w:tcPr>
          <w:p w14:paraId="3D5B5DD8"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8.10</w:t>
            </w:r>
          </w:p>
        </w:tc>
      </w:tr>
      <w:tr w:rsidR="007F2ADD" w:rsidRPr="00B83A64" w14:paraId="79D65546" w14:textId="77777777" w:rsidTr="004F4BA7">
        <w:tc>
          <w:tcPr>
            <w:tcW w:w="2463" w:type="dxa"/>
            <w:noWrap/>
            <w:hideMark/>
          </w:tcPr>
          <w:p w14:paraId="31C581B2"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Huntingdonshire</w:t>
            </w:r>
          </w:p>
        </w:tc>
        <w:tc>
          <w:tcPr>
            <w:tcW w:w="3021" w:type="dxa"/>
            <w:noWrap/>
            <w:vAlign w:val="center"/>
            <w:hideMark/>
          </w:tcPr>
          <w:p w14:paraId="010D50ED"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9.40</w:t>
            </w:r>
          </w:p>
        </w:tc>
        <w:tc>
          <w:tcPr>
            <w:tcW w:w="3021" w:type="dxa"/>
            <w:vAlign w:val="center"/>
            <w:hideMark/>
          </w:tcPr>
          <w:p w14:paraId="76E63D9B"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9.31</w:t>
            </w:r>
          </w:p>
        </w:tc>
      </w:tr>
      <w:tr w:rsidR="007F2ADD" w:rsidRPr="00B83A64" w14:paraId="566062DB" w14:textId="77777777" w:rsidTr="004F4BA7">
        <w:tc>
          <w:tcPr>
            <w:tcW w:w="2463" w:type="dxa"/>
            <w:noWrap/>
            <w:hideMark/>
          </w:tcPr>
          <w:p w14:paraId="2E924E73"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South Cambridgeshire</w:t>
            </w:r>
          </w:p>
        </w:tc>
        <w:tc>
          <w:tcPr>
            <w:tcW w:w="3021" w:type="dxa"/>
            <w:noWrap/>
            <w:vAlign w:val="center"/>
            <w:hideMark/>
          </w:tcPr>
          <w:p w14:paraId="3DD85A88"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10.77</w:t>
            </w:r>
          </w:p>
        </w:tc>
        <w:tc>
          <w:tcPr>
            <w:tcW w:w="3021" w:type="dxa"/>
            <w:vAlign w:val="center"/>
            <w:hideMark/>
          </w:tcPr>
          <w:p w14:paraId="3015FB8F"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9.78</w:t>
            </w:r>
          </w:p>
        </w:tc>
      </w:tr>
      <w:tr w:rsidR="007F2ADD" w:rsidRPr="00B83A64" w14:paraId="4000C776" w14:textId="77777777" w:rsidTr="004F4BA7">
        <w:tc>
          <w:tcPr>
            <w:tcW w:w="2463" w:type="dxa"/>
            <w:noWrap/>
            <w:hideMark/>
          </w:tcPr>
          <w:p w14:paraId="4ABD5774"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West Suffolk</w:t>
            </w:r>
          </w:p>
        </w:tc>
        <w:tc>
          <w:tcPr>
            <w:tcW w:w="3021" w:type="dxa"/>
            <w:noWrap/>
            <w:vAlign w:val="center"/>
            <w:hideMark/>
          </w:tcPr>
          <w:p w14:paraId="5CD0EC8F"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9.62</w:t>
            </w:r>
          </w:p>
        </w:tc>
        <w:tc>
          <w:tcPr>
            <w:tcW w:w="3021" w:type="dxa"/>
            <w:vAlign w:val="center"/>
            <w:hideMark/>
          </w:tcPr>
          <w:p w14:paraId="5610079C"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9.07</w:t>
            </w:r>
          </w:p>
        </w:tc>
      </w:tr>
      <w:tr w:rsidR="007F2ADD" w:rsidRPr="00B83A64" w14:paraId="16A6031D" w14:textId="77777777" w:rsidTr="004F4BA7">
        <w:tc>
          <w:tcPr>
            <w:tcW w:w="2463" w:type="dxa"/>
            <w:noWrap/>
            <w:hideMark/>
          </w:tcPr>
          <w:p w14:paraId="78F0C0E5" w14:textId="77777777" w:rsidR="007F2ADD" w:rsidRPr="003A75AB" w:rsidRDefault="007F2ADD" w:rsidP="008E6E40">
            <w:pPr>
              <w:keepNext/>
              <w:rPr>
                <w:rFonts w:ascii="Arial Narrow" w:eastAsia="Times New Roman" w:hAnsi="Arial Narrow"/>
                <w:b/>
                <w:bCs/>
                <w:color w:val="000000"/>
                <w:sz w:val="24"/>
                <w:szCs w:val="24"/>
                <w:lang w:eastAsia="en-GB"/>
              </w:rPr>
            </w:pPr>
            <w:r w:rsidRPr="003A75AB">
              <w:rPr>
                <w:rFonts w:ascii="Arial Narrow" w:eastAsia="Times New Roman" w:hAnsi="Arial Narrow"/>
                <w:b/>
                <w:bCs/>
                <w:color w:val="000000"/>
                <w:sz w:val="24"/>
                <w:szCs w:val="24"/>
                <w:lang w:eastAsia="en-GB"/>
              </w:rPr>
              <w:t xml:space="preserve">HMA </w:t>
            </w:r>
          </w:p>
        </w:tc>
        <w:tc>
          <w:tcPr>
            <w:tcW w:w="3021" w:type="dxa"/>
            <w:noWrap/>
            <w:vAlign w:val="center"/>
            <w:hideMark/>
          </w:tcPr>
          <w:p w14:paraId="472518E3" w14:textId="77777777" w:rsidR="007F2ADD" w:rsidRPr="00B83A64" w:rsidRDefault="007F2ADD" w:rsidP="00C4126C">
            <w:pPr>
              <w:keepNext/>
              <w:jc w:val="center"/>
              <w:rPr>
                <w:rFonts w:ascii="Arial Narrow" w:eastAsia="Times New Roman" w:hAnsi="Arial Narrow"/>
                <w:b/>
                <w:bCs/>
                <w:color w:val="000000"/>
                <w:sz w:val="24"/>
                <w:szCs w:val="24"/>
                <w:lang w:eastAsia="en-GB"/>
              </w:rPr>
            </w:pPr>
            <w:r w:rsidRPr="00B83A64">
              <w:rPr>
                <w:rFonts w:ascii="Arial Narrow" w:eastAsia="Times New Roman" w:hAnsi="Arial Narrow"/>
                <w:b/>
                <w:bCs/>
                <w:color w:val="000000"/>
                <w:sz w:val="24"/>
                <w:szCs w:val="24"/>
                <w:lang w:eastAsia="en-GB"/>
              </w:rPr>
              <w:t>10.34</w:t>
            </w:r>
          </w:p>
        </w:tc>
        <w:tc>
          <w:tcPr>
            <w:tcW w:w="3021" w:type="dxa"/>
            <w:vAlign w:val="center"/>
            <w:hideMark/>
          </w:tcPr>
          <w:p w14:paraId="75389481" w14:textId="77777777" w:rsidR="007F2ADD" w:rsidRPr="00B83A64" w:rsidRDefault="007F2ADD" w:rsidP="00C4126C">
            <w:pPr>
              <w:keepNext/>
              <w:jc w:val="center"/>
              <w:rPr>
                <w:rFonts w:ascii="Arial Narrow" w:eastAsia="Times New Roman" w:hAnsi="Arial Narrow"/>
                <w:b/>
                <w:bCs/>
                <w:color w:val="000000"/>
                <w:sz w:val="24"/>
                <w:szCs w:val="24"/>
                <w:lang w:eastAsia="en-GB"/>
              </w:rPr>
            </w:pPr>
            <w:r w:rsidRPr="00B83A64">
              <w:rPr>
                <w:rFonts w:ascii="Arial Narrow" w:eastAsia="Times New Roman" w:hAnsi="Arial Narrow"/>
                <w:b/>
                <w:bCs/>
                <w:color w:val="000000"/>
                <w:sz w:val="24"/>
                <w:szCs w:val="24"/>
                <w:lang w:eastAsia="en-GB"/>
              </w:rPr>
              <w:t>9.88</w:t>
            </w:r>
          </w:p>
        </w:tc>
      </w:tr>
      <w:tr w:rsidR="007F2ADD" w:rsidRPr="00B83A64" w14:paraId="252C7D9C" w14:textId="77777777" w:rsidTr="004F4BA7">
        <w:tc>
          <w:tcPr>
            <w:tcW w:w="2463" w:type="dxa"/>
            <w:noWrap/>
            <w:hideMark/>
          </w:tcPr>
          <w:p w14:paraId="79D238E3"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 xml:space="preserve">Greater Cambridge </w:t>
            </w:r>
          </w:p>
        </w:tc>
        <w:tc>
          <w:tcPr>
            <w:tcW w:w="3021" w:type="dxa"/>
            <w:noWrap/>
            <w:vAlign w:val="center"/>
            <w:hideMark/>
          </w:tcPr>
          <w:p w14:paraId="10DD5600"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12.14</w:t>
            </w:r>
          </w:p>
        </w:tc>
        <w:tc>
          <w:tcPr>
            <w:tcW w:w="3021" w:type="dxa"/>
            <w:vAlign w:val="center"/>
            <w:hideMark/>
          </w:tcPr>
          <w:p w14:paraId="16390975"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11.27</w:t>
            </w:r>
          </w:p>
        </w:tc>
      </w:tr>
      <w:tr w:rsidR="007F2ADD" w:rsidRPr="00B83A64" w14:paraId="5C28BD02" w14:textId="77777777" w:rsidTr="004F4BA7">
        <w:tc>
          <w:tcPr>
            <w:tcW w:w="2463" w:type="dxa"/>
            <w:noWrap/>
            <w:hideMark/>
          </w:tcPr>
          <w:p w14:paraId="36DB94AD"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 xml:space="preserve">East of England </w:t>
            </w:r>
          </w:p>
        </w:tc>
        <w:tc>
          <w:tcPr>
            <w:tcW w:w="3021" w:type="dxa"/>
            <w:noWrap/>
            <w:vAlign w:val="center"/>
            <w:hideMark/>
          </w:tcPr>
          <w:p w14:paraId="20E383DF"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9.65</w:t>
            </w:r>
          </w:p>
        </w:tc>
        <w:tc>
          <w:tcPr>
            <w:tcW w:w="3021" w:type="dxa"/>
            <w:vAlign w:val="center"/>
            <w:hideMark/>
          </w:tcPr>
          <w:p w14:paraId="5346BF61"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9.47</w:t>
            </w:r>
          </w:p>
        </w:tc>
      </w:tr>
      <w:tr w:rsidR="007F2ADD" w:rsidRPr="00B83A64" w14:paraId="4FCA4560" w14:textId="77777777" w:rsidTr="004F4BA7">
        <w:tc>
          <w:tcPr>
            <w:tcW w:w="2463" w:type="dxa"/>
            <w:noWrap/>
            <w:hideMark/>
          </w:tcPr>
          <w:p w14:paraId="21E7EE97" w14:textId="77777777" w:rsidR="007F2ADD" w:rsidRPr="003A75AB" w:rsidRDefault="007F2ADD" w:rsidP="008E6E40">
            <w:pPr>
              <w:keepNext/>
              <w:rPr>
                <w:rFonts w:ascii="Arial Narrow" w:eastAsia="Times New Roman" w:hAnsi="Arial Narrow"/>
                <w:color w:val="000000"/>
                <w:sz w:val="24"/>
                <w:szCs w:val="24"/>
                <w:lang w:eastAsia="en-GB"/>
              </w:rPr>
            </w:pPr>
            <w:r w:rsidRPr="003A75AB">
              <w:rPr>
                <w:rFonts w:ascii="Arial Narrow" w:eastAsia="Times New Roman" w:hAnsi="Arial Narrow"/>
                <w:color w:val="000000"/>
                <w:sz w:val="24"/>
                <w:szCs w:val="24"/>
                <w:lang w:eastAsia="en-GB"/>
              </w:rPr>
              <w:t xml:space="preserve">England </w:t>
            </w:r>
          </w:p>
        </w:tc>
        <w:tc>
          <w:tcPr>
            <w:tcW w:w="3021" w:type="dxa"/>
            <w:noWrap/>
            <w:vAlign w:val="center"/>
            <w:hideMark/>
          </w:tcPr>
          <w:p w14:paraId="59B8C9CE"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7.27</w:t>
            </w:r>
          </w:p>
        </w:tc>
        <w:tc>
          <w:tcPr>
            <w:tcW w:w="3021" w:type="dxa"/>
            <w:vAlign w:val="center"/>
            <w:hideMark/>
          </w:tcPr>
          <w:p w14:paraId="2122D175" w14:textId="77777777" w:rsidR="007F2ADD" w:rsidRPr="00B83A64" w:rsidRDefault="007F2ADD" w:rsidP="00C4126C">
            <w:pPr>
              <w:keepNext/>
              <w:jc w:val="center"/>
              <w:rPr>
                <w:rFonts w:ascii="Arial Narrow" w:eastAsia="Times New Roman" w:hAnsi="Arial Narrow"/>
                <w:color w:val="000000"/>
                <w:sz w:val="24"/>
                <w:szCs w:val="24"/>
                <w:lang w:eastAsia="en-GB"/>
              </w:rPr>
            </w:pPr>
            <w:r w:rsidRPr="00B83A64">
              <w:rPr>
                <w:rFonts w:ascii="Arial Narrow" w:eastAsia="Times New Roman" w:hAnsi="Arial Narrow"/>
                <w:color w:val="000000"/>
                <w:sz w:val="24"/>
                <w:szCs w:val="24"/>
                <w:lang w:eastAsia="en-GB"/>
              </w:rPr>
              <w:t>7.83</w:t>
            </w:r>
          </w:p>
        </w:tc>
      </w:tr>
    </w:tbl>
    <w:p w14:paraId="1DD465D8" w14:textId="77777777" w:rsidR="007F2ADD" w:rsidRDefault="007F2ADD" w:rsidP="00B74A73">
      <w:pPr>
        <w:pStyle w:val="11Bodytext"/>
        <w:numPr>
          <w:ilvl w:val="0"/>
          <w:numId w:val="0"/>
        </w:numPr>
        <w:spacing w:before="0" w:line="240" w:lineRule="auto"/>
        <w:ind w:left="794"/>
      </w:pPr>
      <w:r>
        <w:t>Source: ONS, House Price to Workplace Base Earnings Ratio, 2020</w:t>
      </w:r>
    </w:p>
    <w:p w14:paraId="7853CD82" w14:textId="77777777" w:rsidR="007F2ADD" w:rsidRDefault="007F2ADD" w:rsidP="007D0FBF">
      <w:pPr>
        <w:pStyle w:val="11Bodytext"/>
      </w:pPr>
      <w:r>
        <w:t xml:space="preserve">In all areas apart from Fenland, the median ratio is lower than the lower quartile ratio. This suggests that affordability is particularly an issue for the lower end of the market. That said, any ratio above 4.5 suggests market homes are beyond the reach of households at these income levels. This is because typically mortgage lenders restrict lending to first-time buyers to around 4.5 times their total household income, but this can vary with circumstances.  </w:t>
      </w:r>
    </w:p>
    <w:p w14:paraId="41FFDD5A" w14:textId="77777777" w:rsidR="007F2ADD" w:rsidRDefault="007F2ADD" w:rsidP="007D0FBF">
      <w:pPr>
        <w:pStyle w:val="11Bodytext"/>
      </w:pPr>
      <w:r>
        <w:t>The median workplace-based affordability ratio is one of the key market signals as it feeds into the standard method for calculating housing need. The ratio is highest in Cambridge and East Cambridgeshire both of which have a ratio over ten. This would present severe restrictions on those wishing to get a mortgage without having significant equity. Even the most affordable part of the HMA, Fenland, has a ratio of 8.1 which is still above the national equivalent of 7.83.</w:t>
      </w:r>
    </w:p>
    <w:p w14:paraId="0FDB998B" w14:textId="77777777" w:rsidR="007F2ADD" w:rsidRDefault="007F2ADD" w:rsidP="007D0FBF">
      <w:pPr>
        <w:pStyle w:val="11Bodytext"/>
      </w:pPr>
      <w:r>
        <w:t xml:space="preserve">Finally, we have examined how the ratios have changed since 1997 which is the year the dataset begins (except for West Suffolk, which dataset began in 2003). </w:t>
      </w:r>
    </w:p>
    <w:p w14:paraId="769E26C9" w14:textId="71DD0965" w:rsidR="007F2ADD" w:rsidRDefault="007F2ADD" w:rsidP="007D0FBF">
      <w:pPr>
        <w:pStyle w:val="11Bodytext"/>
      </w:pPr>
      <w:r>
        <w:lastRenderedPageBreak/>
        <w:t xml:space="preserve">West Suffolk index affordability ratio remains the most stable throughout the recorded time.  </w:t>
      </w:r>
      <w:r w:rsidR="00E03E37">
        <w:t>This is in contrast to</w:t>
      </w:r>
      <w:r>
        <w:t xml:space="preserve"> Fenland’s affordability ratio </w:t>
      </w:r>
      <w:r w:rsidR="00E03E37">
        <w:t xml:space="preserve">which </w:t>
      </w:r>
      <w:r>
        <w:t xml:space="preserve">saw the greatest deterioration increasing from an affordability ratio of 2.75 in 1997 to 8.10 in 2019.   </w:t>
      </w:r>
    </w:p>
    <w:p w14:paraId="2C42DD30" w14:textId="77777777" w:rsidR="007F2ADD" w:rsidRDefault="007F2ADD" w:rsidP="003D5E23">
      <w:pPr>
        <w:pStyle w:val="FigureHeading"/>
      </w:pPr>
      <w:r>
        <w:t xml:space="preserve">Indexed Median Workplace-based Affordability Ratio, by local Authority, 1997-2019 </w:t>
      </w:r>
    </w:p>
    <w:p w14:paraId="1C2C5122" w14:textId="77777777" w:rsidR="007F2ADD" w:rsidRDefault="007F2ADD" w:rsidP="00B74A73">
      <w:pPr>
        <w:pStyle w:val="11Bodytext"/>
        <w:numPr>
          <w:ilvl w:val="0"/>
          <w:numId w:val="0"/>
        </w:numPr>
        <w:spacing w:before="0" w:after="0" w:line="240" w:lineRule="auto"/>
        <w:ind w:left="794"/>
      </w:pPr>
      <w:r>
        <w:rPr>
          <w:noProof/>
        </w:rPr>
        <w:drawing>
          <wp:inline distT="0" distB="0" distL="0" distR="0" wp14:anchorId="661D2552" wp14:editId="4C95BDE7">
            <wp:extent cx="5471160" cy="3025140"/>
            <wp:effectExtent l="0" t="0" r="15240" b="3810"/>
            <wp:docPr id="196" name="Chart 196" descr="line chart showing indexed median workplace-based affordability ratio, by local authority 1997-2019">
              <a:extLst xmlns:a="http://schemas.openxmlformats.org/drawingml/2006/main">
                <a:ext uri="{FF2B5EF4-FFF2-40B4-BE49-F238E27FC236}">
                  <a16:creationId xmlns:a16="http://schemas.microsoft.com/office/drawing/2014/main" id="{700D2E7A-E815-4097-B366-DC79D27D6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313EE5" w14:textId="7CC455B5" w:rsidR="007F2ADD" w:rsidRDefault="007F2ADD" w:rsidP="00B74A73">
      <w:pPr>
        <w:pStyle w:val="11Bodytext"/>
        <w:numPr>
          <w:ilvl w:val="0"/>
          <w:numId w:val="0"/>
        </w:numPr>
        <w:spacing w:before="0" w:line="240" w:lineRule="auto"/>
        <w:ind w:left="794"/>
      </w:pPr>
      <w:r>
        <w:t xml:space="preserve">Source: ONS ratio of house price to earning, 2020 </w:t>
      </w:r>
    </w:p>
    <w:p w14:paraId="1318F964" w14:textId="77777777" w:rsidR="00B74A73" w:rsidRDefault="00B74A73" w:rsidP="00B74A73">
      <w:pPr>
        <w:pStyle w:val="11Bodytext"/>
        <w:numPr>
          <w:ilvl w:val="0"/>
          <w:numId w:val="0"/>
        </w:numPr>
        <w:spacing w:before="0" w:line="240" w:lineRule="auto"/>
        <w:ind w:left="794"/>
      </w:pPr>
    </w:p>
    <w:p w14:paraId="5B46C436" w14:textId="77777777" w:rsidR="007F2ADD" w:rsidRDefault="007F2ADD" w:rsidP="007D0FBF">
      <w:pPr>
        <w:pStyle w:val="Heading3"/>
      </w:pPr>
      <w:r>
        <w:t>Residence-Based Affordability Ratios</w:t>
      </w:r>
    </w:p>
    <w:p w14:paraId="44E2308C" w14:textId="77777777" w:rsidR="007F2ADD" w:rsidRDefault="007F2ADD" w:rsidP="007D0FBF">
      <w:pPr>
        <w:pStyle w:val="11Bodytext"/>
      </w:pPr>
      <w:r>
        <w:t xml:space="preserve">The residence-based affordability ratio is the ratio between house prices in an area and the earnings of those living (rather than working in an area). Reflecting common macro-economic factors, the residence-based affordability follows a similar pattern to the workplace-based ratio. </w:t>
      </w:r>
    </w:p>
    <w:p w14:paraId="346D3809" w14:textId="77777777" w:rsidR="007F2ADD" w:rsidRDefault="007F2ADD" w:rsidP="007D0FBF">
      <w:pPr>
        <w:pStyle w:val="11Bodytext"/>
      </w:pPr>
      <w:r>
        <w:t>The HMA broadly follows the regional median residence-based affordability trend and to a lesser extent the national trend, albeit at a slightly higher level. There was a notable deterioration in the pre-recession 1997-2007 period. This was followed by an improvement to affordability ratios over the next two years followed by a further deterioration to 2017. Over the last two years, affordability has deteriorated and more noticeably in the HMA than nationally.</w:t>
      </w:r>
    </w:p>
    <w:p w14:paraId="5D0B8E8E" w14:textId="77777777" w:rsidR="007F2ADD" w:rsidRPr="00526C6E" w:rsidRDefault="007F2ADD" w:rsidP="007D0FBF">
      <w:pPr>
        <w:pStyle w:val="11Bodytext"/>
        <w:rPr>
          <w:b/>
        </w:rPr>
      </w:pPr>
      <w:r>
        <w:lastRenderedPageBreak/>
        <w:t xml:space="preserve">In 2019 the average median affordability ratio for the local authorities in the HMA was 9.17 meaning that median house prices were 9.17 times the median earnings of those living in the HMA. This compares to 9.88 for those working the HMA and suggests that there is a level of in-commuting into the area for lower wages, such as from those in Peterborough but also a level of out-commuting to higher-value jobs such as in London. </w:t>
      </w:r>
    </w:p>
    <w:p w14:paraId="1F68BCE6" w14:textId="77777777" w:rsidR="007F2ADD" w:rsidRDefault="007F2ADD" w:rsidP="003D5E23">
      <w:pPr>
        <w:pStyle w:val="FigureHeading"/>
      </w:pPr>
      <w:r>
        <w:t xml:space="preserve">Median Residence-based, Affordability Ratio, 1997- 2019 </w:t>
      </w:r>
    </w:p>
    <w:p w14:paraId="102378D5" w14:textId="77777777" w:rsidR="007F2ADD" w:rsidRPr="00B74A73" w:rsidRDefault="007F2ADD" w:rsidP="00B74A73">
      <w:pPr>
        <w:pStyle w:val="Bodytextwithindent"/>
        <w:spacing w:before="0" w:after="0" w:line="240" w:lineRule="auto"/>
        <w:rPr>
          <w:iCs/>
          <w:sz w:val="24"/>
          <w:szCs w:val="24"/>
        </w:rPr>
      </w:pPr>
      <w:r>
        <w:rPr>
          <w:noProof/>
          <w:szCs w:val="20"/>
          <w:lang w:eastAsia="en-GB"/>
        </w:rPr>
        <w:drawing>
          <wp:inline distT="0" distB="0" distL="0" distR="0" wp14:anchorId="7D6BF679" wp14:editId="3EA00F00">
            <wp:extent cx="5539740" cy="2758440"/>
            <wp:effectExtent l="0" t="0" r="3810" b="3810"/>
            <wp:docPr id="197" name="Chart 197">
              <a:extLst xmlns:a="http://schemas.openxmlformats.org/drawingml/2006/main">
                <a:ext uri="{FF2B5EF4-FFF2-40B4-BE49-F238E27FC236}">
                  <a16:creationId xmlns:a16="http://schemas.microsoft.com/office/drawing/2014/main" id="{4E189AC2-E6AC-4507-90B0-396D55D8021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74A73">
        <w:rPr>
          <w:sz w:val="24"/>
          <w:szCs w:val="24"/>
        </w:rPr>
        <w:t xml:space="preserve">Source: ONS </w:t>
      </w:r>
      <w:r w:rsidRPr="00B74A73">
        <w:rPr>
          <w:iCs/>
          <w:sz w:val="24"/>
          <w:szCs w:val="24"/>
        </w:rPr>
        <w:t>ratio of house price to earnings, 2020</w:t>
      </w:r>
    </w:p>
    <w:p w14:paraId="3BDF3C7A" w14:textId="77777777" w:rsidR="007F2ADD" w:rsidRDefault="007F2ADD" w:rsidP="007D0FBF">
      <w:pPr>
        <w:pStyle w:val="11Bodytext"/>
      </w:pPr>
      <w:r>
        <w:t>The table below shows the lower quartile and median residence-based affordability ratio across the study area. For both measures, again the highest ratio was in Cambridge with the lowest ratio in Fenland. At 13.67 lower quartile ratios in Cambridge indicate a significant challenge for people entering the housing market without significant assistance or equity.</w:t>
      </w:r>
    </w:p>
    <w:p w14:paraId="7E1FD787" w14:textId="77777777" w:rsidR="007F2ADD" w:rsidRDefault="007F2ADD" w:rsidP="003D5E23">
      <w:pPr>
        <w:pStyle w:val="Tableheading"/>
        <w:numPr>
          <w:ilvl w:val="0"/>
          <w:numId w:val="54"/>
        </w:numPr>
      </w:pPr>
      <w:r>
        <w:lastRenderedPageBreak/>
        <w:t>Lower Quartile and Median Residence-based Affordability Ratio, by Local Authority, 2019</w:t>
      </w:r>
    </w:p>
    <w:tbl>
      <w:tblPr>
        <w:tblStyle w:val="TableGrid"/>
        <w:tblW w:w="8505" w:type="dxa"/>
        <w:tblInd w:w="846" w:type="dxa"/>
        <w:tblLayout w:type="fixed"/>
        <w:tblLook w:val="04A0" w:firstRow="1" w:lastRow="0" w:firstColumn="1" w:lastColumn="0" w:noHBand="0" w:noVBand="1"/>
      </w:tblPr>
      <w:tblGrid>
        <w:gridCol w:w="3295"/>
        <w:gridCol w:w="2605"/>
        <w:gridCol w:w="2605"/>
      </w:tblGrid>
      <w:tr w:rsidR="00B83A64" w:rsidRPr="00B83A64" w14:paraId="511A2BBC" w14:textId="77777777" w:rsidTr="004F4BA7">
        <w:trPr>
          <w:trHeight w:val="298"/>
        </w:trPr>
        <w:tc>
          <w:tcPr>
            <w:tcW w:w="3295" w:type="dxa"/>
            <w:noWrap/>
            <w:hideMark/>
          </w:tcPr>
          <w:p w14:paraId="269C53A0"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 </w:t>
            </w:r>
          </w:p>
        </w:tc>
        <w:tc>
          <w:tcPr>
            <w:tcW w:w="2605" w:type="dxa"/>
            <w:noWrap/>
            <w:vAlign w:val="center"/>
            <w:hideMark/>
          </w:tcPr>
          <w:p w14:paraId="5640E515" w14:textId="77777777" w:rsidR="007F2ADD" w:rsidRPr="00B83A64" w:rsidRDefault="007F2ADD" w:rsidP="00C4126C">
            <w:pPr>
              <w:keepNext/>
              <w:spacing w:line="256" w:lineRule="auto"/>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Lower Quartile Affordability Ratio</w:t>
            </w:r>
          </w:p>
        </w:tc>
        <w:tc>
          <w:tcPr>
            <w:tcW w:w="2605" w:type="dxa"/>
            <w:vAlign w:val="center"/>
            <w:hideMark/>
          </w:tcPr>
          <w:p w14:paraId="12A14D2B" w14:textId="77777777" w:rsidR="007F2ADD" w:rsidRPr="00B83A64" w:rsidRDefault="007F2ADD" w:rsidP="00C4126C">
            <w:pPr>
              <w:keepNext/>
              <w:spacing w:line="256" w:lineRule="auto"/>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Median Affordability Ratio</w:t>
            </w:r>
          </w:p>
        </w:tc>
      </w:tr>
      <w:tr w:rsidR="00B83A64" w:rsidRPr="00B83A64" w14:paraId="36BEED23" w14:textId="77777777" w:rsidTr="004F4BA7">
        <w:tc>
          <w:tcPr>
            <w:tcW w:w="3295" w:type="dxa"/>
            <w:noWrap/>
            <w:hideMark/>
          </w:tcPr>
          <w:p w14:paraId="740C9F37"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Cambridge</w:t>
            </w:r>
          </w:p>
        </w:tc>
        <w:tc>
          <w:tcPr>
            <w:tcW w:w="2605" w:type="dxa"/>
            <w:noWrap/>
            <w:vAlign w:val="center"/>
            <w:hideMark/>
          </w:tcPr>
          <w:p w14:paraId="2344EB9B"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13.67</w:t>
            </w:r>
          </w:p>
        </w:tc>
        <w:tc>
          <w:tcPr>
            <w:tcW w:w="2605" w:type="dxa"/>
            <w:vAlign w:val="center"/>
            <w:hideMark/>
          </w:tcPr>
          <w:p w14:paraId="260F5F12"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12.66</w:t>
            </w:r>
          </w:p>
        </w:tc>
      </w:tr>
      <w:tr w:rsidR="00B83A64" w:rsidRPr="00B83A64" w14:paraId="10FF6C43" w14:textId="77777777" w:rsidTr="004F4BA7">
        <w:tc>
          <w:tcPr>
            <w:tcW w:w="3295" w:type="dxa"/>
            <w:noWrap/>
            <w:hideMark/>
          </w:tcPr>
          <w:p w14:paraId="559C2903"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East Cambridgeshire</w:t>
            </w:r>
          </w:p>
        </w:tc>
        <w:tc>
          <w:tcPr>
            <w:tcW w:w="2605" w:type="dxa"/>
            <w:noWrap/>
            <w:vAlign w:val="center"/>
            <w:hideMark/>
          </w:tcPr>
          <w:p w14:paraId="62DE3500"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9.60</w:t>
            </w:r>
          </w:p>
        </w:tc>
        <w:tc>
          <w:tcPr>
            <w:tcW w:w="2605" w:type="dxa"/>
            <w:vAlign w:val="center"/>
            <w:hideMark/>
          </w:tcPr>
          <w:p w14:paraId="01A423D6"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8.95</w:t>
            </w:r>
          </w:p>
        </w:tc>
      </w:tr>
      <w:tr w:rsidR="00B83A64" w:rsidRPr="00B83A64" w14:paraId="4A488D13" w14:textId="77777777" w:rsidTr="004F4BA7">
        <w:tc>
          <w:tcPr>
            <w:tcW w:w="3295" w:type="dxa"/>
            <w:noWrap/>
            <w:hideMark/>
          </w:tcPr>
          <w:p w14:paraId="31E8FD90"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Fenland</w:t>
            </w:r>
          </w:p>
        </w:tc>
        <w:tc>
          <w:tcPr>
            <w:tcW w:w="2605" w:type="dxa"/>
            <w:noWrap/>
            <w:vAlign w:val="center"/>
            <w:hideMark/>
          </w:tcPr>
          <w:p w14:paraId="52545DA2"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7.50</w:t>
            </w:r>
          </w:p>
        </w:tc>
        <w:tc>
          <w:tcPr>
            <w:tcW w:w="2605" w:type="dxa"/>
            <w:vAlign w:val="center"/>
            <w:hideMark/>
          </w:tcPr>
          <w:p w14:paraId="0998E9A8"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6.74</w:t>
            </w:r>
          </w:p>
        </w:tc>
      </w:tr>
      <w:tr w:rsidR="00B83A64" w:rsidRPr="00B83A64" w14:paraId="31F5941A" w14:textId="77777777" w:rsidTr="004F4BA7">
        <w:tc>
          <w:tcPr>
            <w:tcW w:w="3295" w:type="dxa"/>
            <w:noWrap/>
            <w:hideMark/>
          </w:tcPr>
          <w:p w14:paraId="5C58F0D6"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Huntingdonshire</w:t>
            </w:r>
          </w:p>
        </w:tc>
        <w:tc>
          <w:tcPr>
            <w:tcW w:w="2605" w:type="dxa"/>
            <w:noWrap/>
            <w:vAlign w:val="center"/>
            <w:hideMark/>
          </w:tcPr>
          <w:p w14:paraId="5B1C20E6"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8.94</w:t>
            </w:r>
          </w:p>
        </w:tc>
        <w:tc>
          <w:tcPr>
            <w:tcW w:w="2605" w:type="dxa"/>
            <w:vAlign w:val="center"/>
            <w:hideMark/>
          </w:tcPr>
          <w:p w14:paraId="61270B9E"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8.68</w:t>
            </w:r>
          </w:p>
        </w:tc>
      </w:tr>
      <w:tr w:rsidR="00B83A64" w:rsidRPr="00B83A64" w14:paraId="1B2514C4" w14:textId="77777777" w:rsidTr="004F4BA7">
        <w:tc>
          <w:tcPr>
            <w:tcW w:w="3295" w:type="dxa"/>
            <w:noWrap/>
            <w:hideMark/>
          </w:tcPr>
          <w:p w14:paraId="353F6BE8"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South Cambridgeshire</w:t>
            </w:r>
          </w:p>
        </w:tc>
        <w:tc>
          <w:tcPr>
            <w:tcW w:w="2605" w:type="dxa"/>
            <w:noWrap/>
            <w:vAlign w:val="center"/>
            <w:hideMark/>
          </w:tcPr>
          <w:p w14:paraId="5D1B818A"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10.80</w:t>
            </w:r>
          </w:p>
        </w:tc>
        <w:tc>
          <w:tcPr>
            <w:tcW w:w="2605" w:type="dxa"/>
            <w:vAlign w:val="center"/>
            <w:hideMark/>
          </w:tcPr>
          <w:p w14:paraId="0345784F"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9.06</w:t>
            </w:r>
          </w:p>
        </w:tc>
      </w:tr>
      <w:tr w:rsidR="00B83A64" w:rsidRPr="00B83A64" w14:paraId="6A8295B0" w14:textId="77777777" w:rsidTr="004F4BA7">
        <w:tc>
          <w:tcPr>
            <w:tcW w:w="3295" w:type="dxa"/>
            <w:noWrap/>
            <w:hideMark/>
          </w:tcPr>
          <w:p w14:paraId="789A612B"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 xml:space="preserve">West Suffolk </w:t>
            </w:r>
          </w:p>
        </w:tc>
        <w:tc>
          <w:tcPr>
            <w:tcW w:w="2605" w:type="dxa"/>
            <w:noWrap/>
            <w:vAlign w:val="center"/>
            <w:hideMark/>
          </w:tcPr>
          <w:p w14:paraId="558EA7C7"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9.62</w:t>
            </w:r>
          </w:p>
        </w:tc>
        <w:tc>
          <w:tcPr>
            <w:tcW w:w="2605" w:type="dxa"/>
            <w:vAlign w:val="center"/>
            <w:hideMark/>
          </w:tcPr>
          <w:p w14:paraId="5CC7728E"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8.92</w:t>
            </w:r>
          </w:p>
        </w:tc>
      </w:tr>
      <w:tr w:rsidR="00B83A64" w:rsidRPr="00B83A64" w14:paraId="03343F3F" w14:textId="77777777" w:rsidTr="004F4BA7">
        <w:tc>
          <w:tcPr>
            <w:tcW w:w="3295" w:type="dxa"/>
            <w:noWrap/>
            <w:hideMark/>
          </w:tcPr>
          <w:p w14:paraId="2EB5748E" w14:textId="77777777" w:rsidR="007F2ADD" w:rsidRPr="004F4BA7" w:rsidRDefault="007F2ADD" w:rsidP="001D508A">
            <w:pPr>
              <w:keepNext/>
              <w:spacing w:line="256" w:lineRule="auto"/>
              <w:rPr>
                <w:rFonts w:ascii="Arial Narrow" w:eastAsia="Times New Roman" w:hAnsi="Arial Narrow"/>
                <w:b/>
                <w:bCs/>
                <w:sz w:val="24"/>
                <w:szCs w:val="24"/>
                <w:lang w:eastAsia="en-GB"/>
              </w:rPr>
            </w:pPr>
            <w:r w:rsidRPr="004F4BA7">
              <w:rPr>
                <w:rFonts w:ascii="Arial Narrow" w:eastAsia="Times New Roman" w:hAnsi="Arial Narrow"/>
                <w:b/>
                <w:bCs/>
                <w:sz w:val="24"/>
                <w:szCs w:val="24"/>
                <w:lang w:eastAsia="en-GB"/>
              </w:rPr>
              <w:t>HMA Average</w:t>
            </w:r>
          </w:p>
        </w:tc>
        <w:tc>
          <w:tcPr>
            <w:tcW w:w="2605" w:type="dxa"/>
            <w:noWrap/>
            <w:vAlign w:val="center"/>
            <w:hideMark/>
          </w:tcPr>
          <w:p w14:paraId="0245297B" w14:textId="77777777" w:rsidR="007F2ADD" w:rsidRPr="004F4BA7" w:rsidRDefault="007F2ADD" w:rsidP="00C4126C">
            <w:pPr>
              <w:keepNext/>
              <w:spacing w:line="256" w:lineRule="auto"/>
              <w:jc w:val="center"/>
              <w:rPr>
                <w:rFonts w:ascii="Arial Narrow" w:eastAsia="Times New Roman" w:hAnsi="Arial Narrow"/>
                <w:b/>
                <w:bCs/>
                <w:sz w:val="24"/>
                <w:szCs w:val="24"/>
                <w:lang w:eastAsia="en-GB"/>
              </w:rPr>
            </w:pPr>
            <w:r w:rsidRPr="004F4BA7">
              <w:rPr>
                <w:rFonts w:ascii="Arial Narrow" w:hAnsi="Arial Narrow"/>
                <w:b/>
                <w:bCs/>
                <w:sz w:val="24"/>
                <w:szCs w:val="24"/>
              </w:rPr>
              <w:t>10.02</w:t>
            </w:r>
          </w:p>
        </w:tc>
        <w:tc>
          <w:tcPr>
            <w:tcW w:w="2605" w:type="dxa"/>
            <w:vAlign w:val="center"/>
            <w:hideMark/>
          </w:tcPr>
          <w:p w14:paraId="32550882" w14:textId="77777777" w:rsidR="007F2ADD" w:rsidRPr="004F4BA7" w:rsidRDefault="007F2ADD" w:rsidP="00C4126C">
            <w:pPr>
              <w:keepNext/>
              <w:spacing w:line="256" w:lineRule="auto"/>
              <w:jc w:val="center"/>
              <w:rPr>
                <w:rFonts w:ascii="Arial Narrow" w:eastAsia="Times New Roman" w:hAnsi="Arial Narrow"/>
                <w:b/>
                <w:bCs/>
                <w:sz w:val="24"/>
                <w:szCs w:val="24"/>
                <w:lang w:eastAsia="en-GB"/>
              </w:rPr>
            </w:pPr>
            <w:r w:rsidRPr="004F4BA7">
              <w:rPr>
                <w:rFonts w:ascii="Arial Narrow" w:hAnsi="Arial Narrow"/>
                <w:b/>
                <w:bCs/>
                <w:sz w:val="24"/>
                <w:szCs w:val="24"/>
              </w:rPr>
              <w:t>9.17</w:t>
            </w:r>
          </w:p>
        </w:tc>
      </w:tr>
      <w:tr w:rsidR="00B83A64" w:rsidRPr="00B83A64" w14:paraId="3D5AB0D0" w14:textId="77777777" w:rsidTr="004F4BA7">
        <w:tc>
          <w:tcPr>
            <w:tcW w:w="3295" w:type="dxa"/>
            <w:noWrap/>
            <w:hideMark/>
          </w:tcPr>
          <w:p w14:paraId="066AFA1B"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Greater Cambridge</w:t>
            </w:r>
          </w:p>
        </w:tc>
        <w:tc>
          <w:tcPr>
            <w:tcW w:w="2605" w:type="dxa"/>
            <w:noWrap/>
            <w:vAlign w:val="center"/>
            <w:hideMark/>
          </w:tcPr>
          <w:p w14:paraId="51098359"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12.24</w:t>
            </w:r>
          </w:p>
        </w:tc>
        <w:tc>
          <w:tcPr>
            <w:tcW w:w="2605" w:type="dxa"/>
            <w:vAlign w:val="center"/>
            <w:hideMark/>
          </w:tcPr>
          <w:p w14:paraId="7500DE3D"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10.86</w:t>
            </w:r>
          </w:p>
        </w:tc>
      </w:tr>
      <w:tr w:rsidR="00B83A64" w:rsidRPr="00B83A64" w14:paraId="2358AF47" w14:textId="77777777" w:rsidTr="004F4BA7">
        <w:tc>
          <w:tcPr>
            <w:tcW w:w="3295" w:type="dxa"/>
            <w:noWrap/>
            <w:hideMark/>
          </w:tcPr>
          <w:p w14:paraId="5B3DEFB5"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 xml:space="preserve">East of England </w:t>
            </w:r>
          </w:p>
        </w:tc>
        <w:tc>
          <w:tcPr>
            <w:tcW w:w="2605" w:type="dxa"/>
            <w:noWrap/>
            <w:vAlign w:val="center"/>
            <w:hideMark/>
          </w:tcPr>
          <w:p w14:paraId="7221CBEA"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9.24</w:t>
            </w:r>
          </w:p>
        </w:tc>
        <w:tc>
          <w:tcPr>
            <w:tcW w:w="2605" w:type="dxa"/>
            <w:vAlign w:val="center"/>
            <w:hideMark/>
          </w:tcPr>
          <w:p w14:paraId="1598D60F"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9.02</w:t>
            </w:r>
          </w:p>
        </w:tc>
      </w:tr>
      <w:tr w:rsidR="00B83A64" w:rsidRPr="00B83A64" w14:paraId="65399911" w14:textId="77777777" w:rsidTr="004F4BA7">
        <w:tc>
          <w:tcPr>
            <w:tcW w:w="3295" w:type="dxa"/>
            <w:noWrap/>
            <w:hideMark/>
          </w:tcPr>
          <w:p w14:paraId="1C49089E" w14:textId="77777777" w:rsidR="007F2ADD" w:rsidRPr="00B83A64" w:rsidRDefault="007F2ADD" w:rsidP="001D508A">
            <w:pPr>
              <w:keepNext/>
              <w:spacing w:line="256"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 xml:space="preserve">England </w:t>
            </w:r>
          </w:p>
        </w:tc>
        <w:tc>
          <w:tcPr>
            <w:tcW w:w="2605" w:type="dxa"/>
            <w:noWrap/>
            <w:vAlign w:val="center"/>
            <w:hideMark/>
          </w:tcPr>
          <w:p w14:paraId="38DC565D"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7.27</w:t>
            </w:r>
          </w:p>
        </w:tc>
        <w:tc>
          <w:tcPr>
            <w:tcW w:w="2605" w:type="dxa"/>
            <w:vAlign w:val="center"/>
            <w:hideMark/>
          </w:tcPr>
          <w:p w14:paraId="77E9F3C4" w14:textId="77777777" w:rsidR="007F2ADD" w:rsidRPr="00B83A64" w:rsidRDefault="007F2ADD" w:rsidP="00C4126C">
            <w:pPr>
              <w:keepNext/>
              <w:spacing w:line="256" w:lineRule="auto"/>
              <w:jc w:val="center"/>
              <w:rPr>
                <w:rFonts w:ascii="Arial Narrow" w:eastAsia="Times New Roman" w:hAnsi="Arial Narrow"/>
                <w:sz w:val="24"/>
                <w:szCs w:val="24"/>
                <w:lang w:eastAsia="en-GB"/>
              </w:rPr>
            </w:pPr>
            <w:r w:rsidRPr="00B83A64">
              <w:rPr>
                <w:rFonts w:ascii="Arial Narrow" w:hAnsi="Arial Narrow"/>
                <w:sz w:val="24"/>
                <w:szCs w:val="24"/>
              </w:rPr>
              <w:t>7.83</w:t>
            </w:r>
          </w:p>
        </w:tc>
      </w:tr>
    </w:tbl>
    <w:p w14:paraId="6DB20C8C" w14:textId="77777777" w:rsidR="007F2ADD" w:rsidRPr="007D0FBF" w:rsidRDefault="007F2ADD" w:rsidP="007F2ADD">
      <w:pPr>
        <w:pStyle w:val="Bodytextwithindent"/>
        <w:keepNext/>
        <w:spacing w:before="0" w:after="0" w:line="240" w:lineRule="auto"/>
        <w:rPr>
          <w:sz w:val="24"/>
          <w:szCs w:val="24"/>
        </w:rPr>
      </w:pPr>
      <w:r w:rsidRPr="007D0FBF">
        <w:rPr>
          <w:sz w:val="24"/>
          <w:szCs w:val="24"/>
        </w:rPr>
        <w:t xml:space="preserve">Source: ONS </w:t>
      </w:r>
      <w:r w:rsidRPr="007D0FBF">
        <w:rPr>
          <w:iCs/>
          <w:sz w:val="24"/>
          <w:szCs w:val="24"/>
        </w:rPr>
        <w:t>ratio of house price to earnings, 2020</w:t>
      </w:r>
    </w:p>
    <w:p w14:paraId="62983BDC" w14:textId="77777777" w:rsidR="007F2ADD" w:rsidRDefault="007F2ADD" w:rsidP="007D0FBF">
      <w:pPr>
        <w:pStyle w:val="11Bodytext"/>
      </w:pPr>
      <w:r>
        <w:t>Similar to workplace-based ratio, the lower quartile ratio is typically higher than the median ratio. This indicates that affordability is particularly an issue for the lower end of the market and impacts the ability of locals to access the housing ladder.</w:t>
      </w:r>
    </w:p>
    <w:p w14:paraId="053D616F" w14:textId="77777777" w:rsidR="007F2ADD" w:rsidRDefault="007F2ADD" w:rsidP="007D0FBF">
      <w:pPr>
        <w:pStyle w:val="Heading2"/>
      </w:pPr>
      <w:r>
        <w:t xml:space="preserve">Rental Affordability </w:t>
      </w:r>
    </w:p>
    <w:p w14:paraId="1ECF9221" w14:textId="77777777" w:rsidR="007F2ADD" w:rsidRDefault="007F2ADD" w:rsidP="007D0FBF">
      <w:pPr>
        <w:pStyle w:val="11Bodytext"/>
      </w:pPr>
      <w:r>
        <w:t>We have also calculated rental affordability. This is done by combining the VOA median and lower quartile rents as set out earlier in this chapter and the equivalent earnings data from the Annual Survey of Hours and Earnings. The affordability is calculated based on the percentage of income spent on rents.</w:t>
      </w:r>
    </w:p>
    <w:p w14:paraId="1C25B550" w14:textId="0F104CA7" w:rsidR="007F2ADD" w:rsidRDefault="007F2ADD" w:rsidP="007D0FBF">
      <w:pPr>
        <w:pStyle w:val="11Bodytext"/>
      </w:pPr>
      <w:r>
        <w:t>As the table below sets out, across the HMA median rents equate to around 31.9% of median earnings. This is slightly higher than the regional (31.1%) and national equivalents (26.2%). This is also the case with lower quartile rents although at 37.2% these are notably higher than median rents indicating more acute affordability issues at the bottom end of the market.</w:t>
      </w:r>
    </w:p>
    <w:p w14:paraId="7F595385" w14:textId="40A6368E" w:rsidR="00B83A64" w:rsidRDefault="00B83A64" w:rsidP="007D0FBF">
      <w:pPr>
        <w:pStyle w:val="11Bodytext"/>
        <w:numPr>
          <w:ilvl w:val="0"/>
          <w:numId w:val="0"/>
        </w:numPr>
        <w:ind w:left="794"/>
      </w:pPr>
    </w:p>
    <w:p w14:paraId="4387B742" w14:textId="3F9B06A6" w:rsidR="00B83A64" w:rsidRDefault="00B83A64" w:rsidP="007D0FBF">
      <w:pPr>
        <w:pStyle w:val="11Bodytext"/>
        <w:numPr>
          <w:ilvl w:val="0"/>
          <w:numId w:val="0"/>
        </w:numPr>
        <w:ind w:left="794"/>
      </w:pPr>
    </w:p>
    <w:p w14:paraId="395AEB71" w14:textId="77777777" w:rsidR="00B83A64" w:rsidRDefault="00B83A64" w:rsidP="007D0FBF">
      <w:pPr>
        <w:pStyle w:val="11Bodytext"/>
        <w:numPr>
          <w:ilvl w:val="0"/>
          <w:numId w:val="0"/>
        </w:numPr>
        <w:ind w:left="794"/>
      </w:pPr>
    </w:p>
    <w:p w14:paraId="6DA96FD0" w14:textId="77777777" w:rsidR="007F2ADD" w:rsidRDefault="007F2ADD" w:rsidP="003D5E23">
      <w:pPr>
        <w:pStyle w:val="Tableheading"/>
        <w:numPr>
          <w:ilvl w:val="0"/>
          <w:numId w:val="54"/>
        </w:numPr>
      </w:pPr>
      <w:r>
        <w:lastRenderedPageBreak/>
        <w:t>Lower Quartile and Median Rental Affordability, by Local Authority, 2019</w:t>
      </w:r>
    </w:p>
    <w:tbl>
      <w:tblPr>
        <w:tblStyle w:val="TableGrid"/>
        <w:tblW w:w="8363" w:type="dxa"/>
        <w:tblInd w:w="846" w:type="dxa"/>
        <w:tblLayout w:type="fixed"/>
        <w:tblLook w:val="04A0" w:firstRow="1" w:lastRow="0" w:firstColumn="1" w:lastColumn="0" w:noHBand="0" w:noVBand="1"/>
      </w:tblPr>
      <w:tblGrid>
        <w:gridCol w:w="2950"/>
        <w:gridCol w:w="2706"/>
        <w:gridCol w:w="2707"/>
      </w:tblGrid>
      <w:tr w:rsidR="00B83A64" w:rsidRPr="00B83A64" w14:paraId="106B96C5" w14:textId="77777777" w:rsidTr="004F4BA7">
        <w:trPr>
          <w:trHeight w:val="340"/>
        </w:trPr>
        <w:tc>
          <w:tcPr>
            <w:tcW w:w="2950" w:type="dxa"/>
            <w:noWrap/>
            <w:hideMark/>
          </w:tcPr>
          <w:p w14:paraId="18336FC8"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 </w:t>
            </w:r>
          </w:p>
        </w:tc>
        <w:tc>
          <w:tcPr>
            <w:tcW w:w="2706" w:type="dxa"/>
            <w:vAlign w:val="center"/>
            <w:hideMark/>
          </w:tcPr>
          <w:p w14:paraId="085410D2" w14:textId="57BC3202" w:rsidR="007F2ADD" w:rsidRPr="00B83A64" w:rsidRDefault="007F2ADD" w:rsidP="00C4126C">
            <w:pPr>
              <w:spacing w:line="300" w:lineRule="auto"/>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Lower Quartile</w:t>
            </w:r>
          </w:p>
        </w:tc>
        <w:tc>
          <w:tcPr>
            <w:tcW w:w="2707" w:type="dxa"/>
            <w:noWrap/>
            <w:vAlign w:val="center"/>
            <w:hideMark/>
          </w:tcPr>
          <w:p w14:paraId="1C15EE81" w14:textId="69D74CE4" w:rsidR="007F2ADD" w:rsidRPr="00B83A64" w:rsidRDefault="007F2ADD" w:rsidP="00C4126C">
            <w:pPr>
              <w:spacing w:line="300" w:lineRule="auto"/>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Median</w:t>
            </w:r>
          </w:p>
        </w:tc>
      </w:tr>
      <w:tr w:rsidR="00B83A64" w:rsidRPr="00B83A64" w14:paraId="571DB72B" w14:textId="77777777" w:rsidTr="004F4BA7">
        <w:trPr>
          <w:trHeight w:val="340"/>
        </w:trPr>
        <w:tc>
          <w:tcPr>
            <w:tcW w:w="2950" w:type="dxa"/>
            <w:noWrap/>
            <w:hideMark/>
          </w:tcPr>
          <w:p w14:paraId="0A83B71F"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Cambridge</w:t>
            </w:r>
          </w:p>
        </w:tc>
        <w:tc>
          <w:tcPr>
            <w:tcW w:w="2706" w:type="dxa"/>
            <w:vAlign w:val="center"/>
            <w:hideMark/>
          </w:tcPr>
          <w:p w14:paraId="7A14D289"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45.3%</w:t>
            </w:r>
          </w:p>
        </w:tc>
        <w:tc>
          <w:tcPr>
            <w:tcW w:w="2707" w:type="dxa"/>
            <w:noWrap/>
            <w:vAlign w:val="center"/>
            <w:hideMark/>
          </w:tcPr>
          <w:p w14:paraId="0BDDCD68"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41.7%</w:t>
            </w:r>
          </w:p>
        </w:tc>
      </w:tr>
      <w:tr w:rsidR="00B83A64" w:rsidRPr="00B83A64" w14:paraId="7D0BF1F7" w14:textId="77777777" w:rsidTr="004F4BA7">
        <w:trPr>
          <w:trHeight w:val="340"/>
        </w:trPr>
        <w:tc>
          <w:tcPr>
            <w:tcW w:w="2950" w:type="dxa"/>
            <w:noWrap/>
            <w:hideMark/>
          </w:tcPr>
          <w:p w14:paraId="2A08C2CA"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East Cambridgeshire</w:t>
            </w:r>
          </w:p>
        </w:tc>
        <w:tc>
          <w:tcPr>
            <w:tcW w:w="2706" w:type="dxa"/>
            <w:vAlign w:val="center"/>
            <w:hideMark/>
          </w:tcPr>
          <w:p w14:paraId="2D2594E1"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35.6%</w:t>
            </w:r>
          </w:p>
        </w:tc>
        <w:tc>
          <w:tcPr>
            <w:tcW w:w="2707" w:type="dxa"/>
            <w:noWrap/>
            <w:vAlign w:val="center"/>
            <w:hideMark/>
          </w:tcPr>
          <w:p w14:paraId="15CD38E2"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29.7%</w:t>
            </w:r>
          </w:p>
        </w:tc>
      </w:tr>
      <w:tr w:rsidR="00B83A64" w:rsidRPr="00B83A64" w14:paraId="217399A3" w14:textId="77777777" w:rsidTr="004F4BA7">
        <w:trPr>
          <w:trHeight w:val="340"/>
        </w:trPr>
        <w:tc>
          <w:tcPr>
            <w:tcW w:w="2950" w:type="dxa"/>
            <w:noWrap/>
            <w:hideMark/>
          </w:tcPr>
          <w:p w14:paraId="4E4E95F4"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Fenland</w:t>
            </w:r>
          </w:p>
        </w:tc>
        <w:tc>
          <w:tcPr>
            <w:tcW w:w="2706" w:type="dxa"/>
            <w:vAlign w:val="center"/>
            <w:hideMark/>
          </w:tcPr>
          <w:p w14:paraId="37DB89FB"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29.5%</w:t>
            </w:r>
          </w:p>
        </w:tc>
        <w:tc>
          <w:tcPr>
            <w:tcW w:w="2707" w:type="dxa"/>
            <w:noWrap/>
            <w:vAlign w:val="center"/>
            <w:hideMark/>
          </w:tcPr>
          <w:p w14:paraId="7C4941F0"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25.7%</w:t>
            </w:r>
          </w:p>
        </w:tc>
      </w:tr>
      <w:tr w:rsidR="00B83A64" w:rsidRPr="00B83A64" w14:paraId="622BE45F" w14:textId="77777777" w:rsidTr="004F4BA7">
        <w:trPr>
          <w:trHeight w:val="340"/>
        </w:trPr>
        <w:tc>
          <w:tcPr>
            <w:tcW w:w="2950" w:type="dxa"/>
            <w:noWrap/>
            <w:hideMark/>
          </w:tcPr>
          <w:p w14:paraId="6AD9C905"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Huntingdonshire</w:t>
            </w:r>
          </w:p>
        </w:tc>
        <w:tc>
          <w:tcPr>
            <w:tcW w:w="2706" w:type="dxa"/>
            <w:vAlign w:val="center"/>
            <w:hideMark/>
          </w:tcPr>
          <w:p w14:paraId="4001B79B"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33.0%</w:t>
            </w:r>
          </w:p>
        </w:tc>
        <w:tc>
          <w:tcPr>
            <w:tcW w:w="2707" w:type="dxa"/>
            <w:noWrap/>
            <w:vAlign w:val="center"/>
            <w:hideMark/>
          </w:tcPr>
          <w:p w14:paraId="1CED99A4"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29.0%</w:t>
            </w:r>
          </w:p>
        </w:tc>
      </w:tr>
      <w:tr w:rsidR="00B83A64" w:rsidRPr="00B83A64" w14:paraId="2429FA17" w14:textId="77777777" w:rsidTr="004F4BA7">
        <w:trPr>
          <w:trHeight w:val="340"/>
        </w:trPr>
        <w:tc>
          <w:tcPr>
            <w:tcW w:w="2950" w:type="dxa"/>
            <w:noWrap/>
            <w:hideMark/>
          </w:tcPr>
          <w:p w14:paraId="48E4E867"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South Cambridgeshire</w:t>
            </w:r>
          </w:p>
        </w:tc>
        <w:tc>
          <w:tcPr>
            <w:tcW w:w="2706" w:type="dxa"/>
            <w:vAlign w:val="center"/>
            <w:hideMark/>
          </w:tcPr>
          <w:p w14:paraId="10B493BC"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37.1%</w:t>
            </w:r>
          </w:p>
        </w:tc>
        <w:tc>
          <w:tcPr>
            <w:tcW w:w="2707" w:type="dxa"/>
            <w:noWrap/>
            <w:vAlign w:val="center"/>
            <w:hideMark/>
          </w:tcPr>
          <w:p w14:paraId="7A943E61"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28.5%</w:t>
            </w:r>
          </w:p>
        </w:tc>
      </w:tr>
      <w:tr w:rsidR="00B83A64" w:rsidRPr="00B83A64" w14:paraId="770FFCEF" w14:textId="77777777" w:rsidTr="004F4BA7">
        <w:trPr>
          <w:trHeight w:val="340"/>
        </w:trPr>
        <w:tc>
          <w:tcPr>
            <w:tcW w:w="2950" w:type="dxa"/>
            <w:noWrap/>
            <w:hideMark/>
          </w:tcPr>
          <w:p w14:paraId="796BF8BA"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West Suffolk Average</w:t>
            </w:r>
          </w:p>
        </w:tc>
        <w:tc>
          <w:tcPr>
            <w:tcW w:w="2706" w:type="dxa"/>
            <w:vAlign w:val="center"/>
            <w:hideMark/>
          </w:tcPr>
          <w:p w14:paraId="3E31F680"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39.9%</w:t>
            </w:r>
          </w:p>
        </w:tc>
        <w:tc>
          <w:tcPr>
            <w:tcW w:w="2707" w:type="dxa"/>
            <w:noWrap/>
            <w:vAlign w:val="center"/>
            <w:hideMark/>
          </w:tcPr>
          <w:p w14:paraId="1DCA5AF4"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36.4%</w:t>
            </w:r>
          </w:p>
        </w:tc>
      </w:tr>
      <w:tr w:rsidR="00B83A64" w:rsidRPr="00B83A64" w14:paraId="2C9547A9" w14:textId="77777777" w:rsidTr="004F4BA7">
        <w:trPr>
          <w:trHeight w:val="340"/>
        </w:trPr>
        <w:tc>
          <w:tcPr>
            <w:tcW w:w="2950" w:type="dxa"/>
            <w:noWrap/>
            <w:hideMark/>
          </w:tcPr>
          <w:p w14:paraId="3B6742CD" w14:textId="77777777" w:rsidR="007F2ADD" w:rsidRPr="00B83A64" w:rsidRDefault="007F2ADD" w:rsidP="001D508A">
            <w:pPr>
              <w:spacing w:line="300" w:lineRule="auto"/>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HMA Average</w:t>
            </w:r>
          </w:p>
        </w:tc>
        <w:tc>
          <w:tcPr>
            <w:tcW w:w="2706" w:type="dxa"/>
            <w:vAlign w:val="center"/>
            <w:hideMark/>
          </w:tcPr>
          <w:p w14:paraId="037A948F" w14:textId="77777777" w:rsidR="007F2ADD" w:rsidRPr="00B83A64" w:rsidRDefault="007F2ADD" w:rsidP="00C4126C">
            <w:pPr>
              <w:spacing w:line="300" w:lineRule="auto"/>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37.2%</w:t>
            </w:r>
          </w:p>
        </w:tc>
        <w:tc>
          <w:tcPr>
            <w:tcW w:w="2707" w:type="dxa"/>
            <w:noWrap/>
            <w:vAlign w:val="center"/>
            <w:hideMark/>
          </w:tcPr>
          <w:p w14:paraId="10A1DC83" w14:textId="77777777" w:rsidR="007F2ADD" w:rsidRPr="00B83A64" w:rsidRDefault="007F2ADD" w:rsidP="00C4126C">
            <w:pPr>
              <w:spacing w:line="300" w:lineRule="auto"/>
              <w:jc w:val="center"/>
              <w:rPr>
                <w:rFonts w:ascii="Arial Narrow" w:eastAsia="Times New Roman" w:hAnsi="Arial Narrow"/>
                <w:b/>
                <w:bCs/>
                <w:sz w:val="24"/>
                <w:szCs w:val="24"/>
                <w:lang w:eastAsia="en-GB"/>
              </w:rPr>
            </w:pPr>
            <w:r w:rsidRPr="00B83A64">
              <w:rPr>
                <w:rFonts w:ascii="Arial Narrow" w:eastAsia="Times New Roman" w:hAnsi="Arial Narrow"/>
                <w:b/>
                <w:bCs/>
                <w:sz w:val="24"/>
                <w:szCs w:val="24"/>
                <w:lang w:eastAsia="en-GB"/>
              </w:rPr>
              <w:t>31.9%</w:t>
            </w:r>
          </w:p>
        </w:tc>
      </w:tr>
      <w:tr w:rsidR="00B83A64" w:rsidRPr="00B83A64" w14:paraId="1D492CEC" w14:textId="77777777" w:rsidTr="004F4BA7">
        <w:trPr>
          <w:trHeight w:val="340"/>
        </w:trPr>
        <w:tc>
          <w:tcPr>
            <w:tcW w:w="2950" w:type="dxa"/>
            <w:noWrap/>
            <w:hideMark/>
          </w:tcPr>
          <w:p w14:paraId="75EAEF77"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Greater Cambridge Average</w:t>
            </w:r>
          </w:p>
        </w:tc>
        <w:tc>
          <w:tcPr>
            <w:tcW w:w="2706" w:type="dxa"/>
            <w:vAlign w:val="center"/>
            <w:hideMark/>
          </w:tcPr>
          <w:p w14:paraId="50F19699"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41.0%</w:t>
            </w:r>
          </w:p>
        </w:tc>
        <w:tc>
          <w:tcPr>
            <w:tcW w:w="2707" w:type="dxa"/>
            <w:noWrap/>
            <w:vAlign w:val="center"/>
            <w:hideMark/>
          </w:tcPr>
          <w:p w14:paraId="5F2B5AD9"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34.6%</w:t>
            </w:r>
          </w:p>
        </w:tc>
      </w:tr>
      <w:tr w:rsidR="00B83A64" w:rsidRPr="00B83A64" w14:paraId="3D0D494E" w14:textId="77777777" w:rsidTr="004F4BA7">
        <w:trPr>
          <w:trHeight w:val="340"/>
        </w:trPr>
        <w:tc>
          <w:tcPr>
            <w:tcW w:w="2950" w:type="dxa"/>
            <w:noWrap/>
            <w:hideMark/>
          </w:tcPr>
          <w:p w14:paraId="1B4D1767"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 xml:space="preserve">East of England </w:t>
            </w:r>
          </w:p>
        </w:tc>
        <w:tc>
          <w:tcPr>
            <w:tcW w:w="2706" w:type="dxa"/>
            <w:vAlign w:val="center"/>
            <w:hideMark/>
          </w:tcPr>
          <w:p w14:paraId="778790B3"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34.1%</w:t>
            </w:r>
          </w:p>
        </w:tc>
        <w:tc>
          <w:tcPr>
            <w:tcW w:w="2707" w:type="dxa"/>
            <w:noWrap/>
            <w:vAlign w:val="center"/>
            <w:hideMark/>
          </w:tcPr>
          <w:p w14:paraId="26C70B68"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31.1%</w:t>
            </w:r>
          </w:p>
        </w:tc>
      </w:tr>
      <w:tr w:rsidR="00B83A64" w:rsidRPr="00B83A64" w14:paraId="064AA1C0" w14:textId="77777777" w:rsidTr="004F4BA7">
        <w:trPr>
          <w:trHeight w:val="340"/>
        </w:trPr>
        <w:tc>
          <w:tcPr>
            <w:tcW w:w="2950" w:type="dxa"/>
            <w:noWrap/>
            <w:hideMark/>
          </w:tcPr>
          <w:p w14:paraId="41C21BD7" w14:textId="77777777" w:rsidR="007F2ADD" w:rsidRPr="00B83A64" w:rsidRDefault="007F2ADD" w:rsidP="001D508A">
            <w:pPr>
              <w:spacing w:line="300" w:lineRule="auto"/>
              <w:rPr>
                <w:rFonts w:ascii="Arial Narrow" w:eastAsia="Times New Roman" w:hAnsi="Arial Narrow"/>
                <w:sz w:val="24"/>
                <w:szCs w:val="24"/>
                <w:lang w:eastAsia="en-GB"/>
              </w:rPr>
            </w:pPr>
            <w:r w:rsidRPr="00B83A64">
              <w:rPr>
                <w:rFonts w:ascii="Arial Narrow" w:eastAsia="Times New Roman" w:hAnsi="Arial Narrow"/>
                <w:sz w:val="24"/>
                <w:szCs w:val="24"/>
                <w:lang w:eastAsia="en-GB"/>
              </w:rPr>
              <w:t>England</w:t>
            </w:r>
          </w:p>
        </w:tc>
        <w:tc>
          <w:tcPr>
            <w:tcW w:w="2706" w:type="dxa"/>
            <w:vAlign w:val="center"/>
            <w:hideMark/>
          </w:tcPr>
          <w:p w14:paraId="4EB2CD2A"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27.3%</w:t>
            </w:r>
          </w:p>
        </w:tc>
        <w:tc>
          <w:tcPr>
            <w:tcW w:w="2707" w:type="dxa"/>
            <w:noWrap/>
            <w:vAlign w:val="center"/>
            <w:hideMark/>
          </w:tcPr>
          <w:p w14:paraId="3C7597BA" w14:textId="77777777" w:rsidR="007F2ADD" w:rsidRPr="00B83A64" w:rsidRDefault="007F2ADD" w:rsidP="00C4126C">
            <w:pPr>
              <w:spacing w:line="300" w:lineRule="auto"/>
              <w:jc w:val="center"/>
              <w:rPr>
                <w:rFonts w:ascii="Arial Narrow" w:eastAsia="Times New Roman" w:hAnsi="Arial Narrow"/>
                <w:sz w:val="24"/>
                <w:szCs w:val="24"/>
                <w:lang w:eastAsia="en-GB"/>
              </w:rPr>
            </w:pPr>
            <w:r w:rsidRPr="00B83A64">
              <w:rPr>
                <w:rFonts w:ascii="Arial Narrow" w:eastAsia="Times New Roman" w:hAnsi="Arial Narrow"/>
                <w:sz w:val="24"/>
                <w:szCs w:val="24"/>
                <w:lang w:eastAsia="en-GB"/>
              </w:rPr>
              <w:t>26.2%</w:t>
            </w:r>
          </w:p>
        </w:tc>
      </w:tr>
    </w:tbl>
    <w:p w14:paraId="782BFACB" w14:textId="77777777" w:rsidR="007F2ADD" w:rsidRPr="00B74A73" w:rsidRDefault="007F2ADD" w:rsidP="007F2ADD">
      <w:pPr>
        <w:pStyle w:val="Bodytextwithindent"/>
        <w:spacing w:before="0" w:after="120"/>
        <w:rPr>
          <w:sz w:val="24"/>
          <w:szCs w:val="24"/>
        </w:rPr>
      </w:pPr>
      <w:r w:rsidRPr="00B74A73">
        <w:rPr>
          <w:sz w:val="24"/>
          <w:szCs w:val="24"/>
        </w:rPr>
        <w:t>Source: VOA Rental Statistics and Annual Survey of Hours and Earnings, 2020</w:t>
      </w:r>
    </w:p>
    <w:p w14:paraId="4A4138DA" w14:textId="77777777" w:rsidR="007F2ADD" w:rsidRDefault="007F2ADD" w:rsidP="007D0FBF">
      <w:pPr>
        <w:pStyle w:val="11Bodytext"/>
      </w:pPr>
      <w:r>
        <w:t xml:space="preserve">Once more, the most challenging affordability for both Median and Lower Quartile values is in Cambridge with the most affordable area being Fenland. </w:t>
      </w:r>
    </w:p>
    <w:p w14:paraId="432EEDD2" w14:textId="77777777" w:rsidR="007F2ADD" w:rsidRDefault="007F2ADD" w:rsidP="007D0FBF">
      <w:pPr>
        <w:pStyle w:val="Heading3"/>
      </w:pPr>
      <w:r>
        <w:t xml:space="preserve">Change in Tenure </w:t>
      </w:r>
    </w:p>
    <w:p w14:paraId="7A6656F8" w14:textId="77777777" w:rsidR="007F2ADD" w:rsidRPr="00526C6E" w:rsidRDefault="007F2ADD" w:rsidP="007D0FBF">
      <w:pPr>
        <w:pStyle w:val="11Bodytext"/>
        <w:rPr>
          <w:b/>
        </w:rPr>
      </w:pPr>
      <w:r>
        <w:t xml:space="preserve">A combination of deteriorating affordability, restricted access to mortgage products and a lack of social housing supply over the 2001-11 decade has resulted in fewer households being able to buy their homes and increased pressures on the affordable housing stock. These factors have also resulted in strong growth in the Private Rented Sector (PRS) as households are being forced to rent for longer or cannot secure alternative accommodation. </w:t>
      </w:r>
    </w:p>
    <w:p w14:paraId="43236573" w14:textId="77777777" w:rsidR="007F2ADD" w:rsidRPr="00526C6E" w:rsidRDefault="007F2ADD" w:rsidP="007D0FBF">
      <w:pPr>
        <w:pStyle w:val="11Bodytext"/>
        <w:rPr>
          <w:b/>
        </w:rPr>
      </w:pPr>
      <w:r>
        <w:t>As illustrated in the figure below, across the HMA, the percentage of households who own their home with a mortgage fell significantly between 2001 and 2011. The extent of the fall (-6.4% points) was less than the fall for the Region (region -6.6% points) but greater than the national equivalent (-6.0% points).</w:t>
      </w:r>
    </w:p>
    <w:p w14:paraId="3FF7C245" w14:textId="77777777" w:rsidR="007F2ADD" w:rsidRDefault="007F2ADD" w:rsidP="003D5E23">
      <w:pPr>
        <w:pStyle w:val="FigureHeading"/>
      </w:pPr>
      <w:r>
        <w:lastRenderedPageBreak/>
        <w:t>Change in Households by Tenure and Local Authority, 2001-11</w:t>
      </w:r>
    </w:p>
    <w:p w14:paraId="1EE4B493" w14:textId="77777777" w:rsidR="007F2ADD" w:rsidRDefault="007F2ADD" w:rsidP="00B74A73">
      <w:pPr>
        <w:pStyle w:val="11Bodytext"/>
        <w:numPr>
          <w:ilvl w:val="0"/>
          <w:numId w:val="0"/>
        </w:numPr>
        <w:spacing w:before="0" w:after="0" w:line="240" w:lineRule="auto"/>
        <w:ind w:left="794"/>
      </w:pPr>
      <w:r>
        <w:rPr>
          <w:noProof/>
          <w:lang w:eastAsia="en-GB"/>
        </w:rPr>
        <w:drawing>
          <wp:inline distT="0" distB="0" distL="0" distR="0" wp14:anchorId="4AEAAC92" wp14:editId="509F047D">
            <wp:extent cx="5479085" cy="3716122"/>
            <wp:effectExtent l="0" t="0" r="7620" b="17780"/>
            <wp:docPr id="198" name="Chart 198" descr="bar chart showing the change in households by tenure and local authority 2001-2011">
              <a:extLst xmlns:a="http://schemas.openxmlformats.org/drawingml/2006/main">
                <a:ext uri="{FF2B5EF4-FFF2-40B4-BE49-F238E27FC236}">
                  <a16:creationId xmlns:a16="http://schemas.microsoft.com/office/drawing/2014/main" id="{503CE5BF-14E1-4CB6-9969-38E2B9AD8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F02745" w14:textId="77777777" w:rsidR="007F2ADD" w:rsidRDefault="007F2ADD" w:rsidP="00B74A73">
      <w:pPr>
        <w:pStyle w:val="11Bodytext"/>
        <w:numPr>
          <w:ilvl w:val="0"/>
          <w:numId w:val="0"/>
        </w:numPr>
        <w:spacing w:before="0" w:line="240" w:lineRule="auto"/>
        <w:ind w:left="794"/>
      </w:pPr>
      <w:r>
        <w:t>Source: Census 2001 and 2011</w:t>
      </w:r>
    </w:p>
    <w:p w14:paraId="061F60EE" w14:textId="77777777" w:rsidR="007F2ADD" w:rsidRDefault="007F2ADD" w:rsidP="007D0FBF">
      <w:pPr>
        <w:pStyle w:val="11Bodytext"/>
      </w:pPr>
      <w:r>
        <w:t>Over this same period, there has been substantial growth in households privately renting (+4.2% points), although to a lesser extent than the regional (5.2% points) and national (6.2% points) comparators.</w:t>
      </w:r>
    </w:p>
    <w:p w14:paraId="7CD63C49" w14:textId="77777777" w:rsidR="007F2ADD" w:rsidRDefault="007F2ADD" w:rsidP="007D0FBF">
      <w:pPr>
        <w:pStyle w:val="11Bodytext"/>
      </w:pPr>
      <w:r>
        <w:t xml:space="preserve">Across the HMA, there was also a modest increase in the number of households that own their home outright (2.7%), which is linked to the ageing population. There was also an even smaller decline (0.5%) of those who rent from the Council or a Registered Provider (Social Rent). </w:t>
      </w:r>
    </w:p>
    <w:p w14:paraId="41D3B4B4" w14:textId="77777777" w:rsidR="007F2ADD" w:rsidRDefault="007F2ADD" w:rsidP="007D0FBF">
      <w:pPr>
        <w:pStyle w:val="11Bodytext"/>
      </w:pPr>
      <w:r>
        <w:t>At a local authority level, the increase in PRS</w:t>
      </w:r>
      <w:proofErr w:type="gramStart"/>
      <w:r>
        <w:t xml:space="preserve">   (</w:t>
      </w:r>
      <w:proofErr w:type="gramEnd"/>
      <w:r>
        <w:t xml:space="preserve">PRS) was most marked in Fenland (+6.0% points) and smallest in East Cambridgeshire (+3.0% points). The largest reduction in ownership with a loan or mortgage (-9.1% points) was in Huntingdonshire, East Cambridgeshire had the smallest reduction (-3.4% points). </w:t>
      </w:r>
    </w:p>
    <w:p w14:paraId="1966C150" w14:textId="77777777" w:rsidR="004F4BA7" w:rsidRDefault="004F4BA7">
      <w:pPr>
        <w:spacing w:after="200"/>
        <w:rPr>
          <w:bCs/>
          <w:sz w:val="24"/>
          <w:szCs w:val="24"/>
        </w:rPr>
      </w:pPr>
      <w:r>
        <w:br w:type="page"/>
      </w:r>
    </w:p>
    <w:p w14:paraId="71C844B7" w14:textId="6C2D1AB7" w:rsidR="007F2ADD" w:rsidRDefault="007F2ADD" w:rsidP="007D0FBF">
      <w:pPr>
        <w:pStyle w:val="11Bodytext"/>
      </w:pPr>
      <w:r>
        <w:lastRenderedPageBreak/>
        <w:t xml:space="preserve">More recent data from ONS provides an update to tenures to 2019, although this data is not as detailed as the Census data particularly about the breakdown of the private sector housing as it combines both private renting and owner-occupation. The figure below illustrates that across the HMA there were only modest changes in tenure. The most notable of which was a 0.7% increase in private housing. </w:t>
      </w:r>
    </w:p>
    <w:p w14:paraId="2B010CD4" w14:textId="77777777" w:rsidR="007F2ADD" w:rsidRDefault="007F2ADD" w:rsidP="003D5E23">
      <w:pPr>
        <w:pStyle w:val="FigureHeading"/>
      </w:pPr>
      <w:r>
        <w:t>Change in Tenure (2011-2019)</w:t>
      </w:r>
    </w:p>
    <w:p w14:paraId="6255EDAA" w14:textId="77777777" w:rsidR="007F2ADD" w:rsidRDefault="007F2ADD" w:rsidP="00943332">
      <w:pPr>
        <w:pStyle w:val="11Bodytext"/>
        <w:numPr>
          <w:ilvl w:val="0"/>
          <w:numId w:val="0"/>
        </w:numPr>
        <w:spacing w:before="0" w:after="0" w:line="240" w:lineRule="auto"/>
        <w:ind w:left="794"/>
      </w:pPr>
      <w:r>
        <w:rPr>
          <w:noProof/>
          <w:lang w:eastAsia="en-GB"/>
        </w:rPr>
        <w:drawing>
          <wp:inline distT="0" distB="0" distL="0" distR="0" wp14:anchorId="088DA5EB" wp14:editId="12E8A48D">
            <wp:extent cx="5486400" cy="3774643"/>
            <wp:effectExtent l="0" t="0" r="0" b="16510"/>
            <wp:docPr id="199" name="Chart 199" descr="Chart showing change in tenure across comparator areas">
              <a:extLst xmlns:a="http://schemas.openxmlformats.org/drawingml/2006/main">
                <a:ext uri="{FF2B5EF4-FFF2-40B4-BE49-F238E27FC236}">
                  <a16:creationId xmlns:a16="http://schemas.microsoft.com/office/drawing/2014/main" id="{4AE7F3D7-961C-4691-BB44-9F0B4BBFC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8B8BFF" w14:textId="77777777" w:rsidR="007F2ADD" w:rsidRDefault="007F2ADD" w:rsidP="00943332">
      <w:pPr>
        <w:pStyle w:val="11Bodytext"/>
        <w:numPr>
          <w:ilvl w:val="0"/>
          <w:numId w:val="0"/>
        </w:numPr>
        <w:spacing w:before="0" w:after="0" w:line="240" w:lineRule="auto"/>
        <w:ind w:left="794"/>
      </w:pPr>
      <w:r>
        <w:t xml:space="preserve">Source: ONS, Table 100 Dwelling stock: Number of Dwellings by Tenure; 2019 </w:t>
      </w:r>
    </w:p>
    <w:p w14:paraId="25866511" w14:textId="77777777" w:rsidR="007F2ADD" w:rsidRDefault="007F2ADD" w:rsidP="007D0FBF">
      <w:pPr>
        <w:pStyle w:val="11Bodytext"/>
      </w:pPr>
      <w:r>
        <w:t xml:space="preserve">There was a more notable difference at a local authority level, particularly in South Cambridgeshire. According to the dataset, there was a decrease in housing association and other public sector owned properties with an increase in council-owned stock.  The opposite was true in Forest Heath.  This is likely to relate to the ownership and/or transfer of stock to registered providers.  In some cases, such as Huntingdonshire, this transfer of stock occurred before 2001. </w:t>
      </w:r>
    </w:p>
    <w:p w14:paraId="2FE01631" w14:textId="77777777" w:rsidR="007F2ADD" w:rsidRDefault="007F2ADD" w:rsidP="007D0FBF">
      <w:pPr>
        <w:pStyle w:val="11Bodytext"/>
      </w:pPr>
      <w:r>
        <w:t xml:space="preserve">In Cambridge, Huntingdonshire, South </w:t>
      </w:r>
      <w:proofErr w:type="gramStart"/>
      <w:r>
        <w:t>Cambridgeshire</w:t>
      </w:r>
      <w:proofErr w:type="gramEnd"/>
      <w:r>
        <w:t xml:space="preserve"> and West Suffolk there was also a modest increase in privately owned property.  This would reflect private </w:t>
      </w:r>
      <w:r>
        <w:lastRenderedPageBreak/>
        <w:t>sector development outstripping the development of affordable homes but also right to buy purchases allowing some homes to move between categories.</w:t>
      </w:r>
    </w:p>
    <w:p w14:paraId="42C0278C" w14:textId="77777777" w:rsidR="007F2ADD" w:rsidRDefault="007F2ADD" w:rsidP="007D0FBF">
      <w:pPr>
        <w:pStyle w:val="11Bodytext"/>
      </w:pPr>
      <w:r>
        <w:t>Another dataset provided by ONS is the sub-national dwelling stock by tenure estimates. This data set only breaks down the privately held stock between owner-occupied and privately rented and is over a slightly different timeframe. Importantly these are not official statistics, therefore, cannot be relied upon in the same way.</w:t>
      </w:r>
    </w:p>
    <w:p w14:paraId="60BA0637" w14:textId="6B37D575" w:rsidR="007F2ADD" w:rsidRDefault="007F2ADD" w:rsidP="007D0FBF">
      <w:pPr>
        <w:pStyle w:val="11Bodytext"/>
      </w:pPr>
      <w:r>
        <w:t xml:space="preserve">As the table below illustrates there has been a growth in both Owner Occupation and the PRS, with the latter seeing more notable growth.  It can be assumed that any remaining homes (to 100%) are </w:t>
      </w:r>
      <w:r w:rsidR="00E03E37">
        <w:t xml:space="preserve">either </w:t>
      </w:r>
      <w:r>
        <w:t xml:space="preserve">owned by the Council or </w:t>
      </w:r>
      <w:r w:rsidR="00E03E37">
        <w:t>o</w:t>
      </w:r>
      <w:r>
        <w:t>ther Registered Providers</w:t>
      </w:r>
      <w:r w:rsidR="00E03E37">
        <w:t xml:space="preserve"> or may be </w:t>
      </w:r>
      <w:r w:rsidR="00E03E37" w:rsidRPr="001A6788">
        <w:t>tied to employment where they form part of a remuneration package</w:t>
      </w:r>
      <w:r w:rsidR="00E03E37">
        <w:t>.</w:t>
      </w:r>
    </w:p>
    <w:p w14:paraId="5B8D5C72" w14:textId="31B235E8" w:rsidR="007F2ADD" w:rsidRDefault="007F2ADD" w:rsidP="003D5E23">
      <w:pPr>
        <w:pStyle w:val="Tableheading"/>
        <w:numPr>
          <w:ilvl w:val="0"/>
          <w:numId w:val="54"/>
        </w:numPr>
      </w:pPr>
      <w:r>
        <w:t xml:space="preserve">Change in Private Tenures (2012-2018) </w:t>
      </w:r>
      <w:r>
        <w:tab/>
      </w:r>
    </w:p>
    <w:tbl>
      <w:tblPr>
        <w:tblStyle w:val="TableGridLight1"/>
        <w:tblW w:w="8681" w:type="dxa"/>
        <w:tblInd w:w="704" w:type="dxa"/>
        <w:tblLook w:val="04A0" w:firstRow="1" w:lastRow="0" w:firstColumn="1" w:lastColumn="0" w:noHBand="0" w:noVBand="1"/>
      </w:tblPr>
      <w:tblGrid>
        <w:gridCol w:w="1733"/>
        <w:gridCol w:w="1131"/>
        <w:gridCol w:w="884"/>
        <w:gridCol w:w="884"/>
        <w:gridCol w:w="884"/>
        <w:gridCol w:w="854"/>
        <w:gridCol w:w="884"/>
        <w:gridCol w:w="818"/>
        <w:gridCol w:w="709"/>
      </w:tblGrid>
      <w:tr w:rsidR="00B83A64" w:rsidRPr="00B83A64" w14:paraId="63AED5E4" w14:textId="77777777" w:rsidTr="00943332">
        <w:trPr>
          <w:cnfStyle w:val="100000000000" w:firstRow="1" w:lastRow="0" w:firstColumn="0" w:lastColumn="0" w:oddVBand="0" w:evenVBand="0" w:oddHBand="0" w:evenHBand="0" w:firstRowFirstColumn="0" w:firstRowLastColumn="0" w:lastRowFirstColumn="0" w:lastRowLastColumn="0"/>
          <w:cantSplit/>
          <w:trHeight w:val="2234"/>
        </w:trPr>
        <w:tc>
          <w:tcPr>
            <w:cnfStyle w:val="001000000000" w:firstRow="0" w:lastRow="0" w:firstColumn="1" w:lastColumn="0" w:oddVBand="0" w:evenVBand="0" w:oddHBand="0" w:evenHBand="0" w:firstRowFirstColumn="0" w:firstRowLastColumn="0" w:lastRowFirstColumn="0" w:lastRowLastColumn="0"/>
            <w:tcW w:w="1733" w:type="dxa"/>
            <w:noWrap/>
            <w:hideMark/>
          </w:tcPr>
          <w:p w14:paraId="6FB1BF1F" w14:textId="77777777" w:rsidR="00B83A64" w:rsidRPr="00B83A64" w:rsidRDefault="00B83A64" w:rsidP="00943332">
            <w:pPr>
              <w:rPr>
                <w:bCs/>
                <w:szCs w:val="24"/>
                <w:lang w:eastAsia="en-GB"/>
              </w:rPr>
            </w:pPr>
            <w:r w:rsidRPr="00B83A64">
              <w:rPr>
                <w:bCs/>
                <w:szCs w:val="24"/>
                <w:lang w:eastAsia="en-GB"/>
              </w:rPr>
              <w:t xml:space="preserve">Local Authority </w:t>
            </w:r>
          </w:p>
        </w:tc>
        <w:tc>
          <w:tcPr>
            <w:tcW w:w="1131" w:type="dxa"/>
            <w:textDirection w:val="btLr"/>
            <w:hideMark/>
          </w:tcPr>
          <w:p w14:paraId="10FE0997"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Owner Occupied (2012)</w:t>
            </w:r>
          </w:p>
        </w:tc>
        <w:tc>
          <w:tcPr>
            <w:tcW w:w="806" w:type="dxa"/>
            <w:textDirection w:val="btLr"/>
            <w:hideMark/>
          </w:tcPr>
          <w:p w14:paraId="7CC2AD1C"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Privately Rented (2012)</w:t>
            </w:r>
          </w:p>
        </w:tc>
        <w:tc>
          <w:tcPr>
            <w:tcW w:w="854" w:type="dxa"/>
            <w:textDirection w:val="btLr"/>
            <w:hideMark/>
          </w:tcPr>
          <w:p w14:paraId="53780168"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Owner Occupied (2018)</w:t>
            </w:r>
          </w:p>
        </w:tc>
        <w:tc>
          <w:tcPr>
            <w:tcW w:w="806" w:type="dxa"/>
            <w:textDirection w:val="btLr"/>
            <w:hideMark/>
          </w:tcPr>
          <w:p w14:paraId="3DDAE4E6"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Privately Rented (2018)</w:t>
            </w:r>
          </w:p>
        </w:tc>
        <w:tc>
          <w:tcPr>
            <w:tcW w:w="854" w:type="dxa"/>
            <w:textDirection w:val="btLr"/>
            <w:hideMark/>
          </w:tcPr>
          <w:p w14:paraId="118C1789" w14:textId="5EB7FA2B"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 w:val="0"/>
                <w:bCs/>
                <w:szCs w:val="24"/>
                <w:lang w:eastAsia="en-GB"/>
              </w:rPr>
            </w:pPr>
            <w:r w:rsidRPr="00B83A64">
              <w:rPr>
                <w:bCs/>
                <w:szCs w:val="24"/>
                <w:lang w:eastAsia="en-GB"/>
              </w:rPr>
              <w:t>Owner Occupied (% Change)</w:t>
            </w:r>
          </w:p>
        </w:tc>
        <w:tc>
          <w:tcPr>
            <w:tcW w:w="806" w:type="dxa"/>
            <w:textDirection w:val="btLr"/>
            <w:hideMark/>
          </w:tcPr>
          <w:p w14:paraId="466F9D4A"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Privately Rented (% Change)</w:t>
            </w:r>
          </w:p>
        </w:tc>
        <w:tc>
          <w:tcPr>
            <w:tcW w:w="850" w:type="dxa"/>
            <w:textDirection w:val="btLr"/>
            <w:hideMark/>
          </w:tcPr>
          <w:p w14:paraId="42F1F467"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Owner Occupied (Absolute Change)</w:t>
            </w:r>
          </w:p>
        </w:tc>
        <w:tc>
          <w:tcPr>
            <w:tcW w:w="841" w:type="dxa"/>
            <w:textDirection w:val="btLr"/>
            <w:hideMark/>
          </w:tcPr>
          <w:p w14:paraId="5739E90F" w14:textId="77777777" w:rsidR="00B83A64" w:rsidRPr="00B83A64" w:rsidRDefault="00B83A64" w:rsidP="00943332">
            <w:pPr>
              <w:ind w:left="113" w:right="113"/>
              <w:jc w:val="left"/>
              <w:cnfStyle w:val="100000000000" w:firstRow="1" w:lastRow="0" w:firstColumn="0" w:lastColumn="0" w:oddVBand="0" w:evenVBand="0" w:oddHBand="0" w:evenHBand="0" w:firstRowFirstColumn="0" w:firstRowLastColumn="0" w:lastRowFirstColumn="0" w:lastRowLastColumn="0"/>
              <w:rPr>
                <w:bCs/>
                <w:szCs w:val="24"/>
                <w:lang w:eastAsia="en-GB"/>
              </w:rPr>
            </w:pPr>
            <w:r w:rsidRPr="00B83A64">
              <w:rPr>
                <w:bCs/>
                <w:szCs w:val="24"/>
                <w:lang w:eastAsia="en-GB"/>
              </w:rPr>
              <w:t>Privately Rented (Absolute Change)</w:t>
            </w:r>
          </w:p>
        </w:tc>
      </w:tr>
      <w:tr w:rsidR="00B83A64" w:rsidRPr="00B83A64" w14:paraId="3C0E1A20"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455065D1" w14:textId="77777777" w:rsidR="00B83A64" w:rsidRPr="00B83A64" w:rsidRDefault="00B83A64" w:rsidP="00943332">
            <w:pPr>
              <w:rPr>
                <w:color w:val="000000"/>
                <w:szCs w:val="24"/>
                <w:lang w:eastAsia="en-GB"/>
              </w:rPr>
            </w:pPr>
            <w:r w:rsidRPr="00B83A64">
              <w:rPr>
                <w:color w:val="000000"/>
                <w:szCs w:val="24"/>
                <w:lang w:eastAsia="en-GB"/>
              </w:rPr>
              <w:t>Cambridge</w:t>
            </w:r>
          </w:p>
        </w:tc>
        <w:tc>
          <w:tcPr>
            <w:tcW w:w="1131" w:type="dxa"/>
            <w:noWrap/>
            <w:hideMark/>
          </w:tcPr>
          <w:p w14:paraId="385EE289"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49.10%</w:t>
            </w:r>
          </w:p>
        </w:tc>
        <w:tc>
          <w:tcPr>
            <w:tcW w:w="806" w:type="dxa"/>
            <w:noWrap/>
            <w:hideMark/>
          </w:tcPr>
          <w:p w14:paraId="2B2572EB"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27.20%</w:t>
            </w:r>
          </w:p>
        </w:tc>
        <w:tc>
          <w:tcPr>
            <w:tcW w:w="854" w:type="dxa"/>
            <w:noWrap/>
            <w:hideMark/>
          </w:tcPr>
          <w:p w14:paraId="56B67058"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40.10%</w:t>
            </w:r>
          </w:p>
        </w:tc>
        <w:tc>
          <w:tcPr>
            <w:tcW w:w="806" w:type="dxa"/>
            <w:noWrap/>
            <w:hideMark/>
          </w:tcPr>
          <w:p w14:paraId="3000CB0B"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37.30%</w:t>
            </w:r>
          </w:p>
        </w:tc>
        <w:tc>
          <w:tcPr>
            <w:tcW w:w="854" w:type="dxa"/>
            <w:noWrap/>
            <w:hideMark/>
          </w:tcPr>
          <w:p w14:paraId="297A2E21"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-9.00%</w:t>
            </w:r>
          </w:p>
        </w:tc>
        <w:tc>
          <w:tcPr>
            <w:tcW w:w="806" w:type="dxa"/>
            <w:noWrap/>
            <w:hideMark/>
          </w:tcPr>
          <w:p w14:paraId="4F486641"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10.10%</w:t>
            </w:r>
          </w:p>
        </w:tc>
        <w:tc>
          <w:tcPr>
            <w:tcW w:w="850" w:type="dxa"/>
            <w:hideMark/>
          </w:tcPr>
          <w:p w14:paraId="2787A348"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-2,087</w:t>
            </w:r>
          </w:p>
        </w:tc>
        <w:tc>
          <w:tcPr>
            <w:tcW w:w="841" w:type="dxa"/>
            <w:hideMark/>
          </w:tcPr>
          <w:p w14:paraId="198FC891"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7,037</w:t>
            </w:r>
          </w:p>
        </w:tc>
      </w:tr>
      <w:tr w:rsidR="00B83A64" w:rsidRPr="00B83A64" w14:paraId="55DD0F70"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040D00FD" w14:textId="77777777" w:rsidR="00B83A64" w:rsidRPr="00B83A64" w:rsidRDefault="00B83A64" w:rsidP="00943332">
            <w:pPr>
              <w:rPr>
                <w:color w:val="000000"/>
                <w:szCs w:val="24"/>
                <w:lang w:eastAsia="en-GB"/>
              </w:rPr>
            </w:pPr>
            <w:r w:rsidRPr="00B83A64">
              <w:rPr>
                <w:color w:val="000000"/>
                <w:szCs w:val="24"/>
                <w:lang w:eastAsia="en-GB"/>
              </w:rPr>
              <w:t>East Cambridgeshire</w:t>
            </w:r>
          </w:p>
        </w:tc>
        <w:tc>
          <w:tcPr>
            <w:tcW w:w="1131" w:type="dxa"/>
            <w:noWrap/>
            <w:hideMark/>
          </w:tcPr>
          <w:p w14:paraId="01EBA8B4"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71.70%</w:t>
            </w:r>
          </w:p>
        </w:tc>
        <w:tc>
          <w:tcPr>
            <w:tcW w:w="806" w:type="dxa"/>
            <w:noWrap/>
            <w:hideMark/>
          </w:tcPr>
          <w:p w14:paraId="48B3BD1C"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14.30%</w:t>
            </w:r>
          </w:p>
        </w:tc>
        <w:tc>
          <w:tcPr>
            <w:tcW w:w="854" w:type="dxa"/>
            <w:noWrap/>
            <w:hideMark/>
          </w:tcPr>
          <w:p w14:paraId="326AAC19"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68.80%</w:t>
            </w:r>
          </w:p>
        </w:tc>
        <w:tc>
          <w:tcPr>
            <w:tcW w:w="806" w:type="dxa"/>
            <w:noWrap/>
            <w:hideMark/>
          </w:tcPr>
          <w:p w14:paraId="41590C28"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16.90%</w:t>
            </w:r>
          </w:p>
        </w:tc>
        <w:tc>
          <w:tcPr>
            <w:tcW w:w="854" w:type="dxa"/>
            <w:noWrap/>
            <w:hideMark/>
          </w:tcPr>
          <w:p w14:paraId="1034228A"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-2.80%</w:t>
            </w:r>
          </w:p>
        </w:tc>
        <w:tc>
          <w:tcPr>
            <w:tcW w:w="806" w:type="dxa"/>
            <w:noWrap/>
            <w:hideMark/>
          </w:tcPr>
          <w:p w14:paraId="3B1DD0F7"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2.70%</w:t>
            </w:r>
          </w:p>
        </w:tc>
        <w:tc>
          <w:tcPr>
            <w:tcW w:w="850" w:type="dxa"/>
            <w:hideMark/>
          </w:tcPr>
          <w:p w14:paraId="01E65C7D"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-108</w:t>
            </w:r>
          </w:p>
        </w:tc>
        <w:tc>
          <w:tcPr>
            <w:tcW w:w="841" w:type="dxa"/>
            <w:hideMark/>
          </w:tcPr>
          <w:p w14:paraId="7D76E932"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1,118</w:t>
            </w:r>
          </w:p>
        </w:tc>
      </w:tr>
      <w:tr w:rsidR="00B83A64" w:rsidRPr="00B83A64" w14:paraId="623E0A78"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1CA6183A" w14:textId="77777777" w:rsidR="00B83A64" w:rsidRPr="00B83A64" w:rsidRDefault="00B83A64" w:rsidP="00943332">
            <w:pPr>
              <w:rPr>
                <w:color w:val="000000"/>
                <w:szCs w:val="24"/>
                <w:lang w:eastAsia="en-GB"/>
              </w:rPr>
            </w:pPr>
            <w:r w:rsidRPr="00B83A64">
              <w:rPr>
                <w:color w:val="000000"/>
                <w:szCs w:val="24"/>
                <w:lang w:eastAsia="en-GB"/>
              </w:rPr>
              <w:t>Fenland</w:t>
            </w:r>
          </w:p>
        </w:tc>
        <w:tc>
          <w:tcPr>
            <w:tcW w:w="1131" w:type="dxa"/>
            <w:noWrap/>
            <w:hideMark/>
          </w:tcPr>
          <w:p w14:paraId="2AFC2910"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66.50%</w:t>
            </w:r>
          </w:p>
        </w:tc>
        <w:tc>
          <w:tcPr>
            <w:tcW w:w="806" w:type="dxa"/>
            <w:noWrap/>
            <w:hideMark/>
          </w:tcPr>
          <w:p w14:paraId="26C002F0"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20.80%</w:t>
            </w:r>
          </w:p>
        </w:tc>
        <w:tc>
          <w:tcPr>
            <w:tcW w:w="854" w:type="dxa"/>
            <w:noWrap/>
            <w:hideMark/>
          </w:tcPr>
          <w:p w14:paraId="2F3D668A"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67.30%</w:t>
            </w:r>
          </w:p>
        </w:tc>
        <w:tc>
          <w:tcPr>
            <w:tcW w:w="806" w:type="dxa"/>
            <w:noWrap/>
            <w:hideMark/>
          </w:tcPr>
          <w:p w14:paraId="61937C32"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20.00%</w:t>
            </w:r>
          </w:p>
        </w:tc>
        <w:tc>
          <w:tcPr>
            <w:tcW w:w="854" w:type="dxa"/>
            <w:noWrap/>
            <w:hideMark/>
          </w:tcPr>
          <w:p w14:paraId="72106F9D"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0.80%</w:t>
            </w:r>
          </w:p>
        </w:tc>
        <w:tc>
          <w:tcPr>
            <w:tcW w:w="806" w:type="dxa"/>
            <w:noWrap/>
            <w:hideMark/>
          </w:tcPr>
          <w:p w14:paraId="7B96D7FC"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-0.80%</w:t>
            </w:r>
          </w:p>
        </w:tc>
        <w:tc>
          <w:tcPr>
            <w:tcW w:w="850" w:type="dxa"/>
            <w:hideMark/>
          </w:tcPr>
          <w:p w14:paraId="64E8EBC9"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1,963</w:t>
            </w:r>
          </w:p>
        </w:tc>
        <w:tc>
          <w:tcPr>
            <w:tcW w:w="841" w:type="dxa"/>
            <w:hideMark/>
          </w:tcPr>
          <w:p w14:paraId="56AA66FE"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147</w:t>
            </w:r>
          </w:p>
        </w:tc>
      </w:tr>
      <w:tr w:rsidR="00B83A64" w:rsidRPr="00B83A64" w14:paraId="107E1C2E"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01248287" w14:textId="77777777" w:rsidR="00B83A64" w:rsidRPr="00B83A64" w:rsidRDefault="00B83A64" w:rsidP="00943332">
            <w:pPr>
              <w:rPr>
                <w:color w:val="000000"/>
                <w:szCs w:val="24"/>
                <w:lang w:eastAsia="en-GB"/>
              </w:rPr>
            </w:pPr>
            <w:r w:rsidRPr="00B83A64">
              <w:rPr>
                <w:color w:val="000000"/>
                <w:szCs w:val="24"/>
                <w:lang w:eastAsia="en-GB"/>
              </w:rPr>
              <w:t>Huntingdonshire</w:t>
            </w:r>
          </w:p>
        </w:tc>
        <w:tc>
          <w:tcPr>
            <w:tcW w:w="1131" w:type="dxa"/>
            <w:noWrap/>
            <w:hideMark/>
          </w:tcPr>
          <w:p w14:paraId="70B01BDA"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70.90%</w:t>
            </w:r>
          </w:p>
        </w:tc>
        <w:tc>
          <w:tcPr>
            <w:tcW w:w="806" w:type="dxa"/>
            <w:noWrap/>
            <w:hideMark/>
          </w:tcPr>
          <w:p w14:paraId="2F297DD9"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16.00%</w:t>
            </w:r>
          </w:p>
        </w:tc>
        <w:tc>
          <w:tcPr>
            <w:tcW w:w="854" w:type="dxa"/>
            <w:noWrap/>
            <w:hideMark/>
          </w:tcPr>
          <w:p w14:paraId="65CDB264"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72.90%</w:t>
            </w:r>
          </w:p>
        </w:tc>
        <w:tc>
          <w:tcPr>
            <w:tcW w:w="806" w:type="dxa"/>
            <w:noWrap/>
            <w:hideMark/>
          </w:tcPr>
          <w:p w14:paraId="1F4187E3"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13.50%</w:t>
            </w:r>
          </w:p>
        </w:tc>
        <w:tc>
          <w:tcPr>
            <w:tcW w:w="854" w:type="dxa"/>
            <w:noWrap/>
            <w:hideMark/>
          </w:tcPr>
          <w:p w14:paraId="3006D5F9"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2.00%</w:t>
            </w:r>
          </w:p>
        </w:tc>
        <w:tc>
          <w:tcPr>
            <w:tcW w:w="806" w:type="dxa"/>
            <w:noWrap/>
            <w:hideMark/>
          </w:tcPr>
          <w:p w14:paraId="114B8861"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-2.50%</w:t>
            </w:r>
          </w:p>
        </w:tc>
        <w:tc>
          <w:tcPr>
            <w:tcW w:w="850" w:type="dxa"/>
            <w:hideMark/>
          </w:tcPr>
          <w:p w14:paraId="19BB9954"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4,048</w:t>
            </w:r>
          </w:p>
        </w:tc>
        <w:tc>
          <w:tcPr>
            <w:tcW w:w="841" w:type="dxa"/>
            <w:hideMark/>
          </w:tcPr>
          <w:p w14:paraId="4CF5E5CF"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-1,288</w:t>
            </w:r>
          </w:p>
        </w:tc>
      </w:tr>
      <w:tr w:rsidR="00B83A64" w:rsidRPr="00B83A64" w14:paraId="16531A6A"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510BCC5A" w14:textId="77777777" w:rsidR="00B83A64" w:rsidRPr="00B83A64" w:rsidRDefault="00B83A64" w:rsidP="00943332">
            <w:pPr>
              <w:rPr>
                <w:color w:val="000000"/>
                <w:szCs w:val="24"/>
                <w:lang w:eastAsia="en-GB"/>
              </w:rPr>
            </w:pPr>
            <w:r w:rsidRPr="00B83A64">
              <w:rPr>
                <w:color w:val="000000"/>
                <w:szCs w:val="24"/>
                <w:lang w:eastAsia="en-GB"/>
              </w:rPr>
              <w:t>South Cambridgeshire</w:t>
            </w:r>
          </w:p>
        </w:tc>
        <w:tc>
          <w:tcPr>
            <w:tcW w:w="1131" w:type="dxa"/>
            <w:noWrap/>
            <w:hideMark/>
          </w:tcPr>
          <w:p w14:paraId="4CAB8903"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67.70%</w:t>
            </w:r>
          </w:p>
        </w:tc>
        <w:tc>
          <w:tcPr>
            <w:tcW w:w="806" w:type="dxa"/>
            <w:noWrap/>
            <w:hideMark/>
          </w:tcPr>
          <w:p w14:paraId="6BB41CA4"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18.00%</w:t>
            </w:r>
          </w:p>
        </w:tc>
        <w:tc>
          <w:tcPr>
            <w:tcW w:w="854" w:type="dxa"/>
            <w:noWrap/>
            <w:hideMark/>
          </w:tcPr>
          <w:p w14:paraId="77BBB6A3"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71.80%</w:t>
            </w:r>
          </w:p>
        </w:tc>
        <w:tc>
          <w:tcPr>
            <w:tcW w:w="806" w:type="dxa"/>
            <w:noWrap/>
            <w:hideMark/>
          </w:tcPr>
          <w:p w14:paraId="775A7D2D"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14.70%</w:t>
            </w:r>
          </w:p>
        </w:tc>
        <w:tc>
          <w:tcPr>
            <w:tcW w:w="854" w:type="dxa"/>
            <w:noWrap/>
            <w:hideMark/>
          </w:tcPr>
          <w:p w14:paraId="65813230"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4.10%</w:t>
            </w:r>
          </w:p>
        </w:tc>
        <w:tc>
          <w:tcPr>
            <w:tcW w:w="806" w:type="dxa"/>
            <w:noWrap/>
            <w:hideMark/>
          </w:tcPr>
          <w:p w14:paraId="286F4B9B"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-3.30%</w:t>
            </w:r>
          </w:p>
        </w:tc>
        <w:tc>
          <w:tcPr>
            <w:tcW w:w="850" w:type="dxa"/>
            <w:hideMark/>
          </w:tcPr>
          <w:p w14:paraId="50B44FED"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5,433</w:t>
            </w:r>
          </w:p>
        </w:tc>
        <w:tc>
          <w:tcPr>
            <w:tcW w:w="841" w:type="dxa"/>
            <w:hideMark/>
          </w:tcPr>
          <w:p w14:paraId="306B100A"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-1,473</w:t>
            </w:r>
          </w:p>
        </w:tc>
      </w:tr>
      <w:tr w:rsidR="00B83A64" w:rsidRPr="00B83A64" w14:paraId="3A9B4CAB"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0D2912A0" w14:textId="77777777" w:rsidR="00B83A64" w:rsidRPr="00B83A64" w:rsidRDefault="00B83A64" w:rsidP="00943332">
            <w:pPr>
              <w:rPr>
                <w:color w:val="000000"/>
                <w:szCs w:val="24"/>
                <w:lang w:eastAsia="en-GB"/>
              </w:rPr>
            </w:pPr>
            <w:r w:rsidRPr="00B83A64">
              <w:rPr>
                <w:color w:val="000000"/>
                <w:szCs w:val="24"/>
                <w:lang w:eastAsia="en-GB"/>
              </w:rPr>
              <w:t>West Suffolk</w:t>
            </w:r>
          </w:p>
        </w:tc>
        <w:tc>
          <w:tcPr>
            <w:tcW w:w="1131" w:type="dxa"/>
            <w:noWrap/>
            <w:hideMark/>
          </w:tcPr>
          <w:p w14:paraId="7BBC4DDA"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57.50%</w:t>
            </w:r>
          </w:p>
        </w:tc>
        <w:tc>
          <w:tcPr>
            <w:tcW w:w="806" w:type="dxa"/>
            <w:noWrap/>
            <w:hideMark/>
          </w:tcPr>
          <w:p w14:paraId="02039A36"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24.30%</w:t>
            </w:r>
          </w:p>
        </w:tc>
        <w:tc>
          <w:tcPr>
            <w:tcW w:w="854" w:type="dxa"/>
            <w:noWrap/>
            <w:hideMark/>
          </w:tcPr>
          <w:p w14:paraId="5F3FC063"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63.60%</w:t>
            </w:r>
          </w:p>
        </w:tc>
        <w:tc>
          <w:tcPr>
            <w:tcW w:w="806" w:type="dxa"/>
            <w:noWrap/>
            <w:hideMark/>
          </w:tcPr>
          <w:p w14:paraId="2BC48DB4"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20.80%</w:t>
            </w:r>
          </w:p>
        </w:tc>
        <w:tc>
          <w:tcPr>
            <w:tcW w:w="854" w:type="dxa"/>
            <w:noWrap/>
            <w:hideMark/>
          </w:tcPr>
          <w:p w14:paraId="2E7D06E9"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6.10%</w:t>
            </w:r>
          </w:p>
        </w:tc>
        <w:tc>
          <w:tcPr>
            <w:tcW w:w="806" w:type="dxa"/>
            <w:noWrap/>
            <w:hideMark/>
          </w:tcPr>
          <w:p w14:paraId="0D7EEE4A"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-3.50%</w:t>
            </w:r>
          </w:p>
        </w:tc>
        <w:tc>
          <w:tcPr>
            <w:tcW w:w="850" w:type="dxa"/>
            <w:hideMark/>
          </w:tcPr>
          <w:p w14:paraId="598857F6"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6,839</w:t>
            </w:r>
          </w:p>
        </w:tc>
        <w:tc>
          <w:tcPr>
            <w:tcW w:w="841" w:type="dxa"/>
            <w:hideMark/>
          </w:tcPr>
          <w:p w14:paraId="5EA3525B"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-1,899</w:t>
            </w:r>
          </w:p>
        </w:tc>
      </w:tr>
      <w:tr w:rsidR="00B83A64" w:rsidRPr="00B83A64" w14:paraId="26681715"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72D90D44" w14:textId="77777777" w:rsidR="00B83A64" w:rsidRPr="00B83A64" w:rsidRDefault="00B83A64" w:rsidP="00943332">
            <w:pPr>
              <w:rPr>
                <w:color w:val="000000"/>
                <w:szCs w:val="24"/>
                <w:lang w:eastAsia="en-GB"/>
              </w:rPr>
            </w:pPr>
            <w:r w:rsidRPr="00B83A64">
              <w:rPr>
                <w:color w:val="000000"/>
                <w:szCs w:val="24"/>
                <w:lang w:eastAsia="en-GB"/>
              </w:rPr>
              <w:t>Greater Cambridge Average</w:t>
            </w:r>
          </w:p>
        </w:tc>
        <w:tc>
          <w:tcPr>
            <w:tcW w:w="1131" w:type="dxa"/>
            <w:noWrap/>
            <w:hideMark/>
          </w:tcPr>
          <w:p w14:paraId="0BDEDF0B"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58.40%</w:t>
            </w:r>
          </w:p>
        </w:tc>
        <w:tc>
          <w:tcPr>
            <w:tcW w:w="806" w:type="dxa"/>
            <w:noWrap/>
            <w:hideMark/>
          </w:tcPr>
          <w:p w14:paraId="001F6DDC"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22.60%</w:t>
            </w:r>
          </w:p>
        </w:tc>
        <w:tc>
          <w:tcPr>
            <w:tcW w:w="854" w:type="dxa"/>
            <w:noWrap/>
            <w:hideMark/>
          </w:tcPr>
          <w:p w14:paraId="50C641A0"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55.90%</w:t>
            </w:r>
          </w:p>
        </w:tc>
        <w:tc>
          <w:tcPr>
            <w:tcW w:w="806" w:type="dxa"/>
            <w:noWrap/>
            <w:hideMark/>
          </w:tcPr>
          <w:p w14:paraId="60D07383"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26.00%</w:t>
            </w:r>
          </w:p>
        </w:tc>
        <w:tc>
          <w:tcPr>
            <w:tcW w:w="854" w:type="dxa"/>
            <w:noWrap/>
            <w:hideMark/>
          </w:tcPr>
          <w:p w14:paraId="37EC4F64"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-2.50%</w:t>
            </w:r>
          </w:p>
        </w:tc>
        <w:tc>
          <w:tcPr>
            <w:tcW w:w="806" w:type="dxa"/>
            <w:noWrap/>
            <w:hideMark/>
          </w:tcPr>
          <w:p w14:paraId="7FAE9141"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3.40%</w:t>
            </w:r>
          </w:p>
        </w:tc>
        <w:tc>
          <w:tcPr>
            <w:tcW w:w="850" w:type="dxa"/>
            <w:hideMark/>
          </w:tcPr>
          <w:p w14:paraId="67077A53"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3,346</w:t>
            </w:r>
          </w:p>
        </w:tc>
        <w:tc>
          <w:tcPr>
            <w:tcW w:w="841" w:type="dxa"/>
            <w:hideMark/>
          </w:tcPr>
          <w:p w14:paraId="24ECAAFB" w14:textId="77777777" w:rsidR="00B83A64" w:rsidRPr="00B83A64" w:rsidRDefault="00B83A64" w:rsidP="00943332">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83A64">
              <w:rPr>
                <w:color w:val="000000"/>
                <w:szCs w:val="24"/>
                <w:lang w:eastAsia="en-GB"/>
              </w:rPr>
              <w:t>5,564</w:t>
            </w:r>
          </w:p>
        </w:tc>
      </w:tr>
      <w:tr w:rsidR="00B83A64" w:rsidRPr="00B83A64" w14:paraId="23C5FCE2" w14:textId="77777777" w:rsidTr="00943332">
        <w:trPr>
          <w:trHeight w:val="391"/>
        </w:trPr>
        <w:tc>
          <w:tcPr>
            <w:cnfStyle w:val="001000000000" w:firstRow="0" w:lastRow="0" w:firstColumn="1" w:lastColumn="0" w:oddVBand="0" w:evenVBand="0" w:oddHBand="0" w:evenHBand="0" w:firstRowFirstColumn="0" w:firstRowLastColumn="0" w:lastRowFirstColumn="0" w:lastRowLastColumn="0"/>
            <w:tcW w:w="1733" w:type="dxa"/>
            <w:noWrap/>
            <w:hideMark/>
          </w:tcPr>
          <w:p w14:paraId="024A4771" w14:textId="77777777" w:rsidR="00B83A64" w:rsidRPr="004F4BA7" w:rsidRDefault="00B83A64" w:rsidP="00943332">
            <w:pPr>
              <w:rPr>
                <w:b/>
                <w:bCs/>
                <w:color w:val="000000"/>
                <w:szCs w:val="24"/>
                <w:lang w:eastAsia="en-GB"/>
              </w:rPr>
            </w:pPr>
            <w:r w:rsidRPr="004F4BA7">
              <w:rPr>
                <w:b/>
                <w:bCs/>
                <w:color w:val="000000"/>
                <w:szCs w:val="24"/>
                <w:lang w:eastAsia="en-GB"/>
              </w:rPr>
              <w:t>HMA Average</w:t>
            </w:r>
          </w:p>
        </w:tc>
        <w:tc>
          <w:tcPr>
            <w:tcW w:w="1131" w:type="dxa"/>
            <w:noWrap/>
            <w:hideMark/>
          </w:tcPr>
          <w:p w14:paraId="76A3601D"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63.90%</w:t>
            </w:r>
          </w:p>
        </w:tc>
        <w:tc>
          <w:tcPr>
            <w:tcW w:w="806" w:type="dxa"/>
            <w:noWrap/>
            <w:hideMark/>
          </w:tcPr>
          <w:p w14:paraId="74AB1CDD"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20.10%</w:t>
            </w:r>
          </w:p>
        </w:tc>
        <w:tc>
          <w:tcPr>
            <w:tcW w:w="854" w:type="dxa"/>
            <w:noWrap/>
            <w:hideMark/>
          </w:tcPr>
          <w:p w14:paraId="637F4371"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64.10%</w:t>
            </w:r>
          </w:p>
        </w:tc>
        <w:tc>
          <w:tcPr>
            <w:tcW w:w="806" w:type="dxa"/>
            <w:noWrap/>
            <w:hideMark/>
          </w:tcPr>
          <w:p w14:paraId="244B3B51"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20.50%</w:t>
            </w:r>
          </w:p>
        </w:tc>
        <w:tc>
          <w:tcPr>
            <w:tcW w:w="854" w:type="dxa"/>
            <w:noWrap/>
            <w:hideMark/>
          </w:tcPr>
          <w:p w14:paraId="752F502A"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0.20%</w:t>
            </w:r>
          </w:p>
        </w:tc>
        <w:tc>
          <w:tcPr>
            <w:tcW w:w="806" w:type="dxa"/>
            <w:noWrap/>
            <w:hideMark/>
          </w:tcPr>
          <w:p w14:paraId="33234EE0"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0.50%</w:t>
            </w:r>
          </w:p>
        </w:tc>
        <w:tc>
          <w:tcPr>
            <w:tcW w:w="850" w:type="dxa"/>
            <w:hideMark/>
          </w:tcPr>
          <w:p w14:paraId="6C95A557"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16,088</w:t>
            </w:r>
          </w:p>
        </w:tc>
        <w:tc>
          <w:tcPr>
            <w:tcW w:w="841" w:type="dxa"/>
            <w:hideMark/>
          </w:tcPr>
          <w:p w14:paraId="43F4DCC3" w14:textId="77777777" w:rsidR="00B83A64" w:rsidRPr="004F4BA7" w:rsidRDefault="00B83A64" w:rsidP="00943332">
            <w:pPr>
              <w:cnfStyle w:val="000000000000" w:firstRow="0" w:lastRow="0" w:firstColumn="0" w:lastColumn="0" w:oddVBand="0" w:evenVBand="0" w:oddHBand="0" w:evenHBand="0" w:firstRowFirstColumn="0" w:firstRowLastColumn="0" w:lastRowFirstColumn="0" w:lastRowLastColumn="0"/>
              <w:rPr>
                <w:b/>
                <w:bCs/>
                <w:color w:val="000000"/>
                <w:szCs w:val="24"/>
                <w:lang w:eastAsia="en-GB"/>
              </w:rPr>
            </w:pPr>
            <w:r w:rsidRPr="004F4BA7">
              <w:rPr>
                <w:b/>
                <w:bCs/>
                <w:color w:val="000000"/>
                <w:szCs w:val="24"/>
                <w:lang w:eastAsia="en-GB"/>
              </w:rPr>
              <w:t>3,712</w:t>
            </w:r>
          </w:p>
        </w:tc>
      </w:tr>
    </w:tbl>
    <w:p w14:paraId="08F33B4F" w14:textId="77777777" w:rsidR="007F2ADD" w:rsidRDefault="007F2ADD" w:rsidP="00943332">
      <w:pPr>
        <w:pStyle w:val="11Bodytext"/>
        <w:numPr>
          <w:ilvl w:val="0"/>
          <w:numId w:val="0"/>
        </w:numPr>
        <w:spacing w:before="0" w:after="0" w:line="240" w:lineRule="auto"/>
        <w:ind w:left="794"/>
      </w:pPr>
      <w:r>
        <w:t>Source: ONS, Sub-national dwelling stock by tenure estimates, 2018</w:t>
      </w:r>
    </w:p>
    <w:p w14:paraId="76370D07" w14:textId="77777777" w:rsidR="007F2ADD" w:rsidRDefault="007F2ADD" w:rsidP="007D0FBF">
      <w:pPr>
        <w:pStyle w:val="11Bodytext"/>
      </w:pPr>
      <w:r>
        <w:lastRenderedPageBreak/>
        <w:t xml:space="preserve">At a local authority level, there has been a significant percentage growth in the PRS from 2012 to 2018 in Cambridge (10.1%) and a lesser percentage growth in East Cambridgeshire (2.7%). Conversely, West Suffolk (-3.5%) and South Cambridgeshire saw the (-3.3%) had the greatest decrease in the percentage of people in the PRS. </w:t>
      </w:r>
    </w:p>
    <w:p w14:paraId="38FBC2C0" w14:textId="77777777" w:rsidR="007F2ADD" w:rsidRDefault="007F2ADD" w:rsidP="007D0FBF">
      <w:pPr>
        <w:pStyle w:val="11Bodytext"/>
      </w:pPr>
      <w:r>
        <w:t xml:space="preserve">The PRS in Fenland in percentage growth decreased from 2012 to 2018 by -0.8%. However, the area still had a growth in absolute terms (by a 147 person increase) in the PRS. </w:t>
      </w:r>
    </w:p>
    <w:p w14:paraId="2D6B074F" w14:textId="77777777" w:rsidR="007F2ADD" w:rsidRDefault="007F2ADD" w:rsidP="007D0FBF">
      <w:pPr>
        <w:pStyle w:val="Heading2"/>
      </w:pPr>
      <w:r>
        <w:t xml:space="preserve">Over-Occupancy and Shared Housing </w:t>
      </w:r>
    </w:p>
    <w:p w14:paraId="7E042714" w14:textId="77777777" w:rsidR="007F2ADD" w:rsidRDefault="007F2ADD" w:rsidP="007D0FBF">
      <w:pPr>
        <w:pStyle w:val="11Bodytext"/>
      </w:pPr>
      <w:r>
        <w:t>The ONS does not define over-or under-occupation but provides an occupancy rating for all households and the dwelling they reside in.  The occupancy rating is based on the number of bedrooms in a property and the number required by the household occupying it.  The requirement is calculated based on the size, age, and relationship of household members.</w:t>
      </w:r>
    </w:p>
    <w:p w14:paraId="005C321D" w14:textId="71572589" w:rsidR="007F2ADD" w:rsidRDefault="007F2ADD" w:rsidP="007D0FBF">
      <w:pPr>
        <w:pStyle w:val="11Bodytext"/>
      </w:pPr>
      <w:r>
        <w:t xml:space="preserve">This occupancy rating can be taken as a proxy for over-crowding or under-occupancy depending on whether the dwelling has more or fewer bedrooms that than the household requires.  </w:t>
      </w:r>
    </w:p>
    <w:p w14:paraId="6BFB4226" w14:textId="77777777" w:rsidR="007F2ADD" w:rsidRDefault="007F2ADD" w:rsidP="007D0FBF">
      <w:pPr>
        <w:pStyle w:val="11Bodytext"/>
      </w:pPr>
      <w:r>
        <w:t>Under-occupied properties are those homes with more bedrooms than the household needs. For instance, an under-occupied property can relate to a couple with no children living in a 2 or more-bedroom property. We have only focussed on those properties with 2 or more spare bedrooms as there are legitimate reasons why people would have a spare bedroom such as they might have a carer or work from home or wish to retain a spare room for family or friends to visit.  Noting that any recent increase in working from home will not be picked up in this data from 2011.</w:t>
      </w:r>
    </w:p>
    <w:p w14:paraId="1EEA2F10" w14:textId="77777777" w:rsidR="004F4BA7" w:rsidRDefault="004F4BA7">
      <w:pPr>
        <w:spacing w:after="200"/>
        <w:rPr>
          <w:bCs/>
          <w:sz w:val="24"/>
          <w:szCs w:val="24"/>
        </w:rPr>
      </w:pPr>
      <w:r>
        <w:br w:type="page"/>
      </w:r>
    </w:p>
    <w:p w14:paraId="21258DD1" w14:textId="3186E41E" w:rsidR="007F2ADD" w:rsidRPr="00526C6E" w:rsidRDefault="007F2ADD" w:rsidP="007D0FBF">
      <w:pPr>
        <w:pStyle w:val="11Bodytext"/>
        <w:rPr>
          <w:b/>
        </w:rPr>
      </w:pPr>
      <w:r>
        <w:lastRenderedPageBreak/>
        <w:t>At the national level, there has been a notable increase in overcrowded households (9%) and houses in multiple occupations. This has been a symptom of the affordability pressures, restrictions on access to mortgage finance and increased housing under-supply.</w:t>
      </w:r>
    </w:p>
    <w:p w14:paraId="38BE3CE7" w14:textId="1896B4FA" w:rsidR="007F2ADD" w:rsidRPr="00526C6E" w:rsidRDefault="007F2ADD" w:rsidP="007D0FBF">
      <w:pPr>
        <w:pStyle w:val="11Bodytext"/>
        <w:rPr>
          <w:b/>
        </w:rPr>
      </w:pPr>
      <w:r>
        <w:t>As Table 1</w:t>
      </w:r>
      <w:r w:rsidR="00EA54B1">
        <w:t>6</w:t>
      </w:r>
      <w:r>
        <w:t xml:space="preserve"> sets out, around 19,300 homes in the HMA were over-occupied as of 2011. This is an increase of 37% over the 10-year inter-census period. This is a slightly higher increase than in the East of England region (35%) and England (32%).</w:t>
      </w:r>
    </w:p>
    <w:p w14:paraId="753349AC" w14:textId="77777777" w:rsidR="007F2ADD" w:rsidRPr="00526C6E" w:rsidRDefault="007F2ADD" w:rsidP="007D0FBF">
      <w:pPr>
        <w:pStyle w:val="11Bodytext"/>
        <w:rPr>
          <w:b/>
        </w:rPr>
      </w:pPr>
      <w:r>
        <w:t>By far the highest percentage of over-occupied homes in the HMA was found in Cambridge (14%) although the greatest increase was in South Cambridgeshire. The lowest percentage of over-occupied homes were found in East Cambridgeshire (3.8%) which had also seen the lowest percentage growth in over-occupied homes (20.7%).</w:t>
      </w:r>
    </w:p>
    <w:p w14:paraId="4B9E50EE" w14:textId="6493779A" w:rsidR="007F2ADD" w:rsidRDefault="007F2ADD" w:rsidP="003D5E23">
      <w:pPr>
        <w:pStyle w:val="Tableheading"/>
        <w:numPr>
          <w:ilvl w:val="0"/>
          <w:numId w:val="54"/>
        </w:numPr>
      </w:pPr>
      <w:r>
        <w:t xml:space="preserve">Changes in Under and Over-occupied Households (2001-2011) </w:t>
      </w:r>
    </w:p>
    <w:tbl>
      <w:tblPr>
        <w:tblStyle w:val="TableGridLight1"/>
        <w:tblW w:w="9657" w:type="dxa"/>
        <w:tblInd w:w="-147" w:type="dxa"/>
        <w:tblLayout w:type="fixed"/>
        <w:tblLook w:val="04A0" w:firstRow="1" w:lastRow="0" w:firstColumn="1" w:lastColumn="0" w:noHBand="0" w:noVBand="1"/>
      </w:tblPr>
      <w:tblGrid>
        <w:gridCol w:w="1417"/>
        <w:gridCol w:w="1156"/>
        <w:gridCol w:w="1083"/>
        <w:gridCol w:w="902"/>
        <w:gridCol w:w="1020"/>
        <w:gridCol w:w="1019"/>
        <w:gridCol w:w="1020"/>
        <w:gridCol w:w="1020"/>
        <w:gridCol w:w="1020"/>
      </w:tblGrid>
      <w:tr w:rsidR="005B2707" w:rsidRPr="00DC61F4" w14:paraId="427F9A57" w14:textId="77777777" w:rsidTr="004F4BA7">
        <w:trPr>
          <w:cnfStyle w:val="100000000000" w:firstRow="1" w:lastRow="0" w:firstColumn="0" w:lastColumn="0" w:oddVBand="0" w:evenVBand="0" w:oddHBand="0" w:evenHBand="0" w:firstRowFirstColumn="0" w:firstRowLastColumn="0" w:lastRowFirstColumn="0" w:lastRowLastColumn="0"/>
          <w:cantSplit/>
          <w:trHeight w:val="1907"/>
        </w:trPr>
        <w:tc>
          <w:tcPr>
            <w:cnfStyle w:val="001000000000" w:firstRow="0" w:lastRow="0" w:firstColumn="1" w:lastColumn="0" w:oddVBand="0" w:evenVBand="0" w:oddHBand="0" w:evenHBand="0" w:firstRowFirstColumn="0" w:firstRowLastColumn="0" w:lastRowFirstColumn="0" w:lastRowLastColumn="0"/>
            <w:tcW w:w="1417" w:type="dxa"/>
            <w:textDirection w:val="tbRl"/>
            <w:vAlign w:val="bottom"/>
            <w:hideMark/>
          </w:tcPr>
          <w:p w14:paraId="1D82A57E" w14:textId="77777777" w:rsidR="00DC61F4" w:rsidRPr="004F4BA7" w:rsidRDefault="00DC61F4" w:rsidP="004F4BA7">
            <w:pPr>
              <w:jc w:val="left"/>
              <w:rPr>
                <w:bCs/>
                <w:color w:val="auto"/>
                <w:lang w:eastAsia="en-GB"/>
              </w:rPr>
            </w:pPr>
            <w:r w:rsidRPr="004F4BA7">
              <w:rPr>
                <w:bCs/>
                <w:color w:val="auto"/>
                <w:lang w:eastAsia="en-GB"/>
              </w:rPr>
              <w:t>Area</w:t>
            </w:r>
          </w:p>
        </w:tc>
        <w:tc>
          <w:tcPr>
            <w:tcW w:w="1156" w:type="dxa"/>
            <w:textDirection w:val="btLr"/>
            <w:hideMark/>
          </w:tcPr>
          <w:p w14:paraId="38139F93"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2001 (under-occupied)</w:t>
            </w:r>
          </w:p>
        </w:tc>
        <w:tc>
          <w:tcPr>
            <w:tcW w:w="1083" w:type="dxa"/>
            <w:textDirection w:val="btLr"/>
            <w:hideMark/>
          </w:tcPr>
          <w:p w14:paraId="63DDAB35"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2011 (under-occupied)</w:t>
            </w:r>
          </w:p>
        </w:tc>
        <w:tc>
          <w:tcPr>
            <w:tcW w:w="902" w:type="dxa"/>
            <w:textDirection w:val="btLr"/>
            <w:hideMark/>
          </w:tcPr>
          <w:p w14:paraId="49FE042B"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2011% (under-occupied)</w:t>
            </w:r>
          </w:p>
        </w:tc>
        <w:tc>
          <w:tcPr>
            <w:tcW w:w="1020" w:type="dxa"/>
            <w:textDirection w:val="btLr"/>
            <w:hideMark/>
          </w:tcPr>
          <w:p w14:paraId="30F2BF63"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2001-2011 % Change (under-occupied)</w:t>
            </w:r>
          </w:p>
        </w:tc>
        <w:tc>
          <w:tcPr>
            <w:tcW w:w="1019" w:type="dxa"/>
            <w:textDirection w:val="btLr"/>
            <w:hideMark/>
          </w:tcPr>
          <w:p w14:paraId="6BA503AA"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2001 (over-occupied)</w:t>
            </w:r>
          </w:p>
        </w:tc>
        <w:tc>
          <w:tcPr>
            <w:tcW w:w="1020" w:type="dxa"/>
            <w:textDirection w:val="btLr"/>
            <w:hideMark/>
          </w:tcPr>
          <w:p w14:paraId="348A94A2"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2011 (over-occupied)</w:t>
            </w:r>
          </w:p>
        </w:tc>
        <w:tc>
          <w:tcPr>
            <w:tcW w:w="1020" w:type="dxa"/>
            <w:textDirection w:val="btLr"/>
            <w:hideMark/>
          </w:tcPr>
          <w:p w14:paraId="4374D8B4"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2011% (over-occupied)</w:t>
            </w:r>
          </w:p>
        </w:tc>
        <w:tc>
          <w:tcPr>
            <w:tcW w:w="1020" w:type="dxa"/>
            <w:textDirection w:val="btLr"/>
            <w:hideMark/>
          </w:tcPr>
          <w:p w14:paraId="74AA40A9" w14:textId="77777777" w:rsidR="00DC61F4" w:rsidRPr="004F4BA7" w:rsidRDefault="00DC61F4"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2001-2011 % Change (over-occupied)</w:t>
            </w:r>
          </w:p>
        </w:tc>
      </w:tr>
      <w:tr w:rsidR="005B2707" w:rsidRPr="00DC61F4" w14:paraId="18189083"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3450DAB1" w14:textId="77777777" w:rsidR="00DC61F4" w:rsidRPr="00DC61F4" w:rsidRDefault="00DC61F4" w:rsidP="00DC61F4">
            <w:pPr>
              <w:rPr>
                <w:color w:val="auto"/>
                <w:lang w:eastAsia="en-GB"/>
              </w:rPr>
            </w:pPr>
            <w:r w:rsidRPr="00DC61F4">
              <w:rPr>
                <w:color w:val="auto"/>
                <w:lang w:eastAsia="en-GB"/>
              </w:rPr>
              <w:t>Cambridge</w:t>
            </w:r>
          </w:p>
        </w:tc>
        <w:tc>
          <w:tcPr>
            <w:tcW w:w="1156" w:type="dxa"/>
            <w:hideMark/>
          </w:tcPr>
          <w:p w14:paraId="1CE27F0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19,231</w:t>
            </w:r>
          </w:p>
        </w:tc>
        <w:tc>
          <w:tcPr>
            <w:tcW w:w="1083" w:type="dxa"/>
            <w:noWrap/>
            <w:hideMark/>
          </w:tcPr>
          <w:p w14:paraId="383041B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19,787</w:t>
            </w:r>
          </w:p>
        </w:tc>
        <w:tc>
          <w:tcPr>
            <w:tcW w:w="902" w:type="dxa"/>
            <w:noWrap/>
            <w:hideMark/>
          </w:tcPr>
          <w:p w14:paraId="2E566506"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42.40%</w:t>
            </w:r>
          </w:p>
        </w:tc>
        <w:tc>
          <w:tcPr>
            <w:tcW w:w="1020" w:type="dxa"/>
            <w:noWrap/>
            <w:hideMark/>
          </w:tcPr>
          <w:p w14:paraId="436E529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2.90%</w:t>
            </w:r>
          </w:p>
        </w:tc>
        <w:tc>
          <w:tcPr>
            <w:tcW w:w="1019" w:type="dxa"/>
            <w:hideMark/>
          </w:tcPr>
          <w:p w14:paraId="7A6392FE"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5,149</w:t>
            </w:r>
          </w:p>
        </w:tc>
        <w:tc>
          <w:tcPr>
            <w:tcW w:w="1020" w:type="dxa"/>
            <w:noWrap/>
            <w:hideMark/>
          </w:tcPr>
          <w:p w14:paraId="590B0B3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6,575</w:t>
            </w:r>
          </w:p>
        </w:tc>
        <w:tc>
          <w:tcPr>
            <w:tcW w:w="1020" w:type="dxa"/>
            <w:noWrap/>
            <w:hideMark/>
          </w:tcPr>
          <w:p w14:paraId="17B92674"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14.10%</w:t>
            </w:r>
          </w:p>
        </w:tc>
        <w:tc>
          <w:tcPr>
            <w:tcW w:w="1020" w:type="dxa"/>
            <w:noWrap/>
            <w:hideMark/>
          </w:tcPr>
          <w:p w14:paraId="3504E6D7"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27.70%</w:t>
            </w:r>
          </w:p>
        </w:tc>
      </w:tr>
      <w:tr w:rsidR="005B2707" w:rsidRPr="00DC61F4" w14:paraId="1854D377"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016CB33B" w14:textId="77777777" w:rsidR="00DC61F4" w:rsidRPr="00DC61F4" w:rsidRDefault="00DC61F4" w:rsidP="00DC61F4">
            <w:pPr>
              <w:rPr>
                <w:color w:val="auto"/>
                <w:lang w:eastAsia="en-GB"/>
              </w:rPr>
            </w:pPr>
            <w:r w:rsidRPr="00DC61F4">
              <w:rPr>
                <w:color w:val="auto"/>
                <w:lang w:eastAsia="en-GB"/>
              </w:rPr>
              <w:t>East Cambs</w:t>
            </w:r>
          </w:p>
        </w:tc>
        <w:tc>
          <w:tcPr>
            <w:tcW w:w="1156" w:type="dxa"/>
            <w:hideMark/>
          </w:tcPr>
          <w:p w14:paraId="42249668"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17,431</w:t>
            </w:r>
          </w:p>
        </w:tc>
        <w:tc>
          <w:tcPr>
            <w:tcW w:w="1083" w:type="dxa"/>
            <w:noWrap/>
            <w:hideMark/>
          </w:tcPr>
          <w:p w14:paraId="10AAE19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21,499</w:t>
            </w:r>
          </w:p>
        </w:tc>
        <w:tc>
          <w:tcPr>
            <w:tcW w:w="902" w:type="dxa"/>
            <w:noWrap/>
            <w:hideMark/>
          </w:tcPr>
          <w:p w14:paraId="069BFEB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62.10%</w:t>
            </w:r>
          </w:p>
        </w:tc>
        <w:tc>
          <w:tcPr>
            <w:tcW w:w="1020" w:type="dxa"/>
            <w:noWrap/>
            <w:hideMark/>
          </w:tcPr>
          <w:p w14:paraId="2987B588"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23.30%</w:t>
            </w:r>
          </w:p>
        </w:tc>
        <w:tc>
          <w:tcPr>
            <w:tcW w:w="1019" w:type="dxa"/>
            <w:hideMark/>
          </w:tcPr>
          <w:p w14:paraId="564BF055"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1,095</w:t>
            </w:r>
          </w:p>
        </w:tc>
        <w:tc>
          <w:tcPr>
            <w:tcW w:w="1020" w:type="dxa"/>
            <w:noWrap/>
            <w:hideMark/>
          </w:tcPr>
          <w:p w14:paraId="3A4FC31F"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1,322</w:t>
            </w:r>
          </w:p>
        </w:tc>
        <w:tc>
          <w:tcPr>
            <w:tcW w:w="1020" w:type="dxa"/>
            <w:noWrap/>
            <w:hideMark/>
          </w:tcPr>
          <w:p w14:paraId="20FD58BA"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3.80%</w:t>
            </w:r>
          </w:p>
        </w:tc>
        <w:tc>
          <w:tcPr>
            <w:tcW w:w="1020" w:type="dxa"/>
            <w:noWrap/>
            <w:hideMark/>
          </w:tcPr>
          <w:p w14:paraId="32419098"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20.70%</w:t>
            </w:r>
          </w:p>
        </w:tc>
      </w:tr>
      <w:tr w:rsidR="005B2707" w:rsidRPr="00DC61F4" w14:paraId="4A7D3FF6"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09413135" w14:textId="77777777" w:rsidR="00DC61F4" w:rsidRPr="00DC61F4" w:rsidRDefault="00DC61F4" w:rsidP="00DC61F4">
            <w:pPr>
              <w:rPr>
                <w:color w:val="auto"/>
                <w:lang w:eastAsia="en-GB"/>
              </w:rPr>
            </w:pPr>
            <w:r w:rsidRPr="00DC61F4">
              <w:rPr>
                <w:color w:val="auto"/>
                <w:lang w:eastAsia="en-GB"/>
              </w:rPr>
              <w:t>Fenland</w:t>
            </w:r>
          </w:p>
        </w:tc>
        <w:tc>
          <w:tcPr>
            <w:tcW w:w="1156" w:type="dxa"/>
            <w:hideMark/>
          </w:tcPr>
          <w:p w14:paraId="250981D7"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18,478</w:t>
            </w:r>
          </w:p>
        </w:tc>
        <w:tc>
          <w:tcPr>
            <w:tcW w:w="1083" w:type="dxa"/>
            <w:noWrap/>
            <w:hideMark/>
          </w:tcPr>
          <w:p w14:paraId="78C6E8CC"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23,322</w:t>
            </w:r>
          </w:p>
        </w:tc>
        <w:tc>
          <w:tcPr>
            <w:tcW w:w="902" w:type="dxa"/>
            <w:noWrap/>
            <w:hideMark/>
          </w:tcPr>
          <w:p w14:paraId="01DDD632"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57.40%</w:t>
            </w:r>
          </w:p>
        </w:tc>
        <w:tc>
          <w:tcPr>
            <w:tcW w:w="1020" w:type="dxa"/>
            <w:noWrap/>
            <w:hideMark/>
          </w:tcPr>
          <w:p w14:paraId="366EE7D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26.20%</w:t>
            </w:r>
          </w:p>
        </w:tc>
        <w:tc>
          <w:tcPr>
            <w:tcW w:w="1019" w:type="dxa"/>
            <w:hideMark/>
          </w:tcPr>
          <w:p w14:paraId="57C145B3"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1,142</w:t>
            </w:r>
          </w:p>
        </w:tc>
        <w:tc>
          <w:tcPr>
            <w:tcW w:w="1020" w:type="dxa"/>
            <w:noWrap/>
            <w:hideMark/>
          </w:tcPr>
          <w:p w14:paraId="2C9BDB04"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2,163</w:t>
            </w:r>
          </w:p>
        </w:tc>
        <w:tc>
          <w:tcPr>
            <w:tcW w:w="1020" w:type="dxa"/>
            <w:noWrap/>
            <w:hideMark/>
          </w:tcPr>
          <w:p w14:paraId="722DED03"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5.30%</w:t>
            </w:r>
          </w:p>
        </w:tc>
        <w:tc>
          <w:tcPr>
            <w:tcW w:w="1020" w:type="dxa"/>
            <w:noWrap/>
            <w:hideMark/>
          </w:tcPr>
          <w:p w14:paraId="66EA6DA5"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50.00%</w:t>
            </w:r>
          </w:p>
        </w:tc>
      </w:tr>
      <w:tr w:rsidR="005B2707" w:rsidRPr="00DC61F4" w14:paraId="7D958270"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420BA539" w14:textId="77777777" w:rsidR="00DC61F4" w:rsidRPr="00DC61F4" w:rsidRDefault="00DC61F4" w:rsidP="00DC61F4">
            <w:pPr>
              <w:rPr>
                <w:color w:val="auto"/>
                <w:lang w:eastAsia="en-GB"/>
              </w:rPr>
            </w:pPr>
            <w:r w:rsidRPr="00DC61F4">
              <w:rPr>
                <w:color w:val="auto"/>
                <w:lang w:eastAsia="en-GB"/>
              </w:rPr>
              <w:t>Huntingdonshire</w:t>
            </w:r>
          </w:p>
        </w:tc>
        <w:tc>
          <w:tcPr>
            <w:tcW w:w="1156" w:type="dxa"/>
            <w:hideMark/>
          </w:tcPr>
          <w:p w14:paraId="53CE41EA"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38,468</w:t>
            </w:r>
          </w:p>
        </w:tc>
        <w:tc>
          <w:tcPr>
            <w:tcW w:w="1083" w:type="dxa"/>
            <w:noWrap/>
            <w:hideMark/>
          </w:tcPr>
          <w:p w14:paraId="2AC38F6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43,029</w:t>
            </w:r>
          </w:p>
        </w:tc>
        <w:tc>
          <w:tcPr>
            <w:tcW w:w="902" w:type="dxa"/>
            <w:noWrap/>
            <w:hideMark/>
          </w:tcPr>
          <w:p w14:paraId="2B61B472"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50.20%</w:t>
            </w:r>
          </w:p>
        </w:tc>
        <w:tc>
          <w:tcPr>
            <w:tcW w:w="1020" w:type="dxa"/>
            <w:noWrap/>
            <w:hideMark/>
          </w:tcPr>
          <w:p w14:paraId="5E543235"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20.00%</w:t>
            </w:r>
          </w:p>
        </w:tc>
        <w:tc>
          <w:tcPr>
            <w:tcW w:w="1019" w:type="dxa"/>
            <w:hideMark/>
          </w:tcPr>
          <w:p w14:paraId="5F170F51"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2,290</w:t>
            </w:r>
          </w:p>
        </w:tc>
        <w:tc>
          <w:tcPr>
            <w:tcW w:w="1020" w:type="dxa"/>
            <w:noWrap/>
            <w:hideMark/>
          </w:tcPr>
          <w:p w14:paraId="12B37E21"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3,025</w:t>
            </w:r>
          </w:p>
        </w:tc>
        <w:tc>
          <w:tcPr>
            <w:tcW w:w="1020" w:type="dxa"/>
            <w:noWrap/>
            <w:hideMark/>
          </w:tcPr>
          <w:p w14:paraId="0AFA7A74"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4.40%</w:t>
            </w:r>
          </w:p>
        </w:tc>
        <w:tc>
          <w:tcPr>
            <w:tcW w:w="1020" w:type="dxa"/>
            <w:noWrap/>
            <w:hideMark/>
          </w:tcPr>
          <w:p w14:paraId="46386C0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32.10%</w:t>
            </w:r>
          </w:p>
        </w:tc>
      </w:tr>
      <w:tr w:rsidR="005B2707" w:rsidRPr="00DC61F4" w14:paraId="6F1E1B96"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6BB9F57A" w14:textId="77777777" w:rsidR="00DC61F4" w:rsidRPr="00DC61F4" w:rsidRDefault="00DC61F4" w:rsidP="00DC61F4">
            <w:pPr>
              <w:rPr>
                <w:color w:val="auto"/>
                <w:lang w:eastAsia="en-GB"/>
              </w:rPr>
            </w:pPr>
            <w:r w:rsidRPr="00DC61F4">
              <w:rPr>
                <w:color w:val="auto"/>
                <w:lang w:eastAsia="en-GB"/>
              </w:rPr>
              <w:t>South Cambs</w:t>
            </w:r>
          </w:p>
        </w:tc>
        <w:tc>
          <w:tcPr>
            <w:tcW w:w="1156" w:type="dxa"/>
            <w:hideMark/>
          </w:tcPr>
          <w:p w14:paraId="580B2DA6"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33,242</w:t>
            </w:r>
          </w:p>
        </w:tc>
        <w:tc>
          <w:tcPr>
            <w:tcW w:w="1083" w:type="dxa"/>
            <w:noWrap/>
            <w:hideMark/>
          </w:tcPr>
          <w:p w14:paraId="3FE31B8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38,450</w:t>
            </w:r>
          </w:p>
        </w:tc>
        <w:tc>
          <w:tcPr>
            <w:tcW w:w="902" w:type="dxa"/>
            <w:noWrap/>
            <w:hideMark/>
          </w:tcPr>
          <w:p w14:paraId="06A435A2"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62.10%</w:t>
            </w:r>
          </w:p>
        </w:tc>
        <w:tc>
          <w:tcPr>
            <w:tcW w:w="1020" w:type="dxa"/>
            <w:noWrap/>
            <w:hideMark/>
          </w:tcPr>
          <w:p w14:paraId="64AA39AD"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11.90%</w:t>
            </w:r>
          </w:p>
        </w:tc>
        <w:tc>
          <w:tcPr>
            <w:tcW w:w="1019" w:type="dxa"/>
            <w:hideMark/>
          </w:tcPr>
          <w:p w14:paraId="71739A08"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1,539</w:t>
            </w:r>
          </w:p>
        </w:tc>
        <w:tc>
          <w:tcPr>
            <w:tcW w:w="1020" w:type="dxa"/>
            <w:noWrap/>
            <w:hideMark/>
          </w:tcPr>
          <w:p w14:paraId="7AE90C3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2,345</w:t>
            </w:r>
          </w:p>
        </w:tc>
        <w:tc>
          <w:tcPr>
            <w:tcW w:w="1020" w:type="dxa"/>
            <w:noWrap/>
            <w:hideMark/>
          </w:tcPr>
          <w:p w14:paraId="59871FD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3.90%</w:t>
            </w:r>
          </w:p>
        </w:tc>
        <w:tc>
          <w:tcPr>
            <w:tcW w:w="1020" w:type="dxa"/>
            <w:noWrap/>
            <w:hideMark/>
          </w:tcPr>
          <w:p w14:paraId="2FDDE81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52.40%</w:t>
            </w:r>
          </w:p>
        </w:tc>
      </w:tr>
      <w:tr w:rsidR="005B2707" w:rsidRPr="00DC61F4" w14:paraId="55FE5E2A"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71154A24" w14:textId="77777777" w:rsidR="00DC61F4" w:rsidRPr="00DC61F4" w:rsidRDefault="00DC61F4" w:rsidP="00DC61F4">
            <w:pPr>
              <w:rPr>
                <w:color w:val="auto"/>
                <w:lang w:eastAsia="en-GB"/>
              </w:rPr>
            </w:pPr>
            <w:r w:rsidRPr="00DC61F4">
              <w:rPr>
                <w:color w:val="auto"/>
                <w:lang w:eastAsia="en-GB"/>
              </w:rPr>
              <w:t>West Suffolk</w:t>
            </w:r>
          </w:p>
        </w:tc>
        <w:tc>
          <w:tcPr>
            <w:tcW w:w="1156" w:type="dxa"/>
            <w:hideMark/>
          </w:tcPr>
          <w:p w14:paraId="58CA42A2"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34,91</w:t>
            </w:r>
          </w:p>
        </w:tc>
        <w:tc>
          <w:tcPr>
            <w:tcW w:w="1083" w:type="dxa"/>
            <w:noWrap/>
            <w:hideMark/>
          </w:tcPr>
          <w:p w14:paraId="626B2EE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39,682</w:t>
            </w:r>
          </w:p>
        </w:tc>
        <w:tc>
          <w:tcPr>
            <w:tcW w:w="902" w:type="dxa"/>
            <w:noWrap/>
            <w:hideMark/>
          </w:tcPr>
          <w:p w14:paraId="44F3E70E"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64.10%</w:t>
            </w:r>
          </w:p>
        </w:tc>
        <w:tc>
          <w:tcPr>
            <w:tcW w:w="1020" w:type="dxa"/>
            <w:noWrap/>
            <w:hideMark/>
          </w:tcPr>
          <w:p w14:paraId="5BF3DD53"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15.70%</w:t>
            </w:r>
          </w:p>
        </w:tc>
        <w:tc>
          <w:tcPr>
            <w:tcW w:w="1019" w:type="dxa"/>
            <w:hideMark/>
          </w:tcPr>
          <w:p w14:paraId="357E9FCE"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2,605</w:t>
            </w:r>
          </w:p>
        </w:tc>
        <w:tc>
          <w:tcPr>
            <w:tcW w:w="1020" w:type="dxa"/>
            <w:noWrap/>
            <w:hideMark/>
          </w:tcPr>
          <w:p w14:paraId="55C575D4"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3,953</w:t>
            </w:r>
          </w:p>
        </w:tc>
        <w:tc>
          <w:tcPr>
            <w:tcW w:w="1020" w:type="dxa"/>
            <w:noWrap/>
            <w:hideMark/>
          </w:tcPr>
          <w:p w14:paraId="1346379C"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5.60%</w:t>
            </w:r>
          </w:p>
        </w:tc>
        <w:tc>
          <w:tcPr>
            <w:tcW w:w="1020" w:type="dxa"/>
            <w:noWrap/>
            <w:hideMark/>
          </w:tcPr>
          <w:p w14:paraId="07D01D3D"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45.30%</w:t>
            </w:r>
          </w:p>
        </w:tc>
      </w:tr>
      <w:tr w:rsidR="005B2707" w:rsidRPr="00DC61F4" w14:paraId="52A6EA95"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1A6F4328" w14:textId="77777777" w:rsidR="00DC61F4" w:rsidRPr="00DC61F4" w:rsidRDefault="00DC61F4" w:rsidP="00DC61F4">
            <w:pPr>
              <w:rPr>
                <w:color w:val="auto"/>
                <w:lang w:eastAsia="en-GB"/>
              </w:rPr>
            </w:pPr>
            <w:r w:rsidRPr="00DC61F4">
              <w:rPr>
                <w:color w:val="auto"/>
                <w:lang w:eastAsia="en-GB"/>
              </w:rPr>
              <w:t>Greater Cambridge</w:t>
            </w:r>
          </w:p>
        </w:tc>
        <w:tc>
          <w:tcPr>
            <w:tcW w:w="1156" w:type="dxa"/>
            <w:hideMark/>
          </w:tcPr>
          <w:p w14:paraId="39701D77"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52,473</w:t>
            </w:r>
          </w:p>
        </w:tc>
        <w:tc>
          <w:tcPr>
            <w:tcW w:w="1083" w:type="dxa"/>
            <w:noWrap/>
            <w:hideMark/>
          </w:tcPr>
          <w:p w14:paraId="1D272018"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58,237</w:t>
            </w:r>
          </w:p>
        </w:tc>
        <w:tc>
          <w:tcPr>
            <w:tcW w:w="902" w:type="dxa"/>
            <w:noWrap/>
            <w:hideMark/>
          </w:tcPr>
          <w:p w14:paraId="01070599"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58.80%</w:t>
            </w:r>
          </w:p>
        </w:tc>
        <w:tc>
          <w:tcPr>
            <w:tcW w:w="1020" w:type="dxa"/>
            <w:noWrap/>
            <w:hideMark/>
          </w:tcPr>
          <w:p w14:paraId="056E800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13.80%</w:t>
            </w:r>
          </w:p>
        </w:tc>
        <w:tc>
          <w:tcPr>
            <w:tcW w:w="1019" w:type="dxa"/>
            <w:hideMark/>
          </w:tcPr>
          <w:p w14:paraId="7B31231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6,688</w:t>
            </w:r>
          </w:p>
        </w:tc>
        <w:tc>
          <w:tcPr>
            <w:tcW w:w="1020" w:type="dxa"/>
            <w:noWrap/>
            <w:hideMark/>
          </w:tcPr>
          <w:p w14:paraId="271B28D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8,920</w:t>
            </w:r>
          </w:p>
        </w:tc>
        <w:tc>
          <w:tcPr>
            <w:tcW w:w="1020" w:type="dxa"/>
            <w:noWrap/>
            <w:hideMark/>
          </w:tcPr>
          <w:p w14:paraId="57F981DD"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8.40%</w:t>
            </w:r>
          </w:p>
        </w:tc>
        <w:tc>
          <w:tcPr>
            <w:tcW w:w="1020" w:type="dxa"/>
            <w:noWrap/>
            <w:hideMark/>
          </w:tcPr>
          <w:p w14:paraId="19F7CE02"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33.40%</w:t>
            </w:r>
          </w:p>
        </w:tc>
      </w:tr>
      <w:tr w:rsidR="005B2707" w:rsidRPr="00DC61F4" w14:paraId="21D313D6"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68823762" w14:textId="77777777" w:rsidR="00DC61F4" w:rsidRPr="004F4BA7" w:rsidRDefault="00DC61F4" w:rsidP="00DC61F4">
            <w:pPr>
              <w:rPr>
                <w:b/>
                <w:bCs/>
                <w:color w:val="auto"/>
                <w:lang w:eastAsia="en-GB"/>
              </w:rPr>
            </w:pPr>
            <w:r w:rsidRPr="004F4BA7">
              <w:rPr>
                <w:b/>
                <w:bCs/>
                <w:color w:val="auto"/>
                <w:lang w:eastAsia="en-GB"/>
              </w:rPr>
              <w:t>HMA Average</w:t>
            </w:r>
          </w:p>
        </w:tc>
        <w:tc>
          <w:tcPr>
            <w:tcW w:w="1156" w:type="dxa"/>
            <w:hideMark/>
          </w:tcPr>
          <w:p w14:paraId="6693A1F6"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161,141</w:t>
            </w:r>
          </w:p>
        </w:tc>
        <w:tc>
          <w:tcPr>
            <w:tcW w:w="1083" w:type="dxa"/>
            <w:noWrap/>
            <w:hideMark/>
          </w:tcPr>
          <w:p w14:paraId="48B941C5"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185,769</w:t>
            </w:r>
          </w:p>
        </w:tc>
        <w:tc>
          <w:tcPr>
            <w:tcW w:w="902" w:type="dxa"/>
            <w:noWrap/>
            <w:hideMark/>
          </w:tcPr>
          <w:p w14:paraId="061CEF86"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55.80%</w:t>
            </w:r>
          </w:p>
        </w:tc>
        <w:tc>
          <w:tcPr>
            <w:tcW w:w="1020" w:type="dxa"/>
            <w:noWrap/>
            <w:hideMark/>
          </w:tcPr>
          <w:p w14:paraId="1F1D89B3"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15.70%</w:t>
            </w:r>
          </w:p>
        </w:tc>
        <w:tc>
          <w:tcPr>
            <w:tcW w:w="1019" w:type="dxa"/>
            <w:hideMark/>
          </w:tcPr>
          <w:p w14:paraId="4B385D56"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141,120</w:t>
            </w:r>
          </w:p>
        </w:tc>
        <w:tc>
          <w:tcPr>
            <w:tcW w:w="1020" w:type="dxa"/>
            <w:noWrap/>
            <w:hideMark/>
          </w:tcPr>
          <w:p w14:paraId="4C6186C1"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19,383</w:t>
            </w:r>
          </w:p>
        </w:tc>
        <w:tc>
          <w:tcPr>
            <w:tcW w:w="1020" w:type="dxa"/>
            <w:noWrap/>
            <w:hideMark/>
          </w:tcPr>
          <w:p w14:paraId="547B8423"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6.00%</w:t>
            </w:r>
          </w:p>
        </w:tc>
        <w:tc>
          <w:tcPr>
            <w:tcW w:w="1020" w:type="dxa"/>
            <w:noWrap/>
            <w:hideMark/>
          </w:tcPr>
          <w:p w14:paraId="21890D61"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37.30%</w:t>
            </w:r>
          </w:p>
        </w:tc>
      </w:tr>
      <w:tr w:rsidR="005B2707" w:rsidRPr="00DC61F4" w14:paraId="3FB08C5D"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39ACCB2A" w14:textId="77777777" w:rsidR="00DC61F4" w:rsidRPr="00DC61F4" w:rsidRDefault="00DC61F4" w:rsidP="00DC61F4">
            <w:pPr>
              <w:rPr>
                <w:color w:val="auto"/>
                <w:lang w:eastAsia="en-GB"/>
              </w:rPr>
            </w:pPr>
            <w:r w:rsidRPr="00DC61F4">
              <w:rPr>
                <w:color w:val="auto"/>
                <w:lang w:eastAsia="en-GB"/>
              </w:rPr>
              <w:t>East</w:t>
            </w:r>
          </w:p>
        </w:tc>
        <w:tc>
          <w:tcPr>
            <w:tcW w:w="1156" w:type="dxa"/>
            <w:hideMark/>
          </w:tcPr>
          <w:p w14:paraId="34FADC9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sz w:val="22"/>
                <w:szCs w:val="18"/>
                <w:lang w:eastAsia="en-GB"/>
              </w:rPr>
            </w:pPr>
            <w:r w:rsidRPr="004F4BA7">
              <w:rPr>
                <w:color w:val="auto"/>
                <w:sz w:val="22"/>
                <w:szCs w:val="18"/>
                <w:lang w:eastAsia="en-GB"/>
              </w:rPr>
              <w:t>1,191,166</w:t>
            </w:r>
          </w:p>
        </w:tc>
        <w:tc>
          <w:tcPr>
            <w:tcW w:w="1083" w:type="dxa"/>
            <w:noWrap/>
            <w:hideMark/>
          </w:tcPr>
          <w:p w14:paraId="16EDF1B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sz w:val="22"/>
                <w:szCs w:val="18"/>
                <w:lang w:eastAsia="en-GB"/>
              </w:rPr>
            </w:pPr>
            <w:r w:rsidRPr="004F4BA7">
              <w:rPr>
                <w:color w:val="auto"/>
                <w:sz w:val="22"/>
                <w:szCs w:val="18"/>
                <w:lang w:eastAsia="en-GB"/>
              </w:rPr>
              <w:t>1,318,884</w:t>
            </w:r>
          </w:p>
        </w:tc>
        <w:tc>
          <w:tcPr>
            <w:tcW w:w="902" w:type="dxa"/>
            <w:noWrap/>
            <w:hideMark/>
          </w:tcPr>
          <w:p w14:paraId="415DBC7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54.60%</w:t>
            </w:r>
          </w:p>
        </w:tc>
        <w:tc>
          <w:tcPr>
            <w:tcW w:w="1020" w:type="dxa"/>
            <w:noWrap/>
            <w:hideMark/>
          </w:tcPr>
          <w:p w14:paraId="4412E3D0"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11.00%</w:t>
            </w:r>
          </w:p>
        </w:tc>
        <w:tc>
          <w:tcPr>
            <w:tcW w:w="1019" w:type="dxa"/>
            <w:hideMark/>
          </w:tcPr>
          <w:p w14:paraId="23BA7536"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115,338</w:t>
            </w:r>
          </w:p>
        </w:tc>
        <w:tc>
          <w:tcPr>
            <w:tcW w:w="1020" w:type="dxa"/>
            <w:noWrap/>
            <w:hideMark/>
          </w:tcPr>
          <w:p w14:paraId="432F5981"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156,437</w:t>
            </w:r>
          </w:p>
        </w:tc>
        <w:tc>
          <w:tcPr>
            <w:tcW w:w="1020" w:type="dxa"/>
            <w:noWrap/>
            <w:hideMark/>
          </w:tcPr>
          <w:p w14:paraId="0A898F3F"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6.50%</w:t>
            </w:r>
          </w:p>
        </w:tc>
        <w:tc>
          <w:tcPr>
            <w:tcW w:w="1020" w:type="dxa"/>
            <w:noWrap/>
            <w:hideMark/>
          </w:tcPr>
          <w:p w14:paraId="5A490E25"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35.60%</w:t>
            </w:r>
          </w:p>
        </w:tc>
      </w:tr>
      <w:tr w:rsidR="005B2707" w:rsidRPr="00DC61F4" w14:paraId="609625C4" w14:textId="77777777" w:rsidTr="004F4BA7">
        <w:trPr>
          <w:trHeight w:val="339"/>
        </w:trPr>
        <w:tc>
          <w:tcPr>
            <w:cnfStyle w:val="001000000000" w:firstRow="0" w:lastRow="0" w:firstColumn="1" w:lastColumn="0" w:oddVBand="0" w:evenVBand="0" w:oddHBand="0" w:evenHBand="0" w:firstRowFirstColumn="0" w:firstRowLastColumn="0" w:lastRowFirstColumn="0" w:lastRowLastColumn="0"/>
            <w:tcW w:w="1417" w:type="dxa"/>
            <w:noWrap/>
            <w:hideMark/>
          </w:tcPr>
          <w:p w14:paraId="7305AD57" w14:textId="77777777" w:rsidR="00DC61F4" w:rsidRPr="00DC61F4" w:rsidRDefault="00DC61F4" w:rsidP="00DC61F4">
            <w:pPr>
              <w:rPr>
                <w:color w:val="auto"/>
                <w:lang w:eastAsia="en-GB"/>
              </w:rPr>
            </w:pPr>
            <w:r w:rsidRPr="00DC61F4">
              <w:rPr>
                <w:color w:val="auto"/>
                <w:lang w:eastAsia="en-GB"/>
              </w:rPr>
              <w:t>England</w:t>
            </w:r>
          </w:p>
        </w:tc>
        <w:tc>
          <w:tcPr>
            <w:tcW w:w="1156" w:type="dxa"/>
            <w:hideMark/>
          </w:tcPr>
          <w:p w14:paraId="3BD7CF7A" w14:textId="21D99AC5"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sz w:val="22"/>
                <w:szCs w:val="18"/>
                <w:lang w:eastAsia="en-GB"/>
              </w:rPr>
            </w:pPr>
            <w:r w:rsidRPr="004F4BA7">
              <w:rPr>
                <w:color w:val="auto"/>
                <w:sz w:val="22"/>
                <w:szCs w:val="18"/>
                <w:lang w:eastAsia="en-GB"/>
              </w:rPr>
              <w:t>10,050,4</w:t>
            </w:r>
            <w:r w:rsidR="005B2707" w:rsidRPr="00A441BA">
              <w:rPr>
                <w:color w:val="auto"/>
                <w:sz w:val="22"/>
                <w:szCs w:val="18"/>
                <w:lang w:eastAsia="en-GB"/>
              </w:rPr>
              <w:t>0</w:t>
            </w:r>
            <w:r w:rsidRPr="004F4BA7">
              <w:rPr>
                <w:color w:val="auto"/>
                <w:sz w:val="22"/>
                <w:szCs w:val="18"/>
                <w:lang w:eastAsia="en-GB"/>
              </w:rPr>
              <w:t>3</w:t>
            </w:r>
          </w:p>
        </w:tc>
        <w:tc>
          <w:tcPr>
            <w:tcW w:w="1083" w:type="dxa"/>
            <w:noWrap/>
            <w:hideMark/>
          </w:tcPr>
          <w:p w14:paraId="613F524F"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sz w:val="22"/>
                <w:szCs w:val="18"/>
                <w:lang w:eastAsia="en-GB"/>
              </w:rPr>
            </w:pPr>
            <w:r w:rsidRPr="004F4BA7">
              <w:rPr>
                <w:color w:val="auto"/>
                <w:sz w:val="22"/>
                <w:szCs w:val="18"/>
                <w:lang w:eastAsia="en-GB"/>
              </w:rPr>
              <w:t>5,057,303</w:t>
            </w:r>
          </w:p>
        </w:tc>
        <w:tc>
          <w:tcPr>
            <w:tcW w:w="902" w:type="dxa"/>
            <w:noWrap/>
            <w:hideMark/>
          </w:tcPr>
          <w:p w14:paraId="55459C7B"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57.60%</w:t>
            </w:r>
          </w:p>
        </w:tc>
        <w:tc>
          <w:tcPr>
            <w:tcW w:w="1020" w:type="dxa"/>
            <w:noWrap/>
            <w:hideMark/>
          </w:tcPr>
          <w:p w14:paraId="6A90F738"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15.30%</w:t>
            </w:r>
          </w:p>
        </w:tc>
        <w:tc>
          <w:tcPr>
            <w:tcW w:w="1019" w:type="dxa"/>
            <w:hideMark/>
          </w:tcPr>
          <w:p w14:paraId="566905B2"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sz w:val="22"/>
                <w:szCs w:val="18"/>
                <w:lang w:eastAsia="en-GB"/>
              </w:rPr>
            </w:pPr>
            <w:r w:rsidRPr="004F4BA7">
              <w:rPr>
                <w:color w:val="auto"/>
                <w:sz w:val="22"/>
                <w:szCs w:val="18"/>
                <w:lang w:eastAsia="en-GB"/>
              </w:rPr>
              <w:t>1,457,512</w:t>
            </w:r>
          </w:p>
        </w:tc>
        <w:tc>
          <w:tcPr>
            <w:tcW w:w="1020" w:type="dxa"/>
            <w:noWrap/>
            <w:hideMark/>
          </w:tcPr>
          <w:p w14:paraId="160C5C27"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sz w:val="22"/>
                <w:szCs w:val="18"/>
                <w:lang w:eastAsia="en-GB"/>
              </w:rPr>
            </w:pPr>
            <w:r w:rsidRPr="004F4BA7">
              <w:rPr>
                <w:color w:val="auto"/>
                <w:sz w:val="22"/>
                <w:szCs w:val="18"/>
                <w:lang w:eastAsia="en-GB"/>
              </w:rPr>
              <w:t>1,928,596</w:t>
            </w:r>
          </w:p>
        </w:tc>
        <w:tc>
          <w:tcPr>
            <w:tcW w:w="1020" w:type="dxa"/>
            <w:noWrap/>
            <w:hideMark/>
          </w:tcPr>
          <w:p w14:paraId="7337F984"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8.70%</w:t>
            </w:r>
          </w:p>
        </w:tc>
        <w:tc>
          <w:tcPr>
            <w:tcW w:w="1020" w:type="dxa"/>
            <w:noWrap/>
            <w:hideMark/>
          </w:tcPr>
          <w:p w14:paraId="456C2361" w14:textId="77777777" w:rsidR="00DC61F4" w:rsidRPr="004F4BA7" w:rsidRDefault="00DC61F4" w:rsidP="00DC61F4">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32.30%</w:t>
            </w:r>
          </w:p>
        </w:tc>
      </w:tr>
    </w:tbl>
    <w:p w14:paraId="3D1785B6" w14:textId="77777777" w:rsidR="007F2ADD" w:rsidRDefault="007F2ADD" w:rsidP="00A441BA">
      <w:pPr>
        <w:pStyle w:val="11Bodytext"/>
        <w:numPr>
          <w:ilvl w:val="0"/>
          <w:numId w:val="0"/>
        </w:numPr>
        <w:spacing w:before="0" w:line="240" w:lineRule="auto"/>
        <w:ind w:left="794"/>
      </w:pPr>
      <w:r>
        <w:t>Source: ONS, Census 2001 and 2011</w:t>
      </w:r>
    </w:p>
    <w:p w14:paraId="4A717155" w14:textId="77777777" w:rsidR="007F2ADD" w:rsidRDefault="007F2ADD" w:rsidP="007D0FBF">
      <w:pPr>
        <w:pStyle w:val="11Bodytext"/>
      </w:pPr>
      <w:r>
        <w:lastRenderedPageBreak/>
        <w:t xml:space="preserve">Around 55.8% of homes in the HMA have at least two spare bedrooms, compared to 54.6% regionally and 57.6% nationally. The national trend is manifested within the HMA where the proportion of residents living in under-occupied properties increased by 15.7% between 2001 to 2011, compared with 15.3% nationally. </w:t>
      </w:r>
    </w:p>
    <w:p w14:paraId="7D159807" w14:textId="77777777" w:rsidR="007F2ADD" w:rsidRDefault="007F2ADD" w:rsidP="007D0FBF">
      <w:pPr>
        <w:pStyle w:val="11Bodytext"/>
      </w:pPr>
      <w:r>
        <w:t xml:space="preserve">At a local authority level, under-occupation is most prominent in West Suffolk (64.1%) although South and East Cambridgeshire (both 62.1%) are also considerably higher than the regional (54.6%) and national (57.6%) equivalent. </w:t>
      </w:r>
    </w:p>
    <w:p w14:paraId="40762FB1" w14:textId="77777777" w:rsidR="007F2ADD" w:rsidRPr="00526C6E" w:rsidRDefault="007F2ADD" w:rsidP="007D0FBF">
      <w:pPr>
        <w:pStyle w:val="11Bodytext"/>
        <w:rPr>
          <w:b/>
        </w:rPr>
      </w:pPr>
      <w:r>
        <w:t xml:space="preserve">The high level of under-occupied properties in the HMA is in part linked to a growth in the older population who tend to remain in their family homes after their children have left. Providing suitable accommodation for this group would reduce the need for additional large properties across the area. </w:t>
      </w:r>
      <w:r w:rsidRPr="00526C6E">
        <w:rPr>
          <w:b/>
        </w:rPr>
        <w:t>This should be a consideration for the Councils when developing their suite of housing policies, particularly those relating to older people and their housing and care needs and housing mix.</w:t>
      </w:r>
    </w:p>
    <w:p w14:paraId="5C4CF260" w14:textId="77777777" w:rsidR="00AB3F1A" w:rsidRPr="008E6E40" w:rsidRDefault="007F2ADD" w:rsidP="007D0FBF">
      <w:pPr>
        <w:pStyle w:val="11Bodytext"/>
      </w:pPr>
      <w:r>
        <w:t xml:space="preserve">Over-occupation is more problematic despite being fewer in number and again there should be a policy response in each local authority to address this issue. Over-occupation is highest in Cambridge and one solution would be to </w:t>
      </w:r>
      <w:r w:rsidRPr="00526C6E">
        <w:rPr>
          <w:b/>
        </w:rPr>
        <w:t>deliver more affordable, smaller homes to allow for better formation of house</w:t>
      </w:r>
      <w:r w:rsidR="00AB3F1A" w:rsidRPr="00526C6E">
        <w:rPr>
          <w:b/>
        </w:rPr>
        <w:t>ho</w:t>
      </w:r>
      <w:r w:rsidRPr="00526C6E">
        <w:rPr>
          <w:b/>
        </w:rPr>
        <w:t>lds. This is addressed in the following chapters.</w:t>
      </w:r>
    </w:p>
    <w:p w14:paraId="3DAE0E4E" w14:textId="41079E33" w:rsidR="007F2ADD" w:rsidRDefault="007F2ADD" w:rsidP="007D0FBF">
      <w:pPr>
        <w:pStyle w:val="Heading2"/>
      </w:pPr>
      <w:r>
        <w:t xml:space="preserve">Housing Supply Trends </w:t>
      </w:r>
    </w:p>
    <w:p w14:paraId="59679622" w14:textId="77777777" w:rsidR="007F2ADD" w:rsidRDefault="007F2ADD" w:rsidP="007D0FBF">
      <w:pPr>
        <w:pStyle w:val="11Bodytext"/>
      </w:pPr>
      <w:r>
        <w:t>The table below shows net housing completions against the local plan target across the study area from 2011/12 to 2019/20. The data has been extracted from the most recent local authority Annual Monitoring Reports (AMRs), Housing Trajectories and Five-Year Land Supply Statements.</w:t>
      </w:r>
    </w:p>
    <w:p w14:paraId="6E7BB633" w14:textId="77777777" w:rsidR="004F4BA7" w:rsidRDefault="004F4BA7">
      <w:pPr>
        <w:spacing w:after="200"/>
        <w:rPr>
          <w:bCs/>
          <w:sz w:val="24"/>
          <w:szCs w:val="24"/>
        </w:rPr>
      </w:pPr>
      <w:r>
        <w:br w:type="page"/>
      </w:r>
    </w:p>
    <w:p w14:paraId="75F78159" w14:textId="0820D443" w:rsidR="007F2ADD" w:rsidRDefault="007F2ADD" w:rsidP="007D0FBF">
      <w:pPr>
        <w:pStyle w:val="11Bodytext"/>
      </w:pPr>
      <w:r>
        <w:lastRenderedPageBreak/>
        <w:t xml:space="preserve">At the time of writing, Cambridge, East </w:t>
      </w:r>
      <w:proofErr w:type="gramStart"/>
      <w:r>
        <w:t>Cambridgeshire</w:t>
      </w:r>
      <w:proofErr w:type="gramEnd"/>
      <w:r>
        <w:t xml:space="preserve"> and South Cambridgeshire had not completed their annual monitoring report for 2019/20, therefore, their housing has been estimated from the trajectories of previous years.  Given the Covid-19 situation at the end of the monitoring year, this is potentially an over-estimation. </w:t>
      </w:r>
    </w:p>
    <w:p w14:paraId="332A1BDC" w14:textId="373DEDD2" w:rsidR="007F2ADD" w:rsidRDefault="007F2ADD" w:rsidP="007D0FBF">
      <w:pPr>
        <w:pStyle w:val="11Bodytext"/>
      </w:pPr>
      <w:r>
        <w:t xml:space="preserve">This analysis shows that only Cambridge has delivered a higher average number of dwellings per year than their local plan target. Although it should be noted that the Joint Local Plan for Greater Cambridge plans for lower growth in early parts of the plan period in South Cambridge with higher growth in the middle to late stages and vice versa in Cambridge.  </w:t>
      </w:r>
    </w:p>
    <w:p w14:paraId="5DD96462" w14:textId="222A8AC1" w:rsidR="00424492" w:rsidRDefault="00424492" w:rsidP="007D0FBF">
      <w:pPr>
        <w:pStyle w:val="11Bodytext"/>
      </w:pPr>
      <w:r>
        <w:t xml:space="preserve">The figures for West Suffolk represent the cumulative of former </w:t>
      </w:r>
      <w:r w:rsidR="004A5D81">
        <w:t xml:space="preserve">St. Edmundsbury </w:t>
      </w:r>
      <w:r>
        <w:t>and Forest Heath</w:t>
      </w:r>
      <w:r w:rsidR="004A5D81">
        <w:t xml:space="preserve">. The Local Plan target is 520 of the stepped approach. </w:t>
      </w:r>
      <w:r>
        <w:t xml:space="preserve"> </w:t>
      </w:r>
    </w:p>
    <w:p w14:paraId="717B8961" w14:textId="77777777" w:rsidR="007F2ADD" w:rsidRDefault="007F2ADD" w:rsidP="003D5E23">
      <w:pPr>
        <w:pStyle w:val="Tableheading"/>
        <w:numPr>
          <w:ilvl w:val="0"/>
          <w:numId w:val="54"/>
        </w:numPr>
      </w:pPr>
      <w:r>
        <w:t>Housing Completions and Local Plan Target for Study Area, 2011/12-19/20</w:t>
      </w:r>
    </w:p>
    <w:tbl>
      <w:tblPr>
        <w:tblStyle w:val="TableGridLight1"/>
        <w:tblW w:w="8699" w:type="dxa"/>
        <w:tblInd w:w="794" w:type="dxa"/>
        <w:tblLook w:val="04A0" w:firstRow="1" w:lastRow="0" w:firstColumn="1" w:lastColumn="0" w:noHBand="0" w:noVBand="1"/>
      </w:tblPr>
      <w:tblGrid>
        <w:gridCol w:w="2257"/>
        <w:gridCol w:w="1610"/>
        <w:gridCol w:w="1611"/>
        <w:gridCol w:w="1610"/>
        <w:gridCol w:w="1611"/>
      </w:tblGrid>
      <w:tr w:rsidR="00B83A64" w:rsidRPr="00B83A64" w14:paraId="28CAA9D6" w14:textId="77777777" w:rsidTr="004F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hideMark/>
          </w:tcPr>
          <w:p w14:paraId="2B5252DD" w14:textId="77777777" w:rsidR="007F2ADD" w:rsidRPr="00B83A64" w:rsidRDefault="007F2ADD" w:rsidP="001D508A">
            <w:pPr>
              <w:keepNext/>
              <w:spacing w:line="300" w:lineRule="auto"/>
              <w:rPr>
                <w:szCs w:val="24"/>
              </w:rPr>
            </w:pPr>
            <w:r w:rsidRPr="00B83A64">
              <w:rPr>
                <w:szCs w:val="24"/>
              </w:rPr>
              <w:t>Local Authority</w:t>
            </w:r>
          </w:p>
        </w:tc>
        <w:tc>
          <w:tcPr>
            <w:tcW w:w="1610" w:type="dxa"/>
            <w:hideMark/>
          </w:tcPr>
          <w:p w14:paraId="1041AF3F" w14:textId="77777777" w:rsidR="007F2ADD" w:rsidRPr="00B83A64" w:rsidRDefault="007F2ADD" w:rsidP="001D508A">
            <w:pPr>
              <w:keepNext/>
              <w:spacing w:line="300" w:lineRule="auto"/>
              <w:cnfStyle w:val="100000000000" w:firstRow="1" w:lastRow="0" w:firstColumn="0" w:lastColumn="0" w:oddVBand="0" w:evenVBand="0" w:oddHBand="0" w:evenHBand="0" w:firstRowFirstColumn="0" w:firstRowLastColumn="0" w:lastRowFirstColumn="0" w:lastRowLastColumn="0"/>
              <w:rPr>
                <w:szCs w:val="24"/>
              </w:rPr>
            </w:pPr>
            <w:r w:rsidRPr="00B83A64">
              <w:rPr>
                <w:szCs w:val="24"/>
              </w:rPr>
              <w:t>Net Completions 2011/12 to 2019/20</w:t>
            </w:r>
          </w:p>
        </w:tc>
        <w:tc>
          <w:tcPr>
            <w:tcW w:w="1611" w:type="dxa"/>
            <w:hideMark/>
          </w:tcPr>
          <w:p w14:paraId="42ECB7E3" w14:textId="77777777" w:rsidR="007F2ADD" w:rsidRPr="00B83A64" w:rsidRDefault="007F2ADD" w:rsidP="001D508A">
            <w:pPr>
              <w:keepNext/>
              <w:spacing w:line="300" w:lineRule="auto"/>
              <w:cnfStyle w:val="100000000000" w:firstRow="1" w:lastRow="0" w:firstColumn="0" w:lastColumn="0" w:oddVBand="0" w:evenVBand="0" w:oddHBand="0" w:evenHBand="0" w:firstRowFirstColumn="0" w:firstRowLastColumn="0" w:lastRowFirstColumn="0" w:lastRowLastColumn="0"/>
              <w:rPr>
                <w:szCs w:val="24"/>
              </w:rPr>
            </w:pPr>
            <w:r w:rsidRPr="00B83A64">
              <w:rPr>
                <w:szCs w:val="24"/>
              </w:rPr>
              <w:t>Average Dwellings completed per Annum</w:t>
            </w:r>
          </w:p>
        </w:tc>
        <w:tc>
          <w:tcPr>
            <w:tcW w:w="1610" w:type="dxa"/>
            <w:hideMark/>
          </w:tcPr>
          <w:p w14:paraId="0E575B8E" w14:textId="77777777" w:rsidR="007F2ADD" w:rsidRPr="00B83A64" w:rsidRDefault="007F2ADD" w:rsidP="001D508A">
            <w:pPr>
              <w:keepNext/>
              <w:spacing w:line="300" w:lineRule="auto"/>
              <w:cnfStyle w:val="100000000000" w:firstRow="1" w:lastRow="0" w:firstColumn="0" w:lastColumn="0" w:oddVBand="0" w:evenVBand="0" w:oddHBand="0" w:evenHBand="0" w:firstRowFirstColumn="0" w:firstRowLastColumn="0" w:lastRowFirstColumn="0" w:lastRowLastColumn="0"/>
              <w:rPr>
                <w:szCs w:val="24"/>
              </w:rPr>
            </w:pPr>
            <w:r w:rsidRPr="00B83A64">
              <w:rPr>
                <w:szCs w:val="24"/>
              </w:rPr>
              <w:t>Local Plan Target per Annum</w:t>
            </w:r>
          </w:p>
        </w:tc>
        <w:tc>
          <w:tcPr>
            <w:tcW w:w="1611" w:type="dxa"/>
            <w:hideMark/>
          </w:tcPr>
          <w:p w14:paraId="48601321" w14:textId="77777777" w:rsidR="007F2ADD" w:rsidRPr="00B83A64" w:rsidRDefault="007F2ADD" w:rsidP="001D508A">
            <w:pPr>
              <w:keepNext/>
              <w:spacing w:line="300" w:lineRule="auto"/>
              <w:cnfStyle w:val="100000000000" w:firstRow="1" w:lastRow="0" w:firstColumn="0" w:lastColumn="0" w:oddVBand="0" w:evenVBand="0" w:oddHBand="0" w:evenHBand="0" w:firstRowFirstColumn="0" w:firstRowLastColumn="0" w:lastRowFirstColumn="0" w:lastRowLastColumn="0"/>
              <w:rPr>
                <w:szCs w:val="24"/>
              </w:rPr>
            </w:pPr>
            <w:r w:rsidRPr="00B83A64">
              <w:rPr>
                <w:szCs w:val="24"/>
              </w:rPr>
              <w:t>Over/Under – Supply per annum</w:t>
            </w:r>
          </w:p>
        </w:tc>
      </w:tr>
      <w:tr w:rsidR="00B83A64" w:rsidRPr="00B83A64" w14:paraId="3DC5A8D9"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01E25036" w14:textId="77777777" w:rsidR="007F2ADD" w:rsidRPr="00B83A64" w:rsidRDefault="007F2ADD" w:rsidP="001D508A">
            <w:pPr>
              <w:keepNext/>
              <w:spacing w:line="300" w:lineRule="auto"/>
              <w:rPr>
                <w:b/>
                <w:szCs w:val="24"/>
              </w:rPr>
            </w:pPr>
            <w:r w:rsidRPr="00B83A64">
              <w:rPr>
                <w:szCs w:val="24"/>
              </w:rPr>
              <w:t>Cambridge*</w:t>
            </w:r>
          </w:p>
        </w:tc>
        <w:tc>
          <w:tcPr>
            <w:tcW w:w="1610" w:type="dxa"/>
            <w:hideMark/>
          </w:tcPr>
          <w:p w14:paraId="622BD672"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7,443 </w:t>
            </w:r>
          </w:p>
        </w:tc>
        <w:tc>
          <w:tcPr>
            <w:tcW w:w="1611" w:type="dxa"/>
            <w:hideMark/>
          </w:tcPr>
          <w:p w14:paraId="46CEC169"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827 </w:t>
            </w:r>
          </w:p>
        </w:tc>
        <w:tc>
          <w:tcPr>
            <w:tcW w:w="1610" w:type="dxa"/>
            <w:hideMark/>
          </w:tcPr>
          <w:p w14:paraId="04DEBC81"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700 </w:t>
            </w:r>
          </w:p>
        </w:tc>
        <w:tc>
          <w:tcPr>
            <w:tcW w:w="1611" w:type="dxa"/>
            <w:hideMark/>
          </w:tcPr>
          <w:p w14:paraId="6FF24ECB" w14:textId="6C4356D2"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127</w:t>
            </w:r>
          </w:p>
        </w:tc>
      </w:tr>
      <w:tr w:rsidR="00B83A64" w:rsidRPr="00B83A64" w14:paraId="27193F12"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62EB6446" w14:textId="77777777" w:rsidR="007F2ADD" w:rsidRPr="00B83A64" w:rsidRDefault="007F2ADD" w:rsidP="001D508A">
            <w:pPr>
              <w:keepNext/>
              <w:spacing w:line="300" w:lineRule="auto"/>
              <w:rPr>
                <w:b/>
                <w:szCs w:val="24"/>
              </w:rPr>
            </w:pPr>
            <w:r w:rsidRPr="00B83A64">
              <w:rPr>
                <w:szCs w:val="24"/>
                <w:lang w:eastAsia="en-GB"/>
              </w:rPr>
              <w:t xml:space="preserve">East Cambs* </w:t>
            </w:r>
          </w:p>
        </w:tc>
        <w:tc>
          <w:tcPr>
            <w:tcW w:w="1610" w:type="dxa"/>
            <w:hideMark/>
          </w:tcPr>
          <w:p w14:paraId="7B72AA4B"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2,527 </w:t>
            </w:r>
          </w:p>
        </w:tc>
        <w:tc>
          <w:tcPr>
            <w:tcW w:w="1611" w:type="dxa"/>
            <w:hideMark/>
          </w:tcPr>
          <w:p w14:paraId="78FBE96B"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281 </w:t>
            </w:r>
          </w:p>
        </w:tc>
        <w:tc>
          <w:tcPr>
            <w:tcW w:w="1610" w:type="dxa"/>
            <w:hideMark/>
          </w:tcPr>
          <w:p w14:paraId="7336968B"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575 </w:t>
            </w:r>
          </w:p>
        </w:tc>
        <w:tc>
          <w:tcPr>
            <w:tcW w:w="1611" w:type="dxa"/>
            <w:hideMark/>
          </w:tcPr>
          <w:p w14:paraId="103A4943" w14:textId="35E0249B"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w:t>
            </w:r>
            <w:r w:rsidR="00424492" w:rsidRPr="00B83A64">
              <w:rPr>
                <w:szCs w:val="24"/>
              </w:rPr>
              <w:t xml:space="preserve"> </w:t>
            </w:r>
            <w:r w:rsidRPr="00B83A64">
              <w:rPr>
                <w:szCs w:val="24"/>
              </w:rPr>
              <w:t>294</w:t>
            </w:r>
          </w:p>
        </w:tc>
      </w:tr>
      <w:tr w:rsidR="00B83A64" w:rsidRPr="00B83A64" w14:paraId="3C1BD6EF"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0E956411" w14:textId="77777777" w:rsidR="007F2ADD" w:rsidRPr="00B83A64" w:rsidRDefault="007F2ADD" w:rsidP="001D508A">
            <w:pPr>
              <w:keepNext/>
              <w:spacing w:line="300" w:lineRule="auto"/>
              <w:rPr>
                <w:b/>
                <w:szCs w:val="24"/>
              </w:rPr>
            </w:pPr>
            <w:r w:rsidRPr="00B83A64">
              <w:rPr>
                <w:szCs w:val="24"/>
              </w:rPr>
              <w:t>Fenland</w:t>
            </w:r>
          </w:p>
        </w:tc>
        <w:tc>
          <w:tcPr>
            <w:tcW w:w="1610" w:type="dxa"/>
            <w:hideMark/>
          </w:tcPr>
          <w:p w14:paraId="142CA171"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3,549</w:t>
            </w:r>
          </w:p>
        </w:tc>
        <w:tc>
          <w:tcPr>
            <w:tcW w:w="1611" w:type="dxa"/>
            <w:hideMark/>
          </w:tcPr>
          <w:p w14:paraId="0F3A278C"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394</w:t>
            </w:r>
          </w:p>
        </w:tc>
        <w:tc>
          <w:tcPr>
            <w:tcW w:w="1610" w:type="dxa"/>
            <w:hideMark/>
          </w:tcPr>
          <w:p w14:paraId="450BE1E1"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550 </w:t>
            </w:r>
          </w:p>
        </w:tc>
        <w:tc>
          <w:tcPr>
            <w:tcW w:w="1611" w:type="dxa"/>
            <w:hideMark/>
          </w:tcPr>
          <w:p w14:paraId="73E53B2B" w14:textId="72E93076"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-156</w:t>
            </w:r>
          </w:p>
        </w:tc>
      </w:tr>
      <w:tr w:rsidR="00B83A64" w:rsidRPr="00B83A64" w14:paraId="74899B5E"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13116179" w14:textId="77777777" w:rsidR="007F2ADD" w:rsidRPr="00B83A64" w:rsidRDefault="007F2ADD" w:rsidP="001D508A">
            <w:pPr>
              <w:keepNext/>
              <w:spacing w:line="300" w:lineRule="auto"/>
              <w:rPr>
                <w:b/>
                <w:szCs w:val="24"/>
              </w:rPr>
            </w:pPr>
            <w:r w:rsidRPr="00B83A64">
              <w:rPr>
                <w:szCs w:val="24"/>
              </w:rPr>
              <w:t>Huntingdonshire</w:t>
            </w:r>
          </w:p>
        </w:tc>
        <w:tc>
          <w:tcPr>
            <w:tcW w:w="1610" w:type="dxa"/>
            <w:hideMark/>
          </w:tcPr>
          <w:p w14:paraId="1CD51FD9"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6,466 </w:t>
            </w:r>
          </w:p>
        </w:tc>
        <w:tc>
          <w:tcPr>
            <w:tcW w:w="1611" w:type="dxa"/>
            <w:hideMark/>
          </w:tcPr>
          <w:p w14:paraId="373386D9"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718 </w:t>
            </w:r>
          </w:p>
        </w:tc>
        <w:tc>
          <w:tcPr>
            <w:tcW w:w="1610" w:type="dxa"/>
            <w:hideMark/>
          </w:tcPr>
          <w:p w14:paraId="4EC90374"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804 </w:t>
            </w:r>
          </w:p>
        </w:tc>
        <w:tc>
          <w:tcPr>
            <w:tcW w:w="1611" w:type="dxa"/>
            <w:hideMark/>
          </w:tcPr>
          <w:p w14:paraId="10966411" w14:textId="76F51D1E"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- 86</w:t>
            </w:r>
          </w:p>
        </w:tc>
      </w:tr>
      <w:tr w:rsidR="00B83A64" w:rsidRPr="00B83A64" w14:paraId="2AFA2AB4"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5E1A5205" w14:textId="77777777" w:rsidR="007F2ADD" w:rsidRPr="00B83A64" w:rsidRDefault="007F2ADD" w:rsidP="001D508A">
            <w:pPr>
              <w:keepNext/>
              <w:spacing w:line="300" w:lineRule="auto"/>
              <w:rPr>
                <w:b/>
                <w:szCs w:val="24"/>
              </w:rPr>
            </w:pPr>
            <w:r w:rsidRPr="00B83A64">
              <w:rPr>
                <w:szCs w:val="24"/>
              </w:rPr>
              <w:t>South Cambs*</w:t>
            </w:r>
          </w:p>
        </w:tc>
        <w:tc>
          <w:tcPr>
            <w:tcW w:w="1610" w:type="dxa"/>
            <w:hideMark/>
          </w:tcPr>
          <w:p w14:paraId="32C960CF"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6,855 </w:t>
            </w:r>
          </w:p>
        </w:tc>
        <w:tc>
          <w:tcPr>
            <w:tcW w:w="1611" w:type="dxa"/>
            <w:hideMark/>
          </w:tcPr>
          <w:p w14:paraId="7293BA9D"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762 </w:t>
            </w:r>
          </w:p>
        </w:tc>
        <w:tc>
          <w:tcPr>
            <w:tcW w:w="1610" w:type="dxa"/>
            <w:hideMark/>
          </w:tcPr>
          <w:p w14:paraId="286B1BF0"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975 </w:t>
            </w:r>
          </w:p>
        </w:tc>
        <w:tc>
          <w:tcPr>
            <w:tcW w:w="1611" w:type="dxa"/>
            <w:hideMark/>
          </w:tcPr>
          <w:p w14:paraId="301B8641" w14:textId="346B0AA6"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- 213</w:t>
            </w:r>
          </w:p>
        </w:tc>
      </w:tr>
      <w:tr w:rsidR="00B83A64" w:rsidRPr="00B83A64" w14:paraId="18061983" w14:textId="77777777" w:rsidTr="004F4BA7">
        <w:trPr>
          <w:trHeight w:val="281"/>
        </w:trPr>
        <w:tc>
          <w:tcPr>
            <w:cnfStyle w:val="001000000000" w:firstRow="0" w:lastRow="0" w:firstColumn="1" w:lastColumn="0" w:oddVBand="0" w:evenVBand="0" w:oddHBand="0" w:evenHBand="0" w:firstRowFirstColumn="0" w:firstRowLastColumn="0" w:lastRowFirstColumn="0" w:lastRowLastColumn="0"/>
            <w:tcW w:w="2257" w:type="dxa"/>
            <w:hideMark/>
          </w:tcPr>
          <w:p w14:paraId="5A4512FB" w14:textId="77777777" w:rsidR="007F2ADD" w:rsidRPr="00B83A64" w:rsidRDefault="007F2ADD" w:rsidP="001D508A">
            <w:pPr>
              <w:keepNext/>
              <w:spacing w:line="300" w:lineRule="auto"/>
              <w:rPr>
                <w:b/>
                <w:szCs w:val="24"/>
              </w:rPr>
            </w:pPr>
            <w:r w:rsidRPr="00B83A64">
              <w:rPr>
                <w:szCs w:val="24"/>
              </w:rPr>
              <w:t>West Suffolk</w:t>
            </w:r>
          </w:p>
        </w:tc>
        <w:tc>
          <w:tcPr>
            <w:tcW w:w="1610" w:type="dxa"/>
            <w:hideMark/>
          </w:tcPr>
          <w:p w14:paraId="26F60DFD"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5,734 </w:t>
            </w:r>
          </w:p>
        </w:tc>
        <w:tc>
          <w:tcPr>
            <w:tcW w:w="1611" w:type="dxa"/>
            <w:hideMark/>
          </w:tcPr>
          <w:p w14:paraId="48835E7A"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637 </w:t>
            </w:r>
          </w:p>
        </w:tc>
        <w:tc>
          <w:tcPr>
            <w:tcW w:w="1610" w:type="dxa"/>
            <w:hideMark/>
          </w:tcPr>
          <w:p w14:paraId="72CC57AB"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xml:space="preserve">857 </w:t>
            </w:r>
          </w:p>
        </w:tc>
        <w:tc>
          <w:tcPr>
            <w:tcW w:w="1611" w:type="dxa"/>
            <w:hideMark/>
          </w:tcPr>
          <w:p w14:paraId="244C23CC" w14:textId="09845ACC"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szCs w:val="24"/>
              </w:rPr>
            </w:pPr>
            <w:r w:rsidRPr="00B83A64">
              <w:rPr>
                <w:szCs w:val="24"/>
              </w:rPr>
              <w:t>- 220</w:t>
            </w:r>
          </w:p>
        </w:tc>
      </w:tr>
      <w:tr w:rsidR="00B83A64" w:rsidRPr="00B83A64" w14:paraId="38DA4E84"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3D0D663F" w14:textId="77777777" w:rsidR="007F2ADD" w:rsidRPr="004F4BA7" w:rsidRDefault="007F2ADD" w:rsidP="001D508A">
            <w:pPr>
              <w:keepNext/>
              <w:spacing w:line="300" w:lineRule="auto"/>
              <w:rPr>
                <w:b/>
                <w:szCs w:val="24"/>
              </w:rPr>
            </w:pPr>
            <w:r w:rsidRPr="004F4BA7">
              <w:rPr>
                <w:b/>
                <w:szCs w:val="24"/>
              </w:rPr>
              <w:t xml:space="preserve">HMA </w:t>
            </w:r>
          </w:p>
        </w:tc>
        <w:tc>
          <w:tcPr>
            <w:tcW w:w="1610" w:type="dxa"/>
            <w:hideMark/>
          </w:tcPr>
          <w:p w14:paraId="46184671" w14:textId="77777777" w:rsidR="007F2ADD" w:rsidRPr="003A75AB"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b/>
                <w:szCs w:val="24"/>
              </w:rPr>
            </w:pPr>
            <w:r w:rsidRPr="004F4BA7">
              <w:rPr>
                <w:b/>
                <w:szCs w:val="24"/>
              </w:rPr>
              <w:t xml:space="preserve">32,381 </w:t>
            </w:r>
          </w:p>
        </w:tc>
        <w:tc>
          <w:tcPr>
            <w:tcW w:w="1611" w:type="dxa"/>
            <w:hideMark/>
          </w:tcPr>
          <w:p w14:paraId="2C5348CD" w14:textId="77777777" w:rsidR="007F2ADD" w:rsidRPr="004F4BA7"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b/>
                <w:szCs w:val="24"/>
              </w:rPr>
            </w:pPr>
            <w:r w:rsidRPr="004F4BA7">
              <w:rPr>
                <w:b/>
                <w:szCs w:val="24"/>
              </w:rPr>
              <w:t xml:space="preserve">3,598 </w:t>
            </w:r>
          </w:p>
        </w:tc>
        <w:tc>
          <w:tcPr>
            <w:tcW w:w="1610" w:type="dxa"/>
            <w:hideMark/>
          </w:tcPr>
          <w:p w14:paraId="121C9B98" w14:textId="77777777" w:rsidR="007F2ADD" w:rsidRPr="003A75AB"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b/>
                <w:szCs w:val="24"/>
              </w:rPr>
            </w:pPr>
            <w:r w:rsidRPr="004F4BA7">
              <w:rPr>
                <w:b/>
                <w:szCs w:val="24"/>
              </w:rPr>
              <w:t xml:space="preserve">4,461 </w:t>
            </w:r>
          </w:p>
        </w:tc>
        <w:tc>
          <w:tcPr>
            <w:tcW w:w="1611" w:type="dxa"/>
            <w:hideMark/>
          </w:tcPr>
          <w:p w14:paraId="6E89D5C1" w14:textId="359C0B71" w:rsidR="007F2ADD" w:rsidRPr="003A75AB" w:rsidRDefault="007F2ADD">
            <w:pPr>
              <w:spacing w:line="300" w:lineRule="auto"/>
              <w:cnfStyle w:val="000000000000" w:firstRow="0" w:lastRow="0" w:firstColumn="0" w:lastColumn="0" w:oddVBand="0" w:evenVBand="0" w:oddHBand="0" w:evenHBand="0" w:firstRowFirstColumn="0" w:firstRowLastColumn="0" w:lastRowFirstColumn="0" w:lastRowLastColumn="0"/>
              <w:rPr>
                <w:b/>
                <w:szCs w:val="24"/>
              </w:rPr>
            </w:pPr>
            <w:r w:rsidRPr="004F4BA7">
              <w:rPr>
                <w:b/>
                <w:szCs w:val="24"/>
              </w:rPr>
              <w:t>- 863</w:t>
            </w:r>
          </w:p>
        </w:tc>
      </w:tr>
      <w:tr w:rsidR="00B83A64" w:rsidRPr="00B83A64" w14:paraId="48BDAA89" w14:textId="77777777" w:rsidTr="004F4BA7">
        <w:tc>
          <w:tcPr>
            <w:cnfStyle w:val="001000000000" w:firstRow="0" w:lastRow="0" w:firstColumn="1" w:lastColumn="0" w:oddVBand="0" w:evenVBand="0" w:oddHBand="0" w:evenHBand="0" w:firstRowFirstColumn="0" w:firstRowLastColumn="0" w:lastRowFirstColumn="0" w:lastRowLastColumn="0"/>
            <w:tcW w:w="2257" w:type="dxa"/>
            <w:hideMark/>
          </w:tcPr>
          <w:p w14:paraId="2A02EC1B" w14:textId="77777777" w:rsidR="007F2ADD" w:rsidRPr="00B83A64" w:rsidRDefault="007F2ADD" w:rsidP="001D508A">
            <w:pPr>
              <w:keepNext/>
              <w:spacing w:line="300" w:lineRule="auto"/>
              <w:rPr>
                <w:b/>
                <w:bCs/>
                <w:szCs w:val="24"/>
              </w:rPr>
            </w:pPr>
            <w:r w:rsidRPr="00B83A64">
              <w:rPr>
                <w:szCs w:val="24"/>
              </w:rPr>
              <w:t>Greater Cambridge</w:t>
            </w:r>
          </w:p>
        </w:tc>
        <w:tc>
          <w:tcPr>
            <w:tcW w:w="1610" w:type="dxa"/>
            <w:hideMark/>
          </w:tcPr>
          <w:p w14:paraId="4D288C98"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b/>
                <w:bCs/>
                <w:szCs w:val="24"/>
              </w:rPr>
            </w:pPr>
            <w:r w:rsidRPr="00B83A64">
              <w:rPr>
                <w:szCs w:val="24"/>
              </w:rPr>
              <w:t>14,298</w:t>
            </w:r>
          </w:p>
        </w:tc>
        <w:tc>
          <w:tcPr>
            <w:tcW w:w="1611" w:type="dxa"/>
            <w:hideMark/>
          </w:tcPr>
          <w:p w14:paraId="27A67352"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b/>
                <w:bCs/>
                <w:szCs w:val="24"/>
              </w:rPr>
            </w:pPr>
            <w:r w:rsidRPr="00B83A64">
              <w:rPr>
                <w:szCs w:val="24"/>
              </w:rPr>
              <w:t>1,589</w:t>
            </w:r>
          </w:p>
        </w:tc>
        <w:tc>
          <w:tcPr>
            <w:tcW w:w="1610" w:type="dxa"/>
            <w:hideMark/>
          </w:tcPr>
          <w:p w14:paraId="37A2CAEF" w14:textId="77777777" w:rsidR="007F2ADD" w:rsidRPr="00B83A64" w:rsidRDefault="007F2ADD" w:rsidP="001D508A">
            <w:pPr>
              <w:spacing w:line="300" w:lineRule="auto"/>
              <w:cnfStyle w:val="000000000000" w:firstRow="0" w:lastRow="0" w:firstColumn="0" w:lastColumn="0" w:oddVBand="0" w:evenVBand="0" w:oddHBand="0" w:evenHBand="0" w:firstRowFirstColumn="0" w:firstRowLastColumn="0" w:lastRowFirstColumn="0" w:lastRowLastColumn="0"/>
              <w:rPr>
                <w:b/>
                <w:bCs/>
                <w:szCs w:val="24"/>
              </w:rPr>
            </w:pPr>
            <w:r w:rsidRPr="00B83A64">
              <w:rPr>
                <w:szCs w:val="24"/>
              </w:rPr>
              <w:t>1,675</w:t>
            </w:r>
          </w:p>
        </w:tc>
        <w:tc>
          <w:tcPr>
            <w:tcW w:w="1611" w:type="dxa"/>
            <w:hideMark/>
          </w:tcPr>
          <w:p w14:paraId="7B500ADD" w14:textId="3E6FC4E5" w:rsidR="007F2ADD" w:rsidRPr="00B83A64" w:rsidRDefault="007F2ADD">
            <w:pPr>
              <w:spacing w:line="300" w:lineRule="auto"/>
              <w:cnfStyle w:val="000000000000" w:firstRow="0" w:lastRow="0" w:firstColumn="0" w:lastColumn="0" w:oddVBand="0" w:evenVBand="0" w:oddHBand="0" w:evenHBand="0" w:firstRowFirstColumn="0" w:firstRowLastColumn="0" w:lastRowFirstColumn="0" w:lastRowLastColumn="0"/>
              <w:rPr>
                <w:b/>
                <w:bCs/>
                <w:szCs w:val="24"/>
              </w:rPr>
            </w:pPr>
            <w:r w:rsidRPr="00B83A64">
              <w:rPr>
                <w:szCs w:val="24"/>
              </w:rPr>
              <w:t>- 86</w:t>
            </w:r>
          </w:p>
        </w:tc>
      </w:tr>
    </w:tbl>
    <w:p w14:paraId="2F441320" w14:textId="77777777" w:rsidR="007F2ADD" w:rsidRDefault="007F2ADD" w:rsidP="00A441BA">
      <w:pPr>
        <w:pStyle w:val="11Bodytext"/>
        <w:numPr>
          <w:ilvl w:val="0"/>
          <w:numId w:val="0"/>
        </w:numPr>
        <w:spacing w:before="0"/>
        <w:ind w:left="794"/>
      </w:pPr>
      <w:r>
        <w:t xml:space="preserve">Source: Local Authorities Annual Monitoring Reports </w:t>
      </w:r>
    </w:p>
    <w:p w14:paraId="619E85CB" w14:textId="77777777" w:rsidR="007F2ADD" w:rsidRDefault="007F2ADD" w:rsidP="007D0FBF">
      <w:pPr>
        <w:pStyle w:val="11Bodytext"/>
        <w:numPr>
          <w:ilvl w:val="0"/>
          <w:numId w:val="0"/>
        </w:numPr>
        <w:ind w:left="794"/>
      </w:pPr>
      <w:r>
        <w:t xml:space="preserve">A * indicates that the 2019/2020 AMR has not been published and an estimation of the housing delivery has been taken from previous delivery trajectories. </w:t>
      </w:r>
    </w:p>
    <w:p w14:paraId="77D4B99C" w14:textId="77777777" w:rsidR="004F4BA7" w:rsidRDefault="004F4BA7">
      <w:pPr>
        <w:spacing w:after="200"/>
        <w:rPr>
          <w:bCs/>
          <w:sz w:val="24"/>
          <w:szCs w:val="24"/>
        </w:rPr>
      </w:pPr>
      <w:r>
        <w:br w:type="page"/>
      </w:r>
    </w:p>
    <w:p w14:paraId="197FAE6A" w14:textId="177B7F70" w:rsidR="007F2ADD" w:rsidRDefault="007F2ADD" w:rsidP="007D0FBF">
      <w:pPr>
        <w:pStyle w:val="11Bodytext"/>
      </w:pPr>
      <w:r>
        <w:lastRenderedPageBreak/>
        <w:t xml:space="preserve">Across the HMA, the average number of dwellings completed per annum was 3,598 whereas the aggregate annual HMA target was 4,461 dwellings per annum, showing an under-supply in housing delivery of -863 dwellings per annum since 2011. </w:t>
      </w:r>
    </w:p>
    <w:p w14:paraId="50900FE1" w14:textId="4B8C8F5D" w:rsidR="007F2ADD" w:rsidRPr="00AB3F1A" w:rsidRDefault="007F2ADD" w:rsidP="007D0FBF">
      <w:pPr>
        <w:pStyle w:val="11Bodytext"/>
      </w:pPr>
      <w:r>
        <w:t xml:space="preserve">The figure below illustrates housing delivery on an annual basis and includes the expected trajectory for 2019/2020 housing delivery for Cambridge, East </w:t>
      </w:r>
      <w:proofErr w:type="gramStart"/>
      <w:r>
        <w:t>Cambridgeshire</w:t>
      </w:r>
      <w:proofErr w:type="gramEnd"/>
      <w:r>
        <w:t xml:space="preserve"> and South Cambridgeshire where they AMRs have not been published. As illustrated, only in 2018-19 has the HMA met the housing target of 4,461 houses by delivering 4,556.</w:t>
      </w:r>
    </w:p>
    <w:p w14:paraId="41BDFD03" w14:textId="58560A89" w:rsidR="007F2ADD" w:rsidRDefault="007F2ADD" w:rsidP="003D5E23">
      <w:pPr>
        <w:pStyle w:val="FigureHeading"/>
      </w:pPr>
      <w:r>
        <w:t>Dwelling Completions 2011/12-2019/2020</w:t>
      </w:r>
      <w:r w:rsidR="00A441BA">
        <w:t xml:space="preserve">     </w:t>
      </w:r>
      <w:r>
        <w:rPr>
          <w:noProof/>
        </w:rPr>
        <w:drawing>
          <wp:inline distT="0" distB="0" distL="0" distR="0" wp14:anchorId="7E4D3A82" wp14:editId="5F3CFB58">
            <wp:extent cx="5266690" cy="4762195"/>
            <wp:effectExtent l="0" t="0" r="10160" b="635"/>
            <wp:docPr id="200" name="Chart 200" descr="bar chart showing dwelling completions 2011/12 - 2019/20">
              <a:extLst xmlns:a="http://schemas.openxmlformats.org/drawingml/2006/main">
                <a:ext uri="{FF2B5EF4-FFF2-40B4-BE49-F238E27FC236}">
                  <a16:creationId xmlns:a16="http://schemas.microsoft.com/office/drawing/2014/main" id="{31D572AC-769B-4C36-9DEF-FF1BCC248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A02080" w14:textId="77777777" w:rsidR="007F2ADD" w:rsidRPr="00A441BA" w:rsidRDefault="007F2ADD" w:rsidP="007F2ADD">
      <w:pPr>
        <w:pStyle w:val="BodyText1"/>
        <w:spacing w:after="120"/>
        <w:ind w:firstLine="794"/>
        <w:rPr>
          <w:sz w:val="24"/>
          <w:szCs w:val="24"/>
        </w:rPr>
      </w:pPr>
      <w:r w:rsidRPr="00A441BA">
        <w:rPr>
          <w:sz w:val="24"/>
          <w:szCs w:val="24"/>
        </w:rPr>
        <w:t>Source: Local Authorities Annual Monitoring Reports</w:t>
      </w:r>
    </w:p>
    <w:p w14:paraId="0A0BA220" w14:textId="77777777" w:rsidR="007F2ADD" w:rsidRDefault="007F2ADD" w:rsidP="007D0FBF">
      <w:pPr>
        <w:pStyle w:val="11Bodytext"/>
      </w:pPr>
      <w:r>
        <w:lastRenderedPageBreak/>
        <w:t xml:space="preserve">Since 2011, Cambridge has surpassed its housing target to deliver 700 homes per annum 6 years in a row. However, as set out in the 2018 adopted Cambridge Local Plan, the development strategy for Cambridge is anticipated to deliver more housing in the early and middle part of the plan period, with South Cambridgeshire delivering a greater number of housing in the middle and latter part of the plan period.   </w:t>
      </w:r>
    </w:p>
    <w:p w14:paraId="7B574E02" w14:textId="77777777" w:rsidR="007F2ADD" w:rsidRDefault="007F2ADD" w:rsidP="007D0FBF">
      <w:pPr>
        <w:pStyle w:val="11Bodytext"/>
      </w:pPr>
      <w:r>
        <w:t xml:space="preserve">It is only within the last two recorded year (2018/19 and 2019/20) that South Cambridgeshire, West </w:t>
      </w:r>
      <w:proofErr w:type="gramStart"/>
      <w:r>
        <w:t>Suffolk</w:t>
      </w:r>
      <w:proofErr w:type="gramEnd"/>
      <w:r>
        <w:t xml:space="preserve"> and Huntingdonshire have surpassed their housing target. Of which Huntingdonshire has delivered over 1,000 homes for both years exceeding their housing target of 804 homes per year by over an additional 200 homes per annum. </w:t>
      </w:r>
    </w:p>
    <w:p w14:paraId="2F0E72FD" w14:textId="77777777" w:rsidR="00A441BA" w:rsidRDefault="007F2ADD" w:rsidP="00E164AB">
      <w:pPr>
        <w:pStyle w:val="11Bodytext"/>
      </w:pPr>
      <w:r>
        <w:t xml:space="preserve">East Cambridgeshire is the only Local Authority area to consistently deliver less housing than their housing target of 575 homes per annum. </w:t>
      </w:r>
    </w:p>
    <w:p w14:paraId="65E27C9E" w14:textId="6AD2AB9C" w:rsidR="007F2ADD" w:rsidRDefault="007F2ADD" w:rsidP="00A441BA">
      <w:pPr>
        <w:pStyle w:val="Heading2"/>
      </w:pPr>
      <w:r w:rsidRPr="00A441BA">
        <w:rPr>
          <w:rStyle w:val="Heading3Char"/>
        </w:rPr>
        <w:t>Qualitative Analysis - Local Agent Consultation</w:t>
      </w:r>
      <w:r>
        <w:t xml:space="preserve"> </w:t>
      </w:r>
    </w:p>
    <w:p w14:paraId="3CD3AAD7" w14:textId="77777777" w:rsidR="007F2ADD" w:rsidRDefault="007F2ADD" w:rsidP="007D0FBF">
      <w:pPr>
        <w:pStyle w:val="11Bodytext"/>
      </w:pPr>
      <w:r>
        <w:t xml:space="preserve">This sub-section outlines the key findings of the consultation with local housing agents in the HMA. This engagement exercise aimed to supplement the quantitative findings from the above analysis with a better understanding of the market drivers and local market dynamics. Discussions were held with local estate agents across all the local authorities in mid-February 2020 and before the onset of the Covid-19 pandemic. </w:t>
      </w:r>
    </w:p>
    <w:p w14:paraId="1F4DD419" w14:textId="77777777" w:rsidR="007F2ADD" w:rsidRDefault="007F2ADD" w:rsidP="007D0FBF">
      <w:pPr>
        <w:pStyle w:val="11Bodytext"/>
      </w:pPr>
      <w:r>
        <w:t>It should be stressed that these consultation findings are anecdotal and may not reflect the empirical evidence set out elsewhere in this report. It is also reflective of the respondents' experience which may not be the case for all agents, for example, agents might only deal with the very top or bottom of the market and their responses might reflect this. The findings are presented below by each local authority.</w:t>
      </w:r>
    </w:p>
    <w:p w14:paraId="13C4815D" w14:textId="77777777" w:rsidR="004F4BA7" w:rsidRDefault="004F4BA7">
      <w:pPr>
        <w:spacing w:after="200"/>
        <w:rPr>
          <w:b/>
          <w:bCs/>
          <w:sz w:val="24"/>
          <w:szCs w:val="22"/>
        </w:rPr>
      </w:pPr>
      <w:r>
        <w:br w:type="page"/>
      </w:r>
    </w:p>
    <w:p w14:paraId="07CE7C55" w14:textId="6129984C" w:rsidR="007F2ADD" w:rsidRDefault="007F2ADD" w:rsidP="007D0FBF">
      <w:pPr>
        <w:pStyle w:val="Heading3"/>
      </w:pPr>
      <w:r>
        <w:lastRenderedPageBreak/>
        <w:t xml:space="preserve">Cambridge </w:t>
      </w:r>
    </w:p>
    <w:p w14:paraId="178473AA" w14:textId="77777777" w:rsidR="007F2ADD" w:rsidRPr="004B1D93" w:rsidRDefault="007F2ADD" w:rsidP="007F2ADD">
      <w:pPr>
        <w:spacing w:after="200"/>
        <w:ind w:firstLine="794"/>
        <w:rPr>
          <w:i/>
          <w:sz w:val="24"/>
          <w:szCs w:val="24"/>
        </w:rPr>
      </w:pPr>
      <w:r w:rsidRPr="004B1D93">
        <w:rPr>
          <w:i/>
          <w:sz w:val="24"/>
          <w:szCs w:val="24"/>
        </w:rPr>
        <w:t xml:space="preserve">Agencies: </w:t>
      </w:r>
      <w:proofErr w:type="spellStart"/>
      <w:r w:rsidRPr="004B1D93">
        <w:rPr>
          <w:i/>
          <w:sz w:val="24"/>
          <w:szCs w:val="24"/>
        </w:rPr>
        <w:t>Hockeys</w:t>
      </w:r>
      <w:proofErr w:type="spellEnd"/>
      <w:r w:rsidRPr="004B1D93">
        <w:rPr>
          <w:i/>
          <w:sz w:val="24"/>
          <w:szCs w:val="24"/>
        </w:rPr>
        <w:t xml:space="preserve"> and Vincent Shaw </w:t>
      </w:r>
    </w:p>
    <w:p w14:paraId="4F560FBB" w14:textId="77777777" w:rsidR="007F2ADD" w:rsidRDefault="007F2ADD" w:rsidP="007D0FBF">
      <w:pPr>
        <w:pStyle w:val="11Bodytext"/>
      </w:pPr>
      <w:r>
        <w:t xml:space="preserve">In terms of sales, the City has a very strong market with homes constantly achieving prices at or just below the asking price. </w:t>
      </w:r>
    </w:p>
    <w:p w14:paraId="33A66402" w14:textId="77777777" w:rsidR="007F2ADD" w:rsidRDefault="007F2ADD" w:rsidP="007D0FBF">
      <w:pPr>
        <w:pStyle w:val="11Bodytext"/>
      </w:pPr>
      <w:r>
        <w:t xml:space="preserve">There has been a notable increase in demand at the lower end of the market compared to the previous year (2019). This is typically from students, young professionals particularly medical workers, and young families in the area looking for 2 and 3-bedroom properties around the £300,000 price mark. Agents express a lack of interest from older people in the Central area as they tend to locate at the outskirts of the City and in surrounding areas. </w:t>
      </w:r>
    </w:p>
    <w:p w14:paraId="115769DC" w14:textId="77777777" w:rsidR="007F2ADD" w:rsidRDefault="007F2ADD" w:rsidP="007D0FBF">
      <w:pPr>
        <w:pStyle w:val="11Bodytext"/>
      </w:pPr>
      <w:r>
        <w:t xml:space="preserve">Cambridge has a strong investor demand with buy to lets being very popular. This is because of the large tenant base from students and young professionals making the Cambridge market very attractive. </w:t>
      </w:r>
    </w:p>
    <w:p w14:paraId="6184DB30" w14:textId="77777777" w:rsidR="007F2ADD" w:rsidRDefault="007F2ADD" w:rsidP="007D0FBF">
      <w:pPr>
        <w:pStyle w:val="11Bodytext"/>
      </w:pPr>
      <w:r>
        <w:t xml:space="preserve">The rental market in Cambridge shows strong demand throughout the year and seasonal demand from students from both the University of Cambridge and Anglia Ruskin University. Student priorities include a central location close to their faculty and in proximity to the City Centre or with good transport links. </w:t>
      </w:r>
    </w:p>
    <w:p w14:paraId="40D9981B" w14:textId="77777777" w:rsidR="007F2ADD" w:rsidRDefault="007F2ADD" w:rsidP="007D0FBF">
      <w:pPr>
        <w:pStyle w:val="11Bodytext"/>
      </w:pPr>
      <w:r>
        <w:t xml:space="preserve">Depending on the size and quality of the private rented accommodation, rents are typically between £450 and £550 per room per month for students. </w:t>
      </w:r>
    </w:p>
    <w:p w14:paraId="76AD0B36" w14:textId="77777777" w:rsidR="007F2ADD" w:rsidRDefault="007F2ADD" w:rsidP="007D0FBF">
      <w:pPr>
        <w:pStyle w:val="Heading3"/>
      </w:pPr>
      <w:r>
        <w:t xml:space="preserve">South Cambridgeshire </w:t>
      </w:r>
    </w:p>
    <w:p w14:paraId="67941ACA" w14:textId="129536FE" w:rsidR="007F2ADD" w:rsidRPr="004B1D93" w:rsidRDefault="007F2ADD" w:rsidP="007F2ADD">
      <w:pPr>
        <w:spacing w:after="200"/>
        <w:ind w:firstLine="794"/>
        <w:rPr>
          <w:bCs/>
          <w:sz w:val="24"/>
          <w:szCs w:val="24"/>
        </w:rPr>
      </w:pPr>
      <w:r w:rsidRPr="004B1D93">
        <w:rPr>
          <w:i/>
          <w:sz w:val="24"/>
          <w:szCs w:val="24"/>
        </w:rPr>
        <w:t>Agencies: Wellington Wise and Bee-moving soon</w:t>
      </w:r>
      <w:r w:rsidRPr="004B1D93">
        <w:rPr>
          <w:bCs/>
          <w:sz w:val="24"/>
          <w:szCs w:val="24"/>
        </w:rPr>
        <w:t xml:space="preserve"> </w:t>
      </w:r>
    </w:p>
    <w:p w14:paraId="37D4A11C" w14:textId="77777777" w:rsidR="007F2ADD" w:rsidRDefault="007F2ADD" w:rsidP="007D0FBF">
      <w:pPr>
        <w:pStyle w:val="11Bodytext"/>
      </w:pPr>
      <w:r>
        <w:t xml:space="preserve">South Cambridgeshire’s housing market is experiencing high demand with buyers who are priced out of the City’s market looking for more affordable properties. The areas that are most popular with buyers are those with good transport links to Cambridge and the Science Parks. </w:t>
      </w:r>
    </w:p>
    <w:p w14:paraId="73356DF6" w14:textId="77777777" w:rsidR="007F2ADD" w:rsidRDefault="007F2ADD" w:rsidP="007D0FBF">
      <w:pPr>
        <w:pStyle w:val="11Bodytext"/>
      </w:pPr>
      <w:r>
        <w:t>Both agents noted strong demand for family-sized, 3-bed properties in South Cambridgeshire, with few properties coming onto the market and when they do, they tend to be sold/let reasonably quickly.</w:t>
      </w:r>
    </w:p>
    <w:p w14:paraId="63C85872" w14:textId="77777777" w:rsidR="007F2ADD" w:rsidRPr="00526C6E" w:rsidRDefault="007F2ADD" w:rsidP="007D0FBF">
      <w:pPr>
        <w:pStyle w:val="11Bodytext"/>
        <w:rPr>
          <w:b/>
        </w:rPr>
      </w:pPr>
      <w:r>
        <w:lastRenderedPageBreak/>
        <w:t xml:space="preserve">Volume housebuilders are noticing this demand and in response, there are a series of new-build developments in accessible locations such as a Taylor Wimpey developments at Cambourne and a Barratt Homes Development at </w:t>
      </w:r>
      <w:proofErr w:type="spellStart"/>
      <w:r>
        <w:t>Northstowe</w:t>
      </w:r>
      <w:proofErr w:type="spellEnd"/>
      <w:r>
        <w:t xml:space="preserve"> where there are also other housebuilders present. </w:t>
      </w:r>
    </w:p>
    <w:p w14:paraId="17F604C7" w14:textId="77777777" w:rsidR="007F2ADD" w:rsidRDefault="007F2ADD" w:rsidP="007D0FBF">
      <w:pPr>
        <w:pStyle w:val="Heading3"/>
      </w:pPr>
      <w:r>
        <w:t xml:space="preserve">East Cambridgeshire </w:t>
      </w:r>
    </w:p>
    <w:p w14:paraId="54220754" w14:textId="77777777" w:rsidR="007F2ADD" w:rsidRPr="004B1D93" w:rsidRDefault="007F2ADD" w:rsidP="007F2ADD">
      <w:pPr>
        <w:spacing w:after="200"/>
        <w:ind w:firstLine="794"/>
        <w:rPr>
          <w:i/>
          <w:sz w:val="24"/>
          <w:szCs w:val="24"/>
        </w:rPr>
      </w:pPr>
      <w:r w:rsidRPr="004B1D93">
        <w:rPr>
          <w:i/>
          <w:sz w:val="24"/>
          <w:szCs w:val="24"/>
        </w:rPr>
        <w:t xml:space="preserve">Agencies: </w:t>
      </w:r>
      <w:proofErr w:type="spellStart"/>
      <w:r w:rsidRPr="004B1D93">
        <w:rPr>
          <w:i/>
          <w:sz w:val="24"/>
          <w:szCs w:val="24"/>
        </w:rPr>
        <w:t>Haart</w:t>
      </w:r>
      <w:proofErr w:type="spellEnd"/>
      <w:r w:rsidRPr="004B1D93">
        <w:rPr>
          <w:i/>
          <w:sz w:val="24"/>
          <w:szCs w:val="24"/>
        </w:rPr>
        <w:t xml:space="preserve"> and </w:t>
      </w:r>
      <w:proofErr w:type="spellStart"/>
      <w:r w:rsidRPr="004B1D93">
        <w:rPr>
          <w:i/>
          <w:sz w:val="24"/>
          <w:szCs w:val="24"/>
        </w:rPr>
        <w:t>Keeleys</w:t>
      </w:r>
      <w:proofErr w:type="spellEnd"/>
      <w:r w:rsidRPr="004B1D93">
        <w:rPr>
          <w:i/>
          <w:sz w:val="24"/>
          <w:szCs w:val="24"/>
        </w:rPr>
        <w:t xml:space="preserve"> Letting </w:t>
      </w:r>
    </w:p>
    <w:p w14:paraId="388014D5" w14:textId="77777777" w:rsidR="007F2ADD" w:rsidRDefault="007F2ADD" w:rsidP="007D0FBF">
      <w:pPr>
        <w:pStyle w:val="11Bodytext"/>
      </w:pPr>
      <w:r>
        <w:t xml:space="preserve">Agents describe East Cambridgeshire’s demand as split between the Ely housing market and the market for other larger towns and the villages. Ely is popular with young families who commute into Cambridge and London enabled by the good train links, whereas the smaller villages offer larger and more expensive family homes. </w:t>
      </w:r>
    </w:p>
    <w:p w14:paraId="24ABF7C3" w14:textId="77777777" w:rsidR="007F2ADD" w:rsidRDefault="007F2ADD" w:rsidP="007D0FBF">
      <w:pPr>
        <w:pStyle w:val="11Bodytext"/>
      </w:pPr>
      <w:r>
        <w:t>The rental market is most prominent around Ely with 2 and 3 bedroom rental properties typically going for £850 per month with fewer rental properties as you move out of the Ely City Centre but often commanding a high price around £1,000 per month.</w:t>
      </w:r>
    </w:p>
    <w:p w14:paraId="744CB925" w14:textId="77777777" w:rsidR="007F2ADD" w:rsidRDefault="007F2ADD" w:rsidP="007D0FBF">
      <w:pPr>
        <w:pStyle w:val="Heading3"/>
      </w:pPr>
      <w:r>
        <w:t xml:space="preserve">Fenland </w:t>
      </w:r>
    </w:p>
    <w:p w14:paraId="3E67C152" w14:textId="77777777" w:rsidR="007F2ADD" w:rsidRPr="004B1D93" w:rsidRDefault="007F2ADD" w:rsidP="007F2ADD">
      <w:pPr>
        <w:spacing w:after="200"/>
        <w:ind w:firstLine="794"/>
        <w:rPr>
          <w:i/>
          <w:sz w:val="24"/>
          <w:szCs w:val="24"/>
        </w:rPr>
      </w:pPr>
      <w:r w:rsidRPr="004B1D93">
        <w:rPr>
          <w:i/>
          <w:sz w:val="24"/>
          <w:szCs w:val="24"/>
        </w:rPr>
        <w:t xml:space="preserve">Agencies: Ellis Winter and Co and Harrison Murray </w:t>
      </w:r>
    </w:p>
    <w:p w14:paraId="2D702A73" w14:textId="77777777" w:rsidR="007F2ADD" w:rsidRDefault="007F2ADD" w:rsidP="007D0FBF">
      <w:pPr>
        <w:pStyle w:val="11Bodytext"/>
      </w:pPr>
      <w:r>
        <w:t>Despite the variety of properties on the market, there is a lack of buyer demand within the area compared to the previous year. No reason was offered as to why.</w:t>
      </w:r>
    </w:p>
    <w:p w14:paraId="43195871" w14:textId="77777777" w:rsidR="007F2ADD" w:rsidRDefault="007F2ADD" w:rsidP="007D0FBF">
      <w:pPr>
        <w:pStyle w:val="11Bodytext"/>
      </w:pPr>
      <w:r>
        <w:t xml:space="preserve">There is some interest from buy to let investors in the area as people choose to live in Fenland and commute to both Cambridge and London. The buy to let investors are looking at capturing the demand for properties servicing this target group. </w:t>
      </w:r>
    </w:p>
    <w:p w14:paraId="3E62B8A6" w14:textId="77777777" w:rsidR="007F2ADD" w:rsidRDefault="007F2ADD" w:rsidP="007D0FBF">
      <w:pPr>
        <w:pStyle w:val="11Bodytext"/>
      </w:pPr>
      <w:r>
        <w:t xml:space="preserve">There have been some smaller developments in the area, but take-up has been mixed. The area has also seen some purpose-built elderly accommodation which has been well received. </w:t>
      </w:r>
    </w:p>
    <w:p w14:paraId="6C528AB9" w14:textId="77777777" w:rsidR="007F2ADD" w:rsidRDefault="007F2ADD" w:rsidP="007D0FBF">
      <w:pPr>
        <w:pStyle w:val="Heading3"/>
      </w:pPr>
      <w:r>
        <w:t xml:space="preserve">Huntingdonshire </w:t>
      </w:r>
    </w:p>
    <w:p w14:paraId="35A0D3EB" w14:textId="77777777" w:rsidR="007F2ADD" w:rsidRPr="004B1D93" w:rsidRDefault="007F2ADD" w:rsidP="007F2ADD">
      <w:pPr>
        <w:spacing w:after="200"/>
        <w:ind w:firstLine="794"/>
        <w:rPr>
          <w:i/>
          <w:sz w:val="24"/>
          <w:szCs w:val="24"/>
        </w:rPr>
      </w:pPr>
      <w:r w:rsidRPr="004B1D93">
        <w:rPr>
          <w:i/>
          <w:sz w:val="24"/>
          <w:szCs w:val="24"/>
        </w:rPr>
        <w:t xml:space="preserve">Agencies: Harvey Robinson and Leaders </w:t>
      </w:r>
    </w:p>
    <w:p w14:paraId="75EEA9D2" w14:textId="77777777" w:rsidR="007F2ADD" w:rsidRDefault="007F2ADD" w:rsidP="007D0FBF">
      <w:pPr>
        <w:pStyle w:val="11Bodytext"/>
      </w:pPr>
      <w:r>
        <w:lastRenderedPageBreak/>
        <w:t xml:space="preserve">The agents noted a large amount of interest for this time of year (February 2020) from people wanting to sell their properties and also from those looking to buy. The main reason agents gave for the increasing demand is due to the improvements to the A14 road link between Huntingdon and St Ives to Cambridge. This has allowed people to commute to Cambridge a lot faster than previously. </w:t>
      </w:r>
    </w:p>
    <w:p w14:paraId="5FF5DA1E" w14:textId="77777777" w:rsidR="007F2ADD" w:rsidRDefault="007F2ADD" w:rsidP="007D0FBF">
      <w:pPr>
        <w:pStyle w:val="11Bodytext"/>
      </w:pPr>
      <w:r>
        <w:t xml:space="preserve">Agents noted that there is geography to the districts housing market with the south of the district seeing increased demand and as a result demanding a high price point than the north of the region. The increasing demand for properties in the south of the region is coming from both people migrating out of Cambridge and also people leaving London. </w:t>
      </w:r>
    </w:p>
    <w:p w14:paraId="75BDA269" w14:textId="77777777" w:rsidR="007F2ADD" w:rsidRDefault="007F2ADD" w:rsidP="007D0FBF">
      <w:pPr>
        <w:pStyle w:val="11Bodytext"/>
      </w:pPr>
      <w:r>
        <w:t>The area is now attractive to young commuters who can buy a home easier in Huntingdonshire than in Cambridge with 1-bedroom properties demanding around £150,000 and 2-bedroom properties going for £225,000.</w:t>
      </w:r>
    </w:p>
    <w:p w14:paraId="070C9D78" w14:textId="5804C7C3" w:rsidR="007F2ADD" w:rsidRDefault="007F2ADD" w:rsidP="007D0FBF">
      <w:pPr>
        <w:pStyle w:val="11Bodytext"/>
      </w:pPr>
      <w:r>
        <w:t xml:space="preserve">Letting agents stated that the districts RAF bases do not inflate the local rental market as new </w:t>
      </w:r>
      <w:r w:rsidR="00382AE7">
        <w:t>service personnel</w:t>
      </w:r>
      <w:r>
        <w:t xml:space="preserve"> and women are arriving throughout the year. Typically, an RAF personnel would look for a rented property within a 30-minute drive of their RAF based. Agents stated that due to the housing allowance (thought to be over £1,000), an RAF personnel looks for larger properties with lots of space and storage.   </w:t>
      </w:r>
    </w:p>
    <w:p w14:paraId="0A01B9DF" w14:textId="77777777" w:rsidR="007F2ADD" w:rsidRDefault="007F2ADD" w:rsidP="007D0FBF">
      <w:pPr>
        <w:pStyle w:val="Heading3"/>
      </w:pPr>
      <w:r>
        <w:t>West Suffolk</w:t>
      </w:r>
    </w:p>
    <w:p w14:paraId="7F44591B" w14:textId="77777777" w:rsidR="007F2ADD" w:rsidRPr="004B1D93" w:rsidRDefault="007F2ADD" w:rsidP="007F2ADD">
      <w:pPr>
        <w:spacing w:after="200"/>
        <w:ind w:firstLine="794"/>
        <w:rPr>
          <w:i/>
          <w:sz w:val="24"/>
          <w:szCs w:val="24"/>
        </w:rPr>
      </w:pPr>
      <w:r w:rsidRPr="004B1D93">
        <w:rPr>
          <w:i/>
          <w:sz w:val="24"/>
          <w:szCs w:val="24"/>
        </w:rPr>
        <w:t xml:space="preserve">Agencies: </w:t>
      </w:r>
      <w:proofErr w:type="spellStart"/>
      <w:r w:rsidRPr="004B1D93">
        <w:rPr>
          <w:i/>
          <w:sz w:val="24"/>
          <w:szCs w:val="24"/>
        </w:rPr>
        <w:t>Bedfords</w:t>
      </w:r>
      <w:proofErr w:type="spellEnd"/>
      <w:r w:rsidRPr="004B1D93">
        <w:rPr>
          <w:i/>
          <w:sz w:val="24"/>
          <w:szCs w:val="24"/>
        </w:rPr>
        <w:t xml:space="preserve">, Mark Ewin, Grant Berry, and </w:t>
      </w:r>
      <w:proofErr w:type="spellStart"/>
      <w:r w:rsidRPr="004B1D93">
        <w:rPr>
          <w:i/>
          <w:sz w:val="24"/>
          <w:szCs w:val="24"/>
        </w:rPr>
        <w:t>Balmforth</w:t>
      </w:r>
      <w:proofErr w:type="spellEnd"/>
      <w:r w:rsidRPr="004B1D93">
        <w:rPr>
          <w:i/>
          <w:sz w:val="24"/>
          <w:szCs w:val="24"/>
        </w:rPr>
        <w:t xml:space="preserve"> </w:t>
      </w:r>
    </w:p>
    <w:p w14:paraId="7C1B4A61" w14:textId="77777777" w:rsidR="007F2ADD" w:rsidRDefault="007F2ADD" w:rsidP="007D0FBF">
      <w:pPr>
        <w:pStyle w:val="11Bodytext"/>
      </w:pPr>
      <w:r>
        <w:t xml:space="preserve">All agents spoke of an optimistic marketplace with increasing demand since the new year. The buyer demand was noted to come from the overspill of the Cambridge market as well as the wider geography of Essex and Hertfordshire where buyers are looking to get more for their money. The profile of buyers is mixed and range from first-time buyers to people looking to downsize. </w:t>
      </w:r>
    </w:p>
    <w:p w14:paraId="3E0168E5" w14:textId="4A707129" w:rsidR="007F2ADD" w:rsidRDefault="007F2ADD" w:rsidP="007D0FBF">
      <w:pPr>
        <w:pStyle w:val="11Bodytext"/>
      </w:pPr>
      <w:r>
        <w:t xml:space="preserve">Across the former </w:t>
      </w:r>
      <w:proofErr w:type="spellStart"/>
      <w:r w:rsidR="00313287">
        <w:t>former</w:t>
      </w:r>
      <w:proofErr w:type="spellEnd"/>
      <w:r w:rsidR="00313287">
        <w:t xml:space="preserve"> St Edmundsbury </w:t>
      </w:r>
      <w:r>
        <w:t xml:space="preserve">market, there is discrete geography in the property market with properties for sale within Bury St Edmunds being popular for the amenities on offer but are notably smaller in size due to their more urban </w:t>
      </w:r>
      <w:r>
        <w:lastRenderedPageBreak/>
        <w:t xml:space="preserve">location. As you move away from the town and into villages properties command a slightly higher price as they increase in size and land. </w:t>
      </w:r>
    </w:p>
    <w:p w14:paraId="5721E432" w14:textId="56B20C42" w:rsidR="007F2ADD" w:rsidRDefault="007F2ADD" w:rsidP="007D0FBF">
      <w:pPr>
        <w:pStyle w:val="11Bodytext"/>
      </w:pPr>
      <w:r>
        <w:t xml:space="preserve">The former </w:t>
      </w:r>
      <w:proofErr w:type="spellStart"/>
      <w:r w:rsidR="00313287">
        <w:t>former</w:t>
      </w:r>
      <w:proofErr w:type="spellEnd"/>
      <w:r w:rsidR="00313287">
        <w:t xml:space="preserve"> Forest </w:t>
      </w:r>
      <w:proofErr w:type="spellStart"/>
      <w:r w:rsidR="00313287">
        <w:t>Heath</w:t>
      </w:r>
      <w:r>
        <w:t>market</w:t>
      </w:r>
      <w:proofErr w:type="spellEnd"/>
      <w:r>
        <w:t xml:space="preserve"> is particularly unique as there are two US Air Force bases within an 8-mile radius. Agents suggest that the rental market close to the airbases, including Mildenhall and Lakenheath, attract particular investment interest and rental prices are on the high end of the market. </w:t>
      </w:r>
    </w:p>
    <w:p w14:paraId="4A3C252F" w14:textId="77777777" w:rsidR="007F2ADD" w:rsidRDefault="007F2ADD" w:rsidP="007D0FBF">
      <w:pPr>
        <w:pStyle w:val="11Bodytext"/>
      </w:pPr>
      <w:r>
        <w:t>The agents explained that when a USAF serviceman achieves a certain higher rank (</w:t>
      </w:r>
      <w:proofErr w:type="gramStart"/>
      <w:r>
        <w:t>i.e.</w:t>
      </w:r>
      <w:proofErr w:type="gramEnd"/>
      <w:r>
        <w:t xml:space="preserve"> is promoted to a specific level), they can live off base and often choose to rent in the above areas (Mildenhall and Lakenheath). </w:t>
      </w:r>
    </w:p>
    <w:p w14:paraId="006B5FCF" w14:textId="078D1C11" w:rsidR="007F2ADD" w:rsidRDefault="007F2ADD" w:rsidP="007D0FBF">
      <w:pPr>
        <w:pStyle w:val="11Bodytext"/>
      </w:pPr>
      <w:r>
        <w:t xml:space="preserve">Typical rents across the district are around £750 per month. But since the military rental allowance </w:t>
      </w:r>
      <w:r w:rsidR="0046148E">
        <w:t xml:space="preserve">(understood to be in the region of </w:t>
      </w:r>
      <w:r>
        <w:t>£1,100</w:t>
      </w:r>
      <w:r w:rsidR="0046148E">
        <w:t xml:space="preserve"> - £1,300</w:t>
      </w:r>
      <w:r>
        <w:t xml:space="preserve"> per month</w:t>
      </w:r>
      <w:r w:rsidR="0046148E">
        <w:t>)</w:t>
      </w:r>
      <w:r>
        <w:t xml:space="preserve"> is well-known across the market, we see higher “military rents” in areas close to the bases. </w:t>
      </w:r>
    </w:p>
    <w:p w14:paraId="3247329C" w14:textId="77777777" w:rsidR="007F2ADD" w:rsidRDefault="007F2ADD" w:rsidP="007D0FBF">
      <w:pPr>
        <w:pStyle w:val="11Bodytext"/>
      </w:pPr>
      <w:r>
        <w:t>We have also spoken to a representative of the MOD and USAFE and they highlighted that their presence has distorted the market as landlords can charge up to the military allowance rather than the true value of the property. As a result, many non-military personnel are priced out of the market.</w:t>
      </w:r>
    </w:p>
    <w:p w14:paraId="35472425" w14:textId="35910050" w:rsidR="00BA738C" w:rsidRPr="007D6B02" w:rsidRDefault="00BA738C" w:rsidP="007D6B02">
      <w:pPr>
        <w:spacing w:after="200"/>
        <w:rPr>
          <w:rFonts w:asciiTheme="minorHAnsi" w:hAnsiTheme="minorHAnsi" w:cstheme="minorHAnsi"/>
          <w:bCs/>
        </w:rPr>
      </w:pPr>
    </w:p>
    <w:tbl>
      <w:tblPr>
        <w:tblStyle w:val="TableGrid"/>
        <w:tblpPr w:leftFromText="180" w:rightFromText="180" w:vertAnchor="text" w:horzAnchor="margin" w:tblpX="544" w:tblpY="79"/>
        <w:tblW w:w="8908" w:type="dxa"/>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Pr>
      <w:tblGrid>
        <w:gridCol w:w="8908"/>
      </w:tblGrid>
      <w:tr w:rsidR="00BA738C" w:rsidRPr="00CA47B9" w14:paraId="3BE96851" w14:textId="77777777" w:rsidTr="004F4BA7">
        <w:trPr>
          <w:cantSplit/>
          <w:trHeight w:val="7049"/>
        </w:trPr>
        <w:tc>
          <w:tcPr>
            <w:tcW w:w="8908" w:type="dxa"/>
          </w:tcPr>
          <w:p w14:paraId="05426CC5" w14:textId="0C23DD9E" w:rsidR="00BA738C" w:rsidRPr="007D0FBF" w:rsidRDefault="0055692A" w:rsidP="007D0FBF">
            <w:pPr>
              <w:ind w:left="426" w:hanging="426"/>
              <w:rPr>
                <w:b/>
                <w:bCs/>
                <w:sz w:val="24"/>
                <w:szCs w:val="24"/>
              </w:rPr>
            </w:pPr>
            <w:bookmarkStart w:id="17" w:name="_Hlk53554900"/>
            <w:r w:rsidRPr="007D0FBF">
              <w:rPr>
                <w:b/>
                <w:bCs/>
                <w:sz w:val="24"/>
                <w:szCs w:val="24"/>
              </w:rPr>
              <w:lastRenderedPageBreak/>
              <w:t>Market Signals -</w:t>
            </w:r>
            <w:r w:rsidR="00CA0F24" w:rsidRPr="007D0FBF">
              <w:rPr>
                <w:b/>
                <w:bCs/>
                <w:sz w:val="24"/>
                <w:szCs w:val="24"/>
              </w:rPr>
              <w:t xml:space="preserve"> </w:t>
            </w:r>
            <w:r w:rsidR="003477B6" w:rsidRPr="007D0FBF">
              <w:rPr>
                <w:b/>
                <w:bCs/>
                <w:sz w:val="24"/>
                <w:szCs w:val="24"/>
              </w:rPr>
              <w:t>Key Messages and Recommendations</w:t>
            </w:r>
          </w:p>
          <w:p w14:paraId="6053866D" w14:textId="77777777" w:rsidR="0055692A" w:rsidRDefault="0055692A" w:rsidP="007228D6"/>
          <w:bookmarkEnd w:id="17"/>
          <w:p w14:paraId="27F4FA7C" w14:textId="77777777" w:rsidR="007F2ADD" w:rsidRDefault="007F2ADD" w:rsidP="00097650">
            <w:pPr>
              <w:pStyle w:val="10BulletBodytext"/>
            </w:pPr>
            <w:r>
              <w:t xml:space="preserve">The housing market is very strong across most of the HMA with Cambridge City seen as a prime market location. The ‘Fenland’ area, covering most of Fenland District and the northern part of East Cambridgeshire has a much weaker market. </w:t>
            </w:r>
          </w:p>
          <w:p w14:paraId="5DB085FC" w14:textId="77777777" w:rsidR="007F2ADD" w:rsidRDefault="007F2ADD" w:rsidP="00097650">
            <w:pPr>
              <w:pStyle w:val="10BulletBodytext"/>
            </w:pPr>
            <w:r>
              <w:t>The median house price in the HMA is £297,000 which is 29% above the national median and 5% above the regional median. There are wide variations within the HMA with the median house price in Fenland being £184,000 and in Cambridge £440,000.</w:t>
            </w:r>
          </w:p>
          <w:p w14:paraId="20CEED03" w14:textId="77777777" w:rsidR="007F2ADD" w:rsidRDefault="007F2ADD" w:rsidP="00097650">
            <w:pPr>
              <w:pStyle w:val="10BulletBodytext"/>
            </w:pPr>
            <w:r>
              <w:t>Over the last 5 years, on average median house prices have increased by 21% across the HMAs local authorities, compared to 15% nationally, and 18% regionally.  Median house price growth in Cambridgeshire and West Suffolk has exceeded the regional and national equivalents over the last 10 and 15 years.</w:t>
            </w:r>
          </w:p>
          <w:p w14:paraId="406E07C6" w14:textId="3E474743" w:rsidR="007F2ADD" w:rsidRDefault="007F2ADD" w:rsidP="00097650">
            <w:pPr>
              <w:pStyle w:val="10BulletBodytext"/>
            </w:pPr>
            <w:r>
              <w:t>At £859 per month, the local authorities’ in the HMA average median rent is significantly higher than the national (£</w:t>
            </w:r>
            <w:r w:rsidR="002548BF">
              <w:t>6</w:t>
            </w:r>
            <w:r>
              <w:t>95) and regional (£</w:t>
            </w:r>
            <w:r w:rsidR="00DC1C12">
              <w:t>7</w:t>
            </w:r>
            <w:r>
              <w:t xml:space="preserve">95) equivalents. Again there is also a large range within the HMA with the City of Cambridge median at £1,200 whilst in Fenland it is £600. </w:t>
            </w:r>
          </w:p>
          <w:p w14:paraId="54959F7A" w14:textId="77777777" w:rsidR="007F2ADD" w:rsidRDefault="007F2ADD" w:rsidP="00097650">
            <w:pPr>
              <w:pStyle w:val="10BulletBodytext"/>
            </w:pPr>
            <w:r>
              <w:t xml:space="preserve">Between 2001 and 2011 the HMA has seen the proportion of residents living in over-occupied properties increase by 37.3%. This is greater than the equivalent growth seen nationally (32.3%) and regionally (35.6%). </w:t>
            </w:r>
          </w:p>
          <w:p w14:paraId="186A439E" w14:textId="3DC67366" w:rsidR="007F2ADD" w:rsidRDefault="007F2ADD" w:rsidP="00097650">
            <w:pPr>
              <w:pStyle w:val="10BulletBodytext"/>
            </w:pPr>
            <w:r>
              <w:t>Affordability ratios highlight affordability pressures across the HMA and the averages are above the regional and national equivalents.  The high affordability issues across the HMA are intended to be addressed through the fulfilment of standard method-based housing targets (particularly Step 2) so no further response is required.</w:t>
            </w:r>
          </w:p>
          <w:p w14:paraId="0145DFB5" w14:textId="59AFE692" w:rsidR="00E03E37" w:rsidRDefault="00E03E37" w:rsidP="00097650">
            <w:pPr>
              <w:pStyle w:val="10BulletBodytext"/>
            </w:pPr>
            <w:r>
              <w:t xml:space="preserve">There is some evidence that rent allowances received by military personnel in the </w:t>
            </w:r>
            <w:r w:rsidR="00313287">
              <w:t xml:space="preserve">former Forest Heath </w:t>
            </w:r>
            <w:r>
              <w:t xml:space="preserve">area exert an upward pressure on rents, particularly for family housing. </w:t>
            </w:r>
          </w:p>
          <w:p w14:paraId="57E65F78" w14:textId="0C1CEECC" w:rsidR="00D8138C" w:rsidRPr="00CA47B9" w:rsidRDefault="00D8138C" w:rsidP="00097650">
            <w:pPr>
              <w:pStyle w:val="10BulletBodytext"/>
              <w:numPr>
                <w:ilvl w:val="0"/>
                <w:numId w:val="0"/>
              </w:numPr>
              <w:ind w:left="721"/>
            </w:pPr>
          </w:p>
        </w:tc>
      </w:tr>
    </w:tbl>
    <w:p w14:paraId="0453D095" w14:textId="77777777" w:rsidR="00BA738C" w:rsidRPr="00CA47B9" w:rsidRDefault="00BA738C" w:rsidP="007D0FBF">
      <w:pPr>
        <w:pStyle w:val="11Bodytext"/>
        <w:numPr>
          <w:ilvl w:val="0"/>
          <w:numId w:val="0"/>
        </w:numPr>
      </w:pPr>
    </w:p>
    <w:p w14:paraId="1E759FD9" w14:textId="77777777" w:rsidR="00BA738C" w:rsidRPr="00CA47B9" w:rsidRDefault="00BA738C" w:rsidP="007D0FBF">
      <w:pPr>
        <w:pStyle w:val="11Bodytext"/>
        <w:numPr>
          <w:ilvl w:val="0"/>
          <w:numId w:val="0"/>
        </w:numPr>
        <w:ind w:left="794"/>
      </w:pPr>
      <w:r w:rsidRPr="00CA47B9">
        <w:t xml:space="preserve"> </w:t>
      </w:r>
    </w:p>
    <w:p w14:paraId="7075BFEE" w14:textId="77777777" w:rsidR="00CF1C57" w:rsidRDefault="00CF1C57">
      <w:pPr>
        <w:spacing w:after="200"/>
        <w:rPr>
          <w:bCs/>
        </w:rPr>
      </w:pPr>
      <w:r>
        <w:br w:type="page"/>
      </w:r>
    </w:p>
    <w:p w14:paraId="7050FBD4" w14:textId="60720AEC" w:rsidR="00BB0B7C" w:rsidRDefault="007D0FBF" w:rsidP="007D0FBF">
      <w:pPr>
        <w:pStyle w:val="Heading1"/>
      </w:pPr>
      <w:bookmarkStart w:id="18" w:name="_Toc79590822"/>
      <w:r>
        <w:lastRenderedPageBreak/>
        <w:t>L</w:t>
      </w:r>
      <w:r w:rsidR="0033794B">
        <w:t xml:space="preserve">ocal </w:t>
      </w:r>
      <w:r w:rsidR="00440B9F">
        <w:t>Housing need</w:t>
      </w:r>
      <w:r w:rsidR="00E40814">
        <w:t xml:space="preserve"> and population growth</w:t>
      </w:r>
      <w:bookmarkEnd w:id="18"/>
    </w:p>
    <w:p w14:paraId="727A3EFB" w14:textId="33DC87B1" w:rsidR="00A13819" w:rsidRDefault="00A13819" w:rsidP="007D0FBF">
      <w:pPr>
        <w:pStyle w:val="11Bodytext"/>
      </w:pPr>
      <w:bookmarkStart w:id="19" w:name="_Toc536604586"/>
      <w:r>
        <w:t>The assessment of local housing need through the standard method is a three-stage process. This is set out in the Planning Practice Guidance (PPG) relating to Housing and Economic Needs Assessments</w:t>
      </w:r>
      <w:r w:rsidR="0046148E">
        <w:t xml:space="preserve">. Since its introduction the standard method has been revised </w:t>
      </w:r>
      <w:r>
        <w:t>in February 2019</w:t>
      </w:r>
      <w:r w:rsidR="0046148E">
        <w:t xml:space="preserve"> and December 2020. </w:t>
      </w:r>
    </w:p>
    <w:p w14:paraId="56CF26AF" w14:textId="77777777" w:rsidR="00A13819" w:rsidRDefault="00A13819" w:rsidP="007D0FBF">
      <w:pPr>
        <w:pStyle w:val="Heading2"/>
      </w:pPr>
      <w:r>
        <w:t>Standard Method</w:t>
      </w:r>
    </w:p>
    <w:p w14:paraId="640BD905" w14:textId="77777777" w:rsidR="00A13819" w:rsidRDefault="00A13819" w:rsidP="007D0FBF">
      <w:pPr>
        <w:pStyle w:val="11Bodytext"/>
      </w:pPr>
      <w:r>
        <w:t>The standard method seeks to simplify the approach to housing need and has three steps:</w:t>
      </w:r>
    </w:p>
    <w:p w14:paraId="35917FAA" w14:textId="77777777" w:rsidR="00A13819" w:rsidRDefault="00A13819" w:rsidP="00097650">
      <w:pPr>
        <w:pStyle w:val="10BulletBodytext"/>
      </w:pPr>
      <w:r>
        <w:rPr>
          <w:b/>
        </w:rPr>
        <w:t>Step 1</w:t>
      </w:r>
      <w:r>
        <w:t xml:space="preserve"> - the starting point or demographic baseline is the 2014-based projections as stated in the PPG</w:t>
      </w:r>
      <w:r>
        <w:rPr>
          <w:rStyle w:val="FootnoteReference"/>
        </w:rPr>
        <w:footnoteReference w:id="7"/>
      </w:r>
      <w:r>
        <w:t xml:space="preserve">. The approach takes an average annual household growth from these projections for a ten year period with the starting point being the current year (e.g. 2020 to 2030). </w:t>
      </w:r>
    </w:p>
    <w:p w14:paraId="29DB7759" w14:textId="77777777" w:rsidR="00A13819" w:rsidRDefault="00A13819" w:rsidP="00097650">
      <w:pPr>
        <w:pStyle w:val="10BulletBodytext"/>
        <w:rPr>
          <w:rFonts w:asciiTheme="minorHAnsi" w:hAnsiTheme="minorHAnsi" w:cstheme="minorHAnsi"/>
        </w:rPr>
      </w:pPr>
      <w:r>
        <w:t xml:space="preserve">At </w:t>
      </w:r>
      <w:r>
        <w:rPr>
          <w:b/>
        </w:rPr>
        <w:t>Step 2</w:t>
      </w:r>
      <w:r>
        <w:t xml:space="preserve"> the baseline household growth is then modified to account for market signals. Specifically, Step 2 uses a formula which draws on the local workplace based median affordability ratio. This data is published annually by the DCLG with the most recent data from 2019</w:t>
      </w:r>
      <w:r>
        <w:rPr>
          <w:rStyle w:val="FootnoteReference"/>
        </w:rPr>
        <w:footnoteReference w:id="8"/>
      </w:r>
      <w:r>
        <w:t xml:space="preserve"> published in March 2020.</w:t>
      </w:r>
    </w:p>
    <w:p w14:paraId="637E5BF5" w14:textId="77777777" w:rsidR="00A13819" w:rsidRDefault="00A13819" w:rsidP="00097650">
      <w:pPr>
        <w:pStyle w:val="10BulletBodytext"/>
      </w:pPr>
      <w:r>
        <w:t xml:space="preserve">To ensure that the proposed housing need is as deliverable as possible at </w:t>
      </w:r>
      <w:r>
        <w:rPr>
          <w:b/>
        </w:rPr>
        <w:t>Step 3</w:t>
      </w:r>
      <w:r>
        <w:t xml:space="preserve"> the housing need is capped.  Where a Local Plan is less than 5 years old the cap is placed at 40% above the housing target in the adopted local plan. Where a local plan is older than five years then the Housing Need is capped at 40% above the higher of either the baseline growth (Step 1) or the annual housing requirement figure currently set out in the local plan. </w:t>
      </w:r>
    </w:p>
    <w:p w14:paraId="019AC2EA" w14:textId="77777777" w:rsidR="00A13819" w:rsidRDefault="00A13819" w:rsidP="007D0FBF">
      <w:pPr>
        <w:pStyle w:val="11Bodytext"/>
      </w:pPr>
      <w:r>
        <w:t xml:space="preserve">Our approach below sets out an assessment of housing need across Cambridgeshire and West Suffolk using the three-step approach as set out in the PPG. </w:t>
      </w:r>
    </w:p>
    <w:p w14:paraId="2934369E" w14:textId="77777777" w:rsidR="00A13819" w:rsidRDefault="00A13819" w:rsidP="007D0FBF">
      <w:pPr>
        <w:pStyle w:val="Heading3"/>
      </w:pPr>
      <w:r>
        <w:t xml:space="preserve">Step 1 – Setting the baseline </w:t>
      </w:r>
    </w:p>
    <w:p w14:paraId="53201A4C" w14:textId="77777777" w:rsidR="00A13819" w:rsidRDefault="00A13819" w:rsidP="007D0FBF">
      <w:pPr>
        <w:pStyle w:val="11Bodytext"/>
      </w:pPr>
      <w:r>
        <w:t xml:space="preserve">Step 1 sets the baseline using national household projections (2014-based). The PPG advises that “the projected average annual household growth over 10 years </w:t>
      </w:r>
      <w:r>
        <w:lastRenderedPageBreak/>
        <w:t xml:space="preserve">(this should be 10 consecutive years, with the current year being the first year)” should be used. </w:t>
      </w:r>
    </w:p>
    <w:p w14:paraId="6CA3AAD7" w14:textId="00EE80BD" w:rsidR="00A13819" w:rsidRPr="007D0FBF" w:rsidRDefault="00A13819" w:rsidP="007D0FBF">
      <w:pPr>
        <w:pStyle w:val="11Bodytext"/>
      </w:pPr>
      <w:r>
        <w:t xml:space="preserve">The household projections for the HMA are presented in the table below. West Suffolk's figure is presented as the sum of </w:t>
      </w:r>
      <w:r w:rsidR="00313287">
        <w:t xml:space="preserve">former Forest Heath </w:t>
      </w:r>
      <w:r>
        <w:t xml:space="preserve">and St. Edmundsbury as these were different Councils in 2014 which is the base year of the projections. </w:t>
      </w:r>
    </w:p>
    <w:p w14:paraId="5DDDEE78" w14:textId="77777777" w:rsidR="00A13819" w:rsidRDefault="00A13819" w:rsidP="003D5E23">
      <w:pPr>
        <w:pStyle w:val="Tableheading"/>
        <w:numPr>
          <w:ilvl w:val="0"/>
          <w:numId w:val="54"/>
        </w:numPr>
      </w:pPr>
      <w:r>
        <w:t>Household Projections (2014-based)</w:t>
      </w:r>
    </w:p>
    <w:tbl>
      <w:tblPr>
        <w:tblStyle w:val="TableGridLight1"/>
        <w:tblW w:w="8557" w:type="dxa"/>
        <w:tblInd w:w="794" w:type="dxa"/>
        <w:tblLayout w:type="fixed"/>
        <w:tblLook w:val="04A0" w:firstRow="1" w:lastRow="0" w:firstColumn="1" w:lastColumn="0" w:noHBand="0" w:noVBand="1"/>
      </w:tblPr>
      <w:tblGrid>
        <w:gridCol w:w="2208"/>
        <w:gridCol w:w="2116"/>
        <w:gridCol w:w="2116"/>
        <w:gridCol w:w="2117"/>
      </w:tblGrid>
      <w:tr w:rsidR="007228D6" w:rsidRPr="007228D6" w14:paraId="02891435" w14:textId="77777777" w:rsidTr="004F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hideMark/>
          </w:tcPr>
          <w:p w14:paraId="26124EE2" w14:textId="77777777" w:rsidR="00A13819" w:rsidRPr="007228D6" w:rsidRDefault="00A13819" w:rsidP="001D508A">
            <w:r w:rsidRPr="007228D6">
              <w:t>Local Authority</w:t>
            </w:r>
          </w:p>
        </w:tc>
        <w:tc>
          <w:tcPr>
            <w:tcW w:w="2116" w:type="dxa"/>
            <w:hideMark/>
          </w:tcPr>
          <w:p w14:paraId="2768ED0D"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Households 2020</w:t>
            </w:r>
          </w:p>
        </w:tc>
        <w:tc>
          <w:tcPr>
            <w:tcW w:w="2116" w:type="dxa"/>
            <w:hideMark/>
          </w:tcPr>
          <w:p w14:paraId="7F5AC0FE"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Households 2030</w:t>
            </w:r>
          </w:p>
        </w:tc>
        <w:tc>
          <w:tcPr>
            <w:tcW w:w="2117" w:type="dxa"/>
            <w:hideMark/>
          </w:tcPr>
          <w:p w14:paraId="57AAD618"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Average Annual Change</w:t>
            </w:r>
          </w:p>
          <w:p w14:paraId="4FE44071"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(Step 1)</w:t>
            </w:r>
          </w:p>
        </w:tc>
      </w:tr>
      <w:tr w:rsidR="007228D6" w:rsidRPr="007228D6" w14:paraId="3A7B1364"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5FD8F0F8" w14:textId="77777777" w:rsidR="00A13819" w:rsidRPr="007228D6" w:rsidRDefault="00A13819" w:rsidP="001D508A">
            <w:pPr>
              <w:rPr>
                <w:b/>
                <w:bCs/>
                <w:sz w:val="20"/>
                <w:lang w:eastAsia="en-GB"/>
              </w:rPr>
            </w:pPr>
            <w:r w:rsidRPr="007228D6">
              <w:rPr>
                <w:bCs/>
                <w:lang w:eastAsia="en-GB"/>
              </w:rPr>
              <w:t>Cambridge</w:t>
            </w:r>
          </w:p>
        </w:tc>
        <w:tc>
          <w:tcPr>
            <w:tcW w:w="2116" w:type="dxa"/>
            <w:noWrap/>
            <w:hideMark/>
          </w:tcPr>
          <w:p w14:paraId="20A15162"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51,530</w:t>
            </w:r>
          </w:p>
        </w:tc>
        <w:tc>
          <w:tcPr>
            <w:tcW w:w="2116" w:type="dxa"/>
            <w:noWrap/>
            <w:hideMark/>
          </w:tcPr>
          <w:p w14:paraId="67BBEDA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55,783</w:t>
            </w:r>
          </w:p>
        </w:tc>
        <w:tc>
          <w:tcPr>
            <w:tcW w:w="2117" w:type="dxa"/>
            <w:hideMark/>
          </w:tcPr>
          <w:p w14:paraId="2F99CDD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425</w:t>
            </w:r>
          </w:p>
        </w:tc>
      </w:tr>
      <w:tr w:rsidR="007228D6" w:rsidRPr="007228D6" w14:paraId="60BE3BAC"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1EA3AC16" w14:textId="77777777" w:rsidR="00A13819" w:rsidRPr="007228D6" w:rsidRDefault="00A13819" w:rsidP="001D508A">
            <w:pPr>
              <w:rPr>
                <w:b/>
                <w:bCs/>
                <w:sz w:val="20"/>
                <w:lang w:eastAsia="en-GB"/>
              </w:rPr>
            </w:pPr>
            <w:r w:rsidRPr="007228D6">
              <w:rPr>
                <w:bCs/>
                <w:lang w:eastAsia="en-GB"/>
              </w:rPr>
              <w:t>East Cambs</w:t>
            </w:r>
          </w:p>
        </w:tc>
        <w:tc>
          <w:tcPr>
            <w:tcW w:w="2116" w:type="dxa"/>
            <w:noWrap/>
            <w:hideMark/>
          </w:tcPr>
          <w:p w14:paraId="080D89C8"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38,631</w:t>
            </w:r>
          </w:p>
        </w:tc>
        <w:tc>
          <w:tcPr>
            <w:tcW w:w="2116" w:type="dxa"/>
            <w:noWrap/>
            <w:hideMark/>
          </w:tcPr>
          <w:p w14:paraId="0A6B8391"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42,924</w:t>
            </w:r>
          </w:p>
        </w:tc>
        <w:tc>
          <w:tcPr>
            <w:tcW w:w="2117" w:type="dxa"/>
            <w:hideMark/>
          </w:tcPr>
          <w:p w14:paraId="59A31735"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429</w:t>
            </w:r>
          </w:p>
        </w:tc>
      </w:tr>
      <w:tr w:rsidR="007228D6" w:rsidRPr="007228D6" w14:paraId="6F00882B"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7D041324" w14:textId="77777777" w:rsidR="00A13819" w:rsidRPr="007228D6" w:rsidRDefault="00A13819" w:rsidP="001D508A">
            <w:pPr>
              <w:rPr>
                <w:b/>
                <w:bCs/>
                <w:sz w:val="20"/>
                <w:lang w:eastAsia="en-GB"/>
              </w:rPr>
            </w:pPr>
            <w:r w:rsidRPr="007228D6">
              <w:rPr>
                <w:bCs/>
                <w:lang w:eastAsia="en-GB"/>
              </w:rPr>
              <w:t>Fenland</w:t>
            </w:r>
          </w:p>
        </w:tc>
        <w:tc>
          <w:tcPr>
            <w:tcW w:w="2116" w:type="dxa"/>
            <w:noWrap/>
            <w:hideMark/>
          </w:tcPr>
          <w:p w14:paraId="205F4E3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44,731</w:t>
            </w:r>
          </w:p>
        </w:tc>
        <w:tc>
          <w:tcPr>
            <w:tcW w:w="2116" w:type="dxa"/>
            <w:noWrap/>
            <w:hideMark/>
          </w:tcPr>
          <w:p w14:paraId="0348F48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49,014</w:t>
            </w:r>
          </w:p>
        </w:tc>
        <w:tc>
          <w:tcPr>
            <w:tcW w:w="2117" w:type="dxa"/>
            <w:hideMark/>
          </w:tcPr>
          <w:p w14:paraId="20DA3A6F"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428</w:t>
            </w:r>
          </w:p>
        </w:tc>
      </w:tr>
      <w:tr w:rsidR="007228D6" w:rsidRPr="007228D6" w14:paraId="2D7E9028"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0274D448" w14:textId="77777777" w:rsidR="00A13819" w:rsidRPr="007228D6" w:rsidRDefault="00A13819" w:rsidP="001D508A">
            <w:pPr>
              <w:rPr>
                <w:b/>
                <w:bCs/>
                <w:sz w:val="20"/>
                <w:lang w:eastAsia="en-GB"/>
              </w:rPr>
            </w:pPr>
            <w:r w:rsidRPr="007228D6">
              <w:t>Huntingdonshire</w:t>
            </w:r>
          </w:p>
        </w:tc>
        <w:tc>
          <w:tcPr>
            <w:tcW w:w="2116" w:type="dxa"/>
            <w:noWrap/>
            <w:hideMark/>
          </w:tcPr>
          <w:p w14:paraId="57008EF8"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77,169</w:t>
            </w:r>
          </w:p>
        </w:tc>
        <w:tc>
          <w:tcPr>
            <w:tcW w:w="2116" w:type="dxa"/>
            <w:noWrap/>
            <w:hideMark/>
          </w:tcPr>
          <w:p w14:paraId="4B799E81"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84,496</w:t>
            </w:r>
          </w:p>
        </w:tc>
        <w:tc>
          <w:tcPr>
            <w:tcW w:w="2117" w:type="dxa"/>
            <w:hideMark/>
          </w:tcPr>
          <w:p w14:paraId="13C2A69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733</w:t>
            </w:r>
          </w:p>
        </w:tc>
      </w:tr>
      <w:tr w:rsidR="007228D6" w:rsidRPr="007228D6" w14:paraId="3ACF9CA1"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6B6D0E11" w14:textId="77777777" w:rsidR="00A13819" w:rsidRPr="007228D6" w:rsidRDefault="00A13819" w:rsidP="001D508A">
            <w:pPr>
              <w:rPr>
                <w:b/>
                <w:bCs/>
                <w:sz w:val="20"/>
                <w:lang w:eastAsia="en-GB"/>
              </w:rPr>
            </w:pPr>
            <w:r w:rsidRPr="007228D6">
              <w:rPr>
                <w:bCs/>
              </w:rPr>
              <w:t>South Cambs</w:t>
            </w:r>
          </w:p>
        </w:tc>
        <w:tc>
          <w:tcPr>
            <w:tcW w:w="2116" w:type="dxa"/>
            <w:noWrap/>
            <w:hideMark/>
          </w:tcPr>
          <w:p w14:paraId="51C1A394"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67,872</w:t>
            </w:r>
          </w:p>
        </w:tc>
        <w:tc>
          <w:tcPr>
            <w:tcW w:w="2116" w:type="dxa"/>
            <w:noWrap/>
            <w:hideMark/>
          </w:tcPr>
          <w:p w14:paraId="0CAD32E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75,839</w:t>
            </w:r>
          </w:p>
        </w:tc>
        <w:tc>
          <w:tcPr>
            <w:tcW w:w="2117" w:type="dxa"/>
            <w:hideMark/>
          </w:tcPr>
          <w:p w14:paraId="6B872627"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797</w:t>
            </w:r>
          </w:p>
        </w:tc>
      </w:tr>
      <w:tr w:rsidR="007228D6" w:rsidRPr="007228D6" w14:paraId="440B9C7C"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49B8AD12" w14:textId="77777777" w:rsidR="00A13819" w:rsidRPr="007228D6" w:rsidRDefault="00A13819" w:rsidP="001D508A">
            <w:pPr>
              <w:rPr>
                <w:b/>
                <w:bCs/>
                <w:i/>
                <w:sz w:val="20"/>
                <w:lang w:eastAsia="en-GB"/>
              </w:rPr>
            </w:pPr>
            <w:r w:rsidRPr="007228D6">
              <w:rPr>
                <w:bCs/>
                <w:i/>
                <w:lang w:eastAsia="en-GB"/>
              </w:rPr>
              <w:t>Forest Heath</w:t>
            </w:r>
          </w:p>
        </w:tc>
        <w:tc>
          <w:tcPr>
            <w:tcW w:w="2116" w:type="dxa"/>
            <w:noWrap/>
            <w:hideMark/>
          </w:tcPr>
          <w:p w14:paraId="4CD46A8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i/>
                <w:sz w:val="20"/>
              </w:rPr>
            </w:pPr>
            <w:r w:rsidRPr="007228D6">
              <w:rPr>
                <w:i/>
              </w:rPr>
              <w:t>27,934</w:t>
            </w:r>
          </w:p>
        </w:tc>
        <w:tc>
          <w:tcPr>
            <w:tcW w:w="2116" w:type="dxa"/>
            <w:noWrap/>
            <w:hideMark/>
          </w:tcPr>
          <w:p w14:paraId="0C0862F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i/>
                <w:sz w:val="20"/>
              </w:rPr>
            </w:pPr>
            <w:r w:rsidRPr="007228D6">
              <w:rPr>
                <w:i/>
              </w:rPr>
              <w:t>30,735</w:t>
            </w:r>
          </w:p>
        </w:tc>
        <w:tc>
          <w:tcPr>
            <w:tcW w:w="2117" w:type="dxa"/>
            <w:hideMark/>
          </w:tcPr>
          <w:p w14:paraId="38CA4D7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i/>
                <w:sz w:val="20"/>
              </w:rPr>
            </w:pPr>
            <w:r w:rsidRPr="007228D6">
              <w:rPr>
                <w:i/>
              </w:rPr>
              <w:t>280</w:t>
            </w:r>
          </w:p>
        </w:tc>
      </w:tr>
      <w:tr w:rsidR="007228D6" w:rsidRPr="007228D6" w14:paraId="03EB4E7B"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0C7F265A" w14:textId="77777777" w:rsidR="00A13819" w:rsidRPr="007228D6" w:rsidRDefault="00A13819" w:rsidP="001D508A">
            <w:pPr>
              <w:rPr>
                <w:b/>
                <w:bCs/>
                <w:i/>
                <w:sz w:val="20"/>
                <w:lang w:eastAsia="en-GB"/>
              </w:rPr>
            </w:pPr>
            <w:r w:rsidRPr="007228D6">
              <w:rPr>
                <w:bCs/>
                <w:i/>
                <w:lang w:eastAsia="en-GB"/>
              </w:rPr>
              <w:t>St Edmundsbury</w:t>
            </w:r>
          </w:p>
        </w:tc>
        <w:tc>
          <w:tcPr>
            <w:tcW w:w="2116" w:type="dxa"/>
            <w:noWrap/>
            <w:hideMark/>
          </w:tcPr>
          <w:p w14:paraId="04EF145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i/>
                <w:sz w:val="20"/>
              </w:rPr>
            </w:pPr>
            <w:r w:rsidRPr="007228D6">
              <w:rPr>
                <w:i/>
              </w:rPr>
              <w:t>48,997</w:t>
            </w:r>
          </w:p>
        </w:tc>
        <w:tc>
          <w:tcPr>
            <w:tcW w:w="2116" w:type="dxa"/>
            <w:noWrap/>
            <w:hideMark/>
          </w:tcPr>
          <w:p w14:paraId="62EC8960"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i/>
                <w:sz w:val="20"/>
              </w:rPr>
            </w:pPr>
            <w:r w:rsidRPr="007228D6">
              <w:rPr>
                <w:i/>
              </w:rPr>
              <w:t>52,272</w:t>
            </w:r>
          </w:p>
        </w:tc>
        <w:tc>
          <w:tcPr>
            <w:tcW w:w="2117" w:type="dxa"/>
            <w:hideMark/>
          </w:tcPr>
          <w:p w14:paraId="275F090F"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i/>
                <w:sz w:val="20"/>
              </w:rPr>
            </w:pPr>
            <w:r w:rsidRPr="007228D6">
              <w:rPr>
                <w:i/>
              </w:rPr>
              <w:t>328</w:t>
            </w:r>
          </w:p>
        </w:tc>
      </w:tr>
      <w:tr w:rsidR="007228D6" w:rsidRPr="007228D6" w14:paraId="68104608"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752E89D7" w14:textId="77777777" w:rsidR="00A13819" w:rsidRPr="007228D6" w:rsidRDefault="00A13819" w:rsidP="001D508A">
            <w:pPr>
              <w:rPr>
                <w:b/>
                <w:bCs/>
                <w:sz w:val="20"/>
                <w:lang w:eastAsia="en-GB"/>
              </w:rPr>
            </w:pPr>
            <w:r w:rsidRPr="007228D6">
              <w:rPr>
                <w:bCs/>
                <w:lang w:eastAsia="en-GB"/>
              </w:rPr>
              <w:t xml:space="preserve">West Suffolk </w:t>
            </w:r>
          </w:p>
        </w:tc>
        <w:tc>
          <w:tcPr>
            <w:tcW w:w="2116" w:type="dxa"/>
            <w:noWrap/>
            <w:hideMark/>
          </w:tcPr>
          <w:p w14:paraId="156AF00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76,931</w:t>
            </w:r>
          </w:p>
        </w:tc>
        <w:tc>
          <w:tcPr>
            <w:tcW w:w="2116" w:type="dxa"/>
            <w:noWrap/>
            <w:hideMark/>
          </w:tcPr>
          <w:p w14:paraId="4287C869"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lang w:eastAsia="en-GB"/>
              </w:rPr>
            </w:pPr>
            <w:r w:rsidRPr="007228D6">
              <w:rPr>
                <w:lang w:eastAsia="en-GB"/>
              </w:rPr>
              <w:t>83,007</w:t>
            </w:r>
          </w:p>
        </w:tc>
        <w:tc>
          <w:tcPr>
            <w:tcW w:w="2117" w:type="dxa"/>
            <w:hideMark/>
          </w:tcPr>
          <w:p w14:paraId="6E204BF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608</w:t>
            </w:r>
          </w:p>
        </w:tc>
      </w:tr>
      <w:tr w:rsidR="007228D6" w:rsidRPr="007228D6" w14:paraId="120DE9FB"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535B9D5C" w14:textId="77777777" w:rsidR="00A13819" w:rsidRPr="004F4BA7" w:rsidRDefault="00A13819" w:rsidP="001D508A">
            <w:pPr>
              <w:rPr>
                <w:b/>
                <w:bCs/>
                <w:sz w:val="20"/>
                <w:lang w:eastAsia="en-GB"/>
              </w:rPr>
            </w:pPr>
            <w:r w:rsidRPr="004F4BA7">
              <w:rPr>
                <w:b/>
                <w:bCs/>
                <w:lang w:eastAsia="en-GB"/>
              </w:rPr>
              <w:t>HMA</w:t>
            </w:r>
          </w:p>
        </w:tc>
        <w:tc>
          <w:tcPr>
            <w:tcW w:w="2116" w:type="dxa"/>
            <w:noWrap/>
            <w:hideMark/>
          </w:tcPr>
          <w:p w14:paraId="7CB0C74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
                <w:sz w:val="20"/>
              </w:rPr>
            </w:pPr>
            <w:r w:rsidRPr="007228D6">
              <w:rPr>
                <w:b/>
              </w:rPr>
              <w:t>356,864</w:t>
            </w:r>
          </w:p>
        </w:tc>
        <w:tc>
          <w:tcPr>
            <w:tcW w:w="2116" w:type="dxa"/>
            <w:noWrap/>
            <w:hideMark/>
          </w:tcPr>
          <w:p w14:paraId="24DB0954"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
                <w:sz w:val="20"/>
              </w:rPr>
            </w:pPr>
            <w:r w:rsidRPr="007228D6">
              <w:rPr>
                <w:b/>
              </w:rPr>
              <w:t>391,063</w:t>
            </w:r>
          </w:p>
        </w:tc>
        <w:tc>
          <w:tcPr>
            <w:tcW w:w="2117" w:type="dxa"/>
            <w:hideMark/>
          </w:tcPr>
          <w:p w14:paraId="02019716"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
                <w:sz w:val="20"/>
              </w:rPr>
            </w:pPr>
            <w:r w:rsidRPr="007228D6">
              <w:rPr>
                <w:b/>
              </w:rPr>
              <w:t>3,420</w:t>
            </w:r>
          </w:p>
        </w:tc>
      </w:tr>
      <w:tr w:rsidR="007228D6" w:rsidRPr="007228D6" w14:paraId="35639DFB" w14:textId="77777777" w:rsidTr="004F4BA7">
        <w:tc>
          <w:tcPr>
            <w:cnfStyle w:val="001000000000" w:firstRow="0" w:lastRow="0" w:firstColumn="1" w:lastColumn="0" w:oddVBand="0" w:evenVBand="0" w:oddHBand="0" w:evenHBand="0" w:firstRowFirstColumn="0" w:firstRowLastColumn="0" w:lastRowFirstColumn="0" w:lastRowLastColumn="0"/>
            <w:tcW w:w="2208" w:type="dxa"/>
            <w:noWrap/>
            <w:hideMark/>
          </w:tcPr>
          <w:p w14:paraId="3AD60480" w14:textId="77777777" w:rsidR="00A13819" w:rsidRPr="007228D6" w:rsidRDefault="00A13819" w:rsidP="001D508A">
            <w:pPr>
              <w:rPr>
                <w:b/>
                <w:bCs/>
                <w:sz w:val="20"/>
                <w:lang w:eastAsia="en-GB"/>
              </w:rPr>
            </w:pPr>
            <w:r w:rsidRPr="007228D6">
              <w:rPr>
                <w:bCs/>
                <w:lang w:eastAsia="en-GB"/>
              </w:rPr>
              <w:t>Greater Cambridge</w:t>
            </w:r>
          </w:p>
        </w:tc>
        <w:tc>
          <w:tcPr>
            <w:tcW w:w="2116" w:type="dxa"/>
            <w:noWrap/>
            <w:hideMark/>
          </w:tcPr>
          <w:p w14:paraId="3F776377"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119,402</w:t>
            </w:r>
          </w:p>
        </w:tc>
        <w:tc>
          <w:tcPr>
            <w:tcW w:w="2116" w:type="dxa"/>
            <w:noWrap/>
            <w:hideMark/>
          </w:tcPr>
          <w:p w14:paraId="622F9236"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131,622</w:t>
            </w:r>
          </w:p>
        </w:tc>
        <w:tc>
          <w:tcPr>
            <w:tcW w:w="2117" w:type="dxa"/>
            <w:hideMark/>
          </w:tcPr>
          <w:p w14:paraId="5609147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sz w:val="20"/>
              </w:rPr>
            </w:pPr>
            <w:r w:rsidRPr="007228D6">
              <w:t>1,222</w:t>
            </w:r>
          </w:p>
        </w:tc>
      </w:tr>
    </w:tbl>
    <w:p w14:paraId="49B08438" w14:textId="77777777" w:rsidR="00A13819" w:rsidRPr="00A441BA" w:rsidRDefault="00A13819" w:rsidP="00A13819">
      <w:pPr>
        <w:pStyle w:val="Bodytextwithindent"/>
        <w:spacing w:before="0" w:after="0" w:line="240" w:lineRule="auto"/>
        <w:rPr>
          <w:sz w:val="24"/>
          <w:szCs w:val="22"/>
        </w:rPr>
      </w:pPr>
      <w:r w:rsidRPr="00A441BA">
        <w:rPr>
          <w:sz w:val="24"/>
          <w:szCs w:val="22"/>
        </w:rPr>
        <w:t>Source: ONS - Ministry of Housing, Communities &amp; Local Government 2014-based household projections</w:t>
      </w:r>
    </w:p>
    <w:p w14:paraId="13CD309D" w14:textId="37FD959F" w:rsidR="00A13819" w:rsidRDefault="00A13819" w:rsidP="007D0FBF">
      <w:pPr>
        <w:pStyle w:val="11Bodytext"/>
      </w:pPr>
      <w:r>
        <w:t>The projections show a total growth of 34,199 new households over the ten years for the HMA</w:t>
      </w:r>
      <w:r w:rsidR="004A5D81">
        <w:rPr>
          <w:rStyle w:val="FootnoteReference"/>
        </w:rPr>
        <w:footnoteReference w:id="9"/>
      </w:r>
      <w:r>
        <w:t xml:space="preserve">. This results in an average household growth of 3,420 per year. This annual average household growth is the output of Step 1. </w:t>
      </w:r>
    </w:p>
    <w:p w14:paraId="41CEA976" w14:textId="77777777" w:rsidR="00A13819" w:rsidRDefault="00A13819" w:rsidP="007D0FBF">
      <w:pPr>
        <w:pStyle w:val="Heading3"/>
      </w:pPr>
      <w:r>
        <w:t xml:space="preserve">Step 2 – An adjustment to take account of affordability </w:t>
      </w:r>
    </w:p>
    <w:p w14:paraId="3047F713" w14:textId="77777777" w:rsidR="00A13819" w:rsidRDefault="00A13819" w:rsidP="007D0FBF">
      <w:pPr>
        <w:pStyle w:val="11Bodytext"/>
      </w:pPr>
      <w:r>
        <w:t xml:space="preserve">Step 2 then adjusts the average annual projected household growth figure (as calculated in Step 1) based on the affordability of housing in each area. This draws on the most recent median workplace-based affordability ratios which although published in 2020 use 2019 income and sales data. </w:t>
      </w:r>
    </w:p>
    <w:p w14:paraId="4FC4EEB4" w14:textId="77777777" w:rsidR="004F4BA7" w:rsidRDefault="004F4BA7">
      <w:pPr>
        <w:spacing w:after="200"/>
        <w:rPr>
          <w:bCs/>
          <w:sz w:val="24"/>
          <w:szCs w:val="24"/>
        </w:rPr>
      </w:pPr>
      <w:r>
        <w:br w:type="page"/>
      </w:r>
    </w:p>
    <w:p w14:paraId="53DE5A42" w14:textId="67E4CE22" w:rsidR="00A13819" w:rsidRDefault="00A13819" w:rsidP="007D0FBF">
      <w:pPr>
        <w:pStyle w:val="11Bodytext"/>
      </w:pPr>
      <w:r>
        <w:lastRenderedPageBreak/>
        <w:t>The formula for calculating the uplift is on the basis that for every percentage point that the ratio is above 4, the household projections are increased by 0.25%. Four is seen as a reasonable multiple based on standard lending practices. The exact formula for the adjustment is calculated as below:</w:t>
      </w:r>
    </w:p>
    <w:p w14:paraId="14398553" w14:textId="77777777" w:rsidR="00A13819" w:rsidRDefault="00A13819" w:rsidP="007D0FBF">
      <w:pPr>
        <w:pStyle w:val="11Bodytext"/>
        <w:numPr>
          <w:ilvl w:val="0"/>
          <w:numId w:val="0"/>
        </w:numPr>
        <w:ind w:left="794"/>
      </w:pPr>
      <w:r>
        <w:rPr>
          <w:noProof/>
        </w:rPr>
        <w:drawing>
          <wp:inline distT="0" distB="0" distL="0" distR="0" wp14:anchorId="2C5218AF" wp14:editId="6489C6C4">
            <wp:extent cx="4709160" cy="426720"/>
            <wp:effectExtent l="0" t="0" r="0" b="0"/>
            <wp:docPr id="1080" name="Picture 1080" descr="Adjustment factor equ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djustment factor equation example"/>
                    <pic:cNvPicPr>
                      <a:picLocks noChangeAspect="1" noChangeArrowheads="1"/>
                    </pic:cNvPicPr>
                  </pic:nvPicPr>
                  <pic:blipFill>
                    <a:blip r:embed="rId38">
                      <a:extLst>
                        <a:ext uri="{28A0092B-C50C-407E-A947-70E740481C1C}">
                          <a14:useLocalDpi xmlns:a14="http://schemas.microsoft.com/office/drawing/2010/main" val="0"/>
                        </a:ext>
                      </a:extLst>
                    </a:blip>
                    <a:srcRect t="29160" b="57288"/>
                    <a:stretch>
                      <a:fillRect/>
                    </a:stretch>
                  </pic:blipFill>
                  <pic:spPr bwMode="auto">
                    <a:xfrm>
                      <a:off x="0" y="0"/>
                      <a:ext cx="4709160" cy="426720"/>
                    </a:xfrm>
                    <a:prstGeom prst="rect">
                      <a:avLst/>
                    </a:prstGeom>
                    <a:noFill/>
                    <a:ln>
                      <a:noFill/>
                    </a:ln>
                  </pic:spPr>
                </pic:pic>
              </a:graphicData>
            </a:graphic>
          </wp:inline>
        </w:drawing>
      </w:r>
    </w:p>
    <w:p w14:paraId="415A5B98" w14:textId="6B839BE4" w:rsidR="00A13819" w:rsidRPr="007D0FBF" w:rsidRDefault="00A13819" w:rsidP="007D0FBF">
      <w:pPr>
        <w:pStyle w:val="11Bodytext"/>
      </w:pPr>
      <w:r>
        <w:t>The table below presents the affordability ratio and the adjustment factor for each local planning authority together with the resultant uncapped need which is the output of Step 2. The affordability ratio ranges from 12.8 in Cambridge to 8.1 in Fenland. These ratios result in an increase of 55% and 26% respectively.</w:t>
      </w:r>
    </w:p>
    <w:p w14:paraId="42789CE0" w14:textId="77777777" w:rsidR="00A13819" w:rsidRDefault="00A13819" w:rsidP="003D5E23">
      <w:pPr>
        <w:pStyle w:val="Tableheading"/>
        <w:numPr>
          <w:ilvl w:val="0"/>
          <w:numId w:val="54"/>
        </w:numPr>
      </w:pPr>
      <w:r>
        <w:t>Housing Need Step 2 – Affordability Adjustment Factor</w:t>
      </w:r>
    </w:p>
    <w:tbl>
      <w:tblPr>
        <w:tblStyle w:val="TableGridLight1"/>
        <w:tblW w:w="8699" w:type="dxa"/>
        <w:tblInd w:w="794" w:type="dxa"/>
        <w:tblLayout w:type="fixed"/>
        <w:tblLook w:val="04A0" w:firstRow="1" w:lastRow="0" w:firstColumn="1" w:lastColumn="0" w:noHBand="0" w:noVBand="1"/>
      </w:tblPr>
      <w:tblGrid>
        <w:gridCol w:w="1892"/>
        <w:gridCol w:w="1701"/>
        <w:gridCol w:w="1702"/>
        <w:gridCol w:w="1702"/>
        <w:gridCol w:w="1702"/>
      </w:tblGrid>
      <w:tr w:rsidR="007228D6" w:rsidRPr="007228D6" w14:paraId="3657D0C0" w14:textId="77777777" w:rsidTr="004F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hideMark/>
          </w:tcPr>
          <w:p w14:paraId="2827223B" w14:textId="77777777" w:rsidR="00A13819" w:rsidRPr="007228D6" w:rsidRDefault="00A13819" w:rsidP="001D508A">
            <w:r w:rsidRPr="007228D6">
              <w:t>Local Authority</w:t>
            </w:r>
          </w:p>
        </w:tc>
        <w:tc>
          <w:tcPr>
            <w:tcW w:w="1701" w:type="dxa"/>
            <w:hideMark/>
          </w:tcPr>
          <w:p w14:paraId="0058F7A5"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rPr>
                <w:b w:val="0"/>
              </w:rPr>
            </w:pPr>
            <w:r w:rsidRPr="007228D6">
              <w:t>Average Annual Change</w:t>
            </w:r>
          </w:p>
          <w:p w14:paraId="70212FFB"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(Step 1)</w:t>
            </w:r>
          </w:p>
        </w:tc>
        <w:tc>
          <w:tcPr>
            <w:tcW w:w="1702" w:type="dxa"/>
            <w:hideMark/>
          </w:tcPr>
          <w:p w14:paraId="443AB57C"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Affordability Ratio 2019</w:t>
            </w:r>
          </w:p>
        </w:tc>
        <w:tc>
          <w:tcPr>
            <w:tcW w:w="1702" w:type="dxa"/>
            <w:hideMark/>
          </w:tcPr>
          <w:p w14:paraId="1B511D4E"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Adjustment Factor</w:t>
            </w:r>
          </w:p>
        </w:tc>
        <w:tc>
          <w:tcPr>
            <w:tcW w:w="1702" w:type="dxa"/>
            <w:hideMark/>
          </w:tcPr>
          <w:p w14:paraId="11DE0936"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rPr>
                <w:b w:val="0"/>
              </w:rPr>
            </w:pPr>
            <w:r w:rsidRPr="007228D6">
              <w:t xml:space="preserve">LHN Uncapped </w:t>
            </w:r>
          </w:p>
          <w:p w14:paraId="0E142839" w14:textId="77777777" w:rsidR="00A13819" w:rsidRPr="007228D6" w:rsidRDefault="00A13819" w:rsidP="001D508A">
            <w:pPr>
              <w:cnfStyle w:val="100000000000" w:firstRow="1" w:lastRow="0" w:firstColumn="0" w:lastColumn="0" w:oddVBand="0" w:evenVBand="0" w:oddHBand="0" w:evenHBand="0" w:firstRowFirstColumn="0" w:firstRowLastColumn="0" w:lastRowFirstColumn="0" w:lastRowLastColumn="0"/>
            </w:pPr>
            <w:r w:rsidRPr="007228D6">
              <w:t>(Step 2)</w:t>
            </w:r>
          </w:p>
        </w:tc>
      </w:tr>
      <w:tr w:rsidR="007228D6" w:rsidRPr="007228D6" w14:paraId="0044689E"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61F01882" w14:textId="77777777" w:rsidR="00A13819" w:rsidRPr="007228D6" w:rsidRDefault="00A13819" w:rsidP="001D508A">
            <w:pPr>
              <w:rPr>
                <w:b/>
                <w:bCs/>
                <w:lang w:eastAsia="en-GB"/>
              </w:rPr>
            </w:pPr>
            <w:r w:rsidRPr="007228D6">
              <w:rPr>
                <w:bCs/>
                <w:lang w:eastAsia="en-GB"/>
              </w:rPr>
              <w:t>Cambridge</w:t>
            </w:r>
          </w:p>
        </w:tc>
        <w:tc>
          <w:tcPr>
            <w:tcW w:w="1701" w:type="dxa"/>
            <w:noWrap/>
            <w:hideMark/>
          </w:tcPr>
          <w:p w14:paraId="52E92D5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425</w:t>
            </w:r>
          </w:p>
        </w:tc>
        <w:tc>
          <w:tcPr>
            <w:tcW w:w="1702" w:type="dxa"/>
            <w:noWrap/>
            <w:hideMark/>
          </w:tcPr>
          <w:p w14:paraId="567DFF1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12.8</w:t>
            </w:r>
          </w:p>
        </w:tc>
        <w:tc>
          <w:tcPr>
            <w:tcW w:w="1702" w:type="dxa"/>
            <w:noWrap/>
            <w:hideMark/>
          </w:tcPr>
          <w:p w14:paraId="3AB0A319"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155%</w:t>
            </w:r>
          </w:p>
        </w:tc>
        <w:tc>
          <w:tcPr>
            <w:tcW w:w="1702" w:type="dxa"/>
            <w:noWrap/>
            <w:hideMark/>
          </w:tcPr>
          <w:p w14:paraId="256DCC54"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658</w:t>
            </w:r>
          </w:p>
        </w:tc>
      </w:tr>
      <w:tr w:rsidR="007228D6" w:rsidRPr="007228D6" w14:paraId="7767CA62"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5B6E2E6B" w14:textId="77777777" w:rsidR="00A13819" w:rsidRPr="007228D6" w:rsidRDefault="00A13819" w:rsidP="001D508A">
            <w:pPr>
              <w:rPr>
                <w:b/>
                <w:bCs/>
                <w:lang w:eastAsia="en-GB"/>
              </w:rPr>
            </w:pPr>
            <w:r w:rsidRPr="007228D6">
              <w:rPr>
                <w:bCs/>
                <w:lang w:eastAsia="en-GB"/>
              </w:rPr>
              <w:t>East Cambs</w:t>
            </w:r>
          </w:p>
        </w:tc>
        <w:tc>
          <w:tcPr>
            <w:tcW w:w="1701" w:type="dxa"/>
            <w:noWrap/>
            <w:hideMark/>
          </w:tcPr>
          <w:p w14:paraId="2CF7A17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429</w:t>
            </w:r>
          </w:p>
        </w:tc>
        <w:tc>
          <w:tcPr>
            <w:tcW w:w="1702" w:type="dxa"/>
            <w:noWrap/>
            <w:hideMark/>
          </w:tcPr>
          <w:p w14:paraId="32FAAF0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10.2</w:t>
            </w:r>
          </w:p>
        </w:tc>
        <w:tc>
          <w:tcPr>
            <w:tcW w:w="1702" w:type="dxa"/>
            <w:noWrap/>
            <w:hideMark/>
          </w:tcPr>
          <w:p w14:paraId="561A1E26"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139%</w:t>
            </w:r>
          </w:p>
        </w:tc>
        <w:tc>
          <w:tcPr>
            <w:tcW w:w="1702" w:type="dxa"/>
            <w:noWrap/>
            <w:hideMark/>
          </w:tcPr>
          <w:p w14:paraId="430379E3"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597</w:t>
            </w:r>
          </w:p>
        </w:tc>
      </w:tr>
      <w:tr w:rsidR="007228D6" w:rsidRPr="007228D6" w14:paraId="70278FD9"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63CC1865" w14:textId="77777777" w:rsidR="00A13819" w:rsidRPr="007228D6" w:rsidRDefault="00A13819" w:rsidP="001D508A">
            <w:pPr>
              <w:rPr>
                <w:b/>
                <w:bCs/>
                <w:lang w:eastAsia="en-GB"/>
              </w:rPr>
            </w:pPr>
            <w:r w:rsidRPr="007228D6">
              <w:rPr>
                <w:bCs/>
                <w:lang w:eastAsia="en-GB"/>
              </w:rPr>
              <w:t>Fenland</w:t>
            </w:r>
          </w:p>
        </w:tc>
        <w:tc>
          <w:tcPr>
            <w:tcW w:w="1701" w:type="dxa"/>
            <w:noWrap/>
            <w:hideMark/>
          </w:tcPr>
          <w:p w14:paraId="27D0D234"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428</w:t>
            </w:r>
          </w:p>
        </w:tc>
        <w:tc>
          <w:tcPr>
            <w:tcW w:w="1702" w:type="dxa"/>
            <w:noWrap/>
            <w:hideMark/>
          </w:tcPr>
          <w:p w14:paraId="111CE3D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8.1</w:t>
            </w:r>
          </w:p>
        </w:tc>
        <w:tc>
          <w:tcPr>
            <w:tcW w:w="1702" w:type="dxa"/>
            <w:noWrap/>
            <w:hideMark/>
          </w:tcPr>
          <w:p w14:paraId="1C5E805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126%</w:t>
            </w:r>
          </w:p>
        </w:tc>
        <w:tc>
          <w:tcPr>
            <w:tcW w:w="1702" w:type="dxa"/>
            <w:noWrap/>
            <w:hideMark/>
          </w:tcPr>
          <w:p w14:paraId="706F128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538</w:t>
            </w:r>
          </w:p>
        </w:tc>
      </w:tr>
      <w:tr w:rsidR="007228D6" w:rsidRPr="007228D6" w14:paraId="27CF3754"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38C675F0" w14:textId="77777777" w:rsidR="00A13819" w:rsidRPr="007228D6" w:rsidRDefault="00A13819" w:rsidP="001D508A">
            <w:pPr>
              <w:rPr>
                <w:b/>
                <w:bCs/>
                <w:lang w:eastAsia="en-GB"/>
              </w:rPr>
            </w:pPr>
            <w:r w:rsidRPr="007228D6">
              <w:t>Huntingdonshire</w:t>
            </w:r>
          </w:p>
        </w:tc>
        <w:tc>
          <w:tcPr>
            <w:tcW w:w="1701" w:type="dxa"/>
            <w:noWrap/>
            <w:hideMark/>
          </w:tcPr>
          <w:p w14:paraId="30A746A4"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733</w:t>
            </w:r>
          </w:p>
        </w:tc>
        <w:tc>
          <w:tcPr>
            <w:tcW w:w="1702" w:type="dxa"/>
            <w:noWrap/>
            <w:hideMark/>
          </w:tcPr>
          <w:p w14:paraId="1C4DBBE0"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9.3</w:t>
            </w:r>
          </w:p>
        </w:tc>
        <w:tc>
          <w:tcPr>
            <w:tcW w:w="1702" w:type="dxa"/>
            <w:noWrap/>
            <w:hideMark/>
          </w:tcPr>
          <w:p w14:paraId="6D2D3FF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133%</w:t>
            </w:r>
          </w:p>
        </w:tc>
        <w:tc>
          <w:tcPr>
            <w:tcW w:w="1702" w:type="dxa"/>
            <w:noWrap/>
            <w:hideMark/>
          </w:tcPr>
          <w:p w14:paraId="7BFCAEEA"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976</w:t>
            </w:r>
          </w:p>
        </w:tc>
      </w:tr>
      <w:tr w:rsidR="007228D6" w:rsidRPr="007228D6" w14:paraId="497B4871"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538A4FC8" w14:textId="77777777" w:rsidR="00A13819" w:rsidRPr="007228D6" w:rsidRDefault="00A13819" w:rsidP="001D508A">
            <w:pPr>
              <w:rPr>
                <w:b/>
                <w:bCs/>
                <w:lang w:eastAsia="en-GB"/>
              </w:rPr>
            </w:pPr>
            <w:r w:rsidRPr="007228D6">
              <w:rPr>
                <w:bCs/>
              </w:rPr>
              <w:t>South Cambs</w:t>
            </w:r>
          </w:p>
        </w:tc>
        <w:tc>
          <w:tcPr>
            <w:tcW w:w="1701" w:type="dxa"/>
            <w:noWrap/>
            <w:hideMark/>
          </w:tcPr>
          <w:p w14:paraId="7C238352"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797</w:t>
            </w:r>
          </w:p>
        </w:tc>
        <w:tc>
          <w:tcPr>
            <w:tcW w:w="1702" w:type="dxa"/>
            <w:noWrap/>
            <w:hideMark/>
          </w:tcPr>
          <w:p w14:paraId="7971CE8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9.8</w:t>
            </w:r>
          </w:p>
        </w:tc>
        <w:tc>
          <w:tcPr>
            <w:tcW w:w="1702" w:type="dxa"/>
            <w:noWrap/>
            <w:hideMark/>
          </w:tcPr>
          <w:p w14:paraId="1E0E21D6"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136%</w:t>
            </w:r>
          </w:p>
        </w:tc>
        <w:tc>
          <w:tcPr>
            <w:tcW w:w="1702" w:type="dxa"/>
            <w:noWrap/>
            <w:hideMark/>
          </w:tcPr>
          <w:p w14:paraId="1F34D926"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1,085</w:t>
            </w:r>
          </w:p>
        </w:tc>
      </w:tr>
      <w:tr w:rsidR="007228D6" w:rsidRPr="007228D6" w14:paraId="7DF01677"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1996F563" w14:textId="77777777" w:rsidR="00A13819" w:rsidRPr="007228D6" w:rsidRDefault="00A13819" w:rsidP="001D508A">
            <w:pPr>
              <w:rPr>
                <w:b/>
                <w:bCs/>
                <w:i/>
                <w:lang w:eastAsia="en-GB"/>
              </w:rPr>
            </w:pPr>
            <w:r w:rsidRPr="007228D6">
              <w:rPr>
                <w:bCs/>
                <w:i/>
                <w:lang w:eastAsia="en-GB"/>
              </w:rPr>
              <w:t>Forest Heath</w:t>
            </w:r>
          </w:p>
        </w:tc>
        <w:tc>
          <w:tcPr>
            <w:tcW w:w="1701" w:type="dxa"/>
            <w:noWrap/>
            <w:hideMark/>
          </w:tcPr>
          <w:p w14:paraId="4F50A4B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280</w:t>
            </w:r>
          </w:p>
        </w:tc>
        <w:tc>
          <w:tcPr>
            <w:tcW w:w="1702" w:type="dxa"/>
            <w:noWrap/>
            <w:hideMark/>
          </w:tcPr>
          <w:p w14:paraId="63CCD554"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9.1</w:t>
            </w:r>
          </w:p>
        </w:tc>
        <w:tc>
          <w:tcPr>
            <w:tcW w:w="1702" w:type="dxa"/>
            <w:noWrap/>
            <w:hideMark/>
          </w:tcPr>
          <w:p w14:paraId="4420DC38"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132%</w:t>
            </w:r>
          </w:p>
        </w:tc>
        <w:tc>
          <w:tcPr>
            <w:tcW w:w="1702" w:type="dxa"/>
            <w:noWrap/>
            <w:hideMark/>
          </w:tcPr>
          <w:p w14:paraId="3BAD2EF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369</w:t>
            </w:r>
          </w:p>
        </w:tc>
      </w:tr>
      <w:tr w:rsidR="007228D6" w:rsidRPr="007228D6" w14:paraId="1B8186EA"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7E9AD7C6" w14:textId="77777777" w:rsidR="00A13819" w:rsidRPr="007228D6" w:rsidRDefault="00A13819" w:rsidP="001D508A">
            <w:pPr>
              <w:rPr>
                <w:b/>
                <w:bCs/>
                <w:i/>
                <w:lang w:eastAsia="en-GB"/>
              </w:rPr>
            </w:pPr>
            <w:r w:rsidRPr="007228D6">
              <w:rPr>
                <w:bCs/>
                <w:i/>
                <w:lang w:eastAsia="en-GB"/>
              </w:rPr>
              <w:t>St Edmundsbury</w:t>
            </w:r>
          </w:p>
        </w:tc>
        <w:tc>
          <w:tcPr>
            <w:tcW w:w="1701" w:type="dxa"/>
            <w:noWrap/>
            <w:hideMark/>
          </w:tcPr>
          <w:p w14:paraId="1554D393"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328</w:t>
            </w:r>
          </w:p>
        </w:tc>
        <w:tc>
          <w:tcPr>
            <w:tcW w:w="1702" w:type="dxa"/>
            <w:noWrap/>
            <w:hideMark/>
          </w:tcPr>
          <w:p w14:paraId="72455FA1"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9.1</w:t>
            </w:r>
          </w:p>
        </w:tc>
        <w:tc>
          <w:tcPr>
            <w:tcW w:w="1702" w:type="dxa"/>
            <w:noWrap/>
            <w:hideMark/>
          </w:tcPr>
          <w:p w14:paraId="6A728A4A"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132%</w:t>
            </w:r>
          </w:p>
        </w:tc>
        <w:tc>
          <w:tcPr>
            <w:tcW w:w="1702" w:type="dxa"/>
            <w:noWrap/>
            <w:hideMark/>
          </w:tcPr>
          <w:p w14:paraId="47301AD0"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i/>
                <w:szCs w:val="22"/>
                <w:lang w:eastAsia="en-GB"/>
              </w:rPr>
            </w:pPr>
            <w:r w:rsidRPr="007228D6">
              <w:rPr>
                <w:bCs/>
                <w:i/>
                <w:szCs w:val="22"/>
                <w:lang w:eastAsia="en-GB"/>
              </w:rPr>
              <w:t>431</w:t>
            </w:r>
          </w:p>
        </w:tc>
      </w:tr>
      <w:tr w:rsidR="007228D6" w:rsidRPr="007228D6" w14:paraId="2ECB8105"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53218152" w14:textId="77777777" w:rsidR="00A13819" w:rsidRPr="007228D6" w:rsidRDefault="00A13819" w:rsidP="001D508A">
            <w:pPr>
              <w:rPr>
                <w:b/>
                <w:lang w:eastAsia="en-GB"/>
              </w:rPr>
            </w:pPr>
            <w:r w:rsidRPr="007228D6">
              <w:rPr>
                <w:lang w:eastAsia="en-GB"/>
              </w:rPr>
              <w:t xml:space="preserve">West Suffolk </w:t>
            </w:r>
          </w:p>
        </w:tc>
        <w:tc>
          <w:tcPr>
            <w:tcW w:w="1701" w:type="dxa"/>
            <w:noWrap/>
            <w:hideMark/>
          </w:tcPr>
          <w:p w14:paraId="476AF71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608</w:t>
            </w:r>
          </w:p>
        </w:tc>
        <w:tc>
          <w:tcPr>
            <w:tcW w:w="1702" w:type="dxa"/>
            <w:noWrap/>
          </w:tcPr>
          <w:p w14:paraId="6D96E295"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p>
        </w:tc>
        <w:tc>
          <w:tcPr>
            <w:tcW w:w="1702" w:type="dxa"/>
            <w:noWrap/>
          </w:tcPr>
          <w:p w14:paraId="507F602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GB"/>
              </w:rPr>
            </w:pPr>
          </w:p>
        </w:tc>
        <w:tc>
          <w:tcPr>
            <w:tcW w:w="1702" w:type="dxa"/>
            <w:noWrap/>
            <w:hideMark/>
          </w:tcPr>
          <w:p w14:paraId="41993D25"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800</w:t>
            </w:r>
          </w:p>
        </w:tc>
      </w:tr>
      <w:tr w:rsidR="007228D6" w:rsidRPr="007228D6" w14:paraId="535D91F0"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502168B8" w14:textId="77777777" w:rsidR="00A13819" w:rsidRPr="004F4BA7" w:rsidRDefault="00A13819" w:rsidP="001D508A">
            <w:pPr>
              <w:rPr>
                <w:b/>
                <w:bCs/>
                <w:lang w:eastAsia="en-GB"/>
              </w:rPr>
            </w:pPr>
            <w:r w:rsidRPr="004F4BA7">
              <w:rPr>
                <w:b/>
                <w:bCs/>
                <w:lang w:eastAsia="en-GB"/>
              </w:rPr>
              <w:t>HMA</w:t>
            </w:r>
          </w:p>
        </w:tc>
        <w:tc>
          <w:tcPr>
            <w:tcW w:w="1701" w:type="dxa"/>
            <w:noWrap/>
            <w:hideMark/>
          </w:tcPr>
          <w:p w14:paraId="2CBB34C2"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
                <w:szCs w:val="22"/>
                <w:lang w:eastAsia="en-GB"/>
              </w:rPr>
            </w:pPr>
            <w:r w:rsidRPr="007228D6">
              <w:rPr>
                <w:b/>
                <w:szCs w:val="22"/>
                <w:lang w:eastAsia="en-GB"/>
              </w:rPr>
              <w:t>3,420</w:t>
            </w:r>
          </w:p>
        </w:tc>
        <w:tc>
          <w:tcPr>
            <w:tcW w:w="1702" w:type="dxa"/>
            <w:noWrap/>
          </w:tcPr>
          <w:p w14:paraId="24E3CF1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
                <w:szCs w:val="22"/>
                <w:lang w:eastAsia="en-GB"/>
              </w:rPr>
            </w:pPr>
          </w:p>
        </w:tc>
        <w:tc>
          <w:tcPr>
            <w:tcW w:w="1702" w:type="dxa"/>
            <w:noWrap/>
          </w:tcPr>
          <w:p w14:paraId="528D872B"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GB"/>
              </w:rPr>
            </w:pPr>
          </w:p>
        </w:tc>
        <w:tc>
          <w:tcPr>
            <w:tcW w:w="1702" w:type="dxa"/>
            <w:noWrap/>
            <w:hideMark/>
          </w:tcPr>
          <w:p w14:paraId="1A874B39"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
                <w:szCs w:val="22"/>
                <w:lang w:eastAsia="en-GB"/>
              </w:rPr>
            </w:pPr>
            <w:r w:rsidRPr="007228D6">
              <w:rPr>
                <w:b/>
                <w:szCs w:val="22"/>
                <w:lang w:eastAsia="en-GB"/>
              </w:rPr>
              <w:t>4,654</w:t>
            </w:r>
          </w:p>
        </w:tc>
      </w:tr>
      <w:tr w:rsidR="007228D6" w:rsidRPr="007228D6" w14:paraId="5ED2A661" w14:textId="77777777" w:rsidTr="004F4BA7">
        <w:tc>
          <w:tcPr>
            <w:cnfStyle w:val="001000000000" w:firstRow="0" w:lastRow="0" w:firstColumn="1" w:lastColumn="0" w:oddVBand="0" w:evenVBand="0" w:oddHBand="0" w:evenHBand="0" w:firstRowFirstColumn="0" w:firstRowLastColumn="0" w:lastRowFirstColumn="0" w:lastRowLastColumn="0"/>
            <w:tcW w:w="1892" w:type="dxa"/>
            <w:noWrap/>
            <w:hideMark/>
          </w:tcPr>
          <w:p w14:paraId="47B481EC" w14:textId="77777777" w:rsidR="00A13819" w:rsidRPr="007228D6" w:rsidRDefault="00A13819" w:rsidP="001D508A">
            <w:pPr>
              <w:rPr>
                <w:b/>
                <w:bCs/>
                <w:lang w:eastAsia="en-GB"/>
              </w:rPr>
            </w:pPr>
            <w:r w:rsidRPr="007228D6">
              <w:rPr>
                <w:bCs/>
                <w:lang w:eastAsia="en-GB"/>
              </w:rPr>
              <w:t>Greater Cambridge</w:t>
            </w:r>
          </w:p>
        </w:tc>
        <w:tc>
          <w:tcPr>
            <w:tcW w:w="1701" w:type="dxa"/>
            <w:noWrap/>
            <w:hideMark/>
          </w:tcPr>
          <w:p w14:paraId="72E91D7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1,222</w:t>
            </w:r>
          </w:p>
        </w:tc>
        <w:tc>
          <w:tcPr>
            <w:tcW w:w="1702" w:type="dxa"/>
            <w:noWrap/>
          </w:tcPr>
          <w:p w14:paraId="741D2DAE"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p>
        </w:tc>
        <w:tc>
          <w:tcPr>
            <w:tcW w:w="1702" w:type="dxa"/>
            <w:noWrap/>
          </w:tcPr>
          <w:p w14:paraId="1E6E745C"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GB"/>
              </w:rPr>
            </w:pPr>
          </w:p>
        </w:tc>
        <w:tc>
          <w:tcPr>
            <w:tcW w:w="1702" w:type="dxa"/>
            <w:noWrap/>
            <w:hideMark/>
          </w:tcPr>
          <w:p w14:paraId="0E72A28D" w14:textId="77777777" w:rsidR="00A13819" w:rsidRPr="007228D6" w:rsidRDefault="00A13819" w:rsidP="001D508A">
            <w:pPr>
              <w:cnfStyle w:val="000000000000" w:firstRow="0" w:lastRow="0" w:firstColumn="0" w:lastColumn="0" w:oddVBand="0" w:evenVBand="0" w:oddHBand="0" w:evenHBand="0" w:firstRowFirstColumn="0" w:firstRowLastColumn="0" w:lastRowFirstColumn="0" w:lastRowLastColumn="0"/>
              <w:rPr>
                <w:bCs/>
                <w:szCs w:val="22"/>
                <w:lang w:eastAsia="en-GB"/>
              </w:rPr>
            </w:pPr>
            <w:r w:rsidRPr="007228D6">
              <w:rPr>
                <w:bCs/>
                <w:szCs w:val="22"/>
                <w:lang w:eastAsia="en-GB"/>
              </w:rPr>
              <w:t>1,743</w:t>
            </w:r>
          </w:p>
        </w:tc>
      </w:tr>
    </w:tbl>
    <w:p w14:paraId="5245C90E" w14:textId="77777777" w:rsidR="00A13819" w:rsidRDefault="00A13819" w:rsidP="00A441BA">
      <w:pPr>
        <w:pStyle w:val="11Bodytext"/>
        <w:numPr>
          <w:ilvl w:val="0"/>
          <w:numId w:val="0"/>
        </w:numPr>
        <w:spacing w:before="0" w:line="240" w:lineRule="auto"/>
        <w:ind w:left="794"/>
      </w:pPr>
      <w:r>
        <w:t>Source: ONS - Ministry of Housing, Communities &amp; Local Government 2014-based household projections</w:t>
      </w:r>
    </w:p>
    <w:p w14:paraId="3F5EF944" w14:textId="23A7436F" w:rsidR="00A13819" w:rsidRDefault="00A13819" w:rsidP="007D0FBF">
      <w:pPr>
        <w:pStyle w:val="11Bodytext"/>
      </w:pPr>
      <w:r>
        <w:t xml:space="preserve">The affordability adjustment increases the need across the HMA by 1,234 additional dwellings per annum to arrive at an uncapped need of 4,654 </w:t>
      </w:r>
      <w:proofErr w:type="spellStart"/>
      <w:r>
        <w:t>dpa</w:t>
      </w:r>
      <w:proofErr w:type="spellEnd"/>
      <w:r>
        <w:t xml:space="preserve">, this is the output of Step 2. The largest need is in South Cambridgeshire (1,085 </w:t>
      </w:r>
      <w:proofErr w:type="spellStart"/>
      <w:r>
        <w:t>dpa</w:t>
      </w:r>
      <w:proofErr w:type="spellEnd"/>
      <w:r>
        <w:t xml:space="preserve">) and the lowest need is in Fenland (538 </w:t>
      </w:r>
      <w:proofErr w:type="spellStart"/>
      <w:r>
        <w:t>dpa</w:t>
      </w:r>
      <w:proofErr w:type="spellEnd"/>
      <w:r>
        <w:t xml:space="preserve">). If this uncapped need cannot be met, the local authorities will need to demonstrate why and how they are dealing with it. </w:t>
      </w:r>
    </w:p>
    <w:p w14:paraId="398D8670" w14:textId="77777777" w:rsidR="00A13819" w:rsidRDefault="00A13819" w:rsidP="007D0FBF">
      <w:pPr>
        <w:pStyle w:val="Heading3"/>
      </w:pPr>
      <w:r>
        <w:lastRenderedPageBreak/>
        <w:t>Step 3 – Capping the level of any increase</w:t>
      </w:r>
    </w:p>
    <w:p w14:paraId="056B3D46" w14:textId="77777777" w:rsidR="00A13819" w:rsidRDefault="00A13819" w:rsidP="007D0FBF">
      <w:pPr>
        <w:pStyle w:val="11Bodytext"/>
      </w:pPr>
      <w:r>
        <w:t xml:space="preserve">The third step of the standard method is to cap the level of increase to a deliverable level. How the cap is applied depends on the age of the Local Plan and the extent of the housing target within it. </w:t>
      </w:r>
    </w:p>
    <w:p w14:paraId="7E1A5DF3" w14:textId="77777777" w:rsidR="00A13819" w:rsidRPr="00477FF3" w:rsidRDefault="00A13819" w:rsidP="00097650">
      <w:pPr>
        <w:pStyle w:val="10BulletBodytext"/>
      </w:pPr>
      <w:r w:rsidRPr="00477FF3">
        <w:t xml:space="preserve">Where the Local Plan is adopted within the last 5 years (at the point of making the calculation), the local housing needs figure is capped at 40% above the existing housing target. </w:t>
      </w:r>
    </w:p>
    <w:p w14:paraId="549323F8" w14:textId="77777777" w:rsidR="00A13819" w:rsidRPr="00477FF3" w:rsidRDefault="00A13819" w:rsidP="00097650">
      <w:pPr>
        <w:pStyle w:val="10BulletBodytext"/>
      </w:pPr>
      <w:r w:rsidRPr="00477FF3">
        <w:t xml:space="preserve">Where the Local Plan was adopted more than 5 years ago (or is non-existent) then the cap is placed at 40% above the higher of either the existing housing target or the household forecasts. </w:t>
      </w:r>
    </w:p>
    <w:p w14:paraId="2BD7C221" w14:textId="77777777" w:rsidR="00A13819" w:rsidRDefault="00A13819" w:rsidP="007D0FBF">
      <w:pPr>
        <w:pStyle w:val="11Bodytext"/>
        <w:rPr>
          <w:noProof/>
        </w:rPr>
      </w:pPr>
      <w:r>
        <w:rPr>
          <w:noProof/>
        </w:rPr>
        <w:t xml:space="preserve">Where the cap is placed on an adopted housing target and the outcome of Step 2 is lower than the capped figure then the housing need does not extend to the capped figure. To give a worked example if the recently adopted target is 1,000 dpa then the cap would apply to anything above 1,400 dpa. This does not mean the outcome of Step 2 which in this example is 1,200 dpa would be increased to meet the cap but that it remains at 1,200 dpa even if the uplift at step 2 is greater than 40%. </w:t>
      </w:r>
    </w:p>
    <w:p w14:paraId="0F3F2816" w14:textId="5C85519C" w:rsidR="00A13819" w:rsidRDefault="00A13819" w:rsidP="007D0FBF">
      <w:pPr>
        <w:pStyle w:val="11Bodytext"/>
        <w:rPr>
          <w:noProof/>
        </w:rPr>
      </w:pPr>
      <w:r>
        <w:rPr>
          <w:noProof/>
        </w:rPr>
        <w:t xml:space="preserve">The table below summarises the age of the current Local Plans across each authority as well as their housing targets. Based on the criteria above and the analysis presented in the Policy Review in Chapter </w:t>
      </w:r>
      <w:r w:rsidR="00EA54B1">
        <w:rPr>
          <w:noProof/>
        </w:rPr>
        <w:t>2</w:t>
      </w:r>
      <w:r>
        <w:rPr>
          <w:noProof/>
        </w:rPr>
        <w:t xml:space="preserve"> we also set out the theoretical cap for each local authority arriving at the Local Housing Need (Step 3).</w:t>
      </w:r>
      <w:r>
        <w:t xml:space="preserve"> </w:t>
      </w:r>
    </w:p>
    <w:p w14:paraId="04F17B09" w14:textId="77777777" w:rsidR="00A13819" w:rsidRDefault="00A13819" w:rsidP="007D0FBF">
      <w:pPr>
        <w:pStyle w:val="11Bodytext"/>
        <w:rPr>
          <w:noProof/>
        </w:rPr>
      </w:pPr>
      <w:r>
        <w:rPr>
          <w:noProof/>
        </w:rPr>
        <w:t xml:space="preserve">In Cambridge, Huntingdonshire and South Cambridgeshire, where the Local Plans have been adopted within the last 5 years, the local housing need figure is capped at 40% above the existing housing target. </w:t>
      </w:r>
    </w:p>
    <w:p w14:paraId="3F09ADBC" w14:textId="7343ABFF" w:rsidR="00A13819" w:rsidRDefault="00A13819" w:rsidP="007D0FBF">
      <w:pPr>
        <w:pStyle w:val="11Bodytext"/>
        <w:rPr>
          <w:noProof/>
        </w:rPr>
      </w:pPr>
      <w:r>
        <w:rPr>
          <w:noProof/>
        </w:rPr>
        <w:t xml:space="preserve">In East Cambridgeshire, Fenland and West Suffolk where the Local Plan was adopted more than 5 years ago (or is non-existent) then the cap is placed at 40% above the higher of either the existing housing target or the household forecasts.  In all three cases, the adopted target (including the combined targets for </w:t>
      </w:r>
      <w:r w:rsidR="00313287">
        <w:rPr>
          <w:noProof/>
        </w:rPr>
        <w:t xml:space="preserve">former Forest Heath </w:t>
      </w:r>
      <w:r>
        <w:rPr>
          <w:noProof/>
        </w:rPr>
        <w:t xml:space="preserve">and St Edmundsbury) is greater than the output of Step 1 so the cap would be calculated as </w:t>
      </w:r>
      <w:r w:rsidRPr="00A441BA">
        <w:t>40%</w:t>
      </w:r>
      <w:r>
        <w:rPr>
          <w:noProof/>
        </w:rPr>
        <w:t xml:space="preserve"> above the adopted target.   </w:t>
      </w:r>
    </w:p>
    <w:p w14:paraId="715AD83D" w14:textId="5655E04D" w:rsidR="00A13819" w:rsidRDefault="00A13819" w:rsidP="003D5E23">
      <w:pPr>
        <w:pStyle w:val="Tableheading"/>
        <w:numPr>
          <w:ilvl w:val="0"/>
          <w:numId w:val="54"/>
        </w:numPr>
      </w:pPr>
      <w:r>
        <w:lastRenderedPageBreak/>
        <w:t>Housing Need Step 3</w:t>
      </w:r>
      <w:r w:rsidR="00E17EDB">
        <w:rPr>
          <w:rStyle w:val="FootnoteReference"/>
        </w:rPr>
        <w:footnoteReference w:id="10"/>
      </w:r>
    </w:p>
    <w:tbl>
      <w:tblPr>
        <w:tblStyle w:val="TableGridLight1"/>
        <w:tblW w:w="0" w:type="auto"/>
        <w:tblInd w:w="704" w:type="dxa"/>
        <w:tblLook w:val="04A0" w:firstRow="1" w:lastRow="0" w:firstColumn="1" w:lastColumn="0" w:noHBand="0" w:noVBand="1"/>
      </w:tblPr>
      <w:tblGrid>
        <w:gridCol w:w="1901"/>
        <w:gridCol w:w="1120"/>
        <w:gridCol w:w="1186"/>
        <w:gridCol w:w="1307"/>
        <w:gridCol w:w="1086"/>
        <w:gridCol w:w="1004"/>
        <w:gridCol w:w="1030"/>
      </w:tblGrid>
      <w:tr w:rsidR="007228D6" w:rsidRPr="007228D6" w14:paraId="07DA25BA" w14:textId="77777777" w:rsidTr="007228D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hideMark/>
          </w:tcPr>
          <w:p w14:paraId="45269F49" w14:textId="77777777" w:rsidR="00A13819" w:rsidRPr="007228D6" w:rsidRDefault="00A13819" w:rsidP="00A441BA">
            <w:pPr>
              <w:keepNext/>
              <w:rPr>
                <w:b w:val="0"/>
                <w:szCs w:val="24"/>
              </w:rPr>
            </w:pPr>
            <w:bookmarkStart w:id="20" w:name="OLE_LINK1"/>
            <w:r w:rsidRPr="007228D6">
              <w:rPr>
                <w:szCs w:val="24"/>
              </w:rPr>
              <w:t>L</w:t>
            </w:r>
            <w:bookmarkEnd w:id="20"/>
            <w:r w:rsidRPr="007228D6">
              <w:rPr>
                <w:szCs w:val="24"/>
              </w:rPr>
              <w:t>ocal Authority</w:t>
            </w:r>
          </w:p>
        </w:tc>
        <w:tc>
          <w:tcPr>
            <w:tcW w:w="0" w:type="auto"/>
            <w:hideMark/>
          </w:tcPr>
          <w:p w14:paraId="75B9888F"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Average Annual HH Change (Step 1)</w:t>
            </w:r>
          </w:p>
        </w:tc>
        <w:tc>
          <w:tcPr>
            <w:tcW w:w="0" w:type="auto"/>
            <w:hideMark/>
          </w:tcPr>
          <w:p w14:paraId="69B8DC5E"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Uncapped</w:t>
            </w:r>
          </w:p>
          <w:p w14:paraId="73EAFD41"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 xml:space="preserve">Housing Need </w:t>
            </w:r>
          </w:p>
          <w:p w14:paraId="1902912A"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 xml:space="preserve">(Step 2) </w:t>
            </w:r>
          </w:p>
        </w:tc>
        <w:tc>
          <w:tcPr>
            <w:tcW w:w="0" w:type="auto"/>
            <w:hideMark/>
          </w:tcPr>
          <w:p w14:paraId="1287B720"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Current Local Plan Adoption Date</w:t>
            </w:r>
          </w:p>
        </w:tc>
        <w:tc>
          <w:tcPr>
            <w:tcW w:w="0" w:type="auto"/>
            <w:hideMark/>
          </w:tcPr>
          <w:p w14:paraId="7B89094F"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Local Plan Housing Target</w:t>
            </w:r>
          </w:p>
        </w:tc>
        <w:tc>
          <w:tcPr>
            <w:tcW w:w="0" w:type="auto"/>
            <w:hideMark/>
          </w:tcPr>
          <w:p w14:paraId="53370EDD"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Capped Figure (+40%)</w:t>
            </w:r>
          </w:p>
        </w:tc>
        <w:tc>
          <w:tcPr>
            <w:tcW w:w="0" w:type="auto"/>
            <w:hideMark/>
          </w:tcPr>
          <w:p w14:paraId="0242152C"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Housing Need</w:t>
            </w:r>
          </w:p>
          <w:p w14:paraId="3C32E724" w14:textId="77777777" w:rsidR="00A13819" w:rsidRPr="007228D6" w:rsidRDefault="00A13819" w:rsidP="00A441BA">
            <w:pPr>
              <w:keepNext/>
              <w:cnfStyle w:val="100000000000" w:firstRow="1" w:lastRow="0" w:firstColumn="0" w:lastColumn="0" w:oddVBand="0" w:evenVBand="0" w:oddHBand="0" w:evenHBand="0" w:firstRowFirstColumn="0" w:firstRowLastColumn="0" w:lastRowFirstColumn="0" w:lastRowLastColumn="0"/>
              <w:rPr>
                <w:b w:val="0"/>
                <w:szCs w:val="24"/>
              </w:rPr>
            </w:pPr>
            <w:r w:rsidRPr="007228D6">
              <w:rPr>
                <w:szCs w:val="24"/>
              </w:rPr>
              <w:t xml:space="preserve">(Step 3) </w:t>
            </w:r>
          </w:p>
        </w:tc>
      </w:tr>
      <w:tr w:rsidR="007228D6" w:rsidRPr="007228D6" w14:paraId="7C342DBB"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56E60C49" w14:textId="77777777" w:rsidR="00A13819" w:rsidRPr="007228D6" w:rsidRDefault="00A13819" w:rsidP="00A441BA">
            <w:pPr>
              <w:keepNext/>
              <w:rPr>
                <w:b/>
                <w:bCs/>
                <w:szCs w:val="24"/>
                <w:lang w:eastAsia="en-GB"/>
              </w:rPr>
            </w:pPr>
            <w:r w:rsidRPr="007228D6">
              <w:rPr>
                <w:bCs/>
                <w:szCs w:val="24"/>
                <w:lang w:eastAsia="en-GB"/>
              </w:rPr>
              <w:t>Cambridge</w:t>
            </w:r>
          </w:p>
        </w:tc>
        <w:tc>
          <w:tcPr>
            <w:tcW w:w="0" w:type="auto"/>
            <w:noWrap/>
            <w:hideMark/>
          </w:tcPr>
          <w:p w14:paraId="527243CE"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425</w:t>
            </w:r>
          </w:p>
        </w:tc>
        <w:tc>
          <w:tcPr>
            <w:tcW w:w="0" w:type="auto"/>
            <w:noWrap/>
            <w:hideMark/>
          </w:tcPr>
          <w:p w14:paraId="04A01646"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658</w:t>
            </w:r>
          </w:p>
        </w:tc>
        <w:tc>
          <w:tcPr>
            <w:tcW w:w="0" w:type="auto"/>
            <w:noWrap/>
            <w:hideMark/>
          </w:tcPr>
          <w:p w14:paraId="0C832624"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18/10/2018</w:t>
            </w:r>
          </w:p>
          <w:p w14:paraId="1E5AFB16"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(&lt;5 Years)</w:t>
            </w:r>
          </w:p>
        </w:tc>
        <w:tc>
          <w:tcPr>
            <w:tcW w:w="0" w:type="auto"/>
            <w:noWrap/>
            <w:hideMark/>
          </w:tcPr>
          <w:p w14:paraId="235F43D3"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700</w:t>
            </w:r>
          </w:p>
        </w:tc>
        <w:tc>
          <w:tcPr>
            <w:tcW w:w="0" w:type="auto"/>
            <w:noWrap/>
            <w:hideMark/>
          </w:tcPr>
          <w:p w14:paraId="18B9BE69"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980</w:t>
            </w:r>
          </w:p>
        </w:tc>
        <w:tc>
          <w:tcPr>
            <w:tcW w:w="0" w:type="auto"/>
            <w:noWrap/>
            <w:hideMark/>
          </w:tcPr>
          <w:p w14:paraId="28CA83EF"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658</w:t>
            </w:r>
          </w:p>
        </w:tc>
      </w:tr>
      <w:tr w:rsidR="007228D6" w:rsidRPr="007228D6" w14:paraId="7F227E3F"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B4AD4" w14:textId="77777777" w:rsidR="00A13819" w:rsidRPr="007228D6" w:rsidRDefault="00A13819" w:rsidP="00A441BA">
            <w:pPr>
              <w:keepNext/>
              <w:rPr>
                <w:b/>
                <w:bCs/>
                <w:szCs w:val="24"/>
                <w:lang w:eastAsia="en-GB"/>
              </w:rPr>
            </w:pPr>
            <w:r w:rsidRPr="007228D6">
              <w:rPr>
                <w:bCs/>
                <w:szCs w:val="24"/>
                <w:lang w:eastAsia="en-GB"/>
              </w:rPr>
              <w:t>East Cambs</w:t>
            </w:r>
          </w:p>
        </w:tc>
        <w:tc>
          <w:tcPr>
            <w:tcW w:w="0" w:type="auto"/>
            <w:noWrap/>
            <w:hideMark/>
          </w:tcPr>
          <w:p w14:paraId="2A029670"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429</w:t>
            </w:r>
          </w:p>
        </w:tc>
        <w:tc>
          <w:tcPr>
            <w:tcW w:w="0" w:type="auto"/>
            <w:noWrap/>
            <w:hideMark/>
          </w:tcPr>
          <w:p w14:paraId="4051FE0F"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597</w:t>
            </w:r>
          </w:p>
        </w:tc>
        <w:tc>
          <w:tcPr>
            <w:tcW w:w="0" w:type="auto"/>
            <w:noWrap/>
            <w:hideMark/>
          </w:tcPr>
          <w:p w14:paraId="248C6835"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21/04/2015</w:t>
            </w:r>
          </w:p>
          <w:p w14:paraId="39867C2A"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(&gt;5 Years)</w:t>
            </w:r>
          </w:p>
        </w:tc>
        <w:tc>
          <w:tcPr>
            <w:tcW w:w="0" w:type="auto"/>
            <w:noWrap/>
            <w:hideMark/>
          </w:tcPr>
          <w:p w14:paraId="775638F6"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575</w:t>
            </w:r>
          </w:p>
        </w:tc>
        <w:tc>
          <w:tcPr>
            <w:tcW w:w="0" w:type="auto"/>
            <w:noWrap/>
            <w:hideMark/>
          </w:tcPr>
          <w:p w14:paraId="41D4302D"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805</w:t>
            </w:r>
          </w:p>
        </w:tc>
        <w:tc>
          <w:tcPr>
            <w:tcW w:w="0" w:type="auto"/>
            <w:noWrap/>
            <w:hideMark/>
          </w:tcPr>
          <w:p w14:paraId="0448FD1A"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597</w:t>
            </w:r>
          </w:p>
        </w:tc>
      </w:tr>
      <w:tr w:rsidR="007228D6" w:rsidRPr="007228D6" w14:paraId="3F3D6E8A"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695232BE" w14:textId="77777777" w:rsidR="00A13819" w:rsidRPr="007228D6" w:rsidRDefault="00A13819" w:rsidP="00A441BA">
            <w:pPr>
              <w:keepNext/>
              <w:rPr>
                <w:b/>
                <w:bCs/>
                <w:szCs w:val="24"/>
                <w:lang w:eastAsia="en-GB"/>
              </w:rPr>
            </w:pPr>
            <w:r w:rsidRPr="007228D6">
              <w:rPr>
                <w:bCs/>
                <w:szCs w:val="24"/>
                <w:lang w:eastAsia="en-GB"/>
              </w:rPr>
              <w:t>Fenland</w:t>
            </w:r>
          </w:p>
        </w:tc>
        <w:tc>
          <w:tcPr>
            <w:tcW w:w="0" w:type="auto"/>
            <w:noWrap/>
            <w:hideMark/>
          </w:tcPr>
          <w:p w14:paraId="1171869B"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428</w:t>
            </w:r>
          </w:p>
        </w:tc>
        <w:tc>
          <w:tcPr>
            <w:tcW w:w="0" w:type="auto"/>
            <w:noWrap/>
            <w:hideMark/>
          </w:tcPr>
          <w:p w14:paraId="4B45AB25"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538</w:t>
            </w:r>
          </w:p>
        </w:tc>
        <w:tc>
          <w:tcPr>
            <w:tcW w:w="0" w:type="auto"/>
            <w:noWrap/>
            <w:hideMark/>
          </w:tcPr>
          <w:p w14:paraId="4AC3852E"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08/05/2014</w:t>
            </w:r>
          </w:p>
          <w:p w14:paraId="49D90E47"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(&gt;5 Years)</w:t>
            </w:r>
          </w:p>
        </w:tc>
        <w:tc>
          <w:tcPr>
            <w:tcW w:w="0" w:type="auto"/>
            <w:noWrap/>
            <w:hideMark/>
          </w:tcPr>
          <w:p w14:paraId="27058818"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550</w:t>
            </w:r>
          </w:p>
        </w:tc>
        <w:tc>
          <w:tcPr>
            <w:tcW w:w="0" w:type="auto"/>
            <w:noWrap/>
            <w:hideMark/>
          </w:tcPr>
          <w:p w14:paraId="1A42D371"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770</w:t>
            </w:r>
          </w:p>
        </w:tc>
        <w:tc>
          <w:tcPr>
            <w:tcW w:w="0" w:type="auto"/>
            <w:noWrap/>
            <w:hideMark/>
          </w:tcPr>
          <w:p w14:paraId="10B65DE9"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538</w:t>
            </w:r>
          </w:p>
        </w:tc>
      </w:tr>
      <w:tr w:rsidR="007228D6" w:rsidRPr="007228D6" w14:paraId="7011DA0C"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32C67522" w14:textId="77777777" w:rsidR="00A13819" w:rsidRPr="007228D6" w:rsidRDefault="00A13819" w:rsidP="00A441BA">
            <w:pPr>
              <w:keepNext/>
              <w:rPr>
                <w:b/>
                <w:bCs/>
                <w:szCs w:val="24"/>
                <w:lang w:eastAsia="en-GB"/>
              </w:rPr>
            </w:pPr>
            <w:r w:rsidRPr="007228D6">
              <w:rPr>
                <w:szCs w:val="24"/>
              </w:rPr>
              <w:t>Huntingdonshire</w:t>
            </w:r>
          </w:p>
        </w:tc>
        <w:tc>
          <w:tcPr>
            <w:tcW w:w="0" w:type="auto"/>
            <w:noWrap/>
            <w:hideMark/>
          </w:tcPr>
          <w:p w14:paraId="02885A65"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733</w:t>
            </w:r>
          </w:p>
        </w:tc>
        <w:tc>
          <w:tcPr>
            <w:tcW w:w="0" w:type="auto"/>
            <w:noWrap/>
            <w:hideMark/>
          </w:tcPr>
          <w:p w14:paraId="44007B48"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976</w:t>
            </w:r>
          </w:p>
        </w:tc>
        <w:tc>
          <w:tcPr>
            <w:tcW w:w="0" w:type="auto"/>
            <w:noWrap/>
            <w:hideMark/>
          </w:tcPr>
          <w:p w14:paraId="6186418A"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15/05/2019</w:t>
            </w:r>
          </w:p>
          <w:p w14:paraId="768D2771"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(&lt;5 Years)</w:t>
            </w:r>
          </w:p>
        </w:tc>
        <w:tc>
          <w:tcPr>
            <w:tcW w:w="0" w:type="auto"/>
            <w:noWrap/>
            <w:hideMark/>
          </w:tcPr>
          <w:p w14:paraId="202F11DD"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804</w:t>
            </w:r>
          </w:p>
        </w:tc>
        <w:tc>
          <w:tcPr>
            <w:tcW w:w="0" w:type="auto"/>
            <w:noWrap/>
            <w:hideMark/>
          </w:tcPr>
          <w:p w14:paraId="48CD0FD8"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1,126</w:t>
            </w:r>
          </w:p>
        </w:tc>
        <w:tc>
          <w:tcPr>
            <w:tcW w:w="0" w:type="auto"/>
            <w:noWrap/>
            <w:hideMark/>
          </w:tcPr>
          <w:p w14:paraId="7DE5B306"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976</w:t>
            </w:r>
          </w:p>
        </w:tc>
      </w:tr>
      <w:tr w:rsidR="007228D6" w:rsidRPr="007228D6" w14:paraId="1DEAF0A8"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77E6FBB6" w14:textId="77777777" w:rsidR="00A13819" w:rsidRPr="007228D6" w:rsidRDefault="00A13819" w:rsidP="00A441BA">
            <w:pPr>
              <w:keepNext/>
              <w:rPr>
                <w:b/>
                <w:bCs/>
                <w:szCs w:val="24"/>
                <w:lang w:eastAsia="en-GB"/>
              </w:rPr>
            </w:pPr>
            <w:r w:rsidRPr="007228D6">
              <w:rPr>
                <w:bCs/>
                <w:szCs w:val="24"/>
              </w:rPr>
              <w:t>South Cambs</w:t>
            </w:r>
          </w:p>
        </w:tc>
        <w:tc>
          <w:tcPr>
            <w:tcW w:w="0" w:type="auto"/>
            <w:noWrap/>
            <w:hideMark/>
          </w:tcPr>
          <w:p w14:paraId="735370F9"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797</w:t>
            </w:r>
          </w:p>
        </w:tc>
        <w:tc>
          <w:tcPr>
            <w:tcW w:w="0" w:type="auto"/>
            <w:noWrap/>
            <w:hideMark/>
          </w:tcPr>
          <w:p w14:paraId="6321E409"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1,085</w:t>
            </w:r>
          </w:p>
        </w:tc>
        <w:tc>
          <w:tcPr>
            <w:tcW w:w="0" w:type="auto"/>
            <w:noWrap/>
            <w:hideMark/>
          </w:tcPr>
          <w:p w14:paraId="2636168C"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27/09/2018</w:t>
            </w:r>
          </w:p>
          <w:p w14:paraId="040BB435"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(&lt;5 Years)</w:t>
            </w:r>
          </w:p>
        </w:tc>
        <w:tc>
          <w:tcPr>
            <w:tcW w:w="0" w:type="auto"/>
            <w:noWrap/>
            <w:hideMark/>
          </w:tcPr>
          <w:p w14:paraId="500D0356"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975</w:t>
            </w:r>
          </w:p>
        </w:tc>
        <w:tc>
          <w:tcPr>
            <w:tcW w:w="0" w:type="auto"/>
            <w:noWrap/>
            <w:hideMark/>
          </w:tcPr>
          <w:p w14:paraId="1E45C8EB"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1,365</w:t>
            </w:r>
          </w:p>
        </w:tc>
        <w:tc>
          <w:tcPr>
            <w:tcW w:w="0" w:type="auto"/>
            <w:noWrap/>
            <w:hideMark/>
          </w:tcPr>
          <w:p w14:paraId="7639AE91"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1,085</w:t>
            </w:r>
          </w:p>
        </w:tc>
      </w:tr>
      <w:tr w:rsidR="007228D6" w:rsidRPr="007228D6" w14:paraId="78B604FB"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591F19CC" w14:textId="77777777" w:rsidR="00A13819" w:rsidRPr="007228D6" w:rsidRDefault="00A13819" w:rsidP="00A441BA">
            <w:pPr>
              <w:keepNext/>
              <w:rPr>
                <w:b/>
                <w:bCs/>
                <w:i/>
                <w:szCs w:val="24"/>
                <w:lang w:eastAsia="en-GB"/>
              </w:rPr>
            </w:pPr>
            <w:r w:rsidRPr="007228D6">
              <w:rPr>
                <w:bCs/>
                <w:i/>
                <w:szCs w:val="24"/>
                <w:lang w:eastAsia="en-GB"/>
              </w:rPr>
              <w:t>Forest Heath</w:t>
            </w:r>
          </w:p>
        </w:tc>
        <w:tc>
          <w:tcPr>
            <w:tcW w:w="0" w:type="auto"/>
            <w:noWrap/>
            <w:hideMark/>
          </w:tcPr>
          <w:p w14:paraId="192D8CDD"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280</w:t>
            </w:r>
          </w:p>
        </w:tc>
        <w:tc>
          <w:tcPr>
            <w:tcW w:w="0" w:type="auto"/>
            <w:noWrap/>
            <w:hideMark/>
          </w:tcPr>
          <w:p w14:paraId="0381C764"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369</w:t>
            </w:r>
          </w:p>
        </w:tc>
        <w:tc>
          <w:tcPr>
            <w:tcW w:w="0" w:type="auto"/>
            <w:noWrap/>
            <w:hideMark/>
          </w:tcPr>
          <w:p w14:paraId="24CAF749"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19/09/2019</w:t>
            </w:r>
          </w:p>
          <w:p w14:paraId="197D6897"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szCs w:val="24"/>
                <w:lang w:eastAsia="en-GB"/>
              </w:rPr>
              <w:t>(&lt;5 Years)</w:t>
            </w:r>
          </w:p>
        </w:tc>
        <w:tc>
          <w:tcPr>
            <w:tcW w:w="0" w:type="auto"/>
            <w:noWrap/>
            <w:hideMark/>
          </w:tcPr>
          <w:p w14:paraId="7B221DC0"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340</w:t>
            </w:r>
          </w:p>
        </w:tc>
        <w:tc>
          <w:tcPr>
            <w:tcW w:w="0" w:type="auto"/>
            <w:noWrap/>
            <w:hideMark/>
          </w:tcPr>
          <w:p w14:paraId="66DC5817"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476</w:t>
            </w:r>
          </w:p>
        </w:tc>
        <w:tc>
          <w:tcPr>
            <w:tcW w:w="0" w:type="auto"/>
            <w:noWrap/>
            <w:hideMark/>
          </w:tcPr>
          <w:p w14:paraId="2E2C689C"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369</w:t>
            </w:r>
          </w:p>
        </w:tc>
      </w:tr>
      <w:tr w:rsidR="007228D6" w:rsidRPr="007228D6" w14:paraId="3ED8FF47"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79EA08FE" w14:textId="77777777" w:rsidR="00A13819" w:rsidRPr="007228D6" w:rsidRDefault="00A13819" w:rsidP="00A441BA">
            <w:pPr>
              <w:keepNext/>
              <w:rPr>
                <w:b/>
                <w:bCs/>
                <w:i/>
                <w:szCs w:val="24"/>
                <w:lang w:eastAsia="en-GB"/>
              </w:rPr>
            </w:pPr>
            <w:r w:rsidRPr="007228D6">
              <w:rPr>
                <w:bCs/>
                <w:i/>
                <w:szCs w:val="24"/>
                <w:lang w:eastAsia="en-GB"/>
              </w:rPr>
              <w:t>St Edmundsbury</w:t>
            </w:r>
          </w:p>
        </w:tc>
        <w:tc>
          <w:tcPr>
            <w:tcW w:w="0" w:type="auto"/>
            <w:noWrap/>
            <w:hideMark/>
          </w:tcPr>
          <w:p w14:paraId="2267E333"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328</w:t>
            </w:r>
          </w:p>
        </w:tc>
        <w:tc>
          <w:tcPr>
            <w:tcW w:w="0" w:type="auto"/>
            <w:noWrap/>
            <w:hideMark/>
          </w:tcPr>
          <w:p w14:paraId="0683D6CD"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431</w:t>
            </w:r>
          </w:p>
        </w:tc>
        <w:tc>
          <w:tcPr>
            <w:tcW w:w="0" w:type="auto"/>
            <w:noWrap/>
            <w:hideMark/>
          </w:tcPr>
          <w:p w14:paraId="0AD41D97"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14/12/2010</w:t>
            </w:r>
          </w:p>
          <w:p w14:paraId="067FD64B"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szCs w:val="24"/>
                <w:lang w:eastAsia="en-GB"/>
              </w:rPr>
              <w:t>(&gt;5 Years)</w:t>
            </w:r>
          </w:p>
        </w:tc>
        <w:tc>
          <w:tcPr>
            <w:tcW w:w="0" w:type="auto"/>
            <w:noWrap/>
            <w:hideMark/>
          </w:tcPr>
          <w:p w14:paraId="714CA3B4"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577*</w:t>
            </w:r>
          </w:p>
        </w:tc>
        <w:tc>
          <w:tcPr>
            <w:tcW w:w="0" w:type="auto"/>
            <w:noWrap/>
            <w:hideMark/>
          </w:tcPr>
          <w:p w14:paraId="243133E4"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718</w:t>
            </w:r>
          </w:p>
        </w:tc>
        <w:tc>
          <w:tcPr>
            <w:tcW w:w="0" w:type="auto"/>
            <w:noWrap/>
            <w:hideMark/>
          </w:tcPr>
          <w:p w14:paraId="0EA08347"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i/>
                <w:szCs w:val="24"/>
                <w:lang w:eastAsia="en-GB"/>
              </w:rPr>
            </w:pPr>
            <w:r w:rsidRPr="007228D6">
              <w:rPr>
                <w:i/>
                <w:szCs w:val="24"/>
                <w:lang w:eastAsia="en-GB"/>
              </w:rPr>
              <w:t>431</w:t>
            </w:r>
          </w:p>
        </w:tc>
      </w:tr>
      <w:tr w:rsidR="007228D6" w:rsidRPr="007228D6" w14:paraId="372603D1"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25C62162" w14:textId="77777777" w:rsidR="00A13819" w:rsidRPr="007228D6" w:rsidRDefault="00A13819" w:rsidP="00A441BA">
            <w:pPr>
              <w:keepNext/>
              <w:rPr>
                <w:b/>
                <w:bCs/>
                <w:szCs w:val="24"/>
                <w:lang w:eastAsia="en-GB"/>
              </w:rPr>
            </w:pPr>
            <w:r w:rsidRPr="007228D6">
              <w:rPr>
                <w:bCs/>
                <w:szCs w:val="24"/>
                <w:lang w:eastAsia="en-GB"/>
              </w:rPr>
              <w:t>West Suffolk</w:t>
            </w:r>
          </w:p>
        </w:tc>
        <w:tc>
          <w:tcPr>
            <w:tcW w:w="0" w:type="auto"/>
            <w:noWrap/>
            <w:hideMark/>
          </w:tcPr>
          <w:p w14:paraId="3CFB773B"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608</w:t>
            </w:r>
          </w:p>
        </w:tc>
        <w:tc>
          <w:tcPr>
            <w:tcW w:w="0" w:type="auto"/>
            <w:noWrap/>
            <w:hideMark/>
          </w:tcPr>
          <w:p w14:paraId="1619E8FB"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800</w:t>
            </w:r>
          </w:p>
        </w:tc>
        <w:tc>
          <w:tcPr>
            <w:tcW w:w="0" w:type="auto"/>
            <w:noWrap/>
            <w:hideMark/>
          </w:tcPr>
          <w:p w14:paraId="7B0B90CA"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p>
        </w:tc>
        <w:tc>
          <w:tcPr>
            <w:tcW w:w="0" w:type="auto"/>
            <w:noWrap/>
            <w:hideMark/>
          </w:tcPr>
          <w:p w14:paraId="05BE8AA6"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Cs w:val="24"/>
                <w:lang w:eastAsia="en-GB"/>
              </w:rPr>
            </w:pPr>
          </w:p>
        </w:tc>
        <w:tc>
          <w:tcPr>
            <w:tcW w:w="0" w:type="auto"/>
            <w:noWrap/>
            <w:hideMark/>
          </w:tcPr>
          <w:p w14:paraId="79D9C01E"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1,194</w:t>
            </w:r>
          </w:p>
        </w:tc>
        <w:tc>
          <w:tcPr>
            <w:tcW w:w="0" w:type="auto"/>
            <w:noWrap/>
            <w:hideMark/>
          </w:tcPr>
          <w:p w14:paraId="31AC397B"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800</w:t>
            </w:r>
          </w:p>
        </w:tc>
      </w:tr>
      <w:tr w:rsidR="007228D6" w:rsidRPr="007228D6" w14:paraId="06E9ACB8"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486D447D" w14:textId="77777777" w:rsidR="00A13819" w:rsidRPr="004F4BA7" w:rsidRDefault="00A13819" w:rsidP="00A441BA">
            <w:pPr>
              <w:keepNext/>
              <w:rPr>
                <w:b/>
                <w:bCs/>
                <w:szCs w:val="24"/>
                <w:lang w:eastAsia="en-GB"/>
              </w:rPr>
            </w:pPr>
            <w:r w:rsidRPr="004F4BA7">
              <w:rPr>
                <w:b/>
                <w:bCs/>
                <w:szCs w:val="24"/>
                <w:lang w:eastAsia="en-GB"/>
              </w:rPr>
              <w:t>HMA</w:t>
            </w:r>
          </w:p>
        </w:tc>
        <w:tc>
          <w:tcPr>
            <w:tcW w:w="0" w:type="auto"/>
            <w:noWrap/>
            <w:hideMark/>
          </w:tcPr>
          <w:p w14:paraId="22E947E7"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b/>
                <w:szCs w:val="24"/>
                <w:lang w:eastAsia="en-GB"/>
              </w:rPr>
            </w:pPr>
            <w:r w:rsidRPr="007228D6">
              <w:rPr>
                <w:b/>
                <w:szCs w:val="24"/>
                <w:lang w:eastAsia="en-GB"/>
              </w:rPr>
              <w:t>3,420</w:t>
            </w:r>
          </w:p>
        </w:tc>
        <w:tc>
          <w:tcPr>
            <w:tcW w:w="0" w:type="auto"/>
            <w:noWrap/>
            <w:hideMark/>
          </w:tcPr>
          <w:p w14:paraId="6A78303F"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b/>
                <w:szCs w:val="24"/>
                <w:lang w:eastAsia="en-GB"/>
              </w:rPr>
            </w:pPr>
            <w:r w:rsidRPr="007228D6">
              <w:rPr>
                <w:b/>
                <w:szCs w:val="24"/>
                <w:lang w:eastAsia="en-GB"/>
              </w:rPr>
              <w:t>4,654</w:t>
            </w:r>
          </w:p>
        </w:tc>
        <w:tc>
          <w:tcPr>
            <w:tcW w:w="0" w:type="auto"/>
            <w:noWrap/>
            <w:hideMark/>
          </w:tcPr>
          <w:p w14:paraId="1FDFDE18"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b/>
                <w:szCs w:val="24"/>
                <w:lang w:eastAsia="en-GB"/>
              </w:rPr>
            </w:pPr>
          </w:p>
        </w:tc>
        <w:tc>
          <w:tcPr>
            <w:tcW w:w="0" w:type="auto"/>
            <w:noWrap/>
            <w:hideMark/>
          </w:tcPr>
          <w:p w14:paraId="6A580633"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Cs w:val="24"/>
                <w:lang w:eastAsia="en-GB"/>
              </w:rPr>
            </w:pPr>
          </w:p>
        </w:tc>
        <w:tc>
          <w:tcPr>
            <w:tcW w:w="0" w:type="auto"/>
            <w:noWrap/>
            <w:hideMark/>
          </w:tcPr>
          <w:p w14:paraId="4DF2B74E"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b/>
                <w:szCs w:val="24"/>
                <w:lang w:eastAsia="en-GB"/>
              </w:rPr>
            </w:pPr>
            <w:r w:rsidRPr="007228D6">
              <w:rPr>
                <w:b/>
                <w:szCs w:val="24"/>
                <w:lang w:eastAsia="en-GB"/>
              </w:rPr>
              <w:t>7,434</w:t>
            </w:r>
          </w:p>
        </w:tc>
        <w:tc>
          <w:tcPr>
            <w:tcW w:w="0" w:type="auto"/>
            <w:noWrap/>
            <w:hideMark/>
          </w:tcPr>
          <w:p w14:paraId="736F10F0"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b/>
                <w:szCs w:val="24"/>
                <w:lang w:eastAsia="en-GB"/>
              </w:rPr>
            </w:pPr>
            <w:r w:rsidRPr="007228D6">
              <w:rPr>
                <w:b/>
                <w:szCs w:val="24"/>
                <w:lang w:eastAsia="en-GB"/>
              </w:rPr>
              <w:t>4,654</w:t>
            </w:r>
          </w:p>
        </w:tc>
      </w:tr>
      <w:tr w:rsidR="007228D6" w:rsidRPr="007228D6" w14:paraId="5EF1A736" w14:textId="77777777" w:rsidTr="007228D6">
        <w:trPr>
          <w:trHeight w:val="276"/>
        </w:trPr>
        <w:tc>
          <w:tcPr>
            <w:cnfStyle w:val="001000000000" w:firstRow="0" w:lastRow="0" w:firstColumn="1" w:lastColumn="0" w:oddVBand="0" w:evenVBand="0" w:oddHBand="0" w:evenHBand="0" w:firstRowFirstColumn="0" w:firstRowLastColumn="0" w:lastRowFirstColumn="0" w:lastRowLastColumn="0"/>
            <w:tcW w:w="0" w:type="auto"/>
            <w:noWrap/>
            <w:hideMark/>
          </w:tcPr>
          <w:p w14:paraId="4D93C71D" w14:textId="77777777" w:rsidR="00A13819" w:rsidRPr="007228D6" w:rsidRDefault="00A13819" w:rsidP="00A441BA">
            <w:pPr>
              <w:keepNext/>
              <w:rPr>
                <w:b/>
                <w:bCs/>
                <w:szCs w:val="24"/>
                <w:lang w:eastAsia="en-GB"/>
              </w:rPr>
            </w:pPr>
            <w:r w:rsidRPr="007228D6">
              <w:rPr>
                <w:bCs/>
                <w:szCs w:val="24"/>
                <w:lang w:eastAsia="en-GB"/>
              </w:rPr>
              <w:t>Greater Cambridge</w:t>
            </w:r>
          </w:p>
        </w:tc>
        <w:tc>
          <w:tcPr>
            <w:tcW w:w="0" w:type="auto"/>
            <w:noWrap/>
            <w:hideMark/>
          </w:tcPr>
          <w:p w14:paraId="394A8D2F"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1,222</w:t>
            </w:r>
          </w:p>
        </w:tc>
        <w:tc>
          <w:tcPr>
            <w:tcW w:w="0" w:type="auto"/>
            <w:noWrap/>
            <w:hideMark/>
          </w:tcPr>
          <w:p w14:paraId="7C172241"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1,743</w:t>
            </w:r>
          </w:p>
        </w:tc>
        <w:tc>
          <w:tcPr>
            <w:tcW w:w="0" w:type="auto"/>
            <w:noWrap/>
            <w:hideMark/>
          </w:tcPr>
          <w:p w14:paraId="1E8A242E"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p>
        </w:tc>
        <w:tc>
          <w:tcPr>
            <w:tcW w:w="0" w:type="auto"/>
            <w:noWrap/>
            <w:hideMark/>
          </w:tcPr>
          <w:p w14:paraId="349AC943"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Cs w:val="24"/>
                <w:lang w:eastAsia="en-GB"/>
              </w:rPr>
            </w:pPr>
          </w:p>
        </w:tc>
        <w:tc>
          <w:tcPr>
            <w:tcW w:w="0" w:type="auto"/>
            <w:noWrap/>
            <w:hideMark/>
          </w:tcPr>
          <w:p w14:paraId="3127CCEF"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2,345</w:t>
            </w:r>
          </w:p>
        </w:tc>
        <w:tc>
          <w:tcPr>
            <w:tcW w:w="0" w:type="auto"/>
            <w:noWrap/>
            <w:hideMark/>
          </w:tcPr>
          <w:p w14:paraId="5EEDAC23" w14:textId="77777777" w:rsidR="00A13819" w:rsidRPr="007228D6" w:rsidRDefault="00A13819" w:rsidP="00A441BA">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7228D6">
              <w:rPr>
                <w:szCs w:val="24"/>
                <w:lang w:eastAsia="en-GB"/>
              </w:rPr>
              <w:t>1,743</w:t>
            </w:r>
          </w:p>
        </w:tc>
      </w:tr>
    </w:tbl>
    <w:p w14:paraId="77A89D0D" w14:textId="77777777" w:rsidR="00A13819" w:rsidRDefault="00A13819" w:rsidP="00A441BA">
      <w:pPr>
        <w:pStyle w:val="11Bodytext"/>
        <w:keepNext/>
        <w:numPr>
          <w:ilvl w:val="0"/>
          <w:numId w:val="0"/>
        </w:numPr>
        <w:spacing w:before="0"/>
        <w:ind w:left="794"/>
      </w:pPr>
      <w:r>
        <w:t xml:space="preserve">Source: ONS and Council </w:t>
      </w:r>
      <w:proofErr w:type="gramStart"/>
      <w:r>
        <w:t>Data  *</w:t>
      </w:r>
      <w:proofErr w:type="gramEnd"/>
      <w:r>
        <w:t xml:space="preserve">577 </w:t>
      </w:r>
      <w:proofErr w:type="spellStart"/>
      <w:r>
        <w:t>dpa</w:t>
      </w:r>
      <w:proofErr w:type="spellEnd"/>
      <w:r>
        <w:t xml:space="preserve"> is part of stepped target for 2017-31</w:t>
      </w:r>
    </w:p>
    <w:p w14:paraId="49523381" w14:textId="3813E031" w:rsidR="00A13819" w:rsidRDefault="00A13819" w:rsidP="007D0FBF">
      <w:pPr>
        <w:pStyle w:val="11Bodytext"/>
      </w:pPr>
      <w:r>
        <w:rPr>
          <w:noProof/>
        </w:rPr>
        <w:t>Across all authorities, t</w:t>
      </w:r>
      <w:r>
        <w:t xml:space="preserve">he housing need would be capped at a figure which is greater than the minimum annual local housing need figure (in Step 2) and therefore </w:t>
      </w:r>
      <w:r w:rsidRPr="00526C6E">
        <w:rPr>
          <w:u w:val="single"/>
        </w:rPr>
        <w:t>does not limit</w:t>
      </w:r>
      <w:r>
        <w:t xml:space="preserve"> the increase to the housing need figure as set out in step 2. </w:t>
      </w:r>
      <w:r w:rsidRPr="00526C6E">
        <w:rPr>
          <w:b/>
        </w:rPr>
        <w:t xml:space="preserve"> The minimum housing need figure for the HMA is therefore 4,654 dwellings per annum based on PPG from 2019</w:t>
      </w:r>
      <w:r>
        <w:t xml:space="preserve">. </w:t>
      </w:r>
    </w:p>
    <w:p w14:paraId="718ECAD4" w14:textId="77777777" w:rsidR="00A13819" w:rsidRDefault="00A13819" w:rsidP="007D0FBF">
      <w:pPr>
        <w:pStyle w:val="11Bodytext"/>
      </w:pPr>
      <w:r>
        <w:t>As per the PPG (Reference ID: 2a-013-20190220) where plans are developed across more than one area:</w:t>
      </w:r>
    </w:p>
    <w:p w14:paraId="0E082799" w14:textId="77777777" w:rsidR="00A13819" w:rsidRDefault="00A13819" w:rsidP="00B126BB">
      <w:pPr>
        <w:pStyle w:val="Quotetext"/>
      </w:pPr>
      <w:r>
        <w:t>“The housing need for the defined area should at least be the sum of the local housing need for each local planning authority within the area. It will be for the relevant strategic policy-making authority to distribute the total housing requirement which is then arrived at across the plan area.”</w:t>
      </w:r>
    </w:p>
    <w:p w14:paraId="69E3C05E" w14:textId="6F97E249" w:rsidR="00A13819" w:rsidRDefault="0006168A" w:rsidP="007D0FBF">
      <w:pPr>
        <w:pStyle w:val="11Bodytext"/>
      </w:pPr>
      <w:r>
        <w:lastRenderedPageBreak/>
        <w:t>While the passage of PPG applies only the Greater Cambridge area (</w:t>
      </w:r>
      <w:r w:rsidRPr="0006168A">
        <w:t>Cambridge and South Cambridgeshire</w:t>
      </w:r>
      <w:r>
        <w:t>) given that it is only these authorities that are producing a joint Local Plan, in the event</w:t>
      </w:r>
      <w:r w:rsidR="00A13819">
        <w:t xml:space="preserve"> the Councils </w:t>
      </w:r>
      <w:r>
        <w:t xml:space="preserve">that comprise the HMA </w:t>
      </w:r>
      <w:r w:rsidR="00A13819">
        <w:t xml:space="preserve">decide to continue to work together, the need, and therefore the growth, can be redistributed in a way that reflects each authority’s capacity to do so (subject to their agreement to take on any unmet need from neighbouring authorities).  Such decisions are outside the scope of this work but may </w:t>
      </w:r>
      <w:proofErr w:type="gramStart"/>
      <w:r w:rsidR="00A13819">
        <w:t>take into account</w:t>
      </w:r>
      <w:proofErr w:type="gramEnd"/>
      <w:r w:rsidR="00A13819">
        <w:t xml:space="preserve"> capacity, infrastructure, viability and local political aspiration to meet the need identified across the wider geographical area. </w:t>
      </w:r>
    </w:p>
    <w:p w14:paraId="6157C14B" w14:textId="77777777" w:rsidR="00A13819" w:rsidRDefault="00A13819" w:rsidP="007D0FBF">
      <w:pPr>
        <w:pStyle w:val="Heading3"/>
      </w:pPr>
      <w:r>
        <w:t>Developing a Population Projection based on the Standard Method</w:t>
      </w:r>
    </w:p>
    <w:p w14:paraId="7E9F50B4" w14:textId="77777777" w:rsidR="00A13819" w:rsidRDefault="00A13819" w:rsidP="007D0FBF">
      <w:pPr>
        <w:pStyle w:val="11Bodytext"/>
      </w:pPr>
      <w:r>
        <w:t xml:space="preserve">As set out above the Standard Method would lead to a housing need of 4,654 dwellings per annum based on a projected household growth set out in the 2014-based household projections of 3,420 per annum (a difference of 1,234 dwellings). To input into later parts of this study, it is necessary to translate this level of dwelling growth into a population projection. </w:t>
      </w:r>
    </w:p>
    <w:p w14:paraId="40E81043" w14:textId="77777777" w:rsidR="00A13819" w:rsidRDefault="00A13819" w:rsidP="007D0FBF">
      <w:pPr>
        <w:pStyle w:val="11Bodytext"/>
      </w:pPr>
      <w:r>
        <w:t xml:space="preserve">In creating this population projection, it is necessary to extend the period examined to 2040 to allow for local plan development. As set out in Paragraph 12 of the PPG (Ref ID: 2a-012-20190220) the standard method figure can be applied to the whole plan period. </w:t>
      </w:r>
    </w:p>
    <w:p w14:paraId="21C4B262" w14:textId="77777777" w:rsidR="00A13819" w:rsidRPr="00526C6E" w:rsidRDefault="00A13819" w:rsidP="007D0FBF">
      <w:pPr>
        <w:pStyle w:val="11Bodytext"/>
        <w:rPr>
          <w:b/>
        </w:rPr>
      </w:pPr>
      <w:r>
        <w:t>In developing a population projection, it is worthwhile understanding the assumptions, or lack of, within the guidance as to how this can be achieved. The standard method uses the 2014-based household projections as the starting point (Step 1</w:t>
      </w:r>
      <w:proofErr w:type="gramStart"/>
      <w:r>
        <w:t>)</w:t>
      </w:r>
      <w:proofErr w:type="gramEnd"/>
      <w:r>
        <w:t xml:space="preserve"> and these are based on the 2014-based subnational population projections (SNPP) (see the figure below). </w:t>
      </w:r>
    </w:p>
    <w:p w14:paraId="11FC1D7D" w14:textId="77777777" w:rsidR="00A13819" w:rsidRDefault="00A13819" w:rsidP="003D5E23">
      <w:pPr>
        <w:pStyle w:val="FigureHeading"/>
      </w:pPr>
      <w:r>
        <w:lastRenderedPageBreak/>
        <w:t>Infographic on Step 1 of the Standard Method</w:t>
      </w:r>
    </w:p>
    <w:p w14:paraId="10040D9E" w14:textId="77777777" w:rsidR="00A13819" w:rsidRDefault="00A13819" w:rsidP="007D0FBF">
      <w:pPr>
        <w:pStyle w:val="11Bodytext"/>
        <w:numPr>
          <w:ilvl w:val="0"/>
          <w:numId w:val="0"/>
        </w:numPr>
        <w:ind w:left="794"/>
      </w:pPr>
      <w:r>
        <w:rPr>
          <w:noProof/>
        </w:rPr>
        <w:drawing>
          <wp:inline distT="0" distB="0" distL="0" distR="0" wp14:anchorId="149B3B33" wp14:editId="16385DE8">
            <wp:extent cx="5227320" cy="2842260"/>
            <wp:effectExtent l="0" t="0" r="0" b="0"/>
            <wp:docPr id="1081" name="Picture 1081" descr="infographic showing step 1 of the standar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infographic showing step 1 of the standard method"/>
                    <pic:cNvPicPr>
                      <a:picLocks noChangeAspect="1" noChangeArrowheads="1"/>
                    </pic:cNvPicPr>
                  </pic:nvPicPr>
                  <pic:blipFill>
                    <a:blip r:embed="rId39">
                      <a:extLst>
                        <a:ext uri="{28A0092B-C50C-407E-A947-70E740481C1C}">
                          <a14:useLocalDpi xmlns:a14="http://schemas.microsoft.com/office/drawing/2010/main" val="0"/>
                        </a:ext>
                      </a:extLst>
                    </a:blip>
                    <a:srcRect b="4604"/>
                    <a:stretch>
                      <a:fillRect/>
                    </a:stretch>
                  </pic:blipFill>
                  <pic:spPr bwMode="auto">
                    <a:xfrm>
                      <a:off x="0" y="0"/>
                      <a:ext cx="5227320" cy="2842260"/>
                    </a:xfrm>
                    <a:prstGeom prst="rect">
                      <a:avLst/>
                    </a:prstGeom>
                    <a:noFill/>
                    <a:ln>
                      <a:noFill/>
                    </a:ln>
                  </pic:spPr>
                </pic:pic>
              </a:graphicData>
            </a:graphic>
          </wp:inline>
        </w:drawing>
      </w:r>
      <w:r>
        <w:t xml:space="preserve"> Source: GL Hearn</w:t>
      </w:r>
    </w:p>
    <w:p w14:paraId="068B2BA3" w14:textId="77777777" w:rsidR="00A13819" w:rsidRPr="00526C6E" w:rsidRDefault="00A13819" w:rsidP="007D0FBF">
      <w:pPr>
        <w:pStyle w:val="11Bodytext"/>
        <w:rPr>
          <w:b/>
        </w:rPr>
      </w:pPr>
      <w:r>
        <w:t>However, Step 2 can result in a significant increase in housing need above the household projections as is the case in Cambridgeshire and West Suffolk. The PPG does not provide any indication of how and by whom the additional 1,234 homes are to be occupied by (see the figure below).</w:t>
      </w:r>
    </w:p>
    <w:p w14:paraId="2415B966" w14:textId="77777777" w:rsidR="00A13819" w:rsidRDefault="00A13819" w:rsidP="003D5E23">
      <w:pPr>
        <w:pStyle w:val="FigureHeading"/>
      </w:pPr>
      <w:r>
        <w:t>Infographic on Step 2 of the Standard Method</w:t>
      </w:r>
    </w:p>
    <w:p w14:paraId="707645D5" w14:textId="00AD69D7" w:rsidR="00A13819" w:rsidRDefault="00A13819" w:rsidP="00A441BA">
      <w:pPr>
        <w:pStyle w:val="11Bodytext"/>
        <w:keepNext/>
        <w:numPr>
          <w:ilvl w:val="0"/>
          <w:numId w:val="0"/>
        </w:numPr>
        <w:spacing w:before="0" w:after="0" w:line="240" w:lineRule="auto"/>
        <w:ind w:left="794"/>
      </w:pPr>
      <w:r>
        <w:rPr>
          <w:noProof/>
        </w:rPr>
        <w:drawing>
          <wp:inline distT="0" distB="0" distL="0" distR="0" wp14:anchorId="47AB9819" wp14:editId="56304EAA">
            <wp:extent cx="5244999" cy="2924267"/>
            <wp:effectExtent l="0" t="0" r="0" b="0"/>
            <wp:docPr id="1082" name="Picture 1082" descr="infographic showing step 2 of the standar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infographic showing step 2 of the standard meth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7705" cy="2925776"/>
                    </a:xfrm>
                    <a:prstGeom prst="rect">
                      <a:avLst/>
                    </a:prstGeom>
                    <a:noFill/>
                    <a:ln>
                      <a:noFill/>
                    </a:ln>
                  </pic:spPr>
                </pic:pic>
              </a:graphicData>
            </a:graphic>
          </wp:inline>
        </w:drawing>
      </w:r>
    </w:p>
    <w:p w14:paraId="0461FD09" w14:textId="77777777" w:rsidR="00A13819" w:rsidRDefault="00A13819" w:rsidP="00A441BA">
      <w:pPr>
        <w:pStyle w:val="11Bodytext"/>
        <w:numPr>
          <w:ilvl w:val="0"/>
          <w:numId w:val="0"/>
        </w:numPr>
        <w:spacing w:before="0" w:line="240" w:lineRule="auto"/>
        <w:ind w:left="794"/>
      </w:pPr>
      <w:r>
        <w:t>Source: GL Hearn</w:t>
      </w:r>
    </w:p>
    <w:p w14:paraId="3E34F11A" w14:textId="77777777" w:rsidR="00A13819" w:rsidRDefault="00A13819" w:rsidP="007D0FBF">
      <w:pPr>
        <w:pStyle w:val="11Bodytext"/>
      </w:pPr>
      <w:r>
        <w:lastRenderedPageBreak/>
        <w:t>How these additional homes are occupied is crucial for assessing population growth. Paragraph 6 of the PPG indicates how the MHCLG think these homes should be occupied (assuming they are to be occupied):</w:t>
      </w:r>
    </w:p>
    <w:p w14:paraId="10123A14" w14:textId="77777777" w:rsidR="00A13819" w:rsidRDefault="00A13819" w:rsidP="00B126BB">
      <w:pPr>
        <w:pStyle w:val="Quotetext"/>
        <w:rPr>
          <w:lang w:eastAsia="en-GB"/>
        </w:rPr>
      </w:pPr>
      <w:r>
        <w:rPr>
          <w:lang w:eastAsia="en-GB"/>
        </w:rPr>
        <w:t>“An affordability adjustment is applied as household growth on its own is insufficient as an indicator of future housing need because:</w:t>
      </w:r>
    </w:p>
    <w:p w14:paraId="264ADD9F" w14:textId="77777777" w:rsidR="00A13819" w:rsidRDefault="00A13819" w:rsidP="00097650">
      <w:pPr>
        <w:pStyle w:val="10BulletBodytext"/>
        <w:rPr>
          <w:lang w:eastAsia="en-GB"/>
        </w:rPr>
      </w:pPr>
      <w:r>
        <w:rPr>
          <w:lang w:eastAsia="en-GB"/>
        </w:rPr>
        <w:t>household formation is constrained to the supply of available properties – new households cannot form if there is nowhere for them to live; and</w:t>
      </w:r>
    </w:p>
    <w:p w14:paraId="2124D3C3" w14:textId="77777777" w:rsidR="00A13819" w:rsidRDefault="00A13819" w:rsidP="00097650">
      <w:pPr>
        <w:pStyle w:val="10BulletBodytext"/>
        <w:rPr>
          <w:lang w:eastAsia="en-GB"/>
        </w:rPr>
      </w:pPr>
      <w:r>
        <w:rPr>
          <w:lang w:eastAsia="en-GB"/>
        </w:rPr>
        <w:t>people may want to live in an area in which they do not reside currently, for example, to be near to work, but be unable to find appropriate accommodation that they can afford.</w:t>
      </w:r>
    </w:p>
    <w:p w14:paraId="1CDC9FC2" w14:textId="77777777" w:rsidR="00A13819" w:rsidRDefault="00A13819" w:rsidP="00B126BB">
      <w:pPr>
        <w:pStyle w:val="Quotetext"/>
        <w:rPr>
          <w:lang w:eastAsia="en-GB"/>
        </w:rPr>
      </w:pPr>
      <w:r>
        <w:rPr>
          <w:lang w:eastAsia="en-GB"/>
        </w:rPr>
        <w:t>The affordability adjustment is applied in order to ensure that the standard method for assessing local housing need responds to price signals and is consistent with the policy objective of significantly boosting the supply of homes. The specific adjustment in this guidance is set at a level to ensure that minimum annual housing need starts to address the affordability of homes.”</w:t>
      </w:r>
    </w:p>
    <w:p w14:paraId="56E986A1" w14:textId="77777777" w:rsidR="00A13819" w:rsidRDefault="00A13819" w:rsidP="007D0FBF">
      <w:pPr>
        <w:pStyle w:val="11Bodytext"/>
      </w:pPr>
      <w:r>
        <w:t xml:space="preserve">In essence, Step 2 is a response to worsening affordability, which has reduced household formation rates (increasing household size) and reduced migration. However, the PPG does not provide any guidance in relation to the extent to which each of these factors have been impacted and therefore how they should be dealt with. </w:t>
      </w:r>
    </w:p>
    <w:p w14:paraId="57DEAE52" w14:textId="77777777" w:rsidR="00A13819" w:rsidRDefault="00A13819" w:rsidP="007D0FBF">
      <w:pPr>
        <w:pStyle w:val="11Bodytext"/>
      </w:pPr>
      <w:r>
        <w:t xml:space="preserve">If it is assumed that an adjustment which fills these homes with just the indigenous population, who previously were unable to form a household, this would result in unprecedented levels of household formation. This would result in greatly reduced household sizes </w:t>
      </w:r>
      <w:proofErr w:type="gramStart"/>
      <w:r>
        <w:t>i.e.</w:t>
      </w:r>
      <w:proofErr w:type="gramEnd"/>
      <w:r>
        <w:t xml:space="preserve"> very many single-person households but there is no indication such levels are desired.</w:t>
      </w:r>
    </w:p>
    <w:p w14:paraId="14D265D8" w14:textId="77777777" w:rsidR="00A13819" w:rsidRDefault="00A13819" w:rsidP="007D0FBF">
      <w:pPr>
        <w:pStyle w:val="11Bodytext"/>
      </w:pPr>
      <w:r>
        <w:t>If it is assumed that all the homes are to be filled with increased migration this would not allow for improvements to local household formation rates within the indigenous population. There is also a separate and unresolved issue in that by drawing a population from another area this would result in a decreased need in the area they have moved from. The standard method does not reflect this logic and that potential issue remains unresolved.</w:t>
      </w:r>
    </w:p>
    <w:p w14:paraId="6699D214" w14:textId="77777777" w:rsidR="00A13819" w:rsidRDefault="00A13819" w:rsidP="007D0FBF">
      <w:pPr>
        <w:pStyle w:val="11Bodytext"/>
      </w:pPr>
      <w:r>
        <w:lastRenderedPageBreak/>
        <w:t xml:space="preserve">The third possibility also exists in that these additional homes remain </w:t>
      </w:r>
      <w:proofErr w:type="gramStart"/>
      <w:r>
        <w:t>vacant</w:t>
      </w:r>
      <w:proofErr w:type="gramEnd"/>
      <w:r>
        <w:t xml:space="preserve"> but we have assumed that this is not desirable nor the intention of the PPG. </w:t>
      </w:r>
    </w:p>
    <w:p w14:paraId="361D3577" w14:textId="77777777" w:rsidR="00A13819" w:rsidRPr="00526C6E" w:rsidRDefault="00A13819" w:rsidP="007D0FBF">
      <w:pPr>
        <w:pStyle w:val="11Bodytext"/>
        <w:rPr>
          <w:b/>
        </w:rPr>
      </w:pPr>
      <w:r>
        <w:t xml:space="preserve">As set out in the figure 21 below our approach is to make reasonable adjustments (improvements) to household formation rates (HFR) which would fill some of the additional homes with the remainder occupied by further in-migration.  Not least because the rationale for Step 2 is to improve these rates. </w:t>
      </w:r>
    </w:p>
    <w:p w14:paraId="1998D4CC" w14:textId="4F85BAF1" w:rsidR="00A13819" w:rsidRPr="00526C6E" w:rsidRDefault="00A13819" w:rsidP="007D0FBF">
      <w:pPr>
        <w:pStyle w:val="11Bodytext"/>
        <w:rPr>
          <w:b/>
        </w:rPr>
      </w:pPr>
      <w:r>
        <w:t xml:space="preserve">Our modelling approach to improve household formation rates, is to derive a set of household formation rates (HFR) which is mid-way between those in the 2014-based household projections and the pre-recession 2008-based household projections which were more optimistic in relation to future household formation. However, given structural changes in the cost of housing and the </w:t>
      </w:r>
      <w:proofErr w:type="spellStart"/>
      <w:r>
        <w:t>make up</w:t>
      </w:r>
      <w:proofErr w:type="spellEnd"/>
      <w:r>
        <w:t xml:space="preserve"> of the population we do not believe a full return to 2008-based rates is appropriate.  This approach was first suggested by the Local Plan Expert Group</w:t>
      </w:r>
      <w:r>
        <w:rPr>
          <w:rStyle w:val="FootnoteReference"/>
        </w:rPr>
        <w:footnoteReference w:id="11"/>
      </w:r>
      <w:r>
        <w:t xml:space="preserve">  and has been seen as sound in a number of examinations.</w:t>
      </w:r>
    </w:p>
    <w:p w14:paraId="0375C4CF" w14:textId="333B70D4" w:rsidR="00A13819" w:rsidRPr="007D0FBF" w:rsidRDefault="00A13819" w:rsidP="007D0FBF">
      <w:pPr>
        <w:pStyle w:val="11Bodytext"/>
        <w:rPr>
          <w:b/>
        </w:rPr>
      </w:pPr>
      <w:r>
        <w:t xml:space="preserve">These improvements to HFR would reflect an intended reduction in the number of concealed households, over-crowded households, homes in multiple occupation and non-dependent children living with their parents. </w:t>
      </w:r>
    </w:p>
    <w:p w14:paraId="580BF225" w14:textId="77777777" w:rsidR="00A13819" w:rsidRDefault="00A13819" w:rsidP="003D5E23">
      <w:pPr>
        <w:pStyle w:val="FigureHeading"/>
      </w:pPr>
      <w:r>
        <w:lastRenderedPageBreak/>
        <w:t>Infographic on Proposed Approach to Population Outputs</w:t>
      </w:r>
    </w:p>
    <w:p w14:paraId="5D555114" w14:textId="77777777" w:rsidR="00A13819" w:rsidRDefault="00A13819" w:rsidP="00A441BA">
      <w:pPr>
        <w:pStyle w:val="11Bodytext"/>
        <w:numPr>
          <w:ilvl w:val="0"/>
          <w:numId w:val="0"/>
        </w:numPr>
        <w:spacing w:before="0" w:line="240" w:lineRule="auto"/>
        <w:ind w:left="794"/>
      </w:pPr>
      <w:r>
        <w:rPr>
          <w:noProof/>
        </w:rPr>
        <w:drawing>
          <wp:inline distT="0" distB="0" distL="0" distR="0" wp14:anchorId="4596E9F0" wp14:editId="50663DB1">
            <wp:extent cx="5577840" cy="2987040"/>
            <wp:effectExtent l="0" t="0" r="3810" b="3810"/>
            <wp:docPr id="1083" name="Picture 1083" descr="infographic showing proposed approcah to population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1083" descr="infographic showing proposed approcah to population outpu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7840" cy="2987040"/>
                    </a:xfrm>
                    <a:prstGeom prst="rect">
                      <a:avLst/>
                    </a:prstGeom>
                    <a:noFill/>
                    <a:ln>
                      <a:noFill/>
                    </a:ln>
                  </pic:spPr>
                </pic:pic>
              </a:graphicData>
            </a:graphic>
          </wp:inline>
        </w:drawing>
      </w:r>
      <w:r>
        <w:t>Source: GL Hearn</w:t>
      </w:r>
    </w:p>
    <w:p w14:paraId="2D144BBA" w14:textId="77777777" w:rsidR="00A13819" w:rsidRDefault="00A13819" w:rsidP="007D0FBF">
      <w:pPr>
        <w:pStyle w:val="11Bodytext"/>
      </w:pPr>
      <w:r>
        <w:t>The remaining homes are filled by adjusting the migration assumptions (both in and out migration) to the point where there is enough population to fill the additional homes. This approach also creates a future population age profile to 2040 from which a range of further analysis can be undertaken.</w:t>
      </w:r>
    </w:p>
    <w:p w14:paraId="7EA9E1C7" w14:textId="77777777" w:rsidR="00A13819" w:rsidRDefault="00A13819" w:rsidP="00A441BA">
      <w:pPr>
        <w:pStyle w:val="Heading3"/>
      </w:pPr>
      <w:r>
        <w:t>Population Starting Point</w:t>
      </w:r>
    </w:p>
    <w:p w14:paraId="56478CDF" w14:textId="364077E3" w:rsidR="00A13819" w:rsidRDefault="00A13819" w:rsidP="007D0FBF">
      <w:pPr>
        <w:pStyle w:val="11Bodytext"/>
      </w:pPr>
      <w:r>
        <w:t xml:space="preserve">In developing a population projection there is a more immediate issue; that being the population starting points. As set out in Chapter </w:t>
      </w:r>
      <w:r w:rsidR="00EA54B1">
        <w:t>3</w:t>
      </w:r>
      <w:r>
        <w:t xml:space="preserve"> of this report there are concerns with the estimated population in Cambridge, potentially as a result of student-related issues.</w:t>
      </w:r>
    </w:p>
    <w:p w14:paraId="6015806A" w14:textId="4DB1F507" w:rsidR="00A13819" w:rsidRPr="007D0FBF" w:rsidRDefault="00A13819" w:rsidP="007D0FBF">
      <w:pPr>
        <w:pStyle w:val="11Bodytext"/>
      </w:pPr>
      <w:r>
        <w:t xml:space="preserve">To examine the starting point population, we have firstly reviewed the difference between the Mid-Year Population Estimates (MYE) by ONS and that using the NHS Patient Register. As presented in the table below there is a reasonable level of consistency (+/- 7%) between the sources for most local authorities in the HMA. The notable exception is Cambridge where the Patient Register is 35% higher than the MYE. </w:t>
      </w:r>
    </w:p>
    <w:p w14:paraId="33EC49FC" w14:textId="77777777" w:rsidR="00A13819" w:rsidRDefault="00A13819" w:rsidP="007D0FBF">
      <w:pPr>
        <w:pStyle w:val="11Bodytext"/>
      </w:pPr>
      <w:r>
        <w:lastRenderedPageBreak/>
        <w:t xml:space="preserve">To examine which of these is the most accurate we have gone back to the 2011 census which provides a considerably more accurate assessment of population than either the MYE or the Patient Register. We have also examined the change since 2011. </w:t>
      </w:r>
    </w:p>
    <w:p w14:paraId="0ADF1C78" w14:textId="77777777" w:rsidR="00A13819" w:rsidRDefault="00A13819" w:rsidP="007D0FBF">
      <w:pPr>
        <w:pStyle w:val="11Bodytext"/>
      </w:pPr>
      <w:r>
        <w:t>All areas show a population in their Patient Register which is around 3-4% higher than the MYE. The notable exception is Cambridge where the difference is 22%. The equivalent for England is 2% and for the East of England 3%.</w:t>
      </w:r>
    </w:p>
    <w:p w14:paraId="2C53EBDB" w14:textId="77777777" w:rsidR="00A13819" w:rsidRPr="00526C6E" w:rsidRDefault="00A13819" w:rsidP="007D0FBF">
      <w:pPr>
        <w:pStyle w:val="11Bodytext"/>
        <w:rPr>
          <w:b/>
        </w:rPr>
      </w:pPr>
      <w:r>
        <w:t xml:space="preserve">The margin of error is likely to be lower at larger geographic areas, as there are proportionally fewer inter-regional and international moves. In both the Regional (64%) and National (69%) case, the growth (between 2011 and 2019) in the MYE is around two-thirds of that of the Patient Register. </w:t>
      </w:r>
    </w:p>
    <w:p w14:paraId="2A8BF63E" w14:textId="66B2D8CE" w:rsidR="00A13819" w:rsidRDefault="00A13819" w:rsidP="003D5E23">
      <w:pPr>
        <w:pStyle w:val="Tableheading"/>
        <w:numPr>
          <w:ilvl w:val="0"/>
          <w:numId w:val="54"/>
        </w:numPr>
      </w:pPr>
      <w:r>
        <w:t>Comparing ONS mid-year population estimate (MYE) Change with  Patient Register Change 2011-2019</w:t>
      </w:r>
    </w:p>
    <w:tbl>
      <w:tblPr>
        <w:tblStyle w:val="TableGridLight1"/>
        <w:tblW w:w="0" w:type="auto"/>
        <w:tblInd w:w="846" w:type="dxa"/>
        <w:tblLook w:val="04A0" w:firstRow="1" w:lastRow="0" w:firstColumn="1" w:lastColumn="0" w:noHBand="0" w:noVBand="1"/>
      </w:tblPr>
      <w:tblGrid>
        <w:gridCol w:w="3323"/>
        <w:gridCol w:w="1260"/>
        <w:gridCol w:w="1260"/>
        <w:gridCol w:w="1260"/>
        <w:gridCol w:w="1260"/>
      </w:tblGrid>
      <w:tr w:rsidR="00F720CF" w:rsidRPr="007228D6" w14:paraId="7963E201" w14:textId="77777777" w:rsidTr="004F4BA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C2C0E5B" w14:textId="77777777" w:rsidR="007228D6" w:rsidRPr="007228D6" w:rsidRDefault="007228D6" w:rsidP="00A441BA">
            <w:pPr>
              <w:rPr>
                <w:lang w:eastAsia="en-GB"/>
              </w:rPr>
            </w:pPr>
            <w:r w:rsidRPr="007228D6">
              <w:rPr>
                <w:rFonts w:eastAsia="MS PGothic"/>
                <w:bCs/>
                <w:lang w:val="en-US" w:eastAsia="en-GB"/>
              </w:rPr>
              <w:t> </w:t>
            </w:r>
          </w:p>
        </w:tc>
        <w:tc>
          <w:tcPr>
            <w:tcW w:w="1260" w:type="dxa"/>
            <w:hideMark/>
          </w:tcPr>
          <w:p w14:paraId="612F78D2" w14:textId="77777777" w:rsidR="007228D6" w:rsidRPr="007228D6" w:rsidRDefault="007228D6" w:rsidP="00A441BA">
            <w:pPr>
              <w:cnfStyle w:val="100000000000" w:firstRow="1" w:lastRow="0" w:firstColumn="0" w:lastColumn="0" w:oddVBand="0" w:evenVBand="0" w:oddHBand="0" w:evenHBand="0" w:firstRowFirstColumn="0" w:firstRowLastColumn="0" w:lastRowFirstColumn="0" w:lastRowLastColumn="0"/>
              <w:rPr>
                <w:bCs/>
                <w:lang w:eastAsia="en-GB"/>
              </w:rPr>
            </w:pPr>
            <w:r w:rsidRPr="007228D6">
              <w:rPr>
                <w:bCs/>
                <w:lang w:val="en-US" w:eastAsia="en-GB"/>
              </w:rPr>
              <w:t>2011</w:t>
            </w:r>
          </w:p>
        </w:tc>
        <w:tc>
          <w:tcPr>
            <w:tcW w:w="1260" w:type="dxa"/>
            <w:hideMark/>
          </w:tcPr>
          <w:p w14:paraId="753B003B" w14:textId="77777777" w:rsidR="007228D6" w:rsidRPr="007228D6" w:rsidRDefault="007228D6" w:rsidP="00A441BA">
            <w:pPr>
              <w:cnfStyle w:val="100000000000" w:firstRow="1" w:lastRow="0" w:firstColumn="0" w:lastColumn="0" w:oddVBand="0" w:evenVBand="0" w:oddHBand="0" w:evenHBand="0" w:firstRowFirstColumn="0" w:firstRowLastColumn="0" w:lastRowFirstColumn="0" w:lastRowLastColumn="0"/>
              <w:rPr>
                <w:bCs/>
                <w:lang w:eastAsia="en-GB"/>
              </w:rPr>
            </w:pPr>
            <w:r w:rsidRPr="007228D6">
              <w:rPr>
                <w:bCs/>
                <w:lang w:val="en-US" w:eastAsia="en-GB"/>
              </w:rPr>
              <w:t>2019</w:t>
            </w:r>
          </w:p>
        </w:tc>
        <w:tc>
          <w:tcPr>
            <w:tcW w:w="1260" w:type="dxa"/>
            <w:hideMark/>
          </w:tcPr>
          <w:p w14:paraId="7384BF82" w14:textId="77777777" w:rsidR="007228D6" w:rsidRPr="007228D6" w:rsidRDefault="007228D6" w:rsidP="00A441BA">
            <w:pPr>
              <w:cnfStyle w:val="100000000000" w:firstRow="1" w:lastRow="0" w:firstColumn="0" w:lastColumn="0" w:oddVBand="0" w:evenVBand="0" w:oddHBand="0" w:evenHBand="0" w:firstRowFirstColumn="0" w:firstRowLastColumn="0" w:lastRowFirstColumn="0" w:lastRowLastColumn="0"/>
              <w:rPr>
                <w:bCs/>
                <w:lang w:eastAsia="en-GB"/>
              </w:rPr>
            </w:pPr>
            <w:r w:rsidRPr="007228D6">
              <w:rPr>
                <w:bCs/>
                <w:lang w:val="en-US" w:eastAsia="en-GB"/>
              </w:rPr>
              <w:t>Change</w:t>
            </w:r>
          </w:p>
        </w:tc>
        <w:tc>
          <w:tcPr>
            <w:tcW w:w="1260" w:type="dxa"/>
            <w:hideMark/>
          </w:tcPr>
          <w:p w14:paraId="46B3C39B" w14:textId="77777777" w:rsidR="007228D6" w:rsidRPr="007228D6" w:rsidRDefault="007228D6" w:rsidP="00A441BA">
            <w:pPr>
              <w:cnfStyle w:val="100000000000" w:firstRow="1" w:lastRow="0" w:firstColumn="0" w:lastColumn="0" w:oddVBand="0" w:evenVBand="0" w:oddHBand="0" w:evenHBand="0" w:firstRowFirstColumn="0" w:firstRowLastColumn="0" w:lastRowFirstColumn="0" w:lastRowLastColumn="0"/>
              <w:rPr>
                <w:bCs/>
                <w:lang w:eastAsia="en-GB"/>
              </w:rPr>
            </w:pPr>
            <w:r w:rsidRPr="007228D6">
              <w:rPr>
                <w:bCs/>
                <w:lang w:val="en-US" w:eastAsia="en-GB"/>
              </w:rPr>
              <w:t>% change</w:t>
            </w:r>
          </w:p>
        </w:tc>
      </w:tr>
      <w:tr w:rsidR="00F720CF" w:rsidRPr="007228D6" w14:paraId="007E4C1E"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7E23242" w14:textId="77777777" w:rsidR="007228D6" w:rsidRPr="007228D6" w:rsidRDefault="007228D6" w:rsidP="00A441BA">
            <w:pPr>
              <w:rPr>
                <w:color w:val="000000"/>
                <w:lang w:eastAsia="en-GB"/>
              </w:rPr>
            </w:pPr>
            <w:r w:rsidRPr="007228D6">
              <w:rPr>
                <w:rFonts w:eastAsia="MS PGothic"/>
                <w:bCs/>
                <w:color w:val="000000"/>
                <w:lang w:val="en-US" w:eastAsia="en-GB"/>
              </w:rPr>
              <w:t>MYE (Cambridge)</w:t>
            </w:r>
          </w:p>
        </w:tc>
        <w:tc>
          <w:tcPr>
            <w:tcW w:w="1260" w:type="dxa"/>
            <w:hideMark/>
          </w:tcPr>
          <w:p w14:paraId="0BAEC50D"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122,725</w:t>
            </w:r>
          </w:p>
        </w:tc>
        <w:tc>
          <w:tcPr>
            <w:tcW w:w="1260" w:type="dxa"/>
            <w:hideMark/>
          </w:tcPr>
          <w:p w14:paraId="4ACA4A9B"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124,798</w:t>
            </w:r>
          </w:p>
        </w:tc>
        <w:tc>
          <w:tcPr>
            <w:tcW w:w="1260" w:type="dxa"/>
            <w:hideMark/>
          </w:tcPr>
          <w:p w14:paraId="4D9CEFB4"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2,073</w:t>
            </w:r>
          </w:p>
        </w:tc>
        <w:tc>
          <w:tcPr>
            <w:tcW w:w="1260" w:type="dxa"/>
            <w:hideMark/>
          </w:tcPr>
          <w:p w14:paraId="18A4AC9A"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1.70%</w:t>
            </w:r>
          </w:p>
        </w:tc>
      </w:tr>
      <w:tr w:rsidR="00F720CF" w:rsidRPr="007228D6" w14:paraId="2E9151E4"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83AC8E8" w14:textId="77777777" w:rsidR="007228D6" w:rsidRPr="007228D6" w:rsidRDefault="007228D6" w:rsidP="00A441BA">
            <w:pPr>
              <w:rPr>
                <w:color w:val="000000"/>
                <w:lang w:eastAsia="en-GB"/>
              </w:rPr>
            </w:pPr>
            <w:r w:rsidRPr="007228D6">
              <w:rPr>
                <w:rFonts w:eastAsia="MS PGothic"/>
                <w:bCs/>
                <w:color w:val="000000"/>
                <w:lang w:val="en-US" w:eastAsia="en-GB"/>
              </w:rPr>
              <w:t>Patient Register (Cambridge)</w:t>
            </w:r>
          </w:p>
        </w:tc>
        <w:tc>
          <w:tcPr>
            <w:tcW w:w="1260" w:type="dxa"/>
            <w:hideMark/>
          </w:tcPr>
          <w:p w14:paraId="523A33FD"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134,900</w:t>
            </w:r>
          </w:p>
        </w:tc>
        <w:tc>
          <w:tcPr>
            <w:tcW w:w="1260" w:type="dxa"/>
            <w:hideMark/>
          </w:tcPr>
          <w:p w14:paraId="1DE94FB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175,670</w:t>
            </w:r>
          </w:p>
        </w:tc>
        <w:tc>
          <w:tcPr>
            <w:tcW w:w="1260" w:type="dxa"/>
            <w:hideMark/>
          </w:tcPr>
          <w:p w14:paraId="1AA4A0C9"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40,770</w:t>
            </w:r>
          </w:p>
        </w:tc>
        <w:tc>
          <w:tcPr>
            <w:tcW w:w="1260" w:type="dxa"/>
            <w:hideMark/>
          </w:tcPr>
          <w:p w14:paraId="38B90F6B"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30.20%</w:t>
            </w:r>
          </w:p>
        </w:tc>
      </w:tr>
      <w:tr w:rsidR="00F720CF" w:rsidRPr="007228D6" w14:paraId="5813FF37"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7FF5F63" w14:textId="77777777" w:rsidR="007228D6" w:rsidRPr="007228D6" w:rsidRDefault="007228D6" w:rsidP="00A441BA">
            <w:pPr>
              <w:rPr>
                <w:color w:val="000000"/>
                <w:lang w:eastAsia="en-GB"/>
              </w:rPr>
            </w:pPr>
            <w:r w:rsidRPr="007228D6">
              <w:rPr>
                <w:rFonts w:eastAsia="MS PGothic"/>
                <w:bCs/>
                <w:color w:val="000000"/>
                <w:lang w:val="en-US" w:eastAsia="en-GB"/>
              </w:rPr>
              <w:t>MYE (East Cambs)</w:t>
            </w:r>
          </w:p>
        </w:tc>
        <w:tc>
          <w:tcPr>
            <w:tcW w:w="1260" w:type="dxa"/>
            <w:hideMark/>
          </w:tcPr>
          <w:p w14:paraId="3AFB1E59"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84,245</w:t>
            </w:r>
          </w:p>
        </w:tc>
        <w:tc>
          <w:tcPr>
            <w:tcW w:w="1260" w:type="dxa"/>
            <w:hideMark/>
          </w:tcPr>
          <w:p w14:paraId="4EC81DD0"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89,840</w:t>
            </w:r>
          </w:p>
        </w:tc>
        <w:tc>
          <w:tcPr>
            <w:tcW w:w="1260" w:type="dxa"/>
            <w:hideMark/>
          </w:tcPr>
          <w:p w14:paraId="6E2C9A76"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5,595</w:t>
            </w:r>
          </w:p>
        </w:tc>
        <w:tc>
          <w:tcPr>
            <w:tcW w:w="1260" w:type="dxa"/>
            <w:hideMark/>
          </w:tcPr>
          <w:p w14:paraId="402EA245"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6.60%</w:t>
            </w:r>
          </w:p>
        </w:tc>
      </w:tr>
      <w:tr w:rsidR="00F720CF" w:rsidRPr="007228D6" w14:paraId="188780CF"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232CC22" w14:textId="77777777" w:rsidR="007228D6" w:rsidRPr="007228D6" w:rsidRDefault="007228D6" w:rsidP="00A441BA">
            <w:pPr>
              <w:rPr>
                <w:color w:val="000000"/>
                <w:lang w:eastAsia="en-GB"/>
              </w:rPr>
            </w:pPr>
            <w:r w:rsidRPr="007228D6">
              <w:rPr>
                <w:rFonts w:eastAsia="MS PGothic"/>
                <w:bCs/>
                <w:color w:val="000000"/>
                <w:lang w:val="en-US" w:eastAsia="en-GB"/>
              </w:rPr>
              <w:t>Patient Register (East Cambs)</w:t>
            </w:r>
          </w:p>
        </w:tc>
        <w:tc>
          <w:tcPr>
            <w:tcW w:w="1260" w:type="dxa"/>
            <w:hideMark/>
          </w:tcPr>
          <w:p w14:paraId="41CDDE16"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83,980</w:t>
            </w:r>
          </w:p>
        </w:tc>
        <w:tc>
          <w:tcPr>
            <w:tcW w:w="1260" w:type="dxa"/>
            <w:hideMark/>
          </w:tcPr>
          <w:p w14:paraId="11CDD281"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93,700</w:t>
            </w:r>
          </w:p>
        </w:tc>
        <w:tc>
          <w:tcPr>
            <w:tcW w:w="1260" w:type="dxa"/>
            <w:hideMark/>
          </w:tcPr>
          <w:p w14:paraId="2011508B"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9,720</w:t>
            </w:r>
          </w:p>
        </w:tc>
        <w:tc>
          <w:tcPr>
            <w:tcW w:w="1260" w:type="dxa"/>
            <w:hideMark/>
          </w:tcPr>
          <w:p w14:paraId="534BA861"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11.60%</w:t>
            </w:r>
          </w:p>
        </w:tc>
      </w:tr>
      <w:tr w:rsidR="00F720CF" w:rsidRPr="007228D6" w14:paraId="16F269FE"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21654A6F" w14:textId="6A9E04D9" w:rsidR="007228D6" w:rsidRPr="007228D6" w:rsidRDefault="007228D6" w:rsidP="00A441BA">
            <w:pPr>
              <w:rPr>
                <w:color w:val="000000"/>
                <w:lang w:eastAsia="en-GB"/>
              </w:rPr>
            </w:pPr>
            <w:r w:rsidRPr="007228D6">
              <w:rPr>
                <w:rFonts w:eastAsia="MS PGothic"/>
                <w:bCs/>
                <w:color w:val="000000"/>
                <w:lang w:val="en-US" w:eastAsia="en-GB"/>
              </w:rPr>
              <w:t>MYE</w:t>
            </w:r>
            <w:r w:rsidR="00F720CF">
              <w:rPr>
                <w:rFonts w:eastAsia="MS PGothic"/>
                <w:bCs/>
                <w:color w:val="000000"/>
                <w:lang w:val="en-US" w:eastAsia="en-GB"/>
              </w:rPr>
              <w:t xml:space="preserve"> </w:t>
            </w:r>
            <w:r w:rsidRPr="007228D6">
              <w:rPr>
                <w:rFonts w:eastAsia="MS PGothic"/>
                <w:bCs/>
                <w:color w:val="000000"/>
                <w:lang w:val="en-US" w:eastAsia="en-GB"/>
              </w:rPr>
              <w:t>(Fenland)</w:t>
            </w:r>
          </w:p>
        </w:tc>
        <w:tc>
          <w:tcPr>
            <w:tcW w:w="1260" w:type="dxa"/>
            <w:hideMark/>
          </w:tcPr>
          <w:p w14:paraId="45E557DF"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95,461</w:t>
            </w:r>
          </w:p>
        </w:tc>
        <w:tc>
          <w:tcPr>
            <w:tcW w:w="1260" w:type="dxa"/>
            <w:hideMark/>
          </w:tcPr>
          <w:p w14:paraId="0A68CDC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101,850</w:t>
            </w:r>
          </w:p>
        </w:tc>
        <w:tc>
          <w:tcPr>
            <w:tcW w:w="1260" w:type="dxa"/>
            <w:hideMark/>
          </w:tcPr>
          <w:p w14:paraId="71ABBF08"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6,389</w:t>
            </w:r>
          </w:p>
        </w:tc>
        <w:tc>
          <w:tcPr>
            <w:tcW w:w="1260" w:type="dxa"/>
            <w:hideMark/>
          </w:tcPr>
          <w:p w14:paraId="64CC9163"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6.70%</w:t>
            </w:r>
          </w:p>
        </w:tc>
      </w:tr>
      <w:tr w:rsidR="00F720CF" w:rsidRPr="007228D6" w14:paraId="557BE3C0"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6CD905BE" w14:textId="434095C8" w:rsidR="007228D6" w:rsidRPr="007228D6" w:rsidRDefault="007228D6" w:rsidP="00A441BA">
            <w:pPr>
              <w:rPr>
                <w:color w:val="000000"/>
                <w:lang w:eastAsia="en-GB"/>
              </w:rPr>
            </w:pPr>
            <w:r w:rsidRPr="007228D6">
              <w:rPr>
                <w:rFonts w:eastAsia="MS PGothic"/>
                <w:bCs/>
                <w:color w:val="000000"/>
                <w:lang w:val="en-US" w:eastAsia="en-GB"/>
              </w:rPr>
              <w:t>Patient Register</w:t>
            </w:r>
            <w:r w:rsidR="00F720CF">
              <w:rPr>
                <w:rFonts w:eastAsia="MS PGothic"/>
                <w:bCs/>
                <w:color w:val="000000"/>
                <w:lang w:val="en-US" w:eastAsia="en-GB"/>
              </w:rPr>
              <w:t xml:space="preserve"> </w:t>
            </w:r>
            <w:r w:rsidRPr="007228D6">
              <w:rPr>
                <w:rFonts w:eastAsia="MS PGothic"/>
                <w:bCs/>
                <w:color w:val="000000"/>
                <w:lang w:val="en-US" w:eastAsia="en-GB"/>
              </w:rPr>
              <w:t>(Fenland)</w:t>
            </w:r>
          </w:p>
        </w:tc>
        <w:tc>
          <w:tcPr>
            <w:tcW w:w="1260" w:type="dxa"/>
            <w:hideMark/>
          </w:tcPr>
          <w:p w14:paraId="5CBE4D5F"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98,650</w:t>
            </w:r>
          </w:p>
        </w:tc>
        <w:tc>
          <w:tcPr>
            <w:tcW w:w="1260" w:type="dxa"/>
            <w:hideMark/>
          </w:tcPr>
          <w:p w14:paraId="0BAB1F64"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109,440</w:t>
            </w:r>
          </w:p>
        </w:tc>
        <w:tc>
          <w:tcPr>
            <w:tcW w:w="1260" w:type="dxa"/>
            <w:hideMark/>
          </w:tcPr>
          <w:p w14:paraId="3EDFE5B1"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10,790</w:t>
            </w:r>
          </w:p>
        </w:tc>
        <w:tc>
          <w:tcPr>
            <w:tcW w:w="1260" w:type="dxa"/>
            <w:hideMark/>
          </w:tcPr>
          <w:p w14:paraId="2E7B9124"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10.90%</w:t>
            </w:r>
          </w:p>
        </w:tc>
      </w:tr>
      <w:tr w:rsidR="00F720CF" w:rsidRPr="007228D6" w14:paraId="21DD3170"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0CDD1625" w14:textId="77777777" w:rsidR="007228D6" w:rsidRPr="007228D6" w:rsidRDefault="007228D6" w:rsidP="00A441BA">
            <w:pPr>
              <w:rPr>
                <w:color w:val="000000"/>
                <w:lang w:eastAsia="en-GB"/>
              </w:rPr>
            </w:pPr>
            <w:r w:rsidRPr="007228D6">
              <w:rPr>
                <w:rFonts w:eastAsia="MS PGothic"/>
                <w:bCs/>
                <w:color w:val="000000"/>
                <w:lang w:val="en-US" w:eastAsia="en-GB"/>
              </w:rPr>
              <w:t>MYE (Huntingdon Shire)</w:t>
            </w:r>
          </w:p>
        </w:tc>
        <w:tc>
          <w:tcPr>
            <w:tcW w:w="1260" w:type="dxa"/>
            <w:hideMark/>
          </w:tcPr>
          <w:p w14:paraId="18A7314E"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170,039</w:t>
            </w:r>
          </w:p>
        </w:tc>
        <w:tc>
          <w:tcPr>
            <w:tcW w:w="1260" w:type="dxa"/>
            <w:hideMark/>
          </w:tcPr>
          <w:p w14:paraId="611B4916"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177,963</w:t>
            </w:r>
          </w:p>
        </w:tc>
        <w:tc>
          <w:tcPr>
            <w:tcW w:w="1260" w:type="dxa"/>
            <w:hideMark/>
          </w:tcPr>
          <w:p w14:paraId="6ECFC355"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7,924</w:t>
            </w:r>
          </w:p>
        </w:tc>
        <w:tc>
          <w:tcPr>
            <w:tcW w:w="1260" w:type="dxa"/>
            <w:hideMark/>
          </w:tcPr>
          <w:p w14:paraId="338574C3"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4.70%</w:t>
            </w:r>
          </w:p>
        </w:tc>
      </w:tr>
      <w:tr w:rsidR="00F720CF" w:rsidRPr="007228D6" w14:paraId="1F94346E"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DBE4BF0" w14:textId="77777777" w:rsidR="007228D6" w:rsidRPr="007228D6" w:rsidRDefault="007228D6" w:rsidP="00A441BA">
            <w:pPr>
              <w:rPr>
                <w:color w:val="000000"/>
                <w:lang w:eastAsia="en-GB"/>
              </w:rPr>
            </w:pPr>
            <w:r w:rsidRPr="007228D6">
              <w:rPr>
                <w:rFonts w:eastAsia="MS PGothic"/>
                <w:bCs/>
                <w:color w:val="000000"/>
                <w:lang w:val="en-US" w:eastAsia="en-GB"/>
              </w:rPr>
              <w:t>Patient Register (Huntingdon Shire)</w:t>
            </w:r>
          </w:p>
        </w:tc>
        <w:tc>
          <w:tcPr>
            <w:tcW w:w="1260" w:type="dxa"/>
            <w:hideMark/>
          </w:tcPr>
          <w:p w14:paraId="4873FD25"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170,510</w:t>
            </w:r>
          </w:p>
        </w:tc>
        <w:tc>
          <w:tcPr>
            <w:tcW w:w="1260" w:type="dxa"/>
            <w:hideMark/>
          </w:tcPr>
          <w:p w14:paraId="24C34ECF"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187,260</w:t>
            </w:r>
          </w:p>
        </w:tc>
        <w:tc>
          <w:tcPr>
            <w:tcW w:w="1260" w:type="dxa"/>
            <w:hideMark/>
          </w:tcPr>
          <w:p w14:paraId="73B310E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16,750</w:t>
            </w:r>
          </w:p>
        </w:tc>
        <w:tc>
          <w:tcPr>
            <w:tcW w:w="1260" w:type="dxa"/>
            <w:hideMark/>
          </w:tcPr>
          <w:p w14:paraId="379D10A4"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9.80%</w:t>
            </w:r>
          </w:p>
        </w:tc>
      </w:tr>
      <w:tr w:rsidR="00F720CF" w:rsidRPr="007228D6" w14:paraId="2E10E529"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3AC1311" w14:textId="77777777" w:rsidR="007228D6" w:rsidRPr="007228D6" w:rsidRDefault="007228D6" w:rsidP="00A441BA">
            <w:pPr>
              <w:rPr>
                <w:color w:val="000000"/>
                <w:lang w:eastAsia="en-GB"/>
              </w:rPr>
            </w:pPr>
            <w:r w:rsidRPr="007228D6">
              <w:rPr>
                <w:rFonts w:eastAsia="MS PGothic"/>
                <w:bCs/>
                <w:color w:val="000000"/>
                <w:lang w:val="en-US" w:eastAsia="en-GB"/>
              </w:rPr>
              <w:t>MYE (South Cambs)</w:t>
            </w:r>
          </w:p>
        </w:tc>
        <w:tc>
          <w:tcPr>
            <w:tcW w:w="1260" w:type="dxa"/>
            <w:hideMark/>
          </w:tcPr>
          <w:p w14:paraId="4B642201"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149,842</w:t>
            </w:r>
          </w:p>
        </w:tc>
        <w:tc>
          <w:tcPr>
            <w:tcW w:w="1260" w:type="dxa"/>
            <w:hideMark/>
          </w:tcPr>
          <w:p w14:paraId="5B796E5B"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159,086</w:t>
            </w:r>
          </w:p>
        </w:tc>
        <w:tc>
          <w:tcPr>
            <w:tcW w:w="1260" w:type="dxa"/>
            <w:hideMark/>
          </w:tcPr>
          <w:p w14:paraId="5C8B8BC6"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9,244</w:t>
            </w:r>
          </w:p>
        </w:tc>
        <w:tc>
          <w:tcPr>
            <w:tcW w:w="1260" w:type="dxa"/>
            <w:hideMark/>
          </w:tcPr>
          <w:p w14:paraId="707E084A"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6.20%</w:t>
            </w:r>
          </w:p>
        </w:tc>
      </w:tr>
      <w:tr w:rsidR="00F720CF" w:rsidRPr="007228D6" w14:paraId="77865EDB"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9342D7C" w14:textId="77777777" w:rsidR="007228D6" w:rsidRPr="007228D6" w:rsidRDefault="007228D6" w:rsidP="00A441BA">
            <w:pPr>
              <w:rPr>
                <w:color w:val="000000"/>
                <w:lang w:eastAsia="en-GB"/>
              </w:rPr>
            </w:pPr>
            <w:r w:rsidRPr="007228D6">
              <w:rPr>
                <w:rFonts w:eastAsia="MS PGothic"/>
                <w:bCs/>
                <w:color w:val="000000"/>
                <w:lang w:val="en-US" w:eastAsia="en-GB"/>
              </w:rPr>
              <w:t>Patient Register (South Cambs)</w:t>
            </w:r>
          </w:p>
        </w:tc>
        <w:tc>
          <w:tcPr>
            <w:tcW w:w="1260" w:type="dxa"/>
            <w:hideMark/>
          </w:tcPr>
          <w:p w14:paraId="41C1D4D9"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152,610</w:t>
            </w:r>
          </w:p>
        </w:tc>
        <w:tc>
          <w:tcPr>
            <w:tcW w:w="1260" w:type="dxa"/>
            <w:hideMark/>
          </w:tcPr>
          <w:p w14:paraId="440F6AC3"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170,420</w:t>
            </w:r>
          </w:p>
        </w:tc>
        <w:tc>
          <w:tcPr>
            <w:tcW w:w="1260" w:type="dxa"/>
            <w:hideMark/>
          </w:tcPr>
          <w:p w14:paraId="1E7FA431"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17,810</w:t>
            </w:r>
          </w:p>
        </w:tc>
        <w:tc>
          <w:tcPr>
            <w:tcW w:w="1260" w:type="dxa"/>
            <w:hideMark/>
          </w:tcPr>
          <w:p w14:paraId="21CAAE1D"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11.70%</w:t>
            </w:r>
          </w:p>
        </w:tc>
      </w:tr>
      <w:tr w:rsidR="00F720CF" w:rsidRPr="007228D6" w14:paraId="2F897778"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8F1ECF8" w14:textId="77777777" w:rsidR="007228D6" w:rsidRPr="007228D6" w:rsidRDefault="007228D6" w:rsidP="00A441BA">
            <w:pPr>
              <w:rPr>
                <w:color w:val="000000"/>
                <w:lang w:eastAsia="en-GB"/>
              </w:rPr>
            </w:pPr>
            <w:r w:rsidRPr="007228D6">
              <w:rPr>
                <w:rFonts w:eastAsia="MS PGothic"/>
                <w:bCs/>
                <w:color w:val="000000"/>
                <w:lang w:val="en-US" w:eastAsia="en-GB"/>
              </w:rPr>
              <w:t>MYE (West Suffolk)</w:t>
            </w:r>
          </w:p>
        </w:tc>
        <w:tc>
          <w:tcPr>
            <w:tcW w:w="1260" w:type="dxa"/>
            <w:hideMark/>
          </w:tcPr>
          <w:p w14:paraId="741CD835"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171,481</w:t>
            </w:r>
          </w:p>
        </w:tc>
        <w:tc>
          <w:tcPr>
            <w:tcW w:w="1260" w:type="dxa"/>
            <w:hideMark/>
          </w:tcPr>
          <w:p w14:paraId="119F5BA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179,045</w:t>
            </w:r>
          </w:p>
        </w:tc>
        <w:tc>
          <w:tcPr>
            <w:tcW w:w="1260" w:type="dxa"/>
            <w:hideMark/>
          </w:tcPr>
          <w:p w14:paraId="298C970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7,564</w:t>
            </w:r>
          </w:p>
        </w:tc>
        <w:tc>
          <w:tcPr>
            <w:tcW w:w="1260" w:type="dxa"/>
            <w:hideMark/>
          </w:tcPr>
          <w:p w14:paraId="118B7EBB"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4.40%</w:t>
            </w:r>
          </w:p>
        </w:tc>
      </w:tr>
      <w:tr w:rsidR="00F720CF" w:rsidRPr="007228D6" w14:paraId="6EBB3920"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7B8FE86" w14:textId="77777777" w:rsidR="007228D6" w:rsidRPr="007228D6" w:rsidRDefault="007228D6" w:rsidP="00A441BA">
            <w:pPr>
              <w:rPr>
                <w:color w:val="000000"/>
                <w:lang w:eastAsia="en-GB"/>
              </w:rPr>
            </w:pPr>
            <w:r w:rsidRPr="007228D6">
              <w:rPr>
                <w:rFonts w:eastAsia="MS PGothic"/>
                <w:bCs/>
                <w:color w:val="000000"/>
                <w:lang w:val="en-US" w:eastAsia="en-GB"/>
              </w:rPr>
              <w:t>Patient Register (West Suffolk)</w:t>
            </w:r>
          </w:p>
        </w:tc>
        <w:tc>
          <w:tcPr>
            <w:tcW w:w="1260" w:type="dxa"/>
            <w:hideMark/>
          </w:tcPr>
          <w:p w14:paraId="1F0942E8"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160,180</w:t>
            </w:r>
          </w:p>
        </w:tc>
        <w:tc>
          <w:tcPr>
            <w:tcW w:w="1260" w:type="dxa"/>
            <w:hideMark/>
          </w:tcPr>
          <w:p w14:paraId="41588B28"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174,320</w:t>
            </w:r>
          </w:p>
        </w:tc>
        <w:tc>
          <w:tcPr>
            <w:tcW w:w="1260" w:type="dxa"/>
            <w:hideMark/>
          </w:tcPr>
          <w:p w14:paraId="7CDF654E"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14,140</w:t>
            </w:r>
          </w:p>
        </w:tc>
        <w:tc>
          <w:tcPr>
            <w:tcW w:w="1260" w:type="dxa"/>
            <w:hideMark/>
          </w:tcPr>
          <w:p w14:paraId="213E5122"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8.80%</w:t>
            </w:r>
          </w:p>
        </w:tc>
      </w:tr>
      <w:tr w:rsidR="00F720CF" w:rsidRPr="007228D6" w14:paraId="0A00844F"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F8B6E2C" w14:textId="77777777" w:rsidR="007228D6" w:rsidRPr="007228D6" w:rsidRDefault="007228D6" w:rsidP="00A441BA">
            <w:pPr>
              <w:rPr>
                <w:color w:val="000000"/>
                <w:lang w:eastAsia="en-GB"/>
              </w:rPr>
            </w:pPr>
            <w:r w:rsidRPr="007228D6">
              <w:rPr>
                <w:rFonts w:eastAsia="MS PGothic"/>
                <w:bCs/>
                <w:color w:val="000000"/>
                <w:lang w:val="en-US" w:eastAsia="en-GB"/>
              </w:rPr>
              <w:t>MYE (East)</w:t>
            </w:r>
          </w:p>
        </w:tc>
        <w:tc>
          <w:tcPr>
            <w:tcW w:w="1260" w:type="dxa"/>
            <w:hideMark/>
          </w:tcPr>
          <w:p w14:paraId="430E570A"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5,862,418</w:t>
            </w:r>
          </w:p>
        </w:tc>
        <w:tc>
          <w:tcPr>
            <w:tcW w:w="1260" w:type="dxa"/>
            <w:hideMark/>
          </w:tcPr>
          <w:p w14:paraId="182DF84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6,236,072</w:t>
            </w:r>
          </w:p>
        </w:tc>
        <w:tc>
          <w:tcPr>
            <w:tcW w:w="1260" w:type="dxa"/>
            <w:hideMark/>
          </w:tcPr>
          <w:p w14:paraId="369B3109"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373,654</w:t>
            </w:r>
          </w:p>
        </w:tc>
        <w:tc>
          <w:tcPr>
            <w:tcW w:w="1260" w:type="dxa"/>
            <w:hideMark/>
          </w:tcPr>
          <w:p w14:paraId="7AB4ED4C"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6.40%</w:t>
            </w:r>
          </w:p>
        </w:tc>
      </w:tr>
      <w:tr w:rsidR="00F720CF" w:rsidRPr="007228D6" w14:paraId="7FD98AE8"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0E07C60" w14:textId="77777777" w:rsidR="007228D6" w:rsidRPr="007228D6" w:rsidRDefault="007228D6" w:rsidP="00A441BA">
            <w:pPr>
              <w:rPr>
                <w:color w:val="000000"/>
                <w:lang w:eastAsia="en-GB"/>
              </w:rPr>
            </w:pPr>
            <w:r w:rsidRPr="007228D6">
              <w:rPr>
                <w:rFonts w:eastAsia="MS PGothic"/>
                <w:bCs/>
                <w:color w:val="000000"/>
                <w:lang w:val="en-US" w:eastAsia="en-GB"/>
              </w:rPr>
              <w:t>Patient Register (East)</w:t>
            </w:r>
          </w:p>
        </w:tc>
        <w:tc>
          <w:tcPr>
            <w:tcW w:w="1260" w:type="dxa"/>
            <w:hideMark/>
          </w:tcPr>
          <w:p w14:paraId="4F10591F"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6,026,910</w:t>
            </w:r>
          </w:p>
        </w:tc>
        <w:tc>
          <w:tcPr>
            <w:tcW w:w="1260" w:type="dxa"/>
            <w:hideMark/>
          </w:tcPr>
          <w:p w14:paraId="4137E9D5"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6,632,570</w:t>
            </w:r>
          </w:p>
        </w:tc>
        <w:tc>
          <w:tcPr>
            <w:tcW w:w="1260" w:type="dxa"/>
            <w:hideMark/>
          </w:tcPr>
          <w:p w14:paraId="1912559E"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605,660</w:t>
            </w:r>
          </w:p>
        </w:tc>
        <w:tc>
          <w:tcPr>
            <w:tcW w:w="1260" w:type="dxa"/>
            <w:hideMark/>
          </w:tcPr>
          <w:p w14:paraId="6F6B3B94"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10.00%</w:t>
            </w:r>
          </w:p>
        </w:tc>
      </w:tr>
      <w:tr w:rsidR="00F720CF" w:rsidRPr="007228D6" w14:paraId="5D59546C"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7B2E715" w14:textId="77777777" w:rsidR="007228D6" w:rsidRPr="007228D6" w:rsidRDefault="007228D6" w:rsidP="00A441BA">
            <w:pPr>
              <w:rPr>
                <w:color w:val="000000"/>
                <w:lang w:eastAsia="en-GB"/>
              </w:rPr>
            </w:pPr>
            <w:r w:rsidRPr="007228D6">
              <w:rPr>
                <w:rFonts w:eastAsia="MS PGothic"/>
                <w:bCs/>
                <w:color w:val="000000"/>
                <w:lang w:val="en-US" w:eastAsia="en-GB"/>
              </w:rPr>
              <w:t>MYE (England)</w:t>
            </w:r>
          </w:p>
        </w:tc>
        <w:tc>
          <w:tcPr>
            <w:tcW w:w="1260" w:type="dxa"/>
            <w:hideMark/>
          </w:tcPr>
          <w:p w14:paraId="0557F3C3"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53,107,169</w:t>
            </w:r>
          </w:p>
        </w:tc>
        <w:tc>
          <w:tcPr>
            <w:tcW w:w="1260" w:type="dxa"/>
            <w:hideMark/>
          </w:tcPr>
          <w:p w14:paraId="1A2F3F3B"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auto"/>
                <w:lang w:eastAsia="en-GB"/>
              </w:rPr>
            </w:pPr>
            <w:r w:rsidRPr="007228D6">
              <w:rPr>
                <w:color w:val="auto"/>
                <w:lang w:val="en-US" w:eastAsia="en-GB"/>
              </w:rPr>
              <w:t>56,286,961</w:t>
            </w:r>
          </w:p>
        </w:tc>
        <w:tc>
          <w:tcPr>
            <w:tcW w:w="1260" w:type="dxa"/>
            <w:hideMark/>
          </w:tcPr>
          <w:p w14:paraId="21998789"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3,179,792</w:t>
            </w:r>
          </w:p>
        </w:tc>
        <w:tc>
          <w:tcPr>
            <w:tcW w:w="1260" w:type="dxa"/>
            <w:hideMark/>
          </w:tcPr>
          <w:p w14:paraId="19F16917"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6.00%</w:t>
            </w:r>
          </w:p>
        </w:tc>
      </w:tr>
      <w:tr w:rsidR="00F720CF" w:rsidRPr="007228D6" w14:paraId="7D617AD0" w14:textId="77777777" w:rsidTr="004F4BA7">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47088E7F" w14:textId="77777777" w:rsidR="007228D6" w:rsidRPr="007228D6" w:rsidRDefault="007228D6" w:rsidP="00A441BA">
            <w:pPr>
              <w:rPr>
                <w:color w:val="000000"/>
                <w:lang w:eastAsia="en-GB"/>
              </w:rPr>
            </w:pPr>
            <w:r w:rsidRPr="007228D6">
              <w:rPr>
                <w:rFonts w:eastAsia="MS PGothic"/>
                <w:bCs/>
                <w:color w:val="000000"/>
                <w:lang w:val="en-US" w:eastAsia="en-GB"/>
              </w:rPr>
              <w:t>Patient Register (England)</w:t>
            </w:r>
          </w:p>
        </w:tc>
        <w:tc>
          <w:tcPr>
            <w:tcW w:w="1260" w:type="dxa"/>
            <w:hideMark/>
          </w:tcPr>
          <w:p w14:paraId="2E4F811E"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55,312,750</w:t>
            </w:r>
          </w:p>
        </w:tc>
        <w:tc>
          <w:tcPr>
            <w:tcW w:w="1260" w:type="dxa"/>
            <w:hideMark/>
          </w:tcPr>
          <w:p w14:paraId="3B1933B7"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60,288,290</w:t>
            </w:r>
          </w:p>
        </w:tc>
        <w:tc>
          <w:tcPr>
            <w:tcW w:w="1260" w:type="dxa"/>
            <w:hideMark/>
          </w:tcPr>
          <w:p w14:paraId="50E1C8D3"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4,975,540</w:t>
            </w:r>
          </w:p>
        </w:tc>
        <w:tc>
          <w:tcPr>
            <w:tcW w:w="1260" w:type="dxa"/>
            <w:hideMark/>
          </w:tcPr>
          <w:p w14:paraId="00E21C3A" w14:textId="77777777" w:rsidR="007228D6" w:rsidRPr="007228D6" w:rsidRDefault="007228D6" w:rsidP="00A441BA">
            <w:pPr>
              <w:cnfStyle w:val="000000000000" w:firstRow="0" w:lastRow="0" w:firstColumn="0" w:lastColumn="0" w:oddVBand="0" w:evenVBand="0" w:oddHBand="0" w:evenHBand="0" w:firstRowFirstColumn="0" w:firstRowLastColumn="0" w:lastRowFirstColumn="0" w:lastRowLastColumn="0"/>
              <w:rPr>
                <w:color w:val="000000"/>
                <w:lang w:eastAsia="en-GB"/>
              </w:rPr>
            </w:pPr>
            <w:r w:rsidRPr="007228D6">
              <w:rPr>
                <w:color w:val="000000"/>
                <w:lang w:val="en-US" w:eastAsia="en-GB"/>
              </w:rPr>
              <w:t>9.00%</w:t>
            </w:r>
          </w:p>
        </w:tc>
      </w:tr>
    </w:tbl>
    <w:p w14:paraId="7BFA50DF" w14:textId="77777777" w:rsidR="00A13819" w:rsidRDefault="00A13819" w:rsidP="00A441BA">
      <w:pPr>
        <w:pStyle w:val="111Bodytext"/>
        <w:numPr>
          <w:ilvl w:val="0"/>
          <w:numId w:val="0"/>
        </w:numPr>
        <w:spacing w:before="0" w:line="240" w:lineRule="auto"/>
        <w:ind w:left="794"/>
      </w:pPr>
      <w:r>
        <w:t>Source: ONS</w:t>
      </w:r>
    </w:p>
    <w:p w14:paraId="4CFD6D80" w14:textId="77777777" w:rsidR="00A13819" w:rsidRDefault="00A13819" w:rsidP="007D0FBF">
      <w:pPr>
        <w:pStyle w:val="11Bodytext"/>
      </w:pPr>
      <w:r>
        <w:lastRenderedPageBreak/>
        <w:t xml:space="preserve">Notwithstanding the different starting points, the analysis shows a very moderate MYE change in Cambridge (+3,033) compared to the Patient Register (+34,660). This raises concerns about the accuracy of the data. </w:t>
      </w:r>
    </w:p>
    <w:p w14:paraId="315EB652" w14:textId="77777777" w:rsidR="00A13819" w:rsidRDefault="00A13819" w:rsidP="007D0FBF">
      <w:pPr>
        <w:pStyle w:val="11Bodytext"/>
      </w:pPr>
      <w:r>
        <w:t xml:space="preserve">These population growth estimates have to be put in the context of housing completions within Cambridge over the same period. As set out in the previous chapter there were 6,902 dwellings completed in the City over a similar period (2011/12 to 2018/19). It would seem unlikely that such a dwelling growth would result in only half the amount of population growth. </w:t>
      </w:r>
    </w:p>
    <w:p w14:paraId="19853412" w14:textId="77777777" w:rsidR="00A13819" w:rsidRDefault="00A13819" w:rsidP="007D0FBF">
      <w:pPr>
        <w:pStyle w:val="11Bodytext"/>
      </w:pPr>
      <w:r>
        <w:t>Equally, it would be unrealistic for an additional 6,902 homes to result in a population growth of 40,770 as shown in the Patient Register, this would equate to an average household size of around 6 people. This high level of population growth could in part be explained by the longstanding issue that the Patient Register has in some University cities where (typically International) students register and then fail to deregister once they move out of the area after graduation. This results in an overestimation of the population in the area.</w:t>
      </w:r>
    </w:p>
    <w:p w14:paraId="262B4692" w14:textId="77777777" w:rsidR="00A13819" w:rsidRDefault="00A13819" w:rsidP="007D0FBF">
      <w:pPr>
        <w:pStyle w:val="11Bodytext"/>
      </w:pPr>
      <w:r>
        <w:t>In this context, it would seem reasonable to conclude that the population is probably somewhere between the two estimates. Although the issue is largely confined to Cambridge to be consistent, we have applied this to the whole HMA.  To provide a more realistic baseline population from which to project change, we have created a model which:</w:t>
      </w:r>
    </w:p>
    <w:p w14:paraId="653F1312" w14:textId="77777777" w:rsidR="00A13819" w:rsidRDefault="00A13819" w:rsidP="00097650">
      <w:pPr>
        <w:pStyle w:val="10BulletBodytext"/>
      </w:pPr>
      <w:r>
        <w:t>Accepts that the 2011 MYE is accurate as it is largely based on the 2011 Census data.</w:t>
      </w:r>
    </w:p>
    <w:p w14:paraId="3FCB970B" w14:textId="77777777" w:rsidR="00A13819" w:rsidRDefault="00A13819" w:rsidP="00097650">
      <w:pPr>
        <w:pStyle w:val="10BulletBodytext"/>
      </w:pPr>
      <w:r>
        <w:t>Takes an average of the MYE population growth and roughly two-thirds of the Patient Register growth to represent a reasonable level of population change since 2011. This proportion of patient register growth is used to reflect the difference in growth in the MYE and patient register at the regional and national levels.</w:t>
      </w:r>
    </w:p>
    <w:p w14:paraId="006E645B" w14:textId="77777777" w:rsidR="00A13819" w:rsidRDefault="00A13819" w:rsidP="00097650">
      <w:pPr>
        <w:pStyle w:val="10BulletBodytext"/>
      </w:pPr>
      <w:r>
        <w:t xml:space="preserve">The initial analysis gives an estimated population in 2019. This is then rolled forward to 2020 using a combination of data about completions, projections, and past trends. </w:t>
      </w:r>
    </w:p>
    <w:p w14:paraId="260CA4FE" w14:textId="77777777" w:rsidR="00A13819" w:rsidRDefault="00A13819" w:rsidP="00097650">
      <w:pPr>
        <w:pStyle w:val="10BulletBodytext"/>
      </w:pPr>
      <w:r>
        <w:t>The analysis also takes account (in the same way) of the age structure changes in each data source.</w:t>
      </w:r>
    </w:p>
    <w:p w14:paraId="4E226503" w14:textId="77777777" w:rsidR="00A13819" w:rsidRDefault="00A13819" w:rsidP="007D0FBF">
      <w:pPr>
        <w:pStyle w:val="11Bodytext"/>
      </w:pPr>
      <w:r>
        <w:lastRenderedPageBreak/>
        <w:t>The following table presents the starting point estimation. As shown, the modelled estimate is around 16,350 higher than the MYE for 2019 (1.9% higher) and is increased by another 9,436 over the following year to get to the 2020 starting point.</w:t>
      </w:r>
    </w:p>
    <w:p w14:paraId="188A0709" w14:textId="77777777" w:rsidR="00A13819" w:rsidRDefault="00A13819" w:rsidP="003D5E23">
      <w:pPr>
        <w:pStyle w:val="Tableheading"/>
        <w:numPr>
          <w:ilvl w:val="0"/>
          <w:numId w:val="54"/>
        </w:numPr>
      </w:pPr>
      <w:r>
        <w:t>Starting Point Population</w:t>
      </w:r>
    </w:p>
    <w:tbl>
      <w:tblPr>
        <w:tblStyle w:val="TableGridLight1"/>
        <w:tblW w:w="8647" w:type="dxa"/>
        <w:tblInd w:w="846" w:type="dxa"/>
        <w:tblLook w:val="04A0" w:firstRow="1" w:lastRow="0" w:firstColumn="1" w:lastColumn="0" w:noHBand="0" w:noVBand="1"/>
      </w:tblPr>
      <w:tblGrid>
        <w:gridCol w:w="2197"/>
        <w:gridCol w:w="1612"/>
        <w:gridCol w:w="1613"/>
        <w:gridCol w:w="1612"/>
        <w:gridCol w:w="1613"/>
      </w:tblGrid>
      <w:tr w:rsidR="00BC0456" w:rsidRPr="00BC0456" w14:paraId="7F87EF07" w14:textId="77777777" w:rsidTr="004F4B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7" w:type="dxa"/>
          </w:tcPr>
          <w:p w14:paraId="023CA576" w14:textId="77777777" w:rsidR="00A13819" w:rsidRPr="00BC0456" w:rsidRDefault="00A13819" w:rsidP="001D508A">
            <w:pPr>
              <w:spacing w:before="60" w:after="60" w:line="300" w:lineRule="auto"/>
              <w:rPr>
                <w:b w:val="0"/>
              </w:rPr>
            </w:pPr>
          </w:p>
        </w:tc>
        <w:tc>
          <w:tcPr>
            <w:tcW w:w="1612" w:type="dxa"/>
            <w:hideMark/>
          </w:tcPr>
          <w:p w14:paraId="6BA45464" w14:textId="77777777" w:rsidR="00A13819" w:rsidRPr="00BC0456" w:rsidRDefault="00A13819" w:rsidP="001D508A">
            <w:pPr>
              <w:spacing w:before="60" w:after="60" w:line="300" w:lineRule="auto"/>
              <w:cnfStyle w:val="100000000000" w:firstRow="1" w:lastRow="0" w:firstColumn="0" w:lastColumn="0" w:oddVBand="0" w:evenVBand="0" w:oddHBand="0" w:evenHBand="0" w:firstRowFirstColumn="0" w:firstRowLastColumn="0" w:lastRowFirstColumn="0" w:lastRowLastColumn="0"/>
            </w:pPr>
            <w:r w:rsidRPr="00BC0456">
              <w:t>MYE 2019</w:t>
            </w:r>
          </w:p>
        </w:tc>
        <w:tc>
          <w:tcPr>
            <w:tcW w:w="1613" w:type="dxa"/>
            <w:hideMark/>
          </w:tcPr>
          <w:p w14:paraId="1A4666D6" w14:textId="77777777" w:rsidR="00A13819" w:rsidRPr="00BC0456" w:rsidRDefault="00A13819" w:rsidP="001D508A">
            <w:pPr>
              <w:spacing w:before="60" w:after="60" w:line="300" w:lineRule="auto"/>
              <w:cnfStyle w:val="100000000000" w:firstRow="1" w:lastRow="0" w:firstColumn="0" w:lastColumn="0" w:oddVBand="0" w:evenVBand="0" w:oddHBand="0" w:evenHBand="0" w:firstRowFirstColumn="0" w:firstRowLastColumn="0" w:lastRowFirstColumn="0" w:lastRowLastColumn="0"/>
            </w:pPr>
            <w:r w:rsidRPr="00BC0456">
              <w:t>Patient Register 2019</w:t>
            </w:r>
          </w:p>
        </w:tc>
        <w:tc>
          <w:tcPr>
            <w:tcW w:w="1612" w:type="dxa"/>
            <w:hideMark/>
          </w:tcPr>
          <w:p w14:paraId="19E3D684" w14:textId="77777777" w:rsidR="00A13819" w:rsidRPr="00BC0456" w:rsidRDefault="00A13819" w:rsidP="001D508A">
            <w:pPr>
              <w:spacing w:before="60" w:after="60" w:line="300" w:lineRule="auto"/>
              <w:cnfStyle w:val="100000000000" w:firstRow="1" w:lastRow="0" w:firstColumn="0" w:lastColumn="0" w:oddVBand="0" w:evenVBand="0" w:oddHBand="0" w:evenHBand="0" w:firstRowFirstColumn="0" w:firstRowLastColumn="0" w:lastRowFirstColumn="0" w:lastRowLastColumn="0"/>
            </w:pPr>
            <w:r w:rsidRPr="00BC0456">
              <w:t>Modelled 2019</w:t>
            </w:r>
          </w:p>
        </w:tc>
        <w:tc>
          <w:tcPr>
            <w:tcW w:w="1613" w:type="dxa"/>
            <w:hideMark/>
          </w:tcPr>
          <w:p w14:paraId="54A95753" w14:textId="77777777" w:rsidR="00A13819" w:rsidRPr="00BC0456" w:rsidRDefault="00A13819" w:rsidP="001D508A">
            <w:pPr>
              <w:spacing w:before="60" w:after="60" w:line="300" w:lineRule="auto"/>
              <w:cnfStyle w:val="100000000000" w:firstRow="1" w:lastRow="0" w:firstColumn="0" w:lastColumn="0" w:oddVBand="0" w:evenVBand="0" w:oddHBand="0" w:evenHBand="0" w:firstRowFirstColumn="0" w:firstRowLastColumn="0" w:lastRowFirstColumn="0" w:lastRowLastColumn="0"/>
            </w:pPr>
            <w:r w:rsidRPr="00BC0456">
              <w:t>GLH 2020</w:t>
            </w:r>
          </w:p>
        </w:tc>
      </w:tr>
      <w:tr w:rsidR="00BC0456" w:rsidRPr="00BC0456" w14:paraId="56F959BF"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1CE9E49E" w14:textId="77777777" w:rsidR="00A13819" w:rsidRPr="00BC0456" w:rsidRDefault="00A13819" w:rsidP="001D508A">
            <w:pPr>
              <w:spacing w:line="300" w:lineRule="auto"/>
            </w:pPr>
            <w:r w:rsidRPr="00BC0456">
              <w:t>Cambridge</w:t>
            </w:r>
          </w:p>
        </w:tc>
        <w:tc>
          <w:tcPr>
            <w:tcW w:w="1612" w:type="dxa"/>
            <w:hideMark/>
          </w:tcPr>
          <w:p w14:paraId="53F44BA7"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124,798</w:t>
            </w:r>
          </w:p>
        </w:tc>
        <w:tc>
          <w:tcPr>
            <w:tcW w:w="1613" w:type="dxa"/>
            <w:hideMark/>
          </w:tcPr>
          <w:p w14:paraId="5E071FBB"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175,670</w:t>
            </w:r>
          </w:p>
        </w:tc>
        <w:tc>
          <w:tcPr>
            <w:tcW w:w="1612" w:type="dxa"/>
            <w:hideMark/>
          </w:tcPr>
          <w:p w14:paraId="52592F82"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137,029</w:t>
            </w:r>
          </w:p>
        </w:tc>
        <w:tc>
          <w:tcPr>
            <w:tcW w:w="1613" w:type="dxa"/>
            <w:hideMark/>
          </w:tcPr>
          <w:p w14:paraId="4280819E"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138,896</w:t>
            </w:r>
          </w:p>
        </w:tc>
      </w:tr>
      <w:tr w:rsidR="00BC0456" w:rsidRPr="00BC0456" w14:paraId="2BF74C95"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36F4DBF0" w14:textId="77777777" w:rsidR="00A13819" w:rsidRPr="00BC0456" w:rsidRDefault="00A13819" w:rsidP="001D508A">
            <w:pPr>
              <w:spacing w:line="300" w:lineRule="auto"/>
            </w:pPr>
            <w:r w:rsidRPr="00BC0456">
              <w:rPr>
                <w:lang w:eastAsia="en-GB"/>
              </w:rPr>
              <w:t>East Cambs</w:t>
            </w:r>
          </w:p>
        </w:tc>
        <w:tc>
          <w:tcPr>
            <w:tcW w:w="1612" w:type="dxa"/>
            <w:hideMark/>
          </w:tcPr>
          <w:p w14:paraId="6AA66113"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89,840</w:t>
            </w:r>
          </w:p>
        </w:tc>
        <w:tc>
          <w:tcPr>
            <w:tcW w:w="1613" w:type="dxa"/>
            <w:hideMark/>
          </w:tcPr>
          <w:p w14:paraId="0BE6FC68"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93,700</w:t>
            </w:r>
          </w:p>
        </w:tc>
        <w:tc>
          <w:tcPr>
            <w:tcW w:w="1612" w:type="dxa"/>
            <w:hideMark/>
          </w:tcPr>
          <w:p w14:paraId="376DE7D7"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90,229</w:t>
            </w:r>
          </w:p>
        </w:tc>
        <w:tc>
          <w:tcPr>
            <w:tcW w:w="1613" w:type="dxa"/>
            <w:hideMark/>
          </w:tcPr>
          <w:p w14:paraId="0E63F694"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91,389</w:t>
            </w:r>
          </w:p>
        </w:tc>
      </w:tr>
      <w:tr w:rsidR="00BC0456" w:rsidRPr="00BC0456" w14:paraId="0E8B04BA"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4941A82D" w14:textId="77777777" w:rsidR="00A13819" w:rsidRPr="00BC0456" w:rsidRDefault="00A13819" w:rsidP="001D508A">
            <w:pPr>
              <w:spacing w:line="300" w:lineRule="auto"/>
            </w:pPr>
            <w:r w:rsidRPr="00BC0456">
              <w:t>Fenland</w:t>
            </w:r>
          </w:p>
        </w:tc>
        <w:tc>
          <w:tcPr>
            <w:tcW w:w="1612" w:type="dxa"/>
            <w:hideMark/>
          </w:tcPr>
          <w:p w14:paraId="76DD9B17"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101,850</w:t>
            </w:r>
          </w:p>
        </w:tc>
        <w:tc>
          <w:tcPr>
            <w:tcW w:w="1613" w:type="dxa"/>
            <w:hideMark/>
          </w:tcPr>
          <w:p w14:paraId="2E93ABE8"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109,440</w:t>
            </w:r>
          </w:p>
        </w:tc>
        <w:tc>
          <w:tcPr>
            <w:tcW w:w="1612" w:type="dxa"/>
            <w:hideMark/>
          </w:tcPr>
          <w:p w14:paraId="7236A225"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102,151</w:t>
            </w:r>
          </w:p>
        </w:tc>
        <w:tc>
          <w:tcPr>
            <w:tcW w:w="1613" w:type="dxa"/>
            <w:hideMark/>
          </w:tcPr>
          <w:p w14:paraId="34F74E7E"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102,749</w:t>
            </w:r>
          </w:p>
        </w:tc>
      </w:tr>
      <w:tr w:rsidR="00BC0456" w:rsidRPr="00BC0456" w14:paraId="265A15E2"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06411BF4" w14:textId="77777777" w:rsidR="00A13819" w:rsidRPr="00BC0456" w:rsidRDefault="00A13819" w:rsidP="001D508A">
            <w:pPr>
              <w:spacing w:line="300" w:lineRule="auto"/>
            </w:pPr>
            <w:r w:rsidRPr="00BC0456">
              <w:t>Huntingdonshire</w:t>
            </w:r>
          </w:p>
        </w:tc>
        <w:tc>
          <w:tcPr>
            <w:tcW w:w="1612" w:type="dxa"/>
            <w:hideMark/>
          </w:tcPr>
          <w:p w14:paraId="0ADA24F4"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177,963</w:t>
            </w:r>
          </w:p>
        </w:tc>
        <w:tc>
          <w:tcPr>
            <w:tcW w:w="1613" w:type="dxa"/>
            <w:hideMark/>
          </w:tcPr>
          <w:p w14:paraId="6DC858CA"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187,260</w:t>
            </w:r>
          </w:p>
        </w:tc>
        <w:tc>
          <w:tcPr>
            <w:tcW w:w="1612" w:type="dxa"/>
            <w:hideMark/>
          </w:tcPr>
          <w:p w14:paraId="3A032768"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179,353</w:t>
            </w:r>
          </w:p>
        </w:tc>
        <w:tc>
          <w:tcPr>
            <w:tcW w:w="1613" w:type="dxa"/>
            <w:hideMark/>
          </w:tcPr>
          <w:p w14:paraId="260B9B85"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180,989</w:t>
            </w:r>
          </w:p>
        </w:tc>
      </w:tr>
      <w:tr w:rsidR="00BC0456" w:rsidRPr="00BC0456" w14:paraId="58D7089A"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69064D66" w14:textId="77777777" w:rsidR="00A13819" w:rsidRPr="00BC0456" w:rsidRDefault="00A13819" w:rsidP="001D508A">
            <w:pPr>
              <w:spacing w:line="300" w:lineRule="auto"/>
            </w:pPr>
            <w:r w:rsidRPr="00BC0456">
              <w:t>South Cambs</w:t>
            </w:r>
          </w:p>
        </w:tc>
        <w:tc>
          <w:tcPr>
            <w:tcW w:w="1612" w:type="dxa"/>
            <w:hideMark/>
          </w:tcPr>
          <w:p w14:paraId="31D43B24"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159,086</w:t>
            </w:r>
          </w:p>
        </w:tc>
        <w:tc>
          <w:tcPr>
            <w:tcW w:w="1613" w:type="dxa"/>
            <w:hideMark/>
          </w:tcPr>
          <w:p w14:paraId="35ED9BEF"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170,420</w:t>
            </w:r>
          </w:p>
        </w:tc>
        <w:tc>
          <w:tcPr>
            <w:tcW w:w="1612" w:type="dxa"/>
            <w:hideMark/>
          </w:tcPr>
          <w:p w14:paraId="77840114"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160,283</w:t>
            </w:r>
          </w:p>
        </w:tc>
        <w:tc>
          <w:tcPr>
            <w:tcW w:w="1613" w:type="dxa"/>
            <w:hideMark/>
          </w:tcPr>
          <w:p w14:paraId="1E2A53A1"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162,357</w:t>
            </w:r>
          </w:p>
        </w:tc>
      </w:tr>
      <w:tr w:rsidR="00BC0456" w:rsidRPr="00BC0456" w14:paraId="3BCDD67A"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4C71CFDD" w14:textId="77777777" w:rsidR="00A13819" w:rsidRPr="00BC0456" w:rsidRDefault="00A13819" w:rsidP="001D508A">
            <w:pPr>
              <w:spacing w:line="300" w:lineRule="auto"/>
            </w:pPr>
            <w:r w:rsidRPr="00BC0456">
              <w:t>West Suffolk</w:t>
            </w:r>
          </w:p>
        </w:tc>
        <w:tc>
          <w:tcPr>
            <w:tcW w:w="1612" w:type="dxa"/>
            <w:hideMark/>
          </w:tcPr>
          <w:p w14:paraId="45403BE8"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179,045</w:t>
            </w:r>
          </w:p>
        </w:tc>
        <w:tc>
          <w:tcPr>
            <w:tcW w:w="1613" w:type="dxa"/>
            <w:hideMark/>
          </w:tcPr>
          <w:p w14:paraId="4C471F54"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174,320</w:t>
            </w:r>
          </w:p>
        </w:tc>
        <w:tc>
          <w:tcPr>
            <w:tcW w:w="1612" w:type="dxa"/>
            <w:hideMark/>
          </w:tcPr>
          <w:p w14:paraId="5F89B081"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179,885</w:t>
            </w:r>
          </w:p>
        </w:tc>
        <w:tc>
          <w:tcPr>
            <w:tcW w:w="1613" w:type="dxa"/>
            <w:hideMark/>
          </w:tcPr>
          <w:p w14:paraId="404540A5" w14:textId="77777777" w:rsidR="00A13819" w:rsidRPr="00BC0456"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pPr>
            <w:r w:rsidRPr="00BC0456">
              <w:t>181,986</w:t>
            </w:r>
          </w:p>
        </w:tc>
      </w:tr>
      <w:tr w:rsidR="00BC0456" w:rsidRPr="00BC0456" w14:paraId="74D23C56" w14:textId="77777777" w:rsidTr="004F4BA7">
        <w:trPr>
          <w:trHeight w:val="20"/>
        </w:trPr>
        <w:tc>
          <w:tcPr>
            <w:cnfStyle w:val="001000000000" w:firstRow="0" w:lastRow="0" w:firstColumn="1" w:lastColumn="0" w:oddVBand="0" w:evenVBand="0" w:oddHBand="0" w:evenHBand="0" w:firstRowFirstColumn="0" w:firstRowLastColumn="0" w:lastRowFirstColumn="0" w:lastRowLastColumn="0"/>
            <w:tcW w:w="2197" w:type="dxa"/>
            <w:hideMark/>
          </w:tcPr>
          <w:p w14:paraId="62A9ECAC" w14:textId="77777777" w:rsidR="00A13819" w:rsidRPr="003A75AB" w:rsidRDefault="00A13819" w:rsidP="001D508A">
            <w:pPr>
              <w:spacing w:line="300" w:lineRule="auto"/>
              <w:rPr>
                <w:b/>
                <w:bCs/>
              </w:rPr>
            </w:pPr>
            <w:r w:rsidRPr="003A75AB">
              <w:rPr>
                <w:b/>
                <w:bCs/>
              </w:rPr>
              <w:t>HMA</w:t>
            </w:r>
          </w:p>
        </w:tc>
        <w:tc>
          <w:tcPr>
            <w:tcW w:w="1612" w:type="dxa"/>
            <w:hideMark/>
          </w:tcPr>
          <w:p w14:paraId="2BE960F8" w14:textId="77777777" w:rsidR="00A13819" w:rsidRPr="003A75AB"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rPr>
                <w:b/>
                <w:bCs/>
              </w:rPr>
            </w:pPr>
            <w:r w:rsidRPr="004F4BA7">
              <w:rPr>
                <w:b/>
                <w:bCs/>
              </w:rPr>
              <w:t>832,582</w:t>
            </w:r>
          </w:p>
        </w:tc>
        <w:tc>
          <w:tcPr>
            <w:tcW w:w="1613" w:type="dxa"/>
            <w:hideMark/>
          </w:tcPr>
          <w:p w14:paraId="3339E5CF" w14:textId="77777777" w:rsidR="00A13819" w:rsidRPr="003A75AB"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rPr>
                <w:b/>
                <w:bCs/>
              </w:rPr>
            </w:pPr>
            <w:r w:rsidRPr="004F4BA7">
              <w:rPr>
                <w:b/>
                <w:bCs/>
              </w:rPr>
              <w:t>910,810</w:t>
            </w:r>
          </w:p>
        </w:tc>
        <w:tc>
          <w:tcPr>
            <w:tcW w:w="1612" w:type="dxa"/>
            <w:hideMark/>
          </w:tcPr>
          <w:p w14:paraId="4F31F643" w14:textId="77777777" w:rsidR="00A13819" w:rsidRPr="003A75AB"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rPr>
                <w:b/>
                <w:bCs/>
              </w:rPr>
            </w:pPr>
            <w:r w:rsidRPr="004F4BA7">
              <w:rPr>
                <w:b/>
                <w:bCs/>
              </w:rPr>
              <w:t>848,931</w:t>
            </w:r>
          </w:p>
        </w:tc>
        <w:tc>
          <w:tcPr>
            <w:tcW w:w="1613" w:type="dxa"/>
            <w:hideMark/>
          </w:tcPr>
          <w:p w14:paraId="4AC14DCB" w14:textId="77777777" w:rsidR="00A13819" w:rsidRPr="003A75AB" w:rsidRDefault="00A13819" w:rsidP="001D508A">
            <w:pPr>
              <w:spacing w:line="256" w:lineRule="auto"/>
              <w:cnfStyle w:val="000000000000" w:firstRow="0" w:lastRow="0" w:firstColumn="0" w:lastColumn="0" w:oddVBand="0" w:evenVBand="0" w:oddHBand="0" w:evenHBand="0" w:firstRowFirstColumn="0" w:firstRowLastColumn="0" w:lastRowFirstColumn="0" w:lastRowLastColumn="0"/>
              <w:rPr>
                <w:b/>
                <w:bCs/>
              </w:rPr>
            </w:pPr>
            <w:r w:rsidRPr="004F4BA7">
              <w:rPr>
                <w:b/>
                <w:bCs/>
              </w:rPr>
              <w:t>858,367</w:t>
            </w:r>
          </w:p>
        </w:tc>
      </w:tr>
    </w:tbl>
    <w:p w14:paraId="4061960B" w14:textId="77777777" w:rsidR="00A13819" w:rsidRPr="007D0FBF" w:rsidRDefault="00A13819" w:rsidP="00A13819">
      <w:pPr>
        <w:widowControl w:val="0"/>
        <w:spacing w:after="120" w:line="360" w:lineRule="auto"/>
        <w:ind w:firstLine="794"/>
        <w:rPr>
          <w:rFonts w:eastAsia="MS PGothic"/>
          <w:bCs/>
          <w:sz w:val="24"/>
          <w:szCs w:val="24"/>
        </w:rPr>
      </w:pPr>
      <w:r w:rsidRPr="007D0FBF">
        <w:rPr>
          <w:rFonts w:eastAsia="MS PGothic"/>
          <w:bCs/>
          <w:sz w:val="24"/>
          <w:szCs w:val="24"/>
        </w:rPr>
        <w:t>Source: Derived from ONS data</w:t>
      </w:r>
    </w:p>
    <w:p w14:paraId="7AC605ED" w14:textId="77777777" w:rsidR="00A13819" w:rsidRDefault="00A13819" w:rsidP="007D0FBF">
      <w:pPr>
        <w:pStyle w:val="11Bodytext"/>
      </w:pPr>
      <w:r>
        <w:t xml:space="preserve">The largest divergence from the MYE is in Cambridge (+9.8%) due to the reasons discussed above and the smallest is in Fenland (+0.3%) although low deviation also occurred in East Cambridgeshire (+0.4%) and West Suffolk (+0.5%). </w:t>
      </w:r>
    </w:p>
    <w:p w14:paraId="19DE3E73" w14:textId="77777777" w:rsidR="00A13819" w:rsidRDefault="00A13819" w:rsidP="007D0FBF">
      <w:pPr>
        <w:pStyle w:val="11Bodytext"/>
      </w:pPr>
      <w:r>
        <w:t>The outputs above were sense checked against the “Cambridgeshire and Peterborough: Mid-2011 to Mid-2018 Population and Dwelling Stock Estimates.” This can be accessed through Cambridgeshire Insight (part of Cambridgeshire County Council)</w:t>
      </w:r>
      <w:r>
        <w:rPr>
          <w:rStyle w:val="FootnoteReference"/>
        </w:rPr>
        <w:footnoteReference w:id="12"/>
      </w:r>
      <w:r>
        <w:t xml:space="preserve">.  The numbers in that analysis are not dissimilar to those set out in the table above, giving further credence to these outputs. </w:t>
      </w:r>
    </w:p>
    <w:p w14:paraId="7E0E843C" w14:textId="77777777" w:rsidR="00A13819" w:rsidRDefault="00A13819" w:rsidP="007D0FBF">
      <w:pPr>
        <w:pStyle w:val="Heading3"/>
      </w:pPr>
      <w:r>
        <w:t>Future Population Growth</w:t>
      </w:r>
    </w:p>
    <w:p w14:paraId="0DF3F66C" w14:textId="5605C14F" w:rsidR="004F4BA7" w:rsidRDefault="00A13819" w:rsidP="007D0FBF">
      <w:pPr>
        <w:pStyle w:val="11Bodytext"/>
      </w:pPr>
      <w:r>
        <w:t>After establishing the starting point of the analysis, we are required to build a bespoke population projection which is constrained to the local housing needs figure of 4,654 dwellings per annum (</w:t>
      </w:r>
      <w:proofErr w:type="spellStart"/>
      <w:r>
        <w:t>dpa</w:t>
      </w:r>
      <w:proofErr w:type="spellEnd"/>
      <w:r>
        <w:t>). The model uses the following assumptions:</w:t>
      </w:r>
    </w:p>
    <w:p w14:paraId="35D5C931" w14:textId="77777777" w:rsidR="004F4BA7" w:rsidRDefault="004F4BA7">
      <w:pPr>
        <w:spacing w:after="200"/>
        <w:rPr>
          <w:bCs/>
          <w:sz w:val="24"/>
          <w:szCs w:val="24"/>
        </w:rPr>
      </w:pPr>
      <w:r>
        <w:br w:type="page"/>
      </w:r>
    </w:p>
    <w:p w14:paraId="63415431" w14:textId="77777777" w:rsidR="00A13819" w:rsidRDefault="00A13819" w:rsidP="00097650">
      <w:pPr>
        <w:pStyle w:val="10BulletBodytext"/>
      </w:pPr>
      <w:r>
        <w:lastRenderedPageBreak/>
        <w:t xml:space="preserve">Uses the starting point population and age profile from 2020 as set out above; </w:t>
      </w:r>
    </w:p>
    <w:p w14:paraId="5C47B62A" w14:textId="77777777" w:rsidR="00A13819" w:rsidRDefault="00A13819" w:rsidP="00097650">
      <w:pPr>
        <w:pStyle w:val="10BulletBodytext"/>
      </w:pPr>
      <w:r>
        <w:t xml:space="preserve">Applies local fertility and mortality rates from the latest population projection (2018-based SNPP); </w:t>
      </w:r>
    </w:p>
    <w:p w14:paraId="46244558" w14:textId="77777777" w:rsidR="00A13819" w:rsidRDefault="00A13819" w:rsidP="00097650">
      <w:pPr>
        <w:pStyle w:val="10BulletBodytext"/>
      </w:pPr>
      <w:r>
        <w:t>Adjusts migration by reducing out-migration and increasing in-migration in equal measures to a point where 4,654 dwellings per annum are occupied when the adjusted household formation rates (midpoint between the 2008-based and 2014-based household projections) are applied.</w:t>
      </w:r>
    </w:p>
    <w:p w14:paraId="788523DF" w14:textId="77777777" w:rsidR="00A13819" w:rsidRPr="00526C6E" w:rsidRDefault="00A13819" w:rsidP="007D0FBF">
      <w:pPr>
        <w:pStyle w:val="11Bodytext"/>
        <w:rPr>
          <w:b/>
        </w:rPr>
      </w:pPr>
      <w:r>
        <w:t>The table below shows the resultant projected population change for each local authority together with aggregated figures for the HMA and Greater Cambridge. The projected change in population is around 181,459 people which is a 21.1% increase across the HMA. This compares to around 48,000 in the 2018-based SNPP.</w:t>
      </w:r>
    </w:p>
    <w:p w14:paraId="26BE1939" w14:textId="77777777" w:rsidR="00A13819" w:rsidRDefault="00A13819" w:rsidP="003D5E23">
      <w:pPr>
        <w:pStyle w:val="Tableheading"/>
        <w:numPr>
          <w:ilvl w:val="0"/>
          <w:numId w:val="54"/>
        </w:numPr>
      </w:pPr>
      <w:r>
        <w:t>Population change 2020-2040 by each local authority</w:t>
      </w:r>
    </w:p>
    <w:tbl>
      <w:tblPr>
        <w:tblStyle w:val="TableGridLight1"/>
        <w:tblW w:w="8557" w:type="dxa"/>
        <w:tblInd w:w="794" w:type="dxa"/>
        <w:tblLayout w:type="fixed"/>
        <w:tblLook w:val="04A0" w:firstRow="1" w:lastRow="0" w:firstColumn="1" w:lastColumn="0" w:noHBand="0" w:noVBand="1"/>
      </w:tblPr>
      <w:tblGrid>
        <w:gridCol w:w="2320"/>
        <w:gridCol w:w="1559"/>
        <w:gridCol w:w="1559"/>
        <w:gridCol w:w="1559"/>
        <w:gridCol w:w="1560"/>
      </w:tblGrid>
      <w:tr w:rsidR="00BC0456" w:rsidRPr="00BC0456" w14:paraId="21703FFE" w14:textId="77777777" w:rsidTr="00BC0456">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320" w:type="dxa"/>
            <w:hideMark/>
          </w:tcPr>
          <w:p w14:paraId="65DA793F" w14:textId="77777777" w:rsidR="00A13819" w:rsidRPr="00BC0456" w:rsidRDefault="00A13819" w:rsidP="00A441BA">
            <w:pPr>
              <w:rPr>
                <w:b w:val="0"/>
              </w:rPr>
            </w:pPr>
            <w:r w:rsidRPr="00BC0456">
              <w:t> </w:t>
            </w:r>
          </w:p>
        </w:tc>
        <w:tc>
          <w:tcPr>
            <w:tcW w:w="1559" w:type="dxa"/>
            <w:hideMark/>
          </w:tcPr>
          <w:p w14:paraId="096A420D" w14:textId="77777777" w:rsidR="00A13819" w:rsidRPr="00BC0456" w:rsidRDefault="00A13819" w:rsidP="00A441BA">
            <w:pPr>
              <w:cnfStyle w:val="100000000000" w:firstRow="1" w:lastRow="0" w:firstColumn="0" w:lastColumn="0" w:oddVBand="0" w:evenVBand="0" w:oddHBand="0" w:evenHBand="0" w:firstRowFirstColumn="0" w:firstRowLastColumn="0" w:lastRowFirstColumn="0" w:lastRowLastColumn="0"/>
            </w:pPr>
            <w:r w:rsidRPr="00BC0456">
              <w:t>2020</w:t>
            </w:r>
          </w:p>
        </w:tc>
        <w:tc>
          <w:tcPr>
            <w:tcW w:w="1559" w:type="dxa"/>
            <w:hideMark/>
          </w:tcPr>
          <w:p w14:paraId="4C74B03C" w14:textId="77777777" w:rsidR="00A13819" w:rsidRPr="00BC0456" w:rsidRDefault="00A13819" w:rsidP="00A441BA">
            <w:pPr>
              <w:cnfStyle w:val="100000000000" w:firstRow="1" w:lastRow="0" w:firstColumn="0" w:lastColumn="0" w:oddVBand="0" w:evenVBand="0" w:oddHBand="0" w:evenHBand="0" w:firstRowFirstColumn="0" w:firstRowLastColumn="0" w:lastRowFirstColumn="0" w:lastRowLastColumn="0"/>
            </w:pPr>
            <w:r w:rsidRPr="00BC0456">
              <w:t>2040</w:t>
            </w:r>
          </w:p>
        </w:tc>
        <w:tc>
          <w:tcPr>
            <w:tcW w:w="1559" w:type="dxa"/>
            <w:hideMark/>
          </w:tcPr>
          <w:p w14:paraId="3399BA86" w14:textId="77777777" w:rsidR="00A13819" w:rsidRPr="00BC0456" w:rsidRDefault="00A13819" w:rsidP="00A441BA">
            <w:pPr>
              <w:cnfStyle w:val="100000000000" w:firstRow="1" w:lastRow="0" w:firstColumn="0" w:lastColumn="0" w:oddVBand="0" w:evenVBand="0" w:oddHBand="0" w:evenHBand="0" w:firstRowFirstColumn="0" w:firstRowLastColumn="0" w:lastRowFirstColumn="0" w:lastRowLastColumn="0"/>
            </w:pPr>
            <w:r w:rsidRPr="00BC0456">
              <w:t>Change</w:t>
            </w:r>
          </w:p>
        </w:tc>
        <w:tc>
          <w:tcPr>
            <w:tcW w:w="1560" w:type="dxa"/>
            <w:hideMark/>
          </w:tcPr>
          <w:p w14:paraId="2B958085" w14:textId="77777777" w:rsidR="00A13819" w:rsidRPr="00BC0456" w:rsidRDefault="00A13819" w:rsidP="00A441BA">
            <w:pPr>
              <w:cnfStyle w:val="100000000000" w:firstRow="1" w:lastRow="0" w:firstColumn="0" w:lastColumn="0" w:oddVBand="0" w:evenVBand="0" w:oddHBand="0" w:evenHBand="0" w:firstRowFirstColumn="0" w:firstRowLastColumn="0" w:lastRowFirstColumn="0" w:lastRowLastColumn="0"/>
            </w:pPr>
            <w:r w:rsidRPr="00BC0456">
              <w:t>% Change</w:t>
            </w:r>
          </w:p>
        </w:tc>
      </w:tr>
      <w:tr w:rsidR="00BC0456" w:rsidRPr="00BC0456" w14:paraId="1F5CC351"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6A53A64C" w14:textId="77777777" w:rsidR="00A13819" w:rsidRPr="00BC0456" w:rsidRDefault="00A13819" w:rsidP="00A441BA">
            <w:pPr>
              <w:rPr>
                <w:b/>
                <w:bCs/>
                <w:sz w:val="20"/>
                <w:lang w:eastAsia="en-GB"/>
              </w:rPr>
            </w:pPr>
            <w:r w:rsidRPr="00BC0456">
              <w:rPr>
                <w:bCs/>
                <w:lang w:eastAsia="en-GB"/>
              </w:rPr>
              <w:t>Cambridge</w:t>
            </w:r>
          </w:p>
        </w:tc>
        <w:tc>
          <w:tcPr>
            <w:tcW w:w="1559" w:type="dxa"/>
            <w:hideMark/>
          </w:tcPr>
          <w:p w14:paraId="261FA633"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138,896</w:t>
            </w:r>
          </w:p>
        </w:tc>
        <w:tc>
          <w:tcPr>
            <w:tcW w:w="1559" w:type="dxa"/>
            <w:hideMark/>
          </w:tcPr>
          <w:p w14:paraId="2737BE48"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167,214</w:t>
            </w:r>
          </w:p>
        </w:tc>
        <w:tc>
          <w:tcPr>
            <w:tcW w:w="1559" w:type="dxa"/>
            <w:hideMark/>
          </w:tcPr>
          <w:p w14:paraId="208B9C23"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28,318</w:t>
            </w:r>
          </w:p>
        </w:tc>
        <w:tc>
          <w:tcPr>
            <w:tcW w:w="1560" w:type="dxa"/>
            <w:hideMark/>
          </w:tcPr>
          <w:p w14:paraId="26F1A53C"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20.4%</w:t>
            </w:r>
          </w:p>
        </w:tc>
      </w:tr>
      <w:tr w:rsidR="00BC0456" w:rsidRPr="00BC0456" w14:paraId="1CD4C533"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4BDD012" w14:textId="77777777" w:rsidR="00A13819" w:rsidRPr="00BC0456" w:rsidRDefault="00A13819" w:rsidP="00A441BA">
            <w:pPr>
              <w:rPr>
                <w:b/>
                <w:bCs/>
                <w:sz w:val="20"/>
                <w:lang w:eastAsia="en-GB"/>
              </w:rPr>
            </w:pPr>
            <w:r w:rsidRPr="00BC0456">
              <w:rPr>
                <w:bCs/>
                <w:lang w:eastAsia="en-GB"/>
              </w:rPr>
              <w:t>East Cambs</w:t>
            </w:r>
          </w:p>
        </w:tc>
        <w:tc>
          <w:tcPr>
            <w:tcW w:w="1559" w:type="dxa"/>
            <w:hideMark/>
          </w:tcPr>
          <w:p w14:paraId="40E40D9E"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91,389</w:t>
            </w:r>
          </w:p>
        </w:tc>
        <w:tc>
          <w:tcPr>
            <w:tcW w:w="1559" w:type="dxa"/>
            <w:hideMark/>
          </w:tcPr>
          <w:p w14:paraId="07EB4064"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115,831</w:t>
            </w:r>
          </w:p>
        </w:tc>
        <w:tc>
          <w:tcPr>
            <w:tcW w:w="1559" w:type="dxa"/>
            <w:hideMark/>
          </w:tcPr>
          <w:p w14:paraId="6711F592"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24,442</w:t>
            </w:r>
          </w:p>
        </w:tc>
        <w:tc>
          <w:tcPr>
            <w:tcW w:w="1560" w:type="dxa"/>
            <w:hideMark/>
          </w:tcPr>
          <w:p w14:paraId="3706D98D"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26.7%</w:t>
            </w:r>
          </w:p>
        </w:tc>
      </w:tr>
      <w:tr w:rsidR="00BC0456" w:rsidRPr="00BC0456" w14:paraId="0737836A"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299DFA3D" w14:textId="77777777" w:rsidR="00A13819" w:rsidRPr="00BC0456" w:rsidRDefault="00A13819" w:rsidP="00A441BA">
            <w:pPr>
              <w:rPr>
                <w:b/>
                <w:bCs/>
                <w:sz w:val="20"/>
                <w:lang w:eastAsia="en-GB"/>
              </w:rPr>
            </w:pPr>
            <w:r w:rsidRPr="00BC0456">
              <w:rPr>
                <w:bCs/>
                <w:lang w:eastAsia="en-GB"/>
              </w:rPr>
              <w:t>Fenland</w:t>
            </w:r>
          </w:p>
        </w:tc>
        <w:tc>
          <w:tcPr>
            <w:tcW w:w="1559" w:type="dxa"/>
            <w:hideMark/>
          </w:tcPr>
          <w:p w14:paraId="2C95BF4B"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102,749</w:t>
            </w:r>
          </w:p>
        </w:tc>
        <w:tc>
          <w:tcPr>
            <w:tcW w:w="1559" w:type="dxa"/>
            <w:hideMark/>
          </w:tcPr>
          <w:p w14:paraId="07D85E84"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121,020</w:t>
            </w:r>
          </w:p>
        </w:tc>
        <w:tc>
          <w:tcPr>
            <w:tcW w:w="1559" w:type="dxa"/>
            <w:hideMark/>
          </w:tcPr>
          <w:p w14:paraId="12AE9F42"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18,270</w:t>
            </w:r>
          </w:p>
        </w:tc>
        <w:tc>
          <w:tcPr>
            <w:tcW w:w="1560" w:type="dxa"/>
            <w:hideMark/>
          </w:tcPr>
          <w:p w14:paraId="50206E62"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17.8%</w:t>
            </w:r>
          </w:p>
        </w:tc>
      </w:tr>
      <w:tr w:rsidR="00BC0456" w:rsidRPr="00BC0456" w14:paraId="3B63B2F3"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7B93CDE" w14:textId="77777777" w:rsidR="00A13819" w:rsidRPr="00BC0456" w:rsidRDefault="00A13819" w:rsidP="00A441BA">
            <w:pPr>
              <w:rPr>
                <w:b/>
                <w:bCs/>
                <w:sz w:val="20"/>
                <w:lang w:eastAsia="en-GB"/>
              </w:rPr>
            </w:pPr>
            <w:r w:rsidRPr="00BC0456">
              <w:rPr>
                <w:lang w:eastAsia="en-GB"/>
              </w:rPr>
              <w:t>Huntingdonshire</w:t>
            </w:r>
          </w:p>
        </w:tc>
        <w:tc>
          <w:tcPr>
            <w:tcW w:w="1559" w:type="dxa"/>
            <w:hideMark/>
          </w:tcPr>
          <w:p w14:paraId="1860F5CE"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180,989</w:t>
            </w:r>
          </w:p>
        </w:tc>
        <w:tc>
          <w:tcPr>
            <w:tcW w:w="1559" w:type="dxa"/>
            <w:hideMark/>
          </w:tcPr>
          <w:p w14:paraId="5AC29BB4"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217,198</w:t>
            </w:r>
          </w:p>
        </w:tc>
        <w:tc>
          <w:tcPr>
            <w:tcW w:w="1559" w:type="dxa"/>
            <w:hideMark/>
          </w:tcPr>
          <w:p w14:paraId="76DC273F"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36,209</w:t>
            </w:r>
          </w:p>
        </w:tc>
        <w:tc>
          <w:tcPr>
            <w:tcW w:w="1560" w:type="dxa"/>
            <w:hideMark/>
          </w:tcPr>
          <w:p w14:paraId="76DA9A70"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20.0%</w:t>
            </w:r>
          </w:p>
        </w:tc>
      </w:tr>
      <w:tr w:rsidR="00BC0456" w:rsidRPr="00BC0456" w14:paraId="1AAC3B0C"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7AD4DC48" w14:textId="77777777" w:rsidR="00A13819" w:rsidRPr="00BC0456" w:rsidRDefault="00A13819" w:rsidP="00A441BA">
            <w:pPr>
              <w:rPr>
                <w:b/>
                <w:bCs/>
                <w:sz w:val="20"/>
                <w:lang w:eastAsia="en-GB"/>
              </w:rPr>
            </w:pPr>
            <w:r w:rsidRPr="00BC0456">
              <w:rPr>
                <w:bCs/>
              </w:rPr>
              <w:t>South Cambs</w:t>
            </w:r>
          </w:p>
        </w:tc>
        <w:tc>
          <w:tcPr>
            <w:tcW w:w="1559" w:type="dxa"/>
            <w:hideMark/>
          </w:tcPr>
          <w:p w14:paraId="5313A559"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162,357</w:t>
            </w:r>
          </w:p>
        </w:tc>
        <w:tc>
          <w:tcPr>
            <w:tcW w:w="1559" w:type="dxa"/>
            <w:hideMark/>
          </w:tcPr>
          <w:p w14:paraId="33BB3674"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204,298</w:t>
            </w:r>
          </w:p>
        </w:tc>
        <w:tc>
          <w:tcPr>
            <w:tcW w:w="1559" w:type="dxa"/>
            <w:hideMark/>
          </w:tcPr>
          <w:p w14:paraId="3024C1EE"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41,942</w:t>
            </w:r>
          </w:p>
        </w:tc>
        <w:tc>
          <w:tcPr>
            <w:tcW w:w="1560" w:type="dxa"/>
            <w:hideMark/>
          </w:tcPr>
          <w:p w14:paraId="0D308D5F"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25.8%</w:t>
            </w:r>
          </w:p>
        </w:tc>
      </w:tr>
      <w:tr w:rsidR="00BC0456" w:rsidRPr="00BC0456" w14:paraId="6DEA7E2D"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5C62046A" w14:textId="77777777" w:rsidR="00A13819" w:rsidRPr="00BC0456" w:rsidRDefault="00A13819" w:rsidP="00A441BA">
            <w:pPr>
              <w:rPr>
                <w:b/>
                <w:bCs/>
                <w:sz w:val="20"/>
                <w:lang w:eastAsia="en-GB"/>
              </w:rPr>
            </w:pPr>
            <w:r w:rsidRPr="00BC0456">
              <w:rPr>
                <w:bCs/>
                <w:lang w:eastAsia="en-GB"/>
              </w:rPr>
              <w:t>West Suffolk</w:t>
            </w:r>
          </w:p>
        </w:tc>
        <w:tc>
          <w:tcPr>
            <w:tcW w:w="1559" w:type="dxa"/>
            <w:hideMark/>
          </w:tcPr>
          <w:p w14:paraId="3750342B"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181,986</w:t>
            </w:r>
          </w:p>
        </w:tc>
        <w:tc>
          <w:tcPr>
            <w:tcW w:w="1559" w:type="dxa"/>
            <w:hideMark/>
          </w:tcPr>
          <w:p w14:paraId="1AEE3169"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214,265</w:t>
            </w:r>
          </w:p>
        </w:tc>
        <w:tc>
          <w:tcPr>
            <w:tcW w:w="1559" w:type="dxa"/>
            <w:hideMark/>
          </w:tcPr>
          <w:p w14:paraId="3EEA502D"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32,279</w:t>
            </w:r>
          </w:p>
        </w:tc>
        <w:tc>
          <w:tcPr>
            <w:tcW w:w="1560" w:type="dxa"/>
            <w:hideMark/>
          </w:tcPr>
          <w:p w14:paraId="3E12AFAE"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17.7%</w:t>
            </w:r>
          </w:p>
        </w:tc>
      </w:tr>
      <w:tr w:rsidR="00BC0456" w:rsidRPr="00BC0456" w14:paraId="541F2D06"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57F767A0" w14:textId="77777777" w:rsidR="00A13819" w:rsidRPr="004F4BA7" w:rsidRDefault="00A13819" w:rsidP="00A441BA">
            <w:pPr>
              <w:rPr>
                <w:b/>
                <w:bCs/>
                <w:sz w:val="20"/>
                <w:lang w:eastAsia="en-GB"/>
              </w:rPr>
            </w:pPr>
            <w:r w:rsidRPr="004F4BA7">
              <w:rPr>
                <w:b/>
                <w:bCs/>
                <w:lang w:eastAsia="en-GB"/>
              </w:rPr>
              <w:t>HMA</w:t>
            </w:r>
          </w:p>
        </w:tc>
        <w:tc>
          <w:tcPr>
            <w:tcW w:w="1559" w:type="dxa"/>
            <w:noWrap/>
            <w:hideMark/>
          </w:tcPr>
          <w:p w14:paraId="494F58E4" w14:textId="77777777" w:rsidR="00A13819" w:rsidRPr="003A75AB" w:rsidRDefault="00A13819" w:rsidP="00A441BA">
            <w:pPr>
              <w:cnfStyle w:val="000000000000" w:firstRow="0" w:lastRow="0" w:firstColumn="0" w:lastColumn="0" w:oddVBand="0" w:evenVBand="0" w:oddHBand="0" w:evenHBand="0" w:firstRowFirstColumn="0" w:firstRowLastColumn="0" w:lastRowFirstColumn="0" w:lastRowLastColumn="0"/>
              <w:rPr>
                <w:b/>
                <w:bCs/>
                <w:sz w:val="20"/>
                <w:lang w:eastAsia="en-GB"/>
              </w:rPr>
            </w:pPr>
            <w:r w:rsidRPr="004F4BA7">
              <w:rPr>
                <w:b/>
                <w:bCs/>
                <w:lang w:eastAsia="en-GB"/>
              </w:rPr>
              <w:t>858,367</w:t>
            </w:r>
          </w:p>
        </w:tc>
        <w:tc>
          <w:tcPr>
            <w:tcW w:w="1559" w:type="dxa"/>
            <w:noWrap/>
            <w:hideMark/>
          </w:tcPr>
          <w:p w14:paraId="0411EEA9" w14:textId="77777777" w:rsidR="00A13819" w:rsidRPr="003A75AB" w:rsidRDefault="00A13819" w:rsidP="00A441BA">
            <w:pPr>
              <w:cnfStyle w:val="000000000000" w:firstRow="0" w:lastRow="0" w:firstColumn="0" w:lastColumn="0" w:oddVBand="0" w:evenVBand="0" w:oddHBand="0" w:evenHBand="0" w:firstRowFirstColumn="0" w:firstRowLastColumn="0" w:lastRowFirstColumn="0" w:lastRowLastColumn="0"/>
              <w:rPr>
                <w:b/>
                <w:bCs/>
                <w:sz w:val="20"/>
                <w:lang w:eastAsia="en-GB"/>
              </w:rPr>
            </w:pPr>
            <w:r w:rsidRPr="004F4BA7">
              <w:rPr>
                <w:b/>
                <w:bCs/>
                <w:lang w:eastAsia="en-GB"/>
              </w:rPr>
              <w:t>1,039,826</w:t>
            </w:r>
          </w:p>
        </w:tc>
        <w:tc>
          <w:tcPr>
            <w:tcW w:w="1559" w:type="dxa"/>
            <w:noWrap/>
            <w:hideMark/>
          </w:tcPr>
          <w:p w14:paraId="3EFD75FA" w14:textId="77777777" w:rsidR="00A13819" w:rsidRPr="003A75AB" w:rsidRDefault="00A13819" w:rsidP="00A441BA">
            <w:pPr>
              <w:cnfStyle w:val="000000000000" w:firstRow="0" w:lastRow="0" w:firstColumn="0" w:lastColumn="0" w:oddVBand="0" w:evenVBand="0" w:oddHBand="0" w:evenHBand="0" w:firstRowFirstColumn="0" w:firstRowLastColumn="0" w:lastRowFirstColumn="0" w:lastRowLastColumn="0"/>
              <w:rPr>
                <w:b/>
                <w:bCs/>
                <w:sz w:val="20"/>
                <w:lang w:eastAsia="en-GB"/>
              </w:rPr>
            </w:pPr>
            <w:r w:rsidRPr="004F4BA7">
              <w:rPr>
                <w:b/>
                <w:bCs/>
                <w:lang w:eastAsia="en-GB"/>
              </w:rPr>
              <w:t>181,459</w:t>
            </w:r>
          </w:p>
        </w:tc>
        <w:tc>
          <w:tcPr>
            <w:tcW w:w="1560" w:type="dxa"/>
            <w:noWrap/>
            <w:hideMark/>
          </w:tcPr>
          <w:p w14:paraId="1CA3D496" w14:textId="77777777" w:rsidR="00A13819" w:rsidRPr="003A75AB" w:rsidRDefault="00A13819" w:rsidP="00A441BA">
            <w:pPr>
              <w:cnfStyle w:val="000000000000" w:firstRow="0" w:lastRow="0" w:firstColumn="0" w:lastColumn="0" w:oddVBand="0" w:evenVBand="0" w:oddHBand="0" w:evenHBand="0" w:firstRowFirstColumn="0" w:firstRowLastColumn="0" w:lastRowFirstColumn="0" w:lastRowLastColumn="0"/>
              <w:rPr>
                <w:b/>
                <w:bCs/>
                <w:sz w:val="20"/>
                <w:lang w:eastAsia="en-GB"/>
              </w:rPr>
            </w:pPr>
            <w:r w:rsidRPr="004F4BA7">
              <w:rPr>
                <w:b/>
                <w:bCs/>
                <w:lang w:eastAsia="en-GB"/>
              </w:rPr>
              <w:t>21.1%</w:t>
            </w:r>
          </w:p>
        </w:tc>
      </w:tr>
      <w:tr w:rsidR="00BC0456" w:rsidRPr="00BC0456" w14:paraId="15F6DF46" w14:textId="77777777" w:rsidTr="00BC0456">
        <w:trPr>
          <w:trHeight w:val="20"/>
        </w:trPr>
        <w:tc>
          <w:tcPr>
            <w:cnfStyle w:val="001000000000" w:firstRow="0" w:lastRow="0" w:firstColumn="1" w:lastColumn="0" w:oddVBand="0" w:evenVBand="0" w:oddHBand="0" w:evenHBand="0" w:firstRowFirstColumn="0" w:firstRowLastColumn="0" w:lastRowFirstColumn="0" w:lastRowLastColumn="0"/>
            <w:tcW w:w="2320" w:type="dxa"/>
            <w:hideMark/>
          </w:tcPr>
          <w:p w14:paraId="4B0F114D" w14:textId="77777777" w:rsidR="00A13819" w:rsidRPr="00BC0456" w:rsidRDefault="00A13819" w:rsidP="00A441BA">
            <w:pPr>
              <w:rPr>
                <w:b/>
                <w:bCs/>
                <w:sz w:val="20"/>
                <w:lang w:eastAsia="en-GB"/>
              </w:rPr>
            </w:pPr>
            <w:r w:rsidRPr="00BC0456">
              <w:rPr>
                <w:bCs/>
                <w:lang w:eastAsia="en-GB"/>
              </w:rPr>
              <w:t>Greater Cambridge</w:t>
            </w:r>
          </w:p>
        </w:tc>
        <w:tc>
          <w:tcPr>
            <w:tcW w:w="1559" w:type="dxa"/>
            <w:noWrap/>
            <w:hideMark/>
          </w:tcPr>
          <w:p w14:paraId="1C1793D0"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301,253</w:t>
            </w:r>
          </w:p>
        </w:tc>
        <w:tc>
          <w:tcPr>
            <w:tcW w:w="1559" w:type="dxa"/>
            <w:noWrap/>
            <w:hideMark/>
          </w:tcPr>
          <w:p w14:paraId="4F8E4810"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371,512</w:t>
            </w:r>
          </w:p>
        </w:tc>
        <w:tc>
          <w:tcPr>
            <w:tcW w:w="1559" w:type="dxa"/>
            <w:noWrap/>
            <w:hideMark/>
          </w:tcPr>
          <w:p w14:paraId="206F5BD1"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70,259</w:t>
            </w:r>
          </w:p>
        </w:tc>
        <w:tc>
          <w:tcPr>
            <w:tcW w:w="1560" w:type="dxa"/>
            <w:noWrap/>
            <w:hideMark/>
          </w:tcPr>
          <w:p w14:paraId="6B2217C5"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Cs/>
                <w:sz w:val="20"/>
                <w:lang w:eastAsia="en-GB"/>
              </w:rPr>
            </w:pPr>
            <w:r w:rsidRPr="00BC0456">
              <w:rPr>
                <w:lang w:eastAsia="en-GB"/>
              </w:rPr>
              <w:t>23.3%</w:t>
            </w:r>
          </w:p>
        </w:tc>
      </w:tr>
    </w:tbl>
    <w:p w14:paraId="3AE039E6" w14:textId="77777777" w:rsidR="00A13819" w:rsidRPr="00477FF3" w:rsidRDefault="00A13819" w:rsidP="00A441BA">
      <w:pPr>
        <w:pStyle w:val="11Bodytext"/>
        <w:numPr>
          <w:ilvl w:val="0"/>
          <w:numId w:val="0"/>
        </w:numPr>
        <w:spacing w:before="0" w:after="0" w:line="240" w:lineRule="auto"/>
        <w:ind w:left="794"/>
      </w:pPr>
      <w:r w:rsidRPr="00477FF3">
        <w:t>Source: GLH Modelling based on ONS data</w:t>
      </w:r>
    </w:p>
    <w:p w14:paraId="471A129B" w14:textId="77777777" w:rsidR="00A13819" w:rsidRDefault="00A13819" w:rsidP="007D0FBF">
      <w:pPr>
        <w:pStyle w:val="11Bodytext"/>
      </w:pPr>
      <w:r>
        <w:t>East Cambridgeshire is projected to see the highest population change of 26.7% followed closely by South Cambridgeshire’s at 25.8%. West Suffolk’s population is expected to grow by 17.7% and Fenland’s by 17.8%. Huntingdonshire and the Cambridge are expected to see population growth of around 20%.</w:t>
      </w:r>
    </w:p>
    <w:p w14:paraId="4E48AD48" w14:textId="77777777" w:rsidR="00A13819" w:rsidRPr="00526C6E" w:rsidRDefault="00A13819" w:rsidP="007D0FBF">
      <w:pPr>
        <w:pStyle w:val="11Bodytext"/>
        <w:rPr>
          <w:b/>
          <w:noProof/>
        </w:rPr>
      </w:pPr>
      <w:r>
        <w:t>The following figure illustrates past and projected population growth across the HMA from official sources and the projections established for this study. As shown, the population growth from the standard method is slightly higher than historic growth and considerably higher than the 2014-based and 2018-based sub national population projections (SNPP).</w:t>
      </w:r>
    </w:p>
    <w:p w14:paraId="552C8F5A" w14:textId="77777777" w:rsidR="00A13819" w:rsidRDefault="00A13819" w:rsidP="003D5E23">
      <w:pPr>
        <w:pStyle w:val="FigureHeading"/>
        <w:rPr>
          <w:noProof/>
        </w:rPr>
      </w:pPr>
      <w:r>
        <w:rPr>
          <w:noProof/>
        </w:rPr>
        <w:lastRenderedPageBreak/>
        <w:t>Past and Projected Population Growth – Cambridgeshire and West Suffolk HMA</w:t>
      </w:r>
    </w:p>
    <w:p w14:paraId="298454A0" w14:textId="77777777" w:rsidR="00A13819" w:rsidRDefault="00A13819" w:rsidP="00A441BA">
      <w:pPr>
        <w:pStyle w:val="11Bodytext"/>
        <w:numPr>
          <w:ilvl w:val="0"/>
          <w:numId w:val="0"/>
        </w:numPr>
        <w:spacing w:before="0" w:after="0" w:line="240" w:lineRule="auto"/>
        <w:ind w:left="794"/>
      </w:pPr>
      <w:r>
        <w:rPr>
          <w:noProof/>
        </w:rPr>
        <w:drawing>
          <wp:inline distT="0" distB="0" distL="0" distR="0" wp14:anchorId="2037B1DF" wp14:editId="761E3EB5">
            <wp:extent cx="5457140" cy="3313786"/>
            <wp:effectExtent l="0" t="0" r="10795" b="1270"/>
            <wp:docPr id="1084" name="Chart 1084" descr="line chart showing past and projected population growth  for Cambridgeshire and West Suffolk HMA"/>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AF4B4D" w14:textId="77777777" w:rsidR="00A13819" w:rsidRDefault="00A13819" w:rsidP="00A441BA">
      <w:pPr>
        <w:pStyle w:val="11Bodytext"/>
        <w:numPr>
          <w:ilvl w:val="0"/>
          <w:numId w:val="0"/>
        </w:numPr>
        <w:spacing w:before="0" w:after="0" w:line="240" w:lineRule="auto"/>
        <w:ind w:left="794"/>
      </w:pPr>
      <w:r>
        <w:t>Source: ONS data and GLH Modelling based on ONS data</w:t>
      </w:r>
    </w:p>
    <w:p w14:paraId="63E8A642" w14:textId="77777777" w:rsidR="00A13819" w:rsidRDefault="00A13819" w:rsidP="007D0FBF">
      <w:pPr>
        <w:pStyle w:val="11Bodytext"/>
      </w:pPr>
      <w:r>
        <w:t>In comparison to the standard method, where the population exceeds 1 million people by 2040, the 2018-based SNPP shows only around 900,000 people in 2040 and the 2014-based SNPP sees a population of around 967,000 by 2039 (it does not extend to 2040).</w:t>
      </w:r>
    </w:p>
    <w:p w14:paraId="6F3F1148" w14:textId="77777777" w:rsidR="00A13819" w:rsidRDefault="00A13819" w:rsidP="007D0FBF">
      <w:pPr>
        <w:pStyle w:val="Heading3"/>
      </w:pPr>
      <w:r>
        <w:t>Age Profile</w:t>
      </w:r>
    </w:p>
    <w:p w14:paraId="6186F928" w14:textId="77777777" w:rsidR="00A13819" w:rsidRDefault="00A13819" w:rsidP="007D0FBF">
      <w:pPr>
        <w:pStyle w:val="11Bodytext"/>
      </w:pPr>
      <w:r>
        <w:t xml:space="preserve">The table below sets out the projected population change by five year age bands across the HMA. (Tables for each local authority are provided in Appendix C). The highest population growth is expected to be in the age 85+ cohort at 103.4%, followed by the 80-84 age band (66.1%) and 75-79 age band (58.8%). </w:t>
      </w:r>
    </w:p>
    <w:p w14:paraId="12115311" w14:textId="6264C4FC" w:rsidR="00A13819" w:rsidRPr="00E164AB" w:rsidRDefault="00A13819" w:rsidP="007D0FBF">
      <w:pPr>
        <w:pStyle w:val="11Bodytext"/>
        <w:rPr>
          <w:b/>
        </w:rPr>
      </w:pPr>
      <w:r>
        <w:t xml:space="preserve">The growth in the older population reflects the national position with official projections forecasting a significant increase in these age cohorts. The other age bands of those ages 65 years and older also see significant growth. </w:t>
      </w:r>
    </w:p>
    <w:p w14:paraId="4EE5E877" w14:textId="5085AA03" w:rsidR="00E164AB" w:rsidRDefault="00E164AB" w:rsidP="00E164AB">
      <w:pPr>
        <w:pStyle w:val="11Bodytext"/>
        <w:numPr>
          <w:ilvl w:val="0"/>
          <w:numId w:val="0"/>
        </w:numPr>
        <w:ind w:left="709"/>
      </w:pPr>
    </w:p>
    <w:p w14:paraId="59B0A8BD" w14:textId="76CDA9BC" w:rsidR="00E164AB" w:rsidRPr="00A441BA" w:rsidRDefault="00E164AB" w:rsidP="00E164AB">
      <w:pPr>
        <w:pStyle w:val="11Bodytext"/>
        <w:numPr>
          <w:ilvl w:val="0"/>
          <w:numId w:val="0"/>
        </w:numPr>
        <w:ind w:left="709"/>
      </w:pPr>
    </w:p>
    <w:p w14:paraId="3DAC7D5B" w14:textId="77777777" w:rsidR="00A13819" w:rsidRDefault="00A13819" w:rsidP="003D5E23">
      <w:pPr>
        <w:pStyle w:val="Tableheading"/>
        <w:numPr>
          <w:ilvl w:val="0"/>
          <w:numId w:val="54"/>
        </w:numPr>
      </w:pPr>
      <w:r>
        <w:lastRenderedPageBreak/>
        <w:t xml:space="preserve">Population change 2020 to 2040 by five-year age bands – HMA </w:t>
      </w:r>
    </w:p>
    <w:p w14:paraId="34925B55" w14:textId="0F9254DD" w:rsidR="007D0FBF" w:rsidRPr="00A441BA" w:rsidRDefault="007D0FBF" w:rsidP="00A441BA">
      <w:pPr>
        <w:rPr>
          <w:sz w:val="4"/>
          <w:szCs w:val="4"/>
        </w:rPr>
      </w:pPr>
    </w:p>
    <w:tbl>
      <w:tblPr>
        <w:tblStyle w:val="TableGridLight1"/>
        <w:tblpPr w:leftFromText="180" w:rightFromText="180" w:vertAnchor="text" w:horzAnchor="page" w:tblpX="2543" w:tblpY="-39"/>
        <w:tblW w:w="8406" w:type="dxa"/>
        <w:tblInd w:w="0" w:type="dxa"/>
        <w:tblLook w:val="01E0" w:firstRow="1" w:lastRow="1" w:firstColumn="1" w:lastColumn="1" w:noHBand="0" w:noVBand="0"/>
      </w:tblPr>
      <w:tblGrid>
        <w:gridCol w:w="1240"/>
        <w:gridCol w:w="1791"/>
        <w:gridCol w:w="1792"/>
        <w:gridCol w:w="1791"/>
        <w:gridCol w:w="1792"/>
      </w:tblGrid>
      <w:tr w:rsidR="007D0FBF" w:rsidRPr="00BC0456" w14:paraId="6FCD78E7" w14:textId="77777777" w:rsidTr="004F4BA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40" w:type="dxa"/>
          </w:tcPr>
          <w:p w14:paraId="0438E9E6" w14:textId="77777777" w:rsidR="007D0FBF" w:rsidRPr="00BC0456" w:rsidRDefault="007D0FBF" w:rsidP="00A441BA">
            <w:pPr>
              <w:keepNext/>
              <w:rPr>
                <w:lang w:val="en-US"/>
              </w:rPr>
            </w:pPr>
          </w:p>
        </w:tc>
        <w:tc>
          <w:tcPr>
            <w:tcW w:w="1791" w:type="dxa"/>
            <w:hideMark/>
          </w:tcPr>
          <w:p w14:paraId="1671C159" w14:textId="77777777" w:rsidR="007D0FBF" w:rsidRPr="00BC0456" w:rsidRDefault="007D0FBF" w:rsidP="00A441BA">
            <w:pPr>
              <w:keepNext/>
              <w:widowControl w:val="0"/>
              <w:cnfStyle w:val="100000000000" w:firstRow="1" w:lastRow="0" w:firstColumn="0" w:lastColumn="0" w:oddVBand="0" w:evenVBand="0" w:oddHBand="0" w:evenHBand="0" w:firstRowFirstColumn="0" w:firstRowLastColumn="0" w:lastRowFirstColumn="0" w:lastRowLastColumn="0"/>
              <w:rPr>
                <w:lang w:val="en-US"/>
              </w:rPr>
            </w:pPr>
            <w:r w:rsidRPr="00BC0456">
              <w:rPr>
                <w:rFonts w:cstheme="minorBidi"/>
                <w:szCs w:val="22"/>
                <w:lang w:val="en-US"/>
              </w:rPr>
              <w:t>Population 2020</w:t>
            </w:r>
          </w:p>
        </w:tc>
        <w:tc>
          <w:tcPr>
            <w:tcW w:w="1792" w:type="dxa"/>
            <w:hideMark/>
          </w:tcPr>
          <w:p w14:paraId="25132DEE" w14:textId="77777777" w:rsidR="007D0FBF" w:rsidRPr="00BC0456" w:rsidRDefault="007D0FBF" w:rsidP="00A441BA">
            <w:pPr>
              <w:keepNext/>
              <w:widowControl w:val="0"/>
              <w:cnfStyle w:val="100000000000" w:firstRow="1" w:lastRow="0" w:firstColumn="0" w:lastColumn="0" w:oddVBand="0" w:evenVBand="0" w:oddHBand="0" w:evenHBand="0" w:firstRowFirstColumn="0" w:firstRowLastColumn="0" w:lastRowFirstColumn="0" w:lastRowLastColumn="0"/>
              <w:rPr>
                <w:lang w:val="en-US"/>
              </w:rPr>
            </w:pPr>
            <w:r w:rsidRPr="00BC0456">
              <w:rPr>
                <w:rFonts w:cstheme="minorBidi"/>
                <w:szCs w:val="22"/>
                <w:lang w:val="en-US"/>
              </w:rPr>
              <w:t>Population 2040</w:t>
            </w:r>
          </w:p>
        </w:tc>
        <w:tc>
          <w:tcPr>
            <w:tcW w:w="1791" w:type="dxa"/>
            <w:hideMark/>
          </w:tcPr>
          <w:p w14:paraId="6BD5B895" w14:textId="77777777" w:rsidR="007D0FBF" w:rsidRPr="00BC0456" w:rsidRDefault="007D0FBF" w:rsidP="00A441BA">
            <w:pPr>
              <w:keepNext/>
              <w:widowControl w:val="0"/>
              <w:cnfStyle w:val="100000000000" w:firstRow="1" w:lastRow="0" w:firstColumn="0" w:lastColumn="0" w:oddVBand="0" w:evenVBand="0" w:oddHBand="0" w:evenHBand="0" w:firstRowFirstColumn="0" w:firstRowLastColumn="0" w:lastRowFirstColumn="0" w:lastRowLastColumn="0"/>
              <w:rPr>
                <w:lang w:val="en-US"/>
              </w:rPr>
            </w:pPr>
            <w:r w:rsidRPr="00BC0456">
              <w:rPr>
                <w:rFonts w:cstheme="minorBidi"/>
                <w:szCs w:val="22"/>
                <w:lang w:val="en-US"/>
              </w:rPr>
              <w:t xml:space="preserve">Change </w:t>
            </w:r>
          </w:p>
        </w:tc>
        <w:tc>
          <w:tcPr>
            <w:tcW w:w="1792" w:type="dxa"/>
            <w:hideMark/>
          </w:tcPr>
          <w:p w14:paraId="01172405" w14:textId="77777777" w:rsidR="007D0FBF" w:rsidRPr="00BC0456" w:rsidRDefault="007D0FBF" w:rsidP="00A441BA">
            <w:pPr>
              <w:keepNext/>
              <w:widowControl w:val="0"/>
              <w:cnfStyle w:val="100000000000" w:firstRow="1" w:lastRow="0" w:firstColumn="0" w:lastColumn="0" w:oddVBand="0" w:evenVBand="0" w:oddHBand="0" w:evenHBand="0" w:firstRowFirstColumn="0" w:firstRowLastColumn="0" w:lastRowFirstColumn="0" w:lastRowLastColumn="0"/>
              <w:rPr>
                <w:lang w:val="en-US"/>
              </w:rPr>
            </w:pPr>
            <w:r w:rsidRPr="00BC0456">
              <w:rPr>
                <w:rFonts w:cstheme="minorBidi"/>
                <w:szCs w:val="22"/>
                <w:lang w:val="en-US"/>
              </w:rPr>
              <w:t xml:space="preserve">% Change </w:t>
            </w:r>
          </w:p>
        </w:tc>
      </w:tr>
      <w:tr w:rsidR="007D0FBF" w:rsidRPr="00BC0456" w14:paraId="4FFA9FBD"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38A432C0" w14:textId="77777777" w:rsidR="007D0FBF" w:rsidRPr="00BC0456" w:rsidRDefault="007D0FBF" w:rsidP="00A441BA">
            <w:pPr>
              <w:keepNext/>
              <w:widowControl w:val="0"/>
              <w:rPr>
                <w:lang w:val="en-US"/>
              </w:rPr>
            </w:pPr>
            <w:r w:rsidRPr="00BC0456">
              <w:rPr>
                <w:lang w:val="en-US"/>
              </w:rPr>
              <w:t>Under 5</w:t>
            </w:r>
          </w:p>
        </w:tc>
        <w:tc>
          <w:tcPr>
            <w:tcW w:w="1791" w:type="dxa"/>
            <w:hideMark/>
          </w:tcPr>
          <w:p w14:paraId="0E3BC64C"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48,332</w:t>
            </w:r>
          </w:p>
        </w:tc>
        <w:tc>
          <w:tcPr>
            <w:tcW w:w="1792" w:type="dxa"/>
            <w:hideMark/>
          </w:tcPr>
          <w:p w14:paraId="2632FD38"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57,915</w:t>
            </w:r>
          </w:p>
        </w:tc>
        <w:tc>
          <w:tcPr>
            <w:tcW w:w="1791" w:type="dxa"/>
            <w:hideMark/>
          </w:tcPr>
          <w:p w14:paraId="0D291C3F"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9,583</w:t>
            </w:r>
          </w:p>
        </w:tc>
        <w:tc>
          <w:tcPr>
            <w:tcW w:w="1792" w:type="dxa"/>
            <w:hideMark/>
          </w:tcPr>
          <w:p w14:paraId="7D2D5AA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19.8%</w:t>
            </w:r>
          </w:p>
        </w:tc>
      </w:tr>
      <w:tr w:rsidR="007D0FBF" w:rsidRPr="00BC0456" w14:paraId="21BE4569"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5CCEF9FD" w14:textId="77777777" w:rsidR="007D0FBF" w:rsidRPr="00BC0456" w:rsidRDefault="007D0FBF" w:rsidP="00A441BA">
            <w:pPr>
              <w:keepNext/>
              <w:widowControl w:val="0"/>
              <w:rPr>
                <w:lang w:val="en-US"/>
              </w:rPr>
            </w:pPr>
            <w:r w:rsidRPr="00BC0456">
              <w:rPr>
                <w:lang w:val="en-US"/>
              </w:rPr>
              <w:t>5-9</w:t>
            </w:r>
          </w:p>
        </w:tc>
        <w:tc>
          <w:tcPr>
            <w:tcW w:w="1791" w:type="dxa"/>
            <w:hideMark/>
          </w:tcPr>
          <w:p w14:paraId="0B594112"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51,209</w:t>
            </w:r>
          </w:p>
        </w:tc>
        <w:tc>
          <w:tcPr>
            <w:tcW w:w="1792" w:type="dxa"/>
            <w:hideMark/>
          </w:tcPr>
          <w:p w14:paraId="7A22011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58,151</w:t>
            </w:r>
          </w:p>
        </w:tc>
        <w:tc>
          <w:tcPr>
            <w:tcW w:w="1791" w:type="dxa"/>
            <w:hideMark/>
          </w:tcPr>
          <w:p w14:paraId="058FC57E"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6,942</w:t>
            </w:r>
          </w:p>
        </w:tc>
        <w:tc>
          <w:tcPr>
            <w:tcW w:w="1792" w:type="dxa"/>
            <w:hideMark/>
          </w:tcPr>
          <w:p w14:paraId="77981DDB"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13.6%</w:t>
            </w:r>
          </w:p>
        </w:tc>
      </w:tr>
      <w:tr w:rsidR="007D0FBF" w:rsidRPr="00BC0456" w14:paraId="3729EF15"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1B798186" w14:textId="77777777" w:rsidR="007D0FBF" w:rsidRPr="00BC0456" w:rsidRDefault="007D0FBF" w:rsidP="00A441BA">
            <w:pPr>
              <w:keepNext/>
              <w:widowControl w:val="0"/>
              <w:rPr>
                <w:lang w:val="en-US"/>
              </w:rPr>
            </w:pPr>
            <w:r w:rsidRPr="00BC0456">
              <w:rPr>
                <w:lang w:val="en-US"/>
              </w:rPr>
              <w:t>10-14</w:t>
            </w:r>
          </w:p>
        </w:tc>
        <w:tc>
          <w:tcPr>
            <w:tcW w:w="1791" w:type="dxa"/>
            <w:hideMark/>
          </w:tcPr>
          <w:p w14:paraId="1F6AA3E2"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49,659</w:t>
            </w:r>
          </w:p>
        </w:tc>
        <w:tc>
          <w:tcPr>
            <w:tcW w:w="1792" w:type="dxa"/>
            <w:hideMark/>
          </w:tcPr>
          <w:p w14:paraId="591DE367"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57,459</w:t>
            </w:r>
          </w:p>
        </w:tc>
        <w:tc>
          <w:tcPr>
            <w:tcW w:w="1791" w:type="dxa"/>
            <w:hideMark/>
          </w:tcPr>
          <w:p w14:paraId="6AA9B923"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7,800</w:t>
            </w:r>
          </w:p>
        </w:tc>
        <w:tc>
          <w:tcPr>
            <w:tcW w:w="1792" w:type="dxa"/>
            <w:hideMark/>
          </w:tcPr>
          <w:p w14:paraId="0C3061F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15.7%</w:t>
            </w:r>
          </w:p>
        </w:tc>
      </w:tr>
      <w:tr w:rsidR="007D0FBF" w:rsidRPr="00BC0456" w14:paraId="077D1724"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5EC5C9A0" w14:textId="77777777" w:rsidR="007D0FBF" w:rsidRPr="00BC0456" w:rsidRDefault="007D0FBF" w:rsidP="00A441BA">
            <w:pPr>
              <w:keepNext/>
              <w:widowControl w:val="0"/>
              <w:rPr>
                <w:lang w:val="en-US"/>
              </w:rPr>
            </w:pPr>
            <w:r w:rsidRPr="00BC0456">
              <w:rPr>
                <w:lang w:val="en-US"/>
              </w:rPr>
              <w:t>15-19</w:t>
            </w:r>
          </w:p>
        </w:tc>
        <w:tc>
          <w:tcPr>
            <w:tcW w:w="1791" w:type="dxa"/>
            <w:hideMark/>
          </w:tcPr>
          <w:p w14:paraId="64D4E68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47,956</w:t>
            </w:r>
          </w:p>
        </w:tc>
        <w:tc>
          <w:tcPr>
            <w:tcW w:w="1792" w:type="dxa"/>
            <w:hideMark/>
          </w:tcPr>
          <w:p w14:paraId="569C95FE"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59,034</w:t>
            </w:r>
          </w:p>
        </w:tc>
        <w:tc>
          <w:tcPr>
            <w:tcW w:w="1791" w:type="dxa"/>
            <w:hideMark/>
          </w:tcPr>
          <w:p w14:paraId="50332004"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11,079</w:t>
            </w:r>
          </w:p>
        </w:tc>
        <w:tc>
          <w:tcPr>
            <w:tcW w:w="1792" w:type="dxa"/>
            <w:hideMark/>
          </w:tcPr>
          <w:p w14:paraId="5460252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23.1%</w:t>
            </w:r>
          </w:p>
        </w:tc>
      </w:tr>
      <w:tr w:rsidR="007D0FBF" w:rsidRPr="00BC0456" w14:paraId="5CD8AB55"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64ED83BD" w14:textId="77777777" w:rsidR="007D0FBF" w:rsidRPr="00BC0456" w:rsidRDefault="007D0FBF" w:rsidP="00A441BA">
            <w:pPr>
              <w:keepNext/>
              <w:widowControl w:val="0"/>
              <w:rPr>
                <w:lang w:val="en-US"/>
              </w:rPr>
            </w:pPr>
            <w:r w:rsidRPr="00BC0456">
              <w:rPr>
                <w:lang w:val="en-US"/>
              </w:rPr>
              <w:t>20-24</w:t>
            </w:r>
          </w:p>
        </w:tc>
        <w:tc>
          <w:tcPr>
            <w:tcW w:w="1791" w:type="dxa"/>
            <w:hideMark/>
          </w:tcPr>
          <w:p w14:paraId="06E3C454"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55,918</w:t>
            </w:r>
          </w:p>
        </w:tc>
        <w:tc>
          <w:tcPr>
            <w:tcW w:w="1792" w:type="dxa"/>
            <w:hideMark/>
          </w:tcPr>
          <w:p w14:paraId="6AEF75BF"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64,946</w:t>
            </w:r>
          </w:p>
        </w:tc>
        <w:tc>
          <w:tcPr>
            <w:tcW w:w="1791" w:type="dxa"/>
            <w:hideMark/>
          </w:tcPr>
          <w:p w14:paraId="7F85192B"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9,028</w:t>
            </w:r>
          </w:p>
        </w:tc>
        <w:tc>
          <w:tcPr>
            <w:tcW w:w="1792" w:type="dxa"/>
            <w:hideMark/>
          </w:tcPr>
          <w:p w14:paraId="30237F55"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16.1%</w:t>
            </w:r>
          </w:p>
        </w:tc>
      </w:tr>
      <w:tr w:rsidR="007D0FBF" w:rsidRPr="00BC0456" w14:paraId="2436DDD7"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7F31B258" w14:textId="77777777" w:rsidR="007D0FBF" w:rsidRPr="00BC0456" w:rsidRDefault="007D0FBF" w:rsidP="00A441BA">
            <w:pPr>
              <w:keepNext/>
              <w:widowControl w:val="0"/>
              <w:rPr>
                <w:lang w:val="en-US"/>
              </w:rPr>
            </w:pPr>
            <w:r w:rsidRPr="00BC0456">
              <w:rPr>
                <w:lang w:val="en-US"/>
              </w:rPr>
              <w:t>25-29</w:t>
            </w:r>
          </w:p>
        </w:tc>
        <w:tc>
          <w:tcPr>
            <w:tcW w:w="1791" w:type="dxa"/>
            <w:hideMark/>
          </w:tcPr>
          <w:p w14:paraId="3093CB5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57,494</w:t>
            </w:r>
          </w:p>
        </w:tc>
        <w:tc>
          <w:tcPr>
            <w:tcW w:w="1792" w:type="dxa"/>
            <w:hideMark/>
          </w:tcPr>
          <w:p w14:paraId="30EC7557"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65,338</w:t>
            </w:r>
          </w:p>
        </w:tc>
        <w:tc>
          <w:tcPr>
            <w:tcW w:w="1791" w:type="dxa"/>
            <w:hideMark/>
          </w:tcPr>
          <w:p w14:paraId="7A5E4EF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7,844</w:t>
            </w:r>
          </w:p>
        </w:tc>
        <w:tc>
          <w:tcPr>
            <w:tcW w:w="1792" w:type="dxa"/>
            <w:hideMark/>
          </w:tcPr>
          <w:p w14:paraId="0F074035"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13.6%</w:t>
            </w:r>
          </w:p>
        </w:tc>
      </w:tr>
      <w:tr w:rsidR="007D0FBF" w:rsidRPr="00BC0456" w14:paraId="6CB9404B"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67E93780" w14:textId="77777777" w:rsidR="007D0FBF" w:rsidRPr="00BC0456" w:rsidRDefault="007D0FBF" w:rsidP="00A441BA">
            <w:pPr>
              <w:keepNext/>
              <w:widowControl w:val="0"/>
              <w:rPr>
                <w:lang w:val="en-US"/>
              </w:rPr>
            </w:pPr>
            <w:r w:rsidRPr="00BC0456">
              <w:rPr>
                <w:lang w:val="en-US"/>
              </w:rPr>
              <w:t>30-34</w:t>
            </w:r>
          </w:p>
        </w:tc>
        <w:tc>
          <w:tcPr>
            <w:tcW w:w="1791" w:type="dxa"/>
            <w:hideMark/>
          </w:tcPr>
          <w:p w14:paraId="790324C1"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57,692</w:t>
            </w:r>
          </w:p>
        </w:tc>
        <w:tc>
          <w:tcPr>
            <w:tcW w:w="1792" w:type="dxa"/>
            <w:hideMark/>
          </w:tcPr>
          <w:p w14:paraId="08A5F89A"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63,508</w:t>
            </w:r>
          </w:p>
        </w:tc>
        <w:tc>
          <w:tcPr>
            <w:tcW w:w="1791" w:type="dxa"/>
            <w:hideMark/>
          </w:tcPr>
          <w:p w14:paraId="623EE26B"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5,816</w:t>
            </w:r>
          </w:p>
        </w:tc>
        <w:tc>
          <w:tcPr>
            <w:tcW w:w="1792" w:type="dxa"/>
            <w:hideMark/>
          </w:tcPr>
          <w:p w14:paraId="2180FEBC"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10.1%</w:t>
            </w:r>
          </w:p>
        </w:tc>
      </w:tr>
      <w:tr w:rsidR="007D0FBF" w:rsidRPr="00BC0456" w14:paraId="2FB5230B"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19E480D3" w14:textId="77777777" w:rsidR="007D0FBF" w:rsidRPr="00BC0456" w:rsidRDefault="007D0FBF" w:rsidP="00A441BA">
            <w:pPr>
              <w:keepNext/>
              <w:widowControl w:val="0"/>
              <w:rPr>
                <w:lang w:val="en-US"/>
              </w:rPr>
            </w:pPr>
            <w:r w:rsidRPr="00BC0456">
              <w:rPr>
                <w:lang w:val="en-US"/>
              </w:rPr>
              <w:t>35-39</w:t>
            </w:r>
          </w:p>
        </w:tc>
        <w:tc>
          <w:tcPr>
            <w:tcW w:w="1791" w:type="dxa"/>
            <w:hideMark/>
          </w:tcPr>
          <w:p w14:paraId="6E2ED0A1"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56,165</w:t>
            </w:r>
          </w:p>
        </w:tc>
        <w:tc>
          <w:tcPr>
            <w:tcW w:w="1792" w:type="dxa"/>
            <w:hideMark/>
          </w:tcPr>
          <w:p w14:paraId="1506904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59,359</w:t>
            </w:r>
          </w:p>
        </w:tc>
        <w:tc>
          <w:tcPr>
            <w:tcW w:w="1791" w:type="dxa"/>
            <w:hideMark/>
          </w:tcPr>
          <w:p w14:paraId="37D8A01F"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3,194</w:t>
            </w:r>
          </w:p>
        </w:tc>
        <w:tc>
          <w:tcPr>
            <w:tcW w:w="1792" w:type="dxa"/>
            <w:hideMark/>
          </w:tcPr>
          <w:p w14:paraId="0C8399EF"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w:t>
            </w:r>
          </w:p>
        </w:tc>
      </w:tr>
      <w:tr w:rsidR="007D0FBF" w:rsidRPr="00BC0456" w14:paraId="7A9BA4D7"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530E1FD5" w14:textId="77777777" w:rsidR="007D0FBF" w:rsidRPr="00BC0456" w:rsidRDefault="007D0FBF" w:rsidP="00A441BA">
            <w:pPr>
              <w:keepNext/>
              <w:widowControl w:val="0"/>
              <w:rPr>
                <w:lang w:val="en-US"/>
              </w:rPr>
            </w:pPr>
            <w:r w:rsidRPr="00BC0456">
              <w:rPr>
                <w:lang w:val="en-US"/>
              </w:rPr>
              <w:t>40-44</w:t>
            </w:r>
          </w:p>
        </w:tc>
        <w:tc>
          <w:tcPr>
            <w:tcW w:w="1791" w:type="dxa"/>
            <w:hideMark/>
          </w:tcPr>
          <w:p w14:paraId="5FE8091E"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54,936</w:t>
            </w:r>
          </w:p>
        </w:tc>
        <w:tc>
          <w:tcPr>
            <w:tcW w:w="1792" w:type="dxa"/>
            <w:hideMark/>
          </w:tcPr>
          <w:p w14:paraId="63B29C7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61,878</w:t>
            </w:r>
          </w:p>
        </w:tc>
        <w:tc>
          <w:tcPr>
            <w:tcW w:w="1791" w:type="dxa"/>
            <w:hideMark/>
          </w:tcPr>
          <w:p w14:paraId="56294F88"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6,941</w:t>
            </w:r>
          </w:p>
        </w:tc>
        <w:tc>
          <w:tcPr>
            <w:tcW w:w="1792" w:type="dxa"/>
            <w:hideMark/>
          </w:tcPr>
          <w:p w14:paraId="09DCE721"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12.6%</w:t>
            </w:r>
          </w:p>
        </w:tc>
      </w:tr>
      <w:tr w:rsidR="007D0FBF" w:rsidRPr="00BC0456" w14:paraId="3F888C7D"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400FD3BA" w14:textId="77777777" w:rsidR="007D0FBF" w:rsidRPr="00BC0456" w:rsidRDefault="007D0FBF" w:rsidP="00A441BA">
            <w:pPr>
              <w:keepNext/>
              <w:widowControl w:val="0"/>
              <w:rPr>
                <w:lang w:val="en-US"/>
              </w:rPr>
            </w:pPr>
            <w:r w:rsidRPr="00BC0456">
              <w:rPr>
                <w:lang w:val="en-US"/>
              </w:rPr>
              <w:t>45-49</w:t>
            </w:r>
          </w:p>
        </w:tc>
        <w:tc>
          <w:tcPr>
            <w:tcW w:w="1791" w:type="dxa"/>
            <w:hideMark/>
          </w:tcPr>
          <w:p w14:paraId="3A3A57B8"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57,282</w:t>
            </w:r>
          </w:p>
        </w:tc>
        <w:tc>
          <w:tcPr>
            <w:tcW w:w="1792" w:type="dxa"/>
            <w:hideMark/>
          </w:tcPr>
          <w:p w14:paraId="6B43FCD1"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64,610</w:t>
            </w:r>
          </w:p>
        </w:tc>
        <w:tc>
          <w:tcPr>
            <w:tcW w:w="1791" w:type="dxa"/>
            <w:hideMark/>
          </w:tcPr>
          <w:p w14:paraId="2A46C90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7,328</w:t>
            </w:r>
          </w:p>
        </w:tc>
        <w:tc>
          <w:tcPr>
            <w:tcW w:w="1792" w:type="dxa"/>
            <w:hideMark/>
          </w:tcPr>
          <w:p w14:paraId="7899CE34"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12.8%</w:t>
            </w:r>
          </w:p>
        </w:tc>
      </w:tr>
      <w:tr w:rsidR="007D0FBF" w:rsidRPr="00BC0456" w14:paraId="03D47986"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74826AF4" w14:textId="77777777" w:rsidR="007D0FBF" w:rsidRPr="00BC0456" w:rsidRDefault="007D0FBF" w:rsidP="00A441BA">
            <w:pPr>
              <w:keepNext/>
              <w:widowControl w:val="0"/>
              <w:rPr>
                <w:lang w:val="en-US"/>
              </w:rPr>
            </w:pPr>
            <w:r w:rsidRPr="00BC0456">
              <w:rPr>
                <w:lang w:val="en-US"/>
              </w:rPr>
              <w:t>50-54</w:t>
            </w:r>
          </w:p>
        </w:tc>
        <w:tc>
          <w:tcPr>
            <w:tcW w:w="1791" w:type="dxa"/>
            <w:hideMark/>
          </w:tcPr>
          <w:p w14:paraId="4A4E00C9"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58,472</w:t>
            </w:r>
          </w:p>
        </w:tc>
        <w:tc>
          <w:tcPr>
            <w:tcW w:w="1792" w:type="dxa"/>
            <w:hideMark/>
          </w:tcPr>
          <w:p w14:paraId="2D80F97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64,776</w:t>
            </w:r>
          </w:p>
        </w:tc>
        <w:tc>
          <w:tcPr>
            <w:tcW w:w="1791" w:type="dxa"/>
            <w:hideMark/>
          </w:tcPr>
          <w:p w14:paraId="47EEE08F"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6,305</w:t>
            </w:r>
          </w:p>
        </w:tc>
        <w:tc>
          <w:tcPr>
            <w:tcW w:w="1792" w:type="dxa"/>
            <w:hideMark/>
          </w:tcPr>
          <w:p w14:paraId="3229ACBC"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10.8%</w:t>
            </w:r>
          </w:p>
        </w:tc>
      </w:tr>
      <w:tr w:rsidR="007D0FBF" w:rsidRPr="00BC0456" w14:paraId="597345CA"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0946B943" w14:textId="77777777" w:rsidR="007D0FBF" w:rsidRPr="00BC0456" w:rsidRDefault="007D0FBF" w:rsidP="00A441BA">
            <w:pPr>
              <w:keepNext/>
              <w:widowControl w:val="0"/>
              <w:rPr>
                <w:lang w:val="en-US"/>
              </w:rPr>
            </w:pPr>
            <w:r w:rsidRPr="00BC0456">
              <w:rPr>
                <w:lang w:val="en-US"/>
              </w:rPr>
              <w:t>55-59</w:t>
            </w:r>
          </w:p>
        </w:tc>
        <w:tc>
          <w:tcPr>
            <w:tcW w:w="1791" w:type="dxa"/>
            <w:hideMark/>
          </w:tcPr>
          <w:p w14:paraId="793DFFED"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55,362</w:t>
            </w:r>
          </w:p>
        </w:tc>
        <w:tc>
          <w:tcPr>
            <w:tcW w:w="1792" w:type="dxa"/>
            <w:hideMark/>
          </w:tcPr>
          <w:p w14:paraId="5A9016F7"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61,693</w:t>
            </w:r>
          </w:p>
        </w:tc>
        <w:tc>
          <w:tcPr>
            <w:tcW w:w="1791" w:type="dxa"/>
            <w:hideMark/>
          </w:tcPr>
          <w:p w14:paraId="64CDE2E9"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6,332</w:t>
            </w:r>
          </w:p>
        </w:tc>
        <w:tc>
          <w:tcPr>
            <w:tcW w:w="1792" w:type="dxa"/>
            <w:hideMark/>
          </w:tcPr>
          <w:p w14:paraId="4986F509"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11.4%</w:t>
            </w:r>
          </w:p>
        </w:tc>
      </w:tr>
      <w:tr w:rsidR="007D0FBF" w:rsidRPr="00BC0456" w14:paraId="5C17036E"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36494953" w14:textId="77777777" w:rsidR="007D0FBF" w:rsidRPr="00BC0456" w:rsidRDefault="007D0FBF" w:rsidP="00A441BA">
            <w:pPr>
              <w:keepNext/>
              <w:widowControl w:val="0"/>
              <w:rPr>
                <w:lang w:val="en-US"/>
              </w:rPr>
            </w:pPr>
            <w:r w:rsidRPr="00BC0456">
              <w:rPr>
                <w:lang w:val="en-US"/>
              </w:rPr>
              <w:t>60-64</w:t>
            </w:r>
          </w:p>
        </w:tc>
        <w:tc>
          <w:tcPr>
            <w:tcW w:w="1791" w:type="dxa"/>
            <w:hideMark/>
          </w:tcPr>
          <w:p w14:paraId="348EC10E"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47,917</w:t>
            </w:r>
          </w:p>
        </w:tc>
        <w:tc>
          <w:tcPr>
            <w:tcW w:w="1792" w:type="dxa"/>
            <w:hideMark/>
          </w:tcPr>
          <w:p w14:paraId="63910FFF"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58,052</w:t>
            </w:r>
          </w:p>
        </w:tc>
        <w:tc>
          <w:tcPr>
            <w:tcW w:w="1791" w:type="dxa"/>
            <w:hideMark/>
          </w:tcPr>
          <w:p w14:paraId="4F1FA8A4"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10,135</w:t>
            </w:r>
          </w:p>
        </w:tc>
        <w:tc>
          <w:tcPr>
            <w:tcW w:w="1792" w:type="dxa"/>
            <w:hideMark/>
          </w:tcPr>
          <w:p w14:paraId="0C9570DA"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21.2%</w:t>
            </w:r>
          </w:p>
        </w:tc>
      </w:tr>
      <w:tr w:rsidR="007D0FBF" w:rsidRPr="00BC0456" w14:paraId="7A7EF026"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79EB818D" w14:textId="77777777" w:rsidR="007D0FBF" w:rsidRPr="00BC0456" w:rsidRDefault="007D0FBF" w:rsidP="00A441BA">
            <w:pPr>
              <w:keepNext/>
              <w:widowControl w:val="0"/>
              <w:rPr>
                <w:lang w:val="en-US"/>
              </w:rPr>
            </w:pPr>
            <w:r w:rsidRPr="00BC0456">
              <w:rPr>
                <w:lang w:val="en-US"/>
              </w:rPr>
              <w:t>65-69</w:t>
            </w:r>
          </w:p>
        </w:tc>
        <w:tc>
          <w:tcPr>
            <w:tcW w:w="1791" w:type="dxa"/>
            <w:hideMark/>
          </w:tcPr>
          <w:p w14:paraId="5AD60252"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42,625</w:t>
            </w:r>
          </w:p>
        </w:tc>
        <w:tc>
          <w:tcPr>
            <w:tcW w:w="1792" w:type="dxa"/>
            <w:hideMark/>
          </w:tcPr>
          <w:p w14:paraId="5F23E69E"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57,621</w:t>
            </w:r>
          </w:p>
        </w:tc>
        <w:tc>
          <w:tcPr>
            <w:tcW w:w="1791" w:type="dxa"/>
            <w:hideMark/>
          </w:tcPr>
          <w:p w14:paraId="7F532BA3"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14,996</w:t>
            </w:r>
          </w:p>
        </w:tc>
        <w:tc>
          <w:tcPr>
            <w:tcW w:w="1792" w:type="dxa"/>
            <w:hideMark/>
          </w:tcPr>
          <w:p w14:paraId="34BE102A"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35.2%</w:t>
            </w:r>
          </w:p>
        </w:tc>
      </w:tr>
      <w:tr w:rsidR="007D0FBF" w:rsidRPr="00BC0456" w14:paraId="534D0DB2"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72CFDA49" w14:textId="77777777" w:rsidR="007D0FBF" w:rsidRPr="00BC0456" w:rsidRDefault="007D0FBF" w:rsidP="00A441BA">
            <w:pPr>
              <w:keepNext/>
              <w:widowControl w:val="0"/>
              <w:rPr>
                <w:lang w:val="en-US"/>
              </w:rPr>
            </w:pPr>
            <w:r w:rsidRPr="00BC0456">
              <w:rPr>
                <w:lang w:val="en-US"/>
              </w:rPr>
              <w:t>70-74</w:t>
            </w:r>
          </w:p>
        </w:tc>
        <w:tc>
          <w:tcPr>
            <w:tcW w:w="1791" w:type="dxa"/>
            <w:hideMark/>
          </w:tcPr>
          <w:p w14:paraId="2AF625B8"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42,846</w:t>
            </w:r>
          </w:p>
        </w:tc>
        <w:tc>
          <w:tcPr>
            <w:tcW w:w="1792" w:type="dxa"/>
            <w:hideMark/>
          </w:tcPr>
          <w:p w14:paraId="4011DFC8"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55,910</w:t>
            </w:r>
          </w:p>
        </w:tc>
        <w:tc>
          <w:tcPr>
            <w:tcW w:w="1791" w:type="dxa"/>
            <w:hideMark/>
          </w:tcPr>
          <w:p w14:paraId="08C2D0A1"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13,063</w:t>
            </w:r>
          </w:p>
        </w:tc>
        <w:tc>
          <w:tcPr>
            <w:tcW w:w="1792" w:type="dxa"/>
            <w:hideMark/>
          </w:tcPr>
          <w:p w14:paraId="34CA6337"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30.5%</w:t>
            </w:r>
          </w:p>
        </w:tc>
      </w:tr>
      <w:tr w:rsidR="007D0FBF" w:rsidRPr="00BC0456" w14:paraId="3F46D870"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4E1341E6" w14:textId="77777777" w:rsidR="007D0FBF" w:rsidRPr="00BC0456" w:rsidRDefault="007D0FBF" w:rsidP="00A441BA">
            <w:pPr>
              <w:keepNext/>
              <w:widowControl w:val="0"/>
              <w:rPr>
                <w:lang w:val="en-US"/>
              </w:rPr>
            </w:pPr>
            <w:r w:rsidRPr="00BC0456">
              <w:rPr>
                <w:lang w:val="en-US"/>
              </w:rPr>
              <w:t>75-79</w:t>
            </w:r>
          </w:p>
        </w:tc>
        <w:tc>
          <w:tcPr>
            <w:tcW w:w="1791" w:type="dxa"/>
            <w:hideMark/>
          </w:tcPr>
          <w:p w14:paraId="53D40565"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30,840</w:t>
            </w:r>
          </w:p>
        </w:tc>
        <w:tc>
          <w:tcPr>
            <w:tcW w:w="1792" w:type="dxa"/>
            <w:hideMark/>
          </w:tcPr>
          <w:p w14:paraId="07DFE2AA"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48,970</w:t>
            </w:r>
          </w:p>
        </w:tc>
        <w:tc>
          <w:tcPr>
            <w:tcW w:w="1791" w:type="dxa"/>
            <w:hideMark/>
          </w:tcPr>
          <w:p w14:paraId="3307479C"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18,130</w:t>
            </w:r>
          </w:p>
        </w:tc>
        <w:tc>
          <w:tcPr>
            <w:tcW w:w="1792" w:type="dxa"/>
            <w:hideMark/>
          </w:tcPr>
          <w:p w14:paraId="3952F9D3"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58.8%</w:t>
            </w:r>
          </w:p>
        </w:tc>
      </w:tr>
      <w:tr w:rsidR="007D0FBF" w:rsidRPr="00BC0456" w14:paraId="19AC180B"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1BEA10CA" w14:textId="77777777" w:rsidR="007D0FBF" w:rsidRPr="00BC0456" w:rsidRDefault="007D0FBF" w:rsidP="00A441BA">
            <w:pPr>
              <w:keepNext/>
              <w:widowControl w:val="0"/>
              <w:rPr>
                <w:lang w:val="en-US"/>
              </w:rPr>
            </w:pPr>
            <w:r w:rsidRPr="00BC0456">
              <w:rPr>
                <w:lang w:val="en-US"/>
              </w:rPr>
              <w:t>80-84</w:t>
            </w:r>
          </w:p>
        </w:tc>
        <w:tc>
          <w:tcPr>
            <w:tcW w:w="1791" w:type="dxa"/>
            <w:hideMark/>
          </w:tcPr>
          <w:p w14:paraId="7D92CF8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22,019</w:t>
            </w:r>
          </w:p>
        </w:tc>
        <w:tc>
          <w:tcPr>
            <w:tcW w:w="1792" w:type="dxa"/>
            <w:hideMark/>
          </w:tcPr>
          <w:p w14:paraId="0430461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36,579</w:t>
            </w:r>
          </w:p>
        </w:tc>
        <w:tc>
          <w:tcPr>
            <w:tcW w:w="1791" w:type="dxa"/>
            <w:hideMark/>
          </w:tcPr>
          <w:p w14:paraId="4AFD7DF4"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14,560</w:t>
            </w:r>
          </w:p>
        </w:tc>
        <w:tc>
          <w:tcPr>
            <w:tcW w:w="1792" w:type="dxa"/>
            <w:hideMark/>
          </w:tcPr>
          <w:p w14:paraId="79D5C9D0"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66.1%</w:t>
            </w:r>
          </w:p>
        </w:tc>
      </w:tr>
      <w:tr w:rsidR="007D0FBF" w:rsidRPr="00BC0456" w14:paraId="3AC35B10"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7A230BA0" w14:textId="77777777" w:rsidR="007D0FBF" w:rsidRPr="00BC0456" w:rsidRDefault="007D0FBF" w:rsidP="00A441BA">
            <w:pPr>
              <w:keepNext/>
              <w:widowControl w:val="0"/>
              <w:rPr>
                <w:lang w:val="en-US"/>
              </w:rPr>
            </w:pPr>
            <w:r w:rsidRPr="00BC0456">
              <w:rPr>
                <w:lang w:val="en-US"/>
              </w:rPr>
              <w:t>85+</w:t>
            </w:r>
          </w:p>
        </w:tc>
        <w:tc>
          <w:tcPr>
            <w:tcW w:w="1791" w:type="dxa"/>
            <w:hideMark/>
          </w:tcPr>
          <w:p w14:paraId="2D81EAB8"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21,644</w:t>
            </w:r>
          </w:p>
        </w:tc>
        <w:tc>
          <w:tcPr>
            <w:tcW w:w="1792" w:type="dxa"/>
            <w:hideMark/>
          </w:tcPr>
          <w:p w14:paraId="6C165667"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44,027</w:t>
            </w:r>
          </w:p>
        </w:tc>
        <w:tc>
          <w:tcPr>
            <w:tcW w:w="1791" w:type="dxa"/>
            <w:hideMark/>
          </w:tcPr>
          <w:p w14:paraId="2FFDAB26"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22,383</w:t>
            </w:r>
          </w:p>
        </w:tc>
        <w:tc>
          <w:tcPr>
            <w:tcW w:w="1792" w:type="dxa"/>
            <w:hideMark/>
          </w:tcPr>
          <w:p w14:paraId="319BA2DA" w14:textId="77777777" w:rsidR="007D0FBF" w:rsidRPr="00BC0456" w:rsidRDefault="007D0FBF" w:rsidP="00A441BA">
            <w:pPr>
              <w:keepNext/>
              <w:cnfStyle w:val="000000000000" w:firstRow="0" w:lastRow="0" w:firstColumn="0" w:lastColumn="0" w:oddVBand="0" w:evenVBand="0" w:oddHBand="0" w:evenHBand="0" w:firstRowFirstColumn="0" w:firstRowLastColumn="0" w:lastRowFirstColumn="0" w:lastRowLastColumn="0"/>
              <w:rPr>
                <w:lang w:val="en-US"/>
              </w:rPr>
            </w:pPr>
            <w:r w:rsidRPr="00BC0456">
              <w:rPr>
                <w:lang w:val="en-US"/>
              </w:rPr>
              <w:t>103.4%</w:t>
            </w:r>
          </w:p>
        </w:tc>
      </w:tr>
      <w:tr w:rsidR="007D0FBF" w:rsidRPr="00BC0456" w14:paraId="24C641D5" w14:textId="77777777" w:rsidTr="004F4BA7">
        <w:trPr>
          <w:trHeight w:val="275"/>
        </w:trPr>
        <w:tc>
          <w:tcPr>
            <w:cnfStyle w:val="001000000000" w:firstRow="0" w:lastRow="0" w:firstColumn="1" w:lastColumn="0" w:oddVBand="0" w:evenVBand="0" w:oddHBand="0" w:evenHBand="0" w:firstRowFirstColumn="0" w:firstRowLastColumn="0" w:lastRowFirstColumn="0" w:lastRowLastColumn="0"/>
            <w:tcW w:w="1240" w:type="dxa"/>
            <w:hideMark/>
          </w:tcPr>
          <w:p w14:paraId="738954CB" w14:textId="77777777" w:rsidR="007D0FBF" w:rsidRPr="004F4BA7" w:rsidRDefault="007D0FBF" w:rsidP="00A441BA">
            <w:pPr>
              <w:keepNext/>
              <w:widowControl w:val="0"/>
              <w:rPr>
                <w:b/>
                <w:bCs/>
                <w:lang w:val="en-US"/>
              </w:rPr>
            </w:pPr>
            <w:r w:rsidRPr="004F4BA7">
              <w:rPr>
                <w:b/>
                <w:bCs/>
                <w:lang w:val="en-US"/>
              </w:rPr>
              <w:t>Total</w:t>
            </w:r>
          </w:p>
        </w:tc>
        <w:tc>
          <w:tcPr>
            <w:tcW w:w="1791" w:type="dxa"/>
            <w:hideMark/>
          </w:tcPr>
          <w:p w14:paraId="7686E3BB" w14:textId="77777777" w:rsidR="007D0FBF" w:rsidRPr="004F4BA7" w:rsidRDefault="007D0FBF" w:rsidP="00A441BA">
            <w:pPr>
              <w:keepNext/>
              <w:cnfStyle w:val="000000000000" w:firstRow="0" w:lastRow="0" w:firstColumn="0" w:lastColumn="0" w:oddVBand="0" w:evenVBand="0" w:oddHBand="0" w:evenHBand="0" w:firstRowFirstColumn="0" w:firstRowLastColumn="0" w:lastRowFirstColumn="0" w:lastRowLastColumn="0"/>
              <w:rPr>
                <w:b/>
                <w:bCs/>
                <w:lang w:val="en-US"/>
              </w:rPr>
            </w:pPr>
            <w:r w:rsidRPr="004F4BA7">
              <w:rPr>
                <w:b/>
                <w:bCs/>
                <w:lang w:val="en-US"/>
              </w:rPr>
              <w:t>858,367</w:t>
            </w:r>
          </w:p>
        </w:tc>
        <w:tc>
          <w:tcPr>
            <w:tcW w:w="1792" w:type="dxa"/>
            <w:hideMark/>
          </w:tcPr>
          <w:p w14:paraId="2FDB8408" w14:textId="77777777" w:rsidR="007D0FBF" w:rsidRPr="004F4BA7" w:rsidRDefault="007D0FBF" w:rsidP="00A441BA">
            <w:pPr>
              <w:keepNext/>
              <w:cnfStyle w:val="000000000000" w:firstRow="0" w:lastRow="0" w:firstColumn="0" w:lastColumn="0" w:oddVBand="0" w:evenVBand="0" w:oddHBand="0" w:evenHBand="0" w:firstRowFirstColumn="0" w:firstRowLastColumn="0" w:lastRowFirstColumn="0" w:lastRowLastColumn="0"/>
              <w:rPr>
                <w:b/>
                <w:bCs/>
                <w:lang w:val="en-US"/>
              </w:rPr>
            </w:pPr>
            <w:r w:rsidRPr="004F4BA7">
              <w:rPr>
                <w:b/>
                <w:bCs/>
                <w:lang w:val="en-US"/>
              </w:rPr>
              <w:t>1,039,826</w:t>
            </w:r>
          </w:p>
        </w:tc>
        <w:tc>
          <w:tcPr>
            <w:tcW w:w="1791" w:type="dxa"/>
            <w:hideMark/>
          </w:tcPr>
          <w:p w14:paraId="1364ED91" w14:textId="77777777" w:rsidR="007D0FBF" w:rsidRPr="004F4BA7" w:rsidRDefault="007D0FBF" w:rsidP="00A441BA">
            <w:pPr>
              <w:keepNext/>
              <w:cnfStyle w:val="000000000000" w:firstRow="0" w:lastRow="0" w:firstColumn="0" w:lastColumn="0" w:oddVBand="0" w:evenVBand="0" w:oddHBand="0" w:evenHBand="0" w:firstRowFirstColumn="0" w:firstRowLastColumn="0" w:lastRowFirstColumn="0" w:lastRowLastColumn="0"/>
              <w:rPr>
                <w:b/>
                <w:bCs/>
                <w:lang w:val="en-US"/>
              </w:rPr>
            </w:pPr>
            <w:r w:rsidRPr="004F4BA7">
              <w:rPr>
                <w:b/>
                <w:bCs/>
                <w:lang w:val="en-US"/>
              </w:rPr>
              <w:t>181,459</w:t>
            </w:r>
          </w:p>
        </w:tc>
        <w:tc>
          <w:tcPr>
            <w:tcW w:w="1792" w:type="dxa"/>
            <w:hideMark/>
          </w:tcPr>
          <w:p w14:paraId="21FA922B" w14:textId="77777777" w:rsidR="007D0FBF" w:rsidRPr="004F4BA7" w:rsidRDefault="007D0FBF" w:rsidP="00A441BA">
            <w:pPr>
              <w:keepNext/>
              <w:cnfStyle w:val="000000000000" w:firstRow="0" w:lastRow="0" w:firstColumn="0" w:lastColumn="0" w:oddVBand="0" w:evenVBand="0" w:oddHBand="0" w:evenHBand="0" w:firstRowFirstColumn="0" w:firstRowLastColumn="0" w:lastRowFirstColumn="0" w:lastRowLastColumn="0"/>
              <w:rPr>
                <w:b/>
                <w:bCs/>
                <w:lang w:val="en-US"/>
              </w:rPr>
            </w:pPr>
            <w:r w:rsidRPr="004F4BA7">
              <w:rPr>
                <w:b/>
                <w:bCs/>
                <w:lang w:val="en-US"/>
              </w:rPr>
              <w:t>21.1%</w:t>
            </w:r>
          </w:p>
        </w:tc>
      </w:tr>
    </w:tbl>
    <w:p w14:paraId="166A4CCC" w14:textId="08BF7905" w:rsidR="00A13819" w:rsidRPr="007D0FBF" w:rsidRDefault="00A13819" w:rsidP="00A441BA">
      <w:pPr>
        <w:ind w:left="794"/>
        <w:rPr>
          <w:sz w:val="24"/>
          <w:szCs w:val="24"/>
        </w:rPr>
      </w:pPr>
      <w:r w:rsidRPr="007D0FBF">
        <w:rPr>
          <w:sz w:val="24"/>
          <w:szCs w:val="24"/>
        </w:rPr>
        <w:t>Source: Demographic projections</w:t>
      </w:r>
    </w:p>
    <w:p w14:paraId="0710D899" w14:textId="77777777" w:rsidR="00A13819" w:rsidRDefault="00A13819" w:rsidP="007D0FBF">
      <w:pPr>
        <w:pStyle w:val="11Bodytext"/>
      </w:pPr>
      <w:r>
        <w:t xml:space="preserve">Apart from those of retirement age (65+), the numbers of school-aged children (5-19) are also expected to grow significantly across the HMA. In particular, there is a forecasted growth of 23.1% for the 15-19 age band, followed by a 15.7% increase in those aged between 10 and 14 years old. </w:t>
      </w:r>
    </w:p>
    <w:p w14:paraId="1C467506" w14:textId="3681DAE1" w:rsidR="001E3E7E" w:rsidRPr="00796AF3" w:rsidRDefault="006B6A1E" w:rsidP="007D0FBF">
      <w:pPr>
        <w:pStyle w:val="11Bodytext"/>
        <w:numPr>
          <w:ilvl w:val="0"/>
          <w:numId w:val="0"/>
        </w:numPr>
        <w:ind w:left="1277"/>
      </w:pPr>
      <w:r>
        <w:t xml:space="preserve"> </w:t>
      </w:r>
      <w:bookmarkEnd w:id="19"/>
    </w:p>
    <w:tbl>
      <w:tblPr>
        <w:tblStyle w:val="TableGrid"/>
        <w:tblpPr w:leftFromText="180" w:rightFromText="180" w:vertAnchor="text" w:horzAnchor="margin" w:tblpX="-307" w:tblpY="79"/>
        <w:tblW w:w="9640" w:type="dxa"/>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ayout w:type="fixed"/>
        <w:tblLook w:val="04A0" w:firstRow="1" w:lastRow="0" w:firstColumn="1" w:lastColumn="0" w:noHBand="0" w:noVBand="1"/>
      </w:tblPr>
      <w:tblGrid>
        <w:gridCol w:w="9640"/>
      </w:tblGrid>
      <w:tr w:rsidR="001E3E7E" w:rsidRPr="00CA47B9" w14:paraId="6139025D" w14:textId="77777777" w:rsidTr="00A441BA">
        <w:trPr>
          <w:cantSplit/>
          <w:trHeight w:val="11155"/>
        </w:trPr>
        <w:tc>
          <w:tcPr>
            <w:tcW w:w="9640" w:type="dxa"/>
          </w:tcPr>
          <w:p w14:paraId="75382375" w14:textId="7CFBB00E" w:rsidR="00D66BB9" w:rsidRPr="00A441BA" w:rsidRDefault="00E40814" w:rsidP="00A441BA">
            <w:pPr>
              <w:pStyle w:val="ListParagraph"/>
              <w:numPr>
                <w:ilvl w:val="0"/>
                <w:numId w:val="0"/>
              </w:numPr>
              <w:ind w:left="426"/>
              <w:rPr>
                <w:b/>
                <w:bCs/>
              </w:rPr>
            </w:pPr>
            <w:bookmarkStart w:id="21" w:name="_Hlk53556696"/>
            <w:bookmarkStart w:id="22" w:name="_Hlk53556650"/>
            <w:r w:rsidRPr="00D66BB9">
              <w:rPr>
                <w:b/>
                <w:bCs/>
              </w:rPr>
              <w:lastRenderedPageBreak/>
              <w:t>Local Housing Need and Population Growth -</w:t>
            </w:r>
            <w:r w:rsidR="00CA0F24" w:rsidRPr="00D66BB9">
              <w:rPr>
                <w:b/>
                <w:bCs/>
              </w:rPr>
              <w:t xml:space="preserve"> </w:t>
            </w:r>
            <w:r w:rsidR="003477B6" w:rsidRPr="00D66BB9">
              <w:rPr>
                <w:b/>
                <w:bCs/>
              </w:rPr>
              <w:t>Key Messages and Recommendations</w:t>
            </w:r>
          </w:p>
          <w:p w14:paraId="7A14190F" w14:textId="77777777" w:rsidR="00A13819" w:rsidRDefault="00A13819" w:rsidP="00A441BA">
            <w:pPr>
              <w:pStyle w:val="10BulletBodytext"/>
              <w:rPr>
                <w:color w:val="000000" w:themeColor="text1"/>
              </w:rPr>
            </w:pPr>
            <w:r>
              <w:t>The NPPF introduced a three step standard method for local authorities to assess local housing need.</w:t>
            </w:r>
          </w:p>
          <w:p w14:paraId="70125386" w14:textId="77777777" w:rsidR="00A13819" w:rsidRDefault="00A13819" w:rsidP="00A441BA">
            <w:pPr>
              <w:pStyle w:val="10BulletBodytext"/>
              <w:rPr>
                <w:color w:val="000000" w:themeColor="text1"/>
              </w:rPr>
            </w:pPr>
            <w:r>
              <w:t>Step 1 of the standard method draws on the 2014-based household projections which set out an annual average household growth of 3,420 between 2020 and 2030 across the HMA.</w:t>
            </w:r>
          </w:p>
          <w:p w14:paraId="0A1B3E49" w14:textId="2EB6BA36" w:rsidR="00A13819" w:rsidRDefault="00A13819" w:rsidP="00A441BA">
            <w:pPr>
              <w:pStyle w:val="10BulletBodytext"/>
              <w:rPr>
                <w:color w:val="000000" w:themeColor="text1"/>
              </w:rPr>
            </w:pPr>
            <w:r>
              <w:t xml:space="preserve">Step 2 of the standard method increases the Housing Need based on local affordability. Using the prescribed formu, the local affordability ratios result in uplifts of between 26% to 55%. This increases the need across the HMA by 1,234 dpa to 4,654 dpa. </w:t>
            </w:r>
          </w:p>
          <w:p w14:paraId="52311AB6" w14:textId="77777777" w:rsidR="00A13819" w:rsidRDefault="00A13819" w:rsidP="00A441BA">
            <w:pPr>
              <w:pStyle w:val="10BulletBodytext"/>
              <w:rPr>
                <w:color w:val="000000" w:themeColor="text1"/>
              </w:rPr>
            </w:pPr>
            <w:r>
              <w:t xml:space="preserve">To ensure deliverability, Step 3 of the standard method caps the uplifts in Step 2. However, the cap is effectively not applied in the HMA as the Step 2 figure does not exceed the step 3 figure (Step 3 privdes the figure at which the cap would be applied). </w:t>
            </w:r>
          </w:p>
          <w:p w14:paraId="40DA87B1" w14:textId="77777777" w:rsidR="00A13819" w:rsidRDefault="00A13819" w:rsidP="00A441BA">
            <w:pPr>
              <w:pStyle w:val="10BulletBodytext"/>
              <w:rPr>
                <w:color w:val="000000" w:themeColor="text1"/>
              </w:rPr>
            </w:pPr>
            <w:r>
              <w:t xml:space="preserve">The table below summarises the housing need for the different local authorities. </w:t>
            </w:r>
          </w:p>
          <w:tbl>
            <w:tblPr>
              <w:tblStyle w:val="TableGridLight1"/>
              <w:tblpPr w:leftFromText="180" w:rightFromText="180" w:vertAnchor="text" w:horzAnchor="margin" w:tblpXSpec="center" w:tblpY="327"/>
              <w:tblW w:w="7926" w:type="dxa"/>
              <w:tblInd w:w="0" w:type="dxa"/>
              <w:tblLayout w:type="fixed"/>
              <w:tblLook w:val="04A0" w:firstRow="1" w:lastRow="0" w:firstColumn="1" w:lastColumn="0" w:noHBand="0" w:noVBand="1"/>
            </w:tblPr>
            <w:tblGrid>
              <w:gridCol w:w="2625"/>
              <w:gridCol w:w="1566"/>
              <w:gridCol w:w="1566"/>
              <w:gridCol w:w="2169"/>
            </w:tblGrid>
            <w:tr w:rsidR="00D66BB9" w14:paraId="4F7BA788" w14:textId="77777777" w:rsidTr="004F4BA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25" w:type="dxa"/>
                  <w:noWrap/>
                </w:tcPr>
                <w:p w14:paraId="3927A42D" w14:textId="6808C9C0" w:rsidR="00D66BB9" w:rsidRPr="004F4BA7" w:rsidRDefault="00D66BB9" w:rsidP="00A441BA">
                  <w:pPr>
                    <w:jc w:val="left"/>
                    <w:rPr>
                      <w:szCs w:val="22"/>
                      <w:lang w:eastAsia="en-GB"/>
                    </w:rPr>
                  </w:pPr>
                  <w:r w:rsidRPr="00D66BB9">
                    <w:t>Local Authority</w:t>
                  </w:r>
                </w:p>
              </w:tc>
              <w:tc>
                <w:tcPr>
                  <w:tcW w:w="1566" w:type="dxa"/>
                  <w:noWrap/>
                </w:tcPr>
                <w:p w14:paraId="40D2157C" w14:textId="3430C9AE" w:rsidR="00D66BB9" w:rsidRPr="00D66BB9" w:rsidRDefault="00D66BB9" w:rsidP="00A441BA">
                  <w:pPr>
                    <w:cnfStyle w:val="100000000000" w:firstRow="1" w:lastRow="0" w:firstColumn="0" w:lastColumn="0" w:oddVBand="0" w:evenVBand="0" w:oddHBand="0" w:evenHBand="0" w:firstRowFirstColumn="0" w:firstRowLastColumn="0" w:lastRowFirstColumn="0" w:lastRowLastColumn="0"/>
                    <w:rPr>
                      <w:szCs w:val="22"/>
                      <w:lang w:eastAsia="en-GB"/>
                    </w:rPr>
                  </w:pPr>
                  <w:r w:rsidRPr="00D66BB9">
                    <w:t>Household Change (Step 1)</w:t>
                  </w:r>
                </w:p>
              </w:tc>
              <w:tc>
                <w:tcPr>
                  <w:tcW w:w="1566" w:type="dxa"/>
                  <w:noWrap/>
                </w:tcPr>
                <w:p w14:paraId="568F1D4C" w14:textId="4EB5E683" w:rsidR="00D66BB9" w:rsidRPr="00D66BB9" w:rsidRDefault="00D66BB9" w:rsidP="00A441BA">
                  <w:pPr>
                    <w:cnfStyle w:val="100000000000" w:firstRow="1" w:lastRow="0" w:firstColumn="0" w:lastColumn="0" w:oddVBand="0" w:evenVBand="0" w:oddHBand="0" w:evenHBand="0" w:firstRowFirstColumn="0" w:firstRowLastColumn="0" w:lastRowFirstColumn="0" w:lastRowLastColumn="0"/>
                    <w:rPr>
                      <w:lang w:eastAsia="en-GB"/>
                    </w:rPr>
                  </w:pPr>
                  <w:r w:rsidRPr="00D66BB9">
                    <w:t>Affordability Adjustment (Step 2)</w:t>
                  </w:r>
                </w:p>
              </w:tc>
              <w:tc>
                <w:tcPr>
                  <w:tcW w:w="2169" w:type="dxa"/>
                  <w:noWrap/>
                </w:tcPr>
                <w:p w14:paraId="4B63D1FD" w14:textId="33590250" w:rsidR="00D66BB9" w:rsidRPr="00D66BB9" w:rsidRDefault="00D66BB9" w:rsidP="00A441BA">
                  <w:pPr>
                    <w:cnfStyle w:val="100000000000" w:firstRow="1" w:lastRow="0" w:firstColumn="0" w:lastColumn="0" w:oddVBand="0" w:evenVBand="0" w:oddHBand="0" w:evenHBand="0" w:firstRowFirstColumn="0" w:firstRowLastColumn="0" w:lastRowFirstColumn="0" w:lastRowLastColumn="0"/>
                    <w:rPr>
                      <w:lang w:eastAsia="en-GB"/>
                    </w:rPr>
                  </w:pPr>
                  <w:r w:rsidRPr="00D66BB9">
                    <w:t>Housing Need (Step 3)</w:t>
                  </w:r>
                </w:p>
              </w:tc>
            </w:tr>
            <w:tr w:rsidR="00D66BB9" w14:paraId="76C941E7" w14:textId="77777777" w:rsidTr="00D66BB9">
              <w:trPr>
                <w:trHeight w:val="225"/>
              </w:trPr>
              <w:tc>
                <w:tcPr>
                  <w:cnfStyle w:val="001000000000" w:firstRow="0" w:lastRow="0" w:firstColumn="1" w:lastColumn="0" w:oddVBand="0" w:evenVBand="0" w:oddHBand="0" w:evenHBand="0" w:firstRowFirstColumn="0" w:firstRowLastColumn="0" w:lastRowFirstColumn="0" w:lastRowLastColumn="0"/>
                  <w:tcW w:w="2625" w:type="dxa"/>
                  <w:noWrap/>
                </w:tcPr>
                <w:p w14:paraId="75289263" w14:textId="292E4CAF" w:rsidR="00D66BB9" w:rsidRPr="0014773D" w:rsidRDefault="00D66BB9" w:rsidP="00A441BA">
                  <w:pPr>
                    <w:rPr>
                      <w:szCs w:val="22"/>
                      <w:lang w:eastAsia="en-GB"/>
                    </w:rPr>
                  </w:pPr>
                  <w:r w:rsidRPr="004F4BA7">
                    <w:rPr>
                      <w:szCs w:val="22"/>
                      <w:lang w:eastAsia="en-GB"/>
                    </w:rPr>
                    <w:t>Cambridge</w:t>
                  </w:r>
                </w:p>
              </w:tc>
              <w:tc>
                <w:tcPr>
                  <w:tcW w:w="1566" w:type="dxa"/>
                  <w:noWrap/>
                </w:tcPr>
                <w:p w14:paraId="3084C9D7" w14:textId="704093C3" w:rsidR="00D66BB9" w:rsidRPr="00BC0456" w:rsidRDefault="00D66BB9" w:rsidP="00A441BA">
                  <w:pPr>
                    <w:cnfStyle w:val="000000000000" w:firstRow="0" w:lastRow="0" w:firstColumn="0" w:lastColumn="0" w:oddVBand="0" w:evenVBand="0" w:oddHBand="0" w:evenHBand="0" w:firstRowFirstColumn="0" w:firstRowLastColumn="0" w:lastRowFirstColumn="0" w:lastRowLastColumn="0"/>
                    <w:rPr>
                      <w:szCs w:val="22"/>
                      <w:lang w:eastAsia="en-GB"/>
                    </w:rPr>
                  </w:pPr>
                  <w:r w:rsidRPr="00BC0456">
                    <w:rPr>
                      <w:szCs w:val="22"/>
                      <w:lang w:eastAsia="en-GB"/>
                    </w:rPr>
                    <w:t>425</w:t>
                  </w:r>
                </w:p>
              </w:tc>
              <w:tc>
                <w:tcPr>
                  <w:tcW w:w="1566" w:type="dxa"/>
                  <w:noWrap/>
                </w:tcPr>
                <w:p w14:paraId="714009E7" w14:textId="787196E6" w:rsidR="00D66BB9" w:rsidRPr="00BC0456" w:rsidRDefault="00D66BB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658</w:t>
                  </w:r>
                </w:p>
              </w:tc>
              <w:tc>
                <w:tcPr>
                  <w:tcW w:w="2169" w:type="dxa"/>
                  <w:noWrap/>
                </w:tcPr>
                <w:p w14:paraId="40C8EA17" w14:textId="38B6E785" w:rsidR="00D66BB9" w:rsidRPr="00BC0456" w:rsidRDefault="00D66BB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658</w:t>
                  </w:r>
                </w:p>
              </w:tc>
            </w:tr>
            <w:tr w:rsidR="00A13819" w14:paraId="62097143" w14:textId="77777777" w:rsidTr="004F4BA7">
              <w:trPr>
                <w:trHeight w:val="225"/>
              </w:trPr>
              <w:tc>
                <w:tcPr>
                  <w:cnfStyle w:val="001000000000" w:firstRow="0" w:lastRow="0" w:firstColumn="1" w:lastColumn="0" w:oddVBand="0" w:evenVBand="0" w:oddHBand="0" w:evenHBand="0" w:firstRowFirstColumn="0" w:firstRowLastColumn="0" w:lastRowFirstColumn="0" w:lastRowLastColumn="0"/>
                  <w:tcW w:w="2625" w:type="dxa"/>
                  <w:noWrap/>
                  <w:hideMark/>
                </w:tcPr>
                <w:p w14:paraId="55D6F754" w14:textId="77777777" w:rsidR="00A13819" w:rsidRPr="004F4BA7" w:rsidRDefault="00A13819" w:rsidP="00A441BA">
                  <w:pPr>
                    <w:rPr>
                      <w:szCs w:val="22"/>
                      <w:lang w:eastAsia="en-GB"/>
                    </w:rPr>
                  </w:pPr>
                  <w:r w:rsidRPr="004F4BA7">
                    <w:rPr>
                      <w:szCs w:val="22"/>
                      <w:lang w:eastAsia="en-GB"/>
                    </w:rPr>
                    <w:t>East Cambs</w:t>
                  </w:r>
                </w:p>
              </w:tc>
              <w:tc>
                <w:tcPr>
                  <w:tcW w:w="1566" w:type="dxa"/>
                  <w:noWrap/>
                  <w:hideMark/>
                </w:tcPr>
                <w:p w14:paraId="32DB3313"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szCs w:val="22"/>
                      <w:lang w:eastAsia="en-GB"/>
                    </w:rPr>
                  </w:pPr>
                  <w:r w:rsidRPr="00BC0456">
                    <w:rPr>
                      <w:szCs w:val="22"/>
                      <w:lang w:eastAsia="en-GB"/>
                    </w:rPr>
                    <w:t>429</w:t>
                  </w:r>
                </w:p>
              </w:tc>
              <w:tc>
                <w:tcPr>
                  <w:tcW w:w="1566" w:type="dxa"/>
                  <w:noWrap/>
                  <w:hideMark/>
                </w:tcPr>
                <w:p w14:paraId="1E43266A"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597</w:t>
                  </w:r>
                </w:p>
              </w:tc>
              <w:tc>
                <w:tcPr>
                  <w:tcW w:w="2169" w:type="dxa"/>
                  <w:noWrap/>
                  <w:hideMark/>
                </w:tcPr>
                <w:p w14:paraId="11256111"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597</w:t>
                  </w:r>
                </w:p>
              </w:tc>
            </w:tr>
            <w:tr w:rsidR="00A13819" w14:paraId="3B7945D5" w14:textId="77777777" w:rsidTr="004F4BA7">
              <w:trPr>
                <w:trHeight w:val="225"/>
              </w:trPr>
              <w:tc>
                <w:tcPr>
                  <w:cnfStyle w:val="001000000000" w:firstRow="0" w:lastRow="0" w:firstColumn="1" w:lastColumn="0" w:oddVBand="0" w:evenVBand="0" w:oddHBand="0" w:evenHBand="0" w:firstRowFirstColumn="0" w:firstRowLastColumn="0" w:lastRowFirstColumn="0" w:lastRowLastColumn="0"/>
                  <w:tcW w:w="2625" w:type="dxa"/>
                  <w:noWrap/>
                  <w:hideMark/>
                </w:tcPr>
                <w:p w14:paraId="1F4AF800" w14:textId="77777777" w:rsidR="00A13819" w:rsidRPr="004F4BA7" w:rsidRDefault="00A13819" w:rsidP="00A441BA">
                  <w:pPr>
                    <w:rPr>
                      <w:szCs w:val="22"/>
                      <w:lang w:eastAsia="en-GB"/>
                    </w:rPr>
                  </w:pPr>
                  <w:r w:rsidRPr="004F4BA7">
                    <w:rPr>
                      <w:szCs w:val="22"/>
                      <w:lang w:eastAsia="en-GB"/>
                    </w:rPr>
                    <w:t>Fenland</w:t>
                  </w:r>
                </w:p>
              </w:tc>
              <w:tc>
                <w:tcPr>
                  <w:tcW w:w="1566" w:type="dxa"/>
                  <w:noWrap/>
                  <w:hideMark/>
                </w:tcPr>
                <w:p w14:paraId="1A18D79E"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szCs w:val="22"/>
                      <w:lang w:eastAsia="en-GB"/>
                    </w:rPr>
                  </w:pPr>
                  <w:r w:rsidRPr="00BC0456">
                    <w:rPr>
                      <w:szCs w:val="22"/>
                      <w:lang w:eastAsia="en-GB"/>
                    </w:rPr>
                    <w:t>428</w:t>
                  </w:r>
                </w:p>
              </w:tc>
              <w:tc>
                <w:tcPr>
                  <w:tcW w:w="1566" w:type="dxa"/>
                  <w:noWrap/>
                  <w:hideMark/>
                </w:tcPr>
                <w:p w14:paraId="4614840B"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538</w:t>
                  </w:r>
                </w:p>
              </w:tc>
              <w:tc>
                <w:tcPr>
                  <w:tcW w:w="2169" w:type="dxa"/>
                  <w:noWrap/>
                  <w:hideMark/>
                </w:tcPr>
                <w:p w14:paraId="1C1A63F4"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538</w:t>
                  </w:r>
                </w:p>
              </w:tc>
            </w:tr>
            <w:tr w:rsidR="00A13819" w14:paraId="31851766" w14:textId="77777777" w:rsidTr="004F4BA7">
              <w:trPr>
                <w:trHeight w:val="225"/>
              </w:trPr>
              <w:tc>
                <w:tcPr>
                  <w:cnfStyle w:val="001000000000" w:firstRow="0" w:lastRow="0" w:firstColumn="1" w:lastColumn="0" w:oddVBand="0" w:evenVBand="0" w:oddHBand="0" w:evenHBand="0" w:firstRowFirstColumn="0" w:firstRowLastColumn="0" w:lastRowFirstColumn="0" w:lastRowLastColumn="0"/>
                  <w:tcW w:w="2625" w:type="dxa"/>
                  <w:noWrap/>
                  <w:hideMark/>
                </w:tcPr>
                <w:p w14:paraId="3678CD14" w14:textId="77777777" w:rsidR="00A13819" w:rsidRPr="004F4BA7" w:rsidRDefault="00A13819" w:rsidP="00A441BA">
                  <w:pPr>
                    <w:rPr>
                      <w:szCs w:val="22"/>
                      <w:lang w:eastAsia="en-GB"/>
                    </w:rPr>
                  </w:pPr>
                  <w:r w:rsidRPr="004F4BA7">
                    <w:rPr>
                      <w:szCs w:val="22"/>
                    </w:rPr>
                    <w:t>Hunts</w:t>
                  </w:r>
                </w:p>
              </w:tc>
              <w:tc>
                <w:tcPr>
                  <w:tcW w:w="1566" w:type="dxa"/>
                  <w:noWrap/>
                  <w:hideMark/>
                </w:tcPr>
                <w:p w14:paraId="536043CB"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szCs w:val="22"/>
                      <w:lang w:eastAsia="en-GB"/>
                    </w:rPr>
                  </w:pPr>
                  <w:r w:rsidRPr="00BC0456">
                    <w:rPr>
                      <w:szCs w:val="22"/>
                      <w:lang w:eastAsia="en-GB"/>
                    </w:rPr>
                    <w:t>733</w:t>
                  </w:r>
                </w:p>
              </w:tc>
              <w:tc>
                <w:tcPr>
                  <w:tcW w:w="1566" w:type="dxa"/>
                  <w:noWrap/>
                  <w:hideMark/>
                </w:tcPr>
                <w:p w14:paraId="2F15A02F"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976</w:t>
                  </w:r>
                </w:p>
              </w:tc>
              <w:tc>
                <w:tcPr>
                  <w:tcW w:w="2169" w:type="dxa"/>
                  <w:noWrap/>
                  <w:hideMark/>
                </w:tcPr>
                <w:p w14:paraId="6BAEF1F4"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976</w:t>
                  </w:r>
                </w:p>
              </w:tc>
            </w:tr>
            <w:tr w:rsidR="00A13819" w14:paraId="4C9C7342" w14:textId="77777777" w:rsidTr="004F4BA7">
              <w:trPr>
                <w:trHeight w:val="225"/>
              </w:trPr>
              <w:tc>
                <w:tcPr>
                  <w:cnfStyle w:val="001000000000" w:firstRow="0" w:lastRow="0" w:firstColumn="1" w:lastColumn="0" w:oddVBand="0" w:evenVBand="0" w:oddHBand="0" w:evenHBand="0" w:firstRowFirstColumn="0" w:firstRowLastColumn="0" w:lastRowFirstColumn="0" w:lastRowLastColumn="0"/>
                  <w:tcW w:w="2625" w:type="dxa"/>
                  <w:noWrap/>
                  <w:hideMark/>
                </w:tcPr>
                <w:p w14:paraId="59DF8456" w14:textId="77777777" w:rsidR="00A13819" w:rsidRPr="004F4BA7" w:rsidRDefault="00A13819" w:rsidP="00A441BA">
                  <w:pPr>
                    <w:rPr>
                      <w:szCs w:val="22"/>
                      <w:lang w:eastAsia="en-GB"/>
                    </w:rPr>
                  </w:pPr>
                  <w:r w:rsidRPr="004F4BA7">
                    <w:rPr>
                      <w:szCs w:val="22"/>
                    </w:rPr>
                    <w:t>South Cambs</w:t>
                  </w:r>
                </w:p>
              </w:tc>
              <w:tc>
                <w:tcPr>
                  <w:tcW w:w="1566" w:type="dxa"/>
                  <w:noWrap/>
                  <w:hideMark/>
                </w:tcPr>
                <w:p w14:paraId="6EE4C0BD"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szCs w:val="22"/>
                      <w:lang w:eastAsia="en-GB"/>
                    </w:rPr>
                  </w:pPr>
                  <w:r w:rsidRPr="00BC0456">
                    <w:rPr>
                      <w:szCs w:val="22"/>
                      <w:lang w:eastAsia="en-GB"/>
                    </w:rPr>
                    <w:t>797</w:t>
                  </w:r>
                </w:p>
              </w:tc>
              <w:tc>
                <w:tcPr>
                  <w:tcW w:w="1566" w:type="dxa"/>
                  <w:noWrap/>
                  <w:hideMark/>
                </w:tcPr>
                <w:p w14:paraId="58C30945"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1,085</w:t>
                  </w:r>
                </w:p>
              </w:tc>
              <w:tc>
                <w:tcPr>
                  <w:tcW w:w="2169" w:type="dxa"/>
                  <w:noWrap/>
                  <w:hideMark/>
                </w:tcPr>
                <w:p w14:paraId="4D478A96"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1,085</w:t>
                  </w:r>
                </w:p>
              </w:tc>
            </w:tr>
            <w:tr w:rsidR="00A13819" w14:paraId="1B813689" w14:textId="77777777" w:rsidTr="004F4BA7">
              <w:trPr>
                <w:trHeight w:val="225"/>
              </w:trPr>
              <w:tc>
                <w:tcPr>
                  <w:cnfStyle w:val="001000000000" w:firstRow="0" w:lastRow="0" w:firstColumn="1" w:lastColumn="0" w:oddVBand="0" w:evenVBand="0" w:oddHBand="0" w:evenHBand="0" w:firstRowFirstColumn="0" w:firstRowLastColumn="0" w:lastRowFirstColumn="0" w:lastRowLastColumn="0"/>
                  <w:tcW w:w="2625" w:type="dxa"/>
                  <w:noWrap/>
                  <w:hideMark/>
                </w:tcPr>
                <w:p w14:paraId="28FE91DB" w14:textId="77777777" w:rsidR="00A13819" w:rsidRPr="004F4BA7" w:rsidRDefault="00A13819" w:rsidP="00A441BA">
                  <w:pPr>
                    <w:rPr>
                      <w:szCs w:val="22"/>
                      <w:lang w:eastAsia="en-GB"/>
                    </w:rPr>
                  </w:pPr>
                  <w:r w:rsidRPr="004F4BA7">
                    <w:rPr>
                      <w:szCs w:val="22"/>
                      <w:lang w:eastAsia="en-GB"/>
                    </w:rPr>
                    <w:t>West Suffolk</w:t>
                  </w:r>
                </w:p>
              </w:tc>
              <w:tc>
                <w:tcPr>
                  <w:tcW w:w="1566" w:type="dxa"/>
                  <w:noWrap/>
                  <w:hideMark/>
                </w:tcPr>
                <w:p w14:paraId="492E4118"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szCs w:val="22"/>
                      <w:lang w:eastAsia="en-GB"/>
                    </w:rPr>
                  </w:pPr>
                  <w:r w:rsidRPr="00BC0456">
                    <w:rPr>
                      <w:szCs w:val="22"/>
                      <w:lang w:eastAsia="en-GB"/>
                    </w:rPr>
                    <w:t>608</w:t>
                  </w:r>
                </w:p>
              </w:tc>
              <w:tc>
                <w:tcPr>
                  <w:tcW w:w="1566" w:type="dxa"/>
                  <w:noWrap/>
                  <w:hideMark/>
                </w:tcPr>
                <w:p w14:paraId="0E841AF3"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800</w:t>
                  </w:r>
                </w:p>
              </w:tc>
              <w:tc>
                <w:tcPr>
                  <w:tcW w:w="2169" w:type="dxa"/>
                  <w:noWrap/>
                  <w:hideMark/>
                </w:tcPr>
                <w:p w14:paraId="7D0A9EF6"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800</w:t>
                  </w:r>
                </w:p>
              </w:tc>
            </w:tr>
            <w:tr w:rsidR="00A13819" w14:paraId="120218D2" w14:textId="77777777" w:rsidTr="004F4BA7">
              <w:trPr>
                <w:trHeight w:val="225"/>
              </w:trPr>
              <w:tc>
                <w:tcPr>
                  <w:cnfStyle w:val="001000000000" w:firstRow="0" w:lastRow="0" w:firstColumn="1" w:lastColumn="0" w:oddVBand="0" w:evenVBand="0" w:oddHBand="0" w:evenHBand="0" w:firstRowFirstColumn="0" w:firstRowLastColumn="0" w:lastRowFirstColumn="0" w:lastRowLastColumn="0"/>
                  <w:tcW w:w="2625" w:type="dxa"/>
                  <w:noWrap/>
                  <w:hideMark/>
                </w:tcPr>
                <w:p w14:paraId="4715E04A" w14:textId="77777777" w:rsidR="00A13819" w:rsidRPr="00BC0456" w:rsidRDefault="00A13819" w:rsidP="00A441BA">
                  <w:pPr>
                    <w:rPr>
                      <w:b/>
                      <w:bCs/>
                      <w:szCs w:val="22"/>
                      <w:lang w:eastAsia="en-GB"/>
                    </w:rPr>
                  </w:pPr>
                  <w:r w:rsidRPr="00BC0456">
                    <w:rPr>
                      <w:b/>
                      <w:bCs/>
                      <w:szCs w:val="22"/>
                      <w:lang w:eastAsia="en-GB"/>
                    </w:rPr>
                    <w:t>HMA</w:t>
                  </w:r>
                </w:p>
              </w:tc>
              <w:tc>
                <w:tcPr>
                  <w:tcW w:w="1566" w:type="dxa"/>
                  <w:noWrap/>
                  <w:hideMark/>
                </w:tcPr>
                <w:p w14:paraId="2D4A4B67"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
                      <w:bCs/>
                      <w:szCs w:val="22"/>
                      <w:lang w:eastAsia="en-GB"/>
                    </w:rPr>
                  </w:pPr>
                  <w:r w:rsidRPr="00BC0456">
                    <w:rPr>
                      <w:b/>
                      <w:bCs/>
                      <w:szCs w:val="22"/>
                      <w:lang w:eastAsia="en-GB"/>
                    </w:rPr>
                    <w:t>3,420</w:t>
                  </w:r>
                </w:p>
              </w:tc>
              <w:tc>
                <w:tcPr>
                  <w:tcW w:w="1566" w:type="dxa"/>
                  <w:noWrap/>
                  <w:hideMark/>
                </w:tcPr>
                <w:p w14:paraId="163B8410"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4,654</w:t>
                  </w:r>
                </w:p>
              </w:tc>
              <w:tc>
                <w:tcPr>
                  <w:tcW w:w="2169" w:type="dxa"/>
                  <w:noWrap/>
                  <w:hideMark/>
                </w:tcPr>
                <w:p w14:paraId="044624E5" w14:textId="77777777" w:rsidR="00A13819" w:rsidRPr="00BC0456" w:rsidRDefault="00A13819" w:rsidP="00A441BA">
                  <w:pPr>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4,654</w:t>
                  </w:r>
                </w:p>
              </w:tc>
            </w:tr>
          </w:tbl>
          <w:p w14:paraId="1EDF56E9" w14:textId="7BABFCE2" w:rsidR="00D66BB9" w:rsidRDefault="00D66BB9" w:rsidP="00A441BA">
            <w:pPr>
              <w:pStyle w:val="10BulletBodytext"/>
              <w:numPr>
                <w:ilvl w:val="0"/>
                <w:numId w:val="0"/>
              </w:numPr>
              <w:ind w:left="1211"/>
              <w:rPr>
                <w:color w:val="000000" w:themeColor="text1"/>
              </w:rPr>
            </w:pPr>
          </w:p>
          <w:p w14:paraId="101154CD" w14:textId="7BD9BF13" w:rsidR="00D66BB9" w:rsidRDefault="00D66BB9" w:rsidP="00A441BA">
            <w:pPr>
              <w:pStyle w:val="10BulletBodytext"/>
              <w:numPr>
                <w:ilvl w:val="0"/>
                <w:numId w:val="0"/>
              </w:numPr>
              <w:ind w:left="1211"/>
              <w:rPr>
                <w:color w:val="000000" w:themeColor="text1"/>
              </w:rPr>
            </w:pPr>
          </w:p>
          <w:p w14:paraId="6B843343" w14:textId="2A50BDE4" w:rsidR="00D66BB9" w:rsidRDefault="00D66BB9" w:rsidP="00A441BA">
            <w:pPr>
              <w:pStyle w:val="10BulletBodytext"/>
              <w:numPr>
                <w:ilvl w:val="0"/>
                <w:numId w:val="0"/>
              </w:numPr>
              <w:ind w:left="1211"/>
              <w:rPr>
                <w:color w:val="000000" w:themeColor="text1"/>
              </w:rPr>
            </w:pPr>
          </w:p>
          <w:p w14:paraId="76918CB2" w14:textId="0D4B33C3" w:rsidR="00D66BB9" w:rsidRDefault="00D66BB9" w:rsidP="00A441BA">
            <w:pPr>
              <w:pStyle w:val="10BulletBodytext"/>
              <w:numPr>
                <w:ilvl w:val="0"/>
                <w:numId w:val="0"/>
              </w:numPr>
              <w:ind w:left="1211"/>
              <w:rPr>
                <w:color w:val="000000" w:themeColor="text1"/>
              </w:rPr>
            </w:pPr>
          </w:p>
          <w:p w14:paraId="190D7258" w14:textId="33E85DC8" w:rsidR="00D66BB9" w:rsidRDefault="00D66BB9" w:rsidP="00A441BA">
            <w:pPr>
              <w:pStyle w:val="10BulletBodytext"/>
              <w:numPr>
                <w:ilvl w:val="0"/>
                <w:numId w:val="0"/>
              </w:numPr>
              <w:ind w:left="1211"/>
              <w:rPr>
                <w:color w:val="000000" w:themeColor="text1"/>
              </w:rPr>
            </w:pPr>
          </w:p>
          <w:p w14:paraId="746283E4" w14:textId="7A1C6E47" w:rsidR="00D66BB9" w:rsidRDefault="00D66BB9" w:rsidP="00A441BA">
            <w:pPr>
              <w:pStyle w:val="10BulletBodytext"/>
              <w:numPr>
                <w:ilvl w:val="0"/>
                <w:numId w:val="0"/>
              </w:numPr>
              <w:ind w:left="1211"/>
              <w:rPr>
                <w:color w:val="000000" w:themeColor="text1"/>
              </w:rPr>
            </w:pPr>
          </w:p>
          <w:p w14:paraId="2FBF97D3" w14:textId="4B6C2BC0" w:rsidR="00D66BB9" w:rsidRDefault="00D66BB9" w:rsidP="00A441BA">
            <w:pPr>
              <w:pStyle w:val="10BulletBodytext"/>
              <w:numPr>
                <w:ilvl w:val="0"/>
                <w:numId w:val="0"/>
              </w:numPr>
              <w:ind w:left="1211"/>
              <w:rPr>
                <w:color w:val="000000" w:themeColor="text1"/>
              </w:rPr>
            </w:pPr>
          </w:p>
          <w:p w14:paraId="0FD733F4" w14:textId="6E72D664" w:rsidR="00D66BB9" w:rsidRDefault="00D66BB9" w:rsidP="00A441BA">
            <w:pPr>
              <w:pStyle w:val="10BulletBodytext"/>
              <w:numPr>
                <w:ilvl w:val="0"/>
                <w:numId w:val="0"/>
              </w:numPr>
              <w:ind w:left="1211"/>
              <w:rPr>
                <w:color w:val="000000" w:themeColor="text1"/>
              </w:rPr>
            </w:pPr>
          </w:p>
          <w:p w14:paraId="41B74F04" w14:textId="6D06DEB0" w:rsidR="00A13819" w:rsidRDefault="00A13819" w:rsidP="00A441BA">
            <w:pPr>
              <w:pStyle w:val="10BulletBodytext"/>
              <w:rPr>
                <w:color w:val="000000" w:themeColor="text1"/>
              </w:rPr>
            </w:pPr>
            <w:r>
              <w:t xml:space="preserve">Based on the identified need the local authorities should seek to deliver a minimum 4,654 dwellings per annum. Although calculated over the 2020-2030 period the Housing Need figures can be applied across the plan period. </w:t>
            </w:r>
          </w:p>
          <w:p w14:paraId="305F3175" w14:textId="77777777" w:rsidR="00A13819" w:rsidRDefault="00A13819" w:rsidP="00A441BA">
            <w:pPr>
              <w:pStyle w:val="10BulletBodytext"/>
              <w:rPr>
                <w:color w:val="000000" w:themeColor="text1"/>
              </w:rPr>
            </w:pPr>
            <w:r>
              <w:t xml:space="preserve">In the years preceding adoption of a Local Plan it may be necessary to update the housing needs figure as a result of the publication of new demographic and affordability data and potential revisions to the standard method. </w:t>
            </w:r>
          </w:p>
          <w:p w14:paraId="4EF929A6" w14:textId="77777777" w:rsidR="00A13819" w:rsidRDefault="00A13819" w:rsidP="00A441BA">
            <w:pPr>
              <w:pStyle w:val="10BulletBodytext"/>
              <w:rPr>
                <w:b/>
                <w:color w:val="000000" w:themeColor="text1"/>
              </w:rPr>
            </w:pPr>
            <w:r>
              <w:t>As per paragraph 13 of the PPG where “strategic policies are being produced jointly, or where spatial development strategies are prepared…It will be for the relevant strategic policy-making authority to distribute the total housing requirement…across the plan area.”</w:t>
            </w:r>
          </w:p>
          <w:p w14:paraId="47BF9E78" w14:textId="77777777" w:rsidR="00A13819" w:rsidRDefault="00A13819" w:rsidP="00A441BA">
            <w:pPr>
              <w:pStyle w:val="10BulletBodytext"/>
              <w:rPr>
                <w:color w:val="000000" w:themeColor="text1"/>
              </w:rPr>
            </w:pPr>
            <w:r>
              <w:t>To understand the population implications of delivering 4,654 dpa a model has been developed whereby household formation rates are increased and population growth increased to a point where these homes are filled.  This modelling results in an additional 181,459 people in the HMA area (over the period 2020-2040). This can be disaggregated to the local authorities on the following basis.</w:t>
            </w:r>
          </w:p>
          <w:p w14:paraId="1D2F4148" w14:textId="77777777" w:rsidR="00A13819" w:rsidRDefault="00A13819" w:rsidP="00A441BA">
            <w:pPr>
              <w:keepNext/>
              <w:rPr>
                <w:color w:val="auto"/>
              </w:rPr>
            </w:pPr>
          </w:p>
          <w:tbl>
            <w:tblPr>
              <w:tblStyle w:val="TableGridLight1"/>
              <w:tblW w:w="9302" w:type="dxa"/>
              <w:tblInd w:w="0" w:type="dxa"/>
              <w:tblLayout w:type="fixed"/>
              <w:tblLook w:val="04A0" w:firstRow="1" w:lastRow="0" w:firstColumn="1" w:lastColumn="0" w:noHBand="0" w:noVBand="1"/>
            </w:tblPr>
            <w:tblGrid>
              <w:gridCol w:w="1548"/>
              <w:gridCol w:w="1550"/>
              <w:gridCol w:w="1551"/>
              <w:gridCol w:w="1551"/>
              <w:gridCol w:w="1551"/>
              <w:gridCol w:w="1551"/>
            </w:tblGrid>
            <w:tr w:rsidR="00BC0456" w:rsidRPr="00BC0456" w14:paraId="319589B6" w14:textId="77777777" w:rsidTr="00A441BA">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548" w:type="dxa"/>
                  <w:hideMark/>
                </w:tcPr>
                <w:p w14:paraId="38E818E9" w14:textId="77777777" w:rsidR="00A13819" w:rsidRPr="00BC0456" w:rsidRDefault="00A13819" w:rsidP="00091483">
                  <w:pPr>
                    <w:framePr w:hSpace="180" w:wrap="around" w:vAnchor="text" w:hAnchor="margin" w:x="-307" w:y="79"/>
                    <w:rPr>
                      <w:lang w:val="en-US" w:eastAsia="en-GB"/>
                    </w:rPr>
                  </w:pPr>
                  <w:r w:rsidRPr="00BC0456">
                    <w:rPr>
                      <w:lang w:val="en-US" w:eastAsia="en-GB"/>
                    </w:rPr>
                    <w:t>Cambridge</w:t>
                  </w:r>
                </w:p>
              </w:tc>
              <w:tc>
                <w:tcPr>
                  <w:tcW w:w="1550" w:type="dxa"/>
                  <w:hideMark/>
                </w:tcPr>
                <w:p w14:paraId="3B106D80" w14:textId="77777777" w:rsidR="00A13819" w:rsidRPr="00BC0456" w:rsidRDefault="00A13819" w:rsidP="00091483">
                  <w:pPr>
                    <w:framePr w:hSpace="180" w:wrap="around" w:vAnchor="text" w:hAnchor="margin" w:x="-307" w:y="79"/>
                    <w:cnfStyle w:val="100000000000" w:firstRow="1" w:lastRow="0" w:firstColumn="0" w:lastColumn="0" w:oddVBand="0" w:evenVBand="0" w:oddHBand="0" w:evenHBand="0" w:firstRowFirstColumn="0" w:firstRowLastColumn="0" w:lastRowFirstColumn="0" w:lastRowLastColumn="0"/>
                    <w:rPr>
                      <w:lang w:val="en-US" w:eastAsia="en-GB"/>
                    </w:rPr>
                  </w:pPr>
                  <w:r w:rsidRPr="00BC0456">
                    <w:rPr>
                      <w:lang w:val="en-US" w:eastAsia="en-GB"/>
                    </w:rPr>
                    <w:t>East Cambs</w:t>
                  </w:r>
                </w:p>
              </w:tc>
              <w:tc>
                <w:tcPr>
                  <w:tcW w:w="1551" w:type="dxa"/>
                  <w:hideMark/>
                </w:tcPr>
                <w:p w14:paraId="00458C97" w14:textId="77777777" w:rsidR="00A13819" w:rsidRPr="00BC0456" w:rsidRDefault="00A13819" w:rsidP="00091483">
                  <w:pPr>
                    <w:framePr w:hSpace="180" w:wrap="around" w:vAnchor="text" w:hAnchor="margin" w:x="-307" w:y="79"/>
                    <w:cnfStyle w:val="100000000000" w:firstRow="1" w:lastRow="0" w:firstColumn="0" w:lastColumn="0" w:oddVBand="0" w:evenVBand="0" w:oddHBand="0" w:evenHBand="0" w:firstRowFirstColumn="0" w:firstRowLastColumn="0" w:lastRowFirstColumn="0" w:lastRowLastColumn="0"/>
                    <w:rPr>
                      <w:lang w:val="en-US" w:eastAsia="en-GB"/>
                    </w:rPr>
                  </w:pPr>
                  <w:r w:rsidRPr="00BC0456">
                    <w:rPr>
                      <w:lang w:val="en-US" w:eastAsia="en-GB"/>
                    </w:rPr>
                    <w:t>Fenland</w:t>
                  </w:r>
                </w:p>
              </w:tc>
              <w:tc>
                <w:tcPr>
                  <w:tcW w:w="1551" w:type="dxa"/>
                  <w:hideMark/>
                </w:tcPr>
                <w:p w14:paraId="072F1C1B" w14:textId="77777777" w:rsidR="00A13819" w:rsidRPr="00BC0456" w:rsidRDefault="00A13819" w:rsidP="00091483">
                  <w:pPr>
                    <w:framePr w:hSpace="180" w:wrap="around" w:vAnchor="text" w:hAnchor="margin" w:x="-307" w:y="79"/>
                    <w:cnfStyle w:val="100000000000" w:firstRow="1" w:lastRow="0" w:firstColumn="0" w:lastColumn="0" w:oddVBand="0" w:evenVBand="0" w:oddHBand="0" w:evenHBand="0" w:firstRowFirstColumn="0" w:firstRowLastColumn="0" w:lastRowFirstColumn="0" w:lastRowLastColumn="0"/>
                    <w:rPr>
                      <w:lang w:val="en-US" w:eastAsia="en-GB"/>
                    </w:rPr>
                  </w:pPr>
                  <w:r w:rsidRPr="00BC0456">
                    <w:rPr>
                      <w:lang w:val="en-US" w:eastAsia="en-GB"/>
                    </w:rPr>
                    <w:t>Hunts</w:t>
                  </w:r>
                </w:p>
              </w:tc>
              <w:tc>
                <w:tcPr>
                  <w:tcW w:w="1551" w:type="dxa"/>
                  <w:hideMark/>
                </w:tcPr>
                <w:p w14:paraId="3555E179" w14:textId="77777777" w:rsidR="00A13819" w:rsidRPr="00BC0456" w:rsidRDefault="00A13819" w:rsidP="00091483">
                  <w:pPr>
                    <w:framePr w:hSpace="180" w:wrap="around" w:vAnchor="text" w:hAnchor="margin" w:x="-307" w:y="79"/>
                    <w:cnfStyle w:val="100000000000" w:firstRow="1" w:lastRow="0" w:firstColumn="0" w:lastColumn="0" w:oddVBand="0" w:evenVBand="0" w:oddHBand="0" w:evenHBand="0" w:firstRowFirstColumn="0" w:firstRowLastColumn="0" w:lastRowFirstColumn="0" w:lastRowLastColumn="0"/>
                    <w:rPr>
                      <w:lang w:val="en-US" w:eastAsia="en-GB"/>
                    </w:rPr>
                  </w:pPr>
                  <w:r w:rsidRPr="00BC0456">
                    <w:rPr>
                      <w:lang w:val="en-US"/>
                    </w:rPr>
                    <w:t>South Cambs</w:t>
                  </w:r>
                </w:p>
              </w:tc>
              <w:tc>
                <w:tcPr>
                  <w:tcW w:w="1551" w:type="dxa"/>
                  <w:hideMark/>
                </w:tcPr>
                <w:p w14:paraId="3AB7A083" w14:textId="77777777" w:rsidR="00A13819" w:rsidRPr="00BC0456" w:rsidRDefault="00A13819" w:rsidP="00091483">
                  <w:pPr>
                    <w:framePr w:hSpace="180" w:wrap="around" w:vAnchor="text" w:hAnchor="margin" w:x="-307" w:y="79"/>
                    <w:cnfStyle w:val="100000000000" w:firstRow="1" w:lastRow="0" w:firstColumn="0" w:lastColumn="0" w:oddVBand="0" w:evenVBand="0" w:oddHBand="0" w:evenHBand="0" w:firstRowFirstColumn="0" w:firstRowLastColumn="0" w:lastRowFirstColumn="0" w:lastRowLastColumn="0"/>
                    <w:rPr>
                      <w:lang w:val="en-US" w:eastAsia="en-GB"/>
                    </w:rPr>
                  </w:pPr>
                  <w:r w:rsidRPr="00BC0456">
                    <w:rPr>
                      <w:lang w:val="en-US" w:eastAsia="en-GB"/>
                    </w:rPr>
                    <w:t>West Suffolk</w:t>
                  </w:r>
                </w:p>
              </w:tc>
            </w:tr>
            <w:tr w:rsidR="00BC0456" w:rsidRPr="00BC0456" w14:paraId="17549F9A" w14:textId="77777777" w:rsidTr="00A441BA">
              <w:trPr>
                <w:trHeight w:val="149"/>
              </w:trPr>
              <w:tc>
                <w:tcPr>
                  <w:cnfStyle w:val="001000000000" w:firstRow="0" w:lastRow="0" w:firstColumn="1" w:lastColumn="0" w:oddVBand="0" w:evenVBand="0" w:oddHBand="0" w:evenHBand="0" w:firstRowFirstColumn="0" w:firstRowLastColumn="0" w:lastRowFirstColumn="0" w:lastRowLastColumn="0"/>
                  <w:tcW w:w="1548" w:type="dxa"/>
                  <w:hideMark/>
                </w:tcPr>
                <w:p w14:paraId="50D0CB41" w14:textId="77777777" w:rsidR="00A13819" w:rsidRPr="003A75AB" w:rsidRDefault="00A13819" w:rsidP="00091483">
                  <w:pPr>
                    <w:framePr w:hSpace="180" w:wrap="around" w:vAnchor="text" w:hAnchor="margin" w:x="-307" w:y="79"/>
                    <w:jc w:val="center"/>
                    <w:rPr>
                      <w:b/>
                      <w:bCs/>
                      <w:lang w:val="en-US" w:eastAsia="en-GB"/>
                    </w:rPr>
                  </w:pPr>
                  <w:r w:rsidRPr="004F4BA7">
                    <w:rPr>
                      <w:rFonts w:ascii="Arial" w:hAnsi="Arial" w:cstheme="minorBidi"/>
                      <w:lang w:val="en-US" w:eastAsia="en-GB"/>
                    </w:rPr>
                    <w:t>28,318</w:t>
                  </w:r>
                </w:p>
              </w:tc>
              <w:tc>
                <w:tcPr>
                  <w:tcW w:w="1550" w:type="dxa"/>
                  <w:hideMark/>
                </w:tcPr>
                <w:p w14:paraId="75126908" w14:textId="77777777" w:rsidR="00A13819" w:rsidRPr="003A75AB" w:rsidRDefault="00A13819" w:rsidP="00091483">
                  <w:pPr>
                    <w:framePr w:hSpace="180" w:wrap="around" w:vAnchor="text" w:hAnchor="margin" w:x="-307" w:y="79"/>
                    <w:cnfStyle w:val="000000000000" w:firstRow="0" w:lastRow="0" w:firstColumn="0" w:lastColumn="0" w:oddVBand="0" w:evenVBand="0" w:oddHBand="0" w:evenHBand="0" w:firstRowFirstColumn="0" w:firstRowLastColumn="0" w:lastRowFirstColumn="0" w:lastRowLastColumn="0"/>
                    <w:rPr>
                      <w:b/>
                      <w:bCs/>
                      <w:lang w:val="en-US" w:eastAsia="en-GB"/>
                    </w:rPr>
                  </w:pPr>
                  <w:r w:rsidRPr="004F4BA7">
                    <w:rPr>
                      <w:rFonts w:ascii="Arial" w:hAnsi="Arial" w:cstheme="minorBidi"/>
                      <w:lang w:val="en-US" w:eastAsia="en-GB"/>
                    </w:rPr>
                    <w:t>24,442</w:t>
                  </w:r>
                </w:p>
              </w:tc>
              <w:tc>
                <w:tcPr>
                  <w:tcW w:w="1551" w:type="dxa"/>
                  <w:hideMark/>
                </w:tcPr>
                <w:p w14:paraId="5E5451BD" w14:textId="77777777" w:rsidR="00A13819" w:rsidRPr="003A75AB" w:rsidRDefault="00A13819" w:rsidP="00091483">
                  <w:pPr>
                    <w:framePr w:hSpace="180" w:wrap="around" w:vAnchor="text" w:hAnchor="margin" w:x="-307" w:y="79"/>
                    <w:cnfStyle w:val="000000000000" w:firstRow="0" w:lastRow="0" w:firstColumn="0" w:lastColumn="0" w:oddVBand="0" w:evenVBand="0" w:oddHBand="0" w:evenHBand="0" w:firstRowFirstColumn="0" w:firstRowLastColumn="0" w:lastRowFirstColumn="0" w:lastRowLastColumn="0"/>
                    <w:rPr>
                      <w:lang w:val="en-US" w:eastAsia="en-GB"/>
                    </w:rPr>
                  </w:pPr>
                  <w:r w:rsidRPr="004F4BA7">
                    <w:rPr>
                      <w:rFonts w:ascii="Arial" w:hAnsi="Arial" w:cstheme="minorBidi"/>
                      <w:lang w:val="en-US" w:eastAsia="en-GB"/>
                    </w:rPr>
                    <w:t>18,270</w:t>
                  </w:r>
                </w:p>
              </w:tc>
              <w:tc>
                <w:tcPr>
                  <w:tcW w:w="1551" w:type="dxa"/>
                  <w:hideMark/>
                </w:tcPr>
                <w:p w14:paraId="63D0A6FC" w14:textId="77777777" w:rsidR="00A13819" w:rsidRPr="003A75AB" w:rsidRDefault="00A13819" w:rsidP="00091483">
                  <w:pPr>
                    <w:framePr w:hSpace="180" w:wrap="around" w:vAnchor="text" w:hAnchor="margin" w:x="-307" w:y="79"/>
                    <w:cnfStyle w:val="000000000000" w:firstRow="0" w:lastRow="0" w:firstColumn="0" w:lastColumn="0" w:oddVBand="0" w:evenVBand="0" w:oddHBand="0" w:evenHBand="0" w:firstRowFirstColumn="0" w:firstRowLastColumn="0" w:lastRowFirstColumn="0" w:lastRowLastColumn="0"/>
                    <w:rPr>
                      <w:b/>
                      <w:bCs/>
                      <w:lang w:val="en-US" w:eastAsia="en-GB"/>
                    </w:rPr>
                  </w:pPr>
                  <w:r w:rsidRPr="004F4BA7">
                    <w:rPr>
                      <w:rFonts w:ascii="Arial" w:hAnsi="Arial" w:cstheme="minorBidi"/>
                      <w:lang w:val="en-US" w:eastAsia="en-GB"/>
                    </w:rPr>
                    <w:t>36,209</w:t>
                  </w:r>
                </w:p>
              </w:tc>
              <w:tc>
                <w:tcPr>
                  <w:tcW w:w="1551" w:type="dxa"/>
                  <w:hideMark/>
                </w:tcPr>
                <w:p w14:paraId="56A2FDE4" w14:textId="77777777" w:rsidR="00A13819" w:rsidRPr="003A75AB" w:rsidRDefault="00A13819" w:rsidP="00091483">
                  <w:pPr>
                    <w:framePr w:hSpace="180" w:wrap="around" w:vAnchor="text" w:hAnchor="margin" w:x="-307" w:y="79"/>
                    <w:cnfStyle w:val="000000000000" w:firstRow="0" w:lastRow="0" w:firstColumn="0" w:lastColumn="0" w:oddVBand="0" w:evenVBand="0" w:oddHBand="0" w:evenHBand="0" w:firstRowFirstColumn="0" w:firstRowLastColumn="0" w:lastRowFirstColumn="0" w:lastRowLastColumn="0"/>
                    <w:rPr>
                      <w:b/>
                      <w:bCs/>
                      <w:lang w:val="en-US" w:eastAsia="en-GB"/>
                    </w:rPr>
                  </w:pPr>
                  <w:r w:rsidRPr="004F4BA7">
                    <w:rPr>
                      <w:rFonts w:ascii="Arial" w:hAnsi="Arial" w:cstheme="minorBidi"/>
                      <w:lang w:val="en-US" w:eastAsia="en-GB"/>
                    </w:rPr>
                    <w:t>41,942</w:t>
                  </w:r>
                </w:p>
              </w:tc>
              <w:tc>
                <w:tcPr>
                  <w:tcW w:w="1551" w:type="dxa"/>
                  <w:hideMark/>
                </w:tcPr>
                <w:p w14:paraId="45F306B1" w14:textId="77777777" w:rsidR="00A13819" w:rsidRPr="003A75AB" w:rsidRDefault="00A13819" w:rsidP="00091483">
                  <w:pPr>
                    <w:framePr w:hSpace="180" w:wrap="around" w:vAnchor="text" w:hAnchor="margin" w:x="-307" w:y="79"/>
                    <w:cnfStyle w:val="000000000000" w:firstRow="0" w:lastRow="0" w:firstColumn="0" w:lastColumn="0" w:oddVBand="0" w:evenVBand="0" w:oddHBand="0" w:evenHBand="0" w:firstRowFirstColumn="0" w:firstRowLastColumn="0" w:lastRowFirstColumn="0" w:lastRowLastColumn="0"/>
                    <w:rPr>
                      <w:b/>
                      <w:bCs/>
                      <w:lang w:val="en-US" w:eastAsia="en-GB"/>
                    </w:rPr>
                  </w:pPr>
                  <w:r w:rsidRPr="004F4BA7">
                    <w:rPr>
                      <w:rFonts w:ascii="Arial" w:hAnsi="Arial" w:cstheme="minorHAnsi"/>
                      <w:lang w:val="en-US" w:eastAsia="en-GB"/>
                    </w:rPr>
                    <w:t>32,279</w:t>
                  </w:r>
                </w:p>
              </w:tc>
            </w:tr>
          </w:tbl>
          <w:p w14:paraId="247B8E9E" w14:textId="77777777" w:rsidR="00A13819" w:rsidRDefault="00A13819" w:rsidP="00A441BA">
            <w:pPr>
              <w:pStyle w:val="10BulletBodytext"/>
              <w:numPr>
                <w:ilvl w:val="0"/>
                <w:numId w:val="0"/>
              </w:numPr>
              <w:ind w:left="1211"/>
            </w:pPr>
          </w:p>
          <w:p w14:paraId="771AA9B7" w14:textId="331B1BAA" w:rsidR="00FE21B9" w:rsidRPr="00281678" w:rsidRDefault="00A13819" w:rsidP="00A441BA">
            <w:pPr>
              <w:pStyle w:val="ListParagraph"/>
              <w:numPr>
                <w:ilvl w:val="0"/>
                <w:numId w:val="0"/>
              </w:numPr>
              <w:ind w:left="426"/>
              <w:rPr>
                <w:b/>
              </w:rPr>
            </w:pPr>
            <w:r>
              <w:t>This level of population growth is applied to the remainder of this report.</w:t>
            </w:r>
          </w:p>
          <w:bookmarkEnd w:id="21"/>
          <w:bookmarkEnd w:id="22"/>
          <w:p w14:paraId="23F0A00E" w14:textId="158D01E3" w:rsidR="001E79A4" w:rsidRPr="00281678" w:rsidRDefault="001E79A4" w:rsidP="00A441BA">
            <w:pPr>
              <w:pStyle w:val="10BulletBodytext"/>
              <w:numPr>
                <w:ilvl w:val="0"/>
                <w:numId w:val="0"/>
              </w:numPr>
            </w:pPr>
          </w:p>
        </w:tc>
      </w:tr>
    </w:tbl>
    <w:p w14:paraId="1792161C" w14:textId="236E9EDA" w:rsidR="00D95251" w:rsidRDefault="007D0FBF" w:rsidP="007D0FBF">
      <w:pPr>
        <w:pStyle w:val="Heading1"/>
      </w:pPr>
      <w:bookmarkStart w:id="23" w:name="_Toc79590823"/>
      <w:r>
        <w:lastRenderedPageBreak/>
        <w:t>A</w:t>
      </w:r>
      <w:r w:rsidR="00D95251" w:rsidRPr="00767420">
        <w:t>ffordable housing need</w:t>
      </w:r>
      <w:bookmarkEnd w:id="23"/>
    </w:p>
    <w:p w14:paraId="6A2E6900" w14:textId="77777777" w:rsidR="00A13819" w:rsidRDefault="00A13819" w:rsidP="007D0FBF">
      <w:pPr>
        <w:pStyle w:val="Heading2"/>
      </w:pPr>
      <w:r>
        <w:t>Introduction</w:t>
      </w:r>
    </w:p>
    <w:p w14:paraId="117F1E16" w14:textId="7C171D0A" w:rsidR="00A13819" w:rsidRPr="007D0FBF" w:rsidRDefault="00A13819" w:rsidP="007D0FBF">
      <w:pPr>
        <w:pStyle w:val="11Bodytext"/>
      </w:pPr>
      <w:r w:rsidRPr="007D0FBF">
        <w:t xml:space="preserve">This section provides an assessment of the need for affordable housing in Cambridgeshire and West Suffolk. The analysis follows the PPG (Sections 2a-018 to 2a-024) to provide an assessment of the annual need for affordable housing. </w:t>
      </w:r>
    </w:p>
    <w:p w14:paraId="54B1F9D9" w14:textId="77777777" w:rsidR="00A13819" w:rsidRPr="007D0FBF" w:rsidRDefault="00A13819" w:rsidP="007D0FBF">
      <w:pPr>
        <w:pStyle w:val="11Bodytext"/>
      </w:pPr>
      <w:r w:rsidRPr="007D0FBF">
        <w:t xml:space="preserve">The section provides two main outputs, linked to Annex 2 of the NPPF – this is firstly an assessment of the need for social/affordable rented housing (including affordable private rent as part of a Build to </w:t>
      </w:r>
      <w:proofErr w:type="gramStart"/>
      <w:r w:rsidRPr="007D0FBF">
        <w:t>Rent  (</w:t>
      </w:r>
      <w:proofErr w:type="gramEnd"/>
      <w:r w:rsidRPr="007D0FBF">
        <w:t>BTR) Scheme) and secondly to consider the need for affordable home ownership products.   In addition, we have also provided some commentary on the emerging “First Homes” tenure.</w:t>
      </w:r>
    </w:p>
    <w:p w14:paraId="4ACADB17" w14:textId="77777777" w:rsidR="00A13819" w:rsidRDefault="00A13819" w:rsidP="007D0FBF">
      <w:pPr>
        <w:pStyle w:val="Heading2"/>
      </w:pPr>
      <w:r>
        <w:t xml:space="preserve">Methodology - Affordable Homes </w:t>
      </w:r>
      <w:proofErr w:type="gramStart"/>
      <w:r>
        <w:t>To</w:t>
      </w:r>
      <w:proofErr w:type="gramEnd"/>
      <w:r>
        <w:t xml:space="preserve"> Rent</w:t>
      </w:r>
    </w:p>
    <w:p w14:paraId="6343D25A" w14:textId="77777777" w:rsidR="00A13819" w:rsidRDefault="00A13819" w:rsidP="007D0FBF">
      <w:pPr>
        <w:pStyle w:val="11Bodytext"/>
      </w:pPr>
      <w:r>
        <w:t>The method for studying the need for affordable housing has been enshrined in Government planning practice guidance for many years, with an established approach to look at the number of households who are unable to afford market housing (to either rent or buy). The methodology for looking at the need for rented (social/affordable) housing considers the following:</w:t>
      </w:r>
    </w:p>
    <w:p w14:paraId="3BE9AE19" w14:textId="77777777" w:rsidR="00A13819" w:rsidRPr="00477FF3" w:rsidRDefault="00A13819" w:rsidP="00097650">
      <w:pPr>
        <w:pStyle w:val="10BulletBodytext"/>
      </w:pPr>
      <w:r w:rsidRPr="00477FF3">
        <w:rPr>
          <w:b/>
        </w:rPr>
        <w:t>Current affordable housing need</w:t>
      </w:r>
      <w:r w:rsidRPr="00477FF3">
        <w:t>: an estimate of the number of households who have a need now, at the point of the assessment, based on a range of data modelled from local information – this figure is then annualised to meet the current need over some time;</w:t>
      </w:r>
    </w:p>
    <w:p w14:paraId="0EC8C209" w14:textId="77777777" w:rsidR="00A13819" w:rsidRPr="00477FF3" w:rsidRDefault="00A13819" w:rsidP="00097650">
      <w:pPr>
        <w:pStyle w:val="10BulletBodytext"/>
      </w:pPr>
      <w:r w:rsidRPr="00477FF3">
        <w:rPr>
          <w:b/>
        </w:rPr>
        <w:t>Projected newly forming households in need</w:t>
      </w:r>
      <w:r w:rsidRPr="00477FF3">
        <w:t>: using demographic projections to establish gross household formation, and then applying an affordability test to estimate numbers of such households unable to afford market housing;</w:t>
      </w:r>
    </w:p>
    <w:p w14:paraId="46C89BA6" w14:textId="77777777" w:rsidR="00A13819" w:rsidRPr="00477FF3" w:rsidRDefault="00A13819" w:rsidP="00097650">
      <w:pPr>
        <w:pStyle w:val="10BulletBodytext"/>
      </w:pPr>
      <w:r w:rsidRPr="00477FF3">
        <w:rPr>
          <w:b/>
        </w:rPr>
        <w:t>Existing households falling into need</w:t>
      </w:r>
      <w:r w:rsidRPr="00477FF3">
        <w:t>: based on studying past trends in the types of households who have accessed social/affordable rent housing; and</w:t>
      </w:r>
    </w:p>
    <w:p w14:paraId="19081AFB" w14:textId="77777777" w:rsidR="00A13819" w:rsidRPr="00477FF3" w:rsidRDefault="00A13819" w:rsidP="00097650">
      <w:pPr>
        <w:pStyle w:val="10BulletBodytext"/>
      </w:pPr>
      <w:r w:rsidRPr="00477FF3">
        <w:rPr>
          <w:b/>
        </w:rPr>
        <w:t>Supply of affordable housing</w:t>
      </w:r>
      <w:r w:rsidRPr="00477FF3">
        <w:t>: an estimate of the likely number of lettings that will become available from the existing social/affordable housing stock.</w:t>
      </w:r>
    </w:p>
    <w:p w14:paraId="66FFC355" w14:textId="77777777" w:rsidR="00A13819" w:rsidRDefault="00A13819" w:rsidP="007D0FBF">
      <w:pPr>
        <w:pStyle w:val="11Bodytext"/>
      </w:pPr>
      <w:r>
        <w:t xml:space="preserve">The first three bullet points above are added together to identify a gross need, from which the supply of relets of existing properties is subtracted to identify a net annual need for additional affordable/social housing to rent. </w:t>
      </w:r>
    </w:p>
    <w:p w14:paraId="7CF57DE6" w14:textId="77777777" w:rsidR="00A13819" w:rsidRDefault="00A13819" w:rsidP="007D0FBF">
      <w:pPr>
        <w:pStyle w:val="11Bodytext"/>
      </w:pPr>
      <w:r>
        <w:lastRenderedPageBreak/>
        <w:t xml:space="preserve">As the income necessary to afford to rent privately without financial support is typically lower than that needed to buy on the open market, the ability of households to afford private rents has typically influenced whether or not they need affordable housing to rent.  </w:t>
      </w:r>
    </w:p>
    <w:p w14:paraId="70EBE194" w14:textId="77777777" w:rsidR="00A13819" w:rsidRDefault="00A13819" w:rsidP="007D0FBF">
      <w:pPr>
        <w:pStyle w:val="11Bodytext"/>
      </w:pPr>
      <w:r>
        <w:t>For some of the analysis in this section, it has been necessary to draw on other sources of data (applied to local information) to make estimates of the need. The approach is consistent with the PPG (Housing and economic needs assessment – see 2a-020 for example) and includes linking local Census data to national changes (as evidenced in national surveys such as the English Housing Survey).</w:t>
      </w:r>
    </w:p>
    <w:p w14:paraId="2439E2E1" w14:textId="77777777" w:rsidR="00A13819" w:rsidRDefault="00A13819" w:rsidP="007D0FBF">
      <w:pPr>
        <w:pStyle w:val="11Bodytext"/>
      </w:pPr>
      <w:r>
        <w:t>Additionally, information drawn from local surveys previously undertaken by Justin Gardner Consulting across the country has been used to look at potential prevalence rates for some elements of need where comprehensive local data is lacking. This includes considering what proportion of households in the PRS   might need an affordable home due to potential loss of accommodation (</w:t>
      </w:r>
      <w:proofErr w:type="gramStart"/>
      <w:r>
        <w:t>e.g.</w:t>
      </w:r>
      <w:proofErr w:type="gramEnd"/>
      <w:r>
        <w:t xml:space="preserve"> tenancies ending). This approach is considered to provide a reasonable view about likely local needs and is an approach that has been accepted through a range of Local Plan Examinations.</w:t>
      </w:r>
    </w:p>
    <w:p w14:paraId="5BC18BCE" w14:textId="77777777" w:rsidR="00A13819" w:rsidRDefault="00A13819" w:rsidP="007D0FBF">
      <w:pPr>
        <w:pStyle w:val="Heading2"/>
      </w:pPr>
      <w:r>
        <w:t xml:space="preserve">Methodology - Affordable Home Ownership </w:t>
      </w:r>
    </w:p>
    <w:p w14:paraId="2B1D5546" w14:textId="77777777" w:rsidR="00A13819" w:rsidRDefault="00A13819" w:rsidP="007D0FBF">
      <w:pPr>
        <w:pStyle w:val="11Bodytext"/>
      </w:pPr>
      <w:r>
        <w:t>The NPPF and associated guidance have expanded the definition of those in affordable housing need to include households who might be able to rent without financial support but who aspire to own a home and require support to do so. Paragraph 20 of the PPG (Reference ID: 2a-020-20190220) also includes households that “</w:t>
      </w:r>
      <w:r w:rsidRPr="00526C6E">
        <w:rPr>
          <w:i/>
          <w:iCs/>
        </w:rPr>
        <w:t>cannot afford their own homes, either to rent or to own, where that is their aspiration</w:t>
      </w:r>
      <w:r>
        <w:t xml:space="preserve">” as having an affordable housing need. </w:t>
      </w:r>
    </w:p>
    <w:p w14:paraId="1F5D2670" w14:textId="77777777" w:rsidR="00A13819" w:rsidRDefault="00A13819" w:rsidP="007D0FBF">
      <w:pPr>
        <w:pStyle w:val="11Bodytext"/>
      </w:pPr>
      <w:r>
        <w:t xml:space="preserve">This expanded definition has been introduced by the Government to support an increase to home ownership in response to evidence of declining home ownership and growth in private renting over the last 10-15 years. </w:t>
      </w:r>
    </w:p>
    <w:p w14:paraId="53985F84" w14:textId="77777777" w:rsidR="00A13819" w:rsidRDefault="00A13819" w:rsidP="007D0FBF">
      <w:pPr>
        <w:pStyle w:val="11Bodytext"/>
      </w:pPr>
      <w:r>
        <w:lastRenderedPageBreak/>
        <w:t>The PPG does not provide specific guidance on how the needs of such households should be assessed and so this study adopts a method that broadly follows the same stages as the need for social/affordable rented accommodation. The method is summarised below (and expanded on in the relevant section below).</w:t>
      </w:r>
    </w:p>
    <w:p w14:paraId="17953A13" w14:textId="77777777" w:rsidR="00A13819" w:rsidRPr="00477FF3" w:rsidRDefault="00A13819" w:rsidP="00097650">
      <w:pPr>
        <w:pStyle w:val="10BulletBodytext"/>
      </w:pPr>
      <w:r w:rsidRPr="00477FF3">
        <w:rPr>
          <w:b/>
        </w:rPr>
        <w:t>Current affordable housing need</w:t>
      </w:r>
      <w:r w:rsidRPr="00477FF3">
        <w:t>: an estimate of the number of households living in private rented accommodation who would like or expect to become an owner now (taken to be over the next two years) and who can afford a private rent but not an outright purchase – this figure is then annualised to meet the current need over some time;</w:t>
      </w:r>
    </w:p>
    <w:p w14:paraId="52E1ACB0" w14:textId="77777777" w:rsidR="00A13819" w:rsidRPr="00477FF3" w:rsidRDefault="00A13819" w:rsidP="00097650">
      <w:pPr>
        <w:pStyle w:val="10BulletBodytext"/>
      </w:pPr>
      <w:r w:rsidRPr="00477FF3">
        <w:rPr>
          <w:b/>
        </w:rPr>
        <w:t>Projected newly forming households in need</w:t>
      </w:r>
      <w:r w:rsidRPr="00477FF3">
        <w:t>: using demographic projections to establish gross household formation, and then applying an affordability test to estimate numbers of such households able to afford to privately rent, but not market housing to buy;</w:t>
      </w:r>
    </w:p>
    <w:p w14:paraId="36AAC836" w14:textId="77777777" w:rsidR="00A13819" w:rsidRPr="00477FF3" w:rsidRDefault="00A13819" w:rsidP="00097650">
      <w:pPr>
        <w:pStyle w:val="10BulletBodytext"/>
      </w:pPr>
      <w:r w:rsidRPr="00477FF3">
        <w:rPr>
          <w:b/>
        </w:rPr>
        <w:t>Existing households falling into need</w:t>
      </w:r>
      <w:r w:rsidRPr="00477FF3">
        <w:t xml:space="preserve">: based on households in the </w:t>
      </w:r>
      <w:r>
        <w:t xml:space="preserve">PRS  </w:t>
      </w:r>
      <w:r w:rsidRPr="00477FF3">
        <w:t xml:space="preserve"> who would like or expect to become an owner at some point in the future (beyond 2-years) – again with the relevant affordability test applied;</w:t>
      </w:r>
    </w:p>
    <w:p w14:paraId="50CF8526" w14:textId="77777777" w:rsidR="00A13819" w:rsidRPr="00477FF3" w:rsidRDefault="00A13819" w:rsidP="00097650">
      <w:pPr>
        <w:pStyle w:val="10BulletBodytext"/>
      </w:pPr>
      <w:r w:rsidRPr="00477FF3">
        <w:rPr>
          <w:b/>
        </w:rPr>
        <w:t>Supply of affordable housing</w:t>
      </w:r>
      <w:r w:rsidRPr="00477FF3">
        <w:t>: an estimate of the likely number of homes that will become available to buy at a price below lower quartile and that could be accessed by those with a need for Affordable House Ownership (AHO) plus an allowance for resales of low cost home ownership homes (e.g. shared ownership).</w:t>
      </w:r>
    </w:p>
    <w:p w14:paraId="4433F239" w14:textId="77777777" w:rsidR="00A13819" w:rsidRDefault="00A13819" w:rsidP="007D0FBF">
      <w:pPr>
        <w:pStyle w:val="11Bodytext"/>
      </w:pPr>
      <w:r>
        <w:t>As with the need for social/affordable rented housing, the first three bullet points above are added together to identify a gross need, from which the supply of resales of existing properties is subtracted to identify a net annual need for additional affordable home ownership.</w:t>
      </w:r>
    </w:p>
    <w:p w14:paraId="17E0525F" w14:textId="77777777" w:rsidR="00A13819" w:rsidRDefault="00A13819" w:rsidP="007D0FBF">
      <w:pPr>
        <w:pStyle w:val="11Bodytext"/>
      </w:pPr>
      <w:r>
        <w:t>Whilst the need for social/affordable rent housing and affordable home ownership are analysed separately, several pieces of information are common to both assessments. In particular, this includes an understanding of local housing costs, incomes, and affordability. The sections below, therefore, look at these factors.</w:t>
      </w:r>
    </w:p>
    <w:p w14:paraId="13C4BBF0" w14:textId="77777777" w:rsidR="00A13819" w:rsidRPr="00477FF3" w:rsidRDefault="00A13819" w:rsidP="007D0FBF">
      <w:pPr>
        <w:pStyle w:val="Heading2"/>
      </w:pPr>
      <w:r w:rsidRPr="00477FF3">
        <w:t>Local House Prices and Rents</w:t>
      </w:r>
    </w:p>
    <w:p w14:paraId="7D6AAD37" w14:textId="77777777" w:rsidR="00A13819" w:rsidRDefault="00A13819" w:rsidP="007D0FBF">
      <w:pPr>
        <w:pStyle w:val="11Bodytext"/>
      </w:pPr>
      <w:r>
        <w:t xml:space="preserve">An important part of the affordable needs model is to establish the entry-level costs of housing to buy and rent. The affordable housing needs assessment compares prices and rents with the incomes of households to establish what proportion of households can meet their needs in the market, and what proportion require support and is thus defined as having an ‘affordable housing need’. </w:t>
      </w:r>
    </w:p>
    <w:p w14:paraId="00841EAE" w14:textId="77777777" w:rsidR="00A13819" w:rsidRDefault="00A13819" w:rsidP="007D0FBF">
      <w:pPr>
        <w:pStyle w:val="11Bodytext"/>
      </w:pPr>
      <w:r>
        <w:lastRenderedPageBreak/>
        <w:t>To establish affordable housing needs, the analysis focuses on overall housing costs (for all dwelling types and sizes</w:t>
      </w:r>
      <w:proofErr w:type="gramStart"/>
      <w:r>
        <w:t>);</w:t>
      </w:r>
      <w:proofErr w:type="gramEnd"/>
      <w:r>
        <w:t xml:space="preserve"> establishing, in numerical terms, the overall need for affordable housing. The analysis below considers the entry-level costs of housing to both buy and rent in all six local authorities. </w:t>
      </w:r>
    </w:p>
    <w:p w14:paraId="6799AAE3" w14:textId="77777777" w:rsidR="00A13819" w:rsidRDefault="00A13819" w:rsidP="007D0FBF">
      <w:pPr>
        <w:pStyle w:val="11Bodytext"/>
      </w:pPr>
      <w:r>
        <w:t>The approach has been to analyse Land Registry and Valuation Office Agency (VOA) data to establish lower quartile prices and rents. Using a lower quartile figure is consistent with the PPG and reflects the entry-level point into the market. It is worth noting that, while these properties provide a suitable benchmark in terms of price, they do not provide a guide to quality recognising that some of the very cheapest properties may require a level of investment to become suitable for habitation</w:t>
      </w:r>
    </w:p>
    <w:p w14:paraId="0D3DB0B8" w14:textId="77777777" w:rsidR="00A13819" w:rsidRDefault="00A13819" w:rsidP="007D0FBF">
      <w:pPr>
        <w:pStyle w:val="Heading3"/>
      </w:pPr>
      <w:r>
        <w:t>House prices</w:t>
      </w:r>
    </w:p>
    <w:p w14:paraId="12B13127" w14:textId="77777777" w:rsidR="00A13819" w:rsidRDefault="00A13819" w:rsidP="007D0FBF">
      <w:pPr>
        <w:pStyle w:val="11Bodytext"/>
      </w:pPr>
      <w:r>
        <w:t>Data from the Land Registry for the year to March 2020 (data for resales (</w:t>
      </w:r>
      <w:proofErr w:type="gramStart"/>
      <w:r>
        <w:t>i.e.</w:t>
      </w:r>
      <w:proofErr w:type="gramEnd"/>
      <w:r>
        <w:t xml:space="preserve"> excluding newbuild)) shows estimated lower quartile property prices by dwelling type. The data shows that entry-level costs to buy are estimated to start from about £77,000 for a flat in Fenland rising to over £500,000 for a detached home in Cambridge. </w:t>
      </w:r>
    </w:p>
    <w:p w14:paraId="32B76263" w14:textId="77777777" w:rsidR="00A13819" w:rsidRDefault="00A13819" w:rsidP="007D0FBF">
      <w:pPr>
        <w:pStyle w:val="11Bodytext"/>
      </w:pPr>
      <w:r>
        <w:t>There are some significant variations in house prices by area, with Cambridge showing the highest prices for all dwelling types. It should be noted that to some extent the ‘All Dwellings’ figure is influenced by the profile of homes sold in different areas. The ‘average’ lower quartile price of housing to buy across the HMA was £200,000.</w:t>
      </w:r>
    </w:p>
    <w:p w14:paraId="404632CD" w14:textId="77777777" w:rsidR="00A13819" w:rsidRDefault="00A13819" w:rsidP="003D5E23">
      <w:pPr>
        <w:pStyle w:val="Tableheading"/>
        <w:numPr>
          <w:ilvl w:val="0"/>
          <w:numId w:val="54"/>
        </w:numPr>
        <w:rPr>
          <w:lang w:eastAsia="en-US"/>
        </w:rPr>
      </w:pPr>
      <w:r>
        <w:rPr>
          <w:lang w:eastAsia="en-US"/>
        </w:rPr>
        <w:lastRenderedPageBreak/>
        <w:t>Lower quartile house prices by type (year to March 2020) – resales</w:t>
      </w:r>
    </w:p>
    <w:tbl>
      <w:tblPr>
        <w:tblStyle w:val="TableGridLight1"/>
        <w:tblW w:w="8556" w:type="dxa"/>
        <w:tblInd w:w="795" w:type="dxa"/>
        <w:tblLook w:val="04A0" w:firstRow="1" w:lastRow="0" w:firstColumn="1" w:lastColumn="0" w:noHBand="0" w:noVBand="1"/>
      </w:tblPr>
      <w:tblGrid>
        <w:gridCol w:w="1807"/>
        <w:gridCol w:w="1349"/>
        <w:gridCol w:w="1350"/>
        <w:gridCol w:w="1350"/>
        <w:gridCol w:w="1350"/>
        <w:gridCol w:w="1350"/>
      </w:tblGrid>
      <w:tr w:rsidR="00BC0456" w:rsidRPr="00BC0456" w14:paraId="0BBB6B20" w14:textId="77777777" w:rsidTr="004F4BA7">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807" w:type="dxa"/>
            <w:hideMark/>
          </w:tcPr>
          <w:p w14:paraId="6017BD36" w14:textId="77777777" w:rsidR="00A13819" w:rsidRPr="00BC0456" w:rsidRDefault="00A13819" w:rsidP="001D508A">
            <w:pPr>
              <w:keepNext/>
              <w:rPr>
                <w:lang w:eastAsia="en-GB"/>
              </w:rPr>
            </w:pPr>
            <w:r w:rsidRPr="00BC0456">
              <w:rPr>
                <w:lang w:eastAsia="en-GB"/>
              </w:rPr>
              <w:t> </w:t>
            </w:r>
          </w:p>
        </w:tc>
        <w:tc>
          <w:tcPr>
            <w:tcW w:w="1349" w:type="dxa"/>
            <w:hideMark/>
          </w:tcPr>
          <w:p w14:paraId="09C29930" w14:textId="77777777" w:rsidR="00A13819" w:rsidRPr="00BC0456" w:rsidRDefault="00A13819" w:rsidP="001D508A">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Flat/</w:t>
            </w:r>
          </w:p>
          <w:p w14:paraId="097B6E61" w14:textId="77777777" w:rsidR="00A13819" w:rsidRPr="00BC0456" w:rsidRDefault="00A13819" w:rsidP="001D508A">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maisonette</w:t>
            </w:r>
          </w:p>
        </w:tc>
        <w:tc>
          <w:tcPr>
            <w:tcW w:w="1350" w:type="dxa"/>
            <w:hideMark/>
          </w:tcPr>
          <w:p w14:paraId="5F462B98" w14:textId="77777777" w:rsidR="00A13819" w:rsidRPr="00BC0456" w:rsidRDefault="00A13819" w:rsidP="001D508A">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Terraced</w:t>
            </w:r>
          </w:p>
        </w:tc>
        <w:tc>
          <w:tcPr>
            <w:tcW w:w="1350" w:type="dxa"/>
            <w:hideMark/>
          </w:tcPr>
          <w:p w14:paraId="22035471" w14:textId="77777777" w:rsidR="00A13819" w:rsidRPr="00BC0456" w:rsidRDefault="00A13819" w:rsidP="001D508A">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Semi-Detached</w:t>
            </w:r>
          </w:p>
        </w:tc>
        <w:tc>
          <w:tcPr>
            <w:tcW w:w="1350" w:type="dxa"/>
            <w:hideMark/>
          </w:tcPr>
          <w:p w14:paraId="74CB2DF1" w14:textId="77777777" w:rsidR="00A13819" w:rsidRPr="00BC0456" w:rsidRDefault="00A13819" w:rsidP="001D508A">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Detached</w:t>
            </w:r>
          </w:p>
        </w:tc>
        <w:tc>
          <w:tcPr>
            <w:tcW w:w="1350" w:type="dxa"/>
            <w:hideMark/>
          </w:tcPr>
          <w:p w14:paraId="31AE6DEA" w14:textId="77777777" w:rsidR="00A13819" w:rsidRPr="00BC0456" w:rsidRDefault="00A13819" w:rsidP="001D508A">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All dwellings</w:t>
            </w:r>
          </w:p>
        </w:tc>
      </w:tr>
      <w:tr w:rsidR="00BC0456" w:rsidRPr="00BC0456" w14:paraId="1FE5ACFE"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3009582F" w14:textId="77777777" w:rsidR="00A13819" w:rsidRPr="00BC0456" w:rsidRDefault="00A13819" w:rsidP="001D508A">
            <w:pPr>
              <w:keepNext/>
              <w:rPr>
                <w:lang w:eastAsia="en-GB"/>
              </w:rPr>
            </w:pPr>
            <w:r w:rsidRPr="00BC0456">
              <w:rPr>
                <w:lang w:eastAsia="en-GB"/>
              </w:rPr>
              <w:t>Cambridge</w:t>
            </w:r>
          </w:p>
        </w:tc>
        <w:tc>
          <w:tcPr>
            <w:tcW w:w="1349" w:type="dxa"/>
            <w:hideMark/>
          </w:tcPr>
          <w:p w14:paraId="7188C755"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£217,000</w:t>
            </w:r>
          </w:p>
        </w:tc>
        <w:tc>
          <w:tcPr>
            <w:tcW w:w="1350" w:type="dxa"/>
            <w:hideMark/>
          </w:tcPr>
          <w:p w14:paraId="2753F3ED"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£360,000</w:t>
            </w:r>
          </w:p>
        </w:tc>
        <w:tc>
          <w:tcPr>
            <w:tcW w:w="1350" w:type="dxa"/>
            <w:hideMark/>
          </w:tcPr>
          <w:p w14:paraId="5AC1A23D"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£392,000</w:t>
            </w:r>
          </w:p>
        </w:tc>
        <w:tc>
          <w:tcPr>
            <w:tcW w:w="1350" w:type="dxa"/>
            <w:hideMark/>
          </w:tcPr>
          <w:p w14:paraId="5179E184"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£526,000</w:t>
            </w:r>
          </w:p>
        </w:tc>
        <w:tc>
          <w:tcPr>
            <w:tcW w:w="1350" w:type="dxa"/>
            <w:hideMark/>
          </w:tcPr>
          <w:p w14:paraId="4BCD593F"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£322,000</w:t>
            </w:r>
          </w:p>
        </w:tc>
      </w:tr>
      <w:tr w:rsidR="00BC0456" w:rsidRPr="00BC0456" w14:paraId="65EB5978"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492A3D5A" w14:textId="77777777" w:rsidR="00A13819" w:rsidRPr="00BC0456" w:rsidRDefault="00A13819" w:rsidP="001D508A">
            <w:pPr>
              <w:keepNext/>
              <w:rPr>
                <w:lang w:eastAsia="en-GB"/>
              </w:rPr>
            </w:pPr>
            <w:r w:rsidRPr="00BC0456">
              <w:rPr>
                <w:lang w:eastAsia="en-GB"/>
              </w:rPr>
              <w:t>East Cambridgeshire</w:t>
            </w:r>
          </w:p>
        </w:tc>
        <w:tc>
          <w:tcPr>
            <w:tcW w:w="1349" w:type="dxa"/>
            <w:hideMark/>
          </w:tcPr>
          <w:p w14:paraId="74807E8F"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£122,000</w:t>
            </w:r>
          </w:p>
        </w:tc>
        <w:tc>
          <w:tcPr>
            <w:tcW w:w="1350" w:type="dxa"/>
            <w:hideMark/>
          </w:tcPr>
          <w:p w14:paraId="00841E20"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£192,000</w:t>
            </w:r>
          </w:p>
        </w:tc>
        <w:tc>
          <w:tcPr>
            <w:tcW w:w="1350" w:type="dxa"/>
            <w:hideMark/>
          </w:tcPr>
          <w:p w14:paraId="678473EF"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£219,000</w:t>
            </w:r>
          </w:p>
        </w:tc>
        <w:tc>
          <w:tcPr>
            <w:tcW w:w="1350" w:type="dxa"/>
            <w:hideMark/>
          </w:tcPr>
          <w:p w14:paraId="5F608E83"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£298,000</w:t>
            </w:r>
          </w:p>
        </w:tc>
        <w:tc>
          <w:tcPr>
            <w:tcW w:w="1350" w:type="dxa"/>
            <w:hideMark/>
          </w:tcPr>
          <w:p w14:paraId="1648121B"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£221,000</w:t>
            </w:r>
          </w:p>
        </w:tc>
      </w:tr>
      <w:tr w:rsidR="00BC0456" w:rsidRPr="00BC0456" w14:paraId="7C949EDB"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10D42B43" w14:textId="77777777" w:rsidR="00A13819" w:rsidRPr="00BC0456" w:rsidRDefault="00A13819" w:rsidP="001D508A">
            <w:pPr>
              <w:keepNext/>
              <w:rPr>
                <w:lang w:eastAsia="en-GB"/>
              </w:rPr>
            </w:pPr>
            <w:r w:rsidRPr="00BC0456">
              <w:rPr>
                <w:lang w:eastAsia="en-GB"/>
              </w:rPr>
              <w:t>Fenland</w:t>
            </w:r>
          </w:p>
        </w:tc>
        <w:tc>
          <w:tcPr>
            <w:tcW w:w="1349" w:type="dxa"/>
            <w:hideMark/>
          </w:tcPr>
          <w:p w14:paraId="368C5493"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£77,000</w:t>
            </w:r>
          </w:p>
        </w:tc>
        <w:tc>
          <w:tcPr>
            <w:tcW w:w="1350" w:type="dxa"/>
            <w:hideMark/>
          </w:tcPr>
          <w:p w14:paraId="40955DD3"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£120,000</w:t>
            </w:r>
          </w:p>
        </w:tc>
        <w:tc>
          <w:tcPr>
            <w:tcW w:w="1350" w:type="dxa"/>
            <w:hideMark/>
          </w:tcPr>
          <w:p w14:paraId="3D3D3A00"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£145,000</w:t>
            </w:r>
          </w:p>
        </w:tc>
        <w:tc>
          <w:tcPr>
            <w:tcW w:w="1350" w:type="dxa"/>
            <w:hideMark/>
          </w:tcPr>
          <w:p w14:paraId="70E6DD60"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£194,000</w:t>
            </w:r>
          </w:p>
        </w:tc>
        <w:tc>
          <w:tcPr>
            <w:tcW w:w="1350" w:type="dxa"/>
            <w:hideMark/>
          </w:tcPr>
          <w:p w14:paraId="63C7A1BC"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£149,000</w:t>
            </w:r>
          </w:p>
        </w:tc>
      </w:tr>
      <w:tr w:rsidR="00BC0456" w:rsidRPr="00BC0456" w14:paraId="165F8132"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6C9F3789" w14:textId="77777777" w:rsidR="00A13819" w:rsidRPr="00BC0456" w:rsidRDefault="00A13819" w:rsidP="001D508A">
            <w:pPr>
              <w:keepNext/>
              <w:rPr>
                <w:lang w:eastAsia="en-GB"/>
              </w:rPr>
            </w:pPr>
            <w:r w:rsidRPr="00BC0456">
              <w:rPr>
                <w:lang w:eastAsia="en-GB"/>
              </w:rPr>
              <w:t>Huntingdonshire</w:t>
            </w:r>
          </w:p>
        </w:tc>
        <w:tc>
          <w:tcPr>
            <w:tcW w:w="1349" w:type="dxa"/>
            <w:hideMark/>
          </w:tcPr>
          <w:p w14:paraId="332265E7"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£126,000</w:t>
            </w:r>
          </w:p>
        </w:tc>
        <w:tc>
          <w:tcPr>
            <w:tcW w:w="1350" w:type="dxa"/>
            <w:hideMark/>
          </w:tcPr>
          <w:p w14:paraId="49AC0E62"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£180,000</w:t>
            </w:r>
          </w:p>
        </w:tc>
        <w:tc>
          <w:tcPr>
            <w:tcW w:w="1350" w:type="dxa"/>
            <w:hideMark/>
          </w:tcPr>
          <w:p w14:paraId="68B099AB"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£215,000</w:t>
            </w:r>
          </w:p>
        </w:tc>
        <w:tc>
          <w:tcPr>
            <w:tcW w:w="1350" w:type="dxa"/>
            <w:hideMark/>
          </w:tcPr>
          <w:p w14:paraId="5A042DAE"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£289,000</w:t>
            </w:r>
          </w:p>
        </w:tc>
        <w:tc>
          <w:tcPr>
            <w:tcW w:w="1350" w:type="dxa"/>
            <w:hideMark/>
          </w:tcPr>
          <w:p w14:paraId="6D595003"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£206,000</w:t>
            </w:r>
          </w:p>
        </w:tc>
      </w:tr>
      <w:tr w:rsidR="00BC0456" w:rsidRPr="00BC0456" w14:paraId="1727EDDE"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68EC299D" w14:textId="77777777" w:rsidR="00A13819" w:rsidRPr="00BC0456" w:rsidRDefault="00A13819" w:rsidP="001D508A">
            <w:pPr>
              <w:keepNext/>
              <w:rPr>
                <w:lang w:eastAsia="en-GB"/>
              </w:rPr>
            </w:pPr>
            <w:r w:rsidRPr="00BC0456">
              <w:rPr>
                <w:bCs/>
                <w:lang w:eastAsia="en-GB"/>
              </w:rPr>
              <w:t>South Cambridgeshire</w:t>
            </w:r>
          </w:p>
        </w:tc>
        <w:tc>
          <w:tcPr>
            <w:tcW w:w="1349" w:type="dxa"/>
            <w:hideMark/>
          </w:tcPr>
          <w:p w14:paraId="47054CB1"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£151,000</w:t>
            </w:r>
          </w:p>
        </w:tc>
        <w:tc>
          <w:tcPr>
            <w:tcW w:w="1350" w:type="dxa"/>
            <w:hideMark/>
          </w:tcPr>
          <w:p w14:paraId="315C0848"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£234,000</w:t>
            </w:r>
          </w:p>
        </w:tc>
        <w:tc>
          <w:tcPr>
            <w:tcW w:w="1350" w:type="dxa"/>
            <w:hideMark/>
          </w:tcPr>
          <w:p w14:paraId="32B66DCD"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£283,000</w:t>
            </w:r>
          </w:p>
        </w:tc>
        <w:tc>
          <w:tcPr>
            <w:tcW w:w="1350" w:type="dxa"/>
            <w:hideMark/>
          </w:tcPr>
          <w:p w14:paraId="1B9F1B6E"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£391,000</w:t>
            </w:r>
          </w:p>
        </w:tc>
        <w:tc>
          <w:tcPr>
            <w:tcW w:w="1350" w:type="dxa"/>
            <w:hideMark/>
          </w:tcPr>
          <w:p w14:paraId="41EC0927"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£274,000</w:t>
            </w:r>
          </w:p>
        </w:tc>
      </w:tr>
      <w:tr w:rsidR="00BC0456" w:rsidRPr="00BC0456" w14:paraId="29997D52"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71DD292C" w14:textId="77777777" w:rsidR="00A13819" w:rsidRPr="00BC0456" w:rsidRDefault="00A13819" w:rsidP="001D508A">
            <w:pPr>
              <w:keepNext/>
              <w:rPr>
                <w:lang w:eastAsia="en-GB"/>
              </w:rPr>
            </w:pPr>
            <w:r w:rsidRPr="00BC0456">
              <w:rPr>
                <w:lang w:eastAsia="en-GB"/>
              </w:rPr>
              <w:t>West Suffolk</w:t>
            </w:r>
          </w:p>
        </w:tc>
        <w:tc>
          <w:tcPr>
            <w:tcW w:w="1349" w:type="dxa"/>
            <w:hideMark/>
          </w:tcPr>
          <w:p w14:paraId="4C8180C8"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£126,000</w:t>
            </w:r>
          </w:p>
        </w:tc>
        <w:tc>
          <w:tcPr>
            <w:tcW w:w="1350" w:type="dxa"/>
            <w:hideMark/>
          </w:tcPr>
          <w:p w14:paraId="1F3665FB"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£180,000</w:t>
            </w:r>
          </w:p>
        </w:tc>
        <w:tc>
          <w:tcPr>
            <w:tcW w:w="1350" w:type="dxa"/>
            <w:hideMark/>
          </w:tcPr>
          <w:p w14:paraId="04F30230"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£202,000</w:t>
            </w:r>
          </w:p>
        </w:tc>
        <w:tc>
          <w:tcPr>
            <w:tcW w:w="1350" w:type="dxa"/>
            <w:hideMark/>
          </w:tcPr>
          <w:p w14:paraId="79A7A128"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£267,000</w:t>
            </w:r>
          </w:p>
        </w:tc>
        <w:tc>
          <w:tcPr>
            <w:tcW w:w="1350" w:type="dxa"/>
            <w:hideMark/>
          </w:tcPr>
          <w:p w14:paraId="2EDE84CD" w14:textId="77777777" w:rsidR="00A13819" w:rsidRPr="00BC0456" w:rsidRDefault="00A13819"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£195,000</w:t>
            </w:r>
          </w:p>
        </w:tc>
      </w:tr>
      <w:tr w:rsidR="00BC0456" w:rsidRPr="00BC0456" w14:paraId="54246404"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807" w:type="dxa"/>
            <w:hideMark/>
          </w:tcPr>
          <w:p w14:paraId="00698C42" w14:textId="77777777" w:rsidR="00A13819" w:rsidRPr="004F4BA7" w:rsidRDefault="00A13819" w:rsidP="001D508A">
            <w:pPr>
              <w:keepNext/>
              <w:rPr>
                <w:b/>
                <w:bCs/>
                <w:lang w:eastAsia="en-GB"/>
              </w:rPr>
            </w:pPr>
            <w:r w:rsidRPr="004F4BA7">
              <w:rPr>
                <w:b/>
                <w:bCs/>
                <w:lang w:eastAsia="en-GB"/>
              </w:rPr>
              <w:t>HMA (Av.)</w:t>
            </w:r>
          </w:p>
        </w:tc>
        <w:tc>
          <w:tcPr>
            <w:tcW w:w="1349" w:type="dxa"/>
            <w:hideMark/>
          </w:tcPr>
          <w:p w14:paraId="6C366ECE" w14:textId="77777777" w:rsidR="00A13819" w:rsidRPr="004F4BA7" w:rsidRDefault="00A13819" w:rsidP="001D508A">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£140,000</w:t>
            </w:r>
          </w:p>
        </w:tc>
        <w:tc>
          <w:tcPr>
            <w:tcW w:w="1350" w:type="dxa"/>
            <w:hideMark/>
          </w:tcPr>
          <w:p w14:paraId="7F45C2D4" w14:textId="77777777" w:rsidR="00A13819" w:rsidRPr="004F4BA7" w:rsidRDefault="00A13819" w:rsidP="001D508A">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£180,000</w:t>
            </w:r>
          </w:p>
        </w:tc>
        <w:tc>
          <w:tcPr>
            <w:tcW w:w="1350" w:type="dxa"/>
            <w:hideMark/>
          </w:tcPr>
          <w:p w14:paraId="3250401E" w14:textId="77777777" w:rsidR="00A13819" w:rsidRPr="004F4BA7" w:rsidRDefault="00A13819" w:rsidP="001D508A">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£200,000</w:t>
            </w:r>
          </w:p>
        </w:tc>
        <w:tc>
          <w:tcPr>
            <w:tcW w:w="1350" w:type="dxa"/>
            <w:hideMark/>
          </w:tcPr>
          <w:p w14:paraId="4BB8978A" w14:textId="77777777" w:rsidR="00A13819" w:rsidRPr="004F4BA7" w:rsidRDefault="00A13819" w:rsidP="001D508A">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£270,000</w:t>
            </w:r>
          </w:p>
        </w:tc>
        <w:tc>
          <w:tcPr>
            <w:tcW w:w="1350" w:type="dxa"/>
            <w:hideMark/>
          </w:tcPr>
          <w:p w14:paraId="039A5E68" w14:textId="77777777" w:rsidR="00A13819" w:rsidRPr="004F4BA7" w:rsidRDefault="00A13819" w:rsidP="001D508A">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£200,000</w:t>
            </w:r>
          </w:p>
        </w:tc>
      </w:tr>
    </w:tbl>
    <w:p w14:paraId="131DDC0D" w14:textId="77777777" w:rsidR="00A13819" w:rsidRPr="00F85167" w:rsidRDefault="00A13819" w:rsidP="00A13819">
      <w:pPr>
        <w:keepNext/>
        <w:ind w:firstLine="794"/>
        <w:rPr>
          <w:rFonts w:asciiTheme="minorHAnsi" w:eastAsiaTheme="minorHAnsi" w:hAnsiTheme="minorHAnsi" w:cstheme="minorBidi"/>
          <w:color w:val="000000"/>
          <w:sz w:val="28"/>
          <w:szCs w:val="28"/>
          <w:lang w:eastAsia="en-US"/>
        </w:rPr>
      </w:pPr>
      <w:r w:rsidRPr="00F85167">
        <w:rPr>
          <w:color w:val="000000"/>
          <w:sz w:val="24"/>
          <w:szCs w:val="24"/>
        </w:rPr>
        <w:t>Source: Land Registry</w:t>
      </w:r>
    </w:p>
    <w:p w14:paraId="7B8F9617" w14:textId="77777777" w:rsidR="00A13819" w:rsidRPr="00526C6E" w:rsidRDefault="00A13819" w:rsidP="007D0FBF">
      <w:pPr>
        <w:pStyle w:val="11Bodytext"/>
        <w:rPr>
          <w:b/>
          <w:lang w:eastAsia="en-US"/>
        </w:rPr>
      </w:pPr>
      <w:r>
        <w:t xml:space="preserve">It is also useful to provide estimates of property prices by the number of bedrooms in a home. Analysis for this draws together Land Registry data with an internet search of prices of homes for sale (using sites such as Rightmove, </w:t>
      </w:r>
      <w:proofErr w:type="spellStart"/>
      <w:r>
        <w:t>Primelocation</w:t>
      </w:r>
      <w:proofErr w:type="spellEnd"/>
      <w:r>
        <w:t xml:space="preserve"> or Zoopla). To some extent the prices should be seen as indicative, in particular, the supply of 1-bedroom homes to buy was quite small in some locations.  </w:t>
      </w:r>
    </w:p>
    <w:p w14:paraId="4E7DF979" w14:textId="77777777" w:rsidR="00A13819" w:rsidRDefault="00A13819" w:rsidP="003D5E23">
      <w:pPr>
        <w:pStyle w:val="Tableheading"/>
        <w:numPr>
          <w:ilvl w:val="0"/>
          <w:numId w:val="54"/>
        </w:numPr>
        <w:rPr>
          <w:lang w:eastAsia="en-US"/>
        </w:rPr>
      </w:pPr>
      <w:r>
        <w:rPr>
          <w:lang w:eastAsia="en-US"/>
        </w:rPr>
        <w:t>Lower quartile house prices by size (year to March 2020)</w:t>
      </w:r>
    </w:p>
    <w:tbl>
      <w:tblPr>
        <w:tblStyle w:val="TableGridLight1"/>
        <w:tblW w:w="8698" w:type="dxa"/>
        <w:tblInd w:w="795" w:type="dxa"/>
        <w:tblLayout w:type="fixed"/>
        <w:tblLook w:val="04A0" w:firstRow="1" w:lastRow="0" w:firstColumn="1" w:lastColumn="0" w:noHBand="0" w:noVBand="1"/>
      </w:tblPr>
      <w:tblGrid>
        <w:gridCol w:w="1752"/>
        <w:gridCol w:w="1389"/>
        <w:gridCol w:w="1389"/>
        <w:gridCol w:w="1389"/>
        <w:gridCol w:w="1389"/>
        <w:gridCol w:w="1390"/>
      </w:tblGrid>
      <w:tr w:rsidR="00A13819" w14:paraId="33C03C80" w14:textId="77777777" w:rsidTr="00BC0456">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752" w:type="dxa"/>
            <w:hideMark/>
          </w:tcPr>
          <w:p w14:paraId="51D88061" w14:textId="77777777" w:rsidR="00A13819" w:rsidRPr="00BC0456" w:rsidRDefault="00A13819" w:rsidP="008E6E40">
            <w:pPr>
              <w:keepNext/>
              <w:rPr>
                <w:lang w:eastAsia="en-GB"/>
              </w:rPr>
            </w:pPr>
            <w:r w:rsidRPr="00BC0456">
              <w:rPr>
                <w:lang w:eastAsia="en-GB"/>
              </w:rPr>
              <w:t> </w:t>
            </w:r>
          </w:p>
        </w:tc>
        <w:tc>
          <w:tcPr>
            <w:tcW w:w="1389" w:type="dxa"/>
            <w:hideMark/>
          </w:tcPr>
          <w:p w14:paraId="79C1F8E1" w14:textId="77777777" w:rsidR="00A13819" w:rsidRPr="00BC045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1-bedroom</w:t>
            </w:r>
          </w:p>
        </w:tc>
        <w:tc>
          <w:tcPr>
            <w:tcW w:w="1389" w:type="dxa"/>
            <w:hideMark/>
          </w:tcPr>
          <w:p w14:paraId="2175C24E" w14:textId="77777777" w:rsidR="00A13819" w:rsidRPr="00BC045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2-bedrooms</w:t>
            </w:r>
          </w:p>
        </w:tc>
        <w:tc>
          <w:tcPr>
            <w:tcW w:w="1389" w:type="dxa"/>
            <w:hideMark/>
          </w:tcPr>
          <w:p w14:paraId="3DABF9D6" w14:textId="77777777" w:rsidR="00A13819" w:rsidRPr="00BC045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3-bedrooms</w:t>
            </w:r>
          </w:p>
        </w:tc>
        <w:tc>
          <w:tcPr>
            <w:tcW w:w="1389" w:type="dxa"/>
            <w:hideMark/>
          </w:tcPr>
          <w:p w14:paraId="099C55DF" w14:textId="77777777" w:rsidR="00A13819" w:rsidRPr="00BC045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4-bedrooms</w:t>
            </w:r>
          </w:p>
        </w:tc>
        <w:tc>
          <w:tcPr>
            <w:tcW w:w="1390" w:type="dxa"/>
            <w:hideMark/>
          </w:tcPr>
          <w:p w14:paraId="4D96F84B" w14:textId="77777777" w:rsidR="00A13819" w:rsidRPr="00BC045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All Dwellings</w:t>
            </w:r>
          </w:p>
        </w:tc>
      </w:tr>
      <w:tr w:rsidR="00A13819" w14:paraId="7431BD71"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70DDB983" w14:textId="77777777" w:rsidR="00A13819" w:rsidRPr="00BC0456" w:rsidRDefault="00A13819" w:rsidP="008E6E40">
            <w:pPr>
              <w:keepNext/>
              <w:rPr>
                <w:lang w:eastAsia="en-GB"/>
              </w:rPr>
            </w:pPr>
            <w:r w:rsidRPr="00BC0456">
              <w:rPr>
                <w:lang w:eastAsia="en-GB"/>
              </w:rPr>
              <w:t>Cambridge</w:t>
            </w:r>
          </w:p>
        </w:tc>
        <w:tc>
          <w:tcPr>
            <w:tcW w:w="1389" w:type="dxa"/>
            <w:hideMark/>
          </w:tcPr>
          <w:p w14:paraId="0522CD94"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£225,000</w:t>
            </w:r>
          </w:p>
        </w:tc>
        <w:tc>
          <w:tcPr>
            <w:tcW w:w="1389" w:type="dxa"/>
            <w:hideMark/>
          </w:tcPr>
          <w:p w14:paraId="23356B54"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£300,000</w:t>
            </w:r>
          </w:p>
        </w:tc>
        <w:tc>
          <w:tcPr>
            <w:tcW w:w="1389" w:type="dxa"/>
            <w:hideMark/>
          </w:tcPr>
          <w:p w14:paraId="536330B5"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£395,000</w:t>
            </w:r>
          </w:p>
        </w:tc>
        <w:tc>
          <w:tcPr>
            <w:tcW w:w="1389" w:type="dxa"/>
            <w:hideMark/>
          </w:tcPr>
          <w:p w14:paraId="1F507CA1"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£550,000</w:t>
            </w:r>
          </w:p>
        </w:tc>
        <w:tc>
          <w:tcPr>
            <w:tcW w:w="1390" w:type="dxa"/>
            <w:hideMark/>
          </w:tcPr>
          <w:p w14:paraId="6DC9DD0A"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£322,000</w:t>
            </w:r>
          </w:p>
        </w:tc>
      </w:tr>
      <w:tr w:rsidR="00A13819" w14:paraId="222C07B6"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333D9F26" w14:textId="77777777" w:rsidR="00A13819" w:rsidRPr="00BC0456" w:rsidRDefault="00A13819" w:rsidP="008E6E40">
            <w:pPr>
              <w:keepNext/>
              <w:rPr>
                <w:lang w:eastAsia="en-GB"/>
              </w:rPr>
            </w:pPr>
            <w:r w:rsidRPr="00BC0456">
              <w:rPr>
                <w:lang w:eastAsia="en-GB"/>
              </w:rPr>
              <w:t>East Cambs</w:t>
            </w:r>
          </w:p>
        </w:tc>
        <w:tc>
          <w:tcPr>
            <w:tcW w:w="1389" w:type="dxa"/>
            <w:hideMark/>
          </w:tcPr>
          <w:p w14:paraId="5E0F3B76"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£104,000</w:t>
            </w:r>
          </w:p>
        </w:tc>
        <w:tc>
          <w:tcPr>
            <w:tcW w:w="1389" w:type="dxa"/>
            <w:hideMark/>
          </w:tcPr>
          <w:p w14:paraId="096902B9"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£164,000</w:t>
            </w:r>
          </w:p>
        </w:tc>
        <w:tc>
          <w:tcPr>
            <w:tcW w:w="1389" w:type="dxa"/>
            <w:hideMark/>
          </w:tcPr>
          <w:p w14:paraId="1C9A396B"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£248,000</w:t>
            </w:r>
          </w:p>
        </w:tc>
        <w:tc>
          <w:tcPr>
            <w:tcW w:w="1389" w:type="dxa"/>
            <w:hideMark/>
          </w:tcPr>
          <w:p w14:paraId="639978EA"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£325,000</w:t>
            </w:r>
          </w:p>
        </w:tc>
        <w:tc>
          <w:tcPr>
            <w:tcW w:w="1390" w:type="dxa"/>
            <w:hideMark/>
          </w:tcPr>
          <w:p w14:paraId="11C087F2"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£221,000</w:t>
            </w:r>
          </w:p>
        </w:tc>
      </w:tr>
      <w:tr w:rsidR="00A13819" w14:paraId="3537CB1D"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0E309ED2" w14:textId="77777777" w:rsidR="00A13819" w:rsidRPr="00BC0456" w:rsidRDefault="00A13819" w:rsidP="008E6E40">
            <w:pPr>
              <w:keepNext/>
              <w:rPr>
                <w:lang w:eastAsia="en-GB"/>
              </w:rPr>
            </w:pPr>
            <w:r w:rsidRPr="00BC0456">
              <w:rPr>
                <w:lang w:eastAsia="en-GB"/>
              </w:rPr>
              <w:t>Fenland</w:t>
            </w:r>
          </w:p>
        </w:tc>
        <w:tc>
          <w:tcPr>
            <w:tcW w:w="1389" w:type="dxa"/>
            <w:hideMark/>
          </w:tcPr>
          <w:p w14:paraId="7A499FA0"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£65,000</w:t>
            </w:r>
          </w:p>
        </w:tc>
        <w:tc>
          <w:tcPr>
            <w:tcW w:w="1389" w:type="dxa"/>
            <w:hideMark/>
          </w:tcPr>
          <w:p w14:paraId="757DA5F2"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£130,000</w:t>
            </w:r>
          </w:p>
        </w:tc>
        <w:tc>
          <w:tcPr>
            <w:tcW w:w="1389" w:type="dxa"/>
            <w:hideMark/>
          </w:tcPr>
          <w:p w14:paraId="7054399C"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£176,000</w:t>
            </w:r>
          </w:p>
        </w:tc>
        <w:tc>
          <w:tcPr>
            <w:tcW w:w="1389" w:type="dxa"/>
            <w:hideMark/>
          </w:tcPr>
          <w:p w14:paraId="6A3309E2"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£241,000</w:t>
            </w:r>
          </w:p>
        </w:tc>
        <w:tc>
          <w:tcPr>
            <w:tcW w:w="1390" w:type="dxa"/>
            <w:hideMark/>
          </w:tcPr>
          <w:p w14:paraId="430F18D0"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£149,000</w:t>
            </w:r>
          </w:p>
        </w:tc>
      </w:tr>
      <w:tr w:rsidR="00A13819" w14:paraId="48F66CFC"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3877F26D" w14:textId="77777777" w:rsidR="00A13819" w:rsidRPr="00BC0456" w:rsidRDefault="00A13819" w:rsidP="008E6E40">
            <w:pPr>
              <w:keepNext/>
              <w:rPr>
                <w:lang w:eastAsia="en-GB"/>
              </w:rPr>
            </w:pPr>
            <w:r w:rsidRPr="00BC0456">
              <w:rPr>
                <w:lang w:eastAsia="en-GB"/>
              </w:rPr>
              <w:t>Huntingdonshire</w:t>
            </w:r>
          </w:p>
        </w:tc>
        <w:tc>
          <w:tcPr>
            <w:tcW w:w="1389" w:type="dxa"/>
            <w:hideMark/>
          </w:tcPr>
          <w:p w14:paraId="6C9BFFBC"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£105,000</w:t>
            </w:r>
          </w:p>
        </w:tc>
        <w:tc>
          <w:tcPr>
            <w:tcW w:w="1389" w:type="dxa"/>
            <w:hideMark/>
          </w:tcPr>
          <w:p w14:paraId="37AEBBB8"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£158,000</w:t>
            </w:r>
          </w:p>
        </w:tc>
        <w:tc>
          <w:tcPr>
            <w:tcW w:w="1389" w:type="dxa"/>
            <w:hideMark/>
          </w:tcPr>
          <w:p w14:paraId="45645564"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£220,000</w:t>
            </w:r>
          </w:p>
        </w:tc>
        <w:tc>
          <w:tcPr>
            <w:tcW w:w="1389" w:type="dxa"/>
            <w:hideMark/>
          </w:tcPr>
          <w:p w14:paraId="352CA51C"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£311,000</w:t>
            </w:r>
          </w:p>
        </w:tc>
        <w:tc>
          <w:tcPr>
            <w:tcW w:w="1390" w:type="dxa"/>
            <w:hideMark/>
          </w:tcPr>
          <w:p w14:paraId="0CC6FD77"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£206,000</w:t>
            </w:r>
          </w:p>
        </w:tc>
      </w:tr>
      <w:tr w:rsidR="00A13819" w14:paraId="41E2CE19"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30BFE693" w14:textId="77777777" w:rsidR="00A13819" w:rsidRPr="00BC0456" w:rsidRDefault="00A13819" w:rsidP="008E6E40">
            <w:pPr>
              <w:keepNext/>
              <w:rPr>
                <w:lang w:eastAsia="en-GB"/>
              </w:rPr>
            </w:pPr>
            <w:r w:rsidRPr="00BC0456">
              <w:rPr>
                <w:lang w:eastAsia="en-GB"/>
              </w:rPr>
              <w:t>South Cambs</w:t>
            </w:r>
          </w:p>
        </w:tc>
        <w:tc>
          <w:tcPr>
            <w:tcW w:w="1389" w:type="dxa"/>
            <w:hideMark/>
          </w:tcPr>
          <w:p w14:paraId="4CFD65E0"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£163,000</w:t>
            </w:r>
          </w:p>
        </w:tc>
        <w:tc>
          <w:tcPr>
            <w:tcW w:w="1389" w:type="dxa"/>
            <w:hideMark/>
          </w:tcPr>
          <w:p w14:paraId="303A1F5D"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£228,000</w:t>
            </w:r>
          </w:p>
        </w:tc>
        <w:tc>
          <w:tcPr>
            <w:tcW w:w="1389" w:type="dxa"/>
            <w:hideMark/>
          </w:tcPr>
          <w:p w14:paraId="40D1F639"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£291,000</w:t>
            </w:r>
          </w:p>
        </w:tc>
        <w:tc>
          <w:tcPr>
            <w:tcW w:w="1389" w:type="dxa"/>
            <w:hideMark/>
          </w:tcPr>
          <w:p w14:paraId="51DFAE77"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£412,000</w:t>
            </w:r>
          </w:p>
        </w:tc>
        <w:tc>
          <w:tcPr>
            <w:tcW w:w="1390" w:type="dxa"/>
            <w:hideMark/>
          </w:tcPr>
          <w:p w14:paraId="0D34E932"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£274,000</w:t>
            </w:r>
          </w:p>
        </w:tc>
      </w:tr>
      <w:tr w:rsidR="00A13819" w14:paraId="5913CD84"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350971FE" w14:textId="77777777" w:rsidR="00A13819" w:rsidRPr="00BC0456" w:rsidRDefault="00A13819" w:rsidP="008E6E40">
            <w:pPr>
              <w:keepNext/>
              <w:rPr>
                <w:lang w:eastAsia="en-GB"/>
              </w:rPr>
            </w:pPr>
            <w:r w:rsidRPr="00BC0456">
              <w:rPr>
                <w:lang w:eastAsia="en-GB"/>
              </w:rPr>
              <w:t>West Suffolk</w:t>
            </w:r>
          </w:p>
        </w:tc>
        <w:tc>
          <w:tcPr>
            <w:tcW w:w="1389" w:type="dxa"/>
            <w:hideMark/>
          </w:tcPr>
          <w:p w14:paraId="4667001B"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£137,000</w:t>
            </w:r>
          </w:p>
        </w:tc>
        <w:tc>
          <w:tcPr>
            <w:tcW w:w="1389" w:type="dxa"/>
            <w:hideMark/>
          </w:tcPr>
          <w:p w14:paraId="787BD5AF"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£174,000</w:t>
            </w:r>
          </w:p>
        </w:tc>
        <w:tc>
          <w:tcPr>
            <w:tcW w:w="1389" w:type="dxa"/>
            <w:hideMark/>
          </w:tcPr>
          <w:p w14:paraId="41C19E86"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£217,000</w:t>
            </w:r>
          </w:p>
        </w:tc>
        <w:tc>
          <w:tcPr>
            <w:tcW w:w="1389" w:type="dxa"/>
            <w:hideMark/>
          </w:tcPr>
          <w:p w14:paraId="3BEB4F93"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£307,000</w:t>
            </w:r>
          </w:p>
        </w:tc>
        <w:tc>
          <w:tcPr>
            <w:tcW w:w="1390" w:type="dxa"/>
            <w:hideMark/>
          </w:tcPr>
          <w:p w14:paraId="4D588C86"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£195,000</w:t>
            </w:r>
          </w:p>
        </w:tc>
      </w:tr>
      <w:tr w:rsidR="00A13819" w14:paraId="0E01DA3E" w14:textId="77777777" w:rsidTr="00BC0456">
        <w:trPr>
          <w:trHeight w:val="308"/>
        </w:trPr>
        <w:tc>
          <w:tcPr>
            <w:cnfStyle w:val="001000000000" w:firstRow="0" w:lastRow="0" w:firstColumn="1" w:lastColumn="0" w:oddVBand="0" w:evenVBand="0" w:oddHBand="0" w:evenHBand="0" w:firstRowFirstColumn="0" w:firstRowLastColumn="0" w:lastRowFirstColumn="0" w:lastRowLastColumn="0"/>
            <w:tcW w:w="1752" w:type="dxa"/>
            <w:hideMark/>
          </w:tcPr>
          <w:p w14:paraId="67C01CD0" w14:textId="77777777" w:rsidR="00A13819" w:rsidRPr="004F4BA7" w:rsidRDefault="00A13819" w:rsidP="008E6E40">
            <w:pPr>
              <w:keepNext/>
              <w:rPr>
                <w:b/>
                <w:bCs/>
                <w:lang w:eastAsia="en-GB"/>
              </w:rPr>
            </w:pPr>
            <w:r w:rsidRPr="004F4BA7">
              <w:rPr>
                <w:b/>
                <w:bCs/>
                <w:lang w:eastAsia="en-GB"/>
              </w:rPr>
              <w:t>HMA (Av.)</w:t>
            </w:r>
          </w:p>
        </w:tc>
        <w:tc>
          <w:tcPr>
            <w:tcW w:w="1389" w:type="dxa"/>
            <w:noWrap/>
            <w:hideMark/>
          </w:tcPr>
          <w:p w14:paraId="501E4BED"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£155,000</w:t>
            </w:r>
          </w:p>
        </w:tc>
        <w:tc>
          <w:tcPr>
            <w:tcW w:w="1389" w:type="dxa"/>
            <w:noWrap/>
            <w:hideMark/>
          </w:tcPr>
          <w:p w14:paraId="3553A04F"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£180,000</w:t>
            </w:r>
          </w:p>
        </w:tc>
        <w:tc>
          <w:tcPr>
            <w:tcW w:w="1389" w:type="dxa"/>
            <w:noWrap/>
            <w:hideMark/>
          </w:tcPr>
          <w:p w14:paraId="6439CF0A"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£230,000</w:t>
            </w:r>
          </w:p>
        </w:tc>
        <w:tc>
          <w:tcPr>
            <w:tcW w:w="1389" w:type="dxa"/>
            <w:noWrap/>
            <w:hideMark/>
          </w:tcPr>
          <w:p w14:paraId="18C89265"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£320,000</w:t>
            </w:r>
          </w:p>
        </w:tc>
        <w:tc>
          <w:tcPr>
            <w:tcW w:w="1390" w:type="dxa"/>
            <w:noWrap/>
            <w:hideMark/>
          </w:tcPr>
          <w:p w14:paraId="61A4E569" w14:textId="77777777" w:rsidR="00A13819" w:rsidRPr="00BC0456"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BC0456">
              <w:rPr>
                <w:b/>
                <w:bCs/>
                <w:lang w:eastAsia="en-GB"/>
              </w:rPr>
              <w:t>£200,000</w:t>
            </w:r>
          </w:p>
        </w:tc>
      </w:tr>
    </w:tbl>
    <w:p w14:paraId="781E41FB" w14:textId="1C6916B3" w:rsidR="00A13819" w:rsidRDefault="00A13819" w:rsidP="00F85167">
      <w:pPr>
        <w:pStyle w:val="11Bodytext"/>
        <w:numPr>
          <w:ilvl w:val="0"/>
          <w:numId w:val="0"/>
        </w:numPr>
        <w:spacing w:before="0" w:after="0" w:line="240" w:lineRule="auto"/>
        <w:ind w:left="794"/>
      </w:pPr>
      <w:r>
        <w:t>Source: Land Registry and Internet Price Search</w:t>
      </w:r>
    </w:p>
    <w:p w14:paraId="0698A22E" w14:textId="77777777" w:rsidR="00F85167" w:rsidRDefault="00F85167" w:rsidP="00F85167">
      <w:pPr>
        <w:pStyle w:val="11Bodytext"/>
        <w:numPr>
          <w:ilvl w:val="0"/>
          <w:numId w:val="0"/>
        </w:numPr>
        <w:spacing w:before="0" w:after="0" w:line="240" w:lineRule="auto"/>
        <w:ind w:left="794"/>
      </w:pPr>
    </w:p>
    <w:p w14:paraId="3BD622A2" w14:textId="77777777" w:rsidR="00A13819" w:rsidRDefault="00A13819" w:rsidP="007D0FBF">
      <w:pPr>
        <w:pStyle w:val="Heading3"/>
        <w:rPr>
          <w:color w:val="000000"/>
        </w:rPr>
      </w:pPr>
      <w:r>
        <w:t>Private Rental Housing</w:t>
      </w:r>
    </w:p>
    <w:p w14:paraId="20FB82C9" w14:textId="77777777" w:rsidR="00A13819" w:rsidRDefault="00A13819" w:rsidP="007D0FBF">
      <w:pPr>
        <w:pStyle w:val="11Bodytext"/>
      </w:pPr>
      <w:r>
        <w:t xml:space="preserve">The table below establishes the cost of renting a property on the open market in the Cambridgeshire and West Suffolk HMA by the size of the </w:t>
      </w:r>
      <w:r w:rsidRPr="00526C6E">
        <w:rPr>
          <w:rFonts w:asciiTheme="minorHAnsi" w:hAnsiTheme="minorHAnsi" w:cstheme="minorHAnsi"/>
        </w:rPr>
        <w:t>property</w:t>
      </w:r>
      <w:r>
        <w:t>. At HMA level, lower quartile rents start at an average of around £530 per calendar month for a 1-bedroom property, rising to £1,125 for a 4-bedroom family-sized home.</w:t>
      </w:r>
    </w:p>
    <w:p w14:paraId="6BD51C01" w14:textId="77777777" w:rsidR="00A13819" w:rsidRDefault="00A13819" w:rsidP="003D5E23">
      <w:pPr>
        <w:pStyle w:val="Tableheading"/>
        <w:numPr>
          <w:ilvl w:val="0"/>
          <w:numId w:val="54"/>
        </w:numPr>
      </w:pPr>
      <w:r>
        <w:lastRenderedPageBreak/>
        <w:t>Lower Quartile Market Rents, year to March 2020</w:t>
      </w:r>
    </w:p>
    <w:tbl>
      <w:tblPr>
        <w:tblStyle w:val="TableGridLight1"/>
        <w:tblW w:w="8438" w:type="dxa"/>
        <w:tblInd w:w="846" w:type="dxa"/>
        <w:tblLook w:val="04A0" w:firstRow="1" w:lastRow="0" w:firstColumn="1" w:lastColumn="0" w:noHBand="0" w:noVBand="1"/>
      </w:tblPr>
      <w:tblGrid>
        <w:gridCol w:w="1764"/>
        <w:gridCol w:w="828"/>
        <w:gridCol w:w="887"/>
        <w:gridCol w:w="793"/>
        <w:gridCol w:w="875"/>
        <w:gridCol w:w="875"/>
        <w:gridCol w:w="875"/>
        <w:gridCol w:w="1541"/>
      </w:tblGrid>
      <w:tr w:rsidR="00BC0456" w:rsidRPr="00BC0456" w14:paraId="3C5643EA" w14:textId="77777777" w:rsidTr="00F8516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2642B888" w14:textId="77777777" w:rsidR="00A13819" w:rsidRDefault="00A13819">
            <w:pPr>
              <w:keepNext/>
              <w:rPr>
                <w:b w:val="0"/>
                <w:lang w:eastAsia="en-GB"/>
              </w:rPr>
            </w:pPr>
            <w:r w:rsidRPr="00BC0456">
              <w:rPr>
                <w:lang w:eastAsia="en-GB"/>
              </w:rPr>
              <w:t> </w:t>
            </w:r>
          </w:p>
          <w:p w14:paraId="69A03B09" w14:textId="4EB23908" w:rsidR="00BC0456" w:rsidRPr="00BC0456" w:rsidRDefault="00BC0456">
            <w:pPr>
              <w:keepNext/>
              <w:rPr>
                <w:lang w:eastAsia="en-GB"/>
              </w:rPr>
            </w:pPr>
          </w:p>
        </w:tc>
        <w:tc>
          <w:tcPr>
            <w:tcW w:w="0" w:type="auto"/>
            <w:hideMark/>
          </w:tcPr>
          <w:p w14:paraId="4305BF08" w14:textId="77777777"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Room</w:t>
            </w:r>
          </w:p>
        </w:tc>
        <w:tc>
          <w:tcPr>
            <w:tcW w:w="0" w:type="auto"/>
            <w:hideMark/>
          </w:tcPr>
          <w:p w14:paraId="4E7E6BEC" w14:textId="77777777"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Studio</w:t>
            </w:r>
          </w:p>
        </w:tc>
        <w:tc>
          <w:tcPr>
            <w:tcW w:w="0" w:type="auto"/>
            <w:hideMark/>
          </w:tcPr>
          <w:p w14:paraId="62FF2AA7" w14:textId="68BAFC39"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1-be</w:t>
            </w:r>
            <w:r w:rsidR="00F85167">
              <w:rPr>
                <w:lang w:eastAsia="en-GB"/>
              </w:rPr>
              <w:t>d</w:t>
            </w:r>
          </w:p>
        </w:tc>
        <w:tc>
          <w:tcPr>
            <w:tcW w:w="0" w:type="auto"/>
            <w:hideMark/>
          </w:tcPr>
          <w:p w14:paraId="7214346A" w14:textId="5085127A"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2-bed</w:t>
            </w:r>
          </w:p>
        </w:tc>
        <w:tc>
          <w:tcPr>
            <w:tcW w:w="0" w:type="auto"/>
            <w:hideMark/>
          </w:tcPr>
          <w:p w14:paraId="0C2BA7FE" w14:textId="5AB11A70"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3-bed</w:t>
            </w:r>
          </w:p>
        </w:tc>
        <w:tc>
          <w:tcPr>
            <w:tcW w:w="0" w:type="auto"/>
            <w:hideMark/>
          </w:tcPr>
          <w:p w14:paraId="01D87AE4" w14:textId="7D74AC8E"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4-bed</w:t>
            </w:r>
          </w:p>
        </w:tc>
        <w:tc>
          <w:tcPr>
            <w:tcW w:w="0" w:type="auto"/>
            <w:hideMark/>
          </w:tcPr>
          <w:p w14:paraId="68EF3878" w14:textId="77777777" w:rsidR="00A13819" w:rsidRPr="00BC0456"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BC0456">
              <w:rPr>
                <w:lang w:eastAsia="en-GB"/>
              </w:rPr>
              <w:t>All Dwellings</w:t>
            </w:r>
          </w:p>
        </w:tc>
      </w:tr>
      <w:tr w:rsidR="00BC0456" w:rsidRPr="00BC0456" w14:paraId="4A2C9E95"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4783D33" w14:textId="77777777" w:rsidR="00A13819" w:rsidRPr="004F4BA7" w:rsidRDefault="00A13819">
            <w:pPr>
              <w:keepNext/>
              <w:rPr>
                <w:lang w:eastAsia="en-GB"/>
              </w:rPr>
            </w:pPr>
            <w:r w:rsidRPr="004F4BA7">
              <w:rPr>
                <w:lang w:eastAsia="en-GB"/>
              </w:rPr>
              <w:t>Cambridge</w:t>
            </w:r>
          </w:p>
        </w:tc>
        <w:tc>
          <w:tcPr>
            <w:tcW w:w="0" w:type="auto"/>
            <w:hideMark/>
          </w:tcPr>
          <w:p w14:paraId="23D0BB86"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£475</w:t>
            </w:r>
          </w:p>
        </w:tc>
        <w:tc>
          <w:tcPr>
            <w:tcW w:w="0" w:type="auto"/>
            <w:hideMark/>
          </w:tcPr>
          <w:p w14:paraId="19B6D009"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£725</w:t>
            </w:r>
          </w:p>
        </w:tc>
        <w:tc>
          <w:tcPr>
            <w:tcW w:w="0" w:type="auto"/>
            <w:hideMark/>
          </w:tcPr>
          <w:p w14:paraId="1557A045"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£850</w:t>
            </w:r>
          </w:p>
        </w:tc>
        <w:tc>
          <w:tcPr>
            <w:tcW w:w="0" w:type="auto"/>
            <w:hideMark/>
          </w:tcPr>
          <w:p w14:paraId="5DAC36FB"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£1,075</w:t>
            </w:r>
          </w:p>
        </w:tc>
        <w:tc>
          <w:tcPr>
            <w:tcW w:w="0" w:type="auto"/>
            <w:hideMark/>
          </w:tcPr>
          <w:p w14:paraId="32C612B3"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£1,200</w:t>
            </w:r>
          </w:p>
        </w:tc>
        <w:tc>
          <w:tcPr>
            <w:tcW w:w="0" w:type="auto"/>
            <w:hideMark/>
          </w:tcPr>
          <w:p w14:paraId="73C83CDC"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£1,630</w:t>
            </w:r>
          </w:p>
        </w:tc>
        <w:tc>
          <w:tcPr>
            <w:tcW w:w="0" w:type="auto"/>
            <w:hideMark/>
          </w:tcPr>
          <w:p w14:paraId="63D3A9F9"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£975</w:t>
            </w:r>
          </w:p>
        </w:tc>
      </w:tr>
      <w:tr w:rsidR="00BC0456" w:rsidRPr="00BC0456" w14:paraId="7B605DC4"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2CCC8DE6" w14:textId="77777777" w:rsidR="00A13819" w:rsidRPr="004F4BA7" w:rsidRDefault="00A13819">
            <w:pPr>
              <w:keepNext/>
              <w:rPr>
                <w:lang w:eastAsia="en-GB"/>
              </w:rPr>
            </w:pPr>
            <w:r w:rsidRPr="004F4BA7">
              <w:rPr>
                <w:lang w:eastAsia="en-GB"/>
              </w:rPr>
              <w:t>East Cambs</w:t>
            </w:r>
          </w:p>
        </w:tc>
        <w:tc>
          <w:tcPr>
            <w:tcW w:w="0" w:type="auto"/>
            <w:hideMark/>
          </w:tcPr>
          <w:p w14:paraId="3E6C8D3E"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w:t>
            </w:r>
          </w:p>
        </w:tc>
        <w:tc>
          <w:tcPr>
            <w:tcW w:w="0" w:type="auto"/>
            <w:hideMark/>
          </w:tcPr>
          <w:p w14:paraId="65735172"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£475</w:t>
            </w:r>
          </w:p>
        </w:tc>
        <w:tc>
          <w:tcPr>
            <w:tcW w:w="0" w:type="auto"/>
            <w:hideMark/>
          </w:tcPr>
          <w:p w14:paraId="14087F06"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£575</w:t>
            </w:r>
          </w:p>
        </w:tc>
        <w:tc>
          <w:tcPr>
            <w:tcW w:w="0" w:type="auto"/>
            <w:hideMark/>
          </w:tcPr>
          <w:p w14:paraId="24FDBF48"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£695</w:t>
            </w:r>
          </w:p>
        </w:tc>
        <w:tc>
          <w:tcPr>
            <w:tcW w:w="0" w:type="auto"/>
            <w:hideMark/>
          </w:tcPr>
          <w:p w14:paraId="359FE62D"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£825</w:t>
            </w:r>
          </w:p>
        </w:tc>
        <w:tc>
          <w:tcPr>
            <w:tcW w:w="0" w:type="auto"/>
            <w:hideMark/>
          </w:tcPr>
          <w:p w14:paraId="524E2EF4"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£1,180</w:t>
            </w:r>
          </w:p>
        </w:tc>
        <w:tc>
          <w:tcPr>
            <w:tcW w:w="0" w:type="auto"/>
            <w:hideMark/>
          </w:tcPr>
          <w:p w14:paraId="1C6C21FB"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£700</w:t>
            </w:r>
          </w:p>
        </w:tc>
      </w:tr>
      <w:tr w:rsidR="00BC0456" w:rsidRPr="00BC0456" w14:paraId="3F849FBD"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AFA2243" w14:textId="77777777" w:rsidR="00A13819" w:rsidRPr="004F4BA7" w:rsidRDefault="00A13819">
            <w:pPr>
              <w:keepNext/>
              <w:rPr>
                <w:lang w:eastAsia="en-GB"/>
              </w:rPr>
            </w:pPr>
            <w:r w:rsidRPr="004F4BA7">
              <w:rPr>
                <w:lang w:eastAsia="en-GB"/>
              </w:rPr>
              <w:t>Fenland</w:t>
            </w:r>
          </w:p>
        </w:tc>
        <w:tc>
          <w:tcPr>
            <w:tcW w:w="0" w:type="auto"/>
            <w:hideMark/>
          </w:tcPr>
          <w:p w14:paraId="29013A22"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£347</w:t>
            </w:r>
          </w:p>
        </w:tc>
        <w:tc>
          <w:tcPr>
            <w:tcW w:w="0" w:type="auto"/>
            <w:hideMark/>
          </w:tcPr>
          <w:p w14:paraId="2F20035E"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£350</w:t>
            </w:r>
          </w:p>
        </w:tc>
        <w:tc>
          <w:tcPr>
            <w:tcW w:w="0" w:type="auto"/>
            <w:hideMark/>
          </w:tcPr>
          <w:p w14:paraId="7A2DFEE4"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£425</w:t>
            </w:r>
          </w:p>
        </w:tc>
        <w:tc>
          <w:tcPr>
            <w:tcW w:w="0" w:type="auto"/>
            <w:hideMark/>
          </w:tcPr>
          <w:p w14:paraId="5198778C"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£550</w:t>
            </w:r>
          </w:p>
        </w:tc>
        <w:tc>
          <w:tcPr>
            <w:tcW w:w="0" w:type="auto"/>
            <w:hideMark/>
          </w:tcPr>
          <w:p w14:paraId="612F267A"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£675</w:t>
            </w:r>
          </w:p>
        </w:tc>
        <w:tc>
          <w:tcPr>
            <w:tcW w:w="0" w:type="auto"/>
            <w:hideMark/>
          </w:tcPr>
          <w:p w14:paraId="68E3F062"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£850</w:t>
            </w:r>
          </w:p>
        </w:tc>
        <w:tc>
          <w:tcPr>
            <w:tcW w:w="0" w:type="auto"/>
            <w:hideMark/>
          </w:tcPr>
          <w:p w14:paraId="0B89C62F"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£525</w:t>
            </w:r>
          </w:p>
        </w:tc>
      </w:tr>
      <w:tr w:rsidR="00BC0456" w:rsidRPr="00BC0456" w14:paraId="05BDFB23"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DF0E502" w14:textId="77777777" w:rsidR="00A13819" w:rsidRPr="004F4BA7" w:rsidRDefault="00A13819">
            <w:pPr>
              <w:keepNext/>
              <w:rPr>
                <w:lang w:eastAsia="en-GB"/>
              </w:rPr>
            </w:pPr>
            <w:r w:rsidRPr="004F4BA7">
              <w:rPr>
                <w:lang w:eastAsia="en-GB"/>
              </w:rPr>
              <w:t>Huntingdonshire</w:t>
            </w:r>
          </w:p>
        </w:tc>
        <w:tc>
          <w:tcPr>
            <w:tcW w:w="0" w:type="auto"/>
            <w:hideMark/>
          </w:tcPr>
          <w:p w14:paraId="7D8E6546"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£400</w:t>
            </w:r>
          </w:p>
        </w:tc>
        <w:tc>
          <w:tcPr>
            <w:tcW w:w="0" w:type="auto"/>
            <w:hideMark/>
          </w:tcPr>
          <w:p w14:paraId="5AD02FAE"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£450</w:t>
            </w:r>
          </w:p>
        </w:tc>
        <w:tc>
          <w:tcPr>
            <w:tcW w:w="0" w:type="auto"/>
            <w:hideMark/>
          </w:tcPr>
          <w:p w14:paraId="7FC20CC9"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£540</w:t>
            </w:r>
          </w:p>
        </w:tc>
        <w:tc>
          <w:tcPr>
            <w:tcW w:w="0" w:type="auto"/>
            <w:hideMark/>
          </w:tcPr>
          <w:p w14:paraId="52716E69"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£675</w:t>
            </w:r>
          </w:p>
        </w:tc>
        <w:tc>
          <w:tcPr>
            <w:tcW w:w="0" w:type="auto"/>
            <w:hideMark/>
          </w:tcPr>
          <w:p w14:paraId="64A5817E"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£775</w:t>
            </w:r>
          </w:p>
        </w:tc>
        <w:tc>
          <w:tcPr>
            <w:tcW w:w="0" w:type="auto"/>
            <w:hideMark/>
          </w:tcPr>
          <w:p w14:paraId="3C65A653"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£1,030</w:t>
            </w:r>
          </w:p>
        </w:tc>
        <w:tc>
          <w:tcPr>
            <w:tcW w:w="0" w:type="auto"/>
            <w:hideMark/>
          </w:tcPr>
          <w:p w14:paraId="22AA990B"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£655</w:t>
            </w:r>
          </w:p>
        </w:tc>
      </w:tr>
      <w:tr w:rsidR="00BC0456" w:rsidRPr="00BC0456" w14:paraId="7BCCEA4D"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45833C5" w14:textId="77777777" w:rsidR="00A13819" w:rsidRPr="004F4BA7" w:rsidRDefault="00A13819">
            <w:pPr>
              <w:keepNext/>
              <w:rPr>
                <w:lang w:eastAsia="en-GB"/>
              </w:rPr>
            </w:pPr>
            <w:r w:rsidRPr="004F4BA7">
              <w:rPr>
                <w:lang w:eastAsia="en-GB"/>
              </w:rPr>
              <w:t>South Cambs</w:t>
            </w:r>
          </w:p>
        </w:tc>
        <w:tc>
          <w:tcPr>
            <w:tcW w:w="0" w:type="auto"/>
            <w:hideMark/>
          </w:tcPr>
          <w:p w14:paraId="26C70667"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£500</w:t>
            </w:r>
          </w:p>
        </w:tc>
        <w:tc>
          <w:tcPr>
            <w:tcW w:w="0" w:type="auto"/>
            <w:hideMark/>
          </w:tcPr>
          <w:p w14:paraId="3C4D5E3B"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£625</w:t>
            </w:r>
          </w:p>
        </w:tc>
        <w:tc>
          <w:tcPr>
            <w:tcW w:w="0" w:type="auto"/>
            <w:hideMark/>
          </w:tcPr>
          <w:p w14:paraId="7F24DBD7"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£725</w:t>
            </w:r>
          </w:p>
        </w:tc>
        <w:tc>
          <w:tcPr>
            <w:tcW w:w="0" w:type="auto"/>
            <w:hideMark/>
          </w:tcPr>
          <w:p w14:paraId="4412C236"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£850</w:t>
            </w:r>
          </w:p>
        </w:tc>
        <w:tc>
          <w:tcPr>
            <w:tcW w:w="0" w:type="auto"/>
            <w:hideMark/>
          </w:tcPr>
          <w:p w14:paraId="1EB17C3E"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£950</w:t>
            </w:r>
          </w:p>
        </w:tc>
        <w:tc>
          <w:tcPr>
            <w:tcW w:w="0" w:type="auto"/>
            <w:hideMark/>
          </w:tcPr>
          <w:p w14:paraId="19F81C36"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£1,250</w:t>
            </w:r>
          </w:p>
        </w:tc>
        <w:tc>
          <w:tcPr>
            <w:tcW w:w="0" w:type="auto"/>
            <w:hideMark/>
          </w:tcPr>
          <w:p w14:paraId="5E5EF43E"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£870</w:t>
            </w:r>
          </w:p>
        </w:tc>
      </w:tr>
      <w:tr w:rsidR="00BC0456" w:rsidRPr="00BC0456" w14:paraId="08E7A287"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7F458EDE" w14:textId="77777777" w:rsidR="00A13819" w:rsidRPr="004F4BA7" w:rsidRDefault="00A13819">
            <w:pPr>
              <w:keepNext/>
              <w:rPr>
                <w:lang w:eastAsia="en-GB"/>
              </w:rPr>
            </w:pPr>
            <w:r w:rsidRPr="004F4BA7">
              <w:rPr>
                <w:lang w:eastAsia="en-GB"/>
              </w:rPr>
              <w:t>West Suffolk</w:t>
            </w:r>
          </w:p>
        </w:tc>
        <w:tc>
          <w:tcPr>
            <w:tcW w:w="0" w:type="auto"/>
            <w:hideMark/>
          </w:tcPr>
          <w:p w14:paraId="2A86E771"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£475</w:t>
            </w:r>
          </w:p>
        </w:tc>
        <w:tc>
          <w:tcPr>
            <w:tcW w:w="0" w:type="auto"/>
            <w:hideMark/>
          </w:tcPr>
          <w:p w14:paraId="14699938"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£495</w:t>
            </w:r>
          </w:p>
        </w:tc>
        <w:tc>
          <w:tcPr>
            <w:tcW w:w="0" w:type="auto"/>
            <w:hideMark/>
          </w:tcPr>
          <w:p w14:paraId="3227B18B"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£560</w:t>
            </w:r>
          </w:p>
        </w:tc>
        <w:tc>
          <w:tcPr>
            <w:tcW w:w="0" w:type="auto"/>
            <w:hideMark/>
          </w:tcPr>
          <w:p w14:paraId="37D2DDD0"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£700</w:t>
            </w:r>
          </w:p>
        </w:tc>
        <w:tc>
          <w:tcPr>
            <w:tcW w:w="0" w:type="auto"/>
            <w:hideMark/>
          </w:tcPr>
          <w:p w14:paraId="2F9456DF"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£860</w:t>
            </w:r>
          </w:p>
        </w:tc>
        <w:tc>
          <w:tcPr>
            <w:tcW w:w="0" w:type="auto"/>
            <w:hideMark/>
          </w:tcPr>
          <w:p w14:paraId="68D56879"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£1,200</w:t>
            </w:r>
          </w:p>
        </w:tc>
        <w:tc>
          <w:tcPr>
            <w:tcW w:w="0" w:type="auto"/>
            <w:hideMark/>
          </w:tcPr>
          <w:p w14:paraId="5E15E463" w14:textId="77777777" w:rsidR="00A13819" w:rsidRPr="00BC0456"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BC0456">
              <w:rPr>
                <w:lang w:eastAsia="en-GB"/>
              </w:rPr>
              <w:t>£730</w:t>
            </w:r>
          </w:p>
        </w:tc>
      </w:tr>
      <w:tr w:rsidR="00BC0456" w:rsidRPr="00BC0456" w14:paraId="546C528C" w14:textId="77777777" w:rsidTr="00F85167">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3952D27C" w14:textId="77777777" w:rsidR="00A13819" w:rsidRPr="00BC0456" w:rsidRDefault="00A13819">
            <w:pPr>
              <w:keepNext/>
              <w:rPr>
                <w:b/>
                <w:bCs/>
                <w:lang w:eastAsia="en-GB"/>
              </w:rPr>
            </w:pPr>
            <w:r w:rsidRPr="00BC0456">
              <w:rPr>
                <w:b/>
                <w:bCs/>
              </w:rPr>
              <w:t xml:space="preserve">HMA </w:t>
            </w:r>
          </w:p>
        </w:tc>
        <w:tc>
          <w:tcPr>
            <w:tcW w:w="0" w:type="auto"/>
            <w:hideMark/>
          </w:tcPr>
          <w:p w14:paraId="3961B6CA"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£450</w:t>
            </w:r>
          </w:p>
        </w:tc>
        <w:tc>
          <w:tcPr>
            <w:tcW w:w="0" w:type="auto"/>
            <w:hideMark/>
          </w:tcPr>
          <w:p w14:paraId="74AE31C1"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£590</w:t>
            </w:r>
          </w:p>
        </w:tc>
        <w:tc>
          <w:tcPr>
            <w:tcW w:w="0" w:type="auto"/>
            <w:hideMark/>
          </w:tcPr>
          <w:p w14:paraId="59B7B92A"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£530</w:t>
            </w:r>
          </w:p>
        </w:tc>
        <w:tc>
          <w:tcPr>
            <w:tcW w:w="0" w:type="auto"/>
            <w:hideMark/>
          </w:tcPr>
          <w:p w14:paraId="78476A6E"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£660</w:t>
            </w:r>
          </w:p>
        </w:tc>
        <w:tc>
          <w:tcPr>
            <w:tcW w:w="0" w:type="auto"/>
            <w:hideMark/>
          </w:tcPr>
          <w:p w14:paraId="66CAE68F"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£810</w:t>
            </w:r>
          </w:p>
        </w:tc>
        <w:tc>
          <w:tcPr>
            <w:tcW w:w="0" w:type="auto"/>
            <w:hideMark/>
          </w:tcPr>
          <w:p w14:paraId="10FBEBAC"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£1,125</w:t>
            </w:r>
          </w:p>
        </w:tc>
        <w:tc>
          <w:tcPr>
            <w:tcW w:w="0" w:type="auto"/>
            <w:hideMark/>
          </w:tcPr>
          <w:p w14:paraId="2B8CD24B"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£685</w:t>
            </w:r>
          </w:p>
        </w:tc>
      </w:tr>
    </w:tbl>
    <w:p w14:paraId="5AA7B3C0" w14:textId="77777777" w:rsidR="00A13819" w:rsidRDefault="00A13819">
      <w:pPr>
        <w:keepNext/>
        <w:ind w:left="720"/>
        <w:rPr>
          <w:rFonts w:asciiTheme="minorHAnsi" w:eastAsiaTheme="minorHAnsi" w:hAnsiTheme="minorHAnsi" w:cstheme="minorBidi"/>
          <w:color w:val="auto"/>
          <w:sz w:val="22"/>
          <w:szCs w:val="22"/>
          <w:lang w:eastAsia="en-US"/>
        </w:rPr>
      </w:pPr>
      <w:r w:rsidRPr="00F85167">
        <w:rPr>
          <w:sz w:val="24"/>
          <w:szCs w:val="24"/>
        </w:rPr>
        <w:t xml:space="preserve">  Source: VOA    * No data available</w:t>
      </w:r>
    </w:p>
    <w:p w14:paraId="6EA7C65B" w14:textId="77777777" w:rsidR="00A13819" w:rsidRDefault="00A13819" w:rsidP="007D0FBF">
      <w:pPr>
        <w:pStyle w:val="11Bodytext"/>
      </w:pPr>
      <w:r>
        <w:t xml:space="preserve">Rental values are highest in Cambridge, achieving £975 per month averaged for All Dwellings’. This is followed by South Cambridgeshire (£870 per month). Similar to the data for house prices, Fenland levels are at the other end of the market at £525 per month. West Suffolk’s rental market appears relatively stronger than its purchase market (as demonstrated in the ranking of costs (second cheapest to buy but fourth cheapest to rent)). This relates to military demand for rental properties in this area and the service allowance which drives up prices. </w:t>
      </w:r>
    </w:p>
    <w:p w14:paraId="357189B2" w14:textId="77777777" w:rsidR="00A13819" w:rsidRDefault="00A13819" w:rsidP="007D0FBF">
      <w:pPr>
        <w:pStyle w:val="11Bodytext"/>
      </w:pPr>
      <w:r>
        <w:t xml:space="preserve">As of the 1st of April 2020, there has been an increase in Local Housing Allowance (following a 5-year freeze). This could potentially see private sector rents and affordable rents rise as households will be able to claim a higher amount of benefit. However, the full effect of this is difficult to predict and the Councils should monitor the situation. It could also affect calculations around viability of different tenures on new build sites, and the prices set for “affordable” rents.  </w:t>
      </w:r>
    </w:p>
    <w:p w14:paraId="5FBC3639" w14:textId="77777777" w:rsidR="00A13819" w:rsidRDefault="00A13819" w:rsidP="007D0FBF">
      <w:pPr>
        <w:pStyle w:val="Heading3"/>
      </w:pPr>
      <w:r>
        <w:t>Income levels and affordability</w:t>
      </w:r>
    </w:p>
    <w:p w14:paraId="52790A43" w14:textId="77777777" w:rsidR="00A13819" w:rsidRDefault="00A13819" w:rsidP="007D0FBF">
      <w:pPr>
        <w:pStyle w:val="11Bodytext"/>
      </w:pPr>
      <w:r>
        <w:t>Following on from the assessment of local housing costs it is important to understand local income levels as these (along with the house price/rent data) will determine levels of affordability (</w:t>
      </w:r>
      <w:proofErr w:type="gramStart"/>
      <w:r>
        <w:t>i.e.</w:t>
      </w:r>
      <w:proofErr w:type="gramEnd"/>
      <w:r>
        <w:t xml:space="preserve"> the ability of a household to afford to buy or rent housing in the market without the need for some sort of subsidy). </w:t>
      </w:r>
    </w:p>
    <w:p w14:paraId="088B9937" w14:textId="77777777" w:rsidR="00A13819" w:rsidRDefault="00A13819" w:rsidP="007D0FBF">
      <w:pPr>
        <w:pStyle w:val="11Bodytext"/>
      </w:pPr>
      <w:r>
        <w:t>Data about total household income has been modelled based on several different sources of information to provide both an overall average income and the likely distribution of income. The key sources of data include:</w:t>
      </w:r>
    </w:p>
    <w:p w14:paraId="6E818388" w14:textId="77777777" w:rsidR="00A13819" w:rsidRPr="00097650" w:rsidRDefault="00A13819" w:rsidP="00097650">
      <w:pPr>
        <w:pStyle w:val="10BulletBodytext"/>
      </w:pPr>
      <w:r w:rsidRPr="00097650">
        <w:lastRenderedPageBreak/>
        <w:t>ONS modelled income estimates (published in April 2018 with a 2015/16 base) – this information is provided for middle layer super output areas (MSOA) and is therefore used to build up to larger areas (e.g. local authorities);</w:t>
      </w:r>
    </w:p>
    <w:p w14:paraId="799FED37" w14:textId="77777777" w:rsidR="00A13819" w:rsidRPr="00097650" w:rsidRDefault="00A13819" w:rsidP="00097650">
      <w:pPr>
        <w:pStyle w:val="10BulletBodytext"/>
      </w:pPr>
      <w:r w:rsidRPr="00097650">
        <w:t xml:space="preserve">English Housing Survey (EHS) – to provide information about the distribution of incomes; and </w:t>
      </w:r>
    </w:p>
    <w:p w14:paraId="075C5E14" w14:textId="77777777" w:rsidR="00A13819" w:rsidRPr="00097650" w:rsidRDefault="00A13819" w:rsidP="00097650">
      <w:pPr>
        <w:pStyle w:val="10BulletBodytext"/>
      </w:pPr>
      <w:r w:rsidRPr="00097650">
        <w:t>Annual Survey of Hours and Earnings (ASHE) – to assist in looking at how incomes have changed since the ONS base date.</w:t>
      </w:r>
    </w:p>
    <w:p w14:paraId="7D91EBEB" w14:textId="77777777" w:rsidR="00A13819" w:rsidRDefault="00A13819" w:rsidP="007D0FBF">
      <w:pPr>
        <w:pStyle w:val="11Bodytext"/>
      </w:pPr>
      <w:r>
        <w:t>Drawing these datasets together an income distribution for 2019 has been constructed. The figure below shows the income distribution estimated across the whole study area. Overall, the average (mean) household income is estimated to be around £52,900, with a median income of £39,900; the lower quartile income of all households is estimated to be £23,100.</w:t>
      </w:r>
    </w:p>
    <w:p w14:paraId="6214A196" w14:textId="77777777" w:rsidR="00A13819" w:rsidRDefault="00A13819" w:rsidP="003D5E23">
      <w:pPr>
        <w:pStyle w:val="FigureHeading"/>
      </w:pPr>
      <w:r>
        <w:t>Distribution of household income (2019) – Cambridgeshire and West Suffolk HMA</w:t>
      </w:r>
    </w:p>
    <w:p w14:paraId="4C87E436" w14:textId="77777777" w:rsidR="00A13819" w:rsidRPr="00A441BA" w:rsidRDefault="00A13819" w:rsidP="00A13819">
      <w:pPr>
        <w:pStyle w:val="Bodytextwithindent"/>
        <w:spacing w:before="0" w:after="0" w:line="240" w:lineRule="auto"/>
        <w:rPr>
          <w:color w:val="auto"/>
          <w:sz w:val="24"/>
          <w:szCs w:val="22"/>
        </w:rPr>
      </w:pPr>
      <w:r>
        <w:rPr>
          <w:noProof/>
          <w:shd w:val="clear" w:color="auto" w:fill="E6E6E6"/>
        </w:rPr>
        <w:drawing>
          <wp:inline distT="0" distB="0" distL="0" distR="0" wp14:anchorId="7CA373B5" wp14:editId="668C0536">
            <wp:extent cx="5631180" cy="2895600"/>
            <wp:effectExtent l="0" t="0" r="7620" b="0"/>
            <wp:docPr id="1079" name="Chart 1079" descr="Bar chart displaying the distribution of household income (2019) for Cambridgeshire and west Suffolk HM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441BA">
        <w:rPr>
          <w:color w:val="auto"/>
          <w:sz w:val="24"/>
          <w:szCs w:val="22"/>
        </w:rPr>
        <w:t>Source: Derived from a range of data as discussed</w:t>
      </w:r>
    </w:p>
    <w:p w14:paraId="144ADAF7" w14:textId="77777777" w:rsidR="00A13819" w:rsidRDefault="00A13819" w:rsidP="007D0FBF">
      <w:pPr>
        <w:pStyle w:val="11Bodytext"/>
      </w:pPr>
      <w:r>
        <w:t>The table below shows how incomes are estimated to vary across the six local authorities. The highest household incomes are in South Cambridgeshire (closely followed by Cambridge) and the lowest incomes are in Fenland.</w:t>
      </w:r>
    </w:p>
    <w:p w14:paraId="16BEE610" w14:textId="77777777" w:rsidR="00A13819" w:rsidRDefault="00A13819" w:rsidP="003D5E23">
      <w:pPr>
        <w:pStyle w:val="Tableheading"/>
        <w:numPr>
          <w:ilvl w:val="0"/>
          <w:numId w:val="54"/>
        </w:numPr>
      </w:pPr>
      <w:r>
        <w:lastRenderedPageBreak/>
        <w:t>Estimated household income by each local authority, 2019</w:t>
      </w:r>
    </w:p>
    <w:tbl>
      <w:tblPr>
        <w:tblStyle w:val="TableGridLight1"/>
        <w:tblW w:w="8513" w:type="dxa"/>
        <w:tblInd w:w="846" w:type="dxa"/>
        <w:tblLook w:val="04A0" w:firstRow="1" w:lastRow="0" w:firstColumn="1" w:lastColumn="0" w:noHBand="0" w:noVBand="1"/>
      </w:tblPr>
      <w:tblGrid>
        <w:gridCol w:w="2194"/>
        <w:gridCol w:w="2106"/>
        <w:gridCol w:w="2106"/>
        <w:gridCol w:w="2107"/>
      </w:tblGrid>
      <w:tr w:rsidR="002B6286" w:rsidRPr="002B6286" w14:paraId="359BCD00" w14:textId="77777777" w:rsidTr="004F4BA7">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94" w:type="dxa"/>
            <w:hideMark/>
          </w:tcPr>
          <w:p w14:paraId="348CAD5C" w14:textId="77777777" w:rsidR="00A13819" w:rsidRPr="002B6286" w:rsidRDefault="00A13819" w:rsidP="008E6E40">
            <w:pPr>
              <w:keepNext/>
              <w:rPr>
                <w:b w:val="0"/>
                <w:bCs/>
                <w:lang w:eastAsia="en-GB"/>
              </w:rPr>
            </w:pPr>
            <w:r w:rsidRPr="002B6286">
              <w:rPr>
                <w:b w:val="0"/>
                <w:bCs/>
                <w:lang w:eastAsia="en-GB"/>
              </w:rPr>
              <w:t> </w:t>
            </w:r>
          </w:p>
        </w:tc>
        <w:tc>
          <w:tcPr>
            <w:tcW w:w="2106" w:type="dxa"/>
            <w:hideMark/>
          </w:tcPr>
          <w:p w14:paraId="13E36915"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Mean</w:t>
            </w:r>
          </w:p>
        </w:tc>
        <w:tc>
          <w:tcPr>
            <w:tcW w:w="2106" w:type="dxa"/>
            <w:hideMark/>
          </w:tcPr>
          <w:p w14:paraId="1643091F"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Median</w:t>
            </w:r>
          </w:p>
        </w:tc>
        <w:tc>
          <w:tcPr>
            <w:tcW w:w="2107" w:type="dxa"/>
            <w:hideMark/>
          </w:tcPr>
          <w:p w14:paraId="24C1B079"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Lower Quartile</w:t>
            </w:r>
          </w:p>
        </w:tc>
      </w:tr>
      <w:tr w:rsidR="002B6286" w:rsidRPr="002B6286" w14:paraId="5459A651"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351457EF" w14:textId="77777777" w:rsidR="00A13819" w:rsidRPr="004F4BA7" w:rsidRDefault="00A13819" w:rsidP="008E6E40">
            <w:pPr>
              <w:keepNext/>
              <w:rPr>
                <w:lang w:eastAsia="en-GB"/>
              </w:rPr>
            </w:pPr>
            <w:r w:rsidRPr="004F4BA7">
              <w:rPr>
                <w:lang w:eastAsia="en-GB"/>
              </w:rPr>
              <w:t>Cambridge</w:t>
            </w:r>
          </w:p>
        </w:tc>
        <w:tc>
          <w:tcPr>
            <w:tcW w:w="2106" w:type="dxa"/>
            <w:hideMark/>
          </w:tcPr>
          <w:p w14:paraId="687E4AF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£57,700</w:t>
            </w:r>
          </w:p>
        </w:tc>
        <w:tc>
          <w:tcPr>
            <w:tcW w:w="2106" w:type="dxa"/>
            <w:hideMark/>
          </w:tcPr>
          <w:p w14:paraId="500F733F"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£43,900</w:t>
            </w:r>
          </w:p>
        </w:tc>
        <w:tc>
          <w:tcPr>
            <w:tcW w:w="2107" w:type="dxa"/>
            <w:hideMark/>
          </w:tcPr>
          <w:p w14:paraId="7BC51F96"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£25,400</w:t>
            </w:r>
          </w:p>
        </w:tc>
      </w:tr>
      <w:tr w:rsidR="002B6286" w:rsidRPr="002B6286" w14:paraId="46BD7739"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0E4E4FC4" w14:textId="77777777" w:rsidR="00A13819" w:rsidRPr="004F4BA7" w:rsidRDefault="00A13819" w:rsidP="008E6E40">
            <w:pPr>
              <w:keepNext/>
              <w:rPr>
                <w:lang w:eastAsia="en-GB"/>
              </w:rPr>
            </w:pPr>
            <w:r w:rsidRPr="004F4BA7">
              <w:rPr>
                <w:lang w:eastAsia="en-GB"/>
              </w:rPr>
              <w:t>East Cambs</w:t>
            </w:r>
          </w:p>
        </w:tc>
        <w:tc>
          <w:tcPr>
            <w:tcW w:w="2106" w:type="dxa"/>
            <w:hideMark/>
          </w:tcPr>
          <w:p w14:paraId="6D56B99D"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£51,700</w:t>
            </w:r>
          </w:p>
        </w:tc>
        <w:tc>
          <w:tcPr>
            <w:tcW w:w="2106" w:type="dxa"/>
            <w:hideMark/>
          </w:tcPr>
          <w:p w14:paraId="331BAAB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£39,300</w:t>
            </w:r>
          </w:p>
        </w:tc>
        <w:tc>
          <w:tcPr>
            <w:tcW w:w="2107" w:type="dxa"/>
            <w:hideMark/>
          </w:tcPr>
          <w:p w14:paraId="4770A02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£22,800</w:t>
            </w:r>
          </w:p>
        </w:tc>
      </w:tr>
      <w:tr w:rsidR="002B6286" w:rsidRPr="002B6286" w14:paraId="391AF557"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6D93AB3B" w14:textId="77777777" w:rsidR="00A13819" w:rsidRPr="004F4BA7" w:rsidRDefault="00A13819" w:rsidP="008E6E40">
            <w:pPr>
              <w:keepNext/>
              <w:rPr>
                <w:lang w:eastAsia="en-GB"/>
              </w:rPr>
            </w:pPr>
            <w:r w:rsidRPr="004F4BA7">
              <w:rPr>
                <w:lang w:eastAsia="en-GB"/>
              </w:rPr>
              <w:t>Fenland</w:t>
            </w:r>
          </w:p>
        </w:tc>
        <w:tc>
          <w:tcPr>
            <w:tcW w:w="2106" w:type="dxa"/>
            <w:hideMark/>
          </w:tcPr>
          <w:p w14:paraId="551CFB5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£41,500</w:t>
            </w:r>
          </w:p>
        </w:tc>
        <w:tc>
          <w:tcPr>
            <w:tcW w:w="2106" w:type="dxa"/>
            <w:hideMark/>
          </w:tcPr>
          <w:p w14:paraId="53E3B4E3"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£31,500</w:t>
            </w:r>
          </w:p>
        </w:tc>
        <w:tc>
          <w:tcPr>
            <w:tcW w:w="2107" w:type="dxa"/>
            <w:hideMark/>
          </w:tcPr>
          <w:p w14:paraId="619F58B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£18,200</w:t>
            </w:r>
          </w:p>
        </w:tc>
      </w:tr>
      <w:tr w:rsidR="002B6286" w:rsidRPr="002B6286" w14:paraId="7602500B"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5A42DF6C" w14:textId="77777777" w:rsidR="00A13819" w:rsidRPr="004F4BA7" w:rsidRDefault="00A13819" w:rsidP="008E6E40">
            <w:pPr>
              <w:keepNext/>
              <w:rPr>
                <w:lang w:eastAsia="en-GB"/>
              </w:rPr>
            </w:pPr>
            <w:r w:rsidRPr="004F4BA7">
              <w:rPr>
                <w:lang w:eastAsia="en-GB"/>
              </w:rPr>
              <w:t>Huntingdonshire</w:t>
            </w:r>
          </w:p>
        </w:tc>
        <w:tc>
          <w:tcPr>
            <w:tcW w:w="2106" w:type="dxa"/>
            <w:hideMark/>
          </w:tcPr>
          <w:p w14:paraId="528223C0"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£53,600</w:t>
            </w:r>
          </w:p>
        </w:tc>
        <w:tc>
          <w:tcPr>
            <w:tcW w:w="2106" w:type="dxa"/>
            <w:hideMark/>
          </w:tcPr>
          <w:p w14:paraId="65A25DB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£40,800</w:t>
            </w:r>
          </w:p>
        </w:tc>
        <w:tc>
          <w:tcPr>
            <w:tcW w:w="2107" w:type="dxa"/>
            <w:hideMark/>
          </w:tcPr>
          <w:p w14:paraId="20F1C43E"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£23,600</w:t>
            </w:r>
          </w:p>
        </w:tc>
      </w:tr>
      <w:tr w:rsidR="002B6286" w:rsidRPr="002B6286" w14:paraId="21975CB1"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51C5A7D0" w14:textId="77777777" w:rsidR="00A13819" w:rsidRPr="004F4BA7" w:rsidRDefault="00A13819" w:rsidP="008E6E40">
            <w:pPr>
              <w:keepNext/>
              <w:rPr>
                <w:lang w:eastAsia="en-GB"/>
              </w:rPr>
            </w:pPr>
            <w:r w:rsidRPr="004F4BA7">
              <w:rPr>
                <w:lang w:eastAsia="en-GB"/>
              </w:rPr>
              <w:t>South Cambs</w:t>
            </w:r>
          </w:p>
        </w:tc>
        <w:tc>
          <w:tcPr>
            <w:tcW w:w="2106" w:type="dxa"/>
            <w:hideMark/>
          </w:tcPr>
          <w:p w14:paraId="26C3AD1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£61,600</w:t>
            </w:r>
          </w:p>
        </w:tc>
        <w:tc>
          <w:tcPr>
            <w:tcW w:w="2106" w:type="dxa"/>
            <w:hideMark/>
          </w:tcPr>
          <w:p w14:paraId="3BD4B6C8"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£46,800</w:t>
            </w:r>
          </w:p>
        </w:tc>
        <w:tc>
          <w:tcPr>
            <w:tcW w:w="2107" w:type="dxa"/>
            <w:hideMark/>
          </w:tcPr>
          <w:p w14:paraId="6A74E58E"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£27,100</w:t>
            </w:r>
          </w:p>
        </w:tc>
      </w:tr>
      <w:tr w:rsidR="002B6286" w:rsidRPr="002B6286" w14:paraId="08CB1E1A"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46CBBF8D" w14:textId="77777777" w:rsidR="00A13819" w:rsidRPr="004F4BA7" w:rsidRDefault="00A13819" w:rsidP="008E6E40">
            <w:pPr>
              <w:keepNext/>
              <w:rPr>
                <w:lang w:eastAsia="en-GB"/>
              </w:rPr>
            </w:pPr>
            <w:r w:rsidRPr="004F4BA7">
              <w:rPr>
                <w:lang w:eastAsia="en-GB"/>
              </w:rPr>
              <w:t>West Suffolk</w:t>
            </w:r>
          </w:p>
        </w:tc>
        <w:tc>
          <w:tcPr>
            <w:tcW w:w="2106" w:type="dxa"/>
            <w:hideMark/>
          </w:tcPr>
          <w:p w14:paraId="1180687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£48,700</w:t>
            </w:r>
          </w:p>
        </w:tc>
        <w:tc>
          <w:tcPr>
            <w:tcW w:w="2106" w:type="dxa"/>
            <w:hideMark/>
          </w:tcPr>
          <w:p w14:paraId="0634EB83"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£37,100</w:t>
            </w:r>
          </w:p>
        </w:tc>
        <w:tc>
          <w:tcPr>
            <w:tcW w:w="2107" w:type="dxa"/>
            <w:hideMark/>
          </w:tcPr>
          <w:p w14:paraId="373BB63D"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£21,400</w:t>
            </w:r>
          </w:p>
        </w:tc>
      </w:tr>
      <w:tr w:rsidR="002B6286" w:rsidRPr="002B6286" w14:paraId="0B6A9C47" w14:textId="77777777" w:rsidTr="004F4BA7">
        <w:trPr>
          <w:trHeight w:val="234"/>
        </w:trPr>
        <w:tc>
          <w:tcPr>
            <w:cnfStyle w:val="001000000000" w:firstRow="0" w:lastRow="0" w:firstColumn="1" w:lastColumn="0" w:oddVBand="0" w:evenVBand="0" w:oddHBand="0" w:evenHBand="0" w:firstRowFirstColumn="0" w:firstRowLastColumn="0" w:lastRowFirstColumn="0" w:lastRowLastColumn="0"/>
            <w:tcW w:w="2194" w:type="dxa"/>
            <w:hideMark/>
          </w:tcPr>
          <w:p w14:paraId="734E7A0C" w14:textId="77777777" w:rsidR="00A13819" w:rsidRPr="002B6286" w:rsidRDefault="00A13819" w:rsidP="008E6E40">
            <w:pPr>
              <w:keepNext/>
              <w:rPr>
                <w:b/>
                <w:bCs/>
                <w:lang w:eastAsia="en-GB"/>
              </w:rPr>
            </w:pPr>
            <w:r w:rsidRPr="002B6286">
              <w:rPr>
                <w:b/>
                <w:bCs/>
                <w:lang w:eastAsia="en-GB"/>
              </w:rPr>
              <w:t>HMA</w:t>
            </w:r>
          </w:p>
        </w:tc>
        <w:tc>
          <w:tcPr>
            <w:tcW w:w="2106" w:type="dxa"/>
            <w:hideMark/>
          </w:tcPr>
          <w:p w14:paraId="24AD1DD0"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£52,900</w:t>
            </w:r>
          </w:p>
        </w:tc>
        <w:tc>
          <w:tcPr>
            <w:tcW w:w="2106" w:type="dxa"/>
            <w:hideMark/>
          </w:tcPr>
          <w:p w14:paraId="205D8D5B"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£39,900</w:t>
            </w:r>
          </w:p>
        </w:tc>
        <w:tc>
          <w:tcPr>
            <w:tcW w:w="2107" w:type="dxa"/>
            <w:hideMark/>
          </w:tcPr>
          <w:p w14:paraId="400498E7"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£23,100</w:t>
            </w:r>
          </w:p>
        </w:tc>
      </w:tr>
    </w:tbl>
    <w:p w14:paraId="13FA18C7" w14:textId="77777777" w:rsidR="00A13819" w:rsidRDefault="00A13819" w:rsidP="008E6E40">
      <w:pPr>
        <w:pStyle w:val="BodyText"/>
        <w:keepNext/>
        <w:tabs>
          <w:tab w:val="clear" w:pos="0"/>
          <w:tab w:val="left" w:pos="720"/>
        </w:tabs>
        <w:spacing w:after="0" w:line="240" w:lineRule="auto"/>
        <w:ind w:left="794" w:firstLine="0"/>
        <w:rPr>
          <w:rFonts w:ascii="Arial" w:hAnsi="Arial" w:cs="Arial"/>
        </w:rPr>
      </w:pPr>
      <w:r w:rsidRPr="00F85167">
        <w:rPr>
          <w:rFonts w:ascii="Arial" w:hAnsi="Arial" w:cs="Arial"/>
          <w:sz w:val="24"/>
          <w:szCs w:val="24"/>
        </w:rPr>
        <w:t>Source: ONS Modelled Income Estimates, EHS, and ASHE</w:t>
      </w:r>
    </w:p>
    <w:p w14:paraId="7C953A9E" w14:textId="77777777" w:rsidR="00A13819" w:rsidRDefault="00A13819" w:rsidP="007D0FBF">
      <w:pPr>
        <w:pStyle w:val="Heading2"/>
      </w:pPr>
      <w:r>
        <w:t>Affordability Thresholds</w:t>
      </w:r>
    </w:p>
    <w:p w14:paraId="03F6C5AD" w14:textId="77777777" w:rsidR="00A13819" w:rsidRDefault="00A13819" w:rsidP="007D0FBF">
      <w:pPr>
        <w:pStyle w:val="11Bodytext"/>
      </w:pPr>
      <w:r>
        <w:t xml:space="preserve">To assess affordability two different measures are used; </w:t>
      </w:r>
      <w:proofErr w:type="gramStart"/>
      <w:r>
        <w:t>firstly</w:t>
      </w:r>
      <w:proofErr w:type="gramEnd"/>
      <w:r>
        <w:t xml:space="preserve"> to consider what income levels are likely to be needed to access private rented housing without the need for a subsidy (this establishes those households in need of social/affordable rent housing) and secondly to consider what income level is needed to access owner-occupation (this, along with the first test helps to identify households in the ‘gap’ between renting and buying). </w:t>
      </w:r>
    </w:p>
    <w:p w14:paraId="2D0A1E25" w14:textId="77777777" w:rsidR="00A13819" w:rsidRDefault="00A13819" w:rsidP="007D0FBF">
      <w:pPr>
        <w:pStyle w:val="11Bodytext"/>
      </w:pPr>
      <w:r>
        <w:t>Additionally, different affordability tests are applied to different parts of the analysis depending on the group being studied (</w:t>
      </w:r>
      <w:proofErr w:type="gramStart"/>
      <w:r>
        <w:t>e.g.</w:t>
      </w:r>
      <w:proofErr w:type="gramEnd"/>
      <w:r>
        <w:t xml:space="preserve"> recognising that newly forming households are likely on average to have lower incomes and less capital than existing households).</w:t>
      </w:r>
    </w:p>
    <w:p w14:paraId="78332FEE" w14:textId="77777777" w:rsidR="00A13819" w:rsidRDefault="00A13819" w:rsidP="007D0FBF">
      <w:pPr>
        <w:pStyle w:val="11Bodytext"/>
      </w:pPr>
      <w:r>
        <w:t xml:space="preserve">A household is considered able to afford market rented housing in cases where the rent payable would constitute no more than a particular percentage of gross income. The choice of an appropriate threshold is an important aspect of the analysis – the PPG does not provide any guidance on this issue. </w:t>
      </w:r>
    </w:p>
    <w:p w14:paraId="5EC2AA08" w14:textId="77777777" w:rsidR="00A13819" w:rsidRDefault="00A13819" w:rsidP="007D0FBF">
      <w:pPr>
        <w:pStyle w:val="11Bodytext"/>
      </w:pPr>
      <w:r>
        <w:t>The then Department for Communities and Local Government (DCLG) SHMA guidance</w:t>
      </w:r>
      <w:r>
        <w:rPr>
          <w:rStyle w:val="FootnoteReference"/>
        </w:rPr>
        <w:footnoteReference w:id="13"/>
      </w:r>
      <w:r>
        <w:t xml:space="preserve"> prepared in 2007 suggested that 25% of income is a reasonable start point, also noted that a different figure could be used. Analysis of current letting practice suggests that letting agents typically work on a multiple of 40% of gross </w:t>
      </w:r>
      <w:r>
        <w:lastRenderedPageBreak/>
        <w:t>income. Government policy (through Housing Benefit payment thresholds) would also suggest a figure of 40%+ (depending on household characteristics).</w:t>
      </w:r>
    </w:p>
    <w:p w14:paraId="6D01D663" w14:textId="77777777" w:rsidR="00A13819" w:rsidRDefault="00A13819" w:rsidP="007D0FBF">
      <w:pPr>
        <w:pStyle w:val="11Bodytext"/>
      </w:pPr>
      <w:r>
        <w:t xml:space="preserve">We believe the threshold of income to be spent on housing should be set by asking the question ‘what level of income is expected to be required for a household to be able to access market housing without the need for a subsidy?’ The choice of an appropriate threshold is, therefore, judgment based. </w:t>
      </w:r>
    </w:p>
    <w:p w14:paraId="7A8A79DD" w14:textId="77777777" w:rsidR="00A13819" w:rsidRDefault="00A13819" w:rsidP="007D0FBF">
      <w:pPr>
        <w:pStyle w:val="11Bodytext"/>
      </w:pPr>
      <w:r>
        <w:t>The key consideration to understand here is that local income levels are not setting the threshold but are simply being used to assess how many households can or cannot afford market housing. It is important to consider what residual income is left after households have paid for housing.</w:t>
      </w:r>
    </w:p>
    <w:p w14:paraId="2D7214B0" w14:textId="77777777" w:rsidR="00A13819" w:rsidRDefault="00A13819" w:rsidP="007D0FBF">
      <w:pPr>
        <w:pStyle w:val="11Bodytext"/>
      </w:pPr>
      <w:r>
        <w:t xml:space="preserve">At £685 per calendar month, lower quartile rent levels in the HMA are relatively high in comparison to those seen nationally. This would suggest that a proportion of income to be spent on housing could be higher than in areas where private rents are lower. </w:t>
      </w:r>
    </w:p>
    <w:p w14:paraId="0C907217" w14:textId="77777777" w:rsidR="00A13819" w:rsidRDefault="00A13819" w:rsidP="007D0FBF">
      <w:pPr>
        <w:pStyle w:val="11Bodytext"/>
      </w:pPr>
      <w:r>
        <w:t>Across England, the lowest lower quartile rents are around £400 per month (areas with rents at or below this level include Hull and Burnley, there were a total of 12 local authorities with lower quartile rents not exceeding £400 per month).  If these areas are considered to be at the bottom end of the range (</w:t>
      </w:r>
      <w:proofErr w:type="gramStart"/>
      <w:r>
        <w:t>i.e.</w:t>
      </w:r>
      <w:proofErr w:type="gramEnd"/>
      <w:r>
        <w:t xml:space="preserve"> 25% of income to be spent on housing) then this would leave a residual income of £1,200 per month (if £400 = 25% then total income would be £1600.  Once rent (£400) is deducted this leaves £1200 per month). </w:t>
      </w:r>
    </w:p>
    <w:p w14:paraId="1C75A124" w14:textId="77777777" w:rsidR="00A13819" w:rsidRDefault="00A13819" w:rsidP="007D0FBF">
      <w:pPr>
        <w:pStyle w:val="11Bodytext"/>
      </w:pPr>
      <w:r>
        <w:t>With the same residual income applied to the HMA, the gross household income required to afford a £685 pcm lower quartile rent would be £1,885 and so the percentage spent on housing would be 36% (£1200+£685 with rents at £685 equating to 36% of £1,885).</w:t>
      </w:r>
    </w:p>
    <w:p w14:paraId="21CC419C" w14:textId="77777777" w:rsidR="004F4BA7" w:rsidRDefault="004F4BA7">
      <w:pPr>
        <w:spacing w:after="200"/>
        <w:rPr>
          <w:bCs/>
          <w:sz w:val="24"/>
          <w:szCs w:val="24"/>
        </w:rPr>
      </w:pPr>
      <w:r>
        <w:br w:type="page"/>
      </w:r>
    </w:p>
    <w:p w14:paraId="67B3B22D" w14:textId="0CAE9D11" w:rsidR="00A13819" w:rsidRDefault="00A13819" w:rsidP="007D0FBF">
      <w:pPr>
        <w:pStyle w:val="11Bodytext"/>
      </w:pPr>
      <w:r>
        <w:lastRenderedPageBreak/>
        <w:t>It also needs to be considered that the cost of living in Cambridgeshire and West Suffolk is likely to be higher than in cheaper parts of England and so a pragmatic approach to determining a reasonable proportion of income has been to take a midpoint between the bottom (25%) and the equivalent residual income figure (36% if looking at the HMA). In this example, a threshold of 30.7% (rounded to 31%) would be considered reasonable.</w:t>
      </w:r>
    </w:p>
    <w:p w14:paraId="73C748DA" w14:textId="77777777" w:rsidR="00A13819" w:rsidRDefault="00A13819" w:rsidP="007D0FBF">
      <w:pPr>
        <w:pStyle w:val="11Bodytext"/>
      </w:pPr>
      <w:r>
        <w:t>There are differences in housing costs in different parts of the study area and so this analysis has been carried out for all local authorities individually. Below are the affordability thresholds used in the analysis for each location reflecting the proportion of household income it is reasonable that households spend on housing costs:</w:t>
      </w:r>
    </w:p>
    <w:p w14:paraId="3F42D19A" w14:textId="77777777" w:rsidR="00A13819" w:rsidRDefault="00A13819" w:rsidP="00097650">
      <w:pPr>
        <w:pStyle w:val="10BulletBodytext"/>
      </w:pPr>
      <w:r>
        <w:t>Cambridge – 35%;</w:t>
      </w:r>
    </w:p>
    <w:p w14:paraId="016FC4E9" w14:textId="77777777" w:rsidR="00A13819" w:rsidRDefault="00A13819" w:rsidP="00097650">
      <w:pPr>
        <w:pStyle w:val="10BulletBodytext"/>
      </w:pPr>
      <w:r>
        <w:t>East Cambridgeshire – 31%;</w:t>
      </w:r>
    </w:p>
    <w:p w14:paraId="37E1C875" w14:textId="77777777" w:rsidR="00A13819" w:rsidRDefault="00A13819" w:rsidP="00097650">
      <w:pPr>
        <w:pStyle w:val="10BulletBodytext"/>
      </w:pPr>
      <w:r>
        <w:t>Fenland – 28%;</w:t>
      </w:r>
    </w:p>
    <w:p w14:paraId="6BD3F19E" w14:textId="77777777" w:rsidR="00A13819" w:rsidRDefault="00A13819" w:rsidP="00097650">
      <w:pPr>
        <w:pStyle w:val="10BulletBodytext"/>
      </w:pPr>
      <w:r>
        <w:t>Huntingdonshire – 30%;</w:t>
      </w:r>
    </w:p>
    <w:p w14:paraId="3CE919C8" w14:textId="77777777" w:rsidR="00A13819" w:rsidRDefault="00A13819" w:rsidP="00097650">
      <w:pPr>
        <w:pStyle w:val="10BulletBodytext"/>
      </w:pPr>
      <w:r>
        <w:t>South Cambridgeshire – 34%; and</w:t>
      </w:r>
    </w:p>
    <w:p w14:paraId="558EF056" w14:textId="77777777" w:rsidR="00A13819" w:rsidRDefault="00A13819" w:rsidP="00097650">
      <w:pPr>
        <w:pStyle w:val="10BulletBodytext"/>
      </w:pPr>
      <w:r>
        <w:t xml:space="preserve">West Suffolk – 31% </w:t>
      </w:r>
    </w:p>
    <w:p w14:paraId="0B26E1B1" w14:textId="77777777" w:rsidR="00A13819" w:rsidRDefault="00A13819" w:rsidP="007D0FBF">
      <w:pPr>
        <w:pStyle w:val="11Bodytext"/>
      </w:pPr>
      <w:r>
        <w:t>In reality, many households may well spend a higher proportion of their income on housing and therefore would have less money for other living costs – for this assessment these households would essentially be assumed as ideally having some form of subsidised rent to ensure a sufficient level of residual income.</w:t>
      </w:r>
    </w:p>
    <w:p w14:paraId="6DACF101" w14:textId="77777777" w:rsidR="00A13819" w:rsidRDefault="00A13819" w:rsidP="007D0FBF">
      <w:pPr>
        <w:pStyle w:val="11Bodytext"/>
      </w:pPr>
      <w:r>
        <w:t>Generally, the income required to access owner-occupied housing is higher than that required to rent and so the analysis of the need for social/affordable rent housing is based on the ability to afford to access private rented housing. However, local house prices (and affordability) are important when looking at the need for affordable home ownership.</w:t>
      </w:r>
    </w:p>
    <w:p w14:paraId="1EA6ABED" w14:textId="77777777" w:rsidR="00A13819" w:rsidRDefault="00A13819" w:rsidP="007D0FBF">
      <w:pPr>
        <w:pStyle w:val="11Bodytext"/>
      </w:pPr>
      <w:r>
        <w:t xml:space="preserve">For this assessment, the income thresholds for owner-occupation assume a household </w:t>
      </w:r>
      <w:proofErr w:type="gramStart"/>
      <w:r>
        <w:t>has</w:t>
      </w:r>
      <w:proofErr w:type="gramEnd"/>
      <w:r>
        <w:t xml:space="preserve"> a 10% deposit and can secure a mortgage for four and a half times their salary. These assumptions are considered to be broadly in line with typical lending practices although it is recognised that there will be differences on a case by case basis.</w:t>
      </w:r>
    </w:p>
    <w:p w14:paraId="7B1E609C" w14:textId="77777777" w:rsidR="00A13819" w:rsidRPr="00526C6E" w:rsidRDefault="00A13819" w:rsidP="007D0FBF">
      <w:pPr>
        <w:pStyle w:val="11Bodytext"/>
        <w:rPr>
          <w:b/>
        </w:rPr>
      </w:pPr>
      <w:r>
        <w:lastRenderedPageBreak/>
        <w:t>The table below shows the estimated incomes required to both buy and rent (privately) in each local authority (based on lower quartile house prices and rents). This shows a notable ‘gap’ in Cambridge and a much narrower spread of incomes required for Fenland – the figures reflect the varying housing costs in different locations.</w:t>
      </w:r>
    </w:p>
    <w:p w14:paraId="576D45BE" w14:textId="77777777" w:rsidR="00A13819" w:rsidRDefault="00A13819" w:rsidP="003D5E23">
      <w:pPr>
        <w:pStyle w:val="Tableheading"/>
        <w:numPr>
          <w:ilvl w:val="0"/>
          <w:numId w:val="54"/>
        </w:numPr>
      </w:pPr>
      <w:r>
        <w:t>Estimated gross household income required to buy and privately rent (£)</w:t>
      </w:r>
    </w:p>
    <w:tbl>
      <w:tblPr>
        <w:tblStyle w:val="TableGridLight1"/>
        <w:tblW w:w="8593" w:type="dxa"/>
        <w:tblInd w:w="846" w:type="dxa"/>
        <w:tblLook w:val="04A0" w:firstRow="1" w:lastRow="0" w:firstColumn="1" w:lastColumn="0" w:noHBand="0" w:noVBand="1"/>
      </w:tblPr>
      <w:tblGrid>
        <w:gridCol w:w="2864"/>
        <w:gridCol w:w="2864"/>
        <w:gridCol w:w="2865"/>
      </w:tblGrid>
      <w:tr w:rsidR="002B6286" w:rsidRPr="002B6286" w14:paraId="3077148F" w14:textId="77777777" w:rsidTr="002B6286">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864" w:type="dxa"/>
            <w:hideMark/>
          </w:tcPr>
          <w:p w14:paraId="16197AA5" w14:textId="77777777" w:rsidR="00A13819" w:rsidRPr="002B6286" w:rsidRDefault="00A13819" w:rsidP="001D508A">
            <w:pPr>
              <w:rPr>
                <w:lang w:eastAsia="en-GB"/>
              </w:rPr>
            </w:pPr>
            <w:r w:rsidRPr="002B6286">
              <w:rPr>
                <w:lang w:eastAsia="en-GB"/>
              </w:rPr>
              <w:t> </w:t>
            </w:r>
          </w:p>
        </w:tc>
        <w:tc>
          <w:tcPr>
            <w:tcW w:w="2864" w:type="dxa"/>
            <w:hideMark/>
          </w:tcPr>
          <w:p w14:paraId="6A82BFA4" w14:textId="77777777" w:rsidR="00A13819" w:rsidRPr="002B6286" w:rsidRDefault="00A13819" w:rsidP="001D508A">
            <w:pPr>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To buy</w:t>
            </w:r>
          </w:p>
        </w:tc>
        <w:tc>
          <w:tcPr>
            <w:tcW w:w="2865" w:type="dxa"/>
            <w:hideMark/>
          </w:tcPr>
          <w:p w14:paraId="34FEDD28" w14:textId="77777777" w:rsidR="00A13819" w:rsidRPr="002B6286" w:rsidRDefault="00A13819" w:rsidP="001D508A">
            <w:pPr>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To rent (privately)</w:t>
            </w:r>
          </w:p>
        </w:tc>
      </w:tr>
      <w:tr w:rsidR="002B6286" w:rsidRPr="002B6286" w14:paraId="75F3EA3B"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635C814C" w14:textId="77777777" w:rsidR="00A13819" w:rsidRPr="004F4BA7" w:rsidRDefault="00A13819" w:rsidP="001D508A">
            <w:pPr>
              <w:rPr>
                <w:bCs/>
                <w:lang w:eastAsia="en-GB"/>
              </w:rPr>
            </w:pPr>
            <w:r w:rsidRPr="004F4BA7">
              <w:rPr>
                <w:bCs/>
                <w:lang w:eastAsia="en-GB"/>
              </w:rPr>
              <w:t>Cambridge</w:t>
            </w:r>
          </w:p>
        </w:tc>
        <w:tc>
          <w:tcPr>
            <w:tcW w:w="2864" w:type="dxa"/>
            <w:hideMark/>
          </w:tcPr>
          <w:p w14:paraId="6ED92828"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£64,400</w:t>
            </w:r>
          </w:p>
        </w:tc>
        <w:tc>
          <w:tcPr>
            <w:tcW w:w="2865" w:type="dxa"/>
            <w:hideMark/>
          </w:tcPr>
          <w:p w14:paraId="1BE687C9"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£33,500</w:t>
            </w:r>
          </w:p>
        </w:tc>
      </w:tr>
      <w:tr w:rsidR="002B6286" w:rsidRPr="002B6286" w14:paraId="48B94143"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296DCCD3" w14:textId="77777777" w:rsidR="00A13819" w:rsidRPr="004F4BA7" w:rsidRDefault="00A13819" w:rsidP="001D508A">
            <w:pPr>
              <w:rPr>
                <w:bCs/>
                <w:lang w:eastAsia="en-GB"/>
              </w:rPr>
            </w:pPr>
            <w:r w:rsidRPr="004F4BA7">
              <w:rPr>
                <w:bCs/>
                <w:lang w:eastAsia="en-GB"/>
              </w:rPr>
              <w:t>East Cambs</w:t>
            </w:r>
          </w:p>
        </w:tc>
        <w:tc>
          <w:tcPr>
            <w:tcW w:w="2864" w:type="dxa"/>
            <w:hideMark/>
          </w:tcPr>
          <w:p w14:paraId="74578A00"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£44,200</w:t>
            </w:r>
          </w:p>
        </w:tc>
        <w:tc>
          <w:tcPr>
            <w:tcW w:w="2865" w:type="dxa"/>
            <w:hideMark/>
          </w:tcPr>
          <w:p w14:paraId="5D56098D"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£27,200</w:t>
            </w:r>
          </w:p>
        </w:tc>
      </w:tr>
      <w:tr w:rsidR="002B6286" w:rsidRPr="002B6286" w14:paraId="7C6581A9"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0609756B" w14:textId="77777777" w:rsidR="00A13819" w:rsidRPr="004F4BA7" w:rsidRDefault="00A13819" w:rsidP="001D508A">
            <w:pPr>
              <w:rPr>
                <w:bCs/>
                <w:lang w:eastAsia="en-GB"/>
              </w:rPr>
            </w:pPr>
            <w:r w:rsidRPr="004F4BA7">
              <w:rPr>
                <w:bCs/>
                <w:lang w:eastAsia="en-GB"/>
              </w:rPr>
              <w:t>Fenland</w:t>
            </w:r>
          </w:p>
        </w:tc>
        <w:tc>
          <w:tcPr>
            <w:tcW w:w="2864" w:type="dxa"/>
            <w:hideMark/>
          </w:tcPr>
          <w:p w14:paraId="33EA47B0"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£29,800</w:t>
            </w:r>
          </w:p>
        </w:tc>
        <w:tc>
          <w:tcPr>
            <w:tcW w:w="2865" w:type="dxa"/>
            <w:hideMark/>
          </w:tcPr>
          <w:p w14:paraId="3DCCFF28"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£22,700</w:t>
            </w:r>
          </w:p>
        </w:tc>
      </w:tr>
      <w:tr w:rsidR="002B6286" w:rsidRPr="002B6286" w14:paraId="1084BF09"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5D2C3252" w14:textId="77777777" w:rsidR="00A13819" w:rsidRPr="004F4BA7" w:rsidRDefault="00A13819" w:rsidP="001D508A">
            <w:pPr>
              <w:rPr>
                <w:bCs/>
                <w:lang w:eastAsia="en-GB"/>
              </w:rPr>
            </w:pPr>
            <w:r w:rsidRPr="004F4BA7">
              <w:rPr>
                <w:bCs/>
                <w:lang w:eastAsia="en-GB"/>
              </w:rPr>
              <w:t>Huntingdonshire</w:t>
            </w:r>
          </w:p>
        </w:tc>
        <w:tc>
          <w:tcPr>
            <w:tcW w:w="2864" w:type="dxa"/>
            <w:hideMark/>
          </w:tcPr>
          <w:p w14:paraId="03934C6F"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£41,200</w:t>
            </w:r>
          </w:p>
        </w:tc>
        <w:tc>
          <w:tcPr>
            <w:tcW w:w="2865" w:type="dxa"/>
            <w:hideMark/>
          </w:tcPr>
          <w:p w14:paraId="44E7ED3B"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£26,100</w:t>
            </w:r>
          </w:p>
        </w:tc>
      </w:tr>
      <w:tr w:rsidR="002B6286" w:rsidRPr="002B6286" w14:paraId="23A16A80"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4FA18480" w14:textId="77777777" w:rsidR="00A13819" w:rsidRPr="004F4BA7" w:rsidRDefault="00A13819" w:rsidP="001D508A">
            <w:pPr>
              <w:rPr>
                <w:bCs/>
                <w:lang w:eastAsia="en-GB"/>
              </w:rPr>
            </w:pPr>
            <w:r w:rsidRPr="004F4BA7">
              <w:rPr>
                <w:bCs/>
                <w:lang w:eastAsia="en-GB"/>
              </w:rPr>
              <w:t>South Cambs</w:t>
            </w:r>
          </w:p>
        </w:tc>
        <w:tc>
          <w:tcPr>
            <w:tcW w:w="2864" w:type="dxa"/>
            <w:hideMark/>
          </w:tcPr>
          <w:p w14:paraId="0265003D"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£54,800</w:t>
            </w:r>
          </w:p>
        </w:tc>
        <w:tc>
          <w:tcPr>
            <w:tcW w:w="2865" w:type="dxa"/>
            <w:hideMark/>
          </w:tcPr>
          <w:p w14:paraId="77C6E08D"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£31,200</w:t>
            </w:r>
          </w:p>
        </w:tc>
      </w:tr>
      <w:tr w:rsidR="002B6286" w:rsidRPr="002B6286" w14:paraId="56A4AA06"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027F82DA" w14:textId="77777777" w:rsidR="00A13819" w:rsidRPr="004F4BA7" w:rsidRDefault="00A13819" w:rsidP="001D508A">
            <w:pPr>
              <w:rPr>
                <w:bCs/>
                <w:lang w:eastAsia="en-GB"/>
              </w:rPr>
            </w:pPr>
            <w:r w:rsidRPr="004F4BA7">
              <w:rPr>
                <w:bCs/>
                <w:lang w:eastAsia="en-GB"/>
              </w:rPr>
              <w:t>West Suffolk</w:t>
            </w:r>
          </w:p>
        </w:tc>
        <w:tc>
          <w:tcPr>
            <w:tcW w:w="2864" w:type="dxa"/>
            <w:hideMark/>
          </w:tcPr>
          <w:p w14:paraId="70CB8A35"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£39,000</w:t>
            </w:r>
          </w:p>
        </w:tc>
        <w:tc>
          <w:tcPr>
            <w:tcW w:w="2865" w:type="dxa"/>
            <w:hideMark/>
          </w:tcPr>
          <w:p w14:paraId="4B82091E" w14:textId="77777777" w:rsidR="00A13819" w:rsidRPr="002B6286"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£27,900</w:t>
            </w:r>
          </w:p>
        </w:tc>
      </w:tr>
      <w:tr w:rsidR="002B6286" w:rsidRPr="002B6286" w14:paraId="255A1984" w14:textId="77777777" w:rsidTr="002B6286">
        <w:trPr>
          <w:trHeight w:val="270"/>
        </w:trPr>
        <w:tc>
          <w:tcPr>
            <w:cnfStyle w:val="001000000000" w:firstRow="0" w:lastRow="0" w:firstColumn="1" w:lastColumn="0" w:oddVBand="0" w:evenVBand="0" w:oddHBand="0" w:evenHBand="0" w:firstRowFirstColumn="0" w:firstRowLastColumn="0" w:lastRowFirstColumn="0" w:lastRowLastColumn="0"/>
            <w:tcW w:w="2864" w:type="dxa"/>
            <w:hideMark/>
          </w:tcPr>
          <w:p w14:paraId="061B9820" w14:textId="77777777" w:rsidR="00A13819" w:rsidRPr="002B6286" w:rsidRDefault="00A13819" w:rsidP="001D508A">
            <w:pPr>
              <w:rPr>
                <w:b/>
                <w:lang w:eastAsia="en-GB"/>
              </w:rPr>
            </w:pPr>
            <w:r w:rsidRPr="002B6286">
              <w:rPr>
                <w:b/>
                <w:lang w:eastAsia="en-GB"/>
              </w:rPr>
              <w:t>HMA</w:t>
            </w:r>
          </w:p>
        </w:tc>
        <w:tc>
          <w:tcPr>
            <w:tcW w:w="2864" w:type="dxa"/>
            <w:hideMark/>
          </w:tcPr>
          <w:p w14:paraId="6BA7C556"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£40,000</w:t>
            </w:r>
          </w:p>
        </w:tc>
        <w:tc>
          <w:tcPr>
            <w:tcW w:w="2865" w:type="dxa"/>
            <w:hideMark/>
          </w:tcPr>
          <w:p w14:paraId="1E4A598C"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£26,800</w:t>
            </w:r>
          </w:p>
        </w:tc>
      </w:tr>
    </w:tbl>
    <w:p w14:paraId="0C91A5A3" w14:textId="77777777" w:rsidR="00A13819" w:rsidRPr="00F85167" w:rsidRDefault="00A13819" w:rsidP="00A13819">
      <w:pPr>
        <w:pStyle w:val="Bodytextwithindent"/>
        <w:spacing w:before="0" w:after="120"/>
        <w:rPr>
          <w:sz w:val="24"/>
          <w:szCs w:val="22"/>
        </w:rPr>
      </w:pPr>
      <w:r w:rsidRPr="00F85167">
        <w:rPr>
          <w:sz w:val="24"/>
          <w:szCs w:val="22"/>
        </w:rPr>
        <w:t>Source: Based on Housing Market Cost Analysis</w:t>
      </w:r>
    </w:p>
    <w:p w14:paraId="4A8C1909" w14:textId="77777777" w:rsidR="00A13819" w:rsidRDefault="00A13819" w:rsidP="007D0FBF">
      <w:pPr>
        <w:pStyle w:val="Heading2"/>
      </w:pPr>
      <w:r>
        <w:t>Need for Social/Affordable Rented Housing</w:t>
      </w:r>
    </w:p>
    <w:p w14:paraId="7BA9384C" w14:textId="77777777" w:rsidR="00A13819" w:rsidRPr="00526C6E" w:rsidRDefault="00A13819" w:rsidP="007D0FBF">
      <w:pPr>
        <w:pStyle w:val="11Bodytext"/>
        <w:rPr>
          <w:b/>
        </w:rPr>
      </w:pPr>
      <w:r>
        <w:t>The sections below work through the various stages of the analysis to estimate the social/affordable housing need for rented accommodation in each local authority. The final figures are provided as an annual need (including an allowance to deal with current needs). As per 2a-024 of the PPG, this figure can then be compared with the likely delivery of affordable housing.</w:t>
      </w:r>
    </w:p>
    <w:p w14:paraId="25E1A722" w14:textId="77777777" w:rsidR="00A13819" w:rsidRDefault="00A13819" w:rsidP="007D0FBF">
      <w:pPr>
        <w:pStyle w:val="Heading3"/>
      </w:pPr>
      <w:r>
        <w:t>Current Need</w:t>
      </w:r>
    </w:p>
    <w:p w14:paraId="5CD59000" w14:textId="77777777" w:rsidR="00A13819" w:rsidRDefault="00A13819" w:rsidP="007D0FBF">
      <w:pPr>
        <w:pStyle w:val="11Bodytext"/>
      </w:pPr>
      <w:r>
        <w:t xml:space="preserve">In line with PPG paragraph 2a-020, the current need for affordable housing for rent has been based on considering the likely number of households with one or more housing problems. The table below sets out the categories in the PPG and the sources of data being used to establish numbers. </w:t>
      </w:r>
    </w:p>
    <w:p w14:paraId="0802493D" w14:textId="77777777" w:rsidR="00A13819" w:rsidRPr="00526C6E" w:rsidRDefault="00A13819" w:rsidP="007D0FBF">
      <w:pPr>
        <w:pStyle w:val="11Bodytext"/>
        <w:rPr>
          <w:b/>
        </w:rPr>
      </w:pPr>
      <w:r>
        <w:t>The PPG also includes a category where households cannot afford to own a home despite aspiring to – this category is considered separately in this report (under the title of the need for affordable home ownership, starting at paragraph 4.93).</w:t>
      </w:r>
    </w:p>
    <w:p w14:paraId="5AC05897" w14:textId="6C94ADFD" w:rsidR="00A13819" w:rsidRDefault="00A13819" w:rsidP="003D5E23">
      <w:pPr>
        <w:pStyle w:val="Tableheading"/>
        <w:numPr>
          <w:ilvl w:val="0"/>
          <w:numId w:val="54"/>
        </w:numPr>
      </w:pPr>
      <w:r>
        <w:lastRenderedPageBreak/>
        <w:t>Main sources for assessing the current unmet need for affordable housing for rent</w:t>
      </w:r>
      <w:r>
        <w:rPr>
          <w:rStyle w:val="FootnoteReference"/>
        </w:rPr>
        <w:footnoteReference w:id="14"/>
      </w:r>
    </w:p>
    <w:tbl>
      <w:tblPr>
        <w:tblStyle w:val="TableGridLight1"/>
        <w:tblW w:w="8851" w:type="dxa"/>
        <w:tblInd w:w="562" w:type="dxa"/>
        <w:tblLook w:val="04A0" w:firstRow="1" w:lastRow="0" w:firstColumn="1" w:lastColumn="0" w:noHBand="0" w:noVBand="1"/>
      </w:tblPr>
      <w:tblGrid>
        <w:gridCol w:w="2604"/>
        <w:gridCol w:w="2464"/>
        <w:gridCol w:w="3783"/>
      </w:tblGrid>
      <w:tr w:rsidR="002B6286" w:rsidRPr="002B6286" w14:paraId="45C03A40" w14:textId="77777777" w:rsidTr="004F4BA7">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0" w:type="auto"/>
            <w:hideMark/>
          </w:tcPr>
          <w:p w14:paraId="29CDB085" w14:textId="77777777" w:rsidR="002B6286" w:rsidRPr="002B6286" w:rsidRDefault="002B6286" w:rsidP="00A441BA">
            <w:pPr>
              <w:keepNext/>
              <w:rPr>
                <w:bCs/>
                <w:lang w:eastAsia="en-GB"/>
              </w:rPr>
            </w:pPr>
            <w:r w:rsidRPr="002B6286">
              <w:rPr>
                <w:bCs/>
                <w:lang w:eastAsia="en-GB"/>
              </w:rPr>
              <w:t> </w:t>
            </w:r>
          </w:p>
        </w:tc>
        <w:tc>
          <w:tcPr>
            <w:tcW w:w="0" w:type="auto"/>
            <w:hideMark/>
          </w:tcPr>
          <w:p w14:paraId="52F9B6CE" w14:textId="77777777" w:rsidR="002B6286" w:rsidRPr="002B6286" w:rsidRDefault="002B6286" w:rsidP="00A441BA">
            <w:pPr>
              <w:keepNext/>
              <w:cnfStyle w:val="100000000000" w:firstRow="1" w:lastRow="0" w:firstColumn="0" w:lastColumn="0" w:oddVBand="0" w:evenVBand="0" w:oddHBand="0" w:evenHBand="0" w:firstRowFirstColumn="0" w:firstRowLastColumn="0" w:lastRowFirstColumn="0" w:lastRowLastColumn="0"/>
              <w:rPr>
                <w:bCs/>
                <w:lang w:eastAsia="en-GB"/>
              </w:rPr>
            </w:pPr>
            <w:r w:rsidRPr="002B6286">
              <w:rPr>
                <w:bCs/>
                <w:lang w:eastAsia="en-GB"/>
              </w:rPr>
              <w:t>Source</w:t>
            </w:r>
          </w:p>
        </w:tc>
        <w:tc>
          <w:tcPr>
            <w:tcW w:w="3783" w:type="dxa"/>
            <w:hideMark/>
          </w:tcPr>
          <w:p w14:paraId="50E6EA88" w14:textId="77777777" w:rsidR="002B6286" w:rsidRPr="002B6286" w:rsidRDefault="002B6286" w:rsidP="00A441BA">
            <w:pPr>
              <w:keepNext/>
              <w:cnfStyle w:val="100000000000" w:firstRow="1" w:lastRow="0" w:firstColumn="0" w:lastColumn="0" w:oddVBand="0" w:evenVBand="0" w:oddHBand="0" w:evenHBand="0" w:firstRowFirstColumn="0" w:firstRowLastColumn="0" w:lastRowFirstColumn="0" w:lastRowLastColumn="0"/>
              <w:rPr>
                <w:bCs/>
                <w:lang w:eastAsia="en-GB"/>
              </w:rPr>
            </w:pPr>
            <w:r w:rsidRPr="002B6286">
              <w:rPr>
                <w:bCs/>
                <w:lang w:eastAsia="en-GB"/>
              </w:rPr>
              <w:t>Notes</w:t>
            </w:r>
          </w:p>
        </w:tc>
      </w:tr>
      <w:tr w:rsidR="002B6286" w:rsidRPr="002B6286" w14:paraId="112BE13F" w14:textId="77777777" w:rsidTr="004F4BA7">
        <w:trPr>
          <w:trHeight w:val="850"/>
        </w:trPr>
        <w:tc>
          <w:tcPr>
            <w:cnfStyle w:val="001000000000" w:firstRow="0" w:lastRow="0" w:firstColumn="1" w:lastColumn="0" w:oddVBand="0" w:evenVBand="0" w:oddHBand="0" w:evenHBand="0" w:firstRowFirstColumn="0" w:firstRowLastColumn="0" w:lastRowFirstColumn="0" w:lastRowLastColumn="0"/>
            <w:tcW w:w="0" w:type="auto"/>
            <w:hideMark/>
          </w:tcPr>
          <w:p w14:paraId="7A8770BA" w14:textId="77777777" w:rsidR="002B6286" w:rsidRPr="002B6286" w:rsidRDefault="002B6286" w:rsidP="00A441BA">
            <w:pPr>
              <w:keepNext/>
              <w:jc w:val="center"/>
              <w:rPr>
                <w:lang w:eastAsia="en-GB"/>
              </w:rPr>
            </w:pPr>
            <w:r w:rsidRPr="002B6286">
              <w:rPr>
                <w:lang w:eastAsia="en-GB"/>
              </w:rPr>
              <w:t>Homeless households (and those in temporary accommodation)</w:t>
            </w:r>
          </w:p>
        </w:tc>
        <w:tc>
          <w:tcPr>
            <w:tcW w:w="0" w:type="auto"/>
            <w:hideMark/>
          </w:tcPr>
          <w:p w14:paraId="38FC9AB7"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MHCLG Live Table 784</w:t>
            </w:r>
          </w:p>
        </w:tc>
        <w:tc>
          <w:tcPr>
            <w:tcW w:w="3783" w:type="dxa"/>
            <w:hideMark/>
          </w:tcPr>
          <w:p w14:paraId="4DC81DCB"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Total where a duty is owed but no accommodation has been secured PLUS the total in temporary accommodation</w:t>
            </w:r>
          </w:p>
        </w:tc>
      </w:tr>
      <w:tr w:rsidR="002B6286" w:rsidRPr="002B6286" w14:paraId="6567CC1D" w14:textId="77777777" w:rsidTr="004F4BA7">
        <w:trPr>
          <w:trHeight w:val="850"/>
        </w:trPr>
        <w:tc>
          <w:tcPr>
            <w:cnfStyle w:val="001000000000" w:firstRow="0" w:lastRow="0" w:firstColumn="1" w:lastColumn="0" w:oddVBand="0" w:evenVBand="0" w:oddHBand="0" w:evenHBand="0" w:firstRowFirstColumn="0" w:firstRowLastColumn="0" w:lastRowFirstColumn="0" w:lastRowLastColumn="0"/>
            <w:tcW w:w="0" w:type="auto"/>
            <w:hideMark/>
          </w:tcPr>
          <w:p w14:paraId="5B6CE1F6" w14:textId="77777777" w:rsidR="002B6286" w:rsidRPr="002B6286" w:rsidRDefault="002B6286" w:rsidP="00A441BA">
            <w:pPr>
              <w:keepNext/>
              <w:jc w:val="center"/>
              <w:rPr>
                <w:lang w:eastAsia="en-GB"/>
              </w:rPr>
            </w:pPr>
            <w:r w:rsidRPr="002B6286">
              <w:rPr>
                <w:lang w:eastAsia="en-GB"/>
              </w:rPr>
              <w:t>Households in overcrowded housing</w:t>
            </w:r>
          </w:p>
        </w:tc>
        <w:tc>
          <w:tcPr>
            <w:tcW w:w="0" w:type="auto"/>
            <w:hideMark/>
          </w:tcPr>
          <w:p w14:paraId="7B257D6B"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Census table LC4108EW</w:t>
            </w:r>
          </w:p>
        </w:tc>
        <w:tc>
          <w:tcPr>
            <w:tcW w:w="3783" w:type="dxa"/>
            <w:hideMark/>
          </w:tcPr>
          <w:p w14:paraId="68497704"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The analysis was undertaken by tenure and updated by reference to national changes (from the English Housing Survey (EHS) (2018/19)</w:t>
            </w:r>
          </w:p>
        </w:tc>
      </w:tr>
      <w:tr w:rsidR="002B6286" w:rsidRPr="002B6286" w14:paraId="66089BF0" w14:textId="77777777" w:rsidTr="004F4BA7">
        <w:trPr>
          <w:trHeight w:val="850"/>
        </w:trPr>
        <w:tc>
          <w:tcPr>
            <w:cnfStyle w:val="001000000000" w:firstRow="0" w:lastRow="0" w:firstColumn="1" w:lastColumn="0" w:oddVBand="0" w:evenVBand="0" w:oddHBand="0" w:evenHBand="0" w:firstRowFirstColumn="0" w:firstRowLastColumn="0" w:lastRowFirstColumn="0" w:lastRowLastColumn="0"/>
            <w:tcW w:w="0" w:type="auto"/>
            <w:hideMark/>
          </w:tcPr>
          <w:p w14:paraId="5A0E5172" w14:textId="77777777" w:rsidR="002B6286" w:rsidRPr="002B6286" w:rsidRDefault="002B6286" w:rsidP="00A441BA">
            <w:pPr>
              <w:keepNext/>
              <w:jc w:val="center"/>
              <w:rPr>
                <w:lang w:eastAsia="en-GB"/>
              </w:rPr>
            </w:pPr>
            <w:r w:rsidRPr="002B6286">
              <w:rPr>
                <w:lang w:eastAsia="en-GB"/>
              </w:rPr>
              <w:t>Concealed households</w:t>
            </w:r>
          </w:p>
        </w:tc>
        <w:tc>
          <w:tcPr>
            <w:tcW w:w="0" w:type="auto"/>
            <w:hideMark/>
          </w:tcPr>
          <w:p w14:paraId="7257653E"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Census table LC1110EW</w:t>
            </w:r>
          </w:p>
        </w:tc>
        <w:tc>
          <w:tcPr>
            <w:tcW w:w="3783" w:type="dxa"/>
            <w:hideMark/>
          </w:tcPr>
          <w:p w14:paraId="1DD3EBC5"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Number of concealed families</w:t>
            </w:r>
          </w:p>
        </w:tc>
      </w:tr>
      <w:tr w:rsidR="002B6286" w:rsidRPr="002B6286" w14:paraId="4A137BBD" w14:textId="77777777" w:rsidTr="004F4BA7">
        <w:trPr>
          <w:trHeight w:val="850"/>
        </w:trPr>
        <w:tc>
          <w:tcPr>
            <w:cnfStyle w:val="001000000000" w:firstRow="0" w:lastRow="0" w:firstColumn="1" w:lastColumn="0" w:oddVBand="0" w:evenVBand="0" w:oddHBand="0" w:evenHBand="0" w:firstRowFirstColumn="0" w:firstRowLastColumn="0" w:lastRowFirstColumn="0" w:lastRowLastColumn="0"/>
            <w:tcW w:w="0" w:type="auto"/>
            <w:hideMark/>
          </w:tcPr>
          <w:p w14:paraId="735328F1" w14:textId="77777777" w:rsidR="002B6286" w:rsidRPr="002B6286" w:rsidRDefault="002B6286" w:rsidP="00A441BA">
            <w:pPr>
              <w:keepNext/>
              <w:jc w:val="center"/>
              <w:rPr>
                <w:lang w:eastAsia="en-GB"/>
              </w:rPr>
            </w:pPr>
            <w:r w:rsidRPr="002B6286">
              <w:rPr>
                <w:lang w:eastAsia="en-GB"/>
              </w:rPr>
              <w:t>Existing affordable housing tenants in need</w:t>
            </w:r>
          </w:p>
        </w:tc>
        <w:tc>
          <w:tcPr>
            <w:tcW w:w="0" w:type="auto"/>
            <w:hideMark/>
          </w:tcPr>
          <w:p w14:paraId="58568ED3"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Modelled data linking to past survey analysis undertaken by GLH and JGC</w:t>
            </w:r>
          </w:p>
        </w:tc>
        <w:tc>
          <w:tcPr>
            <w:tcW w:w="3783" w:type="dxa"/>
            <w:hideMark/>
          </w:tcPr>
          <w:p w14:paraId="0BB21670"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Excludes overcrowded households – tenure estimates updated by reference to the EHS (2018/19)</w:t>
            </w:r>
          </w:p>
        </w:tc>
      </w:tr>
      <w:tr w:rsidR="002B6286" w:rsidRPr="002B6286" w14:paraId="45D39BBC" w14:textId="77777777" w:rsidTr="004F4BA7">
        <w:trPr>
          <w:trHeight w:val="850"/>
        </w:trPr>
        <w:tc>
          <w:tcPr>
            <w:cnfStyle w:val="001000000000" w:firstRow="0" w:lastRow="0" w:firstColumn="1" w:lastColumn="0" w:oddVBand="0" w:evenVBand="0" w:oddHBand="0" w:evenHBand="0" w:firstRowFirstColumn="0" w:firstRowLastColumn="0" w:lastRowFirstColumn="0" w:lastRowLastColumn="0"/>
            <w:tcW w:w="0" w:type="auto"/>
            <w:hideMark/>
          </w:tcPr>
          <w:p w14:paraId="687ECC36" w14:textId="77777777" w:rsidR="002B6286" w:rsidRPr="002B6286" w:rsidRDefault="002B6286" w:rsidP="00A441BA">
            <w:pPr>
              <w:keepNext/>
              <w:jc w:val="center"/>
              <w:rPr>
                <w:lang w:eastAsia="en-GB"/>
              </w:rPr>
            </w:pPr>
            <w:r w:rsidRPr="002B6286">
              <w:rPr>
                <w:lang w:eastAsia="en-GB"/>
              </w:rPr>
              <w:t>Households from other tenures in need</w:t>
            </w:r>
          </w:p>
        </w:tc>
        <w:tc>
          <w:tcPr>
            <w:tcW w:w="0" w:type="auto"/>
            <w:hideMark/>
          </w:tcPr>
          <w:p w14:paraId="636D298D"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Modelled data linking to past survey analysis undertaken by GLH and JGC</w:t>
            </w:r>
          </w:p>
        </w:tc>
        <w:tc>
          <w:tcPr>
            <w:tcW w:w="3783" w:type="dxa"/>
            <w:hideMark/>
          </w:tcPr>
          <w:p w14:paraId="6DE002AD" w14:textId="77777777" w:rsidR="002B6286" w:rsidRPr="002B6286" w:rsidRDefault="002B6286" w:rsidP="00A441BA">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Excludes overcrowded households – tenure estimates updated by reference to the EHS (2018/19)</w:t>
            </w:r>
          </w:p>
        </w:tc>
      </w:tr>
    </w:tbl>
    <w:p w14:paraId="5D78DB57" w14:textId="77777777" w:rsidR="00A13819" w:rsidRPr="00F85167" w:rsidRDefault="00A13819" w:rsidP="008E6E40">
      <w:pPr>
        <w:pStyle w:val="Bodytextwithindent"/>
        <w:keepNext/>
        <w:spacing w:before="0" w:after="0" w:line="240" w:lineRule="auto"/>
        <w:rPr>
          <w:sz w:val="24"/>
          <w:szCs w:val="24"/>
        </w:rPr>
      </w:pPr>
      <w:r w:rsidRPr="00F85167">
        <w:rPr>
          <w:sz w:val="24"/>
          <w:szCs w:val="24"/>
        </w:rPr>
        <w:t>Source: PPG [2a-020]</w:t>
      </w:r>
    </w:p>
    <w:p w14:paraId="008372AD" w14:textId="77777777" w:rsidR="00A13819" w:rsidRDefault="00A13819" w:rsidP="007D0FBF">
      <w:pPr>
        <w:pStyle w:val="11Bodytext"/>
      </w:pPr>
      <w:r>
        <w:t xml:space="preserve">The households from other tenures in need would include those households currently living in private sector housing that cannot afford that accommodation. These would include households that may well be eligible for affordable housing but have not registered to be on the waiting list because they are a low priority or know that the </w:t>
      </w:r>
      <w:proofErr w:type="gramStart"/>
      <w:r>
        <w:t>housing</w:t>
      </w:r>
      <w:proofErr w:type="gramEnd"/>
      <w:r>
        <w:t xml:space="preserve"> they require to meet their need is unavailable. </w:t>
      </w:r>
    </w:p>
    <w:p w14:paraId="4DD307B3" w14:textId="77777777" w:rsidR="00A13819" w:rsidRDefault="00A13819" w:rsidP="007D0FBF">
      <w:pPr>
        <w:pStyle w:val="11Bodytext"/>
      </w:pPr>
      <w:r>
        <w:t>It should be noted that there may be some overlap between categories (such as overcrowding and concealed households, whereby the overcrowding would be remedied if the concealed household moved). The data available does not enable the analysis to be undertaken to study the impact of this and so the figures presented may include an element of double counting (although this is likely to be small). Additionally, some of the concealed households may be older people who have moved back in with their families and might not be considered as in need.</w:t>
      </w:r>
    </w:p>
    <w:p w14:paraId="33DB485A" w14:textId="77777777" w:rsidR="00A13819" w:rsidRPr="00526C6E" w:rsidRDefault="00A13819" w:rsidP="007D0FBF">
      <w:pPr>
        <w:pStyle w:val="11Bodytext"/>
        <w:rPr>
          <w:b/>
        </w:rPr>
      </w:pPr>
      <w:r>
        <w:lastRenderedPageBreak/>
        <w:t>The table below shows the initial estimate of the number of households within the study area with a current housing need. These figures are before any ‘affordability test’ has been applied to assess the ability of households to meet their own housing needs and has been termed ‘the number of households in unsuitable housing’. Overall, the analysis estimates that there are currently 23,993 households living in unsuitable housing (or without housing).</w:t>
      </w:r>
    </w:p>
    <w:p w14:paraId="7E738054" w14:textId="77777777" w:rsidR="00A13819" w:rsidRDefault="00A13819" w:rsidP="003D5E23">
      <w:pPr>
        <w:pStyle w:val="Tableheading"/>
        <w:numPr>
          <w:ilvl w:val="0"/>
          <w:numId w:val="54"/>
        </w:numPr>
      </w:pPr>
      <w:r>
        <w:t>Estimated Number of Households Living in Unsuitable Housing</w:t>
      </w:r>
    </w:p>
    <w:tbl>
      <w:tblPr>
        <w:tblStyle w:val="TableGridLight1"/>
        <w:tblW w:w="8729" w:type="dxa"/>
        <w:tblInd w:w="704" w:type="dxa"/>
        <w:tblLayout w:type="fixed"/>
        <w:tblLook w:val="04A0" w:firstRow="1" w:lastRow="0" w:firstColumn="1" w:lastColumn="0" w:noHBand="0" w:noVBand="1"/>
      </w:tblPr>
      <w:tblGrid>
        <w:gridCol w:w="1881"/>
        <w:gridCol w:w="1478"/>
        <w:gridCol w:w="1479"/>
        <w:gridCol w:w="1479"/>
        <w:gridCol w:w="1479"/>
        <w:gridCol w:w="933"/>
      </w:tblGrid>
      <w:tr w:rsidR="002B6286" w:rsidRPr="002B6286" w14:paraId="2D3A919D" w14:textId="77777777" w:rsidTr="002B6286">
        <w:trPr>
          <w:cnfStyle w:val="100000000000" w:firstRow="1" w:lastRow="0" w:firstColumn="0" w:lastColumn="0" w:oddVBand="0" w:evenVBand="0" w:oddHBand="0"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1881" w:type="dxa"/>
            <w:hideMark/>
          </w:tcPr>
          <w:p w14:paraId="300F1C57" w14:textId="77777777" w:rsidR="00A13819" w:rsidRPr="002B6286" w:rsidRDefault="00A13819" w:rsidP="008E6E40">
            <w:pPr>
              <w:keepNext/>
              <w:rPr>
                <w:lang w:eastAsia="en-GB"/>
              </w:rPr>
            </w:pPr>
            <w:r w:rsidRPr="002B6286">
              <w:rPr>
                <w:lang w:eastAsia="en-GB"/>
              </w:rPr>
              <w:t> </w:t>
            </w:r>
          </w:p>
        </w:tc>
        <w:tc>
          <w:tcPr>
            <w:tcW w:w="1478" w:type="dxa"/>
            <w:hideMark/>
          </w:tcPr>
          <w:p w14:paraId="4EBEF8F7"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Homeless/ concealed household</w:t>
            </w:r>
          </w:p>
        </w:tc>
        <w:tc>
          <w:tcPr>
            <w:tcW w:w="1479" w:type="dxa"/>
            <w:hideMark/>
          </w:tcPr>
          <w:p w14:paraId="0F6200E3"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Households in overcrowded housing</w:t>
            </w:r>
          </w:p>
        </w:tc>
        <w:tc>
          <w:tcPr>
            <w:tcW w:w="1479" w:type="dxa"/>
            <w:hideMark/>
          </w:tcPr>
          <w:p w14:paraId="3DC8C02F"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Existing affordable housing tenants in need</w:t>
            </w:r>
          </w:p>
        </w:tc>
        <w:tc>
          <w:tcPr>
            <w:tcW w:w="1479" w:type="dxa"/>
            <w:hideMark/>
          </w:tcPr>
          <w:p w14:paraId="59819BFF"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Households from other tenures in need</w:t>
            </w:r>
          </w:p>
        </w:tc>
        <w:tc>
          <w:tcPr>
            <w:tcW w:w="933" w:type="dxa"/>
            <w:hideMark/>
          </w:tcPr>
          <w:p w14:paraId="5C4A6611" w14:textId="77777777" w:rsidR="00A13819" w:rsidRPr="002B6286"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2B6286">
              <w:rPr>
                <w:lang w:eastAsia="en-GB"/>
              </w:rPr>
              <w:t>Total</w:t>
            </w:r>
          </w:p>
        </w:tc>
      </w:tr>
      <w:tr w:rsidR="002B6286" w:rsidRPr="002B6286" w14:paraId="10B8BE5D"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3AF0FC0B" w14:textId="77777777" w:rsidR="00A13819" w:rsidRPr="004F4BA7" w:rsidRDefault="00A13819" w:rsidP="008E6E40">
            <w:pPr>
              <w:keepNext/>
              <w:rPr>
                <w:bCs/>
                <w:lang w:eastAsia="en-GB"/>
              </w:rPr>
            </w:pPr>
            <w:r w:rsidRPr="004F4BA7">
              <w:rPr>
                <w:bCs/>
                <w:lang w:eastAsia="en-GB"/>
              </w:rPr>
              <w:t>Cambridge</w:t>
            </w:r>
          </w:p>
        </w:tc>
        <w:tc>
          <w:tcPr>
            <w:tcW w:w="1478" w:type="dxa"/>
            <w:hideMark/>
          </w:tcPr>
          <w:p w14:paraId="4A01FAD3"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543</w:t>
            </w:r>
          </w:p>
        </w:tc>
        <w:tc>
          <w:tcPr>
            <w:tcW w:w="1479" w:type="dxa"/>
            <w:hideMark/>
          </w:tcPr>
          <w:p w14:paraId="49005FC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3,095</w:t>
            </w:r>
          </w:p>
        </w:tc>
        <w:tc>
          <w:tcPr>
            <w:tcW w:w="1479" w:type="dxa"/>
            <w:hideMark/>
          </w:tcPr>
          <w:p w14:paraId="2E66F0B8"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248</w:t>
            </w:r>
          </w:p>
        </w:tc>
        <w:tc>
          <w:tcPr>
            <w:tcW w:w="1479" w:type="dxa"/>
            <w:hideMark/>
          </w:tcPr>
          <w:p w14:paraId="3E2D88C1"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1,495</w:t>
            </w:r>
          </w:p>
        </w:tc>
        <w:tc>
          <w:tcPr>
            <w:tcW w:w="933" w:type="dxa"/>
            <w:hideMark/>
          </w:tcPr>
          <w:p w14:paraId="73E419A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5,381</w:t>
            </w:r>
          </w:p>
        </w:tc>
      </w:tr>
      <w:tr w:rsidR="002B6286" w:rsidRPr="002B6286" w14:paraId="0DE307F9"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1A6BAD29" w14:textId="77777777" w:rsidR="00A13819" w:rsidRPr="004F4BA7" w:rsidRDefault="00A13819" w:rsidP="008E6E40">
            <w:pPr>
              <w:keepNext/>
              <w:rPr>
                <w:bCs/>
                <w:lang w:eastAsia="en-GB"/>
              </w:rPr>
            </w:pPr>
            <w:r w:rsidRPr="004F4BA7">
              <w:rPr>
                <w:bCs/>
                <w:lang w:eastAsia="en-GB"/>
              </w:rPr>
              <w:t>East Cambs</w:t>
            </w:r>
          </w:p>
        </w:tc>
        <w:tc>
          <w:tcPr>
            <w:tcW w:w="1478" w:type="dxa"/>
            <w:hideMark/>
          </w:tcPr>
          <w:p w14:paraId="2FDEBA4A"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309</w:t>
            </w:r>
          </w:p>
        </w:tc>
        <w:tc>
          <w:tcPr>
            <w:tcW w:w="1479" w:type="dxa"/>
            <w:hideMark/>
          </w:tcPr>
          <w:p w14:paraId="0E9D6BCC"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883</w:t>
            </w:r>
          </w:p>
        </w:tc>
        <w:tc>
          <w:tcPr>
            <w:tcW w:w="1479" w:type="dxa"/>
            <w:hideMark/>
          </w:tcPr>
          <w:p w14:paraId="483D2C74"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111</w:t>
            </w:r>
          </w:p>
        </w:tc>
        <w:tc>
          <w:tcPr>
            <w:tcW w:w="1479" w:type="dxa"/>
            <w:hideMark/>
          </w:tcPr>
          <w:p w14:paraId="6DDF329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801</w:t>
            </w:r>
          </w:p>
        </w:tc>
        <w:tc>
          <w:tcPr>
            <w:tcW w:w="933" w:type="dxa"/>
            <w:hideMark/>
          </w:tcPr>
          <w:p w14:paraId="26A4732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2,105</w:t>
            </w:r>
          </w:p>
        </w:tc>
      </w:tr>
      <w:tr w:rsidR="002B6286" w:rsidRPr="002B6286" w14:paraId="12F6F3BF"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59B59CA5" w14:textId="77777777" w:rsidR="00A13819" w:rsidRPr="004F4BA7" w:rsidRDefault="00A13819" w:rsidP="008E6E40">
            <w:pPr>
              <w:keepNext/>
              <w:rPr>
                <w:bCs/>
                <w:lang w:eastAsia="en-GB"/>
              </w:rPr>
            </w:pPr>
            <w:r w:rsidRPr="004F4BA7">
              <w:rPr>
                <w:bCs/>
                <w:lang w:eastAsia="en-GB"/>
              </w:rPr>
              <w:t>Fenland</w:t>
            </w:r>
          </w:p>
        </w:tc>
        <w:tc>
          <w:tcPr>
            <w:tcW w:w="1478" w:type="dxa"/>
            <w:hideMark/>
          </w:tcPr>
          <w:p w14:paraId="274740D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502</w:t>
            </w:r>
          </w:p>
        </w:tc>
        <w:tc>
          <w:tcPr>
            <w:tcW w:w="1479" w:type="dxa"/>
            <w:hideMark/>
          </w:tcPr>
          <w:p w14:paraId="738EEB84"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1,534</w:t>
            </w:r>
          </w:p>
        </w:tc>
        <w:tc>
          <w:tcPr>
            <w:tcW w:w="1479" w:type="dxa"/>
            <w:hideMark/>
          </w:tcPr>
          <w:p w14:paraId="4CEE1360"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114</w:t>
            </w:r>
          </w:p>
        </w:tc>
        <w:tc>
          <w:tcPr>
            <w:tcW w:w="1479" w:type="dxa"/>
            <w:hideMark/>
          </w:tcPr>
          <w:p w14:paraId="646A1D6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993</w:t>
            </w:r>
          </w:p>
        </w:tc>
        <w:tc>
          <w:tcPr>
            <w:tcW w:w="933" w:type="dxa"/>
            <w:hideMark/>
          </w:tcPr>
          <w:p w14:paraId="55F78004"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3,142</w:t>
            </w:r>
          </w:p>
        </w:tc>
      </w:tr>
      <w:tr w:rsidR="002B6286" w:rsidRPr="002B6286" w14:paraId="0824551A"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26F19525" w14:textId="77777777" w:rsidR="00A13819" w:rsidRPr="004F4BA7" w:rsidRDefault="00A13819" w:rsidP="008E6E40">
            <w:pPr>
              <w:keepNext/>
              <w:rPr>
                <w:bCs/>
                <w:lang w:eastAsia="en-GB"/>
              </w:rPr>
            </w:pPr>
            <w:r w:rsidRPr="004F4BA7">
              <w:rPr>
                <w:bCs/>
                <w:lang w:eastAsia="en-GB"/>
              </w:rPr>
              <w:t>Huntingdonshire</w:t>
            </w:r>
          </w:p>
        </w:tc>
        <w:tc>
          <w:tcPr>
            <w:tcW w:w="1478" w:type="dxa"/>
            <w:hideMark/>
          </w:tcPr>
          <w:p w14:paraId="1CF36D1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864</w:t>
            </w:r>
          </w:p>
        </w:tc>
        <w:tc>
          <w:tcPr>
            <w:tcW w:w="1479" w:type="dxa"/>
            <w:hideMark/>
          </w:tcPr>
          <w:p w14:paraId="41AD7548"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1,811</w:t>
            </w:r>
          </w:p>
        </w:tc>
        <w:tc>
          <w:tcPr>
            <w:tcW w:w="1479" w:type="dxa"/>
            <w:hideMark/>
          </w:tcPr>
          <w:p w14:paraId="3679282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201</w:t>
            </w:r>
          </w:p>
        </w:tc>
        <w:tc>
          <w:tcPr>
            <w:tcW w:w="1479" w:type="dxa"/>
            <w:hideMark/>
          </w:tcPr>
          <w:p w14:paraId="6105D6E0"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1,581</w:t>
            </w:r>
          </w:p>
        </w:tc>
        <w:tc>
          <w:tcPr>
            <w:tcW w:w="933" w:type="dxa"/>
            <w:hideMark/>
          </w:tcPr>
          <w:p w14:paraId="38113B7F"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4,457</w:t>
            </w:r>
          </w:p>
        </w:tc>
      </w:tr>
      <w:tr w:rsidR="002B6286" w:rsidRPr="002B6286" w14:paraId="61461EAF"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74E17160" w14:textId="77777777" w:rsidR="00A13819" w:rsidRPr="004F4BA7" w:rsidRDefault="00A13819" w:rsidP="008E6E40">
            <w:pPr>
              <w:keepNext/>
              <w:rPr>
                <w:bCs/>
                <w:lang w:eastAsia="en-GB"/>
              </w:rPr>
            </w:pPr>
            <w:r w:rsidRPr="004F4BA7">
              <w:rPr>
                <w:bCs/>
                <w:lang w:eastAsia="en-GB"/>
              </w:rPr>
              <w:t>South Cambs</w:t>
            </w:r>
          </w:p>
        </w:tc>
        <w:tc>
          <w:tcPr>
            <w:tcW w:w="1478" w:type="dxa"/>
            <w:hideMark/>
          </w:tcPr>
          <w:p w14:paraId="07C77327"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586</w:t>
            </w:r>
          </w:p>
        </w:tc>
        <w:tc>
          <w:tcPr>
            <w:tcW w:w="1479" w:type="dxa"/>
            <w:hideMark/>
          </w:tcPr>
          <w:p w14:paraId="09995BA4"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1,428</w:t>
            </w:r>
          </w:p>
        </w:tc>
        <w:tc>
          <w:tcPr>
            <w:tcW w:w="1479" w:type="dxa"/>
            <w:hideMark/>
          </w:tcPr>
          <w:p w14:paraId="5B5D4618"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193</w:t>
            </w:r>
          </w:p>
        </w:tc>
        <w:tc>
          <w:tcPr>
            <w:tcW w:w="1479" w:type="dxa"/>
            <w:hideMark/>
          </w:tcPr>
          <w:p w14:paraId="2456E44E"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1,272</w:t>
            </w:r>
          </w:p>
        </w:tc>
        <w:tc>
          <w:tcPr>
            <w:tcW w:w="933" w:type="dxa"/>
            <w:hideMark/>
          </w:tcPr>
          <w:p w14:paraId="34815928"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3,478</w:t>
            </w:r>
          </w:p>
        </w:tc>
      </w:tr>
      <w:tr w:rsidR="002B6286" w:rsidRPr="002B6286" w14:paraId="6B379216"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5A140088" w14:textId="77777777" w:rsidR="00A13819" w:rsidRPr="004F4BA7" w:rsidRDefault="00A13819" w:rsidP="008E6E40">
            <w:pPr>
              <w:keepNext/>
              <w:rPr>
                <w:bCs/>
                <w:lang w:eastAsia="en-GB"/>
              </w:rPr>
            </w:pPr>
            <w:r w:rsidRPr="004F4BA7">
              <w:rPr>
                <w:bCs/>
                <w:lang w:eastAsia="en-GB"/>
              </w:rPr>
              <w:t>West Suffolk</w:t>
            </w:r>
          </w:p>
        </w:tc>
        <w:tc>
          <w:tcPr>
            <w:tcW w:w="1478" w:type="dxa"/>
            <w:hideMark/>
          </w:tcPr>
          <w:p w14:paraId="4C653CE5"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648</w:t>
            </w:r>
          </w:p>
        </w:tc>
        <w:tc>
          <w:tcPr>
            <w:tcW w:w="1479" w:type="dxa"/>
            <w:hideMark/>
          </w:tcPr>
          <w:p w14:paraId="62DDEEB6"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2,616</w:t>
            </w:r>
          </w:p>
        </w:tc>
        <w:tc>
          <w:tcPr>
            <w:tcW w:w="1479" w:type="dxa"/>
            <w:hideMark/>
          </w:tcPr>
          <w:p w14:paraId="771BADEE"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249</w:t>
            </w:r>
          </w:p>
        </w:tc>
        <w:tc>
          <w:tcPr>
            <w:tcW w:w="1479" w:type="dxa"/>
            <w:hideMark/>
          </w:tcPr>
          <w:p w14:paraId="7BEC804A"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1,916</w:t>
            </w:r>
          </w:p>
        </w:tc>
        <w:tc>
          <w:tcPr>
            <w:tcW w:w="933" w:type="dxa"/>
            <w:hideMark/>
          </w:tcPr>
          <w:p w14:paraId="3B028866"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lang w:eastAsia="en-GB"/>
              </w:rPr>
              <w:t>5,429</w:t>
            </w:r>
          </w:p>
        </w:tc>
      </w:tr>
      <w:tr w:rsidR="002B6286" w:rsidRPr="002B6286" w14:paraId="26213C07" w14:textId="77777777" w:rsidTr="002B6286">
        <w:trPr>
          <w:trHeight w:val="319"/>
        </w:trPr>
        <w:tc>
          <w:tcPr>
            <w:cnfStyle w:val="001000000000" w:firstRow="0" w:lastRow="0" w:firstColumn="1" w:lastColumn="0" w:oddVBand="0" w:evenVBand="0" w:oddHBand="0" w:evenHBand="0" w:firstRowFirstColumn="0" w:firstRowLastColumn="0" w:lastRowFirstColumn="0" w:lastRowLastColumn="0"/>
            <w:tcW w:w="1881" w:type="dxa"/>
            <w:hideMark/>
          </w:tcPr>
          <w:p w14:paraId="4DEC3873" w14:textId="77777777" w:rsidR="00A13819" w:rsidRPr="002B6286" w:rsidRDefault="00A13819" w:rsidP="008E6E40">
            <w:pPr>
              <w:keepNext/>
              <w:rPr>
                <w:b/>
                <w:lang w:eastAsia="en-GB"/>
              </w:rPr>
            </w:pPr>
            <w:r w:rsidRPr="002B6286">
              <w:rPr>
                <w:b/>
                <w:lang w:eastAsia="en-GB"/>
              </w:rPr>
              <w:t>HMA</w:t>
            </w:r>
          </w:p>
        </w:tc>
        <w:tc>
          <w:tcPr>
            <w:tcW w:w="1478" w:type="dxa"/>
            <w:hideMark/>
          </w:tcPr>
          <w:p w14:paraId="7A3E6153"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3,452</w:t>
            </w:r>
          </w:p>
        </w:tc>
        <w:tc>
          <w:tcPr>
            <w:tcW w:w="1479" w:type="dxa"/>
            <w:hideMark/>
          </w:tcPr>
          <w:p w14:paraId="4628AD48"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11,367</w:t>
            </w:r>
          </w:p>
        </w:tc>
        <w:tc>
          <w:tcPr>
            <w:tcW w:w="1479" w:type="dxa"/>
            <w:hideMark/>
          </w:tcPr>
          <w:p w14:paraId="218C6E03"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1,117</w:t>
            </w:r>
          </w:p>
        </w:tc>
        <w:tc>
          <w:tcPr>
            <w:tcW w:w="1479" w:type="dxa"/>
            <w:hideMark/>
          </w:tcPr>
          <w:p w14:paraId="23652E2D"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8,057</w:t>
            </w:r>
          </w:p>
        </w:tc>
        <w:tc>
          <w:tcPr>
            <w:tcW w:w="933" w:type="dxa"/>
            <w:hideMark/>
          </w:tcPr>
          <w:p w14:paraId="7BA939F4"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23,993</w:t>
            </w:r>
          </w:p>
        </w:tc>
      </w:tr>
    </w:tbl>
    <w:p w14:paraId="6408B215" w14:textId="77777777" w:rsidR="00A13819" w:rsidRPr="00F85167" w:rsidRDefault="00A13819" w:rsidP="008E6E40">
      <w:pPr>
        <w:pStyle w:val="Bodytextwithindent"/>
        <w:keepNext/>
        <w:spacing w:before="0" w:after="0" w:line="240" w:lineRule="auto"/>
        <w:rPr>
          <w:sz w:val="24"/>
          <w:szCs w:val="22"/>
        </w:rPr>
      </w:pPr>
      <w:r w:rsidRPr="00F85167">
        <w:rPr>
          <w:sz w:val="24"/>
          <w:szCs w:val="22"/>
        </w:rPr>
        <w:t xml:space="preserve">Source: MHCLG Live Tables, Census </w:t>
      </w:r>
      <w:proofErr w:type="gramStart"/>
      <w:r w:rsidRPr="00F85167">
        <w:rPr>
          <w:sz w:val="24"/>
          <w:szCs w:val="22"/>
        </w:rPr>
        <w:t>2011</w:t>
      </w:r>
      <w:proofErr w:type="gramEnd"/>
      <w:r w:rsidRPr="00F85167">
        <w:rPr>
          <w:sz w:val="24"/>
          <w:szCs w:val="22"/>
        </w:rPr>
        <w:t xml:space="preserve"> and Data Modelling (numbers may not sum due to rounding) </w:t>
      </w:r>
    </w:p>
    <w:p w14:paraId="3CA4ABCB" w14:textId="77777777" w:rsidR="00A13819" w:rsidRDefault="00A13819" w:rsidP="007D0FBF">
      <w:pPr>
        <w:pStyle w:val="11Bodytext"/>
      </w:pPr>
      <w:r>
        <w:t xml:space="preserve">In taking this estimate forward, the data modelling next estimates housing unsuitability by tenure. From the overall number in unsuitable housing, households living in affordable housing are excluded (as these households would release a dwelling on moving and so no net need for affordable housing will arise). </w:t>
      </w:r>
    </w:p>
    <w:p w14:paraId="145F4E42" w14:textId="77777777" w:rsidR="00A13819" w:rsidRDefault="00A13819" w:rsidP="007D0FBF">
      <w:pPr>
        <w:pStyle w:val="11Bodytext"/>
      </w:pPr>
      <w:r>
        <w:t xml:space="preserve">The analysis also excludes 90% of owner-occupiers under the assumption (which is supported by analysis of previous survey data) that the vast majority will be able to afford a home once savings and equity are </w:t>
      </w:r>
      <w:proofErr w:type="gramStart"/>
      <w:r>
        <w:t>taken into account</w:t>
      </w:r>
      <w:proofErr w:type="gramEnd"/>
      <w:r>
        <w:t xml:space="preserve">. </w:t>
      </w:r>
    </w:p>
    <w:p w14:paraId="274A06B4" w14:textId="77777777" w:rsidR="00A13819" w:rsidRDefault="00A13819" w:rsidP="007D0FBF">
      <w:pPr>
        <w:pStyle w:val="11Bodytext"/>
      </w:pPr>
      <w:r>
        <w:t xml:space="preserve">A final adjustment is to slightly reduce the unsuitability figures in the PRS   to take account of student-only households – such households could technically be overcrowded/living in unsuitable housing but would be unlikely to be allocated affordable housing (student needs are essentially assumed to be transient) – this </w:t>
      </w:r>
      <w:r>
        <w:lastRenderedPageBreak/>
        <w:t>only has any notable impact in Cambridge. Once these households are removed from the analysis, the remainder is taken forward for affordability testing.</w:t>
      </w:r>
    </w:p>
    <w:p w14:paraId="5DF0013A" w14:textId="77777777" w:rsidR="00A13819" w:rsidRPr="00526C6E" w:rsidRDefault="00A13819" w:rsidP="007D0FBF">
      <w:pPr>
        <w:pStyle w:val="11Bodytext"/>
        <w:rPr>
          <w:b/>
        </w:rPr>
      </w:pPr>
      <w:r>
        <w:t>The table below shows an estimated 14,064 households were living in unsuitable housing (excluding current social tenants and the majority of owner-occupiers).</w:t>
      </w:r>
    </w:p>
    <w:p w14:paraId="5B6C061B" w14:textId="77777777" w:rsidR="00A13819" w:rsidRPr="003D5E23" w:rsidRDefault="00A13819" w:rsidP="003D5E23">
      <w:pPr>
        <w:pStyle w:val="Tableheading"/>
        <w:numPr>
          <w:ilvl w:val="0"/>
          <w:numId w:val="54"/>
        </w:numPr>
        <w:rPr>
          <w:bCs/>
        </w:rPr>
      </w:pPr>
      <w:r>
        <w:t xml:space="preserve">Unsuitable Housing by Tenure to Take Forward into Affordability </w:t>
      </w:r>
      <w:r w:rsidRPr="003D5E23">
        <w:rPr>
          <w:bCs/>
        </w:rPr>
        <w:t xml:space="preserve">Modelling </w:t>
      </w:r>
    </w:p>
    <w:tbl>
      <w:tblPr>
        <w:tblStyle w:val="TableGridLight1"/>
        <w:tblW w:w="8457" w:type="dxa"/>
        <w:tblInd w:w="846" w:type="dxa"/>
        <w:tblLook w:val="04A0" w:firstRow="1" w:lastRow="0" w:firstColumn="1" w:lastColumn="0" w:noHBand="0" w:noVBand="1"/>
      </w:tblPr>
      <w:tblGrid>
        <w:gridCol w:w="2988"/>
        <w:gridCol w:w="2734"/>
        <w:gridCol w:w="2735"/>
      </w:tblGrid>
      <w:tr w:rsidR="000628B8" w:rsidRPr="002B6286" w14:paraId="668E6CB3" w14:textId="77777777" w:rsidTr="00F8516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5A331332" w14:textId="77777777" w:rsidR="00A13819" w:rsidRPr="000628B8" w:rsidRDefault="00A13819" w:rsidP="008E6E40">
            <w:pPr>
              <w:keepNext/>
              <w:rPr>
                <w:lang w:eastAsia="en-GB"/>
              </w:rPr>
            </w:pPr>
            <w:r w:rsidRPr="000628B8">
              <w:rPr>
                <w:lang w:eastAsia="en-GB"/>
              </w:rPr>
              <w:t> </w:t>
            </w:r>
          </w:p>
        </w:tc>
        <w:tc>
          <w:tcPr>
            <w:tcW w:w="2734" w:type="dxa"/>
            <w:hideMark/>
          </w:tcPr>
          <w:p w14:paraId="747459C0"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In Unsuitable Housing</w:t>
            </w:r>
          </w:p>
        </w:tc>
        <w:tc>
          <w:tcPr>
            <w:tcW w:w="2735" w:type="dxa"/>
            <w:hideMark/>
          </w:tcPr>
          <w:p w14:paraId="2EA40CDE"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Number to Take Forward for Affordability Testing</w:t>
            </w:r>
          </w:p>
        </w:tc>
      </w:tr>
      <w:tr w:rsidR="000628B8" w:rsidRPr="002B6286" w14:paraId="3073D95B" w14:textId="77777777" w:rsidTr="00F85167">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00ECF6E2" w14:textId="77777777" w:rsidR="00A13819" w:rsidRPr="004F4BA7" w:rsidRDefault="00A13819" w:rsidP="008E6E40">
            <w:pPr>
              <w:keepNext/>
              <w:rPr>
                <w:bCs/>
                <w:lang w:eastAsia="en-GB"/>
              </w:rPr>
            </w:pPr>
            <w:r w:rsidRPr="004F4BA7">
              <w:rPr>
                <w:bCs/>
                <w:lang w:eastAsia="en-GB"/>
              </w:rPr>
              <w:t>Owner-occupied</w:t>
            </w:r>
          </w:p>
        </w:tc>
        <w:tc>
          <w:tcPr>
            <w:tcW w:w="2734" w:type="dxa"/>
            <w:hideMark/>
          </w:tcPr>
          <w:p w14:paraId="1DC7E624"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5,306</w:t>
            </w:r>
          </w:p>
        </w:tc>
        <w:tc>
          <w:tcPr>
            <w:tcW w:w="2735" w:type="dxa"/>
            <w:hideMark/>
          </w:tcPr>
          <w:p w14:paraId="18D4A2BD"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531</w:t>
            </w:r>
          </w:p>
        </w:tc>
      </w:tr>
      <w:tr w:rsidR="000628B8" w:rsidRPr="002B6286" w14:paraId="5421AD50" w14:textId="77777777" w:rsidTr="00F85167">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67664C17" w14:textId="77777777" w:rsidR="00A13819" w:rsidRPr="004F4BA7" w:rsidRDefault="00A13819" w:rsidP="008E6E40">
            <w:pPr>
              <w:keepNext/>
              <w:rPr>
                <w:bCs/>
                <w:lang w:eastAsia="en-GB"/>
              </w:rPr>
            </w:pPr>
            <w:r w:rsidRPr="004F4BA7">
              <w:rPr>
                <w:bCs/>
                <w:lang w:eastAsia="en-GB"/>
              </w:rPr>
              <w:t>Affordable housing</w:t>
            </w:r>
          </w:p>
        </w:tc>
        <w:tc>
          <w:tcPr>
            <w:tcW w:w="2734" w:type="dxa"/>
            <w:hideMark/>
          </w:tcPr>
          <w:p w14:paraId="5A81F03F"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4,895</w:t>
            </w:r>
          </w:p>
        </w:tc>
        <w:tc>
          <w:tcPr>
            <w:tcW w:w="2735" w:type="dxa"/>
            <w:hideMark/>
          </w:tcPr>
          <w:p w14:paraId="45EA99F9"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0</w:t>
            </w:r>
          </w:p>
        </w:tc>
      </w:tr>
      <w:tr w:rsidR="000628B8" w:rsidRPr="002B6286" w14:paraId="5C8F272F" w14:textId="77777777" w:rsidTr="00F85167">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2B02B752" w14:textId="77777777" w:rsidR="00A13819" w:rsidRPr="004F4BA7" w:rsidRDefault="00A13819" w:rsidP="008E6E40">
            <w:pPr>
              <w:keepNext/>
              <w:rPr>
                <w:bCs/>
                <w:lang w:eastAsia="en-GB"/>
              </w:rPr>
            </w:pPr>
            <w:r w:rsidRPr="004F4BA7">
              <w:rPr>
                <w:bCs/>
                <w:lang w:eastAsia="en-GB"/>
              </w:rPr>
              <w:t>Private rented</w:t>
            </w:r>
          </w:p>
        </w:tc>
        <w:tc>
          <w:tcPr>
            <w:tcW w:w="2734" w:type="dxa"/>
            <w:hideMark/>
          </w:tcPr>
          <w:p w14:paraId="223F95CA"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10,340</w:t>
            </w:r>
          </w:p>
        </w:tc>
        <w:tc>
          <w:tcPr>
            <w:tcW w:w="2735" w:type="dxa"/>
            <w:hideMark/>
          </w:tcPr>
          <w:p w14:paraId="7C62276B"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10,081</w:t>
            </w:r>
          </w:p>
        </w:tc>
      </w:tr>
      <w:tr w:rsidR="000628B8" w:rsidRPr="002B6286" w14:paraId="3252D3B0" w14:textId="77777777" w:rsidTr="00F85167">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7ADF24E4" w14:textId="77777777" w:rsidR="00A13819" w:rsidRPr="004F4BA7" w:rsidRDefault="00A13819" w:rsidP="008E6E40">
            <w:pPr>
              <w:keepNext/>
              <w:rPr>
                <w:bCs/>
                <w:lang w:eastAsia="en-GB"/>
              </w:rPr>
            </w:pPr>
            <w:r w:rsidRPr="004F4BA7">
              <w:rPr>
                <w:bCs/>
                <w:lang w:eastAsia="en-GB"/>
              </w:rPr>
              <w:t>No housing (homeless/concealed)</w:t>
            </w:r>
          </w:p>
        </w:tc>
        <w:tc>
          <w:tcPr>
            <w:tcW w:w="2734" w:type="dxa"/>
            <w:hideMark/>
          </w:tcPr>
          <w:p w14:paraId="5D973178"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3,452</w:t>
            </w:r>
          </w:p>
        </w:tc>
        <w:tc>
          <w:tcPr>
            <w:tcW w:w="2735" w:type="dxa"/>
            <w:hideMark/>
          </w:tcPr>
          <w:p w14:paraId="0C519F24" w14:textId="77777777" w:rsidR="00A13819" w:rsidRPr="002B6286"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2B6286">
              <w:rPr>
                <w:bCs/>
                <w:lang w:eastAsia="en-GB"/>
              </w:rPr>
              <w:t>3,452</w:t>
            </w:r>
          </w:p>
        </w:tc>
      </w:tr>
      <w:tr w:rsidR="000628B8" w:rsidRPr="002B6286" w14:paraId="5D1759E2" w14:textId="77777777" w:rsidTr="00F85167">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2E8FD5D7" w14:textId="77777777" w:rsidR="00A13819" w:rsidRPr="00CC7461" w:rsidRDefault="00A13819" w:rsidP="008E6E40">
            <w:pPr>
              <w:keepNext/>
              <w:rPr>
                <w:b/>
                <w:lang w:eastAsia="en-GB"/>
              </w:rPr>
            </w:pPr>
            <w:r w:rsidRPr="00CC7461">
              <w:rPr>
                <w:b/>
                <w:lang w:eastAsia="en-GB"/>
              </w:rPr>
              <w:t>Total</w:t>
            </w:r>
          </w:p>
        </w:tc>
        <w:tc>
          <w:tcPr>
            <w:tcW w:w="2734" w:type="dxa"/>
            <w:hideMark/>
          </w:tcPr>
          <w:p w14:paraId="5F0B56D8"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23,993</w:t>
            </w:r>
          </w:p>
        </w:tc>
        <w:tc>
          <w:tcPr>
            <w:tcW w:w="2735" w:type="dxa"/>
            <w:hideMark/>
          </w:tcPr>
          <w:p w14:paraId="510F9015"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14,064</w:t>
            </w:r>
          </w:p>
        </w:tc>
      </w:tr>
    </w:tbl>
    <w:p w14:paraId="63E00E4A" w14:textId="77777777" w:rsidR="00A13819" w:rsidRPr="00F85167" w:rsidRDefault="00A13819" w:rsidP="008E6E40">
      <w:pPr>
        <w:pStyle w:val="Bodytextwithindent"/>
        <w:keepNext/>
        <w:spacing w:before="0" w:after="0" w:line="240" w:lineRule="auto"/>
        <w:rPr>
          <w:sz w:val="24"/>
          <w:szCs w:val="22"/>
        </w:rPr>
      </w:pPr>
      <w:r w:rsidRPr="00F85167">
        <w:rPr>
          <w:sz w:val="24"/>
          <w:szCs w:val="22"/>
        </w:rPr>
        <w:t xml:space="preserve">Source: MHCLG Live Tables, Census </w:t>
      </w:r>
      <w:proofErr w:type="gramStart"/>
      <w:r w:rsidRPr="00F85167">
        <w:rPr>
          <w:sz w:val="24"/>
          <w:szCs w:val="22"/>
        </w:rPr>
        <w:t>2011</w:t>
      </w:r>
      <w:proofErr w:type="gramEnd"/>
      <w:r w:rsidRPr="00F85167">
        <w:rPr>
          <w:sz w:val="24"/>
          <w:szCs w:val="22"/>
        </w:rPr>
        <w:t xml:space="preserve"> and Data Modelling</w:t>
      </w:r>
    </w:p>
    <w:p w14:paraId="259108E6" w14:textId="77777777" w:rsidR="00A13819" w:rsidRDefault="00A13819" w:rsidP="007D0FBF">
      <w:pPr>
        <w:pStyle w:val="11Bodytext"/>
      </w:pPr>
      <w:r>
        <w:t>Having established this figure, it needs to be considered that a number of these households might be able to afford market housing without the need for subsidy. To consider this, the income data has been used, with the distribution adjusted to reflect a lower average income amongst households living in unsuitable housing.</w:t>
      </w:r>
    </w:p>
    <w:p w14:paraId="480F1521" w14:textId="77777777" w:rsidR="00A13819" w:rsidRDefault="00A13819" w:rsidP="007D0FBF">
      <w:pPr>
        <w:pStyle w:val="11Bodytext"/>
      </w:pPr>
      <w:r>
        <w:t>For the modelling, an income distribution that reduces the average household income to 88% of the figure for all households has been used to identify the proportion of households whose needs could not be met within the market without subsidy (for households currently living in housing).  A lower figure of 42% has been used to apply an affordability test for the concealed/homeless households who do not currently occupy housing.</w:t>
      </w:r>
    </w:p>
    <w:p w14:paraId="05AA67F6" w14:textId="77777777" w:rsidR="00A13819" w:rsidRDefault="00A13819" w:rsidP="007D0FBF">
      <w:pPr>
        <w:pStyle w:val="11Bodytext"/>
      </w:pPr>
      <w:r>
        <w:t xml:space="preserve">These two percentage figures (88% and 42%) have been based on a consideration of typical income levels of households who are in unsuitable housing (based mainly on estimates in the </w:t>
      </w:r>
      <w:proofErr w:type="gramStart"/>
      <w:r>
        <w:t>PRS  )</w:t>
      </w:r>
      <w:proofErr w:type="gramEnd"/>
      <w:r>
        <w:t xml:space="preserve"> along with typical income levels of households accessing social rented housing (for those without accommodation). The figures have been based on analysis of the English Housing Survey (mainly looking at relative incomes of households in each of the private and social rented sectors) as well as consideration of similar information collected through household surveys </w:t>
      </w:r>
      <w:r>
        <w:lastRenderedPageBreak/>
        <w:t>for similar studies across the country by Justin Gardner Consulting (JGC). These modelling assumptions are considered reasonable and remain unchallenged in the Local Plan processes where they have been used in other locations.</w:t>
      </w:r>
    </w:p>
    <w:p w14:paraId="7562FB17" w14:textId="77777777" w:rsidR="00A13819" w:rsidRPr="00526C6E" w:rsidRDefault="00A13819" w:rsidP="007D0FBF">
      <w:pPr>
        <w:pStyle w:val="11Bodytext"/>
        <w:rPr>
          <w:b/>
        </w:rPr>
      </w:pPr>
      <w:r>
        <w:t>Overall, just under half of the households with a current need are estimated to be likely to have insufficient income to afford market housing and so the total current need is around 6,900 households in the study area. The table below also shows how this is estimated to vary by local authority.</w:t>
      </w:r>
    </w:p>
    <w:p w14:paraId="7147A06E" w14:textId="77777777" w:rsidR="00A13819" w:rsidRDefault="00A13819" w:rsidP="003D5E23">
      <w:pPr>
        <w:pStyle w:val="Tableheading"/>
        <w:numPr>
          <w:ilvl w:val="0"/>
          <w:numId w:val="54"/>
        </w:numPr>
      </w:pPr>
      <w:r>
        <w:t>Estimated Current Affordable Housing Need (for social/affordable rent housing)</w:t>
      </w:r>
    </w:p>
    <w:tbl>
      <w:tblPr>
        <w:tblStyle w:val="TableGridLight1"/>
        <w:tblW w:w="8527" w:type="dxa"/>
        <w:tblInd w:w="846" w:type="dxa"/>
        <w:tblLook w:val="04A0" w:firstRow="1" w:lastRow="0" w:firstColumn="1" w:lastColumn="0" w:noHBand="0" w:noVBand="1"/>
      </w:tblPr>
      <w:tblGrid>
        <w:gridCol w:w="2133"/>
        <w:gridCol w:w="2235"/>
        <w:gridCol w:w="2275"/>
        <w:gridCol w:w="1884"/>
      </w:tblGrid>
      <w:tr w:rsidR="000628B8" w:rsidRPr="000628B8" w14:paraId="3AD1EF00" w14:textId="77777777" w:rsidTr="004F4BA7">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133" w:type="dxa"/>
            <w:hideMark/>
          </w:tcPr>
          <w:p w14:paraId="63E29E8F" w14:textId="77777777" w:rsidR="00A13819" w:rsidRPr="000628B8" w:rsidRDefault="00A13819" w:rsidP="008E6E40">
            <w:pPr>
              <w:keepNext/>
              <w:rPr>
                <w:lang w:eastAsia="en-GB"/>
              </w:rPr>
            </w:pPr>
            <w:r w:rsidRPr="000628B8">
              <w:rPr>
                <w:lang w:eastAsia="en-GB"/>
              </w:rPr>
              <w:t> </w:t>
            </w:r>
          </w:p>
        </w:tc>
        <w:tc>
          <w:tcPr>
            <w:tcW w:w="2235" w:type="dxa"/>
            <w:hideMark/>
          </w:tcPr>
          <w:p w14:paraId="07E9C4DF"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In unsuitable housing (taken forward for affordability test)</w:t>
            </w:r>
          </w:p>
        </w:tc>
        <w:tc>
          <w:tcPr>
            <w:tcW w:w="2275" w:type="dxa"/>
            <w:hideMark/>
          </w:tcPr>
          <w:p w14:paraId="2E324839"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 Unable to Afford Market Housing (without subsidy)</w:t>
            </w:r>
          </w:p>
        </w:tc>
        <w:tc>
          <w:tcPr>
            <w:tcW w:w="1884" w:type="dxa"/>
            <w:hideMark/>
          </w:tcPr>
          <w:p w14:paraId="5A0988CC"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Revised Gross Need (including Affordability)</w:t>
            </w:r>
          </w:p>
        </w:tc>
      </w:tr>
      <w:tr w:rsidR="000628B8" w:rsidRPr="000628B8" w14:paraId="43A1FA32"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22CA9444" w14:textId="77777777" w:rsidR="00A13819" w:rsidRPr="004F4BA7" w:rsidRDefault="00A13819" w:rsidP="008E6E40">
            <w:pPr>
              <w:keepNext/>
              <w:rPr>
                <w:bCs/>
                <w:lang w:eastAsia="en-GB"/>
              </w:rPr>
            </w:pPr>
            <w:r w:rsidRPr="004F4BA7">
              <w:rPr>
                <w:bCs/>
                <w:lang w:eastAsia="en-GB"/>
              </w:rPr>
              <w:t>Cambridge</w:t>
            </w:r>
          </w:p>
        </w:tc>
        <w:tc>
          <w:tcPr>
            <w:tcW w:w="2235" w:type="dxa"/>
            <w:hideMark/>
          </w:tcPr>
          <w:p w14:paraId="50A6B032"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3,321</w:t>
            </w:r>
          </w:p>
        </w:tc>
        <w:tc>
          <w:tcPr>
            <w:tcW w:w="2275" w:type="dxa"/>
            <w:hideMark/>
          </w:tcPr>
          <w:p w14:paraId="25C2508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48.90%</w:t>
            </w:r>
          </w:p>
        </w:tc>
        <w:tc>
          <w:tcPr>
            <w:tcW w:w="1884" w:type="dxa"/>
            <w:hideMark/>
          </w:tcPr>
          <w:p w14:paraId="2A98D14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1,623</w:t>
            </w:r>
          </w:p>
        </w:tc>
      </w:tr>
      <w:tr w:rsidR="000628B8" w:rsidRPr="000628B8" w14:paraId="7D9365CB"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380822BC" w14:textId="77777777" w:rsidR="00A13819" w:rsidRPr="004F4BA7" w:rsidRDefault="00A13819" w:rsidP="008E6E40">
            <w:pPr>
              <w:keepNext/>
              <w:rPr>
                <w:bCs/>
                <w:lang w:eastAsia="en-GB"/>
              </w:rPr>
            </w:pPr>
            <w:r w:rsidRPr="004F4BA7">
              <w:rPr>
                <w:bCs/>
                <w:lang w:eastAsia="en-GB"/>
              </w:rPr>
              <w:t>East Cambs</w:t>
            </w:r>
          </w:p>
        </w:tc>
        <w:tc>
          <w:tcPr>
            <w:tcW w:w="2235" w:type="dxa"/>
            <w:hideMark/>
          </w:tcPr>
          <w:p w14:paraId="2B296695"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1,171</w:t>
            </w:r>
          </w:p>
        </w:tc>
        <w:tc>
          <w:tcPr>
            <w:tcW w:w="2275" w:type="dxa"/>
            <w:hideMark/>
          </w:tcPr>
          <w:p w14:paraId="6E51254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47.90%</w:t>
            </w:r>
          </w:p>
        </w:tc>
        <w:tc>
          <w:tcPr>
            <w:tcW w:w="1884" w:type="dxa"/>
            <w:hideMark/>
          </w:tcPr>
          <w:p w14:paraId="3A0F71F4"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561</w:t>
            </w:r>
          </w:p>
        </w:tc>
      </w:tr>
      <w:tr w:rsidR="000628B8" w:rsidRPr="000628B8" w14:paraId="238CD85D"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1AB519E1" w14:textId="77777777" w:rsidR="00A13819" w:rsidRPr="004F4BA7" w:rsidRDefault="00A13819" w:rsidP="008E6E40">
            <w:pPr>
              <w:keepNext/>
              <w:rPr>
                <w:bCs/>
                <w:lang w:eastAsia="en-GB"/>
              </w:rPr>
            </w:pPr>
            <w:r w:rsidRPr="004F4BA7">
              <w:rPr>
                <w:bCs/>
                <w:lang w:eastAsia="en-GB"/>
              </w:rPr>
              <w:t>Fenland</w:t>
            </w:r>
          </w:p>
        </w:tc>
        <w:tc>
          <w:tcPr>
            <w:tcW w:w="2235" w:type="dxa"/>
            <w:hideMark/>
          </w:tcPr>
          <w:p w14:paraId="30AE8D67"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1,959</w:t>
            </w:r>
          </w:p>
        </w:tc>
        <w:tc>
          <w:tcPr>
            <w:tcW w:w="2275" w:type="dxa"/>
            <w:hideMark/>
          </w:tcPr>
          <w:p w14:paraId="337378E4"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49.50%</w:t>
            </w:r>
          </w:p>
        </w:tc>
        <w:tc>
          <w:tcPr>
            <w:tcW w:w="1884" w:type="dxa"/>
            <w:hideMark/>
          </w:tcPr>
          <w:p w14:paraId="6FF19FD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969</w:t>
            </w:r>
          </w:p>
        </w:tc>
      </w:tr>
      <w:tr w:rsidR="000628B8" w:rsidRPr="000628B8" w14:paraId="20847F16"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6D552D8A" w14:textId="77777777" w:rsidR="00A13819" w:rsidRPr="004F4BA7" w:rsidRDefault="00A13819" w:rsidP="008E6E40">
            <w:pPr>
              <w:keepNext/>
              <w:rPr>
                <w:bCs/>
                <w:lang w:eastAsia="en-GB"/>
              </w:rPr>
            </w:pPr>
            <w:r w:rsidRPr="004F4BA7">
              <w:rPr>
                <w:bCs/>
                <w:lang w:eastAsia="en-GB"/>
              </w:rPr>
              <w:t>Huntingdonshire</w:t>
            </w:r>
          </w:p>
        </w:tc>
        <w:tc>
          <w:tcPr>
            <w:tcW w:w="2235" w:type="dxa"/>
            <w:hideMark/>
          </w:tcPr>
          <w:p w14:paraId="77C10B74"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2,605</w:t>
            </w:r>
          </w:p>
        </w:tc>
        <w:tc>
          <w:tcPr>
            <w:tcW w:w="2275" w:type="dxa"/>
            <w:hideMark/>
          </w:tcPr>
          <w:p w14:paraId="43E158F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47.20%</w:t>
            </w:r>
          </w:p>
        </w:tc>
        <w:tc>
          <w:tcPr>
            <w:tcW w:w="1884" w:type="dxa"/>
            <w:hideMark/>
          </w:tcPr>
          <w:p w14:paraId="371E4D3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1,229</w:t>
            </w:r>
          </w:p>
        </w:tc>
      </w:tr>
      <w:tr w:rsidR="000628B8" w:rsidRPr="000628B8" w14:paraId="60B34A43"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160C3581" w14:textId="77777777" w:rsidR="00A13819" w:rsidRPr="004F4BA7" w:rsidRDefault="00A13819" w:rsidP="008E6E40">
            <w:pPr>
              <w:keepNext/>
              <w:rPr>
                <w:bCs/>
                <w:lang w:eastAsia="en-GB"/>
              </w:rPr>
            </w:pPr>
            <w:r w:rsidRPr="004F4BA7">
              <w:rPr>
                <w:bCs/>
                <w:lang w:eastAsia="en-GB"/>
              </w:rPr>
              <w:t>South Cambs</w:t>
            </w:r>
          </w:p>
        </w:tc>
        <w:tc>
          <w:tcPr>
            <w:tcW w:w="2235" w:type="dxa"/>
            <w:hideMark/>
          </w:tcPr>
          <w:p w14:paraId="6D6D466A"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1,911</w:t>
            </w:r>
          </w:p>
        </w:tc>
        <w:tc>
          <w:tcPr>
            <w:tcW w:w="2275" w:type="dxa"/>
            <w:hideMark/>
          </w:tcPr>
          <w:p w14:paraId="1433455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49.10%</w:t>
            </w:r>
          </w:p>
        </w:tc>
        <w:tc>
          <w:tcPr>
            <w:tcW w:w="1884" w:type="dxa"/>
            <w:hideMark/>
          </w:tcPr>
          <w:p w14:paraId="0DF73B8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938</w:t>
            </w:r>
          </w:p>
        </w:tc>
      </w:tr>
      <w:tr w:rsidR="000628B8" w:rsidRPr="000628B8" w14:paraId="42D40A2E"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5934CA39" w14:textId="77777777" w:rsidR="00A13819" w:rsidRPr="004F4BA7" w:rsidRDefault="00A13819" w:rsidP="008E6E40">
            <w:pPr>
              <w:keepNext/>
              <w:rPr>
                <w:bCs/>
                <w:lang w:eastAsia="en-GB"/>
              </w:rPr>
            </w:pPr>
            <w:r w:rsidRPr="004F4BA7">
              <w:rPr>
                <w:bCs/>
                <w:lang w:eastAsia="en-GB"/>
              </w:rPr>
              <w:t>West Suffolk</w:t>
            </w:r>
          </w:p>
        </w:tc>
        <w:tc>
          <w:tcPr>
            <w:tcW w:w="2235" w:type="dxa"/>
            <w:hideMark/>
          </w:tcPr>
          <w:p w14:paraId="593EDD6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3,097</w:t>
            </w:r>
          </w:p>
        </w:tc>
        <w:tc>
          <w:tcPr>
            <w:tcW w:w="2275" w:type="dxa"/>
            <w:hideMark/>
          </w:tcPr>
          <w:p w14:paraId="5BC0731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49.80%</w:t>
            </w:r>
          </w:p>
        </w:tc>
        <w:tc>
          <w:tcPr>
            <w:tcW w:w="1884" w:type="dxa"/>
            <w:hideMark/>
          </w:tcPr>
          <w:p w14:paraId="010BF574"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1,543</w:t>
            </w:r>
          </w:p>
        </w:tc>
      </w:tr>
      <w:tr w:rsidR="000628B8" w:rsidRPr="000628B8" w14:paraId="000179D6" w14:textId="77777777" w:rsidTr="004F4BA7">
        <w:trPr>
          <w:trHeight w:val="253"/>
        </w:trPr>
        <w:tc>
          <w:tcPr>
            <w:cnfStyle w:val="001000000000" w:firstRow="0" w:lastRow="0" w:firstColumn="1" w:lastColumn="0" w:oddVBand="0" w:evenVBand="0" w:oddHBand="0" w:evenHBand="0" w:firstRowFirstColumn="0" w:firstRowLastColumn="0" w:lastRowFirstColumn="0" w:lastRowLastColumn="0"/>
            <w:tcW w:w="2133" w:type="dxa"/>
            <w:hideMark/>
          </w:tcPr>
          <w:p w14:paraId="5B97528A" w14:textId="77777777" w:rsidR="00A13819" w:rsidRPr="000628B8" w:rsidRDefault="00A13819" w:rsidP="008E6E40">
            <w:pPr>
              <w:keepNext/>
              <w:rPr>
                <w:b/>
                <w:lang w:eastAsia="en-GB"/>
              </w:rPr>
            </w:pPr>
            <w:r w:rsidRPr="000628B8">
              <w:rPr>
                <w:b/>
                <w:lang w:eastAsia="en-GB"/>
              </w:rPr>
              <w:t>HMA</w:t>
            </w:r>
          </w:p>
        </w:tc>
        <w:tc>
          <w:tcPr>
            <w:tcW w:w="2235" w:type="dxa"/>
            <w:hideMark/>
          </w:tcPr>
          <w:p w14:paraId="5746568B"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14,064</w:t>
            </w:r>
          </w:p>
        </w:tc>
        <w:tc>
          <w:tcPr>
            <w:tcW w:w="2275" w:type="dxa"/>
            <w:hideMark/>
          </w:tcPr>
          <w:p w14:paraId="4072E73E"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48.80%</w:t>
            </w:r>
          </w:p>
        </w:tc>
        <w:tc>
          <w:tcPr>
            <w:tcW w:w="1884" w:type="dxa"/>
            <w:hideMark/>
          </w:tcPr>
          <w:p w14:paraId="131DF9B6"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6,864</w:t>
            </w:r>
          </w:p>
        </w:tc>
      </w:tr>
    </w:tbl>
    <w:p w14:paraId="53ABBB7E" w14:textId="77777777" w:rsidR="00A13819" w:rsidRPr="00F85167" w:rsidRDefault="00A13819" w:rsidP="008E6E40">
      <w:pPr>
        <w:pStyle w:val="Bodytextwithindent"/>
        <w:keepNext/>
        <w:spacing w:before="0" w:after="0" w:line="240" w:lineRule="auto"/>
        <w:rPr>
          <w:sz w:val="24"/>
          <w:szCs w:val="22"/>
        </w:rPr>
      </w:pPr>
      <w:r w:rsidRPr="00F85167">
        <w:rPr>
          <w:sz w:val="24"/>
          <w:szCs w:val="22"/>
        </w:rPr>
        <w:t xml:space="preserve">Source: CLG Live Tables, Census </w:t>
      </w:r>
      <w:proofErr w:type="gramStart"/>
      <w:r w:rsidRPr="00F85167">
        <w:rPr>
          <w:sz w:val="24"/>
          <w:szCs w:val="22"/>
        </w:rPr>
        <w:t>2011</w:t>
      </w:r>
      <w:proofErr w:type="gramEnd"/>
      <w:r w:rsidRPr="00F85167">
        <w:rPr>
          <w:sz w:val="24"/>
          <w:szCs w:val="22"/>
        </w:rPr>
        <w:t xml:space="preserve"> and Data Modelling</w:t>
      </w:r>
    </w:p>
    <w:p w14:paraId="7E44A5D1" w14:textId="77777777" w:rsidR="00A13819" w:rsidRDefault="00A13819" w:rsidP="007D0FBF">
      <w:pPr>
        <w:pStyle w:val="11Bodytext"/>
      </w:pPr>
      <w:r>
        <w:t>The estimated figure shown above (6,864) represents the number of households with a need currently. For this analysis, it is assumed that the local authorities would seek to meet this need over the 2020-40 period examined in this report. The need is therefore annualised by dividing by 20 (to give an annual need for 343 dwellings across all local authorities). This does not mean that some households would be expected to wait for 20-years for housing as the need is likely to be dynamic, with households leaving the current need as they are housed but with other households developing a need over time.</w:t>
      </w:r>
    </w:p>
    <w:p w14:paraId="2A9A30D9" w14:textId="77777777" w:rsidR="00A13819" w:rsidRDefault="00A13819" w:rsidP="007D0FBF">
      <w:pPr>
        <w:pStyle w:val="Heading2"/>
      </w:pPr>
      <w:r>
        <w:t>Newly Forming Households</w:t>
      </w:r>
    </w:p>
    <w:p w14:paraId="7850BA4A" w14:textId="77777777" w:rsidR="00A13819" w:rsidRDefault="00A13819" w:rsidP="007D0FBF">
      <w:pPr>
        <w:pStyle w:val="11Bodytext"/>
      </w:pPr>
      <w:r>
        <w:t xml:space="preserve">The first element of newly arising need is the number of newly forming households in need.  This has been estimated through demographic modelling with an affordability test also being applied. This has been undertaken by considering the </w:t>
      </w:r>
      <w:r>
        <w:lastRenderedPageBreak/>
        <w:t>changes in households in specific 5-year age bands relative to numbers in the age band below, 5 years previously, to provide an estimate of gross household formation.</w:t>
      </w:r>
    </w:p>
    <w:p w14:paraId="4C079155" w14:textId="77777777" w:rsidR="00A13819" w:rsidRDefault="00A13819" w:rsidP="007D0FBF">
      <w:pPr>
        <w:pStyle w:val="11Bodytext"/>
      </w:pPr>
      <w:r>
        <w:t>The number of newly-forming households is limited to households forming who are aged under 45 – this is consistent with Annex 2 of the CLG guidance (from 2007) which notes after age 45 that headship (household formation) rates ‘plateau’. There may be a small number of household formations beyond age 45 (</w:t>
      </w:r>
      <w:proofErr w:type="gramStart"/>
      <w:r>
        <w:t>e.g.</w:t>
      </w:r>
      <w:proofErr w:type="gramEnd"/>
      <w:r>
        <w:t xml:space="preserve"> due to relationship breakdown) although the number is expected to be fairly small when compared with the formation of younger households. </w:t>
      </w:r>
    </w:p>
    <w:p w14:paraId="595F4BCF" w14:textId="77777777" w:rsidR="00A13819" w:rsidRDefault="00A13819" w:rsidP="007D0FBF">
      <w:pPr>
        <w:pStyle w:val="11Bodytext"/>
      </w:pPr>
      <w:r>
        <w:t>The number of newly forming households has been estimated through demographic modelling (linked to 2018-based Sub-National Population Projections (SNPP) and 2014-based Sub-National Household Projections (SNHP), with additional adjustments to take account of population estimates – as previously described and particularly impacting on Cambridge). This is considered to provide the best view about the trend-based household formation, but without building in any additional constraints to household formation.</w:t>
      </w:r>
    </w:p>
    <w:p w14:paraId="37EC2D8D" w14:textId="77777777" w:rsidR="00A13819" w:rsidRDefault="00A13819" w:rsidP="007D0FBF">
      <w:pPr>
        <w:pStyle w:val="11Bodytext"/>
      </w:pPr>
      <w:r>
        <w:t xml:space="preserve">In assessing the ability of newly forming households to afford market housing, data has been drawn from previous surveys undertaken nationally by JGC. This establishes that the average income of ‘newly forming households’ is around 84% of the figure for ‘all </w:t>
      </w:r>
      <w:proofErr w:type="gramStart"/>
      <w:r>
        <w:t>households’</w:t>
      </w:r>
      <w:proofErr w:type="gramEnd"/>
      <w:r>
        <w:t>. This figure is remarkably consistent across areas (and is also consistent with the analysis of English Housing Survey data at a national level).</w:t>
      </w:r>
    </w:p>
    <w:p w14:paraId="7A9C3C88" w14:textId="77777777" w:rsidR="00A13819" w:rsidRDefault="00A13819" w:rsidP="007D0FBF">
      <w:pPr>
        <w:pStyle w:val="11Bodytext"/>
      </w:pPr>
      <w:r>
        <w:t xml:space="preserve">The analysis has therefore adjusted the overall household income data to reflect the lower average income for newly forming households. The adjustments have been made by changing the distribution of income by bands such that the average income level is 84% of the household average. </w:t>
      </w:r>
    </w:p>
    <w:p w14:paraId="56CB2417" w14:textId="77777777" w:rsidR="00A13819" w:rsidRDefault="00A13819" w:rsidP="007D0FBF">
      <w:pPr>
        <w:pStyle w:val="11Bodytext"/>
      </w:pPr>
      <w:r>
        <w:lastRenderedPageBreak/>
        <w:t>In doing this it is possible to calculate the proportion of households unable to afford market housing. For the need for social/affordable rent housing, this will relate to households unable to afford to buy or rent in the market.</w:t>
      </w:r>
    </w:p>
    <w:p w14:paraId="4A347BC5" w14:textId="77777777" w:rsidR="00A13819" w:rsidRDefault="00A13819" w:rsidP="007D0FBF">
      <w:pPr>
        <w:pStyle w:val="11Bodytext"/>
      </w:pPr>
      <w:r>
        <w:t>The assessment suggests that overall, around 41% of newly forming households will be unable to afford market housing (to rent privately) and this equates to a total of 2,254 newly forming households that will have a need per annum on average. The table below provides a breakdown by each local authority.</w:t>
      </w:r>
    </w:p>
    <w:p w14:paraId="5A7D003E" w14:textId="77777777" w:rsidR="00A13819" w:rsidRDefault="00A13819" w:rsidP="003D5E23">
      <w:pPr>
        <w:pStyle w:val="Tableheading"/>
        <w:numPr>
          <w:ilvl w:val="0"/>
          <w:numId w:val="54"/>
        </w:numPr>
      </w:pPr>
      <w:r>
        <w:t>Estimated Need for Social/Affordable Rent Housing from Newly Forming Households (per annum)</w:t>
      </w:r>
    </w:p>
    <w:tbl>
      <w:tblPr>
        <w:tblStyle w:val="TableGridLight1"/>
        <w:tblW w:w="8363" w:type="dxa"/>
        <w:tblInd w:w="846" w:type="dxa"/>
        <w:tblLook w:val="04A0" w:firstRow="1" w:lastRow="0" w:firstColumn="1" w:lastColumn="0" w:noHBand="0" w:noVBand="1"/>
      </w:tblPr>
      <w:tblGrid>
        <w:gridCol w:w="1991"/>
        <w:gridCol w:w="2085"/>
        <w:gridCol w:w="2123"/>
        <w:gridCol w:w="2164"/>
      </w:tblGrid>
      <w:tr w:rsidR="000628B8" w:rsidRPr="000628B8" w14:paraId="38E745F8" w14:textId="77777777" w:rsidTr="004F4BA7">
        <w:trPr>
          <w:cnfStyle w:val="100000000000" w:firstRow="1" w:lastRow="0" w:firstColumn="0" w:lastColumn="0" w:oddVBand="0" w:evenVBand="0" w:oddHBand="0"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991" w:type="dxa"/>
            <w:hideMark/>
          </w:tcPr>
          <w:p w14:paraId="087F35E6" w14:textId="77777777" w:rsidR="00A13819" w:rsidRPr="000628B8" w:rsidRDefault="00A13819" w:rsidP="008E6E40">
            <w:pPr>
              <w:keepNext/>
              <w:rPr>
                <w:b w:val="0"/>
                <w:bCs/>
                <w:lang w:eastAsia="en-GB"/>
              </w:rPr>
            </w:pPr>
            <w:r w:rsidRPr="000628B8">
              <w:rPr>
                <w:b w:val="0"/>
                <w:bCs/>
                <w:lang w:eastAsia="en-GB"/>
              </w:rPr>
              <w:t> </w:t>
            </w:r>
          </w:p>
        </w:tc>
        <w:tc>
          <w:tcPr>
            <w:tcW w:w="2085" w:type="dxa"/>
            <w:hideMark/>
          </w:tcPr>
          <w:p w14:paraId="13437733"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Number of new households</w:t>
            </w:r>
          </w:p>
        </w:tc>
        <w:tc>
          <w:tcPr>
            <w:tcW w:w="2123" w:type="dxa"/>
            <w:hideMark/>
          </w:tcPr>
          <w:p w14:paraId="1E408D50"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 unable to afford</w:t>
            </w:r>
          </w:p>
        </w:tc>
        <w:tc>
          <w:tcPr>
            <w:tcW w:w="2164" w:type="dxa"/>
            <w:hideMark/>
          </w:tcPr>
          <w:p w14:paraId="2D79E8DE"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Annual newly forming households unable to afford to rent</w:t>
            </w:r>
          </w:p>
        </w:tc>
      </w:tr>
      <w:tr w:rsidR="000628B8" w:rsidRPr="000628B8" w14:paraId="23723569"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1B741336" w14:textId="77777777" w:rsidR="00A13819" w:rsidRPr="004F4BA7" w:rsidRDefault="00A13819" w:rsidP="008E6E40">
            <w:pPr>
              <w:keepNext/>
              <w:rPr>
                <w:bCs/>
                <w:lang w:eastAsia="en-GB"/>
              </w:rPr>
            </w:pPr>
            <w:r w:rsidRPr="004F4BA7">
              <w:rPr>
                <w:bCs/>
                <w:lang w:eastAsia="en-GB"/>
              </w:rPr>
              <w:t>Cambridge</w:t>
            </w:r>
          </w:p>
        </w:tc>
        <w:tc>
          <w:tcPr>
            <w:tcW w:w="2085" w:type="dxa"/>
            <w:hideMark/>
          </w:tcPr>
          <w:p w14:paraId="4F11C97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659</w:t>
            </w:r>
          </w:p>
        </w:tc>
        <w:tc>
          <w:tcPr>
            <w:tcW w:w="2123" w:type="dxa"/>
            <w:hideMark/>
          </w:tcPr>
          <w:p w14:paraId="786AEC0A"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45.30%</w:t>
            </w:r>
          </w:p>
        </w:tc>
        <w:tc>
          <w:tcPr>
            <w:tcW w:w="2164" w:type="dxa"/>
            <w:hideMark/>
          </w:tcPr>
          <w:p w14:paraId="38EE279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299</w:t>
            </w:r>
          </w:p>
        </w:tc>
      </w:tr>
      <w:tr w:rsidR="000628B8" w:rsidRPr="000628B8" w14:paraId="50ACC363"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6F77B749" w14:textId="77777777" w:rsidR="00A13819" w:rsidRPr="004F4BA7" w:rsidRDefault="00A13819" w:rsidP="008E6E40">
            <w:pPr>
              <w:keepNext/>
              <w:rPr>
                <w:bCs/>
                <w:lang w:eastAsia="en-GB"/>
              </w:rPr>
            </w:pPr>
            <w:r w:rsidRPr="004F4BA7">
              <w:rPr>
                <w:bCs/>
                <w:lang w:eastAsia="en-GB"/>
              </w:rPr>
              <w:t>East Cambs</w:t>
            </w:r>
          </w:p>
        </w:tc>
        <w:tc>
          <w:tcPr>
            <w:tcW w:w="2085" w:type="dxa"/>
            <w:hideMark/>
          </w:tcPr>
          <w:p w14:paraId="5EBF69E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607</w:t>
            </w:r>
          </w:p>
        </w:tc>
        <w:tc>
          <w:tcPr>
            <w:tcW w:w="2123" w:type="dxa"/>
            <w:hideMark/>
          </w:tcPr>
          <w:p w14:paraId="704F6D0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40.60%</w:t>
            </w:r>
          </w:p>
        </w:tc>
        <w:tc>
          <w:tcPr>
            <w:tcW w:w="2164" w:type="dxa"/>
            <w:hideMark/>
          </w:tcPr>
          <w:p w14:paraId="3217A8A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246</w:t>
            </w:r>
          </w:p>
        </w:tc>
      </w:tr>
      <w:tr w:rsidR="000628B8" w:rsidRPr="000628B8" w14:paraId="74C9435B"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0ED08ED3" w14:textId="77777777" w:rsidR="00A13819" w:rsidRPr="004F4BA7" w:rsidRDefault="00A13819" w:rsidP="008E6E40">
            <w:pPr>
              <w:keepNext/>
              <w:rPr>
                <w:bCs/>
                <w:lang w:eastAsia="en-GB"/>
              </w:rPr>
            </w:pPr>
            <w:r w:rsidRPr="004F4BA7">
              <w:rPr>
                <w:bCs/>
                <w:lang w:eastAsia="en-GB"/>
              </w:rPr>
              <w:t>Fenland</w:t>
            </w:r>
          </w:p>
        </w:tc>
        <w:tc>
          <w:tcPr>
            <w:tcW w:w="2085" w:type="dxa"/>
            <w:hideMark/>
          </w:tcPr>
          <w:p w14:paraId="7203F0A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693</w:t>
            </w:r>
          </w:p>
        </w:tc>
        <w:tc>
          <w:tcPr>
            <w:tcW w:w="2123" w:type="dxa"/>
            <w:hideMark/>
          </w:tcPr>
          <w:p w14:paraId="1C34BCE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42.50%</w:t>
            </w:r>
          </w:p>
        </w:tc>
        <w:tc>
          <w:tcPr>
            <w:tcW w:w="2164" w:type="dxa"/>
            <w:hideMark/>
          </w:tcPr>
          <w:p w14:paraId="2E405352"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294</w:t>
            </w:r>
          </w:p>
        </w:tc>
      </w:tr>
      <w:tr w:rsidR="000628B8" w:rsidRPr="000628B8" w14:paraId="7D7F3E54"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682A00B4" w14:textId="77777777" w:rsidR="00A13819" w:rsidRPr="004F4BA7" w:rsidRDefault="00A13819" w:rsidP="008E6E40">
            <w:pPr>
              <w:keepNext/>
              <w:rPr>
                <w:bCs/>
                <w:lang w:eastAsia="en-GB"/>
              </w:rPr>
            </w:pPr>
            <w:r w:rsidRPr="004F4BA7">
              <w:rPr>
                <w:bCs/>
                <w:lang w:eastAsia="en-GB"/>
              </w:rPr>
              <w:t>Huntingdonshire</w:t>
            </w:r>
          </w:p>
        </w:tc>
        <w:tc>
          <w:tcPr>
            <w:tcW w:w="2085" w:type="dxa"/>
            <w:hideMark/>
          </w:tcPr>
          <w:p w14:paraId="2E69E2F7"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1,235</w:t>
            </w:r>
          </w:p>
        </w:tc>
        <w:tc>
          <w:tcPr>
            <w:tcW w:w="2123" w:type="dxa"/>
            <w:hideMark/>
          </w:tcPr>
          <w:p w14:paraId="2F34F4F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37.50%</w:t>
            </w:r>
          </w:p>
        </w:tc>
        <w:tc>
          <w:tcPr>
            <w:tcW w:w="2164" w:type="dxa"/>
            <w:hideMark/>
          </w:tcPr>
          <w:p w14:paraId="1DA5D23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463</w:t>
            </w:r>
          </w:p>
        </w:tc>
      </w:tr>
      <w:tr w:rsidR="000628B8" w:rsidRPr="000628B8" w14:paraId="7CD63646"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15872A5C" w14:textId="77777777" w:rsidR="00A13819" w:rsidRPr="004F4BA7" w:rsidRDefault="00A13819" w:rsidP="008E6E40">
            <w:pPr>
              <w:keepNext/>
              <w:rPr>
                <w:bCs/>
                <w:lang w:eastAsia="en-GB"/>
              </w:rPr>
            </w:pPr>
            <w:r w:rsidRPr="004F4BA7">
              <w:rPr>
                <w:bCs/>
                <w:lang w:eastAsia="en-GB"/>
              </w:rPr>
              <w:t>South Cambs</w:t>
            </w:r>
          </w:p>
        </w:tc>
        <w:tc>
          <w:tcPr>
            <w:tcW w:w="2085" w:type="dxa"/>
            <w:hideMark/>
          </w:tcPr>
          <w:p w14:paraId="7D70B90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1,170</w:t>
            </w:r>
          </w:p>
        </w:tc>
        <w:tc>
          <w:tcPr>
            <w:tcW w:w="2123" w:type="dxa"/>
            <w:hideMark/>
          </w:tcPr>
          <w:p w14:paraId="6878195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40.20%</w:t>
            </w:r>
          </w:p>
        </w:tc>
        <w:tc>
          <w:tcPr>
            <w:tcW w:w="2164" w:type="dxa"/>
            <w:hideMark/>
          </w:tcPr>
          <w:p w14:paraId="626FF9F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470</w:t>
            </w:r>
          </w:p>
        </w:tc>
      </w:tr>
      <w:tr w:rsidR="000628B8" w:rsidRPr="000628B8" w14:paraId="41F92F1F"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40ED13B1" w14:textId="77777777" w:rsidR="00A13819" w:rsidRPr="004F4BA7" w:rsidRDefault="00A13819" w:rsidP="008E6E40">
            <w:pPr>
              <w:keepNext/>
              <w:rPr>
                <w:bCs/>
                <w:lang w:eastAsia="en-GB"/>
              </w:rPr>
            </w:pPr>
            <w:r w:rsidRPr="004F4BA7">
              <w:rPr>
                <w:bCs/>
                <w:lang w:eastAsia="en-GB"/>
              </w:rPr>
              <w:t>West Suffolk</w:t>
            </w:r>
          </w:p>
        </w:tc>
        <w:tc>
          <w:tcPr>
            <w:tcW w:w="2085" w:type="dxa"/>
            <w:hideMark/>
          </w:tcPr>
          <w:p w14:paraId="6219354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1,080</w:t>
            </w:r>
          </w:p>
        </w:tc>
        <w:tc>
          <w:tcPr>
            <w:tcW w:w="2123" w:type="dxa"/>
            <w:hideMark/>
          </w:tcPr>
          <w:p w14:paraId="7C1EE087"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44.60%</w:t>
            </w:r>
          </w:p>
        </w:tc>
        <w:tc>
          <w:tcPr>
            <w:tcW w:w="2164" w:type="dxa"/>
            <w:hideMark/>
          </w:tcPr>
          <w:p w14:paraId="47988A29"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481</w:t>
            </w:r>
          </w:p>
        </w:tc>
      </w:tr>
      <w:tr w:rsidR="000628B8" w:rsidRPr="000628B8" w14:paraId="2D838117" w14:textId="77777777" w:rsidTr="004F4BA7">
        <w:trPr>
          <w:trHeight w:val="308"/>
        </w:trPr>
        <w:tc>
          <w:tcPr>
            <w:cnfStyle w:val="001000000000" w:firstRow="0" w:lastRow="0" w:firstColumn="1" w:lastColumn="0" w:oddVBand="0" w:evenVBand="0" w:oddHBand="0" w:evenHBand="0" w:firstRowFirstColumn="0" w:firstRowLastColumn="0" w:lastRowFirstColumn="0" w:lastRowLastColumn="0"/>
            <w:tcW w:w="1991" w:type="dxa"/>
            <w:hideMark/>
          </w:tcPr>
          <w:p w14:paraId="0F918524" w14:textId="77777777" w:rsidR="00A13819" w:rsidRPr="000628B8" w:rsidRDefault="00A13819" w:rsidP="008E6E40">
            <w:pPr>
              <w:keepNext/>
              <w:rPr>
                <w:b/>
                <w:lang w:eastAsia="en-GB"/>
              </w:rPr>
            </w:pPr>
            <w:r w:rsidRPr="000628B8">
              <w:rPr>
                <w:b/>
                <w:lang w:eastAsia="en-GB"/>
              </w:rPr>
              <w:t>HMA</w:t>
            </w:r>
          </w:p>
        </w:tc>
        <w:tc>
          <w:tcPr>
            <w:tcW w:w="2085" w:type="dxa"/>
            <w:hideMark/>
          </w:tcPr>
          <w:p w14:paraId="5CAD777D"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5,443</w:t>
            </w:r>
          </w:p>
        </w:tc>
        <w:tc>
          <w:tcPr>
            <w:tcW w:w="2123" w:type="dxa"/>
            <w:hideMark/>
          </w:tcPr>
          <w:p w14:paraId="05CDE635"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41.40%</w:t>
            </w:r>
          </w:p>
        </w:tc>
        <w:tc>
          <w:tcPr>
            <w:tcW w:w="2164" w:type="dxa"/>
            <w:hideMark/>
          </w:tcPr>
          <w:p w14:paraId="47053307"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2,254</w:t>
            </w:r>
          </w:p>
        </w:tc>
      </w:tr>
    </w:tbl>
    <w:p w14:paraId="26B26939" w14:textId="614B0076" w:rsidR="009534EE" w:rsidRPr="00F85167" w:rsidRDefault="00A13819" w:rsidP="008E6E40">
      <w:pPr>
        <w:pStyle w:val="Bodytextwithindent"/>
        <w:keepNext/>
        <w:spacing w:before="0" w:after="0" w:line="240" w:lineRule="auto"/>
        <w:rPr>
          <w:color w:val="auto"/>
          <w:sz w:val="24"/>
          <w:szCs w:val="22"/>
        </w:rPr>
      </w:pPr>
      <w:r w:rsidRPr="00F85167">
        <w:rPr>
          <w:color w:val="auto"/>
          <w:sz w:val="24"/>
          <w:szCs w:val="22"/>
        </w:rPr>
        <w:t>Source: Projection Modelling/Affordability Analysis</w:t>
      </w:r>
    </w:p>
    <w:p w14:paraId="6A3B9210" w14:textId="181D65BA" w:rsidR="00A13819" w:rsidRDefault="00A13819" w:rsidP="007D0FBF">
      <w:pPr>
        <w:pStyle w:val="Heading2"/>
      </w:pPr>
      <w:r>
        <w:t>Existing Households Falling into Affordable Housing Need</w:t>
      </w:r>
    </w:p>
    <w:p w14:paraId="0A5F53D8" w14:textId="77777777" w:rsidR="00A13819" w:rsidRDefault="00A13819" w:rsidP="007D0FBF">
      <w:pPr>
        <w:pStyle w:val="11Bodytext"/>
      </w:pPr>
      <w:r>
        <w:t xml:space="preserve">The second element of newly arising need is existing households falling into need. To assess this, information from </w:t>
      </w:r>
      <w:proofErr w:type="spellStart"/>
      <w:r>
        <w:t>CoRE</w:t>
      </w:r>
      <w:proofErr w:type="spellEnd"/>
      <w:r>
        <w:rPr>
          <w:rStyle w:val="FootnoteReference"/>
        </w:rPr>
        <w:footnoteReference w:id="15"/>
      </w:r>
      <w:r>
        <w:t xml:space="preserve"> about past lettings in social/affordable rent has been used. The assessment looked at the average number of households who have been housed in general need housing over the past three years</w:t>
      </w:r>
      <w:r>
        <w:rPr>
          <w:rStyle w:val="FootnoteReference"/>
        </w:rPr>
        <w:footnoteReference w:id="16"/>
      </w:r>
      <w:r>
        <w:t xml:space="preserve"> – this group will represent the flow of households onto the Housing Register over this period. </w:t>
      </w:r>
    </w:p>
    <w:p w14:paraId="06204BC1" w14:textId="77777777" w:rsidR="00A13819" w:rsidRDefault="00A13819" w:rsidP="007D0FBF">
      <w:pPr>
        <w:pStyle w:val="11Bodytext"/>
      </w:pPr>
      <w:r>
        <w:lastRenderedPageBreak/>
        <w:t xml:space="preserve">This work largely pre-dates the Covid-19 which would likely result in increased unemployment and thus increased demand for affordable housing.  However, the extent of this has not been explored within the document. </w:t>
      </w:r>
    </w:p>
    <w:p w14:paraId="2006ED21" w14:textId="77777777" w:rsidR="00A13819" w:rsidRDefault="00A13819" w:rsidP="007D0FBF">
      <w:pPr>
        <w:pStyle w:val="11Bodytext"/>
      </w:pPr>
      <w:r>
        <w:t>From this, newly forming households (</w:t>
      </w:r>
      <w:proofErr w:type="gramStart"/>
      <w:r>
        <w:t>e.g.</w:t>
      </w:r>
      <w:proofErr w:type="gramEnd"/>
      <w:r>
        <w:t xml:space="preserve"> those currently living with family) have been discounted as well as households who have transferred from another social/affordable rent property. An affordability test has also been applied.</w:t>
      </w:r>
    </w:p>
    <w:p w14:paraId="44C3BF70" w14:textId="77777777" w:rsidR="00A13819" w:rsidRDefault="00A13819" w:rsidP="007D0FBF">
      <w:pPr>
        <w:pStyle w:val="11Bodytext"/>
      </w:pPr>
      <w:r>
        <w:t xml:space="preserve">The current NPPF provides little detail as to how existing households falling into need should be calculated. The method employed is consistent with the 2007 SHMA guide which says on page 46 that </w:t>
      </w:r>
      <w:r w:rsidRPr="00526C6E">
        <w:rPr>
          <w:i/>
        </w:rPr>
        <w:t>‘Partnerships should estimate the number of existing households falling into need each year by looking at recent trends. This should include households who have entered the housing register and been housed within the year as well as households housed outside of the register (such as priority homeless household applicants)’</w:t>
      </w:r>
      <w:r>
        <w:t>.</w:t>
      </w:r>
    </w:p>
    <w:p w14:paraId="24940B39" w14:textId="77777777" w:rsidR="00A13819" w:rsidRDefault="00A13819" w:rsidP="007D0FBF">
      <w:pPr>
        <w:pStyle w:val="11Bodytext"/>
      </w:pPr>
      <w:r>
        <w:t>The analysis suggests a need arising from 1,020 existing households each year. The table below breaks this down by sub-area.</w:t>
      </w:r>
    </w:p>
    <w:p w14:paraId="55C1FE8F" w14:textId="6556A4F2" w:rsidR="00A13819" w:rsidRDefault="00A13819" w:rsidP="003D5E23">
      <w:pPr>
        <w:pStyle w:val="Tableheading"/>
        <w:numPr>
          <w:ilvl w:val="0"/>
          <w:numId w:val="54"/>
        </w:numPr>
      </w:pPr>
      <w:r>
        <w:t>Estimated Need for Social/Affordable Rent Housing from Existing Households Falling into Need (per annum)</w:t>
      </w:r>
    </w:p>
    <w:tbl>
      <w:tblPr>
        <w:tblStyle w:val="TableGridLight1"/>
        <w:tblW w:w="0" w:type="auto"/>
        <w:tblInd w:w="794" w:type="dxa"/>
        <w:tblLook w:val="04A0" w:firstRow="1" w:lastRow="0" w:firstColumn="1" w:lastColumn="0" w:noHBand="0" w:noVBand="1"/>
      </w:tblPr>
      <w:tblGrid>
        <w:gridCol w:w="2805"/>
        <w:gridCol w:w="2805"/>
        <w:gridCol w:w="2805"/>
      </w:tblGrid>
      <w:tr w:rsidR="000628B8" w:rsidRPr="000628B8" w14:paraId="00114E2C" w14:textId="77777777" w:rsidTr="000628B8">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805" w:type="dxa"/>
          </w:tcPr>
          <w:p w14:paraId="0E4F9EA7" w14:textId="77777777" w:rsidR="00A13819" w:rsidRPr="000628B8" w:rsidRDefault="00A13819" w:rsidP="008E6E40">
            <w:pPr>
              <w:keepNext/>
              <w:rPr>
                <w:b w:val="0"/>
                <w:bCs/>
              </w:rPr>
            </w:pPr>
          </w:p>
        </w:tc>
        <w:tc>
          <w:tcPr>
            <w:tcW w:w="2805" w:type="dxa"/>
          </w:tcPr>
          <w:p w14:paraId="1F8612F5"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pPr>
            <w:r w:rsidRPr="000628B8">
              <w:t xml:space="preserve">Total Additional Need </w:t>
            </w:r>
          </w:p>
        </w:tc>
        <w:tc>
          <w:tcPr>
            <w:tcW w:w="2805" w:type="dxa"/>
          </w:tcPr>
          <w:p w14:paraId="759213DF"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pPr>
            <w:r w:rsidRPr="000628B8">
              <w:t xml:space="preserve">% of Total </w:t>
            </w:r>
          </w:p>
        </w:tc>
      </w:tr>
      <w:tr w:rsidR="000628B8" w:rsidRPr="000628B8" w14:paraId="50569957" w14:textId="77777777" w:rsidTr="000628B8">
        <w:trPr>
          <w:trHeight w:val="223"/>
        </w:trPr>
        <w:tc>
          <w:tcPr>
            <w:cnfStyle w:val="001000000000" w:firstRow="0" w:lastRow="0" w:firstColumn="1" w:lastColumn="0" w:oddVBand="0" w:evenVBand="0" w:oddHBand="0" w:evenHBand="0" w:firstRowFirstColumn="0" w:firstRowLastColumn="0" w:lastRowFirstColumn="0" w:lastRowLastColumn="0"/>
            <w:tcW w:w="2805" w:type="dxa"/>
          </w:tcPr>
          <w:p w14:paraId="32F0A0B6" w14:textId="77777777" w:rsidR="00A13819" w:rsidRPr="004F4BA7" w:rsidRDefault="00A13819" w:rsidP="008E6E40">
            <w:pPr>
              <w:keepNext/>
              <w:rPr>
                <w:bCs/>
                <w:sz w:val="20"/>
              </w:rPr>
            </w:pPr>
            <w:r w:rsidRPr="004F4BA7">
              <w:rPr>
                <w:bCs/>
              </w:rPr>
              <w:t xml:space="preserve">Cambridge </w:t>
            </w:r>
          </w:p>
        </w:tc>
        <w:tc>
          <w:tcPr>
            <w:tcW w:w="2805" w:type="dxa"/>
          </w:tcPr>
          <w:p w14:paraId="54523ED5"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321</w:t>
            </w:r>
          </w:p>
        </w:tc>
        <w:tc>
          <w:tcPr>
            <w:tcW w:w="2805" w:type="dxa"/>
          </w:tcPr>
          <w:p w14:paraId="72415B4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31.50%</w:t>
            </w:r>
          </w:p>
        </w:tc>
      </w:tr>
      <w:tr w:rsidR="000628B8" w:rsidRPr="000628B8" w14:paraId="7497A5E6" w14:textId="77777777" w:rsidTr="000628B8">
        <w:trPr>
          <w:trHeight w:val="223"/>
        </w:trPr>
        <w:tc>
          <w:tcPr>
            <w:cnfStyle w:val="001000000000" w:firstRow="0" w:lastRow="0" w:firstColumn="1" w:lastColumn="0" w:oddVBand="0" w:evenVBand="0" w:oddHBand="0" w:evenHBand="0" w:firstRowFirstColumn="0" w:firstRowLastColumn="0" w:lastRowFirstColumn="0" w:lastRowLastColumn="0"/>
            <w:tcW w:w="2805" w:type="dxa"/>
          </w:tcPr>
          <w:p w14:paraId="25457872" w14:textId="77777777" w:rsidR="00A13819" w:rsidRPr="004F4BA7" w:rsidRDefault="00A13819" w:rsidP="008E6E40">
            <w:pPr>
              <w:keepNext/>
              <w:rPr>
                <w:bCs/>
                <w:sz w:val="20"/>
              </w:rPr>
            </w:pPr>
            <w:r w:rsidRPr="004F4BA7">
              <w:rPr>
                <w:bCs/>
              </w:rPr>
              <w:t>East Cambs</w:t>
            </w:r>
          </w:p>
        </w:tc>
        <w:tc>
          <w:tcPr>
            <w:tcW w:w="2805" w:type="dxa"/>
          </w:tcPr>
          <w:p w14:paraId="752A7F15"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75</w:t>
            </w:r>
          </w:p>
        </w:tc>
        <w:tc>
          <w:tcPr>
            <w:tcW w:w="2805" w:type="dxa"/>
          </w:tcPr>
          <w:p w14:paraId="7A5A486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7.30%</w:t>
            </w:r>
          </w:p>
        </w:tc>
      </w:tr>
      <w:tr w:rsidR="000628B8" w:rsidRPr="000628B8" w14:paraId="4C04AE17" w14:textId="77777777" w:rsidTr="000628B8">
        <w:trPr>
          <w:trHeight w:val="223"/>
        </w:trPr>
        <w:tc>
          <w:tcPr>
            <w:cnfStyle w:val="001000000000" w:firstRow="0" w:lastRow="0" w:firstColumn="1" w:lastColumn="0" w:oddVBand="0" w:evenVBand="0" w:oddHBand="0" w:evenHBand="0" w:firstRowFirstColumn="0" w:firstRowLastColumn="0" w:lastRowFirstColumn="0" w:lastRowLastColumn="0"/>
            <w:tcW w:w="2805" w:type="dxa"/>
          </w:tcPr>
          <w:p w14:paraId="78C461B6" w14:textId="77777777" w:rsidR="00A13819" w:rsidRPr="004F4BA7" w:rsidRDefault="00A13819" w:rsidP="008E6E40">
            <w:pPr>
              <w:keepNext/>
              <w:rPr>
                <w:bCs/>
                <w:sz w:val="20"/>
              </w:rPr>
            </w:pPr>
            <w:r w:rsidRPr="004F4BA7">
              <w:rPr>
                <w:bCs/>
              </w:rPr>
              <w:t xml:space="preserve">Fenland </w:t>
            </w:r>
          </w:p>
        </w:tc>
        <w:tc>
          <w:tcPr>
            <w:tcW w:w="2805" w:type="dxa"/>
          </w:tcPr>
          <w:p w14:paraId="20E57862"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117</w:t>
            </w:r>
          </w:p>
        </w:tc>
        <w:tc>
          <w:tcPr>
            <w:tcW w:w="2805" w:type="dxa"/>
          </w:tcPr>
          <w:p w14:paraId="1E48056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11.50%</w:t>
            </w:r>
          </w:p>
        </w:tc>
      </w:tr>
      <w:tr w:rsidR="000628B8" w:rsidRPr="000628B8" w14:paraId="051A279D" w14:textId="77777777" w:rsidTr="000628B8">
        <w:trPr>
          <w:trHeight w:val="223"/>
        </w:trPr>
        <w:tc>
          <w:tcPr>
            <w:cnfStyle w:val="001000000000" w:firstRow="0" w:lastRow="0" w:firstColumn="1" w:lastColumn="0" w:oddVBand="0" w:evenVBand="0" w:oddHBand="0" w:evenHBand="0" w:firstRowFirstColumn="0" w:firstRowLastColumn="0" w:lastRowFirstColumn="0" w:lastRowLastColumn="0"/>
            <w:tcW w:w="2805" w:type="dxa"/>
          </w:tcPr>
          <w:p w14:paraId="6A97887C" w14:textId="77777777" w:rsidR="00A13819" w:rsidRPr="004F4BA7" w:rsidRDefault="00A13819" w:rsidP="008E6E40">
            <w:pPr>
              <w:keepNext/>
              <w:rPr>
                <w:bCs/>
                <w:sz w:val="20"/>
              </w:rPr>
            </w:pPr>
            <w:r w:rsidRPr="004F4BA7">
              <w:rPr>
                <w:bCs/>
              </w:rPr>
              <w:t xml:space="preserve">Huntingdonshire </w:t>
            </w:r>
          </w:p>
        </w:tc>
        <w:tc>
          <w:tcPr>
            <w:tcW w:w="2805" w:type="dxa"/>
          </w:tcPr>
          <w:p w14:paraId="525BFEF9"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162</w:t>
            </w:r>
          </w:p>
        </w:tc>
        <w:tc>
          <w:tcPr>
            <w:tcW w:w="2805" w:type="dxa"/>
          </w:tcPr>
          <w:p w14:paraId="2E516EF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15.90%</w:t>
            </w:r>
          </w:p>
        </w:tc>
      </w:tr>
      <w:tr w:rsidR="000628B8" w:rsidRPr="000628B8" w14:paraId="15B0070D" w14:textId="77777777" w:rsidTr="000628B8">
        <w:trPr>
          <w:trHeight w:val="223"/>
        </w:trPr>
        <w:tc>
          <w:tcPr>
            <w:cnfStyle w:val="001000000000" w:firstRow="0" w:lastRow="0" w:firstColumn="1" w:lastColumn="0" w:oddVBand="0" w:evenVBand="0" w:oddHBand="0" w:evenHBand="0" w:firstRowFirstColumn="0" w:firstRowLastColumn="0" w:lastRowFirstColumn="0" w:lastRowLastColumn="0"/>
            <w:tcW w:w="2805" w:type="dxa"/>
          </w:tcPr>
          <w:p w14:paraId="576E6283" w14:textId="77777777" w:rsidR="00A13819" w:rsidRPr="004F4BA7" w:rsidRDefault="00A13819" w:rsidP="008E6E40">
            <w:pPr>
              <w:keepNext/>
              <w:rPr>
                <w:bCs/>
                <w:sz w:val="20"/>
              </w:rPr>
            </w:pPr>
            <w:r w:rsidRPr="004F4BA7">
              <w:rPr>
                <w:bCs/>
              </w:rPr>
              <w:t>South Cambs</w:t>
            </w:r>
          </w:p>
        </w:tc>
        <w:tc>
          <w:tcPr>
            <w:tcW w:w="2805" w:type="dxa"/>
          </w:tcPr>
          <w:p w14:paraId="40C6296F"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129</w:t>
            </w:r>
          </w:p>
        </w:tc>
        <w:tc>
          <w:tcPr>
            <w:tcW w:w="2805" w:type="dxa"/>
          </w:tcPr>
          <w:p w14:paraId="0D306C1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12.70%</w:t>
            </w:r>
          </w:p>
        </w:tc>
      </w:tr>
      <w:tr w:rsidR="000628B8" w:rsidRPr="000628B8" w14:paraId="195EE93B" w14:textId="77777777" w:rsidTr="000628B8">
        <w:trPr>
          <w:trHeight w:val="223"/>
        </w:trPr>
        <w:tc>
          <w:tcPr>
            <w:cnfStyle w:val="001000000000" w:firstRow="0" w:lastRow="0" w:firstColumn="1" w:lastColumn="0" w:oddVBand="0" w:evenVBand="0" w:oddHBand="0" w:evenHBand="0" w:firstRowFirstColumn="0" w:firstRowLastColumn="0" w:lastRowFirstColumn="0" w:lastRowLastColumn="0"/>
            <w:tcW w:w="2805" w:type="dxa"/>
          </w:tcPr>
          <w:p w14:paraId="1D0B3CE4" w14:textId="77777777" w:rsidR="00A13819" w:rsidRPr="004F4BA7" w:rsidRDefault="00A13819" w:rsidP="008E6E40">
            <w:pPr>
              <w:keepNext/>
              <w:rPr>
                <w:bCs/>
                <w:sz w:val="20"/>
              </w:rPr>
            </w:pPr>
            <w:r w:rsidRPr="004F4BA7">
              <w:rPr>
                <w:bCs/>
              </w:rPr>
              <w:t xml:space="preserve">West Suffolk </w:t>
            </w:r>
          </w:p>
        </w:tc>
        <w:tc>
          <w:tcPr>
            <w:tcW w:w="2805" w:type="dxa"/>
          </w:tcPr>
          <w:p w14:paraId="532BAF0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215</w:t>
            </w:r>
          </w:p>
        </w:tc>
        <w:tc>
          <w:tcPr>
            <w:tcW w:w="2805" w:type="dxa"/>
          </w:tcPr>
          <w:p w14:paraId="4DE65BD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 w:val="20"/>
              </w:rPr>
            </w:pPr>
            <w:r w:rsidRPr="000628B8">
              <w:t>21.10%</w:t>
            </w:r>
          </w:p>
        </w:tc>
      </w:tr>
      <w:tr w:rsidR="000628B8" w:rsidRPr="000628B8" w14:paraId="321753AB" w14:textId="77777777" w:rsidTr="000628B8">
        <w:trPr>
          <w:trHeight w:val="204"/>
        </w:trPr>
        <w:tc>
          <w:tcPr>
            <w:cnfStyle w:val="001000000000" w:firstRow="0" w:lastRow="0" w:firstColumn="1" w:lastColumn="0" w:oddVBand="0" w:evenVBand="0" w:oddHBand="0" w:evenHBand="0" w:firstRowFirstColumn="0" w:firstRowLastColumn="0" w:lastRowFirstColumn="0" w:lastRowLastColumn="0"/>
            <w:tcW w:w="2805" w:type="dxa"/>
          </w:tcPr>
          <w:p w14:paraId="69263BE5" w14:textId="77777777" w:rsidR="00A13819" w:rsidRPr="000628B8" w:rsidRDefault="00A13819" w:rsidP="008E6E40">
            <w:pPr>
              <w:keepNext/>
              <w:rPr>
                <w:b/>
                <w:sz w:val="20"/>
              </w:rPr>
            </w:pPr>
            <w:r w:rsidRPr="000628B8">
              <w:rPr>
                <w:b/>
              </w:rPr>
              <w:t xml:space="preserve">HMA </w:t>
            </w:r>
          </w:p>
        </w:tc>
        <w:tc>
          <w:tcPr>
            <w:tcW w:w="2805" w:type="dxa"/>
          </w:tcPr>
          <w:p w14:paraId="7AD4BA9F"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sz w:val="20"/>
              </w:rPr>
            </w:pPr>
            <w:r w:rsidRPr="004F4BA7">
              <w:rPr>
                <w:b/>
                <w:bCs/>
              </w:rPr>
              <w:t>1,020</w:t>
            </w:r>
          </w:p>
        </w:tc>
        <w:tc>
          <w:tcPr>
            <w:tcW w:w="2805" w:type="dxa"/>
          </w:tcPr>
          <w:p w14:paraId="4E085E52" w14:textId="5D8E1FA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sz w:val="20"/>
              </w:rPr>
            </w:pPr>
            <w:r w:rsidRPr="004F4BA7">
              <w:rPr>
                <w:b/>
                <w:bCs/>
              </w:rPr>
              <w:t xml:space="preserve">100% </w:t>
            </w:r>
          </w:p>
        </w:tc>
      </w:tr>
    </w:tbl>
    <w:p w14:paraId="43F1A5D5" w14:textId="77777777" w:rsidR="00A13819" w:rsidRPr="00F85167" w:rsidRDefault="00A13819" w:rsidP="008E6E40">
      <w:pPr>
        <w:pStyle w:val="Bodytextwithindent"/>
        <w:keepNext/>
        <w:spacing w:before="0" w:after="0" w:line="240" w:lineRule="auto"/>
        <w:rPr>
          <w:sz w:val="24"/>
          <w:szCs w:val="22"/>
        </w:rPr>
      </w:pPr>
      <w:r w:rsidRPr="00F85167">
        <w:rPr>
          <w:sz w:val="24"/>
          <w:szCs w:val="22"/>
        </w:rPr>
        <w:t xml:space="preserve">Source: Derived from </w:t>
      </w:r>
      <w:proofErr w:type="spellStart"/>
      <w:r w:rsidRPr="00F85167">
        <w:rPr>
          <w:sz w:val="24"/>
          <w:szCs w:val="22"/>
        </w:rPr>
        <w:t>CoRe</w:t>
      </w:r>
      <w:proofErr w:type="spellEnd"/>
      <w:r w:rsidRPr="00F85167">
        <w:rPr>
          <w:sz w:val="24"/>
          <w:szCs w:val="22"/>
        </w:rPr>
        <w:t xml:space="preserve"> data</w:t>
      </w:r>
    </w:p>
    <w:p w14:paraId="2873A6A2" w14:textId="77777777" w:rsidR="00A13819" w:rsidRDefault="00A13819" w:rsidP="007D0FBF">
      <w:pPr>
        <w:pStyle w:val="Heading2"/>
      </w:pPr>
      <w:r>
        <w:t>Supply of Social/Affordable Rent Housing Through Relets</w:t>
      </w:r>
    </w:p>
    <w:p w14:paraId="77CC6EEA" w14:textId="77777777" w:rsidR="00A13819" w:rsidRDefault="00A13819" w:rsidP="007D0FBF">
      <w:pPr>
        <w:pStyle w:val="11Bodytext"/>
      </w:pPr>
      <w:r>
        <w:t>The future supply of affordable rented housing through relets is the flow of affordable housing arising from the existing stock that is available to meet future needs. This focusses on the annual supply of social/affordable rent relets.</w:t>
      </w:r>
    </w:p>
    <w:p w14:paraId="78C7ED95" w14:textId="77777777" w:rsidR="00A13819" w:rsidRDefault="00A13819" w:rsidP="007D0FBF">
      <w:pPr>
        <w:pStyle w:val="11Bodytext"/>
      </w:pPr>
      <w:r>
        <w:lastRenderedPageBreak/>
        <w:t xml:space="preserve">The Planning Practice Guidance suggests that the estimate of likely future relets from the social rented stock should be based on past trend data which can be taken as a prediction for the future. Information from </w:t>
      </w:r>
      <w:proofErr w:type="spellStart"/>
      <w:r>
        <w:t>CoRe</w:t>
      </w:r>
      <w:proofErr w:type="spellEnd"/>
      <w:r>
        <w:t xml:space="preserve"> and Local Authority Housing Statistics (LAHS) has been used to establish past patterns of social housing turnover. </w:t>
      </w:r>
    </w:p>
    <w:p w14:paraId="28F26098" w14:textId="77777777" w:rsidR="00A13819" w:rsidRDefault="00A13819" w:rsidP="007D0FBF">
      <w:pPr>
        <w:pStyle w:val="11Bodytext"/>
      </w:pPr>
      <w:r>
        <w:t>The figures are for general needs lettings but exclude lettings of new properties and also exclude an estimate of the number of transfers from other social rented homes. These exclusions are made to ensure that the figures presented reflect relets from the existing stock.</w:t>
      </w:r>
    </w:p>
    <w:p w14:paraId="75707D9C" w14:textId="77777777" w:rsidR="00A13819" w:rsidRDefault="00A13819" w:rsidP="007D0FBF">
      <w:pPr>
        <w:pStyle w:val="11Bodytext"/>
      </w:pPr>
      <w:r>
        <w:t>Based on past trend data it has been estimated that 1,551 units of social/affordable rent housing are likely to become available each year moving forward for occupation by newly forming households and existing households falling into a need from other tenures.</w:t>
      </w:r>
    </w:p>
    <w:p w14:paraId="5EFBEDAE" w14:textId="77777777" w:rsidR="00A13819" w:rsidRDefault="00A13819" w:rsidP="003D5E23">
      <w:pPr>
        <w:pStyle w:val="Tableheading"/>
        <w:numPr>
          <w:ilvl w:val="0"/>
          <w:numId w:val="54"/>
        </w:numPr>
      </w:pPr>
      <w:r>
        <w:t>Analysis of Past Social/Affordable Rent Housing Supply, 2015/16 – 2017/18 (per annum)</w:t>
      </w:r>
    </w:p>
    <w:tbl>
      <w:tblPr>
        <w:tblStyle w:val="TableGridLight1"/>
        <w:tblW w:w="8505" w:type="dxa"/>
        <w:tblInd w:w="846" w:type="dxa"/>
        <w:tblLook w:val="04A0" w:firstRow="1" w:lastRow="0" w:firstColumn="1" w:lastColumn="0" w:noHBand="0" w:noVBand="1"/>
      </w:tblPr>
      <w:tblGrid>
        <w:gridCol w:w="1840"/>
        <w:gridCol w:w="1240"/>
        <w:gridCol w:w="1360"/>
        <w:gridCol w:w="1500"/>
        <w:gridCol w:w="1360"/>
        <w:gridCol w:w="1205"/>
      </w:tblGrid>
      <w:tr w:rsidR="000628B8" w:rsidRPr="000628B8" w14:paraId="7EB33146" w14:textId="77777777" w:rsidTr="004F4BA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40" w:type="dxa"/>
            <w:hideMark/>
          </w:tcPr>
          <w:p w14:paraId="01DA0FA5" w14:textId="77777777" w:rsidR="00A13819" w:rsidRPr="000628B8" w:rsidRDefault="00A13819">
            <w:pPr>
              <w:keepNext/>
              <w:rPr>
                <w:lang w:eastAsia="en-GB"/>
              </w:rPr>
            </w:pPr>
            <w:r w:rsidRPr="000628B8">
              <w:rPr>
                <w:lang w:eastAsia="en-GB"/>
              </w:rPr>
              <w:t> </w:t>
            </w:r>
          </w:p>
        </w:tc>
        <w:tc>
          <w:tcPr>
            <w:tcW w:w="1240" w:type="dxa"/>
            <w:hideMark/>
          </w:tcPr>
          <w:p w14:paraId="2596E1D8" w14:textId="77777777" w:rsidR="00A13819" w:rsidRPr="000628B8"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Total Lettings</w:t>
            </w:r>
          </w:p>
        </w:tc>
        <w:tc>
          <w:tcPr>
            <w:tcW w:w="1360" w:type="dxa"/>
            <w:hideMark/>
          </w:tcPr>
          <w:p w14:paraId="2862D817" w14:textId="77777777" w:rsidR="00A13819" w:rsidRPr="000628B8"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 as Non-New Build</w:t>
            </w:r>
          </w:p>
        </w:tc>
        <w:tc>
          <w:tcPr>
            <w:tcW w:w="1500" w:type="dxa"/>
            <w:hideMark/>
          </w:tcPr>
          <w:p w14:paraId="7308B2CF" w14:textId="77777777" w:rsidR="00A13819" w:rsidRPr="000628B8"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Lettings in Existing Stock</w:t>
            </w:r>
          </w:p>
        </w:tc>
        <w:tc>
          <w:tcPr>
            <w:tcW w:w="1360" w:type="dxa"/>
            <w:hideMark/>
          </w:tcPr>
          <w:p w14:paraId="2FC0A1D7" w14:textId="77777777" w:rsidR="00A13819" w:rsidRPr="000628B8"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 Non-Transfers</w:t>
            </w:r>
          </w:p>
        </w:tc>
        <w:tc>
          <w:tcPr>
            <w:tcW w:w="1205" w:type="dxa"/>
            <w:hideMark/>
          </w:tcPr>
          <w:p w14:paraId="0C0D8BA7" w14:textId="77777777" w:rsidR="00A13819" w:rsidRPr="000628B8" w:rsidRDefault="00A13819">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Lettings to New Tenants</w:t>
            </w:r>
          </w:p>
        </w:tc>
      </w:tr>
      <w:tr w:rsidR="000628B8" w:rsidRPr="000628B8" w14:paraId="0BBE9E6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3B763FB1" w14:textId="77777777" w:rsidR="00A13819" w:rsidRPr="004F4BA7" w:rsidRDefault="00A13819">
            <w:pPr>
              <w:keepNext/>
              <w:rPr>
                <w:bCs/>
                <w:lang w:eastAsia="en-GB"/>
              </w:rPr>
            </w:pPr>
            <w:r w:rsidRPr="004F4BA7">
              <w:rPr>
                <w:bCs/>
                <w:lang w:eastAsia="en-GB"/>
              </w:rPr>
              <w:t>Cambridge</w:t>
            </w:r>
          </w:p>
        </w:tc>
        <w:tc>
          <w:tcPr>
            <w:tcW w:w="1240" w:type="dxa"/>
            <w:hideMark/>
          </w:tcPr>
          <w:p w14:paraId="42764D7B"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706</w:t>
            </w:r>
          </w:p>
        </w:tc>
        <w:tc>
          <w:tcPr>
            <w:tcW w:w="1360" w:type="dxa"/>
            <w:hideMark/>
          </w:tcPr>
          <w:p w14:paraId="4F873BE7"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78.70%</w:t>
            </w:r>
          </w:p>
        </w:tc>
        <w:tc>
          <w:tcPr>
            <w:tcW w:w="1500" w:type="dxa"/>
            <w:hideMark/>
          </w:tcPr>
          <w:p w14:paraId="1211ED0E"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555</w:t>
            </w:r>
          </w:p>
        </w:tc>
        <w:tc>
          <w:tcPr>
            <w:tcW w:w="1360" w:type="dxa"/>
            <w:hideMark/>
          </w:tcPr>
          <w:p w14:paraId="54BFE749"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69.60%</w:t>
            </w:r>
          </w:p>
        </w:tc>
        <w:tc>
          <w:tcPr>
            <w:tcW w:w="1205" w:type="dxa"/>
            <w:hideMark/>
          </w:tcPr>
          <w:p w14:paraId="6118B402"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386</w:t>
            </w:r>
          </w:p>
        </w:tc>
      </w:tr>
      <w:tr w:rsidR="000628B8" w:rsidRPr="000628B8" w14:paraId="52112ACB"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2AD06C14" w14:textId="77777777" w:rsidR="00A13819" w:rsidRPr="004F4BA7" w:rsidRDefault="00A13819">
            <w:pPr>
              <w:keepNext/>
              <w:rPr>
                <w:bCs/>
                <w:lang w:eastAsia="en-GB"/>
              </w:rPr>
            </w:pPr>
            <w:r w:rsidRPr="004F4BA7">
              <w:rPr>
                <w:bCs/>
                <w:lang w:eastAsia="en-GB"/>
              </w:rPr>
              <w:t>East Cambs</w:t>
            </w:r>
          </w:p>
        </w:tc>
        <w:tc>
          <w:tcPr>
            <w:tcW w:w="1240" w:type="dxa"/>
            <w:hideMark/>
          </w:tcPr>
          <w:p w14:paraId="18CF02C0"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221</w:t>
            </w:r>
          </w:p>
        </w:tc>
        <w:tc>
          <w:tcPr>
            <w:tcW w:w="1360" w:type="dxa"/>
            <w:hideMark/>
          </w:tcPr>
          <w:p w14:paraId="58A93E2A"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90.50%</w:t>
            </w:r>
          </w:p>
        </w:tc>
        <w:tc>
          <w:tcPr>
            <w:tcW w:w="1500" w:type="dxa"/>
            <w:hideMark/>
          </w:tcPr>
          <w:p w14:paraId="6FC2B6DC"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200</w:t>
            </w:r>
          </w:p>
        </w:tc>
        <w:tc>
          <w:tcPr>
            <w:tcW w:w="1360" w:type="dxa"/>
            <w:hideMark/>
          </w:tcPr>
          <w:p w14:paraId="1BEDFB74"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67.10%</w:t>
            </w:r>
          </w:p>
        </w:tc>
        <w:tc>
          <w:tcPr>
            <w:tcW w:w="1205" w:type="dxa"/>
            <w:hideMark/>
          </w:tcPr>
          <w:p w14:paraId="13D4496A"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134</w:t>
            </w:r>
          </w:p>
        </w:tc>
      </w:tr>
      <w:tr w:rsidR="000628B8" w:rsidRPr="000628B8" w14:paraId="14998EBA"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77A38BEE" w14:textId="77777777" w:rsidR="00A13819" w:rsidRPr="004F4BA7" w:rsidRDefault="00A13819">
            <w:pPr>
              <w:keepNext/>
              <w:rPr>
                <w:bCs/>
                <w:lang w:eastAsia="en-GB"/>
              </w:rPr>
            </w:pPr>
            <w:r w:rsidRPr="004F4BA7">
              <w:rPr>
                <w:bCs/>
                <w:lang w:eastAsia="en-GB"/>
              </w:rPr>
              <w:t>Fenland</w:t>
            </w:r>
          </w:p>
        </w:tc>
        <w:tc>
          <w:tcPr>
            <w:tcW w:w="1240" w:type="dxa"/>
            <w:hideMark/>
          </w:tcPr>
          <w:p w14:paraId="583C0FA9"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369</w:t>
            </w:r>
          </w:p>
        </w:tc>
        <w:tc>
          <w:tcPr>
            <w:tcW w:w="1360" w:type="dxa"/>
            <w:hideMark/>
          </w:tcPr>
          <w:p w14:paraId="1331BD4F"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78.50%</w:t>
            </w:r>
          </w:p>
        </w:tc>
        <w:tc>
          <w:tcPr>
            <w:tcW w:w="1500" w:type="dxa"/>
            <w:hideMark/>
          </w:tcPr>
          <w:p w14:paraId="76383D4A"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289</w:t>
            </w:r>
          </w:p>
        </w:tc>
        <w:tc>
          <w:tcPr>
            <w:tcW w:w="1360" w:type="dxa"/>
            <w:hideMark/>
          </w:tcPr>
          <w:p w14:paraId="6694258F"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59.20%</w:t>
            </w:r>
          </w:p>
        </w:tc>
        <w:tc>
          <w:tcPr>
            <w:tcW w:w="1205" w:type="dxa"/>
            <w:hideMark/>
          </w:tcPr>
          <w:p w14:paraId="5C71CB85"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171</w:t>
            </w:r>
          </w:p>
        </w:tc>
      </w:tr>
      <w:tr w:rsidR="000628B8" w:rsidRPr="000628B8" w14:paraId="07B92521"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62052E24" w14:textId="77777777" w:rsidR="00A13819" w:rsidRPr="004F4BA7" w:rsidRDefault="00A13819">
            <w:pPr>
              <w:keepNext/>
              <w:rPr>
                <w:bCs/>
                <w:lang w:eastAsia="en-GB"/>
              </w:rPr>
            </w:pPr>
            <w:r w:rsidRPr="004F4BA7">
              <w:rPr>
                <w:bCs/>
                <w:lang w:eastAsia="en-GB"/>
              </w:rPr>
              <w:t>Huntingdonshire</w:t>
            </w:r>
          </w:p>
        </w:tc>
        <w:tc>
          <w:tcPr>
            <w:tcW w:w="1240" w:type="dxa"/>
            <w:hideMark/>
          </w:tcPr>
          <w:p w14:paraId="7BC7FA3C"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504</w:t>
            </w:r>
          </w:p>
        </w:tc>
        <w:tc>
          <w:tcPr>
            <w:tcW w:w="1360" w:type="dxa"/>
            <w:hideMark/>
          </w:tcPr>
          <w:p w14:paraId="41D7C3DC"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85.80%</w:t>
            </w:r>
          </w:p>
        </w:tc>
        <w:tc>
          <w:tcPr>
            <w:tcW w:w="1500" w:type="dxa"/>
            <w:hideMark/>
          </w:tcPr>
          <w:p w14:paraId="0D81B6B3"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433</w:t>
            </w:r>
          </w:p>
        </w:tc>
        <w:tc>
          <w:tcPr>
            <w:tcW w:w="1360" w:type="dxa"/>
            <w:hideMark/>
          </w:tcPr>
          <w:p w14:paraId="444ABA75"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65.30%</w:t>
            </w:r>
          </w:p>
        </w:tc>
        <w:tc>
          <w:tcPr>
            <w:tcW w:w="1205" w:type="dxa"/>
            <w:hideMark/>
          </w:tcPr>
          <w:p w14:paraId="01DFF4A6"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283</w:t>
            </w:r>
          </w:p>
        </w:tc>
      </w:tr>
      <w:tr w:rsidR="000628B8" w:rsidRPr="000628B8" w14:paraId="15326A1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64D20588" w14:textId="77777777" w:rsidR="00A13819" w:rsidRPr="004F4BA7" w:rsidRDefault="00A13819">
            <w:pPr>
              <w:keepNext/>
              <w:rPr>
                <w:bCs/>
                <w:lang w:eastAsia="en-GB"/>
              </w:rPr>
            </w:pPr>
            <w:r w:rsidRPr="004F4BA7">
              <w:rPr>
                <w:bCs/>
                <w:lang w:eastAsia="en-GB"/>
              </w:rPr>
              <w:t>South Cambs</w:t>
            </w:r>
          </w:p>
        </w:tc>
        <w:tc>
          <w:tcPr>
            <w:tcW w:w="1240" w:type="dxa"/>
            <w:hideMark/>
          </w:tcPr>
          <w:p w14:paraId="682B191F"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415</w:t>
            </w:r>
          </w:p>
        </w:tc>
        <w:tc>
          <w:tcPr>
            <w:tcW w:w="1360" w:type="dxa"/>
            <w:hideMark/>
          </w:tcPr>
          <w:p w14:paraId="586FAC4D"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81.20%</w:t>
            </w:r>
          </w:p>
        </w:tc>
        <w:tc>
          <w:tcPr>
            <w:tcW w:w="1500" w:type="dxa"/>
            <w:hideMark/>
          </w:tcPr>
          <w:p w14:paraId="4F31F158"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337</w:t>
            </w:r>
          </w:p>
        </w:tc>
        <w:tc>
          <w:tcPr>
            <w:tcW w:w="1360" w:type="dxa"/>
            <w:hideMark/>
          </w:tcPr>
          <w:p w14:paraId="4A04A1F9"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62.80%</w:t>
            </w:r>
          </w:p>
        </w:tc>
        <w:tc>
          <w:tcPr>
            <w:tcW w:w="1205" w:type="dxa"/>
            <w:hideMark/>
          </w:tcPr>
          <w:p w14:paraId="2EC6A19A"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212</w:t>
            </w:r>
          </w:p>
        </w:tc>
      </w:tr>
      <w:tr w:rsidR="000628B8" w:rsidRPr="000628B8" w14:paraId="098C9CAF"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4A1D93DB" w14:textId="77777777" w:rsidR="00A13819" w:rsidRPr="004F4BA7" w:rsidRDefault="00A13819">
            <w:pPr>
              <w:keepNext/>
              <w:rPr>
                <w:bCs/>
                <w:lang w:eastAsia="en-GB"/>
              </w:rPr>
            </w:pPr>
            <w:r w:rsidRPr="004F4BA7">
              <w:rPr>
                <w:bCs/>
                <w:lang w:eastAsia="en-GB"/>
              </w:rPr>
              <w:t>West Suffolk</w:t>
            </w:r>
          </w:p>
        </w:tc>
        <w:tc>
          <w:tcPr>
            <w:tcW w:w="1240" w:type="dxa"/>
            <w:hideMark/>
          </w:tcPr>
          <w:p w14:paraId="6BBE10AC"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682</w:t>
            </w:r>
          </w:p>
        </w:tc>
        <w:tc>
          <w:tcPr>
            <w:tcW w:w="1360" w:type="dxa"/>
            <w:hideMark/>
          </w:tcPr>
          <w:p w14:paraId="759287B3"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81.80%</w:t>
            </w:r>
          </w:p>
        </w:tc>
        <w:tc>
          <w:tcPr>
            <w:tcW w:w="1500" w:type="dxa"/>
            <w:hideMark/>
          </w:tcPr>
          <w:p w14:paraId="116CC98D"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558</w:t>
            </w:r>
          </w:p>
        </w:tc>
        <w:tc>
          <w:tcPr>
            <w:tcW w:w="1360" w:type="dxa"/>
            <w:hideMark/>
          </w:tcPr>
          <w:p w14:paraId="157CF2E1"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65.30%</w:t>
            </w:r>
          </w:p>
        </w:tc>
        <w:tc>
          <w:tcPr>
            <w:tcW w:w="1205" w:type="dxa"/>
            <w:hideMark/>
          </w:tcPr>
          <w:p w14:paraId="757E4E3E" w14:textId="77777777" w:rsidR="00A13819" w:rsidRPr="000628B8" w:rsidRDefault="00A13819">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364</w:t>
            </w:r>
          </w:p>
        </w:tc>
      </w:tr>
      <w:tr w:rsidR="000628B8" w:rsidRPr="000628B8" w14:paraId="5825702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7263984C" w14:textId="77777777" w:rsidR="00A13819" w:rsidRPr="000628B8" w:rsidRDefault="00A13819">
            <w:pPr>
              <w:keepNext/>
              <w:rPr>
                <w:b/>
                <w:lang w:eastAsia="en-GB"/>
              </w:rPr>
            </w:pPr>
            <w:r w:rsidRPr="000628B8">
              <w:rPr>
                <w:b/>
                <w:lang w:eastAsia="en-GB"/>
              </w:rPr>
              <w:t>HMA</w:t>
            </w:r>
          </w:p>
        </w:tc>
        <w:tc>
          <w:tcPr>
            <w:tcW w:w="1240" w:type="dxa"/>
            <w:hideMark/>
          </w:tcPr>
          <w:p w14:paraId="71D69AAF"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2,897</w:t>
            </w:r>
          </w:p>
        </w:tc>
        <w:tc>
          <w:tcPr>
            <w:tcW w:w="1360" w:type="dxa"/>
            <w:hideMark/>
          </w:tcPr>
          <w:p w14:paraId="50F92E2C"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81.90%</w:t>
            </w:r>
          </w:p>
        </w:tc>
        <w:tc>
          <w:tcPr>
            <w:tcW w:w="1500" w:type="dxa"/>
            <w:hideMark/>
          </w:tcPr>
          <w:p w14:paraId="026D3EE8"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2,373</w:t>
            </w:r>
          </w:p>
        </w:tc>
        <w:tc>
          <w:tcPr>
            <w:tcW w:w="1360" w:type="dxa"/>
            <w:hideMark/>
          </w:tcPr>
          <w:p w14:paraId="3412F37E"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65.40%</w:t>
            </w:r>
          </w:p>
        </w:tc>
        <w:tc>
          <w:tcPr>
            <w:tcW w:w="1205" w:type="dxa"/>
            <w:hideMark/>
          </w:tcPr>
          <w:p w14:paraId="5613FEDE" w14:textId="77777777" w:rsidR="00A13819" w:rsidRPr="004F4BA7" w:rsidRDefault="00A13819">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1,551</w:t>
            </w:r>
          </w:p>
        </w:tc>
      </w:tr>
    </w:tbl>
    <w:p w14:paraId="2F4D4CE9" w14:textId="77777777" w:rsidR="00A13819" w:rsidRPr="00FB553C" w:rsidRDefault="00A13819" w:rsidP="008E6E40">
      <w:pPr>
        <w:pStyle w:val="Bodytextwithindent"/>
        <w:keepNext/>
        <w:spacing w:before="0" w:after="0" w:line="240" w:lineRule="auto"/>
        <w:rPr>
          <w:sz w:val="24"/>
          <w:szCs w:val="22"/>
        </w:rPr>
      </w:pPr>
      <w:r w:rsidRPr="00FB553C">
        <w:rPr>
          <w:sz w:val="24"/>
          <w:szCs w:val="22"/>
        </w:rPr>
        <w:t xml:space="preserve">Source: </w:t>
      </w:r>
      <w:proofErr w:type="spellStart"/>
      <w:r w:rsidRPr="00FB553C">
        <w:rPr>
          <w:sz w:val="24"/>
          <w:szCs w:val="22"/>
        </w:rPr>
        <w:t>CoRe</w:t>
      </w:r>
      <w:proofErr w:type="spellEnd"/>
      <w:r w:rsidRPr="00FB553C">
        <w:rPr>
          <w:sz w:val="24"/>
          <w:szCs w:val="22"/>
        </w:rPr>
        <w:t>/LAHS</w:t>
      </w:r>
    </w:p>
    <w:p w14:paraId="438C42F6" w14:textId="77777777" w:rsidR="00A13819" w:rsidRPr="00526C6E" w:rsidRDefault="00A13819" w:rsidP="007D0FBF">
      <w:pPr>
        <w:pStyle w:val="11Bodytext"/>
        <w:rPr>
          <w:szCs w:val="18"/>
        </w:rPr>
      </w:pPr>
      <w:r>
        <w:t xml:space="preserve">The PPG model also includes the bringing back of vacant homes into use and the pipeline of affordable housing as part of the supply calculation. These have not been included within the modelling in this report. Firstly, there is no evidence of any substantial stock of vacant homes (over and above a level that might be expected to allow movement in the stock). Secondly, with the pipeline supply, it is not considered appropriate to include this as to net off new housing would be to </w:t>
      </w:r>
      <w:r>
        <w:lastRenderedPageBreak/>
        <w:t>fail to show the full extent of the need, although in monitoring it will be important to net off these dwellings as they are completed.</w:t>
      </w:r>
    </w:p>
    <w:p w14:paraId="76F1B9AC" w14:textId="77777777" w:rsidR="00A13819" w:rsidRDefault="00A13819" w:rsidP="007D0FBF">
      <w:pPr>
        <w:pStyle w:val="Heading3"/>
      </w:pPr>
      <w:r>
        <w:t>Net Need for Social/Affordable Rent Housing</w:t>
      </w:r>
    </w:p>
    <w:p w14:paraId="326CE150" w14:textId="77777777" w:rsidR="00A13819" w:rsidRDefault="00A13819" w:rsidP="007D0FBF">
      <w:pPr>
        <w:pStyle w:val="11Bodytext"/>
      </w:pPr>
      <w:r>
        <w:t>The table below shows the overall calculation of affordable housing needs for rent. The analysis shows that 2,066 dwellings per annum should be provided to meet in full the affordable need in all local authorities within the study area. The net need is calculated as follows:</w:t>
      </w:r>
    </w:p>
    <w:p w14:paraId="160C8E36" w14:textId="77777777" w:rsidR="00A13819" w:rsidRPr="00FB553C" w:rsidRDefault="00A13819" w:rsidP="00A13819">
      <w:pPr>
        <w:pStyle w:val="Bodytextwithindent"/>
        <w:jc w:val="center"/>
        <w:rPr>
          <w:b/>
          <w:color w:val="auto"/>
          <w:sz w:val="24"/>
          <w:szCs w:val="22"/>
        </w:rPr>
      </w:pPr>
      <w:r w:rsidRPr="00FB553C">
        <w:rPr>
          <w:b/>
          <w:color w:val="auto"/>
          <w:sz w:val="24"/>
          <w:szCs w:val="22"/>
        </w:rPr>
        <w:t>Net Need = Current Need (allowance for) + Need from Newly-Forming Households + Existing Households falling into Need – Supply of Affordable Housing</w:t>
      </w:r>
    </w:p>
    <w:p w14:paraId="0E57C88F" w14:textId="77777777" w:rsidR="00A13819" w:rsidRDefault="00A13819" w:rsidP="003D5E23">
      <w:pPr>
        <w:pStyle w:val="Tableheading"/>
        <w:numPr>
          <w:ilvl w:val="0"/>
          <w:numId w:val="54"/>
        </w:numPr>
      </w:pPr>
      <w:r>
        <w:t>Estimated Annual Need for Social/Affordable Rent Housing by local authority</w:t>
      </w:r>
    </w:p>
    <w:tbl>
      <w:tblPr>
        <w:tblStyle w:val="TableGridLight1"/>
        <w:tblW w:w="8647" w:type="dxa"/>
        <w:tblInd w:w="846" w:type="dxa"/>
        <w:tblLayout w:type="fixed"/>
        <w:tblLook w:val="04A0" w:firstRow="1" w:lastRow="0" w:firstColumn="1" w:lastColumn="0" w:noHBand="0" w:noVBand="1"/>
      </w:tblPr>
      <w:tblGrid>
        <w:gridCol w:w="2126"/>
        <w:gridCol w:w="992"/>
        <w:gridCol w:w="1418"/>
        <w:gridCol w:w="1417"/>
        <w:gridCol w:w="851"/>
        <w:gridCol w:w="992"/>
        <w:gridCol w:w="851"/>
      </w:tblGrid>
      <w:tr w:rsidR="000628B8" w:rsidRPr="000628B8" w14:paraId="606FE3EE" w14:textId="77777777" w:rsidTr="000628B8">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126" w:type="dxa"/>
            <w:hideMark/>
          </w:tcPr>
          <w:p w14:paraId="58B5C7C6" w14:textId="77777777" w:rsidR="00A13819" w:rsidRPr="000628B8" w:rsidRDefault="00A13819" w:rsidP="008E6E40">
            <w:pPr>
              <w:keepNext/>
              <w:rPr>
                <w:b w:val="0"/>
                <w:bCs/>
              </w:rPr>
            </w:pPr>
          </w:p>
        </w:tc>
        <w:tc>
          <w:tcPr>
            <w:tcW w:w="992" w:type="dxa"/>
            <w:hideMark/>
          </w:tcPr>
          <w:p w14:paraId="50BDEF1D"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sz w:val="22"/>
                <w:szCs w:val="22"/>
                <w:lang w:eastAsia="en-GB"/>
              </w:rPr>
            </w:pPr>
            <w:r w:rsidRPr="000628B8">
              <w:rPr>
                <w:lang w:eastAsia="en-GB"/>
              </w:rPr>
              <w:t>Current need</w:t>
            </w:r>
          </w:p>
        </w:tc>
        <w:tc>
          <w:tcPr>
            <w:tcW w:w="1418" w:type="dxa"/>
            <w:hideMark/>
          </w:tcPr>
          <w:p w14:paraId="218B12DD"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Newly forming households</w:t>
            </w:r>
          </w:p>
        </w:tc>
        <w:tc>
          <w:tcPr>
            <w:tcW w:w="1417" w:type="dxa"/>
            <w:hideMark/>
          </w:tcPr>
          <w:p w14:paraId="6F5F6E44"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Existing households falling into need</w:t>
            </w:r>
          </w:p>
        </w:tc>
        <w:tc>
          <w:tcPr>
            <w:tcW w:w="851" w:type="dxa"/>
            <w:hideMark/>
          </w:tcPr>
          <w:p w14:paraId="3B161992"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Total Gross Need</w:t>
            </w:r>
          </w:p>
        </w:tc>
        <w:tc>
          <w:tcPr>
            <w:tcW w:w="992" w:type="dxa"/>
            <w:hideMark/>
          </w:tcPr>
          <w:p w14:paraId="59DFBB0C"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Relet Supply</w:t>
            </w:r>
          </w:p>
        </w:tc>
        <w:tc>
          <w:tcPr>
            <w:tcW w:w="851" w:type="dxa"/>
            <w:hideMark/>
          </w:tcPr>
          <w:p w14:paraId="7717A05C"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Net Need</w:t>
            </w:r>
          </w:p>
        </w:tc>
      </w:tr>
      <w:tr w:rsidR="000628B8" w:rsidRPr="000628B8" w14:paraId="17ED903B"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3F87FAB3" w14:textId="77777777" w:rsidR="00A13819" w:rsidRPr="004F4BA7" w:rsidRDefault="00A13819" w:rsidP="008E6E40">
            <w:pPr>
              <w:keepNext/>
              <w:rPr>
                <w:bCs/>
                <w:lang w:eastAsia="en-GB"/>
              </w:rPr>
            </w:pPr>
            <w:r w:rsidRPr="004F4BA7">
              <w:rPr>
                <w:bCs/>
                <w:lang w:eastAsia="en-GB"/>
              </w:rPr>
              <w:t>Cambridge</w:t>
            </w:r>
          </w:p>
        </w:tc>
        <w:tc>
          <w:tcPr>
            <w:tcW w:w="992" w:type="dxa"/>
            <w:hideMark/>
          </w:tcPr>
          <w:p w14:paraId="5EA98BA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81</w:t>
            </w:r>
          </w:p>
        </w:tc>
        <w:tc>
          <w:tcPr>
            <w:tcW w:w="1418" w:type="dxa"/>
            <w:hideMark/>
          </w:tcPr>
          <w:p w14:paraId="29606635"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299</w:t>
            </w:r>
          </w:p>
        </w:tc>
        <w:tc>
          <w:tcPr>
            <w:tcW w:w="1417" w:type="dxa"/>
            <w:hideMark/>
          </w:tcPr>
          <w:p w14:paraId="723DCA7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321</w:t>
            </w:r>
          </w:p>
        </w:tc>
        <w:tc>
          <w:tcPr>
            <w:tcW w:w="851" w:type="dxa"/>
            <w:hideMark/>
          </w:tcPr>
          <w:p w14:paraId="478DB89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701</w:t>
            </w:r>
          </w:p>
        </w:tc>
        <w:tc>
          <w:tcPr>
            <w:tcW w:w="992" w:type="dxa"/>
            <w:hideMark/>
          </w:tcPr>
          <w:p w14:paraId="22F0101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386</w:t>
            </w:r>
          </w:p>
        </w:tc>
        <w:tc>
          <w:tcPr>
            <w:tcW w:w="851" w:type="dxa"/>
            <w:hideMark/>
          </w:tcPr>
          <w:p w14:paraId="6EA7016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314</w:t>
            </w:r>
          </w:p>
        </w:tc>
      </w:tr>
      <w:tr w:rsidR="000628B8" w:rsidRPr="000628B8" w14:paraId="1A19C85F"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0FC2E9C0" w14:textId="77777777" w:rsidR="00A13819" w:rsidRPr="004F4BA7" w:rsidRDefault="00A13819" w:rsidP="008E6E40">
            <w:pPr>
              <w:keepNext/>
              <w:rPr>
                <w:bCs/>
                <w:lang w:eastAsia="en-GB"/>
              </w:rPr>
            </w:pPr>
            <w:r w:rsidRPr="004F4BA7">
              <w:rPr>
                <w:bCs/>
                <w:lang w:eastAsia="en-GB"/>
              </w:rPr>
              <w:t>East Cambs</w:t>
            </w:r>
          </w:p>
        </w:tc>
        <w:tc>
          <w:tcPr>
            <w:tcW w:w="992" w:type="dxa"/>
            <w:hideMark/>
          </w:tcPr>
          <w:p w14:paraId="438E14B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28</w:t>
            </w:r>
          </w:p>
        </w:tc>
        <w:tc>
          <w:tcPr>
            <w:tcW w:w="1418" w:type="dxa"/>
            <w:hideMark/>
          </w:tcPr>
          <w:p w14:paraId="3CBD592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246</w:t>
            </w:r>
          </w:p>
        </w:tc>
        <w:tc>
          <w:tcPr>
            <w:tcW w:w="1417" w:type="dxa"/>
            <w:hideMark/>
          </w:tcPr>
          <w:p w14:paraId="4712924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75</w:t>
            </w:r>
          </w:p>
        </w:tc>
        <w:tc>
          <w:tcPr>
            <w:tcW w:w="851" w:type="dxa"/>
            <w:hideMark/>
          </w:tcPr>
          <w:p w14:paraId="2E8358F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349</w:t>
            </w:r>
          </w:p>
        </w:tc>
        <w:tc>
          <w:tcPr>
            <w:tcW w:w="992" w:type="dxa"/>
            <w:hideMark/>
          </w:tcPr>
          <w:p w14:paraId="7FF97A2F"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134</w:t>
            </w:r>
          </w:p>
        </w:tc>
        <w:tc>
          <w:tcPr>
            <w:tcW w:w="851" w:type="dxa"/>
            <w:hideMark/>
          </w:tcPr>
          <w:p w14:paraId="20D1579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215</w:t>
            </w:r>
          </w:p>
        </w:tc>
      </w:tr>
      <w:tr w:rsidR="000628B8" w:rsidRPr="000628B8" w14:paraId="19B10DCB"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6A28A4CC" w14:textId="77777777" w:rsidR="00A13819" w:rsidRPr="004F4BA7" w:rsidRDefault="00A13819" w:rsidP="008E6E40">
            <w:pPr>
              <w:keepNext/>
              <w:rPr>
                <w:bCs/>
                <w:lang w:eastAsia="en-GB"/>
              </w:rPr>
            </w:pPr>
            <w:r w:rsidRPr="004F4BA7">
              <w:rPr>
                <w:bCs/>
                <w:lang w:eastAsia="en-GB"/>
              </w:rPr>
              <w:t>Fenland</w:t>
            </w:r>
          </w:p>
        </w:tc>
        <w:tc>
          <w:tcPr>
            <w:tcW w:w="992" w:type="dxa"/>
            <w:hideMark/>
          </w:tcPr>
          <w:p w14:paraId="3447207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48</w:t>
            </w:r>
          </w:p>
        </w:tc>
        <w:tc>
          <w:tcPr>
            <w:tcW w:w="1418" w:type="dxa"/>
            <w:hideMark/>
          </w:tcPr>
          <w:p w14:paraId="27B566D3"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294</w:t>
            </w:r>
          </w:p>
        </w:tc>
        <w:tc>
          <w:tcPr>
            <w:tcW w:w="1417" w:type="dxa"/>
            <w:hideMark/>
          </w:tcPr>
          <w:p w14:paraId="75366E3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117</w:t>
            </w:r>
          </w:p>
        </w:tc>
        <w:tc>
          <w:tcPr>
            <w:tcW w:w="851" w:type="dxa"/>
            <w:hideMark/>
          </w:tcPr>
          <w:p w14:paraId="442F0B59"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460</w:t>
            </w:r>
          </w:p>
        </w:tc>
        <w:tc>
          <w:tcPr>
            <w:tcW w:w="992" w:type="dxa"/>
            <w:hideMark/>
          </w:tcPr>
          <w:p w14:paraId="5BD3276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171</w:t>
            </w:r>
          </w:p>
        </w:tc>
        <w:tc>
          <w:tcPr>
            <w:tcW w:w="851" w:type="dxa"/>
            <w:hideMark/>
          </w:tcPr>
          <w:p w14:paraId="4E9A8A1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289</w:t>
            </w:r>
          </w:p>
        </w:tc>
      </w:tr>
      <w:tr w:rsidR="000628B8" w:rsidRPr="000628B8" w14:paraId="128DEDFC"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386AF25F" w14:textId="77777777" w:rsidR="00A13819" w:rsidRPr="004F4BA7" w:rsidRDefault="00A13819" w:rsidP="008E6E40">
            <w:pPr>
              <w:keepNext/>
              <w:rPr>
                <w:bCs/>
                <w:lang w:eastAsia="en-GB"/>
              </w:rPr>
            </w:pPr>
            <w:r w:rsidRPr="004F4BA7">
              <w:rPr>
                <w:bCs/>
                <w:lang w:eastAsia="en-GB"/>
              </w:rPr>
              <w:t>Huntingdonshire</w:t>
            </w:r>
          </w:p>
        </w:tc>
        <w:tc>
          <w:tcPr>
            <w:tcW w:w="992" w:type="dxa"/>
            <w:hideMark/>
          </w:tcPr>
          <w:p w14:paraId="79E1073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61</w:t>
            </w:r>
          </w:p>
        </w:tc>
        <w:tc>
          <w:tcPr>
            <w:tcW w:w="1418" w:type="dxa"/>
            <w:hideMark/>
          </w:tcPr>
          <w:p w14:paraId="48DFC27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463</w:t>
            </w:r>
          </w:p>
        </w:tc>
        <w:tc>
          <w:tcPr>
            <w:tcW w:w="1417" w:type="dxa"/>
            <w:hideMark/>
          </w:tcPr>
          <w:p w14:paraId="4B3453A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162</w:t>
            </w:r>
          </w:p>
        </w:tc>
        <w:tc>
          <w:tcPr>
            <w:tcW w:w="851" w:type="dxa"/>
            <w:hideMark/>
          </w:tcPr>
          <w:p w14:paraId="31791FC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687</w:t>
            </w:r>
          </w:p>
        </w:tc>
        <w:tc>
          <w:tcPr>
            <w:tcW w:w="992" w:type="dxa"/>
            <w:hideMark/>
          </w:tcPr>
          <w:p w14:paraId="0EC407E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283</w:t>
            </w:r>
          </w:p>
        </w:tc>
        <w:tc>
          <w:tcPr>
            <w:tcW w:w="851" w:type="dxa"/>
            <w:hideMark/>
          </w:tcPr>
          <w:p w14:paraId="11700C2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404</w:t>
            </w:r>
          </w:p>
        </w:tc>
      </w:tr>
      <w:tr w:rsidR="000628B8" w:rsidRPr="000628B8" w14:paraId="179BCBE9"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69EFA586" w14:textId="77777777" w:rsidR="00A13819" w:rsidRPr="004F4BA7" w:rsidRDefault="00A13819" w:rsidP="008E6E40">
            <w:pPr>
              <w:keepNext/>
              <w:rPr>
                <w:bCs/>
                <w:lang w:eastAsia="en-GB"/>
              </w:rPr>
            </w:pPr>
            <w:r w:rsidRPr="004F4BA7">
              <w:rPr>
                <w:bCs/>
                <w:lang w:eastAsia="en-GB"/>
              </w:rPr>
              <w:t>South Cambs</w:t>
            </w:r>
          </w:p>
        </w:tc>
        <w:tc>
          <w:tcPr>
            <w:tcW w:w="992" w:type="dxa"/>
            <w:hideMark/>
          </w:tcPr>
          <w:p w14:paraId="29AE02B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47</w:t>
            </w:r>
          </w:p>
        </w:tc>
        <w:tc>
          <w:tcPr>
            <w:tcW w:w="1418" w:type="dxa"/>
            <w:hideMark/>
          </w:tcPr>
          <w:p w14:paraId="13ABC635"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470</w:t>
            </w:r>
          </w:p>
        </w:tc>
        <w:tc>
          <w:tcPr>
            <w:tcW w:w="1417" w:type="dxa"/>
            <w:hideMark/>
          </w:tcPr>
          <w:p w14:paraId="3FDFA5E9"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129</w:t>
            </w:r>
          </w:p>
        </w:tc>
        <w:tc>
          <w:tcPr>
            <w:tcW w:w="851" w:type="dxa"/>
            <w:hideMark/>
          </w:tcPr>
          <w:p w14:paraId="01ECC08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646</w:t>
            </w:r>
          </w:p>
        </w:tc>
        <w:tc>
          <w:tcPr>
            <w:tcW w:w="992" w:type="dxa"/>
            <w:hideMark/>
          </w:tcPr>
          <w:p w14:paraId="72A1B4B4"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212</w:t>
            </w:r>
          </w:p>
        </w:tc>
        <w:tc>
          <w:tcPr>
            <w:tcW w:w="851" w:type="dxa"/>
            <w:hideMark/>
          </w:tcPr>
          <w:p w14:paraId="409E652A"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435</w:t>
            </w:r>
          </w:p>
        </w:tc>
      </w:tr>
      <w:tr w:rsidR="000628B8" w:rsidRPr="000628B8" w14:paraId="4B54BDD8"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4EEA6057" w14:textId="77777777" w:rsidR="00A13819" w:rsidRPr="004F4BA7" w:rsidRDefault="00A13819" w:rsidP="008E6E40">
            <w:pPr>
              <w:keepNext/>
              <w:rPr>
                <w:bCs/>
                <w:lang w:eastAsia="en-GB"/>
              </w:rPr>
            </w:pPr>
            <w:r w:rsidRPr="004F4BA7">
              <w:rPr>
                <w:bCs/>
                <w:lang w:eastAsia="en-GB"/>
              </w:rPr>
              <w:t>West Suffolk</w:t>
            </w:r>
          </w:p>
        </w:tc>
        <w:tc>
          <w:tcPr>
            <w:tcW w:w="992" w:type="dxa"/>
            <w:hideMark/>
          </w:tcPr>
          <w:p w14:paraId="107EDA6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77</w:t>
            </w:r>
          </w:p>
        </w:tc>
        <w:tc>
          <w:tcPr>
            <w:tcW w:w="1418" w:type="dxa"/>
            <w:hideMark/>
          </w:tcPr>
          <w:p w14:paraId="6D8C5682"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481</w:t>
            </w:r>
          </w:p>
        </w:tc>
        <w:tc>
          <w:tcPr>
            <w:tcW w:w="1417" w:type="dxa"/>
            <w:hideMark/>
          </w:tcPr>
          <w:p w14:paraId="3BDFBDE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215</w:t>
            </w:r>
          </w:p>
        </w:tc>
        <w:tc>
          <w:tcPr>
            <w:tcW w:w="851" w:type="dxa"/>
            <w:hideMark/>
          </w:tcPr>
          <w:p w14:paraId="1185FAF4"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774</w:t>
            </w:r>
          </w:p>
        </w:tc>
        <w:tc>
          <w:tcPr>
            <w:tcW w:w="992" w:type="dxa"/>
            <w:hideMark/>
          </w:tcPr>
          <w:p w14:paraId="5BF90B8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364</w:t>
            </w:r>
          </w:p>
        </w:tc>
        <w:tc>
          <w:tcPr>
            <w:tcW w:w="851" w:type="dxa"/>
            <w:hideMark/>
          </w:tcPr>
          <w:p w14:paraId="7C3D00C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409</w:t>
            </w:r>
          </w:p>
        </w:tc>
      </w:tr>
      <w:tr w:rsidR="000628B8" w:rsidRPr="000628B8" w14:paraId="0253D148"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0D03ED99" w14:textId="77777777" w:rsidR="00A13819" w:rsidRPr="000628B8" w:rsidRDefault="00A13819" w:rsidP="008E6E40">
            <w:pPr>
              <w:keepNext/>
              <w:rPr>
                <w:b/>
                <w:lang w:eastAsia="en-GB"/>
              </w:rPr>
            </w:pPr>
            <w:r w:rsidRPr="000628B8">
              <w:rPr>
                <w:b/>
                <w:lang w:eastAsia="en-GB"/>
              </w:rPr>
              <w:t>HMA</w:t>
            </w:r>
          </w:p>
        </w:tc>
        <w:tc>
          <w:tcPr>
            <w:tcW w:w="992" w:type="dxa"/>
            <w:hideMark/>
          </w:tcPr>
          <w:p w14:paraId="6ABED029"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343</w:t>
            </w:r>
          </w:p>
        </w:tc>
        <w:tc>
          <w:tcPr>
            <w:tcW w:w="1418" w:type="dxa"/>
            <w:hideMark/>
          </w:tcPr>
          <w:p w14:paraId="35449CF9"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2,254</w:t>
            </w:r>
          </w:p>
        </w:tc>
        <w:tc>
          <w:tcPr>
            <w:tcW w:w="1417" w:type="dxa"/>
            <w:hideMark/>
          </w:tcPr>
          <w:p w14:paraId="2446BB66"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1,020</w:t>
            </w:r>
          </w:p>
        </w:tc>
        <w:tc>
          <w:tcPr>
            <w:tcW w:w="851" w:type="dxa"/>
            <w:hideMark/>
          </w:tcPr>
          <w:p w14:paraId="489001B6"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3,617</w:t>
            </w:r>
          </w:p>
        </w:tc>
        <w:tc>
          <w:tcPr>
            <w:tcW w:w="992" w:type="dxa"/>
            <w:hideMark/>
          </w:tcPr>
          <w:p w14:paraId="579E6BCC"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1,551</w:t>
            </w:r>
          </w:p>
        </w:tc>
        <w:tc>
          <w:tcPr>
            <w:tcW w:w="851" w:type="dxa"/>
            <w:hideMark/>
          </w:tcPr>
          <w:p w14:paraId="739A524A"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2,066</w:t>
            </w:r>
          </w:p>
        </w:tc>
      </w:tr>
      <w:tr w:rsidR="000628B8" w:rsidRPr="000628B8" w14:paraId="536CB832"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2126" w:type="dxa"/>
            <w:hideMark/>
          </w:tcPr>
          <w:p w14:paraId="649055F3" w14:textId="77777777" w:rsidR="00A13819" w:rsidRPr="004F4BA7" w:rsidRDefault="00A13819" w:rsidP="008E6E40">
            <w:pPr>
              <w:keepNext/>
              <w:rPr>
                <w:bCs/>
                <w:lang w:eastAsia="en-GB"/>
              </w:rPr>
            </w:pPr>
            <w:r w:rsidRPr="004F4BA7">
              <w:rPr>
                <w:bCs/>
                <w:lang w:eastAsia="en-GB"/>
              </w:rPr>
              <w:t>Greater Cambridge</w:t>
            </w:r>
          </w:p>
        </w:tc>
        <w:tc>
          <w:tcPr>
            <w:tcW w:w="992" w:type="dxa"/>
            <w:hideMark/>
          </w:tcPr>
          <w:p w14:paraId="103E3E39"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128</w:t>
            </w:r>
          </w:p>
        </w:tc>
        <w:tc>
          <w:tcPr>
            <w:tcW w:w="1418" w:type="dxa"/>
            <w:hideMark/>
          </w:tcPr>
          <w:p w14:paraId="3EE5CD40"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769</w:t>
            </w:r>
          </w:p>
        </w:tc>
        <w:tc>
          <w:tcPr>
            <w:tcW w:w="1417" w:type="dxa"/>
            <w:hideMark/>
          </w:tcPr>
          <w:p w14:paraId="10FFE11A"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450</w:t>
            </w:r>
          </w:p>
        </w:tc>
        <w:tc>
          <w:tcPr>
            <w:tcW w:w="851" w:type="dxa"/>
            <w:hideMark/>
          </w:tcPr>
          <w:p w14:paraId="436B558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1,347</w:t>
            </w:r>
          </w:p>
        </w:tc>
        <w:tc>
          <w:tcPr>
            <w:tcW w:w="992" w:type="dxa"/>
            <w:hideMark/>
          </w:tcPr>
          <w:p w14:paraId="07BDB10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598</w:t>
            </w:r>
          </w:p>
        </w:tc>
        <w:tc>
          <w:tcPr>
            <w:tcW w:w="851" w:type="dxa"/>
            <w:hideMark/>
          </w:tcPr>
          <w:p w14:paraId="133E2DB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749</w:t>
            </w:r>
          </w:p>
        </w:tc>
      </w:tr>
    </w:tbl>
    <w:p w14:paraId="0CE33387" w14:textId="77777777" w:rsidR="00A13819" w:rsidRPr="00FB553C" w:rsidRDefault="00A13819" w:rsidP="008E6E40">
      <w:pPr>
        <w:pStyle w:val="Bodytextwithindent"/>
        <w:keepNext/>
        <w:spacing w:before="0" w:after="0" w:line="240" w:lineRule="auto"/>
        <w:ind w:left="993" w:hanging="199"/>
        <w:rPr>
          <w:sz w:val="24"/>
          <w:szCs w:val="22"/>
        </w:rPr>
      </w:pPr>
      <w:r w:rsidRPr="00FB553C">
        <w:rPr>
          <w:sz w:val="24"/>
          <w:szCs w:val="22"/>
        </w:rPr>
        <w:t xml:space="preserve"> Source: Census 2011, </w:t>
      </w:r>
      <w:proofErr w:type="spellStart"/>
      <w:r w:rsidRPr="00FB553C">
        <w:rPr>
          <w:sz w:val="24"/>
          <w:szCs w:val="22"/>
        </w:rPr>
        <w:t>CoRe</w:t>
      </w:r>
      <w:proofErr w:type="spellEnd"/>
      <w:r w:rsidRPr="00FB553C">
        <w:rPr>
          <w:sz w:val="24"/>
          <w:szCs w:val="22"/>
        </w:rPr>
        <w:t>, Projection Modelling, and Affordability Analysis</w:t>
      </w:r>
    </w:p>
    <w:p w14:paraId="033C81F6" w14:textId="77777777" w:rsidR="00A13819" w:rsidRDefault="00A13819" w:rsidP="007D0FBF">
      <w:pPr>
        <w:pStyle w:val="11Bodytext"/>
      </w:pPr>
      <w:r>
        <w:t xml:space="preserve">This level of need equates to around 44% of the overall need based on the standard method (4,653 </w:t>
      </w:r>
      <w:proofErr w:type="spellStart"/>
      <w:r>
        <w:t>dpa</w:t>
      </w:r>
      <w:proofErr w:type="spellEnd"/>
      <w:r>
        <w:t xml:space="preserve">). However, this is a crude comparison as some of the affordable housing need is from newly forming households. This groups would also be counted as part of the overall housing need.  </w:t>
      </w:r>
    </w:p>
    <w:p w14:paraId="43526B85" w14:textId="644FA983" w:rsidR="00A13819" w:rsidRDefault="00A13819" w:rsidP="007D0FBF">
      <w:pPr>
        <w:pStyle w:val="11Bodytext"/>
      </w:pPr>
      <w:r>
        <w:t xml:space="preserve">Also, some households in need are also already in affordable housing. As a result, they would not generate a net need (they would release their current home when they move to new dwelling).  </w:t>
      </w:r>
    </w:p>
    <w:p w14:paraId="5F26E4B3" w14:textId="2A1AB325" w:rsidR="003A79AF" w:rsidRDefault="003A79AF" w:rsidP="007D0FBF">
      <w:pPr>
        <w:pStyle w:val="11Bodytext"/>
      </w:pPr>
      <w:r>
        <w:lastRenderedPageBreak/>
        <w:t>Moreover, the perce</w:t>
      </w:r>
      <w:r w:rsidR="00536240">
        <w:t>n</w:t>
      </w:r>
      <w:r>
        <w:t xml:space="preserve">tages set out in the final column of the table do not indicate the proportion of market housing that should be affordable homes. Firstly, this will be determined by other factors, in particular an assessment of viability and, secondly, there are other sources of affordable homes such as the private rented sector and rural exception sites.    </w:t>
      </w:r>
    </w:p>
    <w:p w14:paraId="4BF3AD27" w14:textId="6B96B0DF" w:rsidR="00A13819" w:rsidRDefault="00A13819" w:rsidP="007D0FBF">
      <w:pPr>
        <w:pStyle w:val="11Bodytext"/>
      </w:pPr>
      <w:r>
        <w:t xml:space="preserve">The scale of need identified does, however, suggest that the local authorities should continue to seek as much affordable housing delivery as viability allows. </w:t>
      </w:r>
    </w:p>
    <w:p w14:paraId="5E4687DC" w14:textId="3DEBB324" w:rsidR="00A13819" w:rsidRDefault="00A13819" w:rsidP="003D5E23">
      <w:pPr>
        <w:pStyle w:val="Tableheading"/>
        <w:numPr>
          <w:ilvl w:val="0"/>
          <w:numId w:val="54"/>
        </w:numPr>
      </w:pPr>
      <w:r>
        <w:t>Net Affordable Housing Need to Rent as % of Overall Need</w:t>
      </w:r>
    </w:p>
    <w:tbl>
      <w:tblPr>
        <w:tblStyle w:val="TableGridLight1"/>
        <w:tblW w:w="4531" w:type="pct"/>
        <w:tblInd w:w="846" w:type="dxa"/>
        <w:tblLook w:val="04A0" w:firstRow="1" w:lastRow="0" w:firstColumn="1" w:lastColumn="0" w:noHBand="0" w:noVBand="1"/>
      </w:tblPr>
      <w:tblGrid>
        <w:gridCol w:w="2462"/>
        <w:gridCol w:w="1991"/>
        <w:gridCol w:w="1990"/>
        <w:gridCol w:w="2019"/>
      </w:tblGrid>
      <w:tr w:rsidR="000628B8" w:rsidRPr="000628B8" w14:paraId="0F5523CA" w14:textId="77777777" w:rsidTr="000628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pct"/>
          </w:tcPr>
          <w:p w14:paraId="52D6E2D4" w14:textId="77777777" w:rsidR="00A13819" w:rsidRPr="000628B8" w:rsidRDefault="00A13819" w:rsidP="001D508A">
            <w:pPr>
              <w:rPr>
                <w:bCs/>
                <w:lang w:eastAsia="en-GB"/>
              </w:rPr>
            </w:pPr>
          </w:p>
        </w:tc>
        <w:tc>
          <w:tcPr>
            <w:tcW w:w="1176" w:type="pct"/>
          </w:tcPr>
          <w:p w14:paraId="18C8CC0A" w14:textId="77777777" w:rsidR="00A13819" w:rsidRPr="000628B8" w:rsidRDefault="00A13819" w:rsidP="001D508A">
            <w:pPr>
              <w:ind w:hanging="79"/>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Affordable Net Need</w:t>
            </w:r>
          </w:p>
        </w:tc>
        <w:tc>
          <w:tcPr>
            <w:tcW w:w="1176" w:type="pct"/>
          </w:tcPr>
          <w:p w14:paraId="6A485A1F" w14:textId="77777777" w:rsidR="00A13819" w:rsidRPr="000628B8" w:rsidRDefault="00A13819" w:rsidP="001D508A">
            <w:pPr>
              <w:ind w:hanging="79"/>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Housing Need</w:t>
            </w:r>
          </w:p>
        </w:tc>
        <w:tc>
          <w:tcPr>
            <w:tcW w:w="1193" w:type="pct"/>
          </w:tcPr>
          <w:p w14:paraId="74B643D4" w14:textId="77777777" w:rsidR="00A13819" w:rsidRPr="000628B8" w:rsidRDefault="00A13819" w:rsidP="001D508A">
            <w:pPr>
              <w:ind w:hanging="79"/>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 of Housing Need</w:t>
            </w:r>
          </w:p>
        </w:tc>
      </w:tr>
      <w:tr w:rsidR="000628B8" w:rsidRPr="000628B8" w14:paraId="06489A67"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504AB4F4" w14:textId="77777777" w:rsidR="00A13819" w:rsidRPr="004F4BA7" w:rsidRDefault="00A13819" w:rsidP="001D508A">
            <w:pPr>
              <w:rPr>
                <w:bCs/>
                <w:lang w:eastAsia="en-GB"/>
              </w:rPr>
            </w:pPr>
            <w:r w:rsidRPr="004F4BA7">
              <w:rPr>
                <w:bCs/>
                <w:lang w:eastAsia="en-GB"/>
              </w:rPr>
              <w:t>Cambridge</w:t>
            </w:r>
          </w:p>
        </w:tc>
        <w:tc>
          <w:tcPr>
            <w:tcW w:w="1176" w:type="pct"/>
            <w:hideMark/>
          </w:tcPr>
          <w:p w14:paraId="5D0CD3CC" w14:textId="77777777" w:rsidR="00A13819" w:rsidRPr="000628B8" w:rsidRDefault="00A13819"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314</w:t>
            </w:r>
          </w:p>
        </w:tc>
        <w:tc>
          <w:tcPr>
            <w:tcW w:w="1176" w:type="pct"/>
            <w:hideMark/>
          </w:tcPr>
          <w:p w14:paraId="50262D2C" w14:textId="58619514"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rFonts w:cstheme="minorHAnsi"/>
                <w:lang w:eastAsia="en-GB"/>
              </w:rPr>
              <w:t>658</w:t>
            </w:r>
          </w:p>
        </w:tc>
        <w:tc>
          <w:tcPr>
            <w:tcW w:w="1193" w:type="pct"/>
            <w:hideMark/>
          </w:tcPr>
          <w:p w14:paraId="639FD8AF" w14:textId="32A0FED4"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48%</w:t>
            </w:r>
          </w:p>
        </w:tc>
      </w:tr>
      <w:tr w:rsidR="000628B8" w:rsidRPr="000628B8" w14:paraId="30D7236D"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2A581951" w14:textId="77777777" w:rsidR="00A13819" w:rsidRPr="004F4BA7" w:rsidRDefault="00A13819" w:rsidP="001D508A">
            <w:pPr>
              <w:rPr>
                <w:rFonts w:cstheme="minorBidi"/>
                <w:bCs/>
                <w:lang w:eastAsia="en-GB"/>
              </w:rPr>
            </w:pPr>
            <w:r w:rsidRPr="004F4BA7">
              <w:rPr>
                <w:bCs/>
                <w:lang w:eastAsia="en-GB"/>
              </w:rPr>
              <w:t>East Cambs</w:t>
            </w:r>
          </w:p>
        </w:tc>
        <w:tc>
          <w:tcPr>
            <w:tcW w:w="1176" w:type="pct"/>
            <w:hideMark/>
          </w:tcPr>
          <w:p w14:paraId="10CFFF3C" w14:textId="77777777" w:rsidR="00A13819" w:rsidRPr="000628B8" w:rsidRDefault="00A13819"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215</w:t>
            </w:r>
          </w:p>
        </w:tc>
        <w:tc>
          <w:tcPr>
            <w:tcW w:w="1176" w:type="pct"/>
            <w:hideMark/>
          </w:tcPr>
          <w:p w14:paraId="167F6D3A" w14:textId="655CC755"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rFonts w:cstheme="minorHAnsi"/>
                <w:lang w:eastAsia="en-GB"/>
              </w:rPr>
              <w:t>597</w:t>
            </w:r>
          </w:p>
        </w:tc>
        <w:tc>
          <w:tcPr>
            <w:tcW w:w="1193" w:type="pct"/>
            <w:hideMark/>
          </w:tcPr>
          <w:p w14:paraId="318E080A" w14:textId="3357EA30"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36%</w:t>
            </w:r>
          </w:p>
        </w:tc>
      </w:tr>
      <w:tr w:rsidR="000628B8" w:rsidRPr="000628B8" w14:paraId="79C7A0B0"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4876E47D" w14:textId="77777777" w:rsidR="00A13819" w:rsidRPr="004F4BA7" w:rsidRDefault="00A13819" w:rsidP="001D508A">
            <w:pPr>
              <w:rPr>
                <w:rFonts w:cstheme="minorBidi"/>
                <w:bCs/>
                <w:lang w:eastAsia="en-GB"/>
              </w:rPr>
            </w:pPr>
            <w:r w:rsidRPr="004F4BA7">
              <w:rPr>
                <w:bCs/>
                <w:lang w:eastAsia="en-GB"/>
              </w:rPr>
              <w:t>Fenland</w:t>
            </w:r>
          </w:p>
        </w:tc>
        <w:tc>
          <w:tcPr>
            <w:tcW w:w="1176" w:type="pct"/>
            <w:hideMark/>
          </w:tcPr>
          <w:p w14:paraId="14286BBA" w14:textId="77777777" w:rsidR="00A13819" w:rsidRPr="000628B8" w:rsidRDefault="00A13819"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289</w:t>
            </w:r>
          </w:p>
        </w:tc>
        <w:tc>
          <w:tcPr>
            <w:tcW w:w="1176" w:type="pct"/>
            <w:hideMark/>
          </w:tcPr>
          <w:p w14:paraId="6DB969A7" w14:textId="4EBFF2E7"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rFonts w:cstheme="minorHAnsi"/>
                <w:lang w:eastAsia="en-GB"/>
              </w:rPr>
              <w:t>538</w:t>
            </w:r>
          </w:p>
        </w:tc>
        <w:tc>
          <w:tcPr>
            <w:tcW w:w="1193" w:type="pct"/>
            <w:hideMark/>
          </w:tcPr>
          <w:p w14:paraId="7D171683" w14:textId="34D65BFD"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5</w:t>
            </w:r>
            <w:r w:rsidR="00DD64F2" w:rsidRPr="000628B8">
              <w:rPr>
                <w:rFonts w:cstheme="minorHAnsi"/>
                <w:lang w:eastAsia="en-GB"/>
              </w:rPr>
              <w:t>4%</w:t>
            </w:r>
          </w:p>
        </w:tc>
      </w:tr>
      <w:tr w:rsidR="000628B8" w:rsidRPr="000628B8" w14:paraId="387CAC6E"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7A6C7EF0" w14:textId="77777777" w:rsidR="00A13819" w:rsidRPr="004F4BA7" w:rsidRDefault="00A13819" w:rsidP="001D508A">
            <w:pPr>
              <w:rPr>
                <w:rFonts w:cstheme="minorBidi"/>
                <w:bCs/>
                <w:lang w:eastAsia="en-GB"/>
              </w:rPr>
            </w:pPr>
            <w:r w:rsidRPr="004F4BA7">
              <w:rPr>
                <w:bCs/>
                <w:lang w:eastAsia="en-GB"/>
              </w:rPr>
              <w:t>Huntingdonshire</w:t>
            </w:r>
          </w:p>
        </w:tc>
        <w:tc>
          <w:tcPr>
            <w:tcW w:w="1176" w:type="pct"/>
            <w:hideMark/>
          </w:tcPr>
          <w:p w14:paraId="2F4EB8E5" w14:textId="77777777" w:rsidR="00A13819" w:rsidRPr="000628B8" w:rsidRDefault="00A13819"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404</w:t>
            </w:r>
          </w:p>
        </w:tc>
        <w:tc>
          <w:tcPr>
            <w:tcW w:w="1176" w:type="pct"/>
            <w:hideMark/>
          </w:tcPr>
          <w:p w14:paraId="7A17FED5" w14:textId="1E93CB1C"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rFonts w:cstheme="minorHAnsi"/>
                <w:lang w:eastAsia="en-GB"/>
              </w:rPr>
              <w:t>976</w:t>
            </w:r>
          </w:p>
        </w:tc>
        <w:tc>
          <w:tcPr>
            <w:tcW w:w="1193" w:type="pct"/>
            <w:hideMark/>
          </w:tcPr>
          <w:p w14:paraId="059822D3" w14:textId="26E3AE9D" w:rsidR="00A13819" w:rsidRPr="000628B8" w:rsidRDefault="00DD64F2" w:rsidP="001D508A">
            <w:pPr>
              <w:ind w:hanging="79"/>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41%</w:t>
            </w:r>
          </w:p>
        </w:tc>
      </w:tr>
      <w:tr w:rsidR="000628B8" w:rsidRPr="000628B8" w14:paraId="3836972F"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21EFBF25" w14:textId="77777777" w:rsidR="00A13819" w:rsidRPr="004F4BA7" w:rsidRDefault="00A13819" w:rsidP="001D508A">
            <w:pPr>
              <w:rPr>
                <w:rFonts w:cstheme="minorBidi"/>
                <w:bCs/>
                <w:lang w:eastAsia="en-GB"/>
              </w:rPr>
            </w:pPr>
            <w:r w:rsidRPr="004F4BA7">
              <w:rPr>
                <w:bCs/>
                <w:lang w:eastAsia="en-GB"/>
              </w:rPr>
              <w:t>South Cambs</w:t>
            </w:r>
          </w:p>
        </w:tc>
        <w:tc>
          <w:tcPr>
            <w:tcW w:w="1176" w:type="pct"/>
            <w:hideMark/>
          </w:tcPr>
          <w:p w14:paraId="0584B75A" w14:textId="77777777" w:rsidR="00A13819" w:rsidRPr="000628B8" w:rsidRDefault="00A13819"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435</w:t>
            </w:r>
          </w:p>
        </w:tc>
        <w:tc>
          <w:tcPr>
            <w:tcW w:w="1176" w:type="pct"/>
            <w:hideMark/>
          </w:tcPr>
          <w:p w14:paraId="4F7AA10E" w14:textId="07AE94C8"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rFonts w:cstheme="minorHAnsi"/>
                <w:lang w:eastAsia="en-GB"/>
              </w:rPr>
              <w:t>1,085</w:t>
            </w:r>
          </w:p>
        </w:tc>
        <w:tc>
          <w:tcPr>
            <w:tcW w:w="1193" w:type="pct"/>
            <w:hideMark/>
          </w:tcPr>
          <w:p w14:paraId="2E817A1E" w14:textId="4F8E64AB" w:rsidR="00A13819" w:rsidRPr="000628B8" w:rsidRDefault="00DD64F2" w:rsidP="001D508A">
            <w:pPr>
              <w:ind w:hanging="79"/>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40%</w:t>
            </w:r>
          </w:p>
        </w:tc>
      </w:tr>
      <w:tr w:rsidR="000628B8" w:rsidRPr="000628B8" w14:paraId="46917B44"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2152A817" w14:textId="77777777" w:rsidR="00A13819" w:rsidRPr="004F4BA7" w:rsidRDefault="00A13819" w:rsidP="001D508A">
            <w:pPr>
              <w:rPr>
                <w:rFonts w:cstheme="minorBidi"/>
                <w:bCs/>
                <w:lang w:eastAsia="en-GB"/>
              </w:rPr>
            </w:pPr>
            <w:r w:rsidRPr="004F4BA7">
              <w:rPr>
                <w:bCs/>
                <w:lang w:eastAsia="en-GB"/>
              </w:rPr>
              <w:t>West Suffolk</w:t>
            </w:r>
          </w:p>
        </w:tc>
        <w:tc>
          <w:tcPr>
            <w:tcW w:w="1176" w:type="pct"/>
            <w:hideMark/>
          </w:tcPr>
          <w:p w14:paraId="7B072ECD" w14:textId="77777777" w:rsidR="00A13819" w:rsidRPr="000628B8" w:rsidRDefault="00A13819"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409</w:t>
            </w:r>
          </w:p>
        </w:tc>
        <w:tc>
          <w:tcPr>
            <w:tcW w:w="1176" w:type="pct"/>
            <w:hideMark/>
          </w:tcPr>
          <w:p w14:paraId="5D9B745E" w14:textId="24B8CDD0" w:rsidR="00A13819" w:rsidRPr="000628B8" w:rsidRDefault="00536240" w:rsidP="001D508A">
            <w:pPr>
              <w:ind w:hanging="79"/>
              <w:cnfStyle w:val="000000000000" w:firstRow="0" w:lastRow="0" w:firstColumn="0" w:lastColumn="0" w:oddVBand="0" w:evenVBand="0" w:oddHBand="0" w:evenHBand="0" w:firstRowFirstColumn="0" w:firstRowLastColumn="0" w:lastRowFirstColumn="0" w:lastRowLastColumn="0"/>
              <w:rPr>
                <w:lang w:eastAsia="en-GB"/>
              </w:rPr>
            </w:pPr>
            <w:r w:rsidRPr="000628B8">
              <w:rPr>
                <w:rFonts w:cstheme="minorHAnsi"/>
                <w:lang w:eastAsia="en-GB"/>
              </w:rPr>
              <w:t>800</w:t>
            </w:r>
          </w:p>
        </w:tc>
        <w:tc>
          <w:tcPr>
            <w:tcW w:w="1193" w:type="pct"/>
            <w:hideMark/>
          </w:tcPr>
          <w:p w14:paraId="2FCC2AC4" w14:textId="60BC684C" w:rsidR="00A13819" w:rsidRPr="000628B8" w:rsidRDefault="00DD64F2" w:rsidP="001D508A">
            <w:pPr>
              <w:ind w:hanging="79"/>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628B8">
              <w:rPr>
                <w:rFonts w:cstheme="minorHAnsi"/>
                <w:lang w:eastAsia="en-GB"/>
              </w:rPr>
              <w:t>51%</w:t>
            </w:r>
          </w:p>
        </w:tc>
      </w:tr>
      <w:tr w:rsidR="000628B8" w:rsidRPr="000628B8" w14:paraId="4E169AC7" w14:textId="77777777" w:rsidTr="000628B8">
        <w:trPr>
          <w:trHeight w:val="300"/>
        </w:trPr>
        <w:tc>
          <w:tcPr>
            <w:cnfStyle w:val="001000000000" w:firstRow="0" w:lastRow="0" w:firstColumn="1" w:lastColumn="0" w:oddVBand="0" w:evenVBand="0" w:oddHBand="0" w:evenHBand="0" w:firstRowFirstColumn="0" w:firstRowLastColumn="0" w:lastRowFirstColumn="0" w:lastRowLastColumn="0"/>
            <w:tcW w:w="1454" w:type="pct"/>
            <w:hideMark/>
          </w:tcPr>
          <w:p w14:paraId="5632C647" w14:textId="77777777" w:rsidR="00A13819" w:rsidRPr="000628B8" w:rsidRDefault="00A13819" w:rsidP="001D508A">
            <w:pPr>
              <w:rPr>
                <w:rFonts w:cstheme="minorBidi"/>
                <w:b/>
                <w:lang w:eastAsia="en-GB"/>
              </w:rPr>
            </w:pPr>
            <w:r w:rsidRPr="000628B8">
              <w:rPr>
                <w:b/>
                <w:lang w:eastAsia="en-GB"/>
              </w:rPr>
              <w:t>HMA</w:t>
            </w:r>
          </w:p>
        </w:tc>
        <w:tc>
          <w:tcPr>
            <w:tcW w:w="1176" w:type="pct"/>
            <w:hideMark/>
          </w:tcPr>
          <w:p w14:paraId="74ED852E" w14:textId="77777777" w:rsidR="00A13819" w:rsidRPr="004F4BA7" w:rsidRDefault="00A13819" w:rsidP="001D508A">
            <w:pPr>
              <w:ind w:hanging="79"/>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2,066</w:t>
            </w:r>
          </w:p>
        </w:tc>
        <w:tc>
          <w:tcPr>
            <w:tcW w:w="1176" w:type="pct"/>
            <w:hideMark/>
          </w:tcPr>
          <w:p w14:paraId="571B2B6C" w14:textId="77777777" w:rsidR="00A13819" w:rsidRPr="004F4BA7" w:rsidRDefault="00A13819" w:rsidP="001D508A">
            <w:pPr>
              <w:ind w:hanging="79"/>
              <w:cnfStyle w:val="000000000000" w:firstRow="0" w:lastRow="0" w:firstColumn="0" w:lastColumn="0" w:oddVBand="0" w:evenVBand="0" w:oddHBand="0" w:evenHBand="0" w:firstRowFirstColumn="0" w:firstRowLastColumn="0" w:lastRowFirstColumn="0" w:lastRowLastColumn="0"/>
              <w:rPr>
                <w:b/>
                <w:bCs/>
                <w:lang w:eastAsia="en-GB"/>
              </w:rPr>
            </w:pPr>
            <w:r w:rsidRPr="004F4BA7">
              <w:rPr>
                <w:rFonts w:cstheme="minorHAnsi"/>
                <w:b/>
                <w:bCs/>
                <w:lang w:eastAsia="en-GB"/>
              </w:rPr>
              <w:t>4,654</w:t>
            </w:r>
          </w:p>
        </w:tc>
        <w:tc>
          <w:tcPr>
            <w:tcW w:w="1193" w:type="pct"/>
            <w:hideMark/>
          </w:tcPr>
          <w:p w14:paraId="485DB5DC" w14:textId="77777777" w:rsidR="00A13819" w:rsidRPr="004F4BA7" w:rsidRDefault="00A13819" w:rsidP="001D508A">
            <w:pPr>
              <w:ind w:hanging="79"/>
              <w:cnfStyle w:val="000000000000" w:firstRow="0" w:lastRow="0" w:firstColumn="0" w:lastColumn="0" w:oddVBand="0" w:evenVBand="0" w:oddHBand="0" w:evenHBand="0" w:firstRowFirstColumn="0" w:firstRowLastColumn="0" w:lastRowFirstColumn="0" w:lastRowLastColumn="0"/>
              <w:rPr>
                <w:rFonts w:cstheme="minorHAnsi"/>
                <w:b/>
                <w:bCs/>
                <w:lang w:eastAsia="en-GB"/>
              </w:rPr>
            </w:pPr>
            <w:r w:rsidRPr="004F4BA7">
              <w:rPr>
                <w:rFonts w:cstheme="minorHAnsi"/>
                <w:b/>
                <w:bCs/>
                <w:lang w:eastAsia="en-GB"/>
              </w:rPr>
              <w:t>44%</w:t>
            </w:r>
          </w:p>
        </w:tc>
      </w:tr>
    </w:tbl>
    <w:p w14:paraId="543CA6AC" w14:textId="6FAAC105" w:rsidR="00A13819" w:rsidRPr="00FB553C" w:rsidRDefault="00A13819" w:rsidP="00FB553C">
      <w:pPr>
        <w:pStyle w:val="Bodytextwithindent"/>
        <w:spacing w:before="0" w:after="120"/>
        <w:ind w:left="993" w:hanging="199"/>
        <w:rPr>
          <w:sz w:val="24"/>
          <w:szCs w:val="22"/>
        </w:rPr>
      </w:pPr>
      <w:r w:rsidRPr="00FB553C">
        <w:rPr>
          <w:sz w:val="24"/>
          <w:szCs w:val="22"/>
        </w:rPr>
        <w:t>Source: Affordability Analysis and MHCLG LHN Calculations</w:t>
      </w:r>
    </w:p>
    <w:p w14:paraId="35D30148" w14:textId="77777777" w:rsidR="00A13819" w:rsidRDefault="00A13819" w:rsidP="007D0FBF">
      <w:pPr>
        <w:pStyle w:val="Heading2"/>
      </w:pPr>
      <w:r>
        <w:t>Split Between Social and Affordable Rent Housing</w:t>
      </w:r>
    </w:p>
    <w:p w14:paraId="7AE4F71A" w14:textId="77777777" w:rsidR="00A13819" w:rsidRDefault="00A13819" w:rsidP="007D0FBF">
      <w:pPr>
        <w:pStyle w:val="11Bodytext"/>
      </w:pPr>
      <w:r>
        <w:t xml:space="preserve">The analysis above has studied the overall need for social and affordable rent housing with a focus on households who cannot afford to rent in the market without the need for subsidy. These households will, therefore, require some form of rented housing at a cost below typical market rates. </w:t>
      </w:r>
    </w:p>
    <w:p w14:paraId="3CE89961" w14:textId="77777777" w:rsidR="00A13819" w:rsidRDefault="00A13819" w:rsidP="007D0FBF">
      <w:pPr>
        <w:pStyle w:val="11Bodytext"/>
      </w:pPr>
      <w:r>
        <w:t xml:space="preserve">Typically, there are two main types of rented affordable accommodation available to applicants on local authorities’ social housing registers. These are social and affordable rent and the analysis below initially considers what a reasonable split might be between these two tenures.   </w:t>
      </w:r>
    </w:p>
    <w:p w14:paraId="4250FEAC" w14:textId="77777777" w:rsidR="00A13819" w:rsidRDefault="00A13819" w:rsidP="007D0FBF">
      <w:pPr>
        <w:pStyle w:val="11Bodytext"/>
      </w:pPr>
      <w:r>
        <w:t xml:space="preserve">There are other forms of affordable rental accommodation such as affordable private rent which will contribute a small percentage of homes and only from PRS development.  It is unlikely that these schemes will provide other affordable tenures therefore on such sites 100% of the affordable homes on the development will be </w:t>
      </w:r>
      <w:r>
        <w:lastRenderedPageBreak/>
        <w:t xml:space="preserve">affordable private rents.  These rents should be set at a level similar to affordable rents. </w:t>
      </w:r>
    </w:p>
    <w:p w14:paraId="3846DD8F" w14:textId="77777777" w:rsidR="00A13819" w:rsidRDefault="00A13819" w:rsidP="007D0FBF">
      <w:pPr>
        <w:pStyle w:val="11Bodytext"/>
      </w:pPr>
      <w:r>
        <w:t xml:space="preserve">An analysis has been undertaken to compare the income distribution of households with the cost of different products. For affordable rent housing (including affordable private rent as part of a BTR scheme), it has been assumed that this would be available at a cost which is 80% of the established lower quartile costs rent set out earlier in this section. </w:t>
      </w:r>
    </w:p>
    <w:p w14:paraId="11AE7EF5" w14:textId="77777777" w:rsidR="00A13819" w:rsidRDefault="00A13819" w:rsidP="007D0FBF">
      <w:pPr>
        <w:pStyle w:val="11Bodytext"/>
      </w:pPr>
      <w:r>
        <w:t xml:space="preserve">Any household able to afford a rent between 80% of the market rent and the full market cost without the need for subsidy is assumed able to afford an affordable rent.  All other households </w:t>
      </w:r>
      <w:proofErr w:type="gramStart"/>
      <w:r>
        <w:t>in  affordable</w:t>
      </w:r>
      <w:proofErr w:type="gramEnd"/>
      <w:r>
        <w:t xml:space="preserve"> housing need would require social rent or affordable rent at less </w:t>
      </w:r>
      <w:proofErr w:type="spellStart"/>
      <w:r>
        <w:t>that</w:t>
      </w:r>
      <w:proofErr w:type="spellEnd"/>
      <w:r>
        <w:t xml:space="preserve"> 80%, where that is achievable. </w:t>
      </w:r>
    </w:p>
    <w:p w14:paraId="6E4945D5" w14:textId="77777777" w:rsidR="00A13819" w:rsidRPr="00526C6E" w:rsidRDefault="00A13819" w:rsidP="007D0FBF">
      <w:pPr>
        <w:pStyle w:val="11Bodytext"/>
        <w:rPr>
          <w:b/>
        </w:rPr>
      </w:pPr>
      <w:r>
        <w:t xml:space="preserve">The analysis identifies that between 22% and 28% households in affordable housing need could afford an affordable rent based on 80% of the market rent and thus would be suitable for affordable rent. </w:t>
      </w:r>
    </w:p>
    <w:p w14:paraId="0C08EB80" w14:textId="77777777" w:rsidR="00A13819" w:rsidRPr="00526C6E" w:rsidRDefault="00A13819" w:rsidP="007D0FBF">
      <w:pPr>
        <w:pStyle w:val="11Bodytext"/>
        <w:rPr>
          <w:b/>
        </w:rPr>
      </w:pPr>
      <w:r>
        <w:t xml:space="preserve">The table also shows the rent levels assumed. It is quite possible that (for example) the cost of 80% of market rent would be higher than the figures modelled below and if that were the case then a lower proportion of households would be able to </w:t>
      </w:r>
      <w:proofErr w:type="gramStart"/>
      <w:r>
        <w:t>afford  private</w:t>
      </w:r>
      <w:proofErr w:type="gramEnd"/>
      <w:r>
        <w:t xml:space="preserve"> rented housing.</w:t>
      </w:r>
    </w:p>
    <w:p w14:paraId="4D3F4F5D" w14:textId="1EC67017" w:rsidR="00A13819" w:rsidRDefault="00A13819" w:rsidP="003D5E23">
      <w:pPr>
        <w:pStyle w:val="Tableheading"/>
        <w:numPr>
          <w:ilvl w:val="0"/>
          <w:numId w:val="54"/>
        </w:numPr>
      </w:pPr>
      <w:r>
        <w:lastRenderedPageBreak/>
        <w:t>Need for affordable rent housing at 80% of market rents and the assumed relevant affordable rent levels (per month)</w:t>
      </w:r>
    </w:p>
    <w:tbl>
      <w:tblPr>
        <w:tblStyle w:val="TableGridLight1"/>
        <w:tblW w:w="0" w:type="auto"/>
        <w:tblInd w:w="724" w:type="dxa"/>
        <w:tblLayout w:type="fixed"/>
        <w:tblLook w:val="04A0" w:firstRow="1" w:lastRow="0" w:firstColumn="1" w:lastColumn="0" w:noHBand="0" w:noVBand="1"/>
      </w:tblPr>
      <w:tblGrid>
        <w:gridCol w:w="1681"/>
        <w:gridCol w:w="1147"/>
        <w:gridCol w:w="1414"/>
        <w:gridCol w:w="1414"/>
        <w:gridCol w:w="1414"/>
        <w:gridCol w:w="1415"/>
      </w:tblGrid>
      <w:tr w:rsidR="00CC7461" w:rsidRPr="00CC7461" w14:paraId="3536EA45" w14:textId="77777777" w:rsidTr="004F4BA7">
        <w:trPr>
          <w:cnfStyle w:val="100000000000" w:firstRow="1" w:lastRow="0" w:firstColumn="0" w:lastColumn="0" w:oddVBand="0" w:evenVBand="0" w:oddHBand="0" w:evenHBand="0" w:firstRowFirstColumn="0" w:firstRowLastColumn="0" w:lastRowFirstColumn="0" w:lastRowLastColumn="0"/>
          <w:cantSplit/>
          <w:trHeight w:val="2820"/>
        </w:trPr>
        <w:tc>
          <w:tcPr>
            <w:cnfStyle w:val="001000000000" w:firstRow="0" w:lastRow="0" w:firstColumn="1" w:lastColumn="0" w:oddVBand="0" w:evenVBand="0" w:oddHBand="0" w:evenHBand="0" w:firstRowFirstColumn="0" w:firstRowLastColumn="0" w:lastRowFirstColumn="0" w:lastRowLastColumn="0"/>
            <w:tcW w:w="1681" w:type="dxa"/>
            <w:textDirection w:val="tbRl"/>
            <w:hideMark/>
          </w:tcPr>
          <w:p w14:paraId="60764EA8" w14:textId="77777777" w:rsidR="00CC7461" w:rsidRPr="004F4BA7" w:rsidRDefault="00CC7461" w:rsidP="004F4BA7">
            <w:pPr>
              <w:keepNext/>
              <w:ind w:left="113" w:right="113"/>
              <w:rPr>
                <w:color w:val="auto"/>
                <w:lang w:eastAsia="en-GB"/>
              </w:rPr>
            </w:pPr>
            <w:r w:rsidRPr="004F4BA7">
              <w:rPr>
                <w:color w:val="auto"/>
                <w:lang w:eastAsia="en-GB"/>
              </w:rPr>
              <w:t> </w:t>
            </w:r>
          </w:p>
        </w:tc>
        <w:tc>
          <w:tcPr>
            <w:tcW w:w="1147" w:type="dxa"/>
            <w:textDirection w:val="btLr"/>
            <w:hideMark/>
          </w:tcPr>
          <w:p w14:paraId="35B469D5" w14:textId="77777777" w:rsidR="00CC7461" w:rsidRPr="004F4BA7" w:rsidRDefault="00CC7461" w:rsidP="004F4BA7">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 of the need for affordable rent</w:t>
            </w:r>
          </w:p>
        </w:tc>
        <w:tc>
          <w:tcPr>
            <w:tcW w:w="1414" w:type="dxa"/>
            <w:textDirection w:val="btLr"/>
            <w:hideMark/>
          </w:tcPr>
          <w:p w14:paraId="654CF24F" w14:textId="77777777" w:rsidR="00CC7461" w:rsidRPr="004F4BA7" w:rsidRDefault="00CC7461" w:rsidP="004F4BA7">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Assumed cost of affordable rent housing for analysis (80% of Lower Quartile) 1 bed</w:t>
            </w:r>
          </w:p>
        </w:tc>
        <w:tc>
          <w:tcPr>
            <w:tcW w:w="1414" w:type="dxa"/>
            <w:textDirection w:val="btLr"/>
            <w:hideMark/>
          </w:tcPr>
          <w:p w14:paraId="53F8AA0C" w14:textId="77777777" w:rsidR="00CC7461" w:rsidRPr="004F4BA7" w:rsidRDefault="00CC7461" w:rsidP="004F4BA7">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Assumed cost of affordable rent housing for analysis (80% of Lower Quartile) 2 bed</w:t>
            </w:r>
          </w:p>
        </w:tc>
        <w:tc>
          <w:tcPr>
            <w:tcW w:w="1414" w:type="dxa"/>
            <w:textDirection w:val="btLr"/>
            <w:hideMark/>
          </w:tcPr>
          <w:p w14:paraId="05A0770A" w14:textId="77777777" w:rsidR="00CC7461" w:rsidRPr="004F4BA7" w:rsidRDefault="00CC7461" w:rsidP="004F4BA7">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Assumed cost of affordable rent housing for analysis (80% of Lower Quartile) 3 bed</w:t>
            </w:r>
          </w:p>
        </w:tc>
        <w:tc>
          <w:tcPr>
            <w:tcW w:w="1415" w:type="dxa"/>
            <w:textDirection w:val="btLr"/>
            <w:hideMark/>
          </w:tcPr>
          <w:p w14:paraId="78036497" w14:textId="77777777" w:rsidR="00CC7461" w:rsidRPr="004F4BA7" w:rsidRDefault="00CC7461" w:rsidP="004F4BA7">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Assumed cost of affordable rent housing for analysis (80% of Lower Quartile) 4 bed</w:t>
            </w:r>
          </w:p>
        </w:tc>
      </w:tr>
      <w:tr w:rsidR="00CC7461" w:rsidRPr="00CC7461" w14:paraId="193F1C4A" w14:textId="77777777" w:rsidTr="004F4BA7">
        <w:trPr>
          <w:trHeight w:val="91"/>
        </w:trPr>
        <w:tc>
          <w:tcPr>
            <w:cnfStyle w:val="001000000000" w:firstRow="0" w:lastRow="0" w:firstColumn="1" w:lastColumn="0" w:oddVBand="0" w:evenVBand="0" w:oddHBand="0" w:evenHBand="0" w:firstRowFirstColumn="0" w:firstRowLastColumn="0" w:lastRowFirstColumn="0" w:lastRowLastColumn="0"/>
            <w:tcW w:w="1681" w:type="dxa"/>
            <w:hideMark/>
          </w:tcPr>
          <w:p w14:paraId="16C624D2" w14:textId="77777777" w:rsidR="00CC7461" w:rsidRPr="004F4BA7" w:rsidRDefault="00CC7461" w:rsidP="0035381F">
            <w:pPr>
              <w:keepNext/>
              <w:rPr>
                <w:color w:val="auto"/>
                <w:lang w:eastAsia="en-GB"/>
              </w:rPr>
            </w:pPr>
            <w:r w:rsidRPr="004F4BA7">
              <w:rPr>
                <w:color w:val="auto"/>
                <w:lang w:eastAsia="en-GB"/>
              </w:rPr>
              <w:t>Cambridge</w:t>
            </w:r>
          </w:p>
        </w:tc>
        <w:tc>
          <w:tcPr>
            <w:tcW w:w="1147" w:type="dxa"/>
            <w:hideMark/>
          </w:tcPr>
          <w:p w14:paraId="4A7F5844"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w:t>
            </w:r>
          </w:p>
        </w:tc>
        <w:tc>
          <w:tcPr>
            <w:tcW w:w="1414" w:type="dxa"/>
            <w:hideMark/>
          </w:tcPr>
          <w:p w14:paraId="126A0997"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£680</w:t>
            </w:r>
          </w:p>
        </w:tc>
        <w:tc>
          <w:tcPr>
            <w:tcW w:w="1414" w:type="dxa"/>
            <w:hideMark/>
          </w:tcPr>
          <w:p w14:paraId="08FE9404"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£860</w:t>
            </w:r>
          </w:p>
        </w:tc>
        <w:tc>
          <w:tcPr>
            <w:tcW w:w="1414" w:type="dxa"/>
            <w:hideMark/>
          </w:tcPr>
          <w:p w14:paraId="29810CBC"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£960</w:t>
            </w:r>
          </w:p>
        </w:tc>
        <w:tc>
          <w:tcPr>
            <w:tcW w:w="1415" w:type="dxa"/>
            <w:hideMark/>
          </w:tcPr>
          <w:p w14:paraId="56D25360"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£1,304</w:t>
            </w:r>
          </w:p>
        </w:tc>
      </w:tr>
      <w:tr w:rsidR="00CC7461" w:rsidRPr="00CC7461" w14:paraId="1FAE0B69" w14:textId="77777777" w:rsidTr="004F4BA7">
        <w:trPr>
          <w:trHeight w:val="110"/>
        </w:trPr>
        <w:tc>
          <w:tcPr>
            <w:cnfStyle w:val="001000000000" w:firstRow="0" w:lastRow="0" w:firstColumn="1" w:lastColumn="0" w:oddVBand="0" w:evenVBand="0" w:oddHBand="0" w:evenHBand="0" w:firstRowFirstColumn="0" w:firstRowLastColumn="0" w:lastRowFirstColumn="0" w:lastRowLastColumn="0"/>
            <w:tcW w:w="1681" w:type="dxa"/>
            <w:hideMark/>
          </w:tcPr>
          <w:p w14:paraId="5E64F4E4" w14:textId="77777777" w:rsidR="00CC7461" w:rsidRPr="004F4BA7" w:rsidRDefault="00CC7461" w:rsidP="0035381F">
            <w:pPr>
              <w:keepNext/>
              <w:rPr>
                <w:color w:val="auto"/>
                <w:lang w:eastAsia="en-GB"/>
              </w:rPr>
            </w:pPr>
            <w:r w:rsidRPr="004F4BA7">
              <w:rPr>
                <w:color w:val="auto"/>
                <w:lang w:eastAsia="en-GB"/>
              </w:rPr>
              <w:t>East Cambs</w:t>
            </w:r>
          </w:p>
        </w:tc>
        <w:tc>
          <w:tcPr>
            <w:tcW w:w="1147" w:type="dxa"/>
            <w:hideMark/>
          </w:tcPr>
          <w:p w14:paraId="6213C656"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w:t>
            </w:r>
          </w:p>
        </w:tc>
        <w:tc>
          <w:tcPr>
            <w:tcW w:w="1414" w:type="dxa"/>
            <w:hideMark/>
          </w:tcPr>
          <w:p w14:paraId="2BACC695"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£460</w:t>
            </w:r>
          </w:p>
        </w:tc>
        <w:tc>
          <w:tcPr>
            <w:tcW w:w="1414" w:type="dxa"/>
            <w:hideMark/>
          </w:tcPr>
          <w:p w14:paraId="1E4B06D7"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£556</w:t>
            </w:r>
          </w:p>
        </w:tc>
        <w:tc>
          <w:tcPr>
            <w:tcW w:w="1414" w:type="dxa"/>
            <w:hideMark/>
          </w:tcPr>
          <w:p w14:paraId="3F522F3C"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£660</w:t>
            </w:r>
          </w:p>
        </w:tc>
        <w:tc>
          <w:tcPr>
            <w:tcW w:w="1415" w:type="dxa"/>
            <w:hideMark/>
          </w:tcPr>
          <w:p w14:paraId="4EEAF56D"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£944</w:t>
            </w:r>
          </w:p>
        </w:tc>
      </w:tr>
      <w:tr w:rsidR="00CC7461" w:rsidRPr="00CC7461" w14:paraId="2B8DC70C" w14:textId="77777777" w:rsidTr="004F4BA7">
        <w:trPr>
          <w:trHeight w:val="99"/>
        </w:trPr>
        <w:tc>
          <w:tcPr>
            <w:cnfStyle w:val="001000000000" w:firstRow="0" w:lastRow="0" w:firstColumn="1" w:lastColumn="0" w:oddVBand="0" w:evenVBand="0" w:oddHBand="0" w:evenHBand="0" w:firstRowFirstColumn="0" w:firstRowLastColumn="0" w:lastRowFirstColumn="0" w:lastRowLastColumn="0"/>
            <w:tcW w:w="1681" w:type="dxa"/>
            <w:hideMark/>
          </w:tcPr>
          <w:p w14:paraId="01B9AE1D" w14:textId="77777777" w:rsidR="00CC7461" w:rsidRPr="004F4BA7" w:rsidRDefault="00CC7461" w:rsidP="0035381F">
            <w:pPr>
              <w:keepNext/>
              <w:rPr>
                <w:color w:val="auto"/>
                <w:lang w:eastAsia="en-GB"/>
              </w:rPr>
            </w:pPr>
            <w:r w:rsidRPr="004F4BA7">
              <w:rPr>
                <w:color w:val="auto"/>
                <w:lang w:eastAsia="en-GB"/>
              </w:rPr>
              <w:t>Fenland</w:t>
            </w:r>
          </w:p>
        </w:tc>
        <w:tc>
          <w:tcPr>
            <w:tcW w:w="1147" w:type="dxa"/>
            <w:hideMark/>
          </w:tcPr>
          <w:p w14:paraId="4B5945FB"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w:t>
            </w:r>
          </w:p>
        </w:tc>
        <w:tc>
          <w:tcPr>
            <w:tcW w:w="1414" w:type="dxa"/>
            <w:hideMark/>
          </w:tcPr>
          <w:p w14:paraId="3ADE97E9"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£340</w:t>
            </w:r>
          </w:p>
        </w:tc>
        <w:tc>
          <w:tcPr>
            <w:tcW w:w="1414" w:type="dxa"/>
            <w:hideMark/>
          </w:tcPr>
          <w:p w14:paraId="08769B71"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£440</w:t>
            </w:r>
          </w:p>
        </w:tc>
        <w:tc>
          <w:tcPr>
            <w:tcW w:w="1414" w:type="dxa"/>
            <w:hideMark/>
          </w:tcPr>
          <w:p w14:paraId="4935F0B4"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£540</w:t>
            </w:r>
          </w:p>
        </w:tc>
        <w:tc>
          <w:tcPr>
            <w:tcW w:w="1415" w:type="dxa"/>
            <w:hideMark/>
          </w:tcPr>
          <w:p w14:paraId="355FFB23"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£680</w:t>
            </w:r>
          </w:p>
        </w:tc>
      </w:tr>
      <w:tr w:rsidR="00CC7461" w:rsidRPr="00CC7461" w14:paraId="6DAD56C8" w14:textId="77777777" w:rsidTr="004F4BA7">
        <w:trPr>
          <w:trHeight w:val="90"/>
        </w:trPr>
        <w:tc>
          <w:tcPr>
            <w:cnfStyle w:val="001000000000" w:firstRow="0" w:lastRow="0" w:firstColumn="1" w:lastColumn="0" w:oddVBand="0" w:evenVBand="0" w:oddHBand="0" w:evenHBand="0" w:firstRowFirstColumn="0" w:firstRowLastColumn="0" w:lastRowFirstColumn="0" w:lastRowLastColumn="0"/>
            <w:tcW w:w="1681" w:type="dxa"/>
            <w:hideMark/>
          </w:tcPr>
          <w:p w14:paraId="2AE9F902" w14:textId="77777777" w:rsidR="00CC7461" w:rsidRPr="004F4BA7" w:rsidRDefault="00CC7461" w:rsidP="0035381F">
            <w:pPr>
              <w:keepNext/>
              <w:rPr>
                <w:color w:val="auto"/>
                <w:lang w:eastAsia="en-GB"/>
              </w:rPr>
            </w:pPr>
            <w:r w:rsidRPr="004F4BA7">
              <w:rPr>
                <w:color w:val="auto"/>
                <w:lang w:eastAsia="en-GB"/>
              </w:rPr>
              <w:t>Huntingdonshire</w:t>
            </w:r>
          </w:p>
        </w:tc>
        <w:tc>
          <w:tcPr>
            <w:tcW w:w="1147" w:type="dxa"/>
            <w:hideMark/>
          </w:tcPr>
          <w:p w14:paraId="6D028DDA"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w:t>
            </w:r>
          </w:p>
        </w:tc>
        <w:tc>
          <w:tcPr>
            <w:tcW w:w="1414" w:type="dxa"/>
            <w:hideMark/>
          </w:tcPr>
          <w:p w14:paraId="1608D304"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£432</w:t>
            </w:r>
          </w:p>
        </w:tc>
        <w:tc>
          <w:tcPr>
            <w:tcW w:w="1414" w:type="dxa"/>
            <w:hideMark/>
          </w:tcPr>
          <w:p w14:paraId="6B940CCD"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£540</w:t>
            </w:r>
          </w:p>
        </w:tc>
        <w:tc>
          <w:tcPr>
            <w:tcW w:w="1414" w:type="dxa"/>
            <w:hideMark/>
          </w:tcPr>
          <w:p w14:paraId="29BC1833"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£620</w:t>
            </w:r>
          </w:p>
        </w:tc>
        <w:tc>
          <w:tcPr>
            <w:tcW w:w="1415" w:type="dxa"/>
            <w:hideMark/>
          </w:tcPr>
          <w:p w14:paraId="2FF91C98"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£824</w:t>
            </w:r>
          </w:p>
        </w:tc>
      </w:tr>
      <w:tr w:rsidR="00CC7461" w:rsidRPr="00CC7461" w14:paraId="56F2C8AC" w14:textId="77777777" w:rsidTr="004F4BA7">
        <w:trPr>
          <w:trHeight w:val="93"/>
        </w:trPr>
        <w:tc>
          <w:tcPr>
            <w:cnfStyle w:val="001000000000" w:firstRow="0" w:lastRow="0" w:firstColumn="1" w:lastColumn="0" w:oddVBand="0" w:evenVBand="0" w:oddHBand="0" w:evenHBand="0" w:firstRowFirstColumn="0" w:firstRowLastColumn="0" w:lastRowFirstColumn="0" w:lastRowLastColumn="0"/>
            <w:tcW w:w="1681" w:type="dxa"/>
            <w:hideMark/>
          </w:tcPr>
          <w:p w14:paraId="3527584B" w14:textId="77777777" w:rsidR="00CC7461" w:rsidRPr="004F4BA7" w:rsidRDefault="00CC7461" w:rsidP="0035381F">
            <w:pPr>
              <w:keepNext/>
              <w:rPr>
                <w:color w:val="auto"/>
                <w:lang w:eastAsia="en-GB"/>
              </w:rPr>
            </w:pPr>
            <w:r w:rsidRPr="004F4BA7">
              <w:rPr>
                <w:color w:val="auto"/>
                <w:lang w:eastAsia="en-GB"/>
              </w:rPr>
              <w:t>South Cambs</w:t>
            </w:r>
          </w:p>
        </w:tc>
        <w:tc>
          <w:tcPr>
            <w:tcW w:w="1147" w:type="dxa"/>
            <w:hideMark/>
          </w:tcPr>
          <w:p w14:paraId="4172F5B0"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w:t>
            </w:r>
          </w:p>
        </w:tc>
        <w:tc>
          <w:tcPr>
            <w:tcW w:w="1414" w:type="dxa"/>
            <w:hideMark/>
          </w:tcPr>
          <w:p w14:paraId="72483381"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£580</w:t>
            </w:r>
          </w:p>
        </w:tc>
        <w:tc>
          <w:tcPr>
            <w:tcW w:w="1414" w:type="dxa"/>
            <w:hideMark/>
          </w:tcPr>
          <w:p w14:paraId="56ECE282"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£680</w:t>
            </w:r>
          </w:p>
        </w:tc>
        <w:tc>
          <w:tcPr>
            <w:tcW w:w="1414" w:type="dxa"/>
            <w:hideMark/>
          </w:tcPr>
          <w:p w14:paraId="58BA7ECD"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£760</w:t>
            </w:r>
          </w:p>
        </w:tc>
        <w:tc>
          <w:tcPr>
            <w:tcW w:w="1415" w:type="dxa"/>
            <w:hideMark/>
          </w:tcPr>
          <w:p w14:paraId="059F55B1"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w:t>
            </w:r>
          </w:p>
        </w:tc>
      </w:tr>
      <w:tr w:rsidR="00CC7461" w:rsidRPr="00CC7461" w14:paraId="2AF7D4EC"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1681" w:type="dxa"/>
            <w:hideMark/>
          </w:tcPr>
          <w:p w14:paraId="44337983" w14:textId="77777777" w:rsidR="00CC7461" w:rsidRPr="004F4BA7" w:rsidRDefault="00CC7461" w:rsidP="0035381F">
            <w:pPr>
              <w:keepNext/>
              <w:rPr>
                <w:color w:val="auto"/>
                <w:lang w:eastAsia="en-GB"/>
              </w:rPr>
            </w:pPr>
            <w:r w:rsidRPr="004F4BA7">
              <w:rPr>
                <w:color w:val="auto"/>
                <w:lang w:eastAsia="en-GB"/>
              </w:rPr>
              <w:t>West Suffolk</w:t>
            </w:r>
          </w:p>
        </w:tc>
        <w:tc>
          <w:tcPr>
            <w:tcW w:w="1147" w:type="dxa"/>
            <w:hideMark/>
          </w:tcPr>
          <w:p w14:paraId="05C97E12"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w:t>
            </w:r>
          </w:p>
        </w:tc>
        <w:tc>
          <w:tcPr>
            <w:tcW w:w="1414" w:type="dxa"/>
            <w:hideMark/>
          </w:tcPr>
          <w:p w14:paraId="1DF62619"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£448</w:t>
            </w:r>
          </w:p>
        </w:tc>
        <w:tc>
          <w:tcPr>
            <w:tcW w:w="1414" w:type="dxa"/>
            <w:hideMark/>
          </w:tcPr>
          <w:p w14:paraId="07205158"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£560</w:t>
            </w:r>
          </w:p>
        </w:tc>
        <w:tc>
          <w:tcPr>
            <w:tcW w:w="1414" w:type="dxa"/>
            <w:hideMark/>
          </w:tcPr>
          <w:p w14:paraId="7DDD62A6"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£688</w:t>
            </w:r>
          </w:p>
        </w:tc>
        <w:tc>
          <w:tcPr>
            <w:tcW w:w="1415" w:type="dxa"/>
            <w:hideMark/>
          </w:tcPr>
          <w:p w14:paraId="311E77A9" w14:textId="77777777" w:rsidR="00CC7461" w:rsidRPr="004F4BA7" w:rsidRDefault="00CC7461" w:rsidP="0035381F">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£960</w:t>
            </w:r>
          </w:p>
        </w:tc>
      </w:tr>
    </w:tbl>
    <w:p w14:paraId="07ECEE9A" w14:textId="3AFB2957" w:rsidR="00A13819" w:rsidRPr="007D0FBF" w:rsidRDefault="00A13819" w:rsidP="0035381F">
      <w:pPr>
        <w:pStyle w:val="Bodytextwithindent"/>
        <w:keepNext/>
        <w:spacing w:before="0" w:after="0" w:line="240" w:lineRule="auto"/>
        <w:rPr>
          <w:sz w:val="24"/>
          <w:szCs w:val="22"/>
        </w:rPr>
      </w:pPr>
      <w:r w:rsidRPr="007D0FBF">
        <w:rPr>
          <w:sz w:val="24"/>
          <w:szCs w:val="22"/>
        </w:rPr>
        <w:t>Source: Affordability analysis based on VOA data and Income Analysis</w:t>
      </w:r>
    </w:p>
    <w:p w14:paraId="278A50C1" w14:textId="77777777" w:rsidR="00A13819" w:rsidRDefault="00A13819" w:rsidP="007D0FBF">
      <w:pPr>
        <w:pStyle w:val="11Bodytext"/>
      </w:pPr>
      <w:r>
        <w:t xml:space="preserve">The finding that 22%-28% of households can afford to pay between 80% and 100% of market rent does not automatically lead to a policy conclusion on the split between the two types of housing. For example, many households who will need to access rented accommodation will be benefit-dependent and as such could technically afford an affordable rent (if the full rent is covered by Housing Benefit or the housing element of Universal Credit) – hence a higher proportion of Affordable Rent housing might be appropriate. </w:t>
      </w:r>
    </w:p>
    <w:p w14:paraId="0048C88B" w14:textId="77777777" w:rsidR="00A13819" w:rsidRDefault="00A13819" w:rsidP="007D0FBF">
      <w:pPr>
        <w:pStyle w:val="11Bodytext"/>
      </w:pPr>
      <w:r>
        <w:t>Conversely, providing more social rent homes might enable households to return to work more easily, as a lower income would potentially be needed to afford the lower social (rather than affordable) rent.</w:t>
      </w:r>
    </w:p>
    <w:p w14:paraId="03423A77" w14:textId="77777777" w:rsidR="00A13819" w:rsidRDefault="00A13819" w:rsidP="007D0FBF">
      <w:pPr>
        <w:pStyle w:val="11Bodytext"/>
      </w:pPr>
      <w:r>
        <w:t xml:space="preserve">It is for the Councils to assess an appropriate split bearing in mind that: </w:t>
      </w:r>
    </w:p>
    <w:p w14:paraId="1EC9A307" w14:textId="30D10E3F" w:rsidR="00A13819" w:rsidRPr="00097650" w:rsidRDefault="00A13819" w:rsidP="00097650">
      <w:pPr>
        <w:pStyle w:val="10BulletBodytext"/>
      </w:pPr>
      <w:r w:rsidRPr="00097650">
        <w:t>While the rent set for affordable rented dwellings should take into account Local Housing Allowance (LHA) rates, they are not capped at these rates when rented from a Registered Provider. 20% below current lower quartile market rents could be an appropriate starting point</w:t>
      </w:r>
      <w:r w:rsidRPr="00097650">
        <w:rPr>
          <w:rStyle w:val="FootnoteReference"/>
          <w:vertAlign w:val="baseline"/>
        </w:rPr>
        <w:footnoteReference w:id="17"/>
      </w:r>
      <w:r w:rsidRPr="00097650">
        <w:t xml:space="preserve">. The local authority also </w:t>
      </w:r>
      <w:r w:rsidRPr="00097650">
        <w:lastRenderedPageBreak/>
        <w:t>has little impact on the rent levels being set so whatever is possible in theory, an RP or for-profit provider can set the rent that falls within the national guidance, with little reference to the local market and its needs.</w:t>
      </w:r>
    </w:p>
    <w:p w14:paraId="38800372" w14:textId="77777777" w:rsidR="00A13819" w:rsidRPr="00097650" w:rsidRDefault="00A13819" w:rsidP="00097650">
      <w:pPr>
        <w:pStyle w:val="10BulletBodytext"/>
      </w:pPr>
      <w:r w:rsidRPr="00097650">
        <w:t xml:space="preserve">The Councils also need to be mindful of the increase in LHA (April 2020) which could potentially see private sector rents and affordable rents rise as households will be able to claim a higher amount of benefit. </w:t>
      </w:r>
    </w:p>
    <w:p w14:paraId="2211040B" w14:textId="77777777" w:rsidR="00A13819" w:rsidRPr="00097650" w:rsidRDefault="00A13819" w:rsidP="00097650">
      <w:pPr>
        <w:pStyle w:val="10BulletBodytext"/>
      </w:pPr>
      <w:r w:rsidRPr="00097650">
        <w:t xml:space="preserve">Resources for subsidised housing are finite, and the greater the discount on individual dwellings the fewer affordable homes overall may be delivered. Policy should reflect a balance between the needs of the most vulnerable, the needs of people in housing need but not vulnerable and delivering as many affordable rented homes on the ground as possible, subject to viability. </w:t>
      </w:r>
    </w:p>
    <w:p w14:paraId="01D4F111" w14:textId="77777777" w:rsidR="00A13819" w:rsidRDefault="00A13819" w:rsidP="007D0FBF">
      <w:pPr>
        <w:pStyle w:val="11Bodytext"/>
      </w:pPr>
      <w:r>
        <w:t xml:space="preserve">There will be a series of other considerations both at a strategic level and for specific schemes. For example, there may be funding streams that are only available for a particular type of housing in specified local authority areas, and this may exist independently to any local assessment of need. </w:t>
      </w:r>
    </w:p>
    <w:p w14:paraId="6130CF33" w14:textId="77777777" w:rsidR="00A13819" w:rsidRDefault="00A13819" w:rsidP="007D0FBF">
      <w:pPr>
        <w:pStyle w:val="11Bodytext"/>
      </w:pPr>
      <w:r>
        <w:t xml:space="preserve">Additionally, there will need to be a consideration of the balance between the cost of housing and the amount that can be viably provided, for example, affordable rent housing is likely more viable, and therefore a greater number of units could be provided. </w:t>
      </w:r>
    </w:p>
    <w:p w14:paraId="2889AFF2" w14:textId="77777777" w:rsidR="00A13819" w:rsidRDefault="00A13819" w:rsidP="007D0FBF">
      <w:pPr>
        <w:pStyle w:val="11Bodytext"/>
      </w:pPr>
      <w:r>
        <w:t>Finally, in considering a split between social and affordable rented housing it needs to be considered that having different tenures on the same site (at least at initial occupation) may be difficult – essentially if tenants of the same home are paying a different rent for the same property and services.</w:t>
      </w:r>
    </w:p>
    <w:p w14:paraId="452FAE48" w14:textId="77777777" w:rsidR="00A13819" w:rsidRDefault="00A13819" w:rsidP="007D0FBF">
      <w:pPr>
        <w:pStyle w:val="11Bodytext"/>
      </w:pPr>
      <w:r>
        <w:t xml:space="preserve">This analysis has been undertaken examining the overall cost of housing.  It may be appropriate for the Councils to consider different splits for different sizes of homes.  For example, larger homes may have fewer households which fall into the income bracket between market rent and 80% discount of market rent.  </w:t>
      </w:r>
    </w:p>
    <w:p w14:paraId="513DD20D" w14:textId="77777777" w:rsidR="00A13819" w:rsidRDefault="00A13819" w:rsidP="007D0FBF">
      <w:pPr>
        <w:pStyle w:val="11Bodytext"/>
      </w:pPr>
      <w:r>
        <w:t>It is not recommended that the Councils have a rigid policy for the split between social and affordable rent housing on the basis of affordability alone. The analysis is clear that both tenures of homes are likely to be required in all areas, this should be brought together with other considerations outlined above, should the Councils wish to implement a policy.</w:t>
      </w:r>
    </w:p>
    <w:p w14:paraId="4BB02B04" w14:textId="77777777" w:rsidR="00A13819" w:rsidRDefault="00A13819" w:rsidP="007D0FBF">
      <w:pPr>
        <w:pStyle w:val="11Bodytext"/>
      </w:pPr>
      <w:r>
        <w:lastRenderedPageBreak/>
        <w:t xml:space="preserve">Finally, it should also be noted that some fully private rental schemes will seek to deliver Affordable Private Rent, which is a distinct tenure in its own right.  While such developments are not required to provide any Social or Affordable Rent homes, rent levels are also set at up to 80% of market rents. As a </w:t>
      </w:r>
      <w:proofErr w:type="gramStart"/>
      <w:r>
        <w:t>result</w:t>
      </w:r>
      <w:proofErr w:type="gramEnd"/>
      <w:r>
        <w:t xml:space="preserve"> it is worth noting that they contribute to the affordable housing requirements. </w:t>
      </w:r>
    </w:p>
    <w:p w14:paraId="406F20AE" w14:textId="77777777" w:rsidR="00A13819" w:rsidRDefault="00A13819" w:rsidP="007D0FBF">
      <w:pPr>
        <w:pStyle w:val="Heading2"/>
      </w:pPr>
      <w:r>
        <w:t>Establishing a Need for Affordable Home Ownership</w:t>
      </w:r>
    </w:p>
    <w:p w14:paraId="02458017" w14:textId="77777777" w:rsidR="00A13819" w:rsidRDefault="00A13819" w:rsidP="007D0FBF">
      <w:pPr>
        <w:pStyle w:val="11Bodytext"/>
      </w:pPr>
      <w:r>
        <w:t>The Planning Practice Guidance confirms a wider definition of those to be considered as in affordable need; now including ‘households which can afford to rent in the private rental market but cannot afford to buy despite a preference for owning their own home’. That said, it does not provide guidance about how the number of such households should be calculated.</w:t>
      </w:r>
    </w:p>
    <w:p w14:paraId="3F4FB3C5" w14:textId="77777777" w:rsidR="00A13819" w:rsidRDefault="00A13819" w:rsidP="007D0FBF">
      <w:pPr>
        <w:pStyle w:val="11Bodytext"/>
      </w:pPr>
      <w:r>
        <w:t>The methodology used in this report, therefore, draws on the current methodology for affordable housing to rent and includes an assessment of current needs, and projected need (newly forming and existing households). The key difference is that in looking at affordability an estimate of the number of households in the ‘gap’ between buying and renting is used. There is also the issue of establishing an estimate of the supply of affordable home ownership homes – this is considered separately below.</w:t>
      </w:r>
    </w:p>
    <w:p w14:paraId="6FB055FF" w14:textId="77777777" w:rsidR="00A13819" w:rsidRDefault="00A13819" w:rsidP="007D0FBF">
      <w:pPr>
        <w:pStyle w:val="11Bodytext"/>
      </w:pPr>
      <w:r>
        <w:t>The first part of the analysis seeks to understand what the gap between renting and buying means in the study area – in particular establishing the typical incomes that might be required. The information about incomes required to both buy and rent in different locations has already been provided earlier in this section and so the discussion below is a broad example.</w:t>
      </w:r>
    </w:p>
    <w:p w14:paraId="5AE008C7" w14:textId="77777777" w:rsidR="00A13819" w:rsidRDefault="00A13819" w:rsidP="007D0FBF">
      <w:pPr>
        <w:pStyle w:val="11Bodytext"/>
      </w:pPr>
      <w:r>
        <w:t>By looking at the relative costs of housing to buy and to rent, it is clear that there will be households in the study area who can currently rent but who may be unable to buy. In the year to March 2020, the ‘average’ lower quartile private rent across the HMA is shown to be £685 a month, assuming a household spends no more than 31% of income on housing (the relevant calculated figure), this would equate to an income requirement of about £26,800.</w:t>
      </w:r>
    </w:p>
    <w:p w14:paraId="5FBD9EEC" w14:textId="77777777" w:rsidR="00A13819" w:rsidRDefault="00A13819" w:rsidP="007D0FBF">
      <w:pPr>
        <w:pStyle w:val="11Bodytext"/>
      </w:pPr>
      <w:r>
        <w:lastRenderedPageBreak/>
        <w:t>For the same period, Land Registry data records a lower quartile price in the HMA of about £200,000 which (assuming a 10% deposit and 4.5 times mortgage multiple) would equate to a household income requirement of around £40,000.</w:t>
      </w:r>
    </w:p>
    <w:p w14:paraId="08869B67" w14:textId="77777777" w:rsidR="00A13819" w:rsidRDefault="00A13819" w:rsidP="007D0FBF">
      <w:pPr>
        <w:pStyle w:val="11Bodytext"/>
      </w:pPr>
      <w:r>
        <w:t>Based on these income requirements, it is reasonable to suggest that affordable home ownership products would be pitched at households with an income of between £26,800 (</w:t>
      </w:r>
      <w:proofErr w:type="gramStart"/>
      <w:r>
        <w:t>i.e.</w:t>
      </w:r>
      <w:proofErr w:type="gramEnd"/>
      <w:r>
        <w:t xml:space="preserve"> able to afford to privately rent) and £40,000 (the figure above which a household might reasonably be able to buy).</w:t>
      </w:r>
    </w:p>
    <w:p w14:paraId="2F0485D3" w14:textId="77777777" w:rsidR="00A13819" w:rsidRDefault="00A13819" w:rsidP="007D0FBF">
      <w:pPr>
        <w:pStyle w:val="11Bodytext"/>
      </w:pPr>
      <w:r>
        <w:t xml:space="preserve">Using the income distributions set out earlier in this section it has been estimated that of all households living in the </w:t>
      </w:r>
      <w:proofErr w:type="gramStart"/>
      <w:r>
        <w:t>PRS  ,</w:t>
      </w:r>
      <w:proofErr w:type="gramEnd"/>
      <w:r>
        <w:t xml:space="preserve"> around 25%-46% already have sufficient income to buy a lower quartile home, with 13%-32% falling in the rent/buy ‘gap’. The final 36%-43% are estimated to have an income below which they cannot afford to rent privately (</w:t>
      </w:r>
      <w:proofErr w:type="gramStart"/>
      <w:r>
        <w:t>i.e.</w:t>
      </w:r>
      <w:proofErr w:type="gramEnd"/>
      <w:r>
        <w:t xml:space="preserve"> would need to spend more than the calculated threshold of their income on housing costs) although in reality it should be noted that many households will spend a higher proportion of their income on housing. </w:t>
      </w:r>
    </w:p>
    <w:p w14:paraId="5B8ECD76" w14:textId="77777777" w:rsidR="00A13819" w:rsidRDefault="00A13819" w:rsidP="007D0FBF">
      <w:pPr>
        <w:pStyle w:val="11Bodytext"/>
      </w:pPr>
      <w:r>
        <w:t xml:space="preserve">These figures </w:t>
      </w:r>
      <w:proofErr w:type="gramStart"/>
      <w:r>
        <w:t>are based on an assumption</w:t>
      </w:r>
      <w:proofErr w:type="gramEnd"/>
      <w:r>
        <w:t xml:space="preserve"> that incomes in the PRS   are around 88% of the equivalent figure for all households (a proportion derived from the English Housing Survey). These income assumptions are used as it is clear that affordable home ownership products are likely to be targeted at households living in private rented accommodation or who might be expected to access this sector (</w:t>
      </w:r>
      <w:proofErr w:type="gramStart"/>
      <w:r>
        <w:t>e.g.</w:t>
      </w:r>
      <w:proofErr w:type="gramEnd"/>
      <w:r>
        <w:t xml:space="preserve"> newly forming households).</w:t>
      </w:r>
    </w:p>
    <w:p w14:paraId="106D1198" w14:textId="77777777" w:rsidR="00A13819" w:rsidRDefault="00A13819" w:rsidP="007D0FBF">
      <w:pPr>
        <w:pStyle w:val="11Bodytext"/>
      </w:pPr>
      <w:r>
        <w:t>The table below shows an estimate of the proportion of households living in the PRS   who can afford different housing products by each local authority. This shows a particularly high proportion of households in the rent/buy gap in Cambridge, with a much lower figure for Fenland.</w:t>
      </w:r>
    </w:p>
    <w:p w14:paraId="4348B302" w14:textId="18701D33" w:rsidR="00A13819" w:rsidRDefault="00A13819" w:rsidP="003D5E23">
      <w:pPr>
        <w:pStyle w:val="Tableheading"/>
        <w:numPr>
          <w:ilvl w:val="0"/>
          <w:numId w:val="54"/>
        </w:numPr>
      </w:pPr>
      <w:r>
        <w:lastRenderedPageBreak/>
        <w:t>The estimated proportion of households living in the PRS able to buy and/or rent market housing</w:t>
      </w:r>
    </w:p>
    <w:tbl>
      <w:tblPr>
        <w:tblStyle w:val="TableGridLight1"/>
        <w:tblW w:w="8523" w:type="dxa"/>
        <w:tblInd w:w="828" w:type="dxa"/>
        <w:tblLook w:val="04A0" w:firstRow="1" w:lastRow="0" w:firstColumn="1" w:lastColumn="0" w:noHBand="0" w:noVBand="1"/>
      </w:tblPr>
      <w:tblGrid>
        <w:gridCol w:w="1840"/>
        <w:gridCol w:w="2227"/>
        <w:gridCol w:w="2228"/>
        <w:gridCol w:w="2228"/>
      </w:tblGrid>
      <w:tr w:rsidR="000628B8" w:rsidRPr="000628B8" w14:paraId="6416439C" w14:textId="77777777" w:rsidTr="004F4BA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840" w:type="dxa"/>
            <w:hideMark/>
          </w:tcPr>
          <w:p w14:paraId="570835CE" w14:textId="77777777" w:rsidR="00A13819" w:rsidRPr="000628B8" w:rsidRDefault="00A13819" w:rsidP="008E6E40">
            <w:pPr>
              <w:keepNext/>
              <w:rPr>
                <w:lang w:eastAsia="en-GB"/>
              </w:rPr>
            </w:pPr>
            <w:r w:rsidRPr="000628B8">
              <w:rPr>
                <w:lang w:eastAsia="en-GB"/>
              </w:rPr>
              <w:t> </w:t>
            </w:r>
          </w:p>
        </w:tc>
        <w:tc>
          <w:tcPr>
            <w:tcW w:w="2227" w:type="dxa"/>
            <w:hideMark/>
          </w:tcPr>
          <w:p w14:paraId="7105171E"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Can afford to buy OR rent</w:t>
            </w:r>
          </w:p>
        </w:tc>
        <w:tc>
          <w:tcPr>
            <w:tcW w:w="2228" w:type="dxa"/>
            <w:hideMark/>
          </w:tcPr>
          <w:p w14:paraId="6B54E0B1"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Can afford to rent but not buy</w:t>
            </w:r>
          </w:p>
        </w:tc>
        <w:tc>
          <w:tcPr>
            <w:tcW w:w="2228" w:type="dxa"/>
            <w:hideMark/>
          </w:tcPr>
          <w:p w14:paraId="323CDDD0" w14:textId="77777777" w:rsidR="00A13819" w:rsidRPr="000628B8"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0628B8">
              <w:rPr>
                <w:lang w:eastAsia="en-GB"/>
              </w:rPr>
              <w:t>Cannot afford to buy OR rent</w:t>
            </w:r>
          </w:p>
        </w:tc>
      </w:tr>
      <w:tr w:rsidR="000628B8" w:rsidRPr="000628B8" w14:paraId="1F128BD6"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452CA9B6" w14:textId="77777777" w:rsidR="00A13819" w:rsidRPr="004F4BA7" w:rsidRDefault="00A13819" w:rsidP="008E6E40">
            <w:pPr>
              <w:keepNext/>
              <w:rPr>
                <w:bCs/>
                <w:lang w:eastAsia="en-GB"/>
              </w:rPr>
            </w:pPr>
            <w:r w:rsidRPr="004F4BA7">
              <w:rPr>
                <w:bCs/>
                <w:lang w:eastAsia="en-GB"/>
              </w:rPr>
              <w:t>Cambridge</w:t>
            </w:r>
          </w:p>
        </w:tc>
        <w:tc>
          <w:tcPr>
            <w:tcW w:w="2227" w:type="dxa"/>
            <w:hideMark/>
          </w:tcPr>
          <w:p w14:paraId="5D77967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25%</w:t>
            </w:r>
          </w:p>
        </w:tc>
        <w:tc>
          <w:tcPr>
            <w:tcW w:w="2228" w:type="dxa"/>
            <w:hideMark/>
          </w:tcPr>
          <w:p w14:paraId="4FD51E6A"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32%</w:t>
            </w:r>
          </w:p>
        </w:tc>
        <w:tc>
          <w:tcPr>
            <w:tcW w:w="2228" w:type="dxa"/>
            <w:hideMark/>
          </w:tcPr>
          <w:p w14:paraId="3DFC9CA7"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43%</w:t>
            </w:r>
          </w:p>
        </w:tc>
      </w:tr>
      <w:tr w:rsidR="000628B8" w:rsidRPr="000628B8" w14:paraId="377E071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258B4A10" w14:textId="77777777" w:rsidR="00A13819" w:rsidRPr="004F4BA7" w:rsidRDefault="00A13819" w:rsidP="008E6E40">
            <w:pPr>
              <w:keepNext/>
              <w:rPr>
                <w:bCs/>
                <w:lang w:eastAsia="en-GB"/>
              </w:rPr>
            </w:pPr>
            <w:r w:rsidRPr="004F4BA7">
              <w:rPr>
                <w:bCs/>
                <w:lang w:eastAsia="en-GB"/>
              </w:rPr>
              <w:t>East Cambs</w:t>
            </w:r>
          </w:p>
        </w:tc>
        <w:tc>
          <w:tcPr>
            <w:tcW w:w="2227" w:type="dxa"/>
            <w:hideMark/>
          </w:tcPr>
          <w:p w14:paraId="6BA51FE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38%</w:t>
            </w:r>
          </w:p>
        </w:tc>
        <w:tc>
          <w:tcPr>
            <w:tcW w:w="2228" w:type="dxa"/>
            <w:hideMark/>
          </w:tcPr>
          <w:p w14:paraId="38C6B85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23%</w:t>
            </w:r>
          </w:p>
        </w:tc>
        <w:tc>
          <w:tcPr>
            <w:tcW w:w="2228" w:type="dxa"/>
            <w:hideMark/>
          </w:tcPr>
          <w:p w14:paraId="3A99C096"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39%</w:t>
            </w:r>
          </w:p>
        </w:tc>
      </w:tr>
      <w:tr w:rsidR="000628B8" w:rsidRPr="000628B8" w14:paraId="2C14F14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78E20970" w14:textId="77777777" w:rsidR="00A13819" w:rsidRPr="004F4BA7" w:rsidRDefault="00A13819" w:rsidP="008E6E40">
            <w:pPr>
              <w:keepNext/>
              <w:rPr>
                <w:bCs/>
                <w:lang w:eastAsia="en-GB"/>
              </w:rPr>
            </w:pPr>
            <w:r w:rsidRPr="004F4BA7">
              <w:rPr>
                <w:bCs/>
                <w:lang w:eastAsia="en-GB"/>
              </w:rPr>
              <w:t>Fenland</w:t>
            </w:r>
          </w:p>
        </w:tc>
        <w:tc>
          <w:tcPr>
            <w:tcW w:w="2227" w:type="dxa"/>
            <w:hideMark/>
          </w:tcPr>
          <w:p w14:paraId="12910DF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46%</w:t>
            </w:r>
          </w:p>
        </w:tc>
        <w:tc>
          <w:tcPr>
            <w:tcW w:w="2228" w:type="dxa"/>
            <w:hideMark/>
          </w:tcPr>
          <w:p w14:paraId="61D1955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13%</w:t>
            </w:r>
          </w:p>
        </w:tc>
        <w:tc>
          <w:tcPr>
            <w:tcW w:w="2228" w:type="dxa"/>
            <w:hideMark/>
          </w:tcPr>
          <w:p w14:paraId="405C32C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40%</w:t>
            </w:r>
          </w:p>
        </w:tc>
      </w:tr>
      <w:tr w:rsidR="000628B8" w:rsidRPr="000628B8" w14:paraId="079DC69E"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3A783935" w14:textId="77777777" w:rsidR="00A13819" w:rsidRPr="004F4BA7" w:rsidRDefault="00A13819" w:rsidP="008E6E40">
            <w:pPr>
              <w:keepNext/>
              <w:rPr>
                <w:bCs/>
                <w:lang w:eastAsia="en-GB"/>
              </w:rPr>
            </w:pPr>
            <w:r w:rsidRPr="004F4BA7">
              <w:rPr>
                <w:bCs/>
                <w:lang w:eastAsia="en-GB"/>
              </w:rPr>
              <w:t>Huntingdonshire</w:t>
            </w:r>
          </w:p>
        </w:tc>
        <w:tc>
          <w:tcPr>
            <w:tcW w:w="2227" w:type="dxa"/>
            <w:hideMark/>
          </w:tcPr>
          <w:p w14:paraId="313783FE"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43%</w:t>
            </w:r>
          </w:p>
        </w:tc>
        <w:tc>
          <w:tcPr>
            <w:tcW w:w="2228" w:type="dxa"/>
            <w:hideMark/>
          </w:tcPr>
          <w:p w14:paraId="39CF63AB"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22%</w:t>
            </w:r>
          </w:p>
        </w:tc>
        <w:tc>
          <w:tcPr>
            <w:tcW w:w="2228" w:type="dxa"/>
            <w:hideMark/>
          </w:tcPr>
          <w:p w14:paraId="642F5A08"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36%</w:t>
            </w:r>
          </w:p>
        </w:tc>
      </w:tr>
      <w:tr w:rsidR="000628B8" w:rsidRPr="000628B8" w14:paraId="193D410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4AD9497B" w14:textId="77777777" w:rsidR="00A13819" w:rsidRPr="004F4BA7" w:rsidRDefault="00A13819" w:rsidP="008E6E40">
            <w:pPr>
              <w:keepNext/>
              <w:rPr>
                <w:bCs/>
                <w:lang w:eastAsia="en-GB"/>
              </w:rPr>
            </w:pPr>
            <w:r w:rsidRPr="004F4BA7">
              <w:rPr>
                <w:bCs/>
                <w:lang w:eastAsia="en-GB"/>
              </w:rPr>
              <w:t>South Cambs</w:t>
            </w:r>
          </w:p>
        </w:tc>
        <w:tc>
          <w:tcPr>
            <w:tcW w:w="2227" w:type="dxa"/>
            <w:hideMark/>
          </w:tcPr>
          <w:p w14:paraId="0CE4C25D"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36%</w:t>
            </w:r>
          </w:p>
        </w:tc>
        <w:tc>
          <w:tcPr>
            <w:tcW w:w="2228" w:type="dxa"/>
            <w:hideMark/>
          </w:tcPr>
          <w:p w14:paraId="3F01129F"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26%</w:t>
            </w:r>
          </w:p>
        </w:tc>
        <w:tc>
          <w:tcPr>
            <w:tcW w:w="2228" w:type="dxa"/>
            <w:hideMark/>
          </w:tcPr>
          <w:p w14:paraId="2734376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0628B8">
              <w:rPr>
                <w:lang w:eastAsia="en-GB"/>
              </w:rPr>
              <w:t>38%</w:t>
            </w:r>
          </w:p>
        </w:tc>
      </w:tr>
      <w:tr w:rsidR="000628B8" w:rsidRPr="000628B8" w14:paraId="16DD55D3"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5DF3A91D" w14:textId="77777777" w:rsidR="00A13819" w:rsidRPr="004F4BA7" w:rsidRDefault="00A13819" w:rsidP="008E6E40">
            <w:pPr>
              <w:keepNext/>
              <w:rPr>
                <w:bCs/>
                <w:lang w:eastAsia="en-GB"/>
              </w:rPr>
            </w:pPr>
            <w:r w:rsidRPr="004F4BA7">
              <w:rPr>
                <w:bCs/>
                <w:lang w:eastAsia="en-GB"/>
              </w:rPr>
              <w:t>West Suffolk</w:t>
            </w:r>
          </w:p>
        </w:tc>
        <w:tc>
          <w:tcPr>
            <w:tcW w:w="2227" w:type="dxa"/>
            <w:hideMark/>
          </w:tcPr>
          <w:p w14:paraId="67ABB0FF"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0628B8">
              <w:rPr>
                <w:szCs w:val="24"/>
                <w:lang w:eastAsia="en-GB"/>
              </w:rPr>
              <w:t>41%</w:t>
            </w:r>
          </w:p>
        </w:tc>
        <w:tc>
          <w:tcPr>
            <w:tcW w:w="2228" w:type="dxa"/>
            <w:hideMark/>
          </w:tcPr>
          <w:p w14:paraId="40B22351"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0628B8">
              <w:rPr>
                <w:szCs w:val="24"/>
                <w:lang w:eastAsia="en-GB"/>
              </w:rPr>
              <w:t>16%</w:t>
            </w:r>
          </w:p>
        </w:tc>
        <w:tc>
          <w:tcPr>
            <w:tcW w:w="2228" w:type="dxa"/>
            <w:hideMark/>
          </w:tcPr>
          <w:p w14:paraId="0D01BDDC" w14:textId="77777777" w:rsidR="00A13819" w:rsidRPr="000628B8" w:rsidRDefault="00A13819" w:rsidP="008E6E40">
            <w:pPr>
              <w:keepNext/>
              <w:cnfStyle w:val="000000000000" w:firstRow="0" w:lastRow="0" w:firstColumn="0" w:lastColumn="0" w:oddVBand="0" w:evenVBand="0" w:oddHBand="0" w:evenHBand="0" w:firstRowFirstColumn="0" w:firstRowLastColumn="0" w:lastRowFirstColumn="0" w:lastRowLastColumn="0"/>
              <w:rPr>
                <w:szCs w:val="24"/>
                <w:lang w:eastAsia="en-GB"/>
              </w:rPr>
            </w:pPr>
            <w:r w:rsidRPr="000628B8">
              <w:rPr>
                <w:szCs w:val="24"/>
                <w:lang w:eastAsia="en-GB"/>
              </w:rPr>
              <w:t>42%</w:t>
            </w:r>
          </w:p>
        </w:tc>
      </w:tr>
      <w:tr w:rsidR="000628B8" w:rsidRPr="000628B8" w14:paraId="3528F6A8"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40" w:type="dxa"/>
            <w:hideMark/>
          </w:tcPr>
          <w:p w14:paraId="44323C45" w14:textId="77777777" w:rsidR="00A13819" w:rsidRPr="000628B8" w:rsidRDefault="00A13819" w:rsidP="008E6E40">
            <w:pPr>
              <w:keepNext/>
              <w:rPr>
                <w:b/>
                <w:lang w:eastAsia="en-GB"/>
              </w:rPr>
            </w:pPr>
            <w:r w:rsidRPr="000628B8">
              <w:rPr>
                <w:b/>
                <w:lang w:eastAsia="en-GB"/>
              </w:rPr>
              <w:t>HMA</w:t>
            </w:r>
          </w:p>
        </w:tc>
        <w:tc>
          <w:tcPr>
            <w:tcW w:w="2227" w:type="dxa"/>
            <w:hideMark/>
          </w:tcPr>
          <w:p w14:paraId="563EFAE2"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szCs w:val="24"/>
                <w:lang w:eastAsia="en-GB"/>
              </w:rPr>
            </w:pPr>
            <w:r w:rsidRPr="004F4BA7">
              <w:rPr>
                <w:b/>
                <w:bCs/>
                <w:szCs w:val="24"/>
              </w:rPr>
              <w:t>39%</w:t>
            </w:r>
          </w:p>
        </w:tc>
        <w:tc>
          <w:tcPr>
            <w:tcW w:w="2228" w:type="dxa"/>
            <w:hideMark/>
          </w:tcPr>
          <w:p w14:paraId="492B8572"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szCs w:val="24"/>
                <w:lang w:eastAsia="en-GB"/>
              </w:rPr>
            </w:pPr>
            <w:r w:rsidRPr="004F4BA7">
              <w:rPr>
                <w:b/>
                <w:bCs/>
                <w:szCs w:val="24"/>
              </w:rPr>
              <w:t>22%</w:t>
            </w:r>
          </w:p>
        </w:tc>
        <w:tc>
          <w:tcPr>
            <w:tcW w:w="2228" w:type="dxa"/>
            <w:hideMark/>
          </w:tcPr>
          <w:p w14:paraId="25AB3BFC"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szCs w:val="24"/>
                <w:lang w:eastAsia="en-GB"/>
              </w:rPr>
            </w:pPr>
            <w:r w:rsidRPr="004F4BA7">
              <w:rPr>
                <w:b/>
                <w:bCs/>
                <w:szCs w:val="24"/>
              </w:rPr>
              <w:t>40%</w:t>
            </w:r>
          </w:p>
        </w:tc>
      </w:tr>
    </w:tbl>
    <w:p w14:paraId="7F8B6923" w14:textId="77777777" w:rsidR="00A13819" w:rsidRPr="007D0FBF" w:rsidRDefault="00A13819" w:rsidP="008E6E40">
      <w:pPr>
        <w:pStyle w:val="Bodytextwithindent"/>
        <w:keepNext/>
        <w:spacing w:before="0" w:after="0" w:line="240" w:lineRule="auto"/>
        <w:rPr>
          <w:sz w:val="24"/>
          <w:szCs w:val="22"/>
        </w:rPr>
      </w:pPr>
      <w:r w:rsidRPr="007D0FBF">
        <w:rPr>
          <w:sz w:val="24"/>
          <w:szCs w:val="22"/>
        </w:rPr>
        <w:t>Source: Derived from Housing Market Cost Analysis and Affordability Testing herein</w:t>
      </w:r>
    </w:p>
    <w:p w14:paraId="224D6950" w14:textId="77777777" w:rsidR="00A13819" w:rsidRDefault="00A13819" w:rsidP="007D0FBF">
      <w:pPr>
        <w:pStyle w:val="11Bodytext"/>
      </w:pPr>
      <w:r>
        <w:t xml:space="preserve">The finding that a significant proportion of households in the PRS   are likely to have an income that would allow them to buy a home is also noteworthy and suggests that for many households, barriers to accessing owner-occupation are less about income/the cost of housing and more about other factors which include the lack of a deposit or difficulty obtaining a mortgage, for example due to a poor credit rating or insecure employment. </w:t>
      </w:r>
    </w:p>
    <w:p w14:paraId="0ECDF6CF" w14:textId="77777777" w:rsidR="00A13819" w:rsidRDefault="00A13819" w:rsidP="007D0FBF">
      <w:pPr>
        <w:pStyle w:val="11Bodytext"/>
      </w:pPr>
      <w:r>
        <w:t>That said, some households will choose to privately rent, for example as it is a more flexible option that may be more suitable for a particular household’s life stage (</w:t>
      </w:r>
      <w:proofErr w:type="gramStart"/>
      <w:r>
        <w:t>e.g.</w:t>
      </w:r>
      <w:proofErr w:type="gramEnd"/>
      <w:r>
        <w:t xml:space="preserve"> if moving locations with employment).</w:t>
      </w:r>
    </w:p>
    <w:p w14:paraId="0E822763" w14:textId="77777777" w:rsidR="00A13819" w:rsidRDefault="00A13819" w:rsidP="007D0FBF">
      <w:pPr>
        <w:pStyle w:val="11Bodytext"/>
      </w:pPr>
      <w:r>
        <w:t>To study current need, an estimate of the number of households living in the PRS</w:t>
      </w:r>
      <w:proofErr w:type="gramStart"/>
      <w:r>
        <w:t xml:space="preserve">   (</w:t>
      </w:r>
      <w:proofErr w:type="gramEnd"/>
      <w:r>
        <w:t xml:space="preserve">PRS) has been established, with the same (rent/buy gap) affordability test (as described above) then applied. </w:t>
      </w:r>
    </w:p>
    <w:p w14:paraId="322DBFAE" w14:textId="77777777" w:rsidR="00A13819" w:rsidRDefault="00A13819" w:rsidP="007D0FBF">
      <w:pPr>
        <w:pStyle w:val="11Bodytext"/>
      </w:pPr>
      <w:r>
        <w:t>The starting point is the number of households living in private rented accommodation; as of the 2011 Census, some 53,100 households were living in the sector across the whole study area. Data from the English Housing Survey (EHS) suggests that since 2011, the number of households in the PRS has risen by about 21% - if the same proportion is relevant to the study area then the number of households in the sector would now be around 64,500.</w:t>
      </w:r>
    </w:p>
    <w:p w14:paraId="201F5153" w14:textId="77777777" w:rsidR="00A13819" w:rsidRDefault="00A13819" w:rsidP="007D0FBF">
      <w:pPr>
        <w:pStyle w:val="11Bodytext"/>
      </w:pPr>
      <w:r>
        <w:lastRenderedPageBreak/>
        <w:t>Additional data from the EHS (2017/18 PRS   Report) suggests that 60% of all PRS households expect to become an owner at some point (38,700 households if applied to the study area) and of these some 25% (9,675 households) would expect this to happen in the next 2 years. The figure of 9,675 is therefore taken as the number of households potentially with a current need for affordable home ownership before any affordability testing.</w:t>
      </w:r>
    </w:p>
    <w:p w14:paraId="6C7FB232" w14:textId="44AD9AEB" w:rsidR="00A13819" w:rsidRDefault="00A13819" w:rsidP="007D0FBF">
      <w:pPr>
        <w:pStyle w:val="11Bodytext"/>
      </w:pPr>
      <w:r>
        <w:t xml:space="preserve">As noted above in Table </w:t>
      </w:r>
      <w:r w:rsidR="00EA54B1">
        <w:t>40</w:t>
      </w:r>
      <w:r>
        <w:t>, based on income it is estimated that around 13%-32% of the PRS   sits in the gap between renting and buying. Applying this proportion to the 9,675 figure would suggest a current need for around 2,200 affordable home ownership products (108 per annum if annualised over 20 years).</w:t>
      </w:r>
    </w:p>
    <w:p w14:paraId="79E40838" w14:textId="7E8CC3A0" w:rsidR="00A13819" w:rsidRDefault="00A13819" w:rsidP="007D0FBF">
      <w:pPr>
        <w:pStyle w:val="11Bodytext"/>
      </w:pPr>
      <w:r>
        <w:t>In projecting forward, the analysis can consider newly forming households and also the remaining existing households who expect to become owners further into the future. Applying the same affordability test (albeit on a very slightly different income assumption for newly forming households) suggests an annual need from these two groups of around 1,512 dwellings (1,188 from newly forming households and 324 from existing households in the PRS).</w:t>
      </w:r>
    </w:p>
    <w:p w14:paraId="3C1C4774" w14:textId="77777777" w:rsidR="00A13819" w:rsidRPr="00526C6E" w:rsidRDefault="00A13819" w:rsidP="007D0FBF">
      <w:pPr>
        <w:pStyle w:val="11Bodytext"/>
        <w:rPr>
          <w:b/>
        </w:rPr>
      </w:pPr>
      <w:r>
        <w:t>Bringing together the above analysis suggests that there is a gross need for around 1,620 affordable home ownership homes (priced for households able to afford to rent but not buy) per annum across the study area. This is before any assessment of the potential supply of housing is considered.</w:t>
      </w:r>
    </w:p>
    <w:p w14:paraId="7A52C219" w14:textId="77777777" w:rsidR="00A13819" w:rsidRDefault="00A13819" w:rsidP="003D5E23">
      <w:pPr>
        <w:pStyle w:val="Tableheading"/>
        <w:numPr>
          <w:ilvl w:val="0"/>
          <w:numId w:val="54"/>
        </w:numPr>
      </w:pPr>
      <w:r>
        <w:lastRenderedPageBreak/>
        <w:t>Estimated Gross Need for Affordable Home ownership by each local authority (per annum)</w:t>
      </w:r>
    </w:p>
    <w:tbl>
      <w:tblPr>
        <w:tblStyle w:val="TableGridLight1"/>
        <w:tblW w:w="8556" w:type="dxa"/>
        <w:tblInd w:w="795" w:type="dxa"/>
        <w:tblLook w:val="04A0" w:firstRow="1" w:lastRow="0" w:firstColumn="1" w:lastColumn="0" w:noHBand="0" w:noVBand="1"/>
      </w:tblPr>
      <w:tblGrid>
        <w:gridCol w:w="2113"/>
        <w:gridCol w:w="1610"/>
        <w:gridCol w:w="1611"/>
        <w:gridCol w:w="1611"/>
        <w:gridCol w:w="1611"/>
      </w:tblGrid>
      <w:tr w:rsidR="007A71A5" w:rsidRPr="007A71A5" w14:paraId="061C8284" w14:textId="77777777" w:rsidTr="004F4BA7">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113" w:type="dxa"/>
            <w:hideMark/>
          </w:tcPr>
          <w:p w14:paraId="53ED3670" w14:textId="77777777" w:rsidR="00A13819" w:rsidRPr="007A71A5" w:rsidRDefault="00A13819" w:rsidP="008E6E40">
            <w:pPr>
              <w:keepNext/>
              <w:rPr>
                <w:lang w:eastAsia="en-GB"/>
              </w:rPr>
            </w:pPr>
            <w:r w:rsidRPr="007A71A5">
              <w:rPr>
                <w:lang w:eastAsia="en-GB"/>
              </w:rPr>
              <w:t> </w:t>
            </w:r>
          </w:p>
        </w:tc>
        <w:tc>
          <w:tcPr>
            <w:tcW w:w="1610" w:type="dxa"/>
            <w:hideMark/>
          </w:tcPr>
          <w:p w14:paraId="4E4E3C2E"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Current need</w:t>
            </w:r>
          </w:p>
        </w:tc>
        <w:tc>
          <w:tcPr>
            <w:tcW w:w="1611" w:type="dxa"/>
            <w:hideMark/>
          </w:tcPr>
          <w:p w14:paraId="2A679438"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Newly forming households</w:t>
            </w:r>
          </w:p>
        </w:tc>
        <w:tc>
          <w:tcPr>
            <w:tcW w:w="1611" w:type="dxa"/>
            <w:hideMark/>
          </w:tcPr>
          <w:p w14:paraId="62ADE436"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Existing households falling into need</w:t>
            </w:r>
          </w:p>
        </w:tc>
        <w:tc>
          <w:tcPr>
            <w:tcW w:w="1611" w:type="dxa"/>
            <w:hideMark/>
          </w:tcPr>
          <w:p w14:paraId="4418CA7A"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Total Gross Need</w:t>
            </w:r>
          </w:p>
        </w:tc>
      </w:tr>
      <w:tr w:rsidR="007A71A5" w:rsidRPr="007A71A5" w14:paraId="3181BCDA"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0EC7AD6A" w14:textId="77777777" w:rsidR="00A13819" w:rsidRPr="004F4BA7" w:rsidRDefault="00A13819" w:rsidP="008E6E40">
            <w:pPr>
              <w:keepNext/>
              <w:rPr>
                <w:bCs/>
                <w:lang w:eastAsia="en-GB"/>
              </w:rPr>
            </w:pPr>
            <w:r w:rsidRPr="004F4BA7">
              <w:rPr>
                <w:bCs/>
                <w:lang w:eastAsia="en-GB"/>
              </w:rPr>
              <w:t>Cambridge</w:t>
            </w:r>
          </w:p>
        </w:tc>
        <w:tc>
          <w:tcPr>
            <w:tcW w:w="1610" w:type="dxa"/>
            <w:hideMark/>
          </w:tcPr>
          <w:p w14:paraId="1D547C7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1611" w:type="dxa"/>
            <w:hideMark/>
          </w:tcPr>
          <w:p w14:paraId="4D37F3F1"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208</w:t>
            </w:r>
          </w:p>
        </w:tc>
        <w:tc>
          <w:tcPr>
            <w:tcW w:w="1611" w:type="dxa"/>
            <w:hideMark/>
          </w:tcPr>
          <w:p w14:paraId="7696310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106</w:t>
            </w:r>
          </w:p>
        </w:tc>
        <w:tc>
          <w:tcPr>
            <w:tcW w:w="1611" w:type="dxa"/>
            <w:hideMark/>
          </w:tcPr>
          <w:p w14:paraId="7AE4AB0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349</w:t>
            </w:r>
          </w:p>
        </w:tc>
      </w:tr>
      <w:tr w:rsidR="007A71A5" w:rsidRPr="007A71A5" w14:paraId="6BBEDC35"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5936CF89" w14:textId="77777777" w:rsidR="00A13819" w:rsidRPr="004F4BA7" w:rsidRDefault="00A13819" w:rsidP="008E6E40">
            <w:pPr>
              <w:keepNext/>
              <w:rPr>
                <w:bCs/>
                <w:lang w:eastAsia="en-GB"/>
              </w:rPr>
            </w:pPr>
            <w:r w:rsidRPr="004F4BA7">
              <w:rPr>
                <w:bCs/>
                <w:lang w:eastAsia="en-GB"/>
              </w:rPr>
              <w:t>East Cambs</w:t>
            </w:r>
          </w:p>
        </w:tc>
        <w:tc>
          <w:tcPr>
            <w:tcW w:w="1610" w:type="dxa"/>
            <w:hideMark/>
          </w:tcPr>
          <w:p w14:paraId="26C49A8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w:t>
            </w:r>
          </w:p>
        </w:tc>
        <w:tc>
          <w:tcPr>
            <w:tcW w:w="1611" w:type="dxa"/>
            <w:hideMark/>
          </w:tcPr>
          <w:p w14:paraId="5F690C2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141</w:t>
            </w:r>
          </w:p>
        </w:tc>
        <w:tc>
          <w:tcPr>
            <w:tcW w:w="1611" w:type="dxa"/>
            <w:hideMark/>
          </w:tcPr>
          <w:p w14:paraId="5C0314B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w:t>
            </w:r>
          </w:p>
        </w:tc>
        <w:tc>
          <w:tcPr>
            <w:tcW w:w="1611" w:type="dxa"/>
            <w:hideMark/>
          </w:tcPr>
          <w:p w14:paraId="7D3EC2A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180</w:t>
            </w:r>
          </w:p>
        </w:tc>
      </w:tr>
      <w:tr w:rsidR="007A71A5" w:rsidRPr="007A71A5" w14:paraId="4D3A3E7E"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1412BF30" w14:textId="77777777" w:rsidR="00A13819" w:rsidRPr="004F4BA7" w:rsidRDefault="00A13819" w:rsidP="008E6E40">
            <w:pPr>
              <w:keepNext/>
              <w:rPr>
                <w:bCs/>
                <w:lang w:eastAsia="en-GB"/>
              </w:rPr>
            </w:pPr>
            <w:r w:rsidRPr="004F4BA7">
              <w:rPr>
                <w:bCs/>
                <w:lang w:eastAsia="en-GB"/>
              </w:rPr>
              <w:t>Fenland</w:t>
            </w:r>
          </w:p>
        </w:tc>
        <w:tc>
          <w:tcPr>
            <w:tcW w:w="1610" w:type="dxa"/>
            <w:hideMark/>
          </w:tcPr>
          <w:p w14:paraId="2E3D578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w:t>
            </w:r>
          </w:p>
        </w:tc>
        <w:tc>
          <w:tcPr>
            <w:tcW w:w="1611" w:type="dxa"/>
            <w:hideMark/>
          </w:tcPr>
          <w:p w14:paraId="025292C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94</w:t>
            </w:r>
          </w:p>
        </w:tc>
        <w:tc>
          <w:tcPr>
            <w:tcW w:w="1611" w:type="dxa"/>
            <w:hideMark/>
          </w:tcPr>
          <w:p w14:paraId="34D5CED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c>
          <w:tcPr>
            <w:tcW w:w="1611" w:type="dxa"/>
            <w:hideMark/>
          </w:tcPr>
          <w:p w14:paraId="096D9D5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125</w:t>
            </w:r>
          </w:p>
        </w:tc>
      </w:tr>
      <w:tr w:rsidR="007A71A5" w:rsidRPr="007A71A5" w14:paraId="6B99683F"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4E7C3579" w14:textId="77777777" w:rsidR="00A13819" w:rsidRPr="004F4BA7" w:rsidRDefault="00A13819" w:rsidP="008E6E40">
            <w:pPr>
              <w:keepNext/>
              <w:rPr>
                <w:bCs/>
                <w:lang w:eastAsia="en-GB"/>
              </w:rPr>
            </w:pPr>
            <w:r w:rsidRPr="004F4BA7">
              <w:rPr>
                <w:bCs/>
                <w:lang w:eastAsia="en-GB"/>
              </w:rPr>
              <w:t>Huntingdonshire</w:t>
            </w:r>
          </w:p>
        </w:tc>
        <w:tc>
          <w:tcPr>
            <w:tcW w:w="1610" w:type="dxa"/>
            <w:hideMark/>
          </w:tcPr>
          <w:p w14:paraId="0E1C4AA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w:t>
            </w:r>
          </w:p>
        </w:tc>
        <w:tc>
          <w:tcPr>
            <w:tcW w:w="1611" w:type="dxa"/>
            <w:hideMark/>
          </w:tcPr>
          <w:p w14:paraId="6E68F7D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267</w:t>
            </w:r>
          </w:p>
        </w:tc>
        <w:tc>
          <w:tcPr>
            <w:tcW w:w="1611" w:type="dxa"/>
            <w:hideMark/>
          </w:tcPr>
          <w:p w14:paraId="4BF96AD1"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57</w:t>
            </w:r>
          </w:p>
        </w:tc>
        <w:tc>
          <w:tcPr>
            <w:tcW w:w="1611" w:type="dxa"/>
            <w:hideMark/>
          </w:tcPr>
          <w:p w14:paraId="3A83C13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343</w:t>
            </w:r>
          </w:p>
        </w:tc>
      </w:tr>
      <w:tr w:rsidR="007A71A5" w:rsidRPr="007A71A5" w14:paraId="5535B210"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77413B55" w14:textId="77777777" w:rsidR="00A13819" w:rsidRPr="004F4BA7" w:rsidRDefault="00A13819" w:rsidP="008E6E40">
            <w:pPr>
              <w:keepNext/>
              <w:rPr>
                <w:bCs/>
                <w:lang w:eastAsia="en-GB"/>
              </w:rPr>
            </w:pPr>
            <w:r w:rsidRPr="004F4BA7">
              <w:rPr>
                <w:bCs/>
                <w:lang w:eastAsia="en-GB"/>
              </w:rPr>
              <w:t>South Cambs</w:t>
            </w:r>
          </w:p>
        </w:tc>
        <w:tc>
          <w:tcPr>
            <w:tcW w:w="1610" w:type="dxa"/>
            <w:hideMark/>
          </w:tcPr>
          <w:p w14:paraId="1C8E353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17</w:t>
            </w:r>
          </w:p>
        </w:tc>
        <w:tc>
          <w:tcPr>
            <w:tcW w:w="1611" w:type="dxa"/>
            <w:hideMark/>
          </w:tcPr>
          <w:p w14:paraId="169CA39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301</w:t>
            </w:r>
          </w:p>
        </w:tc>
        <w:tc>
          <w:tcPr>
            <w:tcW w:w="1611" w:type="dxa"/>
            <w:hideMark/>
          </w:tcPr>
          <w:p w14:paraId="123D00E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50</w:t>
            </w:r>
          </w:p>
        </w:tc>
        <w:tc>
          <w:tcPr>
            <w:tcW w:w="1611" w:type="dxa"/>
            <w:hideMark/>
          </w:tcPr>
          <w:p w14:paraId="495822A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367</w:t>
            </w:r>
          </w:p>
        </w:tc>
      </w:tr>
      <w:tr w:rsidR="007A71A5" w:rsidRPr="007A71A5" w14:paraId="089785AE"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07FCEA68" w14:textId="77777777" w:rsidR="00A13819" w:rsidRPr="004F4BA7" w:rsidRDefault="00A13819" w:rsidP="008E6E40">
            <w:pPr>
              <w:keepNext/>
              <w:rPr>
                <w:bCs/>
                <w:lang w:eastAsia="en-GB"/>
              </w:rPr>
            </w:pPr>
            <w:r w:rsidRPr="004F4BA7">
              <w:rPr>
                <w:bCs/>
                <w:lang w:eastAsia="en-GB"/>
              </w:rPr>
              <w:t>West Suffolk</w:t>
            </w:r>
          </w:p>
        </w:tc>
        <w:tc>
          <w:tcPr>
            <w:tcW w:w="1610" w:type="dxa"/>
            <w:hideMark/>
          </w:tcPr>
          <w:p w14:paraId="0CB93C0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w:t>
            </w:r>
          </w:p>
        </w:tc>
        <w:tc>
          <w:tcPr>
            <w:tcW w:w="1611" w:type="dxa"/>
            <w:hideMark/>
          </w:tcPr>
          <w:p w14:paraId="39416EE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177</w:t>
            </w:r>
          </w:p>
        </w:tc>
        <w:tc>
          <w:tcPr>
            <w:tcW w:w="1611" w:type="dxa"/>
            <w:hideMark/>
          </w:tcPr>
          <w:p w14:paraId="1E4865E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58</w:t>
            </w:r>
          </w:p>
        </w:tc>
        <w:tc>
          <w:tcPr>
            <w:tcW w:w="1611" w:type="dxa"/>
            <w:hideMark/>
          </w:tcPr>
          <w:p w14:paraId="5A79AAB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255</w:t>
            </w:r>
          </w:p>
        </w:tc>
      </w:tr>
      <w:tr w:rsidR="007A71A5" w:rsidRPr="007A71A5" w14:paraId="3E8B3AA9" w14:textId="77777777" w:rsidTr="004F4BA7">
        <w:trPr>
          <w:trHeight w:val="295"/>
        </w:trPr>
        <w:tc>
          <w:tcPr>
            <w:cnfStyle w:val="001000000000" w:firstRow="0" w:lastRow="0" w:firstColumn="1" w:lastColumn="0" w:oddVBand="0" w:evenVBand="0" w:oddHBand="0" w:evenHBand="0" w:firstRowFirstColumn="0" w:firstRowLastColumn="0" w:lastRowFirstColumn="0" w:lastRowLastColumn="0"/>
            <w:tcW w:w="2113" w:type="dxa"/>
            <w:hideMark/>
          </w:tcPr>
          <w:p w14:paraId="37F00B19" w14:textId="77777777" w:rsidR="00A13819" w:rsidRPr="007A71A5" w:rsidRDefault="00A13819" w:rsidP="008E6E40">
            <w:pPr>
              <w:keepNext/>
              <w:rPr>
                <w:b/>
                <w:lang w:eastAsia="en-GB"/>
              </w:rPr>
            </w:pPr>
            <w:r w:rsidRPr="007A71A5">
              <w:rPr>
                <w:b/>
                <w:lang w:eastAsia="en-GB"/>
              </w:rPr>
              <w:t>HMA</w:t>
            </w:r>
          </w:p>
        </w:tc>
        <w:tc>
          <w:tcPr>
            <w:tcW w:w="1610" w:type="dxa"/>
            <w:hideMark/>
          </w:tcPr>
          <w:p w14:paraId="0EE6A257"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108</w:t>
            </w:r>
          </w:p>
        </w:tc>
        <w:tc>
          <w:tcPr>
            <w:tcW w:w="1611" w:type="dxa"/>
            <w:hideMark/>
          </w:tcPr>
          <w:p w14:paraId="40EE986E"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1,188</w:t>
            </w:r>
          </w:p>
        </w:tc>
        <w:tc>
          <w:tcPr>
            <w:tcW w:w="1611" w:type="dxa"/>
            <w:hideMark/>
          </w:tcPr>
          <w:p w14:paraId="1C5A8FFA"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324</w:t>
            </w:r>
          </w:p>
        </w:tc>
        <w:tc>
          <w:tcPr>
            <w:tcW w:w="1611" w:type="dxa"/>
            <w:hideMark/>
          </w:tcPr>
          <w:p w14:paraId="59521F65"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1,620</w:t>
            </w:r>
          </w:p>
        </w:tc>
      </w:tr>
    </w:tbl>
    <w:p w14:paraId="7E563E7B" w14:textId="77777777" w:rsidR="00A13819" w:rsidRPr="007D0FBF" w:rsidRDefault="00A13819" w:rsidP="008E6E40">
      <w:pPr>
        <w:pStyle w:val="Bodytextwithindent"/>
        <w:keepNext/>
        <w:spacing w:before="0" w:after="0" w:line="240" w:lineRule="auto"/>
        <w:rPr>
          <w:sz w:val="24"/>
          <w:szCs w:val="22"/>
        </w:rPr>
      </w:pPr>
      <w:r w:rsidRPr="007D0FBF">
        <w:rPr>
          <w:sz w:val="24"/>
          <w:szCs w:val="22"/>
        </w:rPr>
        <w:t>Source: Derived from EHS, Housing Market Cost Analysis and Affordability Testing herein Potential Supply of Housing to Meet the Affordable Home Ownership Need</w:t>
      </w:r>
    </w:p>
    <w:p w14:paraId="4DA7F3C3" w14:textId="77777777" w:rsidR="00A13819" w:rsidRDefault="00A13819" w:rsidP="007D0FBF">
      <w:pPr>
        <w:pStyle w:val="11Bodytext"/>
      </w:pPr>
      <w:r>
        <w:t xml:space="preserve">As </w:t>
      </w:r>
      <w:proofErr w:type="gramStart"/>
      <w:r>
        <w:t>stated</w:t>
      </w:r>
      <w:proofErr w:type="gramEnd"/>
      <w:r>
        <w:t xml:space="preserve"> the PPG does not include any suggestions about how the supply of housing to meet the gross need should be calculated. The analysis below, therefore, provides a general discussion.</w:t>
      </w:r>
    </w:p>
    <w:p w14:paraId="3F3F5C14" w14:textId="77777777" w:rsidR="00A13819" w:rsidRDefault="00A13819" w:rsidP="007D0FBF">
      <w:pPr>
        <w:pStyle w:val="11Bodytext"/>
      </w:pPr>
      <w:r>
        <w:t>The cost of accessing housing to buy is based on the lower quartile cost of housing which is around £200,000 in the HMA. By definition, a quarter of all homes sold (noting that this transaction data from the Land Registry is for the year to March 2020) will be priced at or below this level.</w:t>
      </w:r>
    </w:p>
    <w:p w14:paraId="7CBC35BE" w14:textId="77777777" w:rsidR="00A13819" w:rsidRDefault="00A13819" w:rsidP="007D0FBF">
      <w:pPr>
        <w:pStyle w:val="11Bodytext"/>
      </w:pPr>
      <w:r>
        <w:t>According to the Land Registry source, there were a total of 9,741 resales (</w:t>
      </w:r>
      <w:proofErr w:type="gramStart"/>
      <w:r>
        <w:t>i.e.</w:t>
      </w:r>
      <w:proofErr w:type="gramEnd"/>
      <w:r>
        <w:t xml:space="preserve"> excluding newbuild) in this period and therefore around 2,435 would be priced below the lower quartile. This is 2,435 homes that would theoretically be affordable to the target group for affordable home ownership products.</w:t>
      </w:r>
    </w:p>
    <w:p w14:paraId="5B66A8FE" w14:textId="11A53FC3" w:rsidR="00A13819" w:rsidRDefault="00A13819" w:rsidP="007D0FBF">
      <w:pPr>
        <w:pStyle w:val="11Bodytext"/>
      </w:pPr>
      <w:r>
        <w:t>However, it is the case that market housing is not allocated in the same way as social/affordable rent homes (</w:t>
      </w:r>
      <w:proofErr w:type="gramStart"/>
      <w:r>
        <w:t>i.e.</w:t>
      </w:r>
      <w:proofErr w:type="gramEnd"/>
      <w:r>
        <w:t xml:space="preserve"> anyone can buy a home as long as they can afford it and some lower quartile homes would be sold to households able to afford more, or potentially to investment buyers).</w:t>
      </w:r>
      <w:r w:rsidR="007D0FBF">
        <w:t xml:space="preserve"> </w:t>
      </w:r>
      <w:proofErr w:type="gramStart"/>
      <w:r>
        <w:t>Furthermore</w:t>
      </w:r>
      <w:proofErr w:type="gramEnd"/>
      <w:r>
        <w:t xml:space="preserve"> some of these homes might be uninhabitable or age-restricted.</w:t>
      </w:r>
    </w:p>
    <w:p w14:paraId="0C6DF291" w14:textId="77777777" w:rsidR="00A13819" w:rsidRDefault="00A13819" w:rsidP="007D0FBF">
      <w:pPr>
        <w:pStyle w:val="11Bodytext"/>
      </w:pPr>
      <w:r>
        <w:lastRenderedPageBreak/>
        <w:t>In the absence of any guidance about how to deal with the supply of affordable home ownership, a broad further assumption has been used that around half of the lower quartile homes would be available to meet the needs of households with an income in the gap between buying and renting – this amounts to 1,218 dwellings per annum.</w:t>
      </w:r>
    </w:p>
    <w:p w14:paraId="70FF536E" w14:textId="77777777" w:rsidR="00A13819" w:rsidRDefault="00A13819" w:rsidP="007D0FBF">
      <w:pPr>
        <w:pStyle w:val="11Bodytext"/>
      </w:pPr>
      <w:r>
        <w:t xml:space="preserve">Also, data from </w:t>
      </w:r>
      <w:proofErr w:type="spellStart"/>
      <w:r>
        <w:t>CoRe</w:t>
      </w:r>
      <w:proofErr w:type="spellEnd"/>
      <w:r>
        <w:t xml:space="preserve"> about the resale of affordable housing (likely to mainly be shared ownership) shows an average of around 136 resales per annum across the </w:t>
      </w:r>
      <w:proofErr w:type="gramStart"/>
      <w:r>
        <w:t>HMA  (</w:t>
      </w:r>
      <w:proofErr w:type="gramEnd"/>
      <w:r>
        <w:t xml:space="preserve">based on data for the 2015-18 period). These properties would also potentially be available for households for whom AHO products would be suitable and can be included within the potential supply. Therefore, a total supply of 1,354 dwellings per annum is estimated for the </w:t>
      </w:r>
      <w:proofErr w:type="gramStart"/>
      <w:r>
        <w:t>HMA .</w:t>
      </w:r>
      <w:proofErr w:type="gramEnd"/>
      <w:r>
        <w:t xml:space="preserve"> </w:t>
      </w:r>
    </w:p>
    <w:p w14:paraId="0E3089FE" w14:textId="77777777" w:rsidR="00A13819" w:rsidRPr="00526C6E" w:rsidRDefault="00A13819" w:rsidP="007D0FBF">
      <w:pPr>
        <w:pStyle w:val="11Bodytext"/>
        <w:rPr>
          <w:b/>
        </w:rPr>
      </w:pPr>
      <w:r>
        <w:t xml:space="preserve">The table below brings together an estimate of the need for affordable home ownership. This shows a modest need for 266 affordable home ownership products per annum across the study area. This compares to a rental affordable need of 2,066 homes. </w:t>
      </w:r>
    </w:p>
    <w:p w14:paraId="772A7F74" w14:textId="36FA0D3E" w:rsidR="00A13819" w:rsidRPr="004F4BA7" w:rsidRDefault="00A13819" w:rsidP="007D0FBF">
      <w:pPr>
        <w:pStyle w:val="11Bodytext"/>
        <w:rPr>
          <w:b/>
        </w:rPr>
      </w:pPr>
      <w:r>
        <w:t xml:space="preserve">The largest need is identified in Cambridge and South Cambridgeshire.  East Cambridgeshire and Huntingdonshire also has a modest need while the approach in Fenland and West Suffolk indicates that the supply of AHO dwellings exceeds demand. </w:t>
      </w:r>
      <w:r w:rsidR="005A63C1">
        <w:t>For example, in the case of West Suffolk supply exceeds demand by 45 homes.</w:t>
      </w:r>
    </w:p>
    <w:p w14:paraId="34688F76" w14:textId="77777777" w:rsidR="00A13819" w:rsidRDefault="00A13819" w:rsidP="003D5E23">
      <w:pPr>
        <w:pStyle w:val="Tableheading"/>
        <w:numPr>
          <w:ilvl w:val="0"/>
          <w:numId w:val="54"/>
        </w:numPr>
      </w:pPr>
      <w:r>
        <w:lastRenderedPageBreak/>
        <w:t>Estimated Need for Affordable Home ownership by each local authority (per annum)</w:t>
      </w:r>
    </w:p>
    <w:tbl>
      <w:tblPr>
        <w:tblStyle w:val="TableGridLight1"/>
        <w:tblW w:w="8689" w:type="dxa"/>
        <w:tblInd w:w="846" w:type="dxa"/>
        <w:tblLook w:val="04A0" w:firstRow="1" w:lastRow="0" w:firstColumn="1" w:lastColumn="0" w:noHBand="0" w:noVBand="1"/>
      </w:tblPr>
      <w:tblGrid>
        <w:gridCol w:w="1822"/>
        <w:gridCol w:w="1144"/>
        <w:gridCol w:w="1145"/>
        <w:gridCol w:w="1144"/>
        <w:gridCol w:w="1145"/>
        <w:gridCol w:w="1144"/>
        <w:gridCol w:w="1145"/>
      </w:tblGrid>
      <w:tr w:rsidR="007A71A5" w:rsidRPr="007A71A5" w14:paraId="7B819791" w14:textId="77777777" w:rsidTr="004F4BA7">
        <w:trPr>
          <w:cnfStyle w:val="100000000000" w:firstRow="1" w:lastRow="0" w:firstColumn="0" w:lastColumn="0" w:oddVBand="0" w:evenVBand="0" w:oddHBand="0" w:evenHBand="0" w:firstRowFirstColumn="0" w:firstRowLastColumn="0" w:lastRowFirstColumn="0" w:lastRowLastColumn="0"/>
          <w:cantSplit/>
          <w:trHeight w:val="1991"/>
        </w:trPr>
        <w:tc>
          <w:tcPr>
            <w:cnfStyle w:val="001000000000" w:firstRow="0" w:lastRow="0" w:firstColumn="1" w:lastColumn="0" w:oddVBand="0" w:evenVBand="0" w:oddHBand="0" w:evenHBand="0" w:firstRowFirstColumn="0" w:firstRowLastColumn="0" w:lastRowFirstColumn="0" w:lastRowLastColumn="0"/>
            <w:tcW w:w="1822" w:type="dxa"/>
            <w:hideMark/>
          </w:tcPr>
          <w:p w14:paraId="2A546155" w14:textId="77777777" w:rsidR="00A13819" w:rsidRPr="007A71A5" w:rsidRDefault="00A13819" w:rsidP="0035381F">
            <w:pPr>
              <w:keepNext/>
              <w:rPr>
                <w:lang w:eastAsia="en-GB"/>
              </w:rPr>
            </w:pPr>
            <w:r w:rsidRPr="007A71A5">
              <w:rPr>
                <w:lang w:eastAsia="en-GB"/>
              </w:rPr>
              <w:t> </w:t>
            </w:r>
          </w:p>
        </w:tc>
        <w:tc>
          <w:tcPr>
            <w:tcW w:w="1144" w:type="dxa"/>
            <w:textDirection w:val="btLr"/>
            <w:hideMark/>
          </w:tcPr>
          <w:p w14:paraId="0226CDF4" w14:textId="77777777" w:rsidR="00A13819" w:rsidRPr="007A71A5" w:rsidRDefault="00A13819" w:rsidP="004F4BA7">
            <w:pPr>
              <w:keepNext/>
              <w:ind w:left="113" w:right="113"/>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Current need</w:t>
            </w:r>
          </w:p>
        </w:tc>
        <w:tc>
          <w:tcPr>
            <w:tcW w:w="1145" w:type="dxa"/>
            <w:textDirection w:val="btLr"/>
            <w:hideMark/>
          </w:tcPr>
          <w:p w14:paraId="25B7B57A" w14:textId="77777777" w:rsidR="00A13819" w:rsidRPr="007A71A5" w:rsidRDefault="00A13819" w:rsidP="004F4BA7">
            <w:pPr>
              <w:keepNext/>
              <w:ind w:left="113" w:right="113"/>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Newly forming households</w:t>
            </w:r>
          </w:p>
        </w:tc>
        <w:tc>
          <w:tcPr>
            <w:tcW w:w="1144" w:type="dxa"/>
            <w:textDirection w:val="btLr"/>
            <w:hideMark/>
          </w:tcPr>
          <w:p w14:paraId="13B9C6C4" w14:textId="77777777" w:rsidR="00A13819" w:rsidRPr="007A71A5" w:rsidRDefault="00A13819" w:rsidP="004F4BA7">
            <w:pPr>
              <w:keepNext/>
              <w:ind w:left="113" w:right="113"/>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Existing households falling into need</w:t>
            </w:r>
          </w:p>
        </w:tc>
        <w:tc>
          <w:tcPr>
            <w:tcW w:w="1145" w:type="dxa"/>
            <w:textDirection w:val="btLr"/>
            <w:hideMark/>
          </w:tcPr>
          <w:p w14:paraId="590B1595" w14:textId="77777777" w:rsidR="00A13819" w:rsidRPr="007A71A5" w:rsidRDefault="00A13819" w:rsidP="004F4BA7">
            <w:pPr>
              <w:keepNext/>
              <w:ind w:left="113" w:right="113"/>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Total Gross Need</w:t>
            </w:r>
          </w:p>
        </w:tc>
        <w:tc>
          <w:tcPr>
            <w:tcW w:w="1144" w:type="dxa"/>
            <w:textDirection w:val="btLr"/>
            <w:hideMark/>
          </w:tcPr>
          <w:p w14:paraId="1947E0CE" w14:textId="77777777" w:rsidR="00A13819" w:rsidRPr="007A71A5" w:rsidRDefault="00A13819" w:rsidP="004F4BA7">
            <w:pPr>
              <w:keepNext/>
              <w:ind w:left="113" w:right="113"/>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Supply (50% of LQ Sales and Resales of SO homes)</w:t>
            </w:r>
          </w:p>
        </w:tc>
        <w:tc>
          <w:tcPr>
            <w:tcW w:w="1145" w:type="dxa"/>
            <w:textDirection w:val="btLr"/>
            <w:hideMark/>
          </w:tcPr>
          <w:p w14:paraId="7587F2FC" w14:textId="77777777" w:rsidR="00A13819" w:rsidRPr="007A71A5" w:rsidRDefault="00A13819" w:rsidP="004F4BA7">
            <w:pPr>
              <w:keepNext/>
              <w:ind w:left="113" w:right="113"/>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Net Need</w:t>
            </w:r>
          </w:p>
        </w:tc>
      </w:tr>
      <w:tr w:rsidR="007A71A5" w:rsidRPr="007A71A5" w14:paraId="5861EA21"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35A096C7" w14:textId="77777777" w:rsidR="00A13819" w:rsidRPr="004F4BA7" w:rsidRDefault="00A13819" w:rsidP="0035381F">
            <w:pPr>
              <w:keepNext/>
              <w:rPr>
                <w:bCs/>
                <w:lang w:eastAsia="en-GB"/>
              </w:rPr>
            </w:pPr>
            <w:r w:rsidRPr="004F4BA7">
              <w:rPr>
                <w:bCs/>
                <w:lang w:eastAsia="en-GB"/>
              </w:rPr>
              <w:t>Cambridge</w:t>
            </w:r>
          </w:p>
        </w:tc>
        <w:tc>
          <w:tcPr>
            <w:tcW w:w="1144" w:type="dxa"/>
            <w:hideMark/>
          </w:tcPr>
          <w:p w14:paraId="6CC528EE"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1145" w:type="dxa"/>
            <w:hideMark/>
          </w:tcPr>
          <w:p w14:paraId="62C02E17"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208</w:t>
            </w:r>
          </w:p>
        </w:tc>
        <w:tc>
          <w:tcPr>
            <w:tcW w:w="1144" w:type="dxa"/>
            <w:hideMark/>
          </w:tcPr>
          <w:p w14:paraId="01B51D79"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106</w:t>
            </w:r>
          </w:p>
        </w:tc>
        <w:tc>
          <w:tcPr>
            <w:tcW w:w="1145" w:type="dxa"/>
            <w:hideMark/>
          </w:tcPr>
          <w:p w14:paraId="1C385AC4"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349</w:t>
            </w:r>
          </w:p>
        </w:tc>
        <w:tc>
          <w:tcPr>
            <w:tcW w:w="1144" w:type="dxa"/>
            <w:hideMark/>
          </w:tcPr>
          <w:p w14:paraId="38FEC056"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150</w:t>
            </w:r>
          </w:p>
        </w:tc>
        <w:tc>
          <w:tcPr>
            <w:tcW w:w="1145" w:type="dxa"/>
            <w:hideMark/>
          </w:tcPr>
          <w:p w14:paraId="20257764"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199</w:t>
            </w:r>
          </w:p>
        </w:tc>
      </w:tr>
      <w:tr w:rsidR="007A71A5" w:rsidRPr="007A71A5" w14:paraId="5D8C83F7"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3F5FD3AC" w14:textId="77777777" w:rsidR="00A13819" w:rsidRPr="004F4BA7" w:rsidRDefault="00A13819" w:rsidP="0035381F">
            <w:pPr>
              <w:keepNext/>
              <w:rPr>
                <w:bCs/>
                <w:lang w:eastAsia="en-GB"/>
              </w:rPr>
            </w:pPr>
            <w:r w:rsidRPr="004F4BA7">
              <w:rPr>
                <w:bCs/>
                <w:lang w:eastAsia="en-GB"/>
              </w:rPr>
              <w:t>East Cambs</w:t>
            </w:r>
          </w:p>
        </w:tc>
        <w:tc>
          <w:tcPr>
            <w:tcW w:w="1144" w:type="dxa"/>
            <w:hideMark/>
          </w:tcPr>
          <w:p w14:paraId="5A484599"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w:t>
            </w:r>
          </w:p>
        </w:tc>
        <w:tc>
          <w:tcPr>
            <w:tcW w:w="1145" w:type="dxa"/>
            <w:hideMark/>
          </w:tcPr>
          <w:p w14:paraId="21A2EFCD"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141</w:t>
            </w:r>
          </w:p>
        </w:tc>
        <w:tc>
          <w:tcPr>
            <w:tcW w:w="1144" w:type="dxa"/>
            <w:hideMark/>
          </w:tcPr>
          <w:p w14:paraId="02D65090"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w:t>
            </w:r>
          </w:p>
        </w:tc>
        <w:tc>
          <w:tcPr>
            <w:tcW w:w="1145" w:type="dxa"/>
            <w:hideMark/>
          </w:tcPr>
          <w:p w14:paraId="72DD438E"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180</w:t>
            </w:r>
          </w:p>
        </w:tc>
        <w:tc>
          <w:tcPr>
            <w:tcW w:w="1144" w:type="dxa"/>
            <w:hideMark/>
          </w:tcPr>
          <w:p w14:paraId="2D7594FA"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142</w:t>
            </w:r>
          </w:p>
        </w:tc>
        <w:tc>
          <w:tcPr>
            <w:tcW w:w="1145" w:type="dxa"/>
            <w:hideMark/>
          </w:tcPr>
          <w:p w14:paraId="12E10514"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39</w:t>
            </w:r>
          </w:p>
        </w:tc>
      </w:tr>
      <w:tr w:rsidR="007A71A5" w:rsidRPr="007A71A5" w14:paraId="714F40B6"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72AF814E" w14:textId="77777777" w:rsidR="00A13819" w:rsidRPr="004F4BA7" w:rsidRDefault="00A13819" w:rsidP="0035381F">
            <w:pPr>
              <w:keepNext/>
              <w:rPr>
                <w:bCs/>
                <w:lang w:eastAsia="en-GB"/>
              </w:rPr>
            </w:pPr>
            <w:r w:rsidRPr="004F4BA7">
              <w:rPr>
                <w:bCs/>
                <w:lang w:eastAsia="en-GB"/>
              </w:rPr>
              <w:t>Fenland</w:t>
            </w:r>
          </w:p>
        </w:tc>
        <w:tc>
          <w:tcPr>
            <w:tcW w:w="1144" w:type="dxa"/>
            <w:hideMark/>
          </w:tcPr>
          <w:p w14:paraId="520080BA"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w:t>
            </w:r>
          </w:p>
        </w:tc>
        <w:tc>
          <w:tcPr>
            <w:tcW w:w="1145" w:type="dxa"/>
            <w:hideMark/>
          </w:tcPr>
          <w:p w14:paraId="78572EEB"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94</w:t>
            </w:r>
          </w:p>
        </w:tc>
        <w:tc>
          <w:tcPr>
            <w:tcW w:w="1144" w:type="dxa"/>
            <w:hideMark/>
          </w:tcPr>
          <w:p w14:paraId="43AFD4EC"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c>
          <w:tcPr>
            <w:tcW w:w="1145" w:type="dxa"/>
            <w:hideMark/>
          </w:tcPr>
          <w:p w14:paraId="4B883CC6"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125</w:t>
            </w:r>
          </w:p>
        </w:tc>
        <w:tc>
          <w:tcPr>
            <w:tcW w:w="1144" w:type="dxa"/>
            <w:hideMark/>
          </w:tcPr>
          <w:p w14:paraId="44904601"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183</w:t>
            </w:r>
          </w:p>
        </w:tc>
        <w:tc>
          <w:tcPr>
            <w:tcW w:w="1145" w:type="dxa"/>
            <w:hideMark/>
          </w:tcPr>
          <w:p w14:paraId="6DDA788A"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-58</w:t>
            </w:r>
          </w:p>
        </w:tc>
      </w:tr>
      <w:tr w:rsidR="007A71A5" w:rsidRPr="007A71A5" w14:paraId="4A04DDB3"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08728C9E" w14:textId="77777777" w:rsidR="00A13819" w:rsidRPr="004F4BA7" w:rsidRDefault="00A13819" w:rsidP="0035381F">
            <w:pPr>
              <w:keepNext/>
              <w:rPr>
                <w:bCs/>
                <w:lang w:eastAsia="en-GB"/>
              </w:rPr>
            </w:pPr>
            <w:r w:rsidRPr="004F4BA7">
              <w:rPr>
                <w:bCs/>
                <w:lang w:eastAsia="en-GB"/>
              </w:rPr>
              <w:t>Huntingdonshire</w:t>
            </w:r>
          </w:p>
        </w:tc>
        <w:tc>
          <w:tcPr>
            <w:tcW w:w="1144" w:type="dxa"/>
            <w:hideMark/>
          </w:tcPr>
          <w:p w14:paraId="2D893EAD"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w:t>
            </w:r>
          </w:p>
        </w:tc>
        <w:tc>
          <w:tcPr>
            <w:tcW w:w="1145" w:type="dxa"/>
            <w:hideMark/>
          </w:tcPr>
          <w:p w14:paraId="05362BF2"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267</w:t>
            </w:r>
          </w:p>
        </w:tc>
        <w:tc>
          <w:tcPr>
            <w:tcW w:w="1144" w:type="dxa"/>
            <w:hideMark/>
          </w:tcPr>
          <w:p w14:paraId="0A40A621"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57</w:t>
            </w:r>
          </w:p>
        </w:tc>
        <w:tc>
          <w:tcPr>
            <w:tcW w:w="1145" w:type="dxa"/>
            <w:hideMark/>
          </w:tcPr>
          <w:p w14:paraId="6D31F0D7"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343</w:t>
            </w:r>
          </w:p>
        </w:tc>
        <w:tc>
          <w:tcPr>
            <w:tcW w:w="1144" w:type="dxa"/>
            <w:hideMark/>
          </w:tcPr>
          <w:p w14:paraId="2FF1526E"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317</w:t>
            </w:r>
          </w:p>
        </w:tc>
        <w:tc>
          <w:tcPr>
            <w:tcW w:w="1145" w:type="dxa"/>
            <w:hideMark/>
          </w:tcPr>
          <w:p w14:paraId="57F41635"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w:t>
            </w:r>
          </w:p>
        </w:tc>
      </w:tr>
      <w:tr w:rsidR="007A71A5" w:rsidRPr="007A71A5" w14:paraId="0BCF3E3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37B9EBD4" w14:textId="77777777" w:rsidR="00A13819" w:rsidRPr="004F4BA7" w:rsidRDefault="00A13819" w:rsidP="0035381F">
            <w:pPr>
              <w:keepNext/>
              <w:rPr>
                <w:bCs/>
                <w:lang w:eastAsia="en-GB"/>
              </w:rPr>
            </w:pPr>
            <w:r w:rsidRPr="004F4BA7">
              <w:rPr>
                <w:bCs/>
                <w:lang w:eastAsia="en-GB"/>
              </w:rPr>
              <w:t>South Cambs</w:t>
            </w:r>
          </w:p>
        </w:tc>
        <w:tc>
          <w:tcPr>
            <w:tcW w:w="1144" w:type="dxa"/>
            <w:hideMark/>
          </w:tcPr>
          <w:p w14:paraId="7298E8A6"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17</w:t>
            </w:r>
          </w:p>
        </w:tc>
        <w:tc>
          <w:tcPr>
            <w:tcW w:w="1145" w:type="dxa"/>
            <w:hideMark/>
          </w:tcPr>
          <w:p w14:paraId="6F2210D4"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301</w:t>
            </w:r>
          </w:p>
        </w:tc>
        <w:tc>
          <w:tcPr>
            <w:tcW w:w="1144" w:type="dxa"/>
            <w:hideMark/>
          </w:tcPr>
          <w:p w14:paraId="08EC7DD8"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50</w:t>
            </w:r>
          </w:p>
        </w:tc>
        <w:tc>
          <w:tcPr>
            <w:tcW w:w="1145" w:type="dxa"/>
            <w:hideMark/>
          </w:tcPr>
          <w:p w14:paraId="73A47F70"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367</w:t>
            </w:r>
          </w:p>
        </w:tc>
        <w:tc>
          <w:tcPr>
            <w:tcW w:w="1144" w:type="dxa"/>
            <w:hideMark/>
          </w:tcPr>
          <w:p w14:paraId="08B9DFD4"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263</w:t>
            </w:r>
          </w:p>
        </w:tc>
        <w:tc>
          <w:tcPr>
            <w:tcW w:w="1145" w:type="dxa"/>
            <w:hideMark/>
          </w:tcPr>
          <w:p w14:paraId="5DCC9078"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105</w:t>
            </w:r>
          </w:p>
        </w:tc>
      </w:tr>
      <w:tr w:rsidR="007A71A5" w:rsidRPr="007A71A5" w14:paraId="05E18035"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28935A31" w14:textId="77777777" w:rsidR="00A13819" w:rsidRPr="004F4BA7" w:rsidRDefault="00A13819" w:rsidP="0035381F">
            <w:pPr>
              <w:keepNext/>
              <w:rPr>
                <w:bCs/>
                <w:lang w:eastAsia="en-GB"/>
              </w:rPr>
            </w:pPr>
            <w:r w:rsidRPr="004F4BA7">
              <w:rPr>
                <w:bCs/>
                <w:lang w:eastAsia="en-GB"/>
              </w:rPr>
              <w:t>West Suffolk</w:t>
            </w:r>
          </w:p>
        </w:tc>
        <w:tc>
          <w:tcPr>
            <w:tcW w:w="1144" w:type="dxa"/>
            <w:hideMark/>
          </w:tcPr>
          <w:p w14:paraId="37F7CDD6"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w:t>
            </w:r>
          </w:p>
        </w:tc>
        <w:tc>
          <w:tcPr>
            <w:tcW w:w="1145" w:type="dxa"/>
            <w:hideMark/>
          </w:tcPr>
          <w:p w14:paraId="38A061E2"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177</w:t>
            </w:r>
          </w:p>
        </w:tc>
        <w:tc>
          <w:tcPr>
            <w:tcW w:w="1144" w:type="dxa"/>
            <w:hideMark/>
          </w:tcPr>
          <w:p w14:paraId="7BD7FE74"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58</w:t>
            </w:r>
          </w:p>
        </w:tc>
        <w:tc>
          <w:tcPr>
            <w:tcW w:w="1145" w:type="dxa"/>
            <w:hideMark/>
          </w:tcPr>
          <w:p w14:paraId="2849A2CD"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255</w:t>
            </w:r>
          </w:p>
        </w:tc>
        <w:tc>
          <w:tcPr>
            <w:tcW w:w="1144" w:type="dxa"/>
            <w:hideMark/>
          </w:tcPr>
          <w:p w14:paraId="2BF7534A"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300</w:t>
            </w:r>
          </w:p>
        </w:tc>
        <w:tc>
          <w:tcPr>
            <w:tcW w:w="1145" w:type="dxa"/>
            <w:hideMark/>
          </w:tcPr>
          <w:p w14:paraId="4A42F5EE" w14:textId="77777777" w:rsidR="00A13819" w:rsidRPr="007A71A5" w:rsidRDefault="00A13819" w:rsidP="0035381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-45</w:t>
            </w:r>
          </w:p>
        </w:tc>
      </w:tr>
      <w:tr w:rsidR="007A71A5" w:rsidRPr="007A71A5" w14:paraId="77FD5B60"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822" w:type="dxa"/>
            <w:hideMark/>
          </w:tcPr>
          <w:p w14:paraId="37003571" w14:textId="77777777" w:rsidR="00A13819" w:rsidRPr="003A75AB" w:rsidRDefault="00A13819" w:rsidP="0035381F">
            <w:pPr>
              <w:keepNext/>
              <w:rPr>
                <w:b/>
                <w:lang w:eastAsia="en-GB"/>
              </w:rPr>
            </w:pPr>
            <w:r w:rsidRPr="003A75AB">
              <w:rPr>
                <w:b/>
                <w:lang w:eastAsia="en-GB"/>
              </w:rPr>
              <w:t>Study area</w:t>
            </w:r>
          </w:p>
        </w:tc>
        <w:tc>
          <w:tcPr>
            <w:tcW w:w="1144" w:type="dxa"/>
            <w:hideMark/>
          </w:tcPr>
          <w:p w14:paraId="1E0EEEC5" w14:textId="77777777" w:rsidR="00A13819" w:rsidRPr="004F4BA7" w:rsidRDefault="00A13819" w:rsidP="0035381F">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108</w:t>
            </w:r>
          </w:p>
        </w:tc>
        <w:tc>
          <w:tcPr>
            <w:tcW w:w="1145" w:type="dxa"/>
            <w:hideMark/>
          </w:tcPr>
          <w:p w14:paraId="3DEAB051" w14:textId="77777777" w:rsidR="00A13819" w:rsidRPr="004F4BA7" w:rsidRDefault="00A13819" w:rsidP="0035381F">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1,188</w:t>
            </w:r>
          </w:p>
        </w:tc>
        <w:tc>
          <w:tcPr>
            <w:tcW w:w="1144" w:type="dxa"/>
            <w:hideMark/>
          </w:tcPr>
          <w:p w14:paraId="6F7AE878" w14:textId="77777777" w:rsidR="00A13819" w:rsidRPr="004F4BA7" w:rsidRDefault="00A13819" w:rsidP="0035381F">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324</w:t>
            </w:r>
          </w:p>
        </w:tc>
        <w:tc>
          <w:tcPr>
            <w:tcW w:w="1145" w:type="dxa"/>
            <w:hideMark/>
          </w:tcPr>
          <w:p w14:paraId="593523A7" w14:textId="77777777" w:rsidR="00A13819" w:rsidRPr="004F4BA7" w:rsidRDefault="00A13819" w:rsidP="0035381F">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1,620</w:t>
            </w:r>
          </w:p>
        </w:tc>
        <w:tc>
          <w:tcPr>
            <w:tcW w:w="1144" w:type="dxa"/>
            <w:hideMark/>
          </w:tcPr>
          <w:p w14:paraId="66A59269" w14:textId="77777777" w:rsidR="00A13819" w:rsidRPr="004F4BA7" w:rsidRDefault="00A13819" w:rsidP="0035381F">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1,354</w:t>
            </w:r>
          </w:p>
        </w:tc>
        <w:tc>
          <w:tcPr>
            <w:tcW w:w="1145" w:type="dxa"/>
            <w:hideMark/>
          </w:tcPr>
          <w:p w14:paraId="78EEB0B0" w14:textId="77777777" w:rsidR="00A13819" w:rsidRPr="004F4BA7" w:rsidRDefault="00A13819" w:rsidP="0035381F">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266</w:t>
            </w:r>
          </w:p>
        </w:tc>
      </w:tr>
    </w:tbl>
    <w:p w14:paraId="4DA7736D" w14:textId="4F4FADC9" w:rsidR="00A13819" w:rsidRDefault="00A13819" w:rsidP="0035381F">
      <w:pPr>
        <w:pStyle w:val="Bodytextwithindent"/>
        <w:keepNext/>
        <w:spacing w:before="0" w:after="120"/>
      </w:pPr>
      <w:r>
        <w:t xml:space="preserve"> </w:t>
      </w:r>
      <w:r w:rsidRPr="007D0FBF">
        <w:rPr>
          <w:sz w:val="24"/>
          <w:szCs w:val="22"/>
        </w:rPr>
        <w:t xml:space="preserve">Source: Derived from EHS, Housing Market Cost Analysis and Affordability </w:t>
      </w:r>
    </w:p>
    <w:p w14:paraId="2C03F8B0" w14:textId="77777777" w:rsidR="00A13819" w:rsidRDefault="00A13819" w:rsidP="007D0FBF">
      <w:pPr>
        <w:pStyle w:val="Heading3"/>
      </w:pPr>
      <w:r>
        <w:t>Implications of the Analysis</w:t>
      </w:r>
    </w:p>
    <w:p w14:paraId="2F68347B" w14:textId="77777777" w:rsidR="00A13819" w:rsidRDefault="00A13819" w:rsidP="007D0FBF">
      <w:pPr>
        <w:pStyle w:val="11Bodytext"/>
      </w:pPr>
      <w:r>
        <w:t>Given the analysis above, it would be reasonable to conclude that there is only a limited need to provide housing under the new definition of ‘affordable home ownership’ in many parts of the study area.</w:t>
      </w:r>
    </w:p>
    <w:p w14:paraId="4BB22388" w14:textId="77777777" w:rsidR="00A13819" w:rsidRDefault="00A13819" w:rsidP="007D0FBF">
      <w:pPr>
        <w:pStyle w:val="11Bodytext"/>
      </w:pPr>
      <w:r>
        <w:t>In Cambridge and South Cambridgeshire (and to a lesser extent East Cambridgeshire and Huntingdonshire), the analysis identifies a potential need, although these locations (like elsewhere in the study area) also show an acute need for rented affordable housing (social/affordable rents).</w:t>
      </w:r>
    </w:p>
    <w:p w14:paraId="0C09F1E0" w14:textId="77777777" w:rsidR="00A13819" w:rsidRDefault="00A13819" w:rsidP="007D0FBF">
      <w:pPr>
        <w:pStyle w:val="11Bodytext"/>
      </w:pPr>
      <w:r>
        <w:t xml:space="preserve">Regardless of the potential finding of no net need in Fenland and West Suffolk, it is the case that many households here and elsewhere in the study area are being excluded from the owner-occupied sector (including in those areas where the cost of housing is lowest).  It is also clear that some low cost home ownership products have gained traction even in Fenland and West Suffolk. </w:t>
      </w:r>
    </w:p>
    <w:p w14:paraId="7490CD34" w14:textId="77777777" w:rsidR="00A13819" w:rsidRDefault="00A13819" w:rsidP="007D0FBF">
      <w:pPr>
        <w:pStyle w:val="11Bodytext"/>
      </w:pPr>
      <w:r>
        <w:t xml:space="preserve">This can be seen in the analysis of tenure change set out elsewhere in this report, which saw the number of households living in private rented accommodation in the HMA increasing by 4.2% points from 2001 to 2011 with likely further increases since. Over the same period, the number of owners with a mortgage dropped (by </w:t>
      </w:r>
      <w:r>
        <w:lastRenderedPageBreak/>
        <w:t>6.4% points). That said, some households will choose to privately rent, for example as it is a more flexible option that may be more suitable for a household’s life stage (</w:t>
      </w:r>
      <w:proofErr w:type="gramStart"/>
      <w:r>
        <w:t>e.g.</w:t>
      </w:r>
      <w:proofErr w:type="gramEnd"/>
      <w:r>
        <w:t xml:space="preserve"> if moving locations with employment).</w:t>
      </w:r>
    </w:p>
    <w:p w14:paraId="721D31E2" w14:textId="77777777" w:rsidR="00A13819" w:rsidRDefault="00A13819" w:rsidP="007D0FBF">
      <w:pPr>
        <w:pStyle w:val="11Bodytext"/>
      </w:pPr>
      <w:r>
        <w:t>On this basis, and as previously noted, it seems likely that access to owner-occupation is being restricted by access to capital (</w:t>
      </w:r>
      <w:proofErr w:type="gramStart"/>
      <w:r>
        <w:t>e.g.</w:t>
      </w:r>
      <w:proofErr w:type="gramEnd"/>
      <w:r>
        <w:t xml:space="preserve"> for deposits, stamp duty, legal costs) as well as potentially some mortgage restrictions (e.g. where employment is temporary) rather than simply being due to the cost of housing to buy.</w:t>
      </w:r>
    </w:p>
    <w:p w14:paraId="650F9DD1" w14:textId="77777777" w:rsidR="00A13819" w:rsidRDefault="00A13819" w:rsidP="007D0FBF">
      <w:pPr>
        <w:pStyle w:val="11Bodytext"/>
      </w:pPr>
      <w:r>
        <w:t xml:space="preserve">Hence, whilst the NPPF gives a clear direction that at least 10% of all new housing (on larger sites (10 or more homes)) should be for affordable home ownership, it is not clear that this is the best solution across the study area. The NPPF does provide some examples of where the 10% might not be required (paragraph 64), most notably that the 10% would be expected unless this would </w:t>
      </w:r>
      <w:r w:rsidRPr="00526C6E">
        <w:rPr>
          <w:i/>
          <w:iCs/>
        </w:rPr>
        <w:t xml:space="preserve">‘significantly prejudice the ability to meet the identified affordable housing needs of specific </w:t>
      </w:r>
      <w:proofErr w:type="gramStart"/>
      <w:r w:rsidRPr="00526C6E">
        <w:rPr>
          <w:i/>
          <w:iCs/>
        </w:rPr>
        <w:t>groups’</w:t>
      </w:r>
      <w:proofErr w:type="gramEnd"/>
      <w:r>
        <w:t xml:space="preserve">. </w:t>
      </w:r>
    </w:p>
    <w:p w14:paraId="2326385D" w14:textId="77777777" w:rsidR="00A13819" w:rsidRDefault="00A13819" w:rsidP="007D0FBF">
      <w:pPr>
        <w:pStyle w:val="11Bodytext"/>
      </w:pPr>
      <w:r>
        <w:t xml:space="preserve">In the HMA and for each local authority in it, the clear need for additional rented housing would arguably mean that providing affordable home ownership would ‘prejudice the ability’ to meet all the needs of the ‘specific group’ requiring rented accommodation. The acute need for rented affordable housing means that a supply of rented affordable housing must be maintained to meet the needs of this group including those to which the authorities have a statutory housing duty. </w:t>
      </w:r>
    </w:p>
    <w:p w14:paraId="0C4D0EAC" w14:textId="77777777" w:rsidR="00A13819" w:rsidRDefault="00A13819" w:rsidP="007D0FBF">
      <w:pPr>
        <w:pStyle w:val="11Bodytext"/>
      </w:pPr>
      <w:r>
        <w:t>Such housing is notably cheaper than that available in the open market and can be accessed by many more households (some of whom may be supported by benefit payments). Notably, social rents also enable access to employment for lower-income families.</w:t>
      </w:r>
    </w:p>
    <w:p w14:paraId="03388985" w14:textId="77777777" w:rsidR="00A13819" w:rsidRDefault="00A13819" w:rsidP="007D0FBF">
      <w:pPr>
        <w:pStyle w:val="11Bodytext"/>
      </w:pPr>
      <w:r>
        <w:t xml:space="preserve">Given the analysis above, it would be reasonable to conclude, there is only a limited need to provide housing under the new definition of ‘affordable home ownership’ in most of the HMA, with the possible exception of Cambridge and </w:t>
      </w:r>
      <w:r>
        <w:lastRenderedPageBreak/>
        <w:t xml:space="preserve">South Cambridgeshire.   Whilst there are some households in the gap between renting and buying, they in many cases will be able to afford homes below lower quartile housing costs.  As a </w:t>
      </w:r>
      <w:proofErr w:type="gramStart"/>
      <w:r>
        <w:t>result</w:t>
      </w:r>
      <w:proofErr w:type="gramEnd"/>
      <w:r>
        <w:t xml:space="preserve"> the 10% requirement in the NPPF would be an over-supply if applied across the HMA.</w:t>
      </w:r>
    </w:p>
    <w:p w14:paraId="2B006D2A" w14:textId="77777777" w:rsidR="00A13819" w:rsidRDefault="00A13819" w:rsidP="007D0FBF">
      <w:pPr>
        <w:pStyle w:val="11Bodytext"/>
      </w:pPr>
      <w:r>
        <w:t xml:space="preserve">That said, an approach which seeks less than 10% of new homes as affordable home ownership products would be contrary to the NPPF and is therefore not without risk. </w:t>
      </w:r>
    </w:p>
    <w:p w14:paraId="4A68A06D" w14:textId="77777777" w:rsidR="00A13819" w:rsidRDefault="00A13819" w:rsidP="007D0FBF">
      <w:pPr>
        <w:pStyle w:val="11Bodytext"/>
      </w:pPr>
      <w:r>
        <w:t>Furthermore, it is important to recognise that some households will have insufficient savings to be able to afford to buy a home on the open market (in terms of the ability to afford both a deposit and stamp duty) and low-cost home ownership homes – and shared ownership homes/rent to buy models in particular – will, therefore, continue to play a role in supporting some households in this respect because these upfront payments are not required.</w:t>
      </w:r>
    </w:p>
    <w:p w14:paraId="2ADF60F9" w14:textId="77777777" w:rsidR="00A13819" w:rsidRDefault="00A13819" w:rsidP="007D0FBF">
      <w:pPr>
        <w:pStyle w:val="11Bodytext"/>
      </w:pPr>
      <w:r>
        <w:t>The viability of different products should also be a consideration when deciding on the level of affordable home ownership housing to support. This is because some products (such as Social Rented dwellings) are more costly to provide than others and will therefore deliver fewer in numbers.  Furthermore, low cost home ownership products can also be used to support development viability.</w:t>
      </w:r>
    </w:p>
    <w:p w14:paraId="5697EF19" w14:textId="77777777" w:rsidR="00A13819" w:rsidRDefault="00A13819" w:rsidP="007D0FBF">
      <w:pPr>
        <w:pStyle w:val="11Bodytext"/>
      </w:pPr>
      <w:r>
        <w:t xml:space="preserve">In some parts of the HMA, where viability is more challenging, it may be appropriate for the emphasis to be on affordable home ownership products in order to cross-subsidize rental units. Where there is greater scope for affordable and social rented homes a sensible approach would be to deliver rental products in these locations. </w:t>
      </w:r>
    </w:p>
    <w:p w14:paraId="1DBC663B" w14:textId="77777777" w:rsidR="00A13819" w:rsidRDefault="00A13819" w:rsidP="007D0FBF">
      <w:pPr>
        <w:pStyle w:val="11Bodytext"/>
      </w:pPr>
      <w:r>
        <w:t xml:space="preserve">A further consideration is that the purpose of the HMA is that housing needs should be addressed at this geographical level, rather than the level of the individual local authorities, with attendant infrastructure investments that enable households from across the HMA to access jobs within reasonable commuting times. Questions of </w:t>
      </w:r>
      <w:r>
        <w:lastRenderedPageBreak/>
        <w:t xml:space="preserve">this kind should be addressed at a multi-council level through the Duty to Co-operate </w:t>
      </w:r>
    </w:p>
    <w:p w14:paraId="5FAA983C" w14:textId="77777777" w:rsidR="00A13819" w:rsidRDefault="00A13819" w:rsidP="007D0FBF">
      <w:pPr>
        <w:pStyle w:val="11Bodytext"/>
      </w:pPr>
      <w:r>
        <w:t xml:space="preserve">On balance, it would therefore seem reasonable for the Councils to meet the NPPF requirement for 10% of all new homes to be affordable home ownership on eligible sites but there is limited evidence to suggest any district should exceed this proportion. </w:t>
      </w:r>
    </w:p>
    <w:p w14:paraId="2E9F157B" w14:textId="77777777" w:rsidR="00A13819" w:rsidRDefault="00A13819" w:rsidP="007D0FBF">
      <w:pPr>
        <w:pStyle w:val="11Bodytext"/>
      </w:pPr>
      <w:r>
        <w:t xml:space="preserve">This is further supported by work undertaken by </w:t>
      </w:r>
      <w:hyperlink r:id="rId44" w:history="1">
        <w:r w:rsidRPr="007D0FBF">
          <w:rPr>
            <w:rStyle w:val="Hyperlink"/>
            <w:color w:val="auto"/>
            <w:shd w:val="clear" w:color="auto" w:fill="E6E6E6"/>
          </w:rPr>
          <w:t>Savills</w:t>
        </w:r>
      </w:hyperlink>
      <w:r>
        <w:t xml:space="preserve"> in 2017 on behalf of the Greater Cambridge authorities</w:t>
      </w:r>
      <w:r>
        <w:rPr>
          <w:rStyle w:val="FootnoteReference"/>
        </w:rPr>
        <w:footnoteReference w:id="18"/>
      </w:r>
      <w:r>
        <w:t xml:space="preserve">.  The report examined the affordability of different tenures of homes in the area and included commentary on the suitability of different tenures to meet the needs of households on lower incomes. </w:t>
      </w:r>
    </w:p>
    <w:p w14:paraId="2807E7CD" w14:textId="77777777" w:rsidR="00A13819" w:rsidRDefault="00A13819" w:rsidP="007D0FBF">
      <w:pPr>
        <w:pStyle w:val="11Bodytext"/>
      </w:pPr>
      <w:r>
        <w:t xml:space="preserve">The report observed that there was a large gap in provision for households with annual incomes of £20,000 to £40,000 and that discounted rental homes are likely to be the only option to meet need in the City of Cambridge at this income level. </w:t>
      </w:r>
    </w:p>
    <w:p w14:paraId="52546E53" w14:textId="77777777" w:rsidR="00A13819" w:rsidRDefault="00A13819" w:rsidP="007D0FBF">
      <w:pPr>
        <w:pStyle w:val="11Bodytext"/>
      </w:pPr>
      <w:r>
        <w:t>The report also identified a very substantial level of need for the most affordable tenures, a category of need for which affordable home ownership products are not suited but affordable and social rent would be. However, the report went on to identify that there was, nevertheless, a lack of market supply for households with below average incomes, suggesting that low-cost market homes, including affordable home ownership, could form an appropriate part of the housing mix in the area.  This would substantiate the 10% identified in the NPPF and the analysis above.</w:t>
      </w:r>
    </w:p>
    <w:p w14:paraId="0C19519A" w14:textId="77777777" w:rsidR="00A13819" w:rsidRDefault="00A13819" w:rsidP="007D0FBF">
      <w:pPr>
        <w:pStyle w:val="Heading2"/>
      </w:pPr>
      <w:r>
        <w:t>How Much Should Affordable Home Ownership Homes Cost?</w:t>
      </w:r>
    </w:p>
    <w:p w14:paraId="425C468E" w14:textId="77777777" w:rsidR="00A13819" w:rsidRDefault="00A13819" w:rsidP="007D0FBF">
      <w:pPr>
        <w:pStyle w:val="11Bodytext"/>
      </w:pPr>
      <w:r>
        <w:t xml:space="preserve">The analysis and discussion above </w:t>
      </w:r>
      <w:proofErr w:type="gramStart"/>
      <w:r>
        <w:t>suggests</w:t>
      </w:r>
      <w:proofErr w:type="gramEnd"/>
      <w:r>
        <w:t xml:space="preserve"> that some households fall under the widened NPPF definition of affordable housing need (i.e. in the gap between renting and buying) but that the potential supply of housing to buy makes it difficult to fully quantify this need. However, given the requirements of the NPPF, it seems </w:t>
      </w:r>
      <w:r>
        <w:lastRenderedPageBreak/>
        <w:t>likely that the Councils may need to consider some homes on larger sites (10+ units) being affordable home ownership.</w:t>
      </w:r>
    </w:p>
    <w:p w14:paraId="690B859B" w14:textId="77777777" w:rsidR="00A13819" w:rsidRDefault="00A13819" w:rsidP="007D0FBF">
      <w:pPr>
        <w:pStyle w:val="11Bodytext"/>
      </w:pPr>
      <w:r>
        <w:t xml:space="preserve">Although there is a range of products that would potentially be classified as affordable home ownership, it seems likely that the main two tenures, for now, will be Discounted Market Sale Housing and Shared Ownership. </w:t>
      </w:r>
    </w:p>
    <w:p w14:paraId="7A118B35" w14:textId="77777777" w:rsidR="00A13819" w:rsidRDefault="00A13819" w:rsidP="007D0FBF">
      <w:pPr>
        <w:pStyle w:val="11Bodytext"/>
      </w:pPr>
      <w:r>
        <w:t>It is worth noting the existence of other affordable home ownership products, for example “rent to buy”. This tenure enables households to rent their home at 80% of market rents allowing them to save for a deposit for either a share or full ownership of their new home. Nationally, this tenure has had limited take-up from the development industry. However, if priced affordably, it should be welcomed if proposed within a mix of affordable tenures.</w:t>
      </w:r>
    </w:p>
    <w:p w14:paraId="0E1672C8" w14:textId="77777777" w:rsidR="00A13819" w:rsidRDefault="00A13819" w:rsidP="007D0FBF">
      <w:pPr>
        <w:pStyle w:val="11Bodytext"/>
      </w:pPr>
      <w:r>
        <w:t>If these products are to be provided, it will be important for the Councils to ensure that such homes are sold at a price that is genuinely affordable for the intended target group. The analysis below, therefore, considers the potential costs (in a local context) of Discounted Market Sales Housing and Shared Ownership.</w:t>
      </w:r>
    </w:p>
    <w:p w14:paraId="0E3E2652" w14:textId="77777777" w:rsidR="00A13819" w:rsidRDefault="00A13819" w:rsidP="007D0FBF">
      <w:pPr>
        <w:pStyle w:val="11Bodytext"/>
      </w:pPr>
      <w:r>
        <w:t xml:space="preserve">In the context of Cambridgeshire and West Suffolk, Shared Ownership and Discount Market Sales Housing are the most appropriate of the low-cost home ownership products as these will reach the widest and lowest-earning population base. </w:t>
      </w:r>
    </w:p>
    <w:p w14:paraId="0150CC18" w14:textId="77777777" w:rsidR="00A13819" w:rsidRDefault="00A13819" w:rsidP="007D0FBF">
      <w:pPr>
        <w:pStyle w:val="11Bodytext"/>
      </w:pPr>
      <w:r>
        <w:t xml:space="preserve">However, the Councils should consider other affordable products as proposed by the development industry, as long as they are truly affordable and meet an identified local need. </w:t>
      </w:r>
    </w:p>
    <w:p w14:paraId="13B25FF5" w14:textId="77777777" w:rsidR="00A13819" w:rsidRDefault="00A13819" w:rsidP="007D0FBF">
      <w:pPr>
        <w:pStyle w:val="Heading2"/>
      </w:pPr>
      <w:r>
        <w:t>Discounted Market Sales Housing</w:t>
      </w:r>
    </w:p>
    <w:p w14:paraId="3D17E610" w14:textId="77777777" w:rsidR="00A13819" w:rsidRDefault="00A13819" w:rsidP="007D0FBF">
      <w:pPr>
        <w:pStyle w:val="11Bodytext"/>
      </w:pPr>
      <w:r>
        <w:t xml:space="preserve">The preferred approach in this report is to set out a series of affordable purchase costs for different sizes of accommodation. These are based on current lower quartile prices and the consideration of the income required to access the PRS and then estimating what property price this level of income might support </w:t>
      </w:r>
      <w:r>
        <w:lastRenderedPageBreak/>
        <w:t>(assuming a 10% deposit and a 4.5 times mortgage multiple). Below is an example of a calculation based on a 2-bedroom home in Cambridge:</w:t>
      </w:r>
    </w:p>
    <w:p w14:paraId="58E1D1A9" w14:textId="6BE37710" w:rsidR="00A13819" w:rsidRDefault="00A13819" w:rsidP="00097650">
      <w:pPr>
        <w:pStyle w:val="10BulletBodytext"/>
      </w:pPr>
      <w:r>
        <w:t xml:space="preserve">Previous analysis has shown in Table </w:t>
      </w:r>
      <w:r w:rsidR="00EA54B1">
        <w:t>27</w:t>
      </w:r>
      <w:r>
        <w:t>, the lower quartile rent for a 2-bedroom home in the City is £1,075 per month;</w:t>
      </w:r>
    </w:p>
    <w:p w14:paraId="6A351A75" w14:textId="77777777" w:rsidR="00A13819" w:rsidRDefault="00A13819" w:rsidP="00097650">
      <w:pPr>
        <w:pStyle w:val="10BulletBodytext"/>
      </w:pPr>
      <w:r>
        <w:t xml:space="preserve">Based the assumption that a household spends no more than 35% of their income on housing, a household would </w:t>
      </w:r>
      <w:r>
        <w:rPr>
          <w:rFonts w:eastAsia="Times New Roman"/>
        </w:rPr>
        <w:t>need an income of £3,100 per month to afford it (1,075/0.35) or £37,000 per annum (rounded);</w:t>
      </w:r>
    </w:p>
    <w:p w14:paraId="1244E115" w14:textId="77777777" w:rsidR="00A13819" w:rsidRDefault="00A13819" w:rsidP="00097650">
      <w:pPr>
        <w:pStyle w:val="10BulletBodytext"/>
      </w:pPr>
      <w:r>
        <w:t xml:space="preserve">With an income of £37,000, it is estimated that a household could afford to buy a home for around £185,000. This is based on assuming a 10% deposit (90% of sale value) and a four and a half times mortgage multiple – calculated as 37,000×4.5/0.9; </w:t>
      </w:r>
    </w:p>
    <w:p w14:paraId="777BAFA7" w14:textId="189BD3E8" w:rsidR="00A13819" w:rsidRDefault="00A13819" w:rsidP="00097650">
      <w:pPr>
        <w:pStyle w:val="10BulletBodytext"/>
      </w:pPr>
      <w:r>
        <w:t>The lower quartile price to buy a 2-bedroom home is estimated to be around £300,000 and the midpoint of the two figures (£185,000 and £300,000) is £242,000 (rounded);</w:t>
      </w:r>
    </w:p>
    <w:p w14:paraId="5F0E8F61" w14:textId="77777777" w:rsidR="00A13819" w:rsidRDefault="00A13819" w:rsidP="00097650">
      <w:pPr>
        <w:pStyle w:val="10BulletBodytext"/>
      </w:pPr>
      <w:r>
        <w:t>£242,000 is a suggested purchase price to make discounted home ownership affordable for around half of the group of households in the rent/buy gap</w:t>
      </w:r>
      <w:r>
        <w:rPr>
          <w:rStyle w:val="FootnoteReference"/>
        </w:rPr>
        <w:footnoteReference w:id="19"/>
      </w:r>
      <w:r>
        <w:t>;</w:t>
      </w:r>
    </w:p>
    <w:p w14:paraId="4C9F63DD" w14:textId="77777777" w:rsidR="00A13819" w:rsidRDefault="00A13819" w:rsidP="00097650">
      <w:pPr>
        <w:pStyle w:val="10BulletBodytext"/>
      </w:pPr>
      <w:r>
        <w:t>To estimate what level of discount this might represent, it has been assumed that the Open Market Value (OMV) of a home would be 15% above the overall lower quartile price (15% is a typical national newbuild ‘premium’); and</w:t>
      </w:r>
    </w:p>
    <w:p w14:paraId="19C6F725" w14:textId="77777777" w:rsidR="00A13819" w:rsidRDefault="00A13819" w:rsidP="00097650">
      <w:pPr>
        <w:pStyle w:val="10BulletBodytext"/>
      </w:pPr>
      <w:r>
        <w:t>In this instance, the price of £242,000 would be around 70% of an estimated newbuild OMV (£345,000, calculated as £300,000×1.15) and therefore a 30% discount would be appropriate.</w:t>
      </w:r>
    </w:p>
    <w:p w14:paraId="01040277" w14:textId="77777777" w:rsidR="00A13819" w:rsidRDefault="00A13819" w:rsidP="007D0FBF">
      <w:pPr>
        <w:pStyle w:val="11Bodytext"/>
      </w:pPr>
      <w:r>
        <w:t>On this basis for a 2-bedroom affordable home ownership property to be affordable to households able to rent but not buy in Cambridge it should be priced at £242,000. This sale price will meet the needs of around half of households in the gap between buying and renting. Setting higher prices would reduce the number of households who could afford this option.</w:t>
      </w:r>
    </w:p>
    <w:p w14:paraId="11DF2F4E" w14:textId="0E38AC39" w:rsidR="00A13819" w:rsidRPr="00526C6E" w:rsidRDefault="00A13819" w:rsidP="007D0FBF">
      <w:pPr>
        <w:pStyle w:val="11Bodytext"/>
        <w:rPr>
          <w:b/>
        </w:rPr>
      </w:pPr>
      <w:r>
        <w:t xml:space="preserve">The table below sets out a suggested purchase price for discount market sales in each local authority using the methodology and data sources set out </w:t>
      </w:r>
      <w:proofErr w:type="gramStart"/>
      <w:r w:rsidR="00BF155B">
        <w:t xml:space="preserve">earlier </w:t>
      </w:r>
      <w:r>
        <w:t>.</w:t>
      </w:r>
      <w:proofErr w:type="gramEnd"/>
      <w:r>
        <w:t xml:space="preserve"> No figure is provided for 1-bedroom homes in Fenland as purchase prices are already affordable when compared with renting (albeit with a limited supply). </w:t>
      </w:r>
    </w:p>
    <w:p w14:paraId="3A266CEC" w14:textId="77777777" w:rsidR="00A13819" w:rsidRDefault="00A13819" w:rsidP="003D5E23">
      <w:pPr>
        <w:pStyle w:val="Tableheading"/>
        <w:numPr>
          <w:ilvl w:val="0"/>
          <w:numId w:val="54"/>
        </w:numPr>
      </w:pPr>
      <w:r>
        <w:lastRenderedPageBreak/>
        <w:t>Discounted Market Sales Housing Prices (Based on data in the year to March 2020)</w:t>
      </w:r>
    </w:p>
    <w:tbl>
      <w:tblPr>
        <w:tblStyle w:val="TableGridLight1"/>
        <w:tblW w:w="8535" w:type="dxa"/>
        <w:tblInd w:w="816" w:type="dxa"/>
        <w:tblLook w:val="04A0" w:firstRow="1" w:lastRow="0" w:firstColumn="1" w:lastColumn="0" w:noHBand="0" w:noVBand="1"/>
      </w:tblPr>
      <w:tblGrid>
        <w:gridCol w:w="2042"/>
        <w:gridCol w:w="1623"/>
        <w:gridCol w:w="1623"/>
        <w:gridCol w:w="1623"/>
        <w:gridCol w:w="1624"/>
      </w:tblGrid>
      <w:tr w:rsidR="007A71A5" w:rsidRPr="007A71A5" w14:paraId="037B40B4" w14:textId="77777777" w:rsidTr="007A71A5">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42" w:type="dxa"/>
            <w:hideMark/>
          </w:tcPr>
          <w:p w14:paraId="6F2D77CE" w14:textId="77777777" w:rsidR="00A13819" w:rsidRPr="007A71A5" w:rsidRDefault="00A13819" w:rsidP="007D0FBF">
            <w:pPr>
              <w:keepNext/>
              <w:rPr>
                <w:lang w:eastAsia="en-GB"/>
              </w:rPr>
            </w:pPr>
            <w:r w:rsidRPr="007A71A5">
              <w:rPr>
                <w:lang w:eastAsia="en-GB"/>
              </w:rPr>
              <w:t> </w:t>
            </w:r>
          </w:p>
        </w:tc>
        <w:tc>
          <w:tcPr>
            <w:tcW w:w="1623" w:type="dxa"/>
            <w:hideMark/>
          </w:tcPr>
          <w:p w14:paraId="3E5A08BB" w14:textId="77777777" w:rsidR="00A13819" w:rsidRPr="007A71A5"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1-bedroom</w:t>
            </w:r>
          </w:p>
        </w:tc>
        <w:tc>
          <w:tcPr>
            <w:tcW w:w="1623" w:type="dxa"/>
            <w:hideMark/>
          </w:tcPr>
          <w:p w14:paraId="1F0DC12E" w14:textId="77777777" w:rsidR="00A13819" w:rsidRPr="007A71A5"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2-bedrooms</w:t>
            </w:r>
          </w:p>
        </w:tc>
        <w:tc>
          <w:tcPr>
            <w:tcW w:w="1623" w:type="dxa"/>
            <w:hideMark/>
          </w:tcPr>
          <w:p w14:paraId="6DB8D3FB" w14:textId="77777777" w:rsidR="00A13819" w:rsidRPr="007A71A5"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3-bedrooms</w:t>
            </w:r>
          </w:p>
        </w:tc>
        <w:tc>
          <w:tcPr>
            <w:tcW w:w="1624" w:type="dxa"/>
            <w:hideMark/>
          </w:tcPr>
          <w:p w14:paraId="66A92EF4" w14:textId="77777777" w:rsidR="00A13819" w:rsidRPr="007A71A5"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 bedrooms</w:t>
            </w:r>
          </w:p>
        </w:tc>
      </w:tr>
      <w:tr w:rsidR="007A71A5" w:rsidRPr="007A71A5" w14:paraId="2DFEE6AD" w14:textId="77777777" w:rsidTr="007A71A5">
        <w:trPr>
          <w:trHeight w:val="300"/>
        </w:trPr>
        <w:tc>
          <w:tcPr>
            <w:cnfStyle w:val="001000000000" w:firstRow="0" w:lastRow="0" w:firstColumn="1" w:lastColumn="0" w:oddVBand="0" w:evenVBand="0" w:oddHBand="0" w:evenHBand="0" w:firstRowFirstColumn="0" w:firstRowLastColumn="0" w:lastRowFirstColumn="0" w:lastRowLastColumn="0"/>
            <w:tcW w:w="2042" w:type="dxa"/>
            <w:hideMark/>
          </w:tcPr>
          <w:p w14:paraId="2A6DE8BF" w14:textId="77777777" w:rsidR="00A13819" w:rsidRPr="004F4BA7" w:rsidRDefault="00A13819" w:rsidP="007D0FBF">
            <w:pPr>
              <w:keepNext/>
              <w:jc w:val="both"/>
              <w:rPr>
                <w:bCs/>
                <w:lang w:eastAsia="en-GB"/>
              </w:rPr>
            </w:pPr>
            <w:r w:rsidRPr="004F4BA7">
              <w:rPr>
                <w:bCs/>
                <w:lang w:eastAsia="en-GB"/>
              </w:rPr>
              <w:t>Cambridge</w:t>
            </w:r>
          </w:p>
        </w:tc>
        <w:tc>
          <w:tcPr>
            <w:tcW w:w="1623" w:type="dxa"/>
            <w:hideMark/>
          </w:tcPr>
          <w:p w14:paraId="5586B96F"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£186,000</w:t>
            </w:r>
          </w:p>
        </w:tc>
        <w:tc>
          <w:tcPr>
            <w:tcW w:w="1623" w:type="dxa"/>
            <w:hideMark/>
          </w:tcPr>
          <w:p w14:paraId="2C84AD32"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£242,000</w:t>
            </w:r>
          </w:p>
        </w:tc>
        <w:tc>
          <w:tcPr>
            <w:tcW w:w="1623" w:type="dxa"/>
            <w:hideMark/>
          </w:tcPr>
          <w:p w14:paraId="78F510C8"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£301,000</w:t>
            </w:r>
          </w:p>
        </w:tc>
        <w:tc>
          <w:tcPr>
            <w:tcW w:w="1624" w:type="dxa"/>
            <w:hideMark/>
          </w:tcPr>
          <w:p w14:paraId="6C91BCA5"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£415,000</w:t>
            </w:r>
          </w:p>
        </w:tc>
      </w:tr>
      <w:tr w:rsidR="007A71A5" w:rsidRPr="007A71A5" w14:paraId="664CB3E4" w14:textId="77777777" w:rsidTr="007A71A5">
        <w:trPr>
          <w:trHeight w:val="300"/>
        </w:trPr>
        <w:tc>
          <w:tcPr>
            <w:cnfStyle w:val="001000000000" w:firstRow="0" w:lastRow="0" w:firstColumn="1" w:lastColumn="0" w:oddVBand="0" w:evenVBand="0" w:oddHBand="0" w:evenHBand="0" w:firstRowFirstColumn="0" w:firstRowLastColumn="0" w:lastRowFirstColumn="0" w:lastRowLastColumn="0"/>
            <w:tcW w:w="2042" w:type="dxa"/>
            <w:hideMark/>
          </w:tcPr>
          <w:p w14:paraId="26E44182" w14:textId="77777777" w:rsidR="00A13819" w:rsidRPr="004F4BA7" w:rsidRDefault="00A13819" w:rsidP="007D0FBF">
            <w:pPr>
              <w:keepNext/>
              <w:jc w:val="both"/>
              <w:rPr>
                <w:bCs/>
                <w:lang w:eastAsia="en-GB"/>
              </w:rPr>
            </w:pPr>
            <w:r w:rsidRPr="004F4BA7">
              <w:rPr>
                <w:bCs/>
                <w:lang w:eastAsia="en-GB"/>
              </w:rPr>
              <w:t>East Cambs</w:t>
            </w:r>
          </w:p>
        </w:tc>
        <w:tc>
          <w:tcPr>
            <w:tcW w:w="1623" w:type="dxa"/>
            <w:hideMark/>
          </w:tcPr>
          <w:p w14:paraId="1DB1D6B8"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£108,000</w:t>
            </w:r>
          </w:p>
        </w:tc>
        <w:tc>
          <w:tcPr>
            <w:tcW w:w="1623" w:type="dxa"/>
            <w:hideMark/>
          </w:tcPr>
          <w:p w14:paraId="4A87170D"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£149,000</w:t>
            </w:r>
          </w:p>
        </w:tc>
        <w:tc>
          <w:tcPr>
            <w:tcW w:w="1623" w:type="dxa"/>
            <w:hideMark/>
          </w:tcPr>
          <w:p w14:paraId="3B8C2F21"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£204,000</w:t>
            </w:r>
          </w:p>
        </w:tc>
        <w:tc>
          <w:tcPr>
            <w:tcW w:w="1624" w:type="dxa"/>
            <w:hideMark/>
          </w:tcPr>
          <w:p w14:paraId="0BF8E3ED"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£277,000</w:t>
            </w:r>
          </w:p>
        </w:tc>
      </w:tr>
      <w:tr w:rsidR="007A71A5" w:rsidRPr="007A71A5" w14:paraId="5E911954" w14:textId="77777777" w:rsidTr="007A71A5">
        <w:trPr>
          <w:trHeight w:val="300"/>
        </w:trPr>
        <w:tc>
          <w:tcPr>
            <w:cnfStyle w:val="001000000000" w:firstRow="0" w:lastRow="0" w:firstColumn="1" w:lastColumn="0" w:oddVBand="0" w:evenVBand="0" w:oddHBand="0" w:evenHBand="0" w:firstRowFirstColumn="0" w:firstRowLastColumn="0" w:lastRowFirstColumn="0" w:lastRowLastColumn="0"/>
            <w:tcW w:w="2042" w:type="dxa"/>
            <w:hideMark/>
          </w:tcPr>
          <w:p w14:paraId="279E25E5" w14:textId="77777777" w:rsidR="00A13819" w:rsidRPr="004F4BA7" w:rsidRDefault="00A13819" w:rsidP="007D0FBF">
            <w:pPr>
              <w:keepNext/>
              <w:jc w:val="both"/>
              <w:rPr>
                <w:bCs/>
                <w:lang w:eastAsia="en-GB"/>
              </w:rPr>
            </w:pPr>
            <w:r w:rsidRPr="004F4BA7">
              <w:rPr>
                <w:bCs/>
                <w:lang w:eastAsia="en-GB"/>
              </w:rPr>
              <w:t>Fenland</w:t>
            </w:r>
          </w:p>
        </w:tc>
        <w:tc>
          <w:tcPr>
            <w:tcW w:w="1623" w:type="dxa"/>
            <w:hideMark/>
          </w:tcPr>
          <w:p w14:paraId="79208387"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w:t>
            </w:r>
          </w:p>
        </w:tc>
        <w:tc>
          <w:tcPr>
            <w:tcW w:w="1623" w:type="dxa"/>
            <w:hideMark/>
          </w:tcPr>
          <w:p w14:paraId="6F62BADD"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£125,000</w:t>
            </w:r>
          </w:p>
        </w:tc>
        <w:tc>
          <w:tcPr>
            <w:tcW w:w="1623" w:type="dxa"/>
            <w:hideMark/>
          </w:tcPr>
          <w:p w14:paraId="39A7B4FC"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£161,000</w:t>
            </w:r>
          </w:p>
        </w:tc>
        <w:tc>
          <w:tcPr>
            <w:tcW w:w="1624" w:type="dxa"/>
            <w:hideMark/>
          </w:tcPr>
          <w:p w14:paraId="71D6F565"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£213,000</w:t>
            </w:r>
          </w:p>
        </w:tc>
      </w:tr>
      <w:tr w:rsidR="007A71A5" w:rsidRPr="007A71A5" w14:paraId="441FA9CB" w14:textId="77777777" w:rsidTr="007A71A5">
        <w:trPr>
          <w:trHeight w:val="300"/>
        </w:trPr>
        <w:tc>
          <w:tcPr>
            <w:cnfStyle w:val="001000000000" w:firstRow="0" w:lastRow="0" w:firstColumn="1" w:lastColumn="0" w:oddVBand="0" w:evenVBand="0" w:oddHBand="0" w:evenHBand="0" w:firstRowFirstColumn="0" w:firstRowLastColumn="0" w:lastRowFirstColumn="0" w:lastRowLastColumn="0"/>
            <w:tcW w:w="2042" w:type="dxa"/>
            <w:hideMark/>
          </w:tcPr>
          <w:p w14:paraId="7F858C3F" w14:textId="77777777" w:rsidR="00A13819" w:rsidRPr="004F4BA7" w:rsidRDefault="00A13819" w:rsidP="007D0FBF">
            <w:pPr>
              <w:keepNext/>
              <w:jc w:val="both"/>
              <w:rPr>
                <w:bCs/>
                <w:lang w:eastAsia="en-GB"/>
              </w:rPr>
            </w:pPr>
            <w:r w:rsidRPr="004F4BA7">
              <w:rPr>
                <w:bCs/>
                <w:lang w:eastAsia="en-GB"/>
              </w:rPr>
              <w:t>Huntingdonshire</w:t>
            </w:r>
          </w:p>
        </w:tc>
        <w:tc>
          <w:tcPr>
            <w:tcW w:w="1623" w:type="dxa"/>
            <w:hideMark/>
          </w:tcPr>
          <w:p w14:paraId="416239D5"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£106,000</w:t>
            </w:r>
          </w:p>
        </w:tc>
        <w:tc>
          <w:tcPr>
            <w:tcW w:w="1623" w:type="dxa"/>
            <w:hideMark/>
          </w:tcPr>
          <w:p w14:paraId="70517E69"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£146,000</w:t>
            </w:r>
          </w:p>
        </w:tc>
        <w:tc>
          <w:tcPr>
            <w:tcW w:w="1623" w:type="dxa"/>
            <w:hideMark/>
          </w:tcPr>
          <w:p w14:paraId="016B80C7"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£187,000</w:t>
            </w:r>
          </w:p>
        </w:tc>
        <w:tc>
          <w:tcPr>
            <w:tcW w:w="1624" w:type="dxa"/>
            <w:hideMark/>
          </w:tcPr>
          <w:p w14:paraId="143804DF"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£258,000</w:t>
            </w:r>
          </w:p>
        </w:tc>
      </w:tr>
      <w:tr w:rsidR="007A71A5" w:rsidRPr="007A71A5" w14:paraId="23B5E050" w14:textId="77777777" w:rsidTr="007A71A5">
        <w:trPr>
          <w:trHeight w:val="300"/>
        </w:trPr>
        <w:tc>
          <w:tcPr>
            <w:cnfStyle w:val="001000000000" w:firstRow="0" w:lastRow="0" w:firstColumn="1" w:lastColumn="0" w:oddVBand="0" w:evenVBand="0" w:oddHBand="0" w:evenHBand="0" w:firstRowFirstColumn="0" w:firstRowLastColumn="0" w:lastRowFirstColumn="0" w:lastRowLastColumn="0"/>
            <w:tcW w:w="2042" w:type="dxa"/>
            <w:hideMark/>
          </w:tcPr>
          <w:p w14:paraId="0DC19A5E" w14:textId="77777777" w:rsidR="00A13819" w:rsidRPr="004F4BA7" w:rsidRDefault="00A13819" w:rsidP="007D0FBF">
            <w:pPr>
              <w:keepNext/>
              <w:jc w:val="both"/>
              <w:rPr>
                <w:bCs/>
                <w:lang w:eastAsia="en-GB"/>
              </w:rPr>
            </w:pPr>
            <w:r w:rsidRPr="004F4BA7">
              <w:rPr>
                <w:bCs/>
                <w:lang w:eastAsia="en-GB"/>
              </w:rPr>
              <w:t>South Cambs</w:t>
            </w:r>
          </w:p>
        </w:tc>
        <w:tc>
          <w:tcPr>
            <w:tcW w:w="1623" w:type="dxa"/>
            <w:hideMark/>
          </w:tcPr>
          <w:p w14:paraId="574BBA33"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£146,000</w:t>
            </w:r>
          </w:p>
        </w:tc>
        <w:tc>
          <w:tcPr>
            <w:tcW w:w="1623" w:type="dxa"/>
            <w:hideMark/>
          </w:tcPr>
          <w:p w14:paraId="0F331D42"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£190,000</w:t>
            </w:r>
          </w:p>
        </w:tc>
        <w:tc>
          <w:tcPr>
            <w:tcW w:w="1623" w:type="dxa"/>
            <w:hideMark/>
          </w:tcPr>
          <w:p w14:paraId="36F62194"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£231,000</w:t>
            </w:r>
          </w:p>
        </w:tc>
        <w:tc>
          <w:tcPr>
            <w:tcW w:w="1624" w:type="dxa"/>
            <w:hideMark/>
          </w:tcPr>
          <w:p w14:paraId="1B72F1E0"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£318,000</w:t>
            </w:r>
          </w:p>
        </w:tc>
      </w:tr>
      <w:tr w:rsidR="007A71A5" w:rsidRPr="007A71A5" w14:paraId="6BFC8458" w14:textId="77777777" w:rsidTr="007A71A5">
        <w:trPr>
          <w:trHeight w:val="300"/>
        </w:trPr>
        <w:tc>
          <w:tcPr>
            <w:cnfStyle w:val="001000000000" w:firstRow="0" w:lastRow="0" w:firstColumn="1" w:lastColumn="0" w:oddVBand="0" w:evenVBand="0" w:oddHBand="0" w:evenHBand="0" w:firstRowFirstColumn="0" w:firstRowLastColumn="0" w:lastRowFirstColumn="0" w:lastRowLastColumn="0"/>
            <w:tcW w:w="2042" w:type="dxa"/>
            <w:hideMark/>
          </w:tcPr>
          <w:p w14:paraId="136B30E9" w14:textId="77777777" w:rsidR="00A13819" w:rsidRPr="004F4BA7" w:rsidRDefault="00A13819" w:rsidP="007D0FBF">
            <w:pPr>
              <w:keepNext/>
              <w:jc w:val="both"/>
              <w:rPr>
                <w:bCs/>
                <w:lang w:eastAsia="en-GB"/>
              </w:rPr>
            </w:pPr>
            <w:r w:rsidRPr="004F4BA7">
              <w:rPr>
                <w:bCs/>
                <w:lang w:eastAsia="en-GB"/>
              </w:rPr>
              <w:t>West Suffolk</w:t>
            </w:r>
          </w:p>
        </w:tc>
        <w:tc>
          <w:tcPr>
            <w:tcW w:w="1623" w:type="dxa"/>
            <w:hideMark/>
          </w:tcPr>
          <w:p w14:paraId="124017F0"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£122,000</w:t>
            </w:r>
          </w:p>
        </w:tc>
        <w:tc>
          <w:tcPr>
            <w:tcW w:w="1623" w:type="dxa"/>
            <w:hideMark/>
          </w:tcPr>
          <w:p w14:paraId="3FE31BFE"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£154,000</w:t>
            </w:r>
          </w:p>
        </w:tc>
        <w:tc>
          <w:tcPr>
            <w:tcW w:w="1623" w:type="dxa"/>
            <w:hideMark/>
          </w:tcPr>
          <w:p w14:paraId="06B5B5E5"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£191,000</w:t>
            </w:r>
          </w:p>
        </w:tc>
        <w:tc>
          <w:tcPr>
            <w:tcW w:w="1624" w:type="dxa"/>
            <w:hideMark/>
          </w:tcPr>
          <w:p w14:paraId="040FC4C6" w14:textId="77777777" w:rsidR="00A13819" w:rsidRPr="007A71A5"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£268,000</w:t>
            </w:r>
          </w:p>
        </w:tc>
      </w:tr>
    </w:tbl>
    <w:p w14:paraId="516E0872" w14:textId="1A98679C" w:rsidR="00A13819" w:rsidRDefault="00A13819" w:rsidP="007D0FBF">
      <w:pPr>
        <w:pStyle w:val="11Bodytext"/>
        <w:numPr>
          <w:ilvl w:val="0"/>
          <w:numId w:val="0"/>
        </w:numPr>
        <w:spacing w:before="0" w:after="0" w:line="240" w:lineRule="auto"/>
        <w:ind w:left="709"/>
      </w:pPr>
      <w:r>
        <w:t xml:space="preserve">Source: Range of sources as discussed in paragraph </w:t>
      </w:r>
      <w:r w:rsidR="00972A9E">
        <w:t>6.145</w:t>
      </w:r>
      <w:r>
        <w:t xml:space="preserve">  </w:t>
      </w:r>
    </w:p>
    <w:p w14:paraId="0546ED96" w14:textId="77777777" w:rsidR="00A13819" w:rsidRPr="00526C6E" w:rsidRDefault="00A13819" w:rsidP="007D0FBF">
      <w:pPr>
        <w:pStyle w:val="11Bodytext"/>
        <w:rPr>
          <w:szCs w:val="18"/>
        </w:rPr>
      </w:pPr>
      <w:r>
        <w:t>The table below estimates the level of discount likely to be required to achieve affordability. In some areas and for some property sizes, the discount is less than 20% (and so 20% would be appropriate). As previously noted, the table below is based on assuming a 15% uplift to OMV from our lower quartile estimate – figures should, therefore, be treated as indicative.</w:t>
      </w:r>
    </w:p>
    <w:p w14:paraId="0D1543C0" w14:textId="77777777" w:rsidR="00A13819" w:rsidRDefault="00A13819" w:rsidP="003D5E23">
      <w:pPr>
        <w:pStyle w:val="Tableheading"/>
        <w:numPr>
          <w:ilvl w:val="0"/>
          <w:numId w:val="54"/>
        </w:numPr>
      </w:pPr>
      <w:r>
        <w:t>Estimated percentage discount required from Open Market Value to make Discount Market Sales affordable</w:t>
      </w:r>
    </w:p>
    <w:tbl>
      <w:tblPr>
        <w:tblStyle w:val="TableGridLight1"/>
        <w:tblW w:w="8481" w:type="dxa"/>
        <w:tblInd w:w="870" w:type="dxa"/>
        <w:tblLook w:val="04A0" w:firstRow="1" w:lastRow="0" w:firstColumn="1" w:lastColumn="0" w:noHBand="0" w:noVBand="1"/>
      </w:tblPr>
      <w:tblGrid>
        <w:gridCol w:w="2008"/>
        <w:gridCol w:w="1618"/>
        <w:gridCol w:w="1618"/>
        <w:gridCol w:w="1618"/>
        <w:gridCol w:w="1619"/>
      </w:tblGrid>
      <w:tr w:rsidR="007A71A5" w:rsidRPr="007A71A5" w14:paraId="0EEC2FD3" w14:textId="77777777" w:rsidTr="007A71A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08" w:type="dxa"/>
            <w:hideMark/>
          </w:tcPr>
          <w:p w14:paraId="03D4CF55" w14:textId="77777777" w:rsidR="00A13819" w:rsidRPr="007A71A5" w:rsidRDefault="00A13819" w:rsidP="008E6E40">
            <w:pPr>
              <w:keepNext/>
              <w:rPr>
                <w:bCs/>
                <w:lang w:eastAsia="en-GB"/>
              </w:rPr>
            </w:pPr>
            <w:r w:rsidRPr="007A71A5">
              <w:rPr>
                <w:bCs/>
                <w:lang w:eastAsia="en-GB"/>
              </w:rPr>
              <w:t> </w:t>
            </w:r>
          </w:p>
        </w:tc>
        <w:tc>
          <w:tcPr>
            <w:tcW w:w="1618" w:type="dxa"/>
            <w:hideMark/>
          </w:tcPr>
          <w:p w14:paraId="1622944C"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1-bedroom</w:t>
            </w:r>
          </w:p>
        </w:tc>
        <w:tc>
          <w:tcPr>
            <w:tcW w:w="1618" w:type="dxa"/>
            <w:hideMark/>
          </w:tcPr>
          <w:p w14:paraId="479FE5BA"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2-bedrooms</w:t>
            </w:r>
          </w:p>
        </w:tc>
        <w:tc>
          <w:tcPr>
            <w:tcW w:w="1618" w:type="dxa"/>
            <w:hideMark/>
          </w:tcPr>
          <w:p w14:paraId="5C3CDA4C"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3-bedrooms</w:t>
            </w:r>
          </w:p>
        </w:tc>
        <w:tc>
          <w:tcPr>
            <w:tcW w:w="1619" w:type="dxa"/>
            <w:hideMark/>
          </w:tcPr>
          <w:p w14:paraId="258F8BA0" w14:textId="77777777"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4+ bedrooms</w:t>
            </w:r>
          </w:p>
        </w:tc>
      </w:tr>
      <w:tr w:rsidR="007A71A5" w:rsidRPr="007A71A5" w14:paraId="159EC9EE" w14:textId="77777777" w:rsidTr="007A71A5">
        <w:trPr>
          <w:trHeight w:val="294"/>
        </w:trPr>
        <w:tc>
          <w:tcPr>
            <w:cnfStyle w:val="001000000000" w:firstRow="0" w:lastRow="0" w:firstColumn="1" w:lastColumn="0" w:oddVBand="0" w:evenVBand="0" w:oddHBand="0" w:evenHBand="0" w:firstRowFirstColumn="0" w:firstRowLastColumn="0" w:lastRowFirstColumn="0" w:lastRowLastColumn="0"/>
            <w:tcW w:w="2008" w:type="dxa"/>
            <w:hideMark/>
          </w:tcPr>
          <w:p w14:paraId="15F37C0F" w14:textId="77777777" w:rsidR="00A13819" w:rsidRPr="004F4BA7" w:rsidRDefault="00A13819" w:rsidP="008E6E40">
            <w:pPr>
              <w:keepNext/>
              <w:jc w:val="both"/>
              <w:rPr>
                <w:lang w:eastAsia="en-GB"/>
              </w:rPr>
            </w:pPr>
            <w:r w:rsidRPr="004F4BA7">
              <w:rPr>
                <w:lang w:eastAsia="en-GB"/>
              </w:rPr>
              <w:t>Cambridge</w:t>
            </w:r>
          </w:p>
        </w:tc>
        <w:tc>
          <w:tcPr>
            <w:tcW w:w="1618" w:type="dxa"/>
            <w:hideMark/>
          </w:tcPr>
          <w:p w14:paraId="38EB0D1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w:t>
            </w:r>
          </w:p>
        </w:tc>
        <w:tc>
          <w:tcPr>
            <w:tcW w:w="1618" w:type="dxa"/>
            <w:hideMark/>
          </w:tcPr>
          <w:p w14:paraId="2C61E35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w:t>
            </w:r>
          </w:p>
        </w:tc>
        <w:tc>
          <w:tcPr>
            <w:tcW w:w="1618" w:type="dxa"/>
            <w:hideMark/>
          </w:tcPr>
          <w:p w14:paraId="425ADB4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w:t>
            </w:r>
          </w:p>
        </w:tc>
        <w:tc>
          <w:tcPr>
            <w:tcW w:w="1619" w:type="dxa"/>
            <w:hideMark/>
          </w:tcPr>
          <w:p w14:paraId="329B948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w:t>
            </w:r>
          </w:p>
        </w:tc>
      </w:tr>
      <w:tr w:rsidR="007A71A5" w:rsidRPr="007A71A5" w14:paraId="7DA18733" w14:textId="77777777" w:rsidTr="007A71A5">
        <w:trPr>
          <w:trHeight w:val="294"/>
        </w:trPr>
        <w:tc>
          <w:tcPr>
            <w:cnfStyle w:val="001000000000" w:firstRow="0" w:lastRow="0" w:firstColumn="1" w:lastColumn="0" w:oddVBand="0" w:evenVBand="0" w:oddHBand="0" w:evenHBand="0" w:firstRowFirstColumn="0" w:firstRowLastColumn="0" w:lastRowFirstColumn="0" w:lastRowLastColumn="0"/>
            <w:tcW w:w="2008" w:type="dxa"/>
            <w:hideMark/>
          </w:tcPr>
          <w:p w14:paraId="07B567BC" w14:textId="77777777" w:rsidR="00A13819" w:rsidRPr="004F4BA7" w:rsidRDefault="00A13819" w:rsidP="008E6E40">
            <w:pPr>
              <w:keepNext/>
              <w:jc w:val="both"/>
              <w:rPr>
                <w:lang w:eastAsia="en-GB"/>
              </w:rPr>
            </w:pPr>
            <w:r w:rsidRPr="004F4BA7">
              <w:rPr>
                <w:lang w:eastAsia="en-GB"/>
              </w:rPr>
              <w:t>East Cambs</w:t>
            </w:r>
          </w:p>
        </w:tc>
        <w:tc>
          <w:tcPr>
            <w:tcW w:w="1618" w:type="dxa"/>
            <w:hideMark/>
          </w:tcPr>
          <w:p w14:paraId="55595A9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w:t>
            </w:r>
          </w:p>
        </w:tc>
        <w:tc>
          <w:tcPr>
            <w:tcW w:w="1618" w:type="dxa"/>
            <w:hideMark/>
          </w:tcPr>
          <w:p w14:paraId="5FF4E45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21%</w:t>
            </w:r>
          </w:p>
        </w:tc>
        <w:tc>
          <w:tcPr>
            <w:tcW w:w="1618" w:type="dxa"/>
            <w:hideMark/>
          </w:tcPr>
          <w:p w14:paraId="50E7B74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w:t>
            </w:r>
          </w:p>
        </w:tc>
        <w:tc>
          <w:tcPr>
            <w:tcW w:w="1619" w:type="dxa"/>
            <w:hideMark/>
          </w:tcPr>
          <w:p w14:paraId="646E7C4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w:t>
            </w:r>
          </w:p>
        </w:tc>
      </w:tr>
      <w:tr w:rsidR="007A71A5" w:rsidRPr="007A71A5" w14:paraId="65C01BDC" w14:textId="77777777" w:rsidTr="007A71A5">
        <w:trPr>
          <w:trHeight w:val="294"/>
        </w:trPr>
        <w:tc>
          <w:tcPr>
            <w:cnfStyle w:val="001000000000" w:firstRow="0" w:lastRow="0" w:firstColumn="1" w:lastColumn="0" w:oddVBand="0" w:evenVBand="0" w:oddHBand="0" w:evenHBand="0" w:firstRowFirstColumn="0" w:firstRowLastColumn="0" w:lastRowFirstColumn="0" w:lastRowLastColumn="0"/>
            <w:tcW w:w="2008" w:type="dxa"/>
            <w:hideMark/>
          </w:tcPr>
          <w:p w14:paraId="38CCBB92" w14:textId="77777777" w:rsidR="00A13819" w:rsidRPr="004F4BA7" w:rsidRDefault="00A13819" w:rsidP="008E6E40">
            <w:pPr>
              <w:keepNext/>
              <w:jc w:val="both"/>
              <w:rPr>
                <w:lang w:eastAsia="en-GB"/>
              </w:rPr>
            </w:pPr>
            <w:r w:rsidRPr="004F4BA7">
              <w:rPr>
                <w:lang w:eastAsia="en-GB"/>
              </w:rPr>
              <w:t>Fenland</w:t>
            </w:r>
          </w:p>
        </w:tc>
        <w:tc>
          <w:tcPr>
            <w:tcW w:w="1618" w:type="dxa"/>
            <w:hideMark/>
          </w:tcPr>
          <w:p w14:paraId="21449640" w14:textId="77777777" w:rsidR="00A13819" w:rsidRPr="007A71A5" w:rsidRDefault="00A13819" w:rsidP="008E5DB4">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color w:val="000000" w:themeColor="text1"/>
              </w:rPr>
            </w:pPr>
            <w:r w:rsidRPr="007A71A5">
              <w:rPr>
                <w:color w:val="000000" w:themeColor="text1"/>
                <w:lang w:eastAsia="en-GB"/>
              </w:rPr>
              <w:t>*</w:t>
            </w:r>
          </w:p>
        </w:tc>
        <w:tc>
          <w:tcPr>
            <w:tcW w:w="1618" w:type="dxa"/>
            <w:hideMark/>
          </w:tcPr>
          <w:p w14:paraId="5F44D04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17%</w:t>
            </w:r>
          </w:p>
        </w:tc>
        <w:tc>
          <w:tcPr>
            <w:tcW w:w="1618" w:type="dxa"/>
            <w:hideMark/>
          </w:tcPr>
          <w:p w14:paraId="6DF7AC2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w:t>
            </w:r>
          </w:p>
        </w:tc>
        <w:tc>
          <w:tcPr>
            <w:tcW w:w="1619" w:type="dxa"/>
            <w:hideMark/>
          </w:tcPr>
          <w:p w14:paraId="51953FD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r>
      <w:tr w:rsidR="007A71A5" w:rsidRPr="007A71A5" w14:paraId="3B44D3B1" w14:textId="77777777" w:rsidTr="007A71A5">
        <w:trPr>
          <w:trHeight w:val="294"/>
        </w:trPr>
        <w:tc>
          <w:tcPr>
            <w:cnfStyle w:val="001000000000" w:firstRow="0" w:lastRow="0" w:firstColumn="1" w:lastColumn="0" w:oddVBand="0" w:evenVBand="0" w:oddHBand="0" w:evenHBand="0" w:firstRowFirstColumn="0" w:firstRowLastColumn="0" w:lastRowFirstColumn="0" w:lastRowLastColumn="0"/>
            <w:tcW w:w="2008" w:type="dxa"/>
            <w:hideMark/>
          </w:tcPr>
          <w:p w14:paraId="15F9BC90" w14:textId="77777777" w:rsidR="00A13819" w:rsidRPr="004F4BA7" w:rsidRDefault="00A13819" w:rsidP="008E6E40">
            <w:pPr>
              <w:keepNext/>
              <w:jc w:val="both"/>
              <w:rPr>
                <w:lang w:eastAsia="en-GB"/>
              </w:rPr>
            </w:pPr>
            <w:r w:rsidRPr="004F4BA7">
              <w:rPr>
                <w:lang w:eastAsia="en-GB"/>
              </w:rPr>
              <w:t>Huntingdonshire</w:t>
            </w:r>
          </w:p>
        </w:tc>
        <w:tc>
          <w:tcPr>
            <w:tcW w:w="1618" w:type="dxa"/>
            <w:hideMark/>
          </w:tcPr>
          <w:p w14:paraId="28C39A8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w:t>
            </w:r>
          </w:p>
        </w:tc>
        <w:tc>
          <w:tcPr>
            <w:tcW w:w="1618" w:type="dxa"/>
            <w:hideMark/>
          </w:tcPr>
          <w:p w14:paraId="730C326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w:t>
            </w:r>
          </w:p>
        </w:tc>
        <w:tc>
          <w:tcPr>
            <w:tcW w:w="1618" w:type="dxa"/>
            <w:hideMark/>
          </w:tcPr>
          <w:p w14:paraId="35F6F2A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w:t>
            </w:r>
          </w:p>
        </w:tc>
        <w:tc>
          <w:tcPr>
            <w:tcW w:w="1619" w:type="dxa"/>
            <w:hideMark/>
          </w:tcPr>
          <w:p w14:paraId="5DC720D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w:t>
            </w:r>
          </w:p>
        </w:tc>
      </w:tr>
      <w:tr w:rsidR="007A71A5" w:rsidRPr="007A71A5" w14:paraId="73309E29" w14:textId="77777777" w:rsidTr="007A71A5">
        <w:trPr>
          <w:trHeight w:val="294"/>
        </w:trPr>
        <w:tc>
          <w:tcPr>
            <w:cnfStyle w:val="001000000000" w:firstRow="0" w:lastRow="0" w:firstColumn="1" w:lastColumn="0" w:oddVBand="0" w:evenVBand="0" w:oddHBand="0" w:evenHBand="0" w:firstRowFirstColumn="0" w:firstRowLastColumn="0" w:lastRowFirstColumn="0" w:lastRowLastColumn="0"/>
            <w:tcW w:w="2008" w:type="dxa"/>
            <w:hideMark/>
          </w:tcPr>
          <w:p w14:paraId="5A7A0E7B" w14:textId="77777777" w:rsidR="00A13819" w:rsidRPr="004F4BA7" w:rsidRDefault="00A13819" w:rsidP="008E6E40">
            <w:pPr>
              <w:keepNext/>
              <w:jc w:val="both"/>
              <w:rPr>
                <w:lang w:eastAsia="en-GB"/>
              </w:rPr>
            </w:pPr>
            <w:r w:rsidRPr="004F4BA7">
              <w:rPr>
                <w:lang w:eastAsia="en-GB"/>
              </w:rPr>
              <w:t>South Cambs</w:t>
            </w:r>
          </w:p>
        </w:tc>
        <w:tc>
          <w:tcPr>
            <w:tcW w:w="1618" w:type="dxa"/>
            <w:hideMark/>
          </w:tcPr>
          <w:p w14:paraId="178A751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22%</w:t>
            </w:r>
          </w:p>
        </w:tc>
        <w:tc>
          <w:tcPr>
            <w:tcW w:w="1618" w:type="dxa"/>
            <w:hideMark/>
          </w:tcPr>
          <w:p w14:paraId="35BA456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w:t>
            </w:r>
          </w:p>
        </w:tc>
        <w:tc>
          <w:tcPr>
            <w:tcW w:w="1618" w:type="dxa"/>
            <w:hideMark/>
          </w:tcPr>
          <w:p w14:paraId="4606332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w:t>
            </w:r>
          </w:p>
        </w:tc>
        <w:tc>
          <w:tcPr>
            <w:tcW w:w="1619" w:type="dxa"/>
            <w:hideMark/>
          </w:tcPr>
          <w:p w14:paraId="76E6113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33%</w:t>
            </w:r>
          </w:p>
        </w:tc>
      </w:tr>
      <w:tr w:rsidR="007A71A5" w:rsidRPr="007A71A5" w14:paraId="65D8870E" w14:textId="77777777" w:rsidTr="007A71A5">
        <w:trPr>
          <w:trHeight w:val="294"/>
        </w:trPr>
        <w:tc>
          <w:tcPr>
            <w:cnfStyle w:val="001000000000" w:firstRow="0" w:lastRow="0" w:firstColumn="1" w:lastColumn="0" w:oddVBand="0" w:evenVBand="0" w:oddHBand="0" w:evenHBand="0" w:firstRowFirstColumn="0" w:firstRowLastColumn="0" w:lastRowFirstColumn="0" w:lastRowLastColumn="0"/>
            <w:tcW w:w="2008" w:type="dxa"/>
            <w:hideMark/>
          </w:tcPr>
          <w:p w14:paraId="2B3089E6" w14:textId="77777777" w:rsidR="00A13819" w:rsidRPr="004F4BA7" w:rsidRDefault="00A13819" w:rsidP="008E6E40">
            <w:pPr>
              <w:keepNext/>
              <w:jc w:val="both"/>
              <w:rPr>
                <w:lang w:eastAsia="en-GB"/>
              </w:rPr>
            </w:pPr>
            <w:r w:rsidRPr="004F4BA7">
              <w:rPr>
                <w:lang w:eastAsia="en-GB"/>
              </w:rPr>
              <w:t>West Suffolk</w:t>
            </w:r>
          </w:p>
        </w:tc>
        <w:tc>
          <w:tcPr>
            <w:tcW w:w="1618" w:type="dxa"/>
            <w:hideMark/>
          </w:tcPr>
          <w:p w14:paraId="002711E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c>
          <w:tcPr>
            <w:tcW w:w="1618" w:type="dxa"/>
            <w:hideMark/>
          </w:tcPr>
          <w:p w14:paraId="75E67A1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c>
          <w:tcPr>
            <w:tcW w:w="1618" w:type="dxa"/>
            <w:hideMark/>
          </w:tcPr>
          <w:p w14:paraId="25E7E1B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w:t>
            </w:r>
          </w:p>
        </w:tc>
        <w:tc>
          <w:tcPr>
            <w:tcW w:w="1619" w:type="dxa"/>
            <w:hideMark/>
          </w:tcPr>
          <w:p w14:paraId="4BCBD5D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w:t>
            </w:r>
          </w:p>
        </w:tc>
      </w:tr>
    </w:tbl>
    <w:p w14:paraId="3EC20305" w14:textId="0F982BA8" w:rsidR="00A13819" w:rsidRPr="007D0FBF" w:rsidRDefault="00A13819" w:rsidP="008E6E40">
      <w:pPr>
        <w:pStyle w:val="Bodytextwithindent"/>
        <w:keepNext/>
        <w:spacing w:before="0" w:after="0" w:line="240" w:lineRule="auto"/>
        <w:rPr>
          <w:sz w:val="24"/>
          <w:szCs w:val="22"/>
        </w:rPr>
      </w:pPr>
      <w:r w:rsidRPr="007D0FBF">
        <w:rPr>
          <w:sz w:val="24"/>
          <w:szCs w:val="22"/>
        </w:rPr>
        <w:t xml:space="preserve">Source: Range of sources as </w:t>
      </w:r>
      <w:r w:rsidR="009534EE" w:rsidRPr="007D0FBF">
        <w:rPr>
          <w:sz w:val="24"/>
          <w:szCs w:val="22"/>
        </w:rPr>
        <w:t>discussed *</w:t>
      </w:r>
      <w:r w:rsidRPr="007D0FBF">
        <w:rPr>
          <w:sz w:val="24"/>
          <w:szCs w:val="22"/>
        </w:rPr>
        <w:t xml:space="preserve">Not assessed, see paragraph </w:t>
      </w:r>
      <w:r w:rsidR="00972A9E">
        <w:rPr>
          <w:sz w:val="24"/>
          <w:szCs w:val="22"/>
        </w:rPr>
        <w:t>6.145</w:t>
      </w:r>
      <w:r w:rsidRPr="007D0FBF">
        <w:rPr>
          <w:sz w:val="24"/>
          <w:szCs w:val="22"/>
        </w:rPr>
        <w:t xml:space="preserve"> for explanation</w:t>
      </w:r>
    </w:p>
    <w:p w14:paraId="33FAB5FA" w14:textId="77777777" w:rsidR="00A13819" w:rsidRDefault="00A13819" w:rsidP="007D0FBF">
      <w:pPr>
        <w:pStyle w:val="Heading2"/>
      </w:pPr>
      <w:r>
        <w:t>Shared Ownership</w:t>
      </w:r>
    </w:p>
    <w:p w14:paraId="34240586" w14:textId="77777777" w:rsidR="00A13819" w:rsidRPr="00526C6E" w:rsidRDefault="00A13819" w:rsidP="007D0FBF">
      <w:pPr>
        <w:pStyle w:val="11Bodytext"/>
        <w:rPr>
          <w:shd w:val="clear" w:color="auto" w:fill="FFFFFF"/>
        </w:rPr>
      </w:pPr>
      <w:r>
        <w:t xml:space="preserve">For shared ownership, a buyer will buy </w:t>
      </w:r>
      <w:r w:rsidRPr="00526C6E">
        <w:rPr>
          <w:shd w:val="clear" w:color="auto" w:fill="FFFFFF"/>
        </w:rPr>
        <w:t>a share in a property (typically between 25% and 75%</w:t>
      </w:r>
      <w:r>
        <w:rPr>
          <w:rStyle w:val="FootnoteReference"/>
          <w:color w:val="auto"/>
          <w:shd w:val="clear" w:color="auto" w:fill="FFFFFF"/>
        </w:rPr>
        <w:footnoteReference w:id="20"/>
      </w:r>
      <w:r w:rsidRPr="00526C6E">
        <w:rPr>
          <w:shd w:val="clear" w:color="auto" w:fill="FFFFFF"/>
        </w:rPr>
        <w:t xml:space="preserve">) and then pay rent on the remaining share. One advantage in affordability terms is that a lower deposit is likely to be required than for full or discounted purchase and the rental part of the cost will typically be subsidised by a Registered Provider. For example, it is common for rents to be capped at 2.75% </w:t>
      </w:r>
      <w:r w:rsidRPr="00526C6E">
        <w:rPr>
          <w:shd w:val="clear" w:color="auto" w:fill="FFFFFF"/>
        </w:rPr>
        <w:lastRenderedPageBreak/>
        <w:t xml:space="preserve">of the market value of the property. This is typically below the minimum yield sought by a private landlord (around 5%). </w:t>
      </w:r>
    </w:p>
    <w:p w14:paraId="64F4A704" w14:textId="77777777" w:rsidR="00A13819" w:rsidRDefault="00A13819" w:rsidP="007D0FBF">
      <w:pPr>
        <w:pStyle w:val="11Bodytext"/>
      </w:pPr>
      <w:r>
        <w:t xml:space="preserve">Because shared ownership is based on buying part of a property, it is the case that the sale will need to be at open market value. Where there is a large gap between the typical incomes required to buy or rent, it may be the case that lower equity shares are needed for homes to be affordable (at the level of renting privately). </w:t>
      </w:r>
    </w:p>
    <w:p w14:paraId="18B82D48" w14:textId="77777777" w:rsidR="00A13819" w:rsidRDefault="00A13819" w:rsidP="007D0FBF">
      <w:pPr>
        <w:pStyle w:val="11Bodytext"/>
      </w:pPr>
      <w:r>
        <w:t>The analysis below seeks to estimate the typical equity share that might be affordable for different sizes of property. The key assumptions used in the analysis are:</w:t>
      </w:r>
    </w:p>
    <w:p w14:paraId="6CADDB0D" w14:textId="77777777" w:rsidR="00A13819" w:rsidRDefault="00A13819" w:rsidP="00097650">
      <w:pPr>
        <w:pStyle w:val="10BulletBodytext"/>
      </w:pPr>
      <w:r>
        <w:t>Open market value at lower quartile (LQ)  price plus 15% (reflecting likelihood that newbuild homes will have a premium attached and that they may well be priced above a lower quartile level)</w:t>
      </w:r>
    </w:p>
    <w:p w14:paraId="64B96EE4" w14:textId="77777777" w:rsidR="00A13819" w:rsidRDefault="00A13819" w:rsidP="00097650">
      <w:pPr>
        <w:pStyle w:val="10BulletBodytext"/>
      </w:pPr>
      <w:r>
        <w:t>10% deposit on the equity share</w:t>
      </w:r>
    </w:p>
    <w:p w14:paraId="38E013B2" w14:textId="77777777" w:rsidR="00A13819" w:rsidRDefault="00A13819" w:rsidP="00097650">
      <w:pPr>
        <w:pStyle w:val="10BulletBodytext"/>
      </w:pPr>
      <w:r>
        <w:t>Rent at 2.75% per annum on unsold equity</w:t>
      </w:r>
    </w:p>
    <w:p w14:paraId="0760589A" w14:textId="77777777" w:rsidR="00A13819" w:rsidRDefault="00A13819" w:rsidP="00097650">
      <w:pPr>
        <w:pStyle w:val="10BulletBodytext"/>
      </w:pPr>
      <w:r>
        <w:t>Repayment mortgage over 25-years at 4% interest rate</w:t>
      </w:r>
    </w:p>
    <w:p w14:paraId="1633C39F" w14:textId="77777777" w:rsidR="00A13819" w:rsidRDefault="00A13819" w:rsidP="00097650">
      <w:pPr>
        <w:pStyle w:val="10BulletBodytext"/>
      </w:pPr>
      <w:r>
        <w:t>Service charge of £100 per month for flatted development (assumed to be 1- and 2-bedroom homes)</w:t>
      </w:r>
    </w:p>
    <w:p w14:paraId="5AE45CAA" w14:textId="77777777" w:rsidR="00A13819" w:rsidRDefault="00A13819" w:rsidP="007D0FBF">
      <w:pPr>
        <w:pStyle w:val="11Bodytext"/>
      </w:pPr>
      <w:r>
        <w:t>It is also assumed that shared ownership would be priced for households sitting towards the bottom end of the rent/buy gap and so the calculations assume that total outgoings should be no higher than the equivalent private rent (lower quartile) cost for that size of the property.</w:t>
      </w:r>
    </w:p>
    <w:p w14:paraId="05C3BE8D" w14:textId="49EC3759" w:rsidR="00A13819" w:rsidRDefault="00A13819" w:rsidP="007D0FBF">
      <w:pPr>
        <w:pStyle w:val="11Bodytext"/>
      </w:pPr>
      <w:r>
        <w:t xml:space="preserve">The table below shows the estimated equity share that would be required to make homes truly affordable. Further tables to follow set out the detailed calculations for each local authority. Overall, it looks difficult to make shared ownership genuinely affordable in Cambridge, due to the high price of housing to buy (and noting that shared ownership will always be pegged back to OMV), this does not mean that shared ownership will not work in these areas, but does mean that those at the very bottom of the rent/buy gap are unlikely to be able to afford it.   </w:t>
      </w:r>
    </w:p>
    <w:p w14:paraId="06143CEF" w14:textId="77777777" w:rsidR="00CC7461" w:rsidRDefault="00CC7461" w:rsidP="004F4BA7">
      <w:pPr>
        <w:pStyle w:val="11Bodytext"/>
        <w:numPr>
          <w:ilvl w:val="0"/>
          <w:numId w:val="0"/>
        </w:numPr>
        <w:ind w:left="794"/>
      </w:pPr>
    </w:p>
    <w:p w14:paraId="4171E411" w14:textId="77777777" w:rsidR="00A13819" w:rsidRDefault="00A13819" w:rsidP="003D5E23">
      <w:pPr>
        <w:pStyle w:val="Tableheading"/>
        <w:numPr>
          <w:ilvl w:val="0"/>
          <w:numId w:val="54"/>
        </w:numPr>
      </w:pPr>
      <w:r>
        <w:lastRenderedPageBreak/>
        <w:t>Estimated equity share in Shared Ownership to make product Affordable</w:t>
      </w:r>
    </w:p>
    <w:tbl>
      <w:tblPr>
        <w:tblStyle w:val="TableGridLight1"/>
        <w:tblW w:w="8545" w:type="dxa"/>
        <w:tblInd w:w="806" w:type="dxa"/>
        <w:tblLook w:val="04A0" w:firstRow="1" w:lastRow="0" w:firstColumn="1" w:lastColumn="0" w:noHBand="0" w:noVBand="1"/>
      </w:tblPr>
      <w:tblGrid>
        <w:gridCol w:w="1961"/>
        <w:gridCol w:w="1646"/>
        <w:gridCol w:w="1646"/>
        <w:gridCol w:w="1646"/>
        <w:gridCol w:w="1646"/>
      </w:tblGrid>
      <w:tr w:rsidR="007A71A5" w:rsidRPr="007A71A5" w14:paraId="6DC3A708" w14:textId="77777777" w:rsidTr="007A71A5">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961" w:type="dxa"/>
            <w:hideMark/>
          </w:tcPr>
          <w:p w14:paraId="49472689" w14:textId="77777777" w:rsidR="00A13819" w:rsidRPr="007A71A5" w:rsidRDefault="00A13819" w:rsidP="001D508A">
            <w:pPr>
              <w:rPr>
                <w:bCs/>
                <w:lang w:eastAsia="en-GB"/>
              </w:rPr>
            </w:pPr>
            <w:r w:rsidRPr="007A71A5">
              <w:rPr>
                <w:bCs/>
                <w:lang w:eastAsia="en-GB"/>
              </w:rPr>
              <w:t> </w:t>
            </w:r>
          </w:p>
        </w:tc>
        <w:tc>
          <w:tcPr>
            <w:tcW w:w="1646" w:type="dxa"/>
            <w:hideMark/>
          </w:tcPr>
          <w:p w14:paraId="499E1EC0" w14:textId="77777777" w:rsidR="00A13819" w:rsidRPr="007A71A5" w:rsidRDefault="00A13819" w:rsidP="001D508A">
            <w:pPr>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1-bedroom</w:t>
            </w:r>
          </w:p>
        </w:tc>
        <w:tc>
          <w:tcPr>
            <w:tcW w:w="1646" w:type="dxa"/>
            <w:hideMark/>
          </w:tcPr>
          <w:p w14:paraId="520E8271" w14:textId="77777777" w:rsidR="00A13819" w:rsidRPr="007A71A5" w:rsidRDefault="00A13819" w:rsidP="001D508A">
            <w:pPr>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2-bedrooms</w:t>
            </w:r>
          </w:p>
        </w:tc>
        <w:tc>
          <w:tcPr>
            <w:tcW w:w="1646" w:type="dxa"/>
            <w:hideMark/>
          </w:tcPr>
          <w:p w14:paraId="11AF08F6" w14:textId="77777777" w:rsidR="00A13819" w:rsidRPr="007A71A5" w:rsidRDefault="00A13819" w:rsidP="001D508A">
            <w:pPr>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3-bedrooms</w:t>
            </w:r>
          </w:p>
        </w:tc>
        <w:tc>
          <w:tcPr>
            <w:tcW w:w="1646" w:type="dxa"/>
            <w:hideMark/>
          </w:tcPr>
          <w:p w14:paraId="02F78C07" w14:textId="77777777" w:rsidR="00A13819" w:rsidRPr="007A71A5" w:rsidRDefault="00A13819" w:rsidP="001D508A">
            <w:pPr>
              <w:cnfStyle w:val="100000000000" w:firstRow="1" w:lastRow="0" w:firstColumn="0" w:lastColumn="0" w:oddVBand="0" w:evenVBand="0" w:oddHBand="0" w:evenHBand="0" w:firstRowFirstColumn="0" w:firstRowLastColumn="0" w:lastRowFirstColumn="0" w:lastRowLastColumn="0"/>
              <w:rPr>
                <w:bCs/>
                <w:lang w:eastAsia="en-GB"/>
              </w:rPr>
            </w:pPr>
            <w:r w:rsidRPr="007A71A5">
              <w:rPr>
                <w:bCs/>
                <w:lang w:eastAsia="en-GB"/>
              </w:rPr>
              <w:t>4+ bedrooms</w:t>
            </w:r>
          </w:p>
        </w:tc>
      </w:tr>
      <w:tr w:rsidR="007A71A5" w:rsidRPr="007A71A5" w14:paraId="7D16F1B8" w14:textId="77777777" w:rsidTr="007A71A5">
        <w:trPr>
          <w:trHeight w:val="313"/>
        </w:trPr>
        <w:tc>
          <w:tcPr>
            <w:cnfStyle w:val="001000000000" w:firstRow="0" w:lastRow="0" w:firstColumn="1" w:lastColumn="0" w:oddVBand="0" w:evenVBand="0" w:oddHBand="0" w:evenHBand="0" w:firstRowFirstColumn="0" w:firstRowLastColumn="0" w:lastRowFirstColumn="0" w:lastRowLastColumn="0"/>
            <w:tcW w:w="1961" w:type="dxa"/>
            <w:hideMark/>
          </w:tcPr>
          <w:p w14:paraId="05EBCA7C" w14:textId="77777777" w:rsidR="00A13819" w:rsidRPr="004F4BA7" w:rsidRDefault="00A13819" w:rsidP="001D508A">
            <w:pPr>
              <w:jc w:val="both"/>
              <w:rPr>
                <w:lang w:eastAsia="en-GB"/>
              </w:rPr>
            </w:pPr>
            <w:r w:rsidRPr="004F4BA7">
              <w:rPr>
                <w:lang w:eastAsia="en-GB"/>
              </w:rPr>
              <w:t>Cambridge</w:t>
            </w:r>
          </w:p>
        </w:tc>
        <w:tc>
          <w:tcPr>
            <w:tcW w:w="1646" w:type="dxa"/>
            <w:hideMark/>
          </w:tcPr>
          <w:p w14:paraId="41C3A2B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w:t>
            </w:r>
          </w:p>
        </w:tc>
        <w:tc>
          <w:tcPr>
            <w:tcW w:w="1646" w:type="dxa"/>
            <w:hideMark/>
          </w:tcPr>
          <w:p w14:paraId="0946B5C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22%</w:t>
            </w:r>
          </w:p>
        </w:tc>
        <w:tc>
          <w:tcPr>
            <w:tcW w:w="1646" w:type="dxa"/>
            <w:hideMark/>
          </w:tcPr>
          <w:p w14:paraId="78B95974"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w:t>
            </w:r>
          </w:p>
        </w:tc>
        <w:tc>
          <w:tcPr>
            <w:tcW w:w="1646" w:type="dxa"/>
            <w:hideMark/>
          </w:tcPr>
          <w:p w14:paraId="79A9AB20"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w:t>
            </w:r>
          </w:p>
        </w:tc>
      </w:tr>
      <w:tr w:rsidR="007A71A5" w:rsidRPr="007A71A5" w14:paraId="6E0F19AD" w14:textId="77777777" w:rsidTr="007A71A5">
        <w:trPr>
          <w:trHeight w:val="313"/>
        </w:trPr>
        <w:tc>
          <w:tcPr>
            <w:cnfStyle w:val="001000000000" w:firstRow="0" w:lastRow="0" w:firstColumn="1" w:lastColumn="0" w:oddVBand="0" w:evenVBand="0" w:oddHBand="0" w:evenHBand="0" w:firstRowFirstColumn="0" w:firstRowLastColumn="0" w:lastRowFirstColumn="0" w:lastRowLastColumn="0"/>
            <w:tcW w:w="1961" w:type="dxa"/>
            <w:hideMark/>
          </w:tcPr>
          <w:p w14:paraId="74440CDD" w14:textId="77777777" w:rsidR="00A13819" w:rsidRPr="004F4BA7" w:rsidRDefault="00A13819" w:rsidP="001D508A">
            <w:pPr>
              <w:jc w:val="both"/>
              <w:rPr>
                <w:lang w:eastAsia="en-GB"/>
              </w:rPr>
            </w:pPr>
            <w:r w:rsidRPr="004F4BA7">
              <w:rPr>
                <w:lang w:eastAsia="en-GB"/>
              </w:rPr>
              <w:t>East Cambs</w:t>
            </w:r>
          </w:p>
        </w:tc>
        <w:tc>
          <w:tcPr>
            <w:tcW w:w="1646" w:type="dxa"/>
            <w:hideMark/>
          </w:tcPr>
          <w:p w14:paraId="71AE5F3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68%</w:t>
            </w:r>
          </w:p>
        </w:tc>
        <w:tc>
          <w:tcPr>
            <w:tcW w:w="1646" w:type="dxa"/>
            <w:hideMark/>
          </w:tcPr>
          <w:p w14:paraId="49878E3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1646" w:type="dxa"/>
            <w:hideMark/>
          </w:tcPr>
          <w:p w14:paraId="706851C3"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w:t>
            </w:r>
          </w:p>
        </w:tc>
        <w:tc>
          <w:tcPr>
            <w:tcW w:w="1646" w:type="dxa"/>
            <w:hideMark/>
          </w:tcPr>
          <w:p w14:paraId="6D1587F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r>
      <w:tr w:rsidR="007A71A5" w:rsidRPr="007A71A5" w14:paraId="51A3C1A9" w14:textId="77777777" w:rsidTr="007A71A5">
        <w:trPr>
          <w:trHeight w:val="313"/>
        </w:trPr>
        <w:tc>
          <w:tcPr>
            <w:cnfStyle w:val="001000000000" w:firstRow="0" w:lastRow="0" w:firstColumn="1" w:lastColumn="0" w:oddVBand="0" w:evenVBand="0" w:oddHBand="0" w:evenHBand="0" w:firstRowFirstColumn="0" w:firstRowLastColumn="0" w:lastRowFirstColumn="0" w:lastRowLastColumn="0"/>
            <w:tcW w:w="1961" w:type="dxa"/>
            <w:hideMark/>
          </w:tcPr>
          <w:p w14:paraId="5458EC2C" w14:textId="77777777" w:rsidR="00A13819" w:rsidRPr="004F4BA7" w:rsidRDefault="00A13819" w:rsidP="001D508A">
            <w:pPr>
              <w:jc w:val="both"/>
              <w:rPr>
                <w:lang w:eastAsia="en-GB"/>
              </w:rPr>
            </w:pPr>
            <w:r w:rsidRPr="004F4BA7">
              <w:rPr>
                <w:lang w:eastAsia="en-GB"/>
              </w:rPr>
              <w:t>Fenland</w:t>
            </w:r>
          </w:p>
        </w:tc>
        <w:tc>
          <w:tcPr>
            <w:tcW w:w="1646" w:type="dxa"/>
            <w:hideMark/>
          </w:tcPr>
          <w:p w14:paraId="7269243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83%</w:t>
            </w:r>
          </w:p>
        </w:tc>
        <w:tc>
          <w:tcPr>
            <w:tcW w:w="1646" w:type="dxa"/>
            <w:hideMark/>
          </w:tcPr>
          <w:p w14:paraId="469FD9E1"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w:t>
            </w:r>
          </w:p>
        </w:tc>
        <w:tc>
          <w:tcPr>
            <w:tcW w:w="1646" w:type="dxa"/>
            <w:hideMark/>
          </w:tcPr>
          <w:p w14:paraId="7D765CA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42%</w:t>
            </w:r>
          </w:p>
        </w:tc>
        <w:tc>
          <w:tcPr>
            <w:tcW w:w="1646" w:type="dxa"/>
            <w:hideMark/>
          </w:tcPr>
          <w:p w14:paraId="40CE9E8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32%</w:t>
            </w:r>
          </w:p>
        </w:tc>
      </w:tr>
      <w:tr w:rsidR="007A71A5" w:rsidRPr="007A71A5" w14:paraId="37C80A72" w14:textId="77777777" w:rsidTr="007A71A5">
        <w:trPr>
          <w:trHeight w:val="313"/>
        </w:trPr>
        <w:tc>
          <w:tcPr>
            <w:cnfStyle w:val="001000000000" w:firstRow="0" w:lastRow="0" w:firstColumn="1" w:lastColumn="0" w:oddVBand="0" w:evenVBand="0" w:oddHBand="0" w:evenHBand="0" w:firstRowFirstColumn="0" w:firstRowLastColumn="0" w:lastRowFirstColumn="0" w:lastRowLastColumn="0"/>
            <w:tcW w:w="1961" w:type="dxa"/>
            <w:hideMark/>
          </w:tcPr>
          <w:p w14:paraId="12494178" w14:textId="77777777" w:rsidR="00A13819" w:rsidRPr="004F4BA7" w:rsidRDefault="00A13819" w:rsidP="001D508A">
            <w:pPr>
              <w:jc w:val="both"/>
              <w:rPr>
                <w:lang w:eastAsia="en-GB"/>
              </w:rPr>
            </w:pPr>
            <w:r w:rsidRPr="004F4BA7">
              <w:rPr>
                <w:lang w:eastAsia="en-GB"/>
              </w:rPr>
              <w:t>Huntingdonshire</w:t>
            </w:r>
          </w:p>
        </w:tc>
        <w:tc>
          <w:tcPr>
            <w:tcW w:w="1646" w:type="dxa"/>
            <w:hideMark/>
          </w:tcPr>
          <w:p w14:paraId="1F61609A"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55%</w:t>
            </w:r>
          </w:p>
        </w:tc>
        <w:tc>
          <w:tcPr>
            <w:tcW w:w="1646" w:type="dxa"/>
            <w:hideMark/>
          </w:tcPr>
          <w:p w14:paraId="75C3BCC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1646" w:type="dxa"/>
            <w:hideMark/>
          </w:tcPr>
          <w:p w14:paraId="712DE70C"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w:t>
            </w:r>
          </w:p>
        </w:tc>
        <w:tc>
          <w:tcPr>
            <w:tcW w:w="1646" w:type="dxa"/>
            <w:hideMark/>
          </w:tcPr>
          <w:p w14:paraId="09059F97"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w:t>
            </w:r>
          </w:p>
        </w:tc>
      </w:tr>
      <w:tr w:rsidR="007A71A5" w:rsidRPr="007A71A5" w14:paraId="5A8A44FA" w14:textId="77777777" w:rsidTr="007A71A5">
        <w:trPr>
          <w:trHeight w:val="313"/>
        </w:trPr>
        <w:tc>
          <w:tcPr>
            <w:cnfStyle w:val="001000000000" w:firstRow="0" w:lastRow="0" w:firstColumn="1" w:lastColumn="0" w:oddVBand="0" w:evenVBand="0" w:oddHBand="0" w:evenHBand="0" w:firstRowFirstColumn="0" w:firstRowLastColumn="0" w:lastRowFirstColumn="0" w:lastRowLastColumn="0"/>
            <w:tcW w:w="1961" w:type="dxa"/>
            <w:hideMark/>
          </w:tcPr>
          <w:p w14:paraId="10457FCC" w14:textId="77777777" w:rsidR="00A13819" w:rsidRPr="004F4BA7" w:rsidRDefault="00A13819" w:rsidP="001D508A">
            <w:pPr>
              <w:jc w:val="both"/>
              <w:rPr>
                <w:lang w:eastAsia="en-GB"/>
              </w:rPr>
            </w:pPr>
            <w:r w:rsidRPr="004F4BA7">
              <w:rPr>
                <w:lang w:eastAsia="en-GB"/>
              </w:rPr>
              <w:t>South Cambs</w:t>
            </w:r>
          </w:p>
        </w:tc>
        <w:tc>
          <w:tcPr>
            <w:tcW w:w="1646" w:type="dxa"/>
            <w:hideMark/>
          </w:tcPr>
          <w:p w14:paraId="55447A6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42%</w:t>
            </w:r>
          </w:p>
        </w:tc>
        <w:tc>
          <w:tcPr>
            <w:tcW w:w="1646" w:type="dxa"/>
            <w:hideMark/>
          </w:tcPr>
          <w:p w14:paraId="3F193563"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c>
          <w:tcPr>
            <w:tcW w:w="1646" w:type="dxa"/>
            <w:hideMark/>
          </w:tcPr>
          <w:p w14:paraId="4521DAA0"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22%</w:t>
            </w:r>
          </w:p>
        </w:tc>
        <w:tc>
          <w:tcPr>
            <w:tcW w:w="1646" w:type="dxa"/>
            <w:hideMark/>
          </w:tcPr>
          <w:p w14:paraId="3ECD06CA"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w:t>
            </w:r>
          </w:p>
        </w:tc>
      </w:tr>
      <w:tr w:rsidR="007A71A5" w:rsidRPr="007A71A5" w14:paraId="09C551D3" w14:textId="77777777" w:rsidTr="007A71A5">
        <w:trPr>
          <w:trHeight w:val="313"/>
        </w:trPr>
        <w:tc>
          <w:tcPr>
            <w:cnfStyle w:val="001000000000" w:firstRow="0" w:lastRow="0" w:firstColumn="1" w:lastColumn="0" w:oddVBand="0" w:evenVBand="0" w:oddHBand="0" w:evenHBand="0" w:firstRowFirstColumn="0" w:firstRowLastColumn="0" w:lastRowFirstColumn="0" w:lastRowLastColumn="0"/>
            <w:tcW w:w="1961" w:type="dxa"/>
            <w:hideMark/>
          </w:tcPr>
          <w:p w14:paraId="0585239C" w14:textId="77777777" w:rsidR="00A13819" w:rsidRPr="004F4BA7" w:rsidRDefault="00A13819" w:rsidP="001D508A">
            <w:pPr>
              <w:jc w:val="both"/>
              <w:rPr>
                <w:lang w:eastAsia="en-GB"/>
              </w:rPr>
            </w:pPr>
            <w:r w:rsidRPr="004F4BA7">
              <w:rPr>
                <w:lang w:eastAsia="en-GB"/>
              </w:rPr>
              <w:t>West Suffolk</w:t>
            </w:r>
          </w:p>
        </w:tc>
        <w:tc>
          <w:tcPr>
            <w:tcW w:w="1646" w:type="dxa"/>
            <w:hideMark/>
          </w:tcPr>
          <w:p w14:paraId="5FB3C3A7"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w:t>
            </w:r>
          </w:p>
        </w:tc>
        <w:tc>
          <w:tcPr>
            <w:tcW w:w="1646" w:type="dxa"/>
            <w:hideMark/>
          </w:tcPr>
          <w:p w14:paraId="0E65CF6A"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w:t>
            </w:r>
          </w:p>
        </w:tc>
        <w:tc>
          <w:tcPr>
            <w:tcW w:w="1646" w:type="dxa"/>
            <w:hideMark/>
          </w:tcPr>
          <w:p w14:paraId="72D2BEA4"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47%</w:t>
            </w:r>
          </w:p>
        </w:tc>
        <w:tc>
          <w:tcPr>
            <w:tcW w:w="1646" w:type="dxa"/>
            <w:hideMark/>
          </w:tcPr>
          <w:p w14:paraId="19E88F11"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45%</w:t>
            </w:r>
          </w:p>
        </w:tc>
      </w:tr>
    </w:tbl>
    <w:p w14:paraId="71E0CC8A" w14:textId="77777777" w:rsidR="00A13819" w:rsidRPr="007D0FBF" w:rsidRDefault="00A13819" w:rsidP="00A13819">
      <w:pPr>
        <w:pStyle w:val="Bodytextwithindent"/>
        <w:spacing w:before="0" w:after="120"/>
        <w:rPr>
          <w:sz w:val="24"/>
          <w:szCs w:val="22"/>
        </w:rPr>
      </w:pPr>
      <w:r w:rsidRPr="007D0FBF">
        <w:rPr>
          <w:sz w:val="24"/>
          <w:szCs w:val="22"/>
        </w:rPr>
        <w:t>Source: Range of sources as discussed</w:t>
      </w:r>
    </w:p>
    <w:p w14:paraId="5813AF82" w14:textId="77777777" w:rsidR="00A13819" w:rsidRDefault="00A13819" w:rsidP="007D0FBF">
      <w:pPr>
        <w:pStyle w:val="11Bodytext"/>
      </w:pPr>
      <w:r>
        <w:t>Generally, lower equity shares are needed for larger homes, the exception seems to be in West Suffolk – this is driven by the observation that larger property private sector rents are quite high. Taking all the evidence in the round, suggests that equity shares between 25% and 35% would generally be appropriate.</w:t>
      </w:r>
    </w:p>
    <w:p w14:paraId="0641054B" w14:textId="77777777" w:rsidR="00A13819" w:rsidRPr="00526C6E" w:rsidRDefault="00A13819" w:rsidP="007D0FBF">
      <w:pPr>
        <w:pStyle w:val="11Bodytext"/>
        <w:rPr>
          <w:b/>
        </w:rPr>
      </w:pPr>
      <w:r>
        <w:t xml:space="preserve">As with other analyses, it should also be noted that the analysis below is predicated on a particular set of assumptions (notably about likely open market value (OMV) of the property). This is necessary in order to arrive at an estimate of the level of discount required to achieve affordability. </w:t>
      </w:r>
    </w:p>
    <w:p w14:paraId="0774B36A" w14:textId="77777777" w:rsidR="00A13819" w:rsidRPr="00526C6E" w:rsidRDefault="00A13819" w:rsidP="007D0FBF">
      <w:pPr>
        <w:pStyle w:val="11Bodytext"/>
        <w:rPr>
          <w:b/>
        </w:rPr>
      </w:pPr>
      <w:r>
        <w:t>In reality, costs do vary across local authorities and will vary from site to site. Therefore, this analysis should be seen as indicative. Specific schemes should be tested individually to determine if the product being offered is genuinely (or reasonably) affordable. The series of tables below set out the calculations of equity shares likely to be affordable in a local context for individual local authorities.</w:t>
      </w:r>
    </w:p>
    <w:p w14:paraId="2313A095" w14:textId="77777777" w:rsidR="00A13819" w:rsidRDefault="00A13819" w:rsidP="003D5E23">
      <w:pPr>
        <w:pStyle w:val="Tableheading"/>
        <w:numPr>
          <w:ilvl w:val="0"/>
          <w:numId w:val="54"/>
        </w:numPr>
      </w:pPr>
      <w:r>
        <w:lastRenderedPageBreak/>
        <w:t>Estimated Affordable Equity Share by Size – Cambridge</w:t>
      </w:r>
    </w:p>
    <w:tbl>
      <w:tblPr>
        <w:tblStyle w:val="TableGridLight1"/>
        <w:tblW w:w="8792" w:type="dxa"/>
        <w:tblInd w:w="846" w:type="dxa"/>
        <w:tblLook w:val="04A0" w:firstRow="1" w:lastRow="0" w:firstColumn="1" w:lastColumn="0" w:noHBand="0" w:noVBand="1"/>
      </w:tblPr>
      <w:tblGrid>
        <w:gridCol w:w="3118"/>
        <w:gridCol w:w="1418"/>
        <w:gridCol w:w="1419"/>
        <w:gridCol w:w="1418"/>
        <w:gridCol w:w="1419"/>
      </w:tblGrid>
      <w:tr w:rsidR="007A71A5" w:rsidRPr="007A71A5" w14:paraId="7B1A2444" w14:textId="77777777" w:rsidTr="007D0FBF">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118" w:type="dxa"/>
            <w:hideMark/>
          </w:tcPr>
          <w:p w14:paraId="43043B03" w14:textId="77777777" w:rsidR="00A13819" w:rsidRPr="007A71A5" w:rsidRDefault="00A13819" w:rsidP="008E6E40">
            <w:pPr>
              <w:keepNext/>
              <w:rPr>
                <w:lang w:eastAsia="en-GB"/>
              </w:rPr>
            </w:pPr>
            <w:r w:rsidRPr="007A71A5">
              <w:rPr>
                <w:lang w:eastAsia="en-GB"/>
              </w:rPr>
              <w:t> </w:t>
            </w:r>
          </w:p>
        </w:tc>
        <w:tc>
          <w:tcPr>
            <w:tcW w:w="1418" w:type="dxa"/>
            <w:hideMark/>
          </w:tcPr>
          <w:p w14:paraId="1458B57D" w14:textId="18074A53"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w:t>
            </w:r>
          </w:p>
        </w:tc>
        <w:tc>
          <w:tcPr>
            <w:tcW w:w="1419" w:type="dxa"/>
            <w:hideMark/>
          </w:tcPr>
          <w:p w14:paraId="2A373642" w14:textId="32F0FB5A"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2-Beds</w:t>
            </w:r>
          </w:p>
        </w:tc>
        <w:tc>
          <w:tcPr>
            <w:tcW w:w="1418" w:type="dxa"/>
            <w:hideMark/>
          </w:tcPr>
          <w:p w14:paraId="23293E25" w14:textId="467D945A"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3-Beds</w:t>
            </w:r>
          </w:p>
        </w:tc>
        <w:tc>
          <w:tcPr>
            <w:tcW w:w="1419" w:type="dxa"/>
            <w:hideMark/>
          </w:tcPr>
          <w:p w14:paraId="0041E5D1" w14:textId="6BCFA19D" w:rsidR="00A13819" w:rsidRPr="007A71A5" w:rsidRDefault="00A13819"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4+-Beds</w:t>
            </w:r>
          </w:p>
        </w:tc>
      </w:tr>
      <w:tr w:rsidR="007A71A5" w:rsidRPr="007A71A5" w14:paraId="741CE9C5"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34EE3E64" w14:textId="77777777" w:rsidR="00A13819" w:rsidRPr="004F4BA7" w:rsidRDefault="00A13819" w:rsidP="008E6E40">
            <w:pPr>
              <w:keepNext/>
              <w:rPr>
                <w:bCs/>
                <w:lang w:eastAsia="en-GB"/>
              </w:rPr>
            </w:pPr>
            <w:r w:rsidRPr="004F4BA7">
              <w:rPr>
                <w:bCs/>
                <w:lang w:eastAsia="en-GB"/>
              </w:rPr>
              <w:t>OMV</w:t>
            </w:r>
          </w:p>
        </w:tc>
        <w:tc>
          <w:tcPr>
            <w:tcW w:w="1418" w:type="dxa"/>
            <w:hideMark/>
          </w:tcPr>
          <w:p w14:paraId="32DC439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£258,750</w:t>
            </w:r>
          </w:p>
        </w:tc>
        <w:tc>
          <w:tcPr>
            <w:tcW w:w="1419" w:type="dxa"/>
            <w:hideMark/>
          </w:tcPr>
          <w:p w14:paraId="4719D9B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£345,000</w:t>
            </w:r>
          </w:p>
        </w:tc>
        <w:tc>
          <w:tcPr>
            <w:tcW w:w="1418" w:type="dxa"/>
            <w:hideMark/>
          </w:tcPr>
          <w:p w14:paraId="45C1FD7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£454,250</w:t>
            </w:r>
          </w:p>
        </w:tc>
        <w:tc>
          <w:tcPr>
            <w:tcW w:w="1419" w:type="dxa"/>
            <w:hideMark/>
          </w:tcPr>
          <w:p w14:paraId="3E26DDE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£632,500</w:t>
            </w:r>
          </w:p>
        </w:tc>
      </w:tr>
      <w:tr w:rsidR="007A71A5" w:rsidRPr="007A71A5" w14:paraId="2E818E33"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14412381" w14:textId="77777777" w:rsidR="00A13819" w:rsidRPr="004F4BA7" w:rsidRDefault="00A13819" w:rsidP="008E6E40">
            <w:pPr>
              <w:keepNext/>
              <w:rPr>
                <w:bCs/>
                <w:lang w:eastAsia="en-GB"/>
              </w:rPr>
            </w:pPr>
            <w:r w:rsidRPr="004F4BA7">
              <w:rPr>
                <w:bCs/>
                <w:lang w:eastAsia="en-GB"/>
              </w:rPr>
              <w:t>Share Bought</w:t>
            </w:r>
          </w:p>
        </w:tc>
        <w:tc>
          <w:tcPr>
            <w:tcW w:w="1418" w:type="dxa"/>
            <w:hideMark/>
          </w:tcPr>
          <w:p w14:paraId="21FBC5E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w:t>
            </w:r>
          </w:p>
        </w:tc>
        <w:tc>
          <w:tcPr>
            <w:tcW w:w="1419" w:type="dxa"/>
            <w:hideMark/>
          </w:tcPr>
          <w:p w14:paraId="52E532E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22%</w:t>
            </w:r>
          </w:p>
        </w:tc>
        <w:tc>
          <w:tcPr>
            <w:tcW w:w="1418" w:type="dxa"/>
            <w:hideMark/>
          </w:tcPr>
          <w:p w14:paraId="3DDE699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w:t>
            </w:r>
          </w:p>
        </w:tc>
        <w:tc>
          <w:tcPr>
            <w:tcW w:w="1419" w:type="dxa"/>
            <w:hideMark/>
          </w:tcPr>
          <w:p w14:paraId="1884822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w:t>
            </w:r>
          </w:p>
        </w:tc>
      </w:tr>
      <w:tr w:rsidR="007A71A5" w:rsidRPr="007A71A5" w14:paraId="09D2F310"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3B38FC51" w14:textId="77777777" w:rsidR="00A13819" w:rsidRPr="004F4BA7" w:rsidRDefault="00A13819" w:rsidP="008E6E40">
            <w:pPr>
              <w:keepNext/>
              <w:rPr>
                <w:bCs/>
                <w:lang w:eastAsia="en-GB"/>
              </w:rPr>
            </w:pPr>
            <w:r w:rsidRPr="004F4BA7">
              <w:rPr>
                <w:bCs/>
                <w:lang w:eastAsia="en-GB"/>
              </w:rPr>
              <w:t>Equity Bought</w:t>
            </w:r>
          </w:p>
        </w:tc>
        <w:tc>
          <w:tcPr>
            <w:tcW w:w="1418" w:type="dxa"/>
            <w:hideMark/>
          </w:tcPr>
          <w:p w14:paraId="1434755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£63,911</w:t>
            </w:r>
          </w:p>
        </w:tc>
        <w:tc>
          <w:tcPr>
            <w:tcW w:w="1419" w:type="dxa"/>
            <w:hideMark/>
          </w:tcPr>
          <w:p w14:paraId="3B8629C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£74,865</w:t>
            </w:r>
          </w:p>
        </w:tc>
        <w:tc>
          <w:tcPr>
            <w:tcW w:w="1418" w:type="dxa"/>
            <w:hideMark/>
          </w:tcPr>
          <w:p w14:paraId="24FD805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£64,504</w:t>
            </w:r>
          </w:p>
        </w:tc>
        <w:tc>
          <w:tcPr>
            <w:tcW w:w="1419" w:type="dxa"/>
            <w:hideMark/>
          </w:tcPr>
          <w:p w14:paraId="2C31B3F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£73,370</w:t>
            </w:r>
          </w:p>
        </w:tc>
      </w:tr>
      <w:tr w:rsidR="007A71A5" w:rsidRPr="007A71A5" w14:paraId="57136230"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7CC373D7" w14:textId="77777777" w:rsidR="00A13819" w:rsidRPr="004F4BA7" w:rsidRDefault="00A13819" w:rsidP="008E6E40">
            <w:pPr>
              <w:keepNext/>
              <w:rPr>
                <w:bCs/>
                <w:lang w:eastAsia="en-GB"/>
              </w:rPr>
            </w:pPr>
            <w:r w:rsidRPr="004F4BA7">
              <w:rPr>
                <w:bCs/>
                <w:lang w:eastAsia="en-GB"/>
              </w:rPr>
              <w:t>Mortgage Needed</w:t>
            </w:r>
          </w:p>
        </w:tc>
        <w:tc>
          <w:tcPr>
            <w:tcW w:w="1418" w:type="dxa"/>
            <w:hideMark/>
          </w:tcPr>
          <w:p w14:paraId="714006C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£57,520</w:t>
            </w:r>
          </w:p>
        </w:tc>
        <w:tc>
          <w:tcPr>
            <w:tcW w:w="1419" w:type="dxa"/>
            <w:hideMark/>
          </w:tcPr>
          <w:p w14:paraId="4051BE8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£67,379</w:t>
            </w:r>
          </w:p>
        </w:tc>
        <w:tc>
          <w:tcPr>
            <w:tcW w:w="1418" w:type="dxa"/>
            <w:hideMark/>
          </w:tcPr>
          <w:p w14:paraId="1B0691E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£58,053</w:t>
            </w:r>
          </w:p>
        </w:tc>
        <w:tc>
          <w:tcPr>
            <w:tcW w:w="1419" w:type="dxa"/>
            <w:hideMark/>
          </w:tcPr>
          <w:p w14:paraId="66188E2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£66,033</w:t>
            </w:r>
          </w:p>
        </w:tc>
      </w:tr>
      <w:tr w:rsidR="007A71A5" w:rsidRPr="007A71A5" w14:paraId="2B6A7621"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1DAA9F5C" w14:textId="77777777" w:rsidR="00A13819" w:rsidRPr="004F4BA7" w:rsidRDefault="00A13819" w:rsidP="008E6E40">
            <w:pPr>
              <w:keepNext/>
              <w:rPr>
                <w:bCs/>
                <w:lang w:eastAsia="en-GB"/>
              </w:rPr>
            </w:pPr>
            <w:r w:rsidRPr="004F4BA7">
              <w:rPr>
                <w:bCs/>
                <w:lang w:eastAsia="en-GB"/>
              </w:rPr>
              <w:t>Monthly Cost of Mortgage</w:t>
            </w:r>
          </w:p>
        </w:tc>
        <w:tc>
          <w:tcPr>
            <w:tcW w:w="1418" w:type="dxa"/>
            <w:hideMark/>
          </w:tcPr>
          <w:p w14:paraId="35B050A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£304</w:t>
            </w:r>
          </w:p>
        </w:tc>
        <w:tc>
          <w:tcPr>
            <w:tcW w:w="1419" w:type="dxa"/>
            <w:hideMark/>
          </w:tcPr>
          <w:p w14:paraId="48140F4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£356</w:t>
            </w:r>
          </w:p>
        </w:tc>
        <w:tc>
          <w:tcPr>
            <w:tcW w:w="1418" w:type="dxa"/>
            <w:hideMark/>
          </w:tcPr>
          <w:p w14:paraId="449A2DF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£307</w:t>
            </w:r>
          </w:p>
        </w:tc>
        <w:tc>
          <w:tcPr>
            <w:tcW w:w="1419" w:type="dxa"/>
            <w:hideMark/>
          </w:tcPr>
          <w:p w14:paraId="69E2588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£349</w:t>
            </w:r>
          </w:p>
        </w:tc>
      </w:tr>
      <w:tr w:rsidR="007A71A5" w:rsidRPr="007A71A5" w14:paraId="5612B38C"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2E428FFA" w14:textId="77777777" w:rsidR="00A13819" w:rsidRPr="004F4BA7" w:rsidRDefault="00A13819" w:rsidP="008E6E40">
            <w:pPr>
              <w:keepNext/>
              <w:rPr>
                <w:bCs/>
                <w:lang w:eastAsia="en-GB"/>
              </w:rPr>
            </w:pPr>
            <w:r w:rsidRPr="004F4BA7">
              <w:rPr>
                <w:bCs/>
                <w:lang w:eastAsia="en-GB"/>
              </w:rPr>
              <w:t>Retained Equity</w:t>
            </w:r>
          </w:p>
        </w:tc>
        <w:tc>
          <w:tcPr>
            <w:tcW w:w="1418" w:type="dxa"/>
            <w:hideMark/>
          </w:tcPr>
          <w:p w14:paraId="4A9A484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£194,839</w:t>
            </w:r>
          </w:p>
        </w:tc>
        <w:tc>
          <w:tcPr>
            <w:tcW w:w="1419" w:type="dxa"/>
            <w:hideMark/>
          </w:tcPr>
          <w:p w14:paraId="1BD4B40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£270,135</w:t>
            </w:r>
          </w:p>
        </w:tc>
        <w:tc>
          <w:tcPr>
            <w:tcW w:w="1418" w:type="dxa"/>
            <w:hideMark/>
          </w:tcPr>
          <w:p w14:paraId="4A0C16C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£389,747</w:t>
            </w:r>
          </w:p>
        </w:tc>
        <w:tc>
          <w:tcPr>
            <w:tcW w:w="1419" w:type="dxa"/>
            <w:hideMark/>
          </w:tcPr>
          <w:p w14:paraId="4CD3027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£559,130</w:t>
            </w:r>
          </w:p>
        </w:tc>
      </w:tr>
      <w:tr w:rsidR="007A71A5" w:rsidRPr="007A71A5" w14:paraId="3A76D851"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267EE8AA" w14:textId="77777777" w:rsidR="00A13819" w:rsidRPr="004F4BA7" w:rsidRDefault="00A13819" w:rsidP="008E6E40">
            <w:pPr>
              <w:keepNext/>
              <w:rPr>
                <w:bCs/>
                <w:lang w:eastAsia="en-GB"/>
              </w:rPr>
            </w:pPr>
            <w:r w:rsidRPr="004F4BA7">
              <w:rPr>
                <w:bCs/>
                <w:lang w:eastAsia="en-GB"/>
              </w:rPr>
              <w:t>Monthly Rent on Retained Equity</w:t>
            </w:r>
          </w:p>
        </w:tc>
        <w:tc>
          <w:tcPr>
            <w:tcW w:w="1418" w:type="dxa"/>
            <w:hideMark/>
          </w:tcPr>
          <w:p w14:paraId="6DB07D5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£447</w:t>
            </w:r>
          </w:p>
        </w:tc>
        <w:tc>
          <w:tcPr>
            <w:tcW w:w="1419" w:type="dxa"/>
            <w:hideMark/>
          </w:tcPr>
          <w:p w14:paraId="26C4C281"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£619</w:t>
            </w:r>
          </w:p>
        </w:tc>
        <w:tc>
          <w:tcPr>
            <w:tcW w:w="1418" w:type="dxa"/>
            <w:hideMark/>
          </w:tcPr>
          <w:p w14:paraId="6566915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£893</w:t>
            </w:r>
          </w:p>
        </w:tc>
        <w:tc>
          <w:tcPr>
            <w:tcW w:w="1419" w:type="dxa"/>
            <w:hideMark/>
          </w:tcPr>
          <w:p w14:paraId="2AE1FB6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£1,281</w:t>
            </w:r>
          </w:p>
        </w:tc>
      </w:tr>
      <w:tr w:rsidR="007A71A5" w:rsidRPr="007A71A5" w14:paraId="04E166CD"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7C5567D9" w14:textId="77777777" w:rsidR="00A13819" w:rsidRPr="004F4BA7" w:rsidRDefault="00A13819" w:rsidP="008E6E40">
            <w:pPr>
              <w:keepNext/>
              <w:rPr>
                <w:bCs/>
                <w:lang w:eastAsia="en-GB"/>
              </w:rPr>
            </w:pPr>
            <w:r w:rsidRPr="004F4BA7">
              <w:rPr>
                <w:bCs/>
                <w:lang w:eastAsia="en-GB"/>
              </w:rPr>
              <w:t>Service Charge per month</w:t>
            </w:r>
          </w:p>
        </w:tc>
        <w:tc>
          <w:tcPr>
            <w:tcW w:w="1418" w:type="dxa"/>
            <w:hideMark/>
          </w:tcPr>
          <w:p w14:paraId="737DFA8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419" w:type="dxa"/>
            <w:hideMark/>
          </w:tcPr>
          <w:p w14:paraId="4300C8E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418" w:type="dxa"/>
            <w:hideMark/>
          </w:tcPr>
          <w:p w14:paraId="1028719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c>
          <w:tcPr>
            <w:tcW w:w="1419" w:type="dxa"/>
            <w:hideMark/>
          </w:tcPr>
          <w:p w14:paraId="7A9A19E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r>
      <w:tr w:rsidR="007A71A5" w:rsidRPr="007A71A5" w14:paraId="2F2EEBA5" w14:textId="77777777" w:rsidTr="004F4BA7">
        <w:trPr>
          <w:trHeight w:val="259"/>
        </w:trPr>
        <w:tc>
          <w:tcPr>
            <w:cnfStyle w:val="001000000000" w:firstRow="0" w:lastRow="0" w:firstColumn="1" w:lastColumn="0" w:oddVBand="0" w:evenVBand="0" w:oddHBand="0" w:evenHBand="0" w:firstRowFirstColumn="0" w:firstRowLastColumn="0" w:lastRowFirstColumn="0" w:lastRowLastColumn="0"/>
            <w:tcW w:w="3118" w:type="dxa"/>
            <w:hideMark/>
          </w:tcPr>
          <w:p w14:paraId="563187E2" w14:textId="77777777" w:rsidR="00A13819" w:rsidRPr="003A75AB" w:rsidRDefault="00A13819" w:rsidP="008E6E40">
            <w:pPr>
              <w:keepNext/>
              <w:rPr>
                <w:b/>
                <w:lang w:eastAsia="en-GB"/>
              </w:rPr>
            </w:pPr>
            <w:r w:rsidRPr="003A75AB">
              <w:rPr>
                <w:b/>
                <w:lang w:eastAsia="en-GB"/>
              </w:rPr>
              <w:t>Total Cost per month</w:t>
            </w:r>
          </w:p>
        </w:tc>
        <w:tc>
          <w:tcPr>
            <w:tcW w:w="1418" w:type="dxa"/>
            <w:hideMark/>
          </w:tcPr>
          <w:p w14:paraId="4536D8E5"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£850</w:t>
            </w:r>
          </w:p>
        </w:tc>
        <w:tc>
          <w:tcPr>
            <w:tcW w:w="1419" w:type="dxa"/>
            <w:hideMark/>
          </w:tcPr>
          <w:p w14:paraId="642BA354"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£1,075</w:t>
            </w:r>
          </w:p>
        </w:tc>
        <w:tc>
          <w:tcPr>
            <w:tcW w:w="1418" w:type="dxa"/>
            <w:hideMark/>
          </w:tcPr>
          <w:p w14:paraId="7925BB0F"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£1,200</w:t>
            </w:r>
          </w:p>
        </w:tc>
        <w:tc>
          <w:tcPr>
            <w:tcW w:w="1419" w:type="dxa"/>
            <w:hideMark/>
          </w:tcPr>
          <w:p w14:paraId="37861DB8"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£1,630</w:t>
            </w:r>
          </w:p>
        </w:tc>
      </w:tr>
    </w:tbl>
    <w:p w14:paraId="3612DD94" w14:textId="0C896C55" w:rsidR="00A13819" w:rsidRPr="007D0FBF" w:rsidRDefault="00A13819" w:rsidP="009534EE">
      <w:pPr>
        <w:pStyle w:val="Bodytextwithindent"/>
        <w:keepNext/>
        <w:spacing w:before="0" w:after="0" w:line="240" w:lineRule="auto"/>
        <w:ind w:left="0"/>
        <w:rPr>
          <w:sz w:val="24"/>
          <w:szCs w:val="22"/>
        </w:rPr>
      </w:pPr>
      <w:r w:rsidRPr="007D0FBF">
        <w:rPr>
          <w:sz w:val="24"/>
          <w:szCs w:val="22"/>
        </w:rPr>
        <w:t xml:space="preserve">               Source: Data based on Housing Market Cost Analysis</w:t>
      </w:r>
    </w:p>
    <w:p w14:paraId="0F0DA58A" w14:textId="77777777" w:rsidR="00A100D1" w:rsidRPr="008E6E40" w:rsidRDefault="00A100D1" w:rsidP="008E6E40"/>
    <w:p w14:paraId="0CCB38EE" w14:textId="77777777" w:rsidR="00A13819" w:rsidRDefault="00A13819" w:rsidP="003D5E23">
      <w:pPr>
        <w:pStyle w:val="Tableheading"/>
        <w:numPr>
          <w:ilvl w:val="0"/>
          <w:numId w:val="54"/>
        </w:numPr>
      </w:pPr>
      <w:r>
        <w:t>Estimated Affordable Equity Share by Size – East Cambridgeshire</w:t>
      </w:r>
    </w:p>
    <w:tbl>
      <w:tblPr>
        <w:tblStyle w:val="TableGridLight1"/>
        <w:tblW w:w="8805" w:type="dxa"/>
        <w:tblInd w:w="854" w:type="dxa"/>
        <w:tblLook w:val="04A0" w:firstRow="1" w:lastRow="0" w:firstColumn="1" w:lastColumn="0" w:noHBand="0" w:noVBand="1"/>
      </w:tblPr>
      <w:tblGrid>
        <w:gridCol w:w="3110"/>
        <w:gridCol w:w="1423"/>
        <w:gridCol w:w="1424"/>
        <w:gridCol w:w="1424"/>
        <w:gridCol w:w="1424"/>
      </w:tblGrid>
      <w:tr w:rsidR="007D0FBF" w:rsidRPr="007A71A5" w14:paraId="1761F6C8" w14:textId="77777777" w:rsidTr="007D0FB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0" w:type="dxa"/>
            <w:hideMark/>
          </w:tcPr>
          <w:p w14:paraId="6B53C4D8" w14:textId="77777777" w:rsidR="007D0FBF" w:rsidRPr="007A71A5" w:rsidRDefault="007D0FBF" w:rsidP="007D0FBF">
            <w:pPr>
              <w:keepNext/>
              <w:rPr>
                <w:lang w:eastAsia="en-GB"/>
              </w:rPr>
            </w:pPr>
            <w:r w:rsidRPr="007A71A5">
              <w:rPr>
                <w:lang w:eastAsia="en-GB"/>
              </w:rPr>
              <w:t> </w:t>
            </w:r>
          </w:p>
        </w:tc>
        <w:tc>
          <w:tcPr>
            <w:tcW w:w="1423" w:type="dxa"/>
            <w:hideMark/>
          </w:tcPr>
          <w:p w14:paraId="07B39021" w14:textId="397520F7"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w:t>
            </w:r>
          </w:p>
        </w:tc>
        <w:tc>
          <w:tcPr>
            <w:tcW w:w="1424" w:type="dxa"/>
            <w:hideMark/>
          </w:tcPr>
          <w:p w14:paraId="0EACE6A2" w14:textId="5531A36A"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2-Beds</w:t>
            </w:r>
          </w:p>
        </w:tc>
        <w:tc>
          <w:tcPr>
            <w:tcW w:w="1424" w:type="dxa"/>
            <w:hideMark/>
          </w:tcPr>
          <w:p w14:paraId="1A188183" w14:textId="5E919133"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3-Beds</w:t>
            </w:r>
          </w:p>
        </w:tc>
        <w:tc>
          <w:tcPr>
            <w:tcW w:w="1424" w:type="dxa"/>
            <w:hideMark/>
          </w:tcPr>
          <w:p w14:paraId="392D3BF5" w14:textId="684A10C3"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4+-Beds</w:t>
            </w:r>
          </w:p>
        </w:tc>
      </w:tr>
      <w:tr w:rsidR="007A71A5" w:rsidRPr="007A71A5" w14:paraId="72ADB1A6"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244502CB" w14:textId="77777777" w:rsidR="00A13819" w:rsidRPr="004F4BA7" w:rsidRDefault="00A13819" w:rsidP="008E6E40">
            <w:pPr>
              <w:keepNext/>
              <w:rPr>
                <w:bCs/>
                <w:lang w:eastAsia="en-GB"/>
              </w:rPr>
            </w:pPr>
            <w:r w:rsidRPr="004F4BA7">
              <w:rPr>
                <w:bCs/>
                <w:lang w:eastAsia="en-GB"/>
              </w:rPr>
              <w:t>OMV</w:t>
            </w:r>
          </w:p>
        </w:tc>
        <w:tc>
          <w:tcPr>
            <w:tcW w:w="1423" w:type="dxa"/>
            <w:hideMark/>
          </w:tcPr>
          <w:p w14:paraId="0688D8B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£119,600</w:t>
            </w:r>
          </w:p>
        </w:tc>
        <w:tc>
          <w:tcPr>
            <w:tcW w:w="1424" w:type="dxa"/>
            <w:hideMark/>
          </w:tcPr>
          <w:p w14:paraId="4AEE124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£188,600</w:t>
            </w:r>
          </w:p>
        </w:tc>
        <w:tc>
          <w:tcPr>
            <w:tcW w:w="1424" w:type="dxa"/>
            <w:hideMark/>
          </w:tcPr>
          <w:p w14:paraId="2A404A6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£285,200</w:t>
            </w:r>
          </w:p>
        </w:tc>
        <w:tc>
          <w:tcPr>
            <w:tcW w:w="1424" w:type="dxa"/>
            <w:hideMark/>
          </w:tcPr>
          <w:p w14:paraId="7F72D04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£373,750</w:t>
            </w:r>
          </w:p>
        </w:tc>
      </w:tr>
      <w:tr w:rsidR="007A71A5" w:rsidRPr="007A71A5" w14:paraId="1E06E68B"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0C85166F" w14:textId="77777777" w:rsidR="00A13819" w:rsidRPr="004F4BA7" w:rsidRDefault="00A13819" w:rsidP="008E6E40">
            <w:pPr>
              <w:keepNext/>
              <w:rPr>
                <w:bCs/>
                <w:lang w:eastAsia="en-GB"/>
              </w:rPr>
            </w:pPr>
            <w:r w:rsidRPr="004F4BA7">
              <w:rPr>
                <w:bCs/>
                <w:lang w:eastAsia="en-GB"/>
              </w:rPr>
              <w:t>Share Bought</w:t>
            </w:r>
          </w:p>
        </w:tc>
        <w:tc>
          <w:tcPr>
            <w:tcW w:w="1423" w:type="dxa"/>
            <w:hideMark/>
          </w:tcPr>
          <w:p w14:paraId="68BA4DC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68%</w:t>
            </w:r>
          </w:p>
        </w:tc>
        <w:tc>
          <w:tcPr>
            <w:tcW w:w="1424" w:type="dxa"/>
            <w:hideMark/>
          </w:tcPr>
          <w:p w14:paraId="4E47BB7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1424" w:type="dxa"/>
            <w:hideMark/>
          </w:tcPr>
          <w:p w14:paraId="30F09A9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w:t>
            </w:r>
          </w:p>
        </w:tc>
        <w:tc>
          <w:tcPr>
            <w:tcW w:w="1424" w:type="dxa"/>
            <w:hideMark/>
          </w:tcPr>
          <w:p w14:paraId="1966F66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r>
      <w:tr w:rsidR="007A71A5" w:rsidRPr="007A71A5" w14:paraId="3B47706E"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09C72D47" w14:textId="77777777" w:rsidR="00A13819" w:rsidRPr="004F4BA7" w:rsidRDefault="00A13819" w:rsidP="008E6E40">
            <w:pPr>
              <w:keepNext/>
              <w:rPr>
                <w:bCs/>
                <w:lang w:eastAsia="en-GB"/>
              </w:rPr>
            </w:pPr>
            <w:r w:rsidRPr="004F4BA7">
              <w:rPr>
                <w:bCs/>
                <w:lang w:eastAsia="en-GB"/>
              </w:rPr>
              <w:t>Equity Bought</w:t>
            </w:r>
          </w:p>
        </w:tc>
        <w:tc>
          <w:tcPr>
            <w:tcW w:w="1423" w:type="dxa"/>
            <w:hideMark/>
          </w:tcPr>
          <w:p w14:paraId="3920BAE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£81,687</w:t>
            </w:r>
          </w:p>
        </w:tc>
        <w:tc>
          <w:tcPr>
            <w:tcW w:w="1424" w:type="dxa"/>
            <w:hideMark/>
          </w:tcPr>
          <w:p w14:paraId="37AF466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£66,010</w:t>
            </w:r>
          </w:p>
        </w:tc>
        <w:tc>
          <w:tcPr>
            <w:tcW w:w="1424" w:type="dxa"/>
            <w:hideMark/>
          </w:tcPr>
          <w:p w14:paraId="5A2BA08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£69,874</w:t>
            </w:r>
          </w:p>
        </w:tc>
        <w:tc>
          <w:tcPr>
            <w:tcW w:w="1424" w:type="dxa"/>
            <w:hideMark/>
          </w:tcPr>
          <w:p w14:paraId="56BA11B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£131,560</w:t>
            </w:r>
          </w:p>
        </w:tc>
      </w:tr>
      <w:tr w:rsidR="007A71A5" w:rsidRPr="007A71A5" w14:paraId="0CD354E2"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3EB0ED99" w14:textId="77777777" w:rsidR="00A13819" w:rsidRPr="004F4BA7" w:rsidRDefault="00A13819" w:rsidP="008E6E40">
            <w:pPr>
              <w:keepNext/>
              <w:rPr>
                <w:bCs/>
                <w:lang w:eastAsia="en-GB"/>
              </w:rPr>
            </w:pPr>
            <w:r w:rsidRPr="004F4BA7">
              <w:rPr>
                <w:bCs/>
                <w:lang w:eastAsia="en-GB"/>
              </w:rPr>
              <w:t>Mortgage Needed</w:t>
            </w:r>
          </w:p>
        </w:tc>
        <w:tc>
          <w:tcPr>
            <w:tcW w:w="1423" w:type="dxa"/>
            <w:hideMark/>
          </w:tcPr>
          <w:p w14:paraId="2497E4E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£73,518</w:t>
            </w:r>
          </w:p>
        </w:tc>
        <w:tc>
          <w:tcPr>
            <w:tcW w:w="1424" w:type="dxa"/>
            <w:hideMark/>
          </w:tcPr>
          <w:p w14:paraId="7235D92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£59,409</w:t>
            </w:r>
          </w:p>
        </w:tc>
        <w:tc>
          <w:tcPr>
            <w:tcW w:w="1424" w:type="dxa"/>
            <w:hideMark/>
          </w:tcPr>
          <w:p w14:paraId="16D84F1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£62,887</w:t>
            </w:r>
          </w:p>
        </w:tc>
        <w:tc>
          <w:tcPr>
            <w:tcW w:w="1424" w:type="dxa"/>
            <w:hideMark/>
          </w:tcPr>
          <w:p w14:paraId="035FC9F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£118,404</w:t>
            </w:r>
          </w:p>
        </w:tc>
      </w:tr>
      <w:tr w:rsidR="007A71A5" w:rsidRPr="007A71A5" w14:paraId="782D646C"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226C2145" w14:textId="77777777" w:rsidR="00A13819" w:rsidRPr="004F4BA7" w:rsidRDefault="00A13819" w:rsidP="008E6E40">
            <w:pPr>
              <w:keepNext/>
              <w:rPr>
                <w:bCs/>
                <w:lang w:eastAsia="en-GB"/>
              </w:rPr>
            </w:pPr>
            <w:r w:rsidRPr="004F4BA7">
              <w:rPr>
                <w:bCs/>
                <w:lang w:eastAsia="en-GB"/>
              </w:rPr>
              <w:t>Monthly Cost of Mortgage</w:t>
            </w:r>
          </w:p>
        </w:tc>
        <w:tc>
          <w:tcPr>
            <w:tcW w:w="1423" w:type="dxa"/>
            <w:hideMark/>
          </w:tcPr>
          <w:p w14:paraId="29450C4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£388</w:t>
            </w:r>
          </w:p>
        </w:tc>
        <w:tc>
          <w:tcPr>
            <w:tcW w:w="1424" w:type="dxa"/>
            <w:hideMark/>
          </w:tcPr>
          <w:p w14:paraId="58F4490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£314</w:t>
            </w:r>
          </w:p>
        </w:tc>
        <w:tc>
          <w:tcPr>
            <w:tcW w:w="1424" w:type="dxa"/>
            <w:hideMark/>
          </w:tcPr>
          <w:p w14:paraId="2EA2272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£332</w:t>
            </w:r>
          </w:p>
        </w:tc>
        <w:tc>
          <w:tcPr>
            <w:tcW w:w="1424" w:type="dxa"/>
            <w:hideMark/>
          </w:tcPr>
          <w:p w14:paraId="1DC3B61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£625</w:t>
            </w:r>
          </w:p>
        </w:tc>
      </w:tr>
      <w:tr w:rsidR="007A71A5" w:rsidRPr="007A71A5" w14:paraId="3BFD5BE1"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00727BCC" w14:textId="77777777" w:rsidR="00A13819" w:rsidRPr="004F4BA7" w:rsidRDefault="00A13819" w:rsidP="008E6E40">
            <w:pPr>
              <w:keepNext/>
              <w:rPr>
                <w:bCs/>
                <w:lang w:eastAsia="en-GB"/>
              </w:rPr>
            </w:pPr>
            <w:r w:rsidRPr="004F4BA7">
              <w:rPr>
                <w:bCs/>
                <w:lang w:eastAsia="en-GB"/>
              </w:rPr>
              <w:t>Retained Equity</w:t>
            </w:r>
          </w:p>
        </w:tc>
        <w:tc>
          <w:tcPr>
            <w:tcW w:w="1423" w:type="dxa"/>
            <w:hideMark/>
          </w:tcPr>
          <w:p w14:paraId="4303FEA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£37,913</w:t>
            </w:r>
          </w:p>
        </w:tc>
        <w:tc>
          <w:tcPr>
            <w:tcW w:w="1424" w:type="dxa"/>
            <w:hideMark/>
          </w:tcPr>
          <w:p w14:paraId="0B4C1ED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£122,590</w:t>
            </w:r>
          </w:p>
        </w:tc>
        <w:tc>
          <w:tcPr>
            <w:tcW w:w="1424" w:type="dxa"/>
            <w:hideMark/>
          </w:tcPr>
          <w:p w14:paraId="0247CD7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£215,326</w:t>
            </w:r>
          </w:p>
        </w:tc>
        <w:tc>
          <w:tcPr>
            <w:tcW w:w="1424" w:type="dxa"/>
            <w:hideMark/>
          </w:tcPr>
          <w:p w14:paraId="17A1F9E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£242,190</w:t>
            </w:r>
          </w:p>
        </w:tc>
      </w:tr>
      <w:tr w:rsidR="007A71A5" w:rsidRPr="007A71A5" w14:paraId="213C8EDB"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01BA975E" w14:textId="77777777" w:rsidR="00A13819" w:rsidRPr="004F4BA7" w:rsidRDefault="00A13819" w:rsidP="008E6E40">
            <w:pPr>
              <w:keepNext/>
              <w:rPr>
                <w:bCs/>
                <w:lang w:eastAsia="en-GB"/>
              </w:rPr>
            </w:pPr>
            <w:r w:rsidRPr="004F4BA7">
              <w:rPr>
                <w:bCs/>
                <w:lang w:eastAsia="en-GB"/>
              </w:rPr>
              <w:t>Monthly Rent on Retained Equity</w:t>
            </w:r>
          </w:p>
        </w:tc>
        <w:tc>
          <w:tcPr>
            <w:tcW w:w="1423" w:type="dxa"/>
            <w:hideMark/>
          </w:tcPr>
          <w:p w14:paraId="6E4D8F5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£87</w:t>
            </w:r>
          </w:p>
        </w:tc>
        <w:tc>
          <w:tcPr>
            <w:tcW w:w="1424" w:type="dxa"/>
            <w:hideMark/>
          </w:tcPr>
          <w:p w14:paraId="3081048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£281</w:t>
            </w:r>
          </w:p>
        </w:tc>
        <w:tc>
          <w:tcPr>
            <w:tcW w:w="1424" w:type="dxa"/>
            <w:hideMark/>
          </w:tcPr>
          <w:p w14:paraId="60978CA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£493</w:t>
            </w:r>
          </w:p>
        </w:tc>
        <w:tc>
          <w:tcPr>
            <w:tcW w:w="1424" w:type="dxa"/>
            <w:hideMark/>
          </w:tcPr>
          <w:p w14:paraId="30FAD14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£555</w:t>
            </w:r>
          </w:p>
        </w:tc>
      </w:tr>
      <w:tr w:rsidR="007A71A5" w:rsidRPr="007A71A5" w14:paraId="3F8D6C99"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2B412227" w14:textId="77777777" w:rsidR="00A13819" w:rsidRPr="004F4BA7" w:rsidRDefault="00A13819" w:rsidP="008E6E40">
            <w:pPr>
              <w:keepNext/>
              <w:rPr>
                <w:bCs/>
                <w:lang w:eastAsia="en-GB"/>
              </w:rPr>
            </w:pPr>
            <w:r w:rsidRPr="004F4BA7">
              <w:rPr>
                <w:bCs/>
                <w:lang w:eastAsia="en-GB"/>
              </w:rPr>
              <w:t>Service Charge per month</w:t>
            </w:r>
          </w:p>
        </w:tc>
        <w:tc>
          <w:tcPr>
            <w:tcW w:w="1423" w:type="dxa"/>
            <w:hideMark/>
          </w:tcPr>
          <w:p w14:paraId="7CC80DA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424" w:type="dxa"/>
            <w:hideMark/>
          </w:tcPr>
          <w:p w14:paraId="21C0B78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424" w:type="dxa"/>
            <w:hideMark/>
          </w:tcPr>
          <w:p w14:paraId="794E8E0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c>
          <w:tcPr>
            <w:tcW w:w="1424" w:type="dxa"/>
            <w:hideMark/>
          </w:tcPr>
          <w:p w14:paraId="55ABEC1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r>
      <w:tr w:rsidR="007A71A5" w:rsidRPr="007A71A5" w14:paraId="51D9441A"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110" w:type="dxa"/>
            <w:hideMark/>
          </w:tcPr>
          <w:p w14:paraId="2F8C0A8A" w14:textId="77777777" w:rsidR="00A13819" w:rsidRPr="003A75AB" w:rsidRDefault="00A13819" w:rsidP="008E6E40">
            <w:pPr>
              <w:keepNext/>
              <w:rPr>
                <w:b/>
                <w:lang w:eastAsia="en-GB"/>
              </w:rPr>
            </w:pPr>
            <w:r w:rsidRPr="003A75AB">
              <w:rPr>
                <w:b/>
                <w:lang w:eastAsia="en-GB"/>
              </w:rPr>
              <w:t>Total Cost per month</w:t>
            </w:r>
          </w:p>
        </w:tc>
        <w:tc>
          <w:tcPr>
            <w:tcW w:w="1423" w:type="dxa"/>
            <w:hideMark/>
          </w:tcPr>
          <w:p w14:paraId="2A7D2B9F"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£575</w:t>
            </w:r>
          </w:p>
        </w:tc>
        <w:tc>
          <w:tcPr>
            <w:tcW w:w="1424" w:type="dxa"/>
            <w:hideMark/>
          </w:tcPr>
          <w:p w14:paraId="1EFF4449"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£695</w:t>
            </w:r>
          </w:p>
        </w:tc>
        <w:tc>
          <w:tcPr>
            <w:tcW w:w="1424" w:type="dxa"/>
            <w:hideMark/>
          </w:tcPr>
          <w:p w14:paraId="41EB6FF9"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£825</w:t>
            </w:r>
          </w:p>
        </w:tc>
        <w:tc>
          <w:tcPr>
            <w:tcW w:w="1424" w:type="dxa"/>
            <w:hideMark/>
          </w:tcPr>
          <w:p w14:paraId="003379EE"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£1,180</w:t>
            </w:r>
          </w:p>
        </w:tc>
      </w:tr>
    </w:tbl>
    <w:p w14:paraId="17166C78" w14:textId="7DDB855F" w:rsidR="00A13819" w:rsidRPr="007D0FBF" w:rsidRDefault="00A13819" w:rsidP="009534EE">
      <w:pPr>
        <w:pStyle w:val="Bodytextwithindent"/>
        <w:keepNext/>
        <w:spacing w:before="0" w:after="0" w:line="240" w:lineRule="auto"/>
        <w:rPr>
          <w:sz w:val="24"/>
          <w:szCs w:val="22"/>
        </w:rPr>
      </w:pPr>
      <w:r w:rsidRPr="007D0FBF">
        <w:rPr>
          <w:sz w:val="24"/>
          <w:szCs w:val="22"/>
        </w:rPr>
        <w:t>Source: Data based on Housing Market Cost Analysis</w:t>
      </w:r>
    </w:p>
    <w:p w14:paraId="6998761C" w14:textId="77777777" w:rsidR="00A100D1" w:rsidRPr="008E6E40" w:rsidRDefault="00A100D1" w:rsidP="008E6E40"/>
    <w:p w14:paraId="524C0358" w14:textId="77777777" w:rsidR="00A13819" w:rsidRDefault="00A13819" w:rsidP="003D5E23">
      <w:pPr>
        <w:pStyle w:val="Tableheading"/>
        <w:numPr>
          <w:ilvl w:val="0"/>
          <w:numId w:val="54"/>
        </w:numPr>
      </w:pPr>
      <w:r>
        <w:t>Estimated Affordable Equity Share by Size – Fenland</w:t>
      </w:r>
    </w:p>
    <w:tbl>
      <w:tblPr>
        <w:tblStyle w:val="TableGridLight1"/>
        <w:tblW w:w="8749" w:type="dxa"/>
        <w:tblInd w:w="846" w:type="dxa"/>
        <w:tblLook w:val="04A0" w:firstRow="1" w:lastRow="0" w:firstColumn="1" w:lastColumn="0" w:noHBand="0" w:noVBand="1"/>
      </w:tblPr>
      <w:tblGrid>
        <w:gridCol w:w="3247"/>
        <w:gridCol w:w="1375"/>
        <w:gridCol w:w="1376"/>
        <w:gridCol w:w="1375"/>
        <w:gridCol w:w="1376"/>
      </w:tblGrid>
      <w:tr w:rsidR="007D0FBF" w:rsidRPr="007A71A5" w14:paraId="22D8CF0D" w14:textId="77777777" w:rsidTr="007D0FB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47" w:type="dxa"/>
            <w:hideMark/>
          </w:tcPr>
          <w:p w14:paraId="4929394F" w14:textId="77777777" w:rsidR="007D0FBF" w:rsidRPr="007A71A5" w:rsidRDefault="007D0FBF" w:rsidP="007D0FBF">
            <w:pPr>
              <w:keepNext/>
              <w:rPr>
                <w:lang w:eastAsia="en-GB"/>
              </w:rPr>
            </w:pPr>
            <w:r w:rsidRPr="007A71A5">
              <w:rPr>
                <w:lang w:eastAsia="en-GB"/>
              </w:rPr>
              <w:t> </w:t>
            </w:r>
          </w:p>
        </w:tc>
        <w:tc>
          <w:tcPr>
            <w:tcW w:w="1375" w:type="dxa"/>
            <w:hideMark/>
          </w:tcPr>
          <w:p w14:paraId="4D886C95" w14:textId="3E8B8B5B"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w:t>
            </w:r>
          </w:p>
        </w:tc>
        <w:tc>
          <w:tcPr>
            <w:tcW w:w="1376" w:type="dxa"/>
            <w:hideMark/>
          </w:tcPr>
          <w:p w14:paraId="05BA64A7" w14:textId="38B034DD"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2-Beds</w:t>
            </w:r>
          </w:p>
        </w:tc>
        <w:tc>
          <w:tcPr>
            <w:tcW w:w="1375" w:type="dxa"/>
            <w:hideMark/>
          </w:tcPr>
          <w:p w14:paraId="5AB409F2" w14:textId="3370FC5E"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3-Beds</w:t>
            </w:r>
          </w:p>
        </w:tc>
        <w:tc>
          <w:tcPr>
            <w:tcW w:w="1376" w:type="dxa"/>
            <w:hideMark/>
          </w:tcPr>
          <w:p w14:paraId="47EE7A5B" w14:textId="40E1DC81"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4+-Beds</w:t>
            </w:r>
          </w:p>
        </w:tc>
      </w:tr>
      <w:tr w:rsidR="007A71A5" w:rsidRPr="007A71A5" w14:paraId="6854571B"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728BDEF7" w14:textId="77777777" w:rsidR="00A13819" w:rsidRPr="004F4BA7" w:rsidRDefault="00A13819" w:rsidP="008E6E40">
            <w:pPr>
              <w:keepNext/>
              <w:rPr>
                <w:bCs/>
                <w:lang w:eastAsia="en-GB"/>
              </w:rPr>
            </w:pPr>
            <w:r w:rsidRPr="004F4BA7">
              <w:rPr>
                <w:bCs/>
                <w:lang w:eastAsia="en-GB"/>
              </w:rPr>
              <w:t>OMV</w:t>
            </w:r>
          </w:p>
        </w:tc>
        <w:tc>
          <w:tcPr>
            <w:tcW w:w="1375" w:type="dxa"/>
            <w:hideMark/>
          </w:tcPr>
          <w:p w14:paraId="7AF5A13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£74,750</w:t>
            </w:r>
          </w:p>
        </w:tc>
        <w:tc>
          <w:tcPr>
            <w:tcW w:w="1376" w:type="dxa"/>
            <w:hideMark/>
          </w:tcPr>
          <w:p w14:paraId="3C37969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£149,500</w:t>
            </w:r>
          </w:p>
        </w:tc>
        <w:tc>
          <w:tcPr>
            <w:tcW w:w="1375" w:type="dxa"/>
            <w:hideMark/>
          </w:tcPr>
          <w:p w14:paraId="3B98512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£202,400</w:t>
            </w:r>
          </w:p>
        </w:tc>
        <w:tc>
          <w:tcPr>
            <w:tcW w:w="1376" w:type="dxa"/>
            <w:hideMark/>
          </w:tcPr>
          <w:p w14:paraId="5D6E378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£277,150</w:t>
            </w:r>
          </w:p>
        </w:tc>
      </w:tr>
      <w:tr w:rsidR="007A71A5" w:rsidRPr="007A71A5" w14:paraId="3390386D"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069EA1B2" w14:textId="77777777" w:rsidR="00A13819" w:rsidRPr="004F4BA7" w:rsidRDefault="00A13819" w:rsidP="008E6E40">
            <w:pPr>
              <w:keepNext/>
              <w:rPr>
                <w:bCs/>
                <w:lang w:eastAsia="en-GB"/>
              </w:rPr>
            </w:pPr>
            <w:r w:rsidRPr="004F4BA7">
              <w:rPr>
                <w:bCs/>
                <w:lang w:eastAsia="en-GB"/>
              </w:rPr>
              <w:t>Share Bought</w:t>
            </w:r>
          </w:p>
        </w:tc>
        <w:tc>
          <w:tcPr>
            <w:tcW w:w="1375" w:type="dxa"/>
            <w:hideMark/>
          </w:tcPr>
          <w:p w14:paraId="0EADD8F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83%</w:t>
            </w:r>
          </w:p>
        </w:tc>
        <w:tc>
          <w:tcPr>
            <w:tcW w:w="1376" w:type="dxa"/>
            <w:hideMark/>
          </w:tcPr>
          <w:p w14:paraId="3E6886F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w:t>
            </w:r>
          </w:p>
        </w:tc>
        <w:tc>
          <w:tcPr>
            <w:tcW w:w="1375" w:type="dxa"/>
            <w:hideMark/>
          </w:tcPr>
          <w:p w14:paraId="4B0F984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42%</w:t>
            </w:r>
          </w:p>
        </w:tc>
        <w:tc>
          <w:tcPr>
            <w:tcW w:w="1376" w:type="dxa"/>
            <w:hideMark/>
          </w:tcPr>
          <w:p w14:paraId="305121F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32%</w:t>
            </w:r>
          </w:p>
        </w:tc>
      </w:tr>
      <w:tr w:rsidR="007A71A5" w:rsidRPr="007A71A5" w14:paraId="6100B242"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3ED17C93" w14:textId="77777777" w:rsidR="00A13819" w:rsidRPr="004F4BA7" w:rsidRDefault="00A13819" w:rsidP="008E6E40">
            <w:pPr>
              <w:keepNext/>
              <w:rPr>
                <w:bCs/>
                <w:lang w:eastAsia="en-GB"/>
              </w:rPr>
            </w:pPr>
            <w:r w:rsidRPr="004F4BA7">
              <w:rPr>
                <w:bCs/>
                <w:lang w:eastAsia="en-GB"/>
              </w:rPr>
              <w:t>Equity Bought</w:t>
            </w:r>
          </w:p>
        </w:tc>
        <w:tc>
          <w:tcPr>
            <w:tcW w:w="1375" w:type="dxa"/>
            <w:hideMark/>
          </w:tcPr>
          <w:p w14:paraId="05A4D81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£62,342</w:t>
            </w:r>
          </w:p>
        </w:tc>
        <w:tc>
          <w:tcPr>
            <w:tcW w:w="1376" w:type="dxa"/>
            <w:hideMark/>
          </w:tcPr>
          <w:p w14:paraId="200399A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£43,654</w:t>
            </w:r>
          </w:p>
        </w:tc>
        <w:tc>
          <w:tcPr>
            <w:tcW w:w="1375" w:type="dxa"/>
            <w:hideMark/>
          </w:tcPr>
          <w:p w14:paraId="452AF36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£85,818</w:t>
            </w:r>
          </w:p>
        </w:tc>
        <w:tc>
          <w:tcPr>
            <w:tcW w:w="1376" w:type="dxa"/>
            <w:hideMark/>
          </w:tcPr>
          <w:p w14:paraId="1BC7F4A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£87,302</w:t>
            </w:r>
          </w:p>
        </w:tc>
      </w:tr>
      <w:tr w:rsidR="007A71A5" w:rsidRPr="007A71A5" w14:paraId="3E06B7BD"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72C36BC9" w14:textId="77777777" w:rsidR="00A13819" w:rsidRPr="004F4BA7" w:rsidRDefault="00A13819" w:rsidP="008E6E40">
            <w:pPr>
              <w:keepNext/>
              <w:rPr>
                <w:bCs/>
                <w:lang w:eastAsia="en-GB"/>
              </w:rPr>
            </w:pPr>
            <w:r w:rsidRPr="004F4BA7">
              <w:rPr>
                <w:bCs/>
                <w:lang w:eastAsia="en-GB"/>
              </w:rPr>
              <w:t>Mortgage Needed</w:t>
            </w:r>
          </w:p>
        </w:tc>
        <w:tc>
          <w:tcPr>
            <w:tcW w:w="1375" w:type="dxa"/>
            <w:hideMark/>
          </w:tcPr>
          <w:p w14:paraId="4E0AE7B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£56,107</w:t>
            </w:r>
          </w:p>
        </w:tc>
        <w:tc>
          <w:tcPr>
            <w:tcW w:w="1376" w:type="dxa"/>
            <w:hideMark/>
          </w:tcPr>
          <w:p w14:paraId="13694941"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£39,289</w:t>
            </w:r>
          </w:p>
        </w:tc>
        <w:tc>
          <w:tcPr>
            <w:tcW w:w="1375" w:type="dxa"/>
            <w:hideMark/>
          </w:tcPr>
          <w:p w14:paraId="492C054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£77,236</w:t>
            </w:r>
          </w:p>
        </w:tc>
        <w:tc>
          <w:tcPr>
            <w:tcW w:w="1376" w:type="dxa"/>
            <w:hideMark/>
          </w:tcPr>
          <w:p w14:paraId="38D427C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£78,572</w:t>
            </w:r>
          </w:p>
        </w:tc>
      </w:tr>
      <w:tr w:rsidR="007A71A5" w:rsidRPr="007A71A5" w14:paraId="32FD29D9"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22C39B37" w14:textId="77777777" w:rsidR="00A13819" w:rsidRPr="004F4BA7" w:rsidRDefault="00A13819" w:rsidP="008E6E40">
            <w:pPr>
              <w:keepNext/>
              <w:rPr>
                <w:bCs/>
                <w:lang w:eastAsia="en-GB"/>
              </w:rPr>
            </w:pPr>
            <w:r w:rsidRPr="004F4BA7">
              <w:rPr>
                <w:bCs/>
                <w:lang w:eastAsia="en-GB"/>
              </w:rPr>
              <w:t>Monthly Cost of Mortgage</w:t>
            </w:r>
          </w:p>
        </w:tc>
        <w:tc>
          <w:tcPr>
            <w:tcW w:w="1375" w:type="dxa"/>
            <w:hideMark/>
          </w:tcPr>
          <w:p w14:paraId="4526406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£296</w:t>
            </w:r>
          </w:p>
        </w:tc>
        <w:tc>
          <w:tcPr>
            <w:tcW w:w="1376" w:type="dxa"/>
            <w:hideMark/>
          </w:tcPr>
          <w:p w14:paraId="6780BA4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£207</w:t>
            </w:r>
          </w:p>
        </w:tc>
        <w:tc>
          <w:tcPr>
            <w:tcW w:w="1375" w:type="dxa"/>
            <w:hideMark/>
          </w:tcPr>
          <w:p w14:paraId="50781FD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£408</w:t>
            </w:r>
          </w:p>
        </w:tc>
        <w:tc>
          <w:tcPr>
            <w:tcW w:w="1376" w:type="dxa"/>
            <w:hideMark/>
          </w:tcPr>
          <w:p w14:paraId="2B6A95A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£415</w:t>
            </w:r>
          </w:p>
        </w:tc>
      </w:tr>
      <w:tr w:rsidR="007A71A5" w:rsidRPr="007A71A5" w14:paraId="49C77F34"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353B4A6A" w14:textId="77777777" w:rsidR="00A13819" w:rsidRPr="004F4BA7" w:rsidRDefault="00A13819" w:rsidP="008E6E40">
            <w:pPr>
              <w:keepNext/>
              <w:rPr>
                <w:bCs/>
                <w:lang w:eastAsia="en-GB"/>
              </w:rPr>
            </w:pPr>
            <w:r w:rsidRPr="004F4BA7">
              <w:rPr>
                <w:bCs/>
                <w:lang w:eastAsia="en-GB"/>
              </w:rPr>
              <w:t>Retained Equity</w:t>
            </w:r>
          </w:p>
        </w:tc>
        <w:tc>
          <w:tcPr>
            <w:tcW w:w="1375" w:type="dxa"/>
            <w:hideMark/>
          </w:tcPr>
          <w:p w14:paraId="3EA2A38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£12,409</w:t>
            </w:r>
          </w:p>
        </w:tc>
        <w:tc>
          <w:tcPr>
            <w:tcW w:w="1376" w:type="dxa"/>
            <w:hideMark/>
          </w:tcPr>
          <w:p w14:paraId="0067E51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£105,846</w:t>
            </w:r>
          </w:p>
        </w:tc>
        <w:tc>
          <w:tcPr>
            <w:tcW w:w="1375" w:type="dxa"/>
            <w:hideMark/>
          </w:tcPr>
          <w:p w14:paraId="2CCC203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£116,582</w:t>
            </w:r>
          </w:p>
        </w:tc>
        <w:tc>
          <w:tcPr>
            <w:tcW w:w="1376" w:type="dxa"/>
            <w:hideMark/>
          </w:tcPr>
          <w:p w14:paraId="2DFC795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£189,848</w:t>
            </w:r>
          </w:p>
        </w:tc>
      </w:tr>
      <w:tr w:rsidR="007A71A5" w:rsidRPr="007A71A5" w14:paraId="5C2A3D4F"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0567D91E" w14:textId="77777777" w:rsidR="00A13819" w:rsidRPr="004F4BA7" w:rsidRDefault="00A13819" w:rsidP="008E6E40">
            <w:pPr>
              <w:keepNext/>
              <w:rPr>
                <w:bCs/>
                <w:lang w:eastAsia="en-GB"/>
              </w:rPr>
            </w:pPr>
            <w:r w:rsidRPr="004F4BA7">
              <w:rPr>
                <w:bCs/>
                <w:lang w:eastAsia="en-GB"/>
              </w:rPr>
              <w:t>Monthly Rent on Retained Equity</w:t>
            </w:r>
          </w:p>
        </w:tc>
        <w:tc>
          <w:tcPr>
            <w:tcW w:w="1375" w:type="dxa"/>
            <w:hideMark/>
          </w:tcPr>
          <w:p w14:paraId="7C01049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w:t>
            </w:r>
          </w:p>
        </w:tc>
        <w:tc>
          <w:tcPr>
            <w:tcW w:w="1376" w:type="dxa"/>
            <w:hideMark/>
          </w:tcPr>
          <w:p w14:paraId="4E1A645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£243</w:t>
            </w:r>
          </w:p>
        </w:tc>
        <w:tc>
          <w:tcPr>
            <w:tcW w:w="1375" w:type="dxa"/>
            <w:hideMark/>
          </w:tcPr>
          <w:p w14:paraId="6587E95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£267</w:t>
            </w:r>
          </w:p>
        </w:tc>
        <w:tc>
          <w:tcPr>
            <w:tcW w:w="1376" w:type="dxa"/>
            <w:hideMark/>
          </w:tcPr>
          <w:p w14:paraId="2A10A8D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£435</w:t>
            </w:r>
          </w:p>
        </w:tc>
      </w:tr>
      <w:tr w:rsidR="007A71A5" w:rsidRPr="007A71A5" w14:paraId="220079EF"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5B7EED8B" w14:textId="77777777" w:rsidR="00A13819" w:rsidRPr="004F4BA7" w:rsidRDefault="00A13819" w:rsidP="008E6E40">
            <w:pPr>
              <w:keepNext/>
              <w:rPr>
                <w:bCs/>
                <w:lang w:eastAsia="en-GB"/>
              </w:rPr>
            </w:pPr>
            <w:r w:rsidRPr="004F4BA7">
              <w:rPr>
                <w:bCs/>
                <w:lang w:eastAsia="en-GB"/>
              </w:rPr>
              <w:t>Service Charge per month</w:t>
            </w:r>
          </w:p>
        </w:tc>
        <w:tc>
          <w:tcPr>
            <w:tcW w:w="1375" w:type="dxa"/>
            <w:hideMark/>
          </w:tcPr>
          <w:p w14:paraId="2F6BD24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376" w:type="dxa"/>
            <w:hideMark/>
          </w:tcPr>
          <w:p w14:paraId="566EAD0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375" w:type="dxa"/>
            <w:hideMark/>
          </w:tcPr>
          <w:p w14:paraId="6EF0F16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c>
          <w:tcPr>
            <w:tcW w:w="1376" w:type="dxa"/>
            <w:hideMark/>
          </w:tcPr>
          <w:p w14:paraId="2C6B0DE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r>
      <w:tr w:rsidR="007A71A5" w:rsidRPr="007A71A5" w14:paraId="4490F251" w14:textId="77777777" w:rsidTr="004F4BA7">
        <w:trPr>
          <w:trHeight w:val="255"/>
        </w:trPr>
        <w:tc>
          <w:tcPr>
            <w:cnfStyle w:val="001000000000" w:firstRow="0" w:lastRow="0" w:firstColumn="1" w:lastColumn="0" w:oddVBand="0" w:evenVBand="0" w:oddHBand="0" w:evenHBand="0" w:firstRowFirstColumn="0" w:firstRowLastColumn="0" w:lastRowFirstColumn="0" w:lastRowLastColumn="0"/>
            <w:tcW w:w="3247" w:type="dxa"/>
            <w:hideMark/>
          </w:tcPr>
          <w:p w14:paraId="07528FB5" w14:textId="77777777" w:rsidR="00A13819" w:rsidRPr="007A71A5" w:rsidRDefault="00A13819" w:rsidP="008E6E40">
            <w:pPr>
              <w:keepNext/>
              <w:rPr>
                <w:b/>
                <w:lang w:eastAsia="en-GB"/>
              </w:rPr>
            </w:pPr>
            <w:r w:rsidRPr="007A71A5">
              <w:rPr>
                <w:b/>
                <w:lang w:eastAsia="en-GB"/>
              </w:rPr>
              <w:t>Total Cost per month</w:t>
            </w:r>
          </w:p>
        </w:tc>
        <w:tc>
          <w:tcPr>
            <w:tcW w:w="1375" w:type="dxa"/>
            <w:hideMark/>
          </w:tcPr>
          <w:p w14:paraId="055FC9FB"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£425</w:t>
            </w:r>
          </w:p>
        </w:tc>
        <w:tc>
          <w:tcPr>
            <w:tcW w:w="1376" w:type="dxa"/>
            <w:hideMark/>
          </w:tcPr>
          <w:p w14:paraId="46D450A4"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£550</w:t>
            </w:r>
          </w:p>
        </w:tc>
        <w:tc>
          <w:tcPr>
            <w:tcW w:w="1375" w:type="dxa"/>
            <w:hideMark/>
          </w:tcPr>
          <w:p w14:paraId="5A266EBB"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£675</w:t>
            </w:r>
          </w:p>
        </w:tc>
        <w:tc>
          <w:tcPr>
            <w:tcW w:w="1376" w:type="dxa"/>
            <w:hideMark/>
          </w:tcPr>
          <w:p w14:paraId="0F72DCE5"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£850</w:t>
            </w:r>
          </w:p>
        </w:tc>
      </w:tr>
    </w:tbl>
    <w:p w14:paraId="07ACDEF4" w14:textId="6549762E" w:rsidR="00A13819" w:rsidRPr="007D0FBF" w:rsidRDefault="00A13819" w:rsidP="009534EE">
      <w:pPr>
        <w:pStyle w:val="Bodytextwithindent"/>
        <w:keepNext/>
        <w:spacing w:before="0" w:after="0" w:line="240" w:lineRule="auto"/>
        <w:rPr>
          <w:sz w:val="24"/>
          <w:szCs w:val="22"/>
        </w:rPr>
      </w:pPr>
      <w:r>
        <w:t xml:space="preserve"> </w:t>
      </w:r>
      <w:r w:rsidRPr="007D0FBF">
        <w:rPr>
          <w:sz w:val="24"/>
          <w:szCs w:val="22"/>
        </w:rPr>
        <w:t>Source: Data based on Housing Market Cost Analysis</w:t>
      </w:r>
    </w:p>
    <w:p w14:paraId="4E47AE4F" w14:textId="47DD96BE" w:rsidR="00A100D1" w:rsidRDefault="00A100D1" w:rsidP="008E6E40"/>
    <w:p w14:paraId="1AECCC25" w14:textId="5EA8CF2B" w:rsidR="007D0FBF" w:rsidRDefault="007D0FBF" w:rsidP="008E6E40"/>
    <w:p w14:paraId="0D208D26" w14:textId="3AD633CE" w:rsidR="007D0FBF" w:rsidRDefault="007D0FBF" w:rsidP="008E6E40"/>
    <w:p w14:paraId="468E42E6" w14:textId="34ABEAE2" w:rsidR="007D0FBF" w:rsidRDefault="007D0FBF" w:rsidP="008E6E40"/>
    <w:p w14:paraId="425EA184" w14:textId="77777777" w:rsidR="007D0FBF" w:rsidRDefault="007D0FBF" w:rsidP="008E6E40"/>
    <w:p w14:paraId="37A80818" w14:textId="444B4BA6" w:rsidR="007D0FBF" w:rsidRDefault="007D0FBF" w:rsidP="008E6E40"/>
    <w:p w14:paraId="17A1EB5C" w14:textId="77777777" w:rsidR="007D0FBF" w:rsidRPr="008E6E40" w:rsidRDefault="007D0FBF" w:rsidP="008E6E40"/>
    <w:p w14:paraId="0DF1DBBC" w14:textId="77777777" w:rsidR="00A13819" w:rsidRDefault="00A13819" w:rsidP="003D5E23">
      <w:pPr>
        <w:pStyle w:val="Tableheading"/>
        <w:numPr>
          <w:ilvl w:val="0"/>
          <w:numId w:val="54"/>
        </w:numPr>
      </w:pPr>
      <w:r>
        <w:lastRenderedPageBreak/>
        <w:t>Estimated Affordable Equity Share by Size – Huntingdonshire</w:t>
      </w:r>
    </w:p>
    <w:tbl>
      <w:tblPr>
        <w:tblStyle w:val="TableGridLight1"/>
        <w:tblW w:w="8759" w:type="dxa"/>
        <w:tblInd w:w="854" w:type="dxa"/>
        <w:tblLook w:val="04A0" w:firstRow="1" w:lastRow="0" w:firstColumn="1" w:lastColumn="0" w:noHBand="0" w:noVBand="1"/>
      </w:tblPr>
      <w:tblGrid>
        <w:gridCol w:w="3252"/>
        <w:gridCol w:w="1376"/>
        <w:gridCol w:w="1377"/>
        <w:gridCol w:w="1377"/>
        <w:gridCol w:w="1377"/>
      </w:tblGrid>
      <w:tr w:rsidR="007D0FBF" w:rsidRPr="007A71A5" w14:paraId="50B135E5" w14:textId="77777777" w:rsidTr="007D0FBF">
        <w:trPr>
          <w:cnfStyle w:val="100000000000" w:firstRow="1" w:lastRow="0"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3252" w:type="dxa"/>
            <w:hideMark/>
          </w:tcPr>
          <w:p w14:paraId="12876B67" w14:textId="77777777" w:rsidR="007D0FBF" w:rsidRPr="007A71A5" w:rsidRDefault="007D0FBF" w:rsidP="007D0FBF">
            <w:pPr>
              <w:rPr>
                <w:lang w:eastAsia="en-GB"/>
              </w:rPr>
            </w:pPr>
            <w:r w:rsidRPr="007A71A5">
              <w:rPr>
                <w:lang w:eastAsia="en-GB"/>
              </w:rPr>
              <w:t> </w:t>
            </w:r>
          </w:p>
        </w:tc>
        <w:tc>
          <w:tcPr>
            <w:tcW w:w="1376" w:type="dxa"/>
            <w:hideMark/>
          </w:tcPr>
          <w:p w14:paraId="7030196B" w14:textId="77728867"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w:t>
            </w:r>
          </w:p>
        </w:tc>
        <w:tc>
          <w:tcPr>
            <w:tcW w:w="1377" w:type="dxa"/>
            <w:hideMark/>
          </w:tcPr>
          <w:p w14:paraId="004C1742" w14:textId="7C33A156"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2-Beds</w:t>
            </w:r>
          </w:p>
        </w:tc>
        <w:tc>
          <w:tcPr>
            <w:tcW w:w="1377" w:type="dxa"/>
            <w:hideMark/>
          </w:tcPr>
          <w:p w14:paraId="0224FC59" w14:textId="0B22583C"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3-Beds</w:t>
            </w:r>
          </w:p>
        </w:tc>
        <w:tc>
          <w:tcPr>
            <w:tcW w:w="1377" w:type="dxa"/>
            <w:hideMark/>
          </w:tcPr>
          <w:p w14:paraId="5FF18CBE" w14:textId="6D303CF3"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4+-Beds</w:t>
            </w:r>
          </w:p>
        </w:tc>
      </w:tr>
      <w:tr w:rsidR="007A71A5" w:rsidRPr="007A71A5" w14:paraId="0C788D0A" w14:textId="77777777" w:rsidTr="004F4BA7">
        <w:trPr>
          <w:trHeight w:val="34"/>
        </w:trPr>
        <w:tc>
          <w:tcPr>
            <w:cnfStyle w:val="001000000000" w:firstRow="0" w:lastRow="0" w:firstColumn="1" w:lastColumn="0" w:oddVBand="0" w:evenVBand="0" w:oddHBand="0" w:evenHBand="0" w:firstRowFirstColumn="0" w:firstRowLastColumn="0" w:lastRowFirstColumn="0" w:lastRowLastColumn="0"/>
            <w:tcW w:w="3252" w:type="dxa"/>
            <w:hideMark/>
          </w:tcPr>
          <w:p w14:paraId="396D66C9" w14:textId="77777777" w:rsidR="00A13819" w:rsidRPr="004F4BA7" w:rsidRDefault="00A13819" w:rsidP="001D508A">
            <w:pPr>
              <w:rPr>
                <w:bCs/>
                <w:lang w:eastAsia="en-GB"/>
              </w:rPr>
            </w:pPr>
            <w:r w:rsidRPr="004F4BA7">
              <w:rPr>
                <w:bCs/>
                <w:lang w:eastAsia="en-GB"/>
              </w:rPr>
              <w:t>OMV</w:t>
            </w:r>
          </w:p>
        </w:tc>
        <w:tc>
          <w:tcPr>
            <w:tcW w:w="1376" w:type="dxa"/>
            <w:hideMark/>
          </w:tcPr>
          <w:p w14:paraId="350D09A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£120,750</w:t>
            </w:r>
          </w:p>
        </w:tc>
        <w:tc>
          <w:tcPr>
            <w:tcW w:w="1377" w:type="dxa"/>
            <w:hideMark/>
          </w:tcPr>
          <w:p w14:paraId="503752C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£181,700</w:t>
            </w:r>
          </w:p>
        </w:tc>
        <w:tc>
          <w:tcPr>
            <w:tcW w:w="1377" w:type="dxa"/>
            <w:hideMark/>
          </w:tcPr>
          <w:p w14:paraId="7570A98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£253,000</w:t>
            </w:r>
          </w:p>
        </w:tc>
        <w:tc>
          <w:tcPr>
            <w:tcW w:w="1377" w:type="dxa"/>
            <w:hideMark/>
          </w:tcPr>
          <w:p w14:paraId="7E25D565"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£357,650</w:t>
            </w:r>
          </w:p>
        </w:tc>
      </w:tr>
      <w:tr w:rsidR="007A71A5" w:rsidRPr="007A71A5" w14:paraId="4104CF5C" w14:textId="77777777" w:rsidTr="004F4BA7">
        <w:trPr>
          <w:trHeight w:val="343"/>
        </w:trPr>
        <w:tc>
          <w:tcPr>
            <w:cnfStyle w:val="001000000000" w:firstRow="0" w:lastRow="0" w:firstColumn="1" w:lastColumn="0" w:oddVBand="0" w:evenVBand="0" w:oddHBand="0" w:evenHBand="0" w:firstRowFirstColumn="0" w:firstRowLastColumn="0" w:lastRowFirstColumn="0" w:lastRowLastColumn="0"/>
            <w:tcW w:w="3252" w:type="dxa"/>
            <w:hideMark/>
          </w:tcPr>
          <w:p w14:paraId="07C76A2A" w14:textId="77777777" w:rsidR="00A13819" w:rsidRPr="004F4BA7" w:rsidRDefault="00A13819" w:rsidP="001D508A">
            <w:pPr>
              <w:rPr>
                <w:bCs/>
                <w:lang w:eastAsia="en-GB"/>
              </w:rPr>
            </w:pPr>
            <w:r w:rsidRPr="004F4BA7">
              <w:rPr>
                <w:bCs/>
                <w:lang w:eastAsia="en-GB"/>
              </w:rPr>
              <w:t>Share Bought</w:t>
            </w:r>
          </w:p>
        </w:tc>
        <w:tc>
          <w:tcPr>
            <w:tcW w:w="1376" w:type="dxa"/>
            <w:hideMark/>
          </w:tcPr>
          <w:p w14:paraId="0840833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55%</w:t>
            </w:r>
          </w:p>
        </w:tc>
        <w:tc>
          <w:tcPr>
            <w:tcW w:w="1377" w:type="dxa"/>
            <w:hideMark/>
          </w:tcPr>
          <w:p w14:paraId="2DF659B4"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1377" w:type="dxa"/>
            <w:hideMark/>
          </w:tcPr>
          <w:p w14:paraId="5EDC12E0"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w:t>
            </w:r>
          </w:p>
        </w:tc>
        <w:tc>
          <w:tcPr>
            <w:tcW w:w="1377" w:type="dxa"/>
            <w:hideMark/>
          </w:tcPr>
          <w:p w14:paraId="3BCCF5F7"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w:t>
            </w:r>
          </w:p>
        </w:tc>
      </w:tr>
      <w:tr w:rsidR="007A71A5" w:rsidRPr="007A71A5" w14:paraId="4F680F72" w14:textId="77777777" w:rsidTr="004F4BA7">
        <w:trPr>
          <w:trHeight w:val="343"/>
        </w:trPr>
        <w:tc>
          <w:tcPr>
            <w:cnfStyle w:val="001000000000" w:firstRow="0" w:lastRow="0" w:firstColumn="1" w:lastColumn="0" w:oddVBand="0" w:evenVBand="0" w:oddHBand="0" w:evenHBand="0" w:firstRowFirstColumn="0" w:firstRowLastColumn="0" w:lastRowFirstColumn="0" w:lastRowLastColumn="0"/>
            <w:tcW w:w="3252" w:type="dxa"/>
            <w:hideMark/>
          </w:tcPr>
          <w:p w14:paraId="7093D2F6" w14:textId="77777777" w:rsidR="00A13819" w:rsidRPr="004F4BA7" w:rsidRDefault="00A13819" w:rsidP="001D508A">
            <w:pPr>
              <w:rPr>
                <w:bCs/>
                <w:lang w:eastAsia="en-GB"/>
              </w:rPr>
            </w:pPr>
            <w:r w:rsidRPr="004F4BA7">
              <w:rPr>
                <w:bCs/>
                <w:lang w:eastAsia="en-GB"/>
              </w:rPr>
              <w:t>Equity Bought</w:t>
            </w:r>
          </w:p>
        </w:tc>
        <w:tc>
          <w:tcPr>
            <w:tcW w:w="1376" w:type="dxa"/>
            <w:hideMark/>
          </w:tcPr>
          <w:p w14:paraId="72111FB3"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£66,171</w:t>
            </w:r>
          </w:p>
        </w:tc>
        <w:tc>
          <w:tcPr>
            <w:tcW w:w="1377" w:type="dxa"/>
            <w:hideMark/>
          </w:tcPr>
          <w:p w14:paraId="15FA0B71"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£64,322</w:t>
            </w:r>
          </w:p>
        </w:tc>
        <w:tc>
          <w:tcPr>
            <w:tcW w:w="1377" w:type="dxa"/>
            <w:hideMark/>
          </w:tcPr>
          <w:p w14:paraId="3495B9C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£79,189</w:t>
            </w:r>
          </w:p>
        </w:tc>
        <w:tc>
          <w:tcPr>
            <w:tcW w:w="1377" w:type="dxa"/>
            <w:hideMark/>
          </w:tcPr>
          <w:p w14:paraId="6F05DFD0"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£85,478</w:t>
            </w:r>
          </w:p>
        </w:tc>
      </w:tr>
      <w:tr w:rsidR="007A71A5" w:rsidRPr="007A71A5" w14:paraId="5F575BBA" w14:textId="77777777" w:rsidTr="004F4BA7">
        <w:trPr>
          <w:trHeight w:val="343"/>
        </w:trPr>
        <w:tc>
          <w:tcPr>
            <w:cnfStyle w:val="001000000000" w:firstRow="0" w:lastRow="0" w:firstColumn="1" w:lastColumn="0" w:oddVBand="0" w:evenVBand="0" w:oddHBand="0" w:evenHBand="0" w:firstRowFirstColumn="0" w:firstRowLastColumn="0" w:lastRowFirstColumn="0" w:lastRowLastColumn="0"/>
            <w:tcW w:w="3252" w:type="dxa"/>
            <w:hideMark/>
          </w:tcPr>
          <w:p w14:paraId="66255D02" w14:textId="77777777" w:rsidR="00A13819" w:rsidRPr="004F4BA7" w:rsidRDefault="00A13819" w:rsidP="001D508A">
            <w:pPr>
              <w:rPr>
                <w:bCs/>
                <w:lang w:eastAsia="en-GB"/>
              </w:rPr>
            </w:pPr>
            <w:r w:rsidRPr="004F4BA7">
              <w:rPr>
                <w:bCs/>
                <w:lang w:eastAsia="en-GB"/>
              </w:rPr>
              <w:t>Mortgage Needed</w:t>
            </w:r>
          </w:p>
        </w:tc>
        <w:tc>
          <w:tcPr>
            <w:tcW w:w="1376" w:type="dxa"/>
            <w:hideMark/>
          </w:tcPr>
          <w:p w14:paraId="426DF257"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£59,554</w:t>
            </w:r>
          </w:p>
        </w:tc>
        <w:tc>
          <w:tcPr>
            <w:tcW w:w="1377" w:type="dxa"/>
            <w:hideMark/>
          </w:tcPr>
          <w:p w14:paraId="0EF6BA91"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£57,890</w:t>
            </w:r>
          </w:p>
        </w:tc>
        <w:tc>
          <w:tcPr>
            <w:tcW w:w="1377" w:type="dxa"/>
            <w:hideMark/>
          </w:tcPr>
          <w:p w14:paraId="2A6000AD"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£71,270</w:t>
            </w:r>
          </w:p>
        </w:tc>
        <w:tc>
          <w:tcPr>
            <w:tcW w:w="1377" w:type="dxa"/>
            <w:hideMark/>
          </w:tcPr>
          <w:p w14:paraId="4006C8E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£76,931</w:t>
            </w:r>
          </w:p>
        </w:tc>
      </w:tr>
      <w:tr w:rsidR="007A71A5" w:rsidRPr="007A71A5" w14:paraId="05A50D8A" w14:textId="77777777" w:rsidTr="004F4BA7">
        <w:trPr>
          <w:trHeight w:val="343"/>
        </w:trPr>
        <w:tc>
          <w:tcPr>
            <w:cnfStyle w:val="001000000000" w:firstRow="0" w:lastRow="0" w:firstColumn="1" w:lastColumn="0" w:oddVBand="0" w:evenVBand="0" w:oddHBand="0" w:evenHBand="0" w:firstRowFirstColumn="0" w:firstRowLastColumn="0" w:lastRowFirstColumn="0" w:lastRowLastColumn="0"/>
            <w:tcW w:w="3252" w:type="dxa"/>
            <w:hideMark/>
          </w:tcPr>
          <w:p w14:paraId="3566E5C8" w14:textId="77777777" w:rsidR="00A13819" w:rsidRPr="004F4BA7" w:rsidRDefault="00A13819" w:rsidP="001D508A">
            <w:pPr>
              <w:rPr>
                <w:bCs/>
                <w:lang w:eastAsia="en-GB"/>
              </w:rPr>
            </w:pPr>
            <w:r w:rsidRPr="004F4BA7">
              <w:rPr>
                <w:bCs/>
                <w:lang w:eastAsia="en-GB"/>
              </w:rPr>
              <w:t>Monthly Cost of Mortgage</w:t>
            </w:r>
          </w:p>
        </w:tc>
        <w:tc>
          <w:tcPr>
            <w:tcW w:w="1376" w:type="dxa"/>
            <w:hideMark/>
          </w:tcPr>
          <w:p w14:paraId="478A031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£314</w:t>
            </w:r>
          </w:p>
        </w:tc>
        <w:tc>
          <w:tcPr>
            <w:tcW w:w="1377" w:type="dxa"/>
            <w:hideMark/>
          </w:tcPr>
          <w:p w14:paraId="14A69175"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£306</w:t>
            </w:r>
          </w:p>
        </w:tc>
        <w:tc>
          <w:tcPr>
            <w:tcW w:w="1377" w:type="dxa"/>
            <w:hideMark/>
          </w:tcPr>
          <w:p w14:paraId="5526FD2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£376</w:t>
            </w:r>
          </w:p>
        </w:tc>
        <w:tc>
          <w:tcPr>
            <w:tcW w:w="1377" w:type="dxa"/>
            <w:hideMark/>
          </w:tcPr>
          <w:p w14:paraId="53C9F411"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£406</w:t>
            </w:r>
          </w:p>
        </w:tc>
      </w:tr>
      <w:tr w:rsidR="007A71A5" w:rsidRPr="007A71A5" w14:paraId="4DFD49B6" w14:textId="77777777" w:rsidTr="004F4BA7">
        <w:trPr>
          <w:trHeight w:val="343"/>
        </w:trPr>
        <w:tc>
          <w:tcPr>
            <w:cnfStyle w:val="001000000000" w:firstRow="0" w:lastRow="0" w:firstColumn="1" w:lastColumn="0" w:oddVBand="0" w:evenVBand="0" w:oddHBand="0" w:evenHBand="0" w:firstRowFirstColumn="0" w:firstRowLastColumn="0" w:lastRowFirstColumn="0" w:lastRowLastColumn="0"/>
            <w:tcW w:w="3252" w:type="dxa"/>
            <w:hideMark/>
          </w:tcPr>
          <w:p w14:paraId="2805270C" w14:textId="77777777" w:rsidR="00A13819" w:rsidRPr="004F4BA7" w:rsidRDefault="00A13819" w:rsidP="001D508A">
            <w:pPr>
              <w:rPr>
                <w:bCs/>
                <w:lang w:eastAsia="en-GB"/>
              </w:rPr>
            </w:pPr>
            <w:r w:rsidRPr="004F4BA7">
              <w:rPr>
                <w:bCs/>
                <w:lang w:eastAsia="en-GB"/>
              </w:rPr>
              <w:t>Retained Equity</w:t>
            </w:r>
          </w:p>
        </w:tc>
        <w:tc>
          <w:tcPr>
            <w:tcW w:w="1376" w:type="dxa"/>
            <w:hideMark/>
          </w:tcPr>
          <w:p w14:paraId="68B7CEE0"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£54,579</w:t>
            </w:r>
          </w:p>
        </w:tc>
        <w:tc>
          <w:tcPr>
            <w:tcW w:w="1377" w:type="dxa"/>
            <w:hideMark/>
          </w:tcPr>
          <w:p w14:paraId="6E884735"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£117,378</w:t>
            </w:r>
          </w:p>
        </w:tc>
        <w:tc>
          <w:tcPr>
            <w:tcW w:w="1377" w:type="dxa"/>
            <w:hideMark/>
          </w:tcPr>
          <w:p w14:paraId="7D20A24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£173,811</w:t>
            </w:r>
          </w:p>
        </w:tc>
        <w:tc>
          <w:tcPr>
            <w:tcW w:w="1377" w:type="dxa"/>
            <w:hideMark/>
          </w:tcPr>
          <w:p w14:paraId="67FF7375"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£272,172</w:t>
            </w:r>
          </w:p>
        </w:tc>
      </w:tr>
      <w:tr w:rsidR="007A71A5" w:rsidRPr="007A71A5" w14:paraId="48DFD4B7" w14:textId="77777777" w:rsidTr="004F4BA7">
        <w:trPr>
          <w:trHeight w:val="343"/>
        </w:trPr>
        <w:tc>
          <w:tcPr>
            <w:cnfStyle w:val="001000000000" w:firstRow="0" w:lastRow="0" w:firstColumn="1" w:lastColumn="0" w:oddVBand="0" w:evenVBand="0" w:oddHBand="0" w:evenHBand="0" w:firstRowFirstColumn="0" w:firstRowLastColumn="0" w:lastRowFirstColumn="0" w:lastRowLastColumn="0"/>
            <w:tcW w:w="3252" w:type="dxa"/>
            <w:hideMark/>
          </w:tcPr>
          <w:p w14:paraId="0901AEC7" w14:textId="77777777" w:rsidR="00A13819" w:rsidRPr="004F4BA7" w:rsidRDefault="00A13819" w:rsidP="001D508A">
            <w:pPr>
              <w:rPr>
                <w:bCs/>
                <w:lang w:eastAsia="en-GB"/>
              </w:rPr>
            </w:pPr>
            <w:r w:rsidRPr="004F4BA7">
              <w:rPr>
                <w:bCs/>
                <w:lang w:eastAsia="en-GB"/>
              </w:rPr>
              <w:t>Monthly Rent on Retained Equity</w:t>
            </w:r>
          </w:p>
        </w:tc>
        <w:tc>
          <w:tcPr>
            <w:tcW w:w="1376" w:type="dxa"/>
            <w:hideMark/>
          </w:tcPr>
          <w:p w14:paraId="209AABBC"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£125</w:t>
            </w:r>
          </w:p>
        </w:tc>
        <w:tc>
          <w:tcPr>
            <w:tcW w:w="1377" w:type="dxa"/>
            <w:hideMark/>
          </w:tcPr>
          <w:p w14:paraId="68BB21E9"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£269</w:t>
            </w:r>
          </w:p>
        </w:tc>
        <w:tc>
          <w:tcPr>
            <w:tcW w:w="1377" w:type="dxa"/>
            <w:hideMark/>
          </w:tcPr>
          <w:p w14:paraId="6E10E6F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£398</w:t>
            </w:r>
          </w:p>
        </w:tc>
        <w:tc>
          <w:tcPr>
            <w:tcW w:w="1377" w:type="dxa"/>
            <w:hideMark/>
          </w:tcPr>
          <w:p w14:paraId="1978C30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£624</w:t>
            </w:r>
          </w:p>
        </w:tc>
      </w:tr>
      <w:tr w:rsidR="007A71A5" w:rsidRPr="007A71A5" w14:paraId="1D8E4681"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252" w:type="dxa"/>
            <w:hideMark/>
          </w:tcPr>
          <w:p w14:paraId="4DF04825" w14:textId="77777777" w:rsidR="00A13819" w:rsidRPr="004F4BA7" w:rsidRDefault="00A13819" w:rsidP="001D508A">
            <w:pPr>
              <w:rPr>
                <w:bCs/>
                <w:lang w:eastAsia="en-GB"/>
              </w:rPr>
            </w:pPr>
            <w:r w:rsidRPr="004F4BA7">
              <w:rPr>
                <w:bCs/>
                <w:lang w:eastAsia="en-GB"/>
              </w:rPr>
              <w:t>Service Charge per month</w:t>
            </w:r>
          </w:p>
        </w:tc>
        <w:tc>
          <w:tcPr>
            <w:tcW w:w="1376" w:type="dxa"/>
            <w:hideMark/>
          </w:tcPr>
          <w:p w14:paraId="160CA137"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377" w:type="dxa"/>
            <w:hideMark/>
          </w:tcPr>
          <w:p w14:paraId="7D91726D"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377" w:type="dxa"/>
            <w:hideMark/>
          </w:tcPr>
          <w:p w14:paraId="4FDFA95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c>
          <w:tcPr>
            <w:tcW w:w="1377" w:type="dxa"/>
            <w:hideMark/>
          </w:tcPr>
          <w:p w14:paraId="526F9404"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r>
      <w:tr w:rsidR="007A71A5" w:rsidRPr="007A71A5" w14:paraId="330EBDED"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252" w:type="dxa"/>
            <w:hideMark/>
          </w:tcPr>
          <w:p w14:paraId="76338FA9" w14:textId="77777777" w:rsidR="00A13819" w:rsidRPr="007A71A5" w:rsidRDefault="00A13819" w:rsidP="001D508A">
            <w:pPr>
              <w:rPr>
                <w:b/>
                <w:lang w:eastAsia="en-GB"/>
              </w:rPr>
            </w:pPr>
            <w:r w:rsidRPr="007A71A5">
              <w:rPr>
                <w:b/>
                <w:lang w:eastAsia="en-GB"/>
              </w:rPr>
              <w:t>Total Cost per month</w:t>
            </w:r>
          </w:p>
        </w:tc>
        <w:tc>
          <w:tcPr>
            <w:tcW w:w="1376" w:type="dxa"/>
            <w:hideMark/>
          </w:tcPr>
          <w:p w14:paraId="331B4D91"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£540</w:t>
            </w:r>
          </w:p>
        </w:tc>
        <w:tc>
          <w:tcPr>
            <w:tcW w:w="1377" w:type="dxa"/>
            <w:hideMark/>
          </w:tcPr>
          <w:p w14:paraId="397B813A"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£675</w:t>
            </w:r>
          </w:p>
        </w:tc>
        <w:tc>
          <w:tcPr>
            <w:tcW w:w="1377" w:type="dxa"/>
            <w:hideMark/>
          </w:tcPr>
          <w:p w14:paraId="521967D5"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£775</w:t>
            </w:r>
          </w:p>
        </w:tc>
        <w:tc>
          <w:tcPr>
            <w:tcW w:w="1377" w:type="dxa"/>
            <w:hideMark/>
          </w:tcPr>
          <w:p w14:paraId="33B14772"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£1,030</w:t>
            </w:r>
          </w:p>
        </w:tc>
      </w:tr>
    </w:tbl>
    <w:p w14:paraId="5798FAF2" w14:textId="77777777" w:rsidR="00A13819" w:rsidRDefault="00A13819" w:rsidP="00A13819">
      <w:pPr>
        <w:pStyle w:val="Bodytextwithindent"/>
        <w:spacing w:before="0" w:after="120"/>
        <w:rPr>
          <w:b/>
          <w:szCs w:val="24"/>
        </w:rPr>
      </w:pPr>
      <w:r w:rsidRPr="007D0FBF">
        <w:rPr>
          <w:sz w:val="24"/>
          <w:szCs w:val="22"/>
        </w:rPr>
        <w:t>Source: Data based on Housing Market Cost Analysis</w:t>
      </w:r>
    </w:p>
    <w:p w14:paraId="22E00B8E" w14:textId="77777777" w:rsidR="00A13819" w:rsidRDefault="00A13819" w:rsidP="003D5E23">
      <w:pPr>
        <w:pStyle w:val="Tableheading"/>
        <w:numPr>
          <w:ilvl w:val="0"/>
          <w:numId w:val="54"/>
        </w:numPr>
      </w:pPr>
      <w:r>
        <w:t>Estimated Affordable Equity Share by Size – South Cambridgeshire</w:t>
      </w:r>
    </w:p>
    <w:tbl>
      <w:tblPr>
        <w:tblStyle w:val="TableGridLight1"/>
        <w:tblW w:w="8855" w:type="dxa"/>
        <w:tblInd w:w="854" w:type="dxa"/>
        <w:tblLook w:val="04A0" w:firstRow="1" w:lastRow="0" w:firstColumn="1" w:lastColumn="0" w:noHBand="0" w:noVBand="1"/>
      </w:tblPr>
      <w:tblGrid>
        <w:gridCol w:w="3266"/>
        <w:gridCol w:w="1397"/>
        <w:gridCol w:w="1397"/>
        <w:gridCol w:w="1397"/>
        <w:gridCol w:w="1398"/>
      </w:tblGrid>
      <w:tr w:rsidR="007D0FBF" w:rsidRPr="007A71A5" w14:paraId="444833B2" w14:textId="77777777" w:rsidTr="007D0FB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266" w:type="dxa"/>
            <w:hideMark/>
          </w:tcPr>
          <w:p w14:paraId="082800CF" w14:textId="77777777" w:rsidR="007D0FBF" w:rsidRPr="007A71A5" w:rsidRDefault="007D0FBF" w:rsidP="007D0FBF">
            <w:pPr>
              <w:keepNext/>
              <w:rPr>
                <w:lang w:eastAsia="en-GB"/>
              </w:rPr>
            </w:pPr>
            <w:r w:rsidRPr="007A71A5">
              <w:rPr>
                <w:lang w:eastAsia="en-GB"/>
              </w:rPr>
              <w:t> </w:t>
            </w:r>
          </w:p>
        </w:tc>
        <w:tc>
          <w:tcPr>
            <w:tcW w:w="1397" w:type="dxa"/>
            <w:hideMark/>
          </w:tcPr>
          <w:p w14:paraId="01B3BDD9" w14:textId="7D59C829"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w:t>
            </w:r>
          </w:p>
        </w:tc>
        <w:tc>
          <w:tcPr>
            <w:tcW w:w="1397" w:type="dxa"/>
            <w:hideMark/>
          </w:tcPr>
          <w:p w14:paraId="6786ED98" w14:textId="34A909D4"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2-Beds</w:t>
            </w:r>
          </w:p>
        </w:tc>
        <w:tc>
          <w:tcPr>
            <w:tcW w:w="1397" w:type="dxa"/>
            <w:hideMark/>
          </w:tcPr>
          <w:p w14:paraId="3E55D02A" w14:textId="76310ED9"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3-Beds</w:t>
            </w:r>
          </w:p>
        </w:tc>
        <w:tc>
          <w:tcPr>
            <w:tcW w:w="1398" w:type="dxa"/>
            <w:hideMark/>
          </w:tcPr>
          <w:p w14:paraId="7D1FB3F8" w14:textId="2F8358CC" w:rsidR="007D0FBF" w:rsidRPr="007A71A5" w:rsidRDefault="007D0FBF"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4+-Beds</w:t>
            </w:r>
          </w:p>
        </w:tc>
      </w:tr>
      <w:tr w:rsidR="007A71A5" w:rsidRPr="007A71A5" w14:paraId="5667E084"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20F3FE38" w14:textId="77777777" w:rsidR="00A13819" w:rsidRPr="004F4BA7" w:rsidRDefault="00A13819" w:rsidP="008E6E40">
            <w:pPr>
              <w:keepNext/>
              <w:rPr>
                <w:bCs/>
                <w:lang w:eastAsia="en-GB"/>
              </w:rPr>
            </w:pPr>
            <w:r w:rsidRPr="004F4BA7">
              <w:rPr>
                <w:bCs/>
                <w:lang w:eastAsia="en-GB"/>
              </w:rPr>
              <w:t>OMV</w:t>
            </w:r>
          </w:p>
        </w:tc>
        <w:tc>
          <w:tcPr>
            <w:tcW w:w="1397" w:type="dxa"/>
            <w:hideMark/>
          </w:tcPr>
          <w:p w14:paraId="4B6C79E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£187,450</w:t>
            </w:r>
          </w:p>
        </w:tc>
        <w:tc>
          <w:tcPr>
            <w:tcW w:w="1397" w:type="dxa"/>
            <w:hideMark/>
          </w:tcPr>
          <w:p w14:paraId="1B8E027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£262,200</w:t>
            </w:r>
          </w:p>
        </w:tc>
        <w:tc>
          <w:tcPr>
            <w:tcW w:w="1397" w:type="dxa"/>
            <w:hideMark/>
          </w:tcPr>
          <w:p w14:paraId="32015DC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£334,650</w:t>
            </w:r>
          </w:p>
        </w:tc>
        <w:tc>
          <w:tcPr>
            <w:tcW w:w="1398" w:type="dxa"/>
            <w:hideMark/>
          </w:tcPr>
          <w:p w14:paraId="79769CB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£473,800</w:t>
            </w:r>
          </w:p>
        </w:tc>
      </w:tr>
      <w:tr w:rsidR="007A71A5" w:rsidRPr="007A71A5" w14:paraId="671E6CF9"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6A1D0A7B" w14:textId="77777777" w:rsidR="00A13819" w:rsidRPr="004F4BA7" w:rsidRDefault="00A13819" w:rsidP="008E6E40">
            <w:pPr>
              <w:keepNext/>
              <w:rPr>
                <w:bCs/>
                <w:lang w:eastAsia="en-GB"/>
              </w:rPr>
            </w:pPr>
            <w:r w:rsidRPr="004F4BA7">
              <w:rPr>
                <w:bCs/>
                <w:lang w:eastAsia="en-GB"/>
              </w:rPr>
              <w:t>Share Bought</w:t>
            </w:r>
          </w:p>
        </w:tc>
        <w:tc>
          <w:tcPr>
            <w:tcW w:w="1397" w:type="dxa"/>
            <w:hideMark/>
          </w:tcPr>
          <w:p w14:paraId="77280B6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42%</w:t>
            </w:r>
          </w:p>
        </w:tc>
        <w:tc>
          <w:tcPr>
            <w:tcW w:w="1397" w:type="dxa"/>
            <w:hideMark/>
          </w:tcPr>
          <w:p w14:paraId="564ACF9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23%</w:t>
            </w:r>
          </w:p>
        </w:tc>
        <w:tc>
          <w:tcPr>
            <w:tcW w:w="1397" w:type="dxa"/>
            <w:hideMark/>
          </w:tcPr>
          <w:p w14:paraId="0F0A342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22%</w:t>
            </w:r>
          </w:p>
        </w:tc>
        <w:tc>
          <w:tcPr>
            <w:tcW w:w="1398" w:type="dxa"/>
            <w:hideMark/>
          </w:tcPr>
          <w:p w14:paraId="157FE91B"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w:t>
            </w:r>
          </w:p>
        </w:tc>
      </w:tr>
      <w:tr w:rsidR="007A71A5" w:rsidRPr="007A71A5" w14:paraId="7A9A354A"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15478731" w14:textId="77777777" w:rsidR="00A13819" w:rsidRPr="004F4BA7" w:rsidRDefault="00A13819" w:rsidP="008E6E40">
            <w:pPr>
              <w:keepNext/>
              <w:rPr>
                <w:bCs/>
                <w:lang w:eastAsia="en-GB"/>
              </w:rPr>
            </w:pPr>
            <w:r w:rsidRPr="004F4BA7">
              <w:rPr>
                <w:bCs/>
                <w:lang w:eastAsia="en-GB"/>
              </w:rPr>
              <w:t>Equity Bought</w:t>
            </w:r>
          </w:p>
        </w:tc>
        <w:tc>
          <w:tcPr>
            <w:tcW w:w="1397" w:type="dxa"/>
            <w:hideMark/>
          </w:tcPr>
          <w:p w14:paraId="741A2A81"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£79,479</w:t>
            </w:r>
          </w:p>
        </w:tc>
        <w:tc>
          <w:tcPr>
            <w:tcW w:w="1397" w:type="dxa"/>
            <w:hideMark/>
          </w:tcPr>
          <w:p w14:paraId="2ADD908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£60,568</w:t>
            </w:r>
          </w:p>
        </w:tc>
        <w:tc>
          <w:tcPr>
            <w:tcW w:w="1397" w:type="dxa"/>
            <w:hideMark/>
          </w:tcPr>
          <w:p w14:paraId="10FF241A"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£74,292</w:t>
            </w:r>
          </w:p>
        </w:tc>
        <w:tc>
          <w:tcPr>
            <w:tcW w:w="1398" w:type="dxa"/>
            <w:hideMark/>
          </w:tcPr>
          <w:p w14:paraId="2718B9B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£66,806</w:t>
            </w:r>
          </w:p>
        </w:tc>
      </w:tr>
      <w:tr w:rsidR="007A71A5" w:rsidRPr="007A71A5" w14:paraId="11CBB29E"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08FB497A" w14:textId="77777777" w:rsidR="00A13819" w:rsidRPr="004F4BA7" w:rsidRDefault="00A13819" w:rsidP="008E6E40">
            <w:pPr>
              <w:keepNext/>
              <w:rPr>
                <w:bCs/>
                <w:lang w:eastAsia="en-GB"/>
              </w:rPr>
            </w:pPr>
            <w:r w:rsidRPr="004F4BA7">
              <w:rPr>
                <w:bCs/>
                <w:lang w:eastAsia="en-GB"/>
              </w:rPr>
              <w:t>Mortgage Needed</w:t>
            </w:r>
          </w:p>
        </w:tc>
        <w:tc>
          <w:tcPr>
            <w:tcW w:w="1397" w:type="dxa"/>
            <w:hideMark/>
          </w:tcPr>
          <w:p w14:paraId="2B3E8EE2"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£71,531</w:t>
            </w:r>
          </w:p>
        </w:tc>
        <w:tc>
          <w:tcPr>
            <w:tcW w:w="1397" w:type="dxa"/>
            <w:hideMark/>
          </w:tcPr>
          <w:p w14:paraId="19FC4B7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£54,511</w:t>
            </w:r>
          </w:p>
        </w:tc>
        <w:tc>
          <w:tcPr>
            <w:tcW w:w="1397" w:type="dxa"/>
            <w:hideMark/>
          </w:tcPr>
          <w:p w14:paraId="7EE80C7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£66,863</w:t>
            </w:r>
          </w:p>
        </w:tc>
        <w:tc>
          <w:tcPr>
            <w:tcW w:w="1398" w:type="dxa"/>
            <w:hideMark/>
          </w:tcPr>
          <w:p w14:paraId="273405B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£60,125</w:t>
            </w:r>
          </w:p>
        </w:tc>
      </w:tr>
      <w:tr w:rsidR="007A71A5" w:rsidRPr="007A71A5" w14:paraId="045D1FAB"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4E902446" w14:textId="77777777" w:rsidR="00A13819" w:rsidRPr="004F4BA7" w:rsidRDefault="00A13819" w:rsidP="008E6E40">
            <w:pPr>
              <w:keepNext/>
              <w:rPr>
                <w:bCs/>
                <w:lang w:eastAsia="en-GB"/>
              </w:rPr>
            </w:pPr>
            <w:r w:rsidRPr="004F4BA7">
              <w:rPr>
                <w:bCs/>
                <w:lang w:eastAsia="en-GB"/>
              </w:rPr>
              <w:t>Monthly Cost of Mortgage</w:t>
            </w:r>
          </w:p>
        </w:tc>
        <w:tc>
          <w:tcPr>
            <w:tcW w:w="1397" w:type="dxa"/>
            <w:hideMark/>
          </w:tcPr>
          <w:p w14:paraId="0ACC7935"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£378</w:t>
            </w:r>
          </w:p>
        </w:tc>
        <w:tc>
          <w:tcPr>
            <w:tcW w:w="1397" w:type="dxa"/>
            <w:hideMark/>
          </w:tcPr>
          <w:p w14:paraId="6152AFAF"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£288</w:t>
            </w:r>
          </w:p>
        </w:tc>
        <w:tc>
          <w:tcPr>
            <w:tcW w:w="1397" w:type="dxa"/>
            <w:hideMark/>
          </w:tcPr>
          <w:p w14:paraId="3C2AA6B7"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£353</w:t>
            </w:r>
          </w:p>
        </w:tc>
        <w:tc>
          <w:tcPr>
            <w:tcW w:w="1398" w:type="dxa"/>
            <w:hideMark/>
          </w:tcPr>
          <w:p w14:paraId="4B4A81A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£317</w:t>
            </w:r>
          </w:p>
        </w:tc>
      </w:tr>
      <w:tr w:rsidR="007A71A5" w:rsidRPr="007A71A5" w14:paraId="30214810"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03948C7C" w14:textId="77777777" w:rsidR="00A13819" w:rsidRPr="004F4BA7" w:rsidRDefault="00A13819" w:rsidP="008E6E40">
            <w:pPr>
              <w:keepNext/>
              <w:rPr>
                <w:bCs/>
                <w:lang w:eastAsia="en-GB"/>
              </w:rPr>
            </w:pPr>
            <w:r w:rsidRPr="004F4BA7">
              <w:rPr>
                <w:bCs/>
                <w:lang w:eastAsia="en-GB"/>
              </w:rPr>
              <w:t>Retained Equity</w:t>
            </w:r>
          </w:p>
        </w:tc>
        <w:tc>
          <w:tcPr>
            <w:tcW w:w="1397" w:type="dxa"/>
            <w:hideMark/>
          </w:tcPr>
          <w:p w14:paraId="74DE2EB6"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£107,971</w:t>
            </w:r>
          </w:p>
        </w:tc>
        <w:tc>
          <w:tcPr>
            <w:tcW w:w="1397" w:type="dxa"/>
            <w:hideMark/>
          </w:tcPr>
          <w:p w14:paraId="0AB2E8C4"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£201,632</w:t>
            </w:r>
          </w:p>
        </w:tc>
        <w:tc>
          <w:tcPr>
            <w:tcW w:w="1397" w:type="dxa"/>
            <w:hideMark/>
          </w:tcPr>
          <w:p w14:paraId="0C98695E"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£260,358</w:t>
            </w:r>
          </w:p>
        </w:tc>
        <w:tc>
          <w:tcPr>
            <w:tcW w:w="1398" w:type="dxa"/>
            <w:hideMark/>
          </w:tcPr>
          <w:p w14:paraId="4E0EFD89"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£406,994</w:t>
            </w:r>
          </w:p>
        </w:tc>
      </w:tr>
      <w:tr w:rsidR="007A71A5" w:rsidRPr="007A71A5" w14:paraId="25FC8C3B"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07D658BF" w14:textId="77777777" w:rsidR="00A13819" w:rsidRPr="004F4BA7" w:rsidRDefault="00A13819" w:rsidP="008E6E40">
            <w:pPr>
              <w:keepNext/>
              <w:rPr>
                <w:bCs/>
                <w:lang w:eastAsia="en-GB"/>
              </w:rPr>
            </w:pPr>
            <w:r w:rsidRPr="004F4BA7">
              <w:rPr>
                <w:bCs/>
                <w:lang w:eastAsia="en-GB"/>
              </w:rPr>
              <w:t>Monthly Rent on Retained Equity</w:t>
            </w:r>
          </w:p>
        </w:tc>
        <w:tc>
          <w:tcPr>
            <w:tcW w:w="1397" w:type="dxa"/>
            <w:hideMark/>
          </w:tcPr>
          <w:p w14:paraId="45173D1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£247</w:t>
            </w:r>
          </w:p>
        </w:tc>
        <w:tc>
          <w:tcPr>
            <w:tcW w:w="1397" w:type="dxa"/>
            <w:hideMark/>
          </w:tcPr>
          <w:p w14:paraId="278EE9C1"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£462</w:t>
            </w:r>
          </w:p>
        </w:tc>
        <w:tc>
          <w:tcPr>
            <w:tcW w:w="1397" w:type="dxa"/>
            <w:hideMark/>
          </w:tcPr>
          <w:p w14:paraId="30AA6183"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£597</w:t>
            </w:r>
          </w:p>
        </w:tc>
        <w:tc>
          <w:tcPr>
            <w:tcW w:w="1398" w:type="dxa"/>
            <w:hideMark/>
          </w:tcPr>
          <w:p w14:paraId="136BB49C"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£933</w:t>
            </w:r>
          </w:p>
        </w:tc>
      </w:tr>
      <w:tr w:rsidR="007A71A5" w:rsidRPr="007A71A5" w14:paraId="1090CD5B"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649C78D1" w14:textId="77777777" w:rsidR="00A13819" w:rsidRPr="004F4BA7" w:rsidRDefault="00A13819" w:rsidP="008E6E40">
            <w:pPr>
              <w:keepNext/>
              <w:rPr>
                <w:bCs/>
                <w:lang w:eastAsia="en-GB"/>
              </w:rPr>
            </w:pPr>
            <w:r w:rsidRPr="004F4BA7">
              <w:rPr>
                <w:bCs/>
                <w:lang w:eastAsia="en-GB"/>
              </w:rPr>
              <w:t>Service Charge per month</w:t>
            </w:r>
          </w:p>
        </w:tc>
        <w:tc>
          <w:tcPr>
            <w:tcW w:w="1397" w:type="dxa"/>
            <w:hideMark/>
          </w:tcPr>
          <w:p w14:paraId="61D3CB68"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397" w:type="dxa"/>
            <w:hideMark/>
          </w:tcPr>
          <w:p w14:paraId="152F3AB0"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397" w:type="dxa"/>
            <w:hideMark/>
          </w:tcPr>
          <w:p w14:paraId="4FEB269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c>
          <w:tcPr>
            <w:tcW w:w="1398" w:type="dxa"/>
            <w:hideMark/>
          </w:tcPr>
          <w:p w14:paraId="0B35231D" w14:textId="77777777" w:rsidR="00A13819" w:rsidRPr="007A71A5" w:rsidRDefault="00A13819"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r>
      <w:tr w:rsidR="007A71A5" w:rsidRPr="007A71A5" w14:paraId="762718DA" w14:textId="77777777" w:rsidTr="004F4BA7">
        <w:trPr>
          <w:trHeight w:val="251"/>
        </w:trPr>
        <w:tc>
          <w:tcPr>
            <w:cnfStyle w:val="001000000000" w:firstRow="0" w:lastRow="0" w:firstColumn="1" w:lastColumn="0" w:oddVBand="0" w:evenVBand="0" w:oddHBand="0" w:evenHBand="0" w:firstRowFirstColumn="0" w:firstRowLastColumn="0" w:lastRowFirstColumn="0" w:lastRowLastColumn="0"/>
            <w:tcW w:w="3266" w:type="dxa"/>
            <w:hideMark/>
          </w:tcPr>
          <w:p w14:paraId="1E22C9EB" w14:textId="77777777" w:rsidR="00A13819" w:rsidRPr="007A71A5" w:rsidRDefault="00A13819" w:rsidP="008E6E40">
            <w:pPr>
              <w:keepNext/>
              <w:rPr>
                <w:b/>
                <w:lang w:eastAsia="en-GB"/>
              </w:rPr>
            </w:pPr>
            <w:r w:rsidRPr="007A71A5">
              <w:rPr>
                <w:b/>
                <w:lang w:eastAsia="en-GB"/>
              </w:rPr>
              <w:t>Total Cost per month</w:t>
            </w:r>
          </w:p>
        </w:tc>
        <w:tc>
          <w:tcPr>
            <w:tcW w:w="1397" w:type="dxa"/>
            <w:hideMark/>
          </w:tcPr>
          <w:p w14:paraId="37A8F624"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£725</w:t>
            </w:r>
          </w:p>
        </w:tc>
        <w:tc>
          <w:tcPr>
            <w:tcW w:w="1397" w:type="dxa"/>
            <w:hideMark/>
          </w:tcPr>
          <w:p w14:paraId="67F79EA3"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£850</w:t>
            </w:r>
          </w:p>
        </w:tc>
        <w:tc>
          <w:tcPr>
            <w:tcW w:w="1397" w:type="dxa"/>
            <w:hideMark/>
          </w:tcPr>
          <w:p w14:paraId="218DD212"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£950</w:t>
            </w:r>
          </w:p>
        </w:tc>
        <w:tc>
          <w:tcPr>
            <w:tcW w:w="1398" w:type="dxa"/>
            <w:hideMark/>
          </w:tcPr>
          <w:p w14:paraId="58C0C3DF" w14:textId="77777777" w:rsidR="00A13819" w:rsidRPr="004F4BA7" w:rsidRDefault="00A13819"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£1,250</w:t>
            </w:r>
          </w:p>
        </w:tc>
      </w:tr>
    </w:tbl>
    <w:p w14:paraId="54F1510A" w14:textId="6E10F1EB" w:rsidR="00A13819" w:rsidRPr="007D0FBF" w:rsidRDefault="00A13819" w:rsidP="00A100D1">
      <w:pPr>
        <w:pStyle w:val="Bodytextwithindent"/>
        <w:keepNext/>
        <w:spacing w:before="0" w:after="0" w:line="240" w:lineRule="auto"/>
        <w:rPr>
          <w:sz w:val="24"/>
          <w:szCs w:val="22"/>
        </w:rPr>
      </w:pPr>
      <w:r w:rsidRPr="007D0FBF">
        <w:rPr>
          <w:sz w:val="24"/>
          <w:szCs w:val="22"/>
        </w:rPr>
        <w:t xml:space="preserve"> Source: Data based on Housing Market Cost Analysis</w:t>
      </w:r>
    </w:p>
    <w:p w14:paraId="1B1DC819" w14:textId="77777777" w:rsidR="00A100D1" w:rsidRPr="008E6E40" w:rsidRDefault="00A100D1" w:rsidP="008E6E40"/>
    <w:p w14:paraId="48BED190" w14:textId="77777777" w:rsidR="00A13819" w:rsidRDefault="00A13819" w:rsidP="003D5E23">
      <w:pPr>
        <w:pStyle w:val="Tableheading"/>
        <w:numPr>
          <w:ilvl w:val="0"/>
          <w:numId w:val="54"/>
        </w:numPr>
      </w:pPr>
      <w:r>
        <w:t>Estimated Affordable Equity Share by Size – West Suffolk</w:t>
      </w:r>
    </w:p>
    <w:tbl>
      <w:tblPr>
        <w:tblStyle w:val="TableGridLight1"/>
        <w:tblW w:w="8817" w:type="dxa"/>
        <w:tblInd w:w="854" w:type="dxa"/>
        <w:tblLook w:val="04A0" w:firstRow="1" w:lastRow="0" w:firstColumn="1" w:lastColumn="0" w:noHBand="0" w:noVBand="1"/>
      </w:tblPr>
      <w:tblGrid>
        <w:gridCol w:w="3110"/>
        <w:gridCol w:w="1134"/>
        <w:gridCol w:w="1189"/>
        <w:gridCol w:w="1692"/>
        <w:gridCol w:w="1692"/>
      </w:tblGrid>
      <w:tr w:rsidR="007D0FBF" w:rsidRPr="007A71A5" w14:paraId="7895B0DD" w14:textId="77777777" w:rsidTr="004F4BA7">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110" w:type="dxa"/>
            <w:hideMark/>
          </w:tcPr>
          <w:p w14:paraId="5B7A4E7D" w14:textId="77777777" w:rsidR="007D0FBF" w:rsidRPr="007A71A5" w:rsidRDefault="007D0FBF" w:rsidP="007D0FBF">
            <w:pPr>
              <w:rPr>
                <w:lang w:eastAsia="en-GB"/>
              </w:rPr>
            </w:pPr>
            <w:r w:rsidRPr="007A71A5">
              <w:rPr>
                <w:lang w:eastAsia="en-GB"/>
              </w:rPr>
              <w:t> </w:t>
            </w:r>
          </w:p>
        </w:tc>
        <w:tc>
          <w:tcPr>
            <w:tcW w:w="1134" w:type="dxa"/>
            <w:hideMark/>
          </w:tcPr>
          <w:p w14:paraId="7E21EEB1" w14:textId="103CE9A6"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1-Bed</w:t>
            </w:r>
          </w:p>
        </w:tc>
        <w:tc>
          <w:tcPr>
            <w:tcW w:w="1189" w:type="dxa"/>
            <w:hideMark/>
          </w:tcPr>
          <w:p w14:paraId="76CF01F8" w14:textId="1D2D034B"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2-Beds</w:t>
            </w:r>
          </w:p>
        </w:tc>
        <w:tc>
          <w:tcPr>
            <w:tcW w:w="1692" w:type="dxa"/>
            <w:hideMark/>
          </w:tcPr>
          <w:p w14:paraId="7E8B8917" w14:textId="6239C82B"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3-Beds</w:t>
            </w:r>
          </w:p>
        </w:tc>
        <w:tc>
          <w:tcPr>
            <w:tcW w:w="1692" w:type="dxa"/>
            <w:hideMark/>
          </w:tcPr>
          <w:p w14:paraId="4A173D41" w14:textId="51BE1FB5" w:rsidR="007D0FBF" w:rsidRPr="007A71A5" w:rsidRDefault="007D0FBF"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4+-Beds</w:t>
            </w:r>
          </w:p>
        </w:tc>
      </w:tr>
      <w:tr w:rsidR="007A71A5" w:rsidRPr="007A71A5" w14:paraId="177AA230" w14:textId="77777777" w:rsidTr="004F4BA7">
        <w:trPr>
          <w:trHeight w:val="82"/>
        </w:trPr>
        <w:tc>
          <w:tcPr>
            <w:cnfStyle w:val="001000000000" w:firstRow="0" w:lastRow="0" w:firstColumn="1" w:lastColumn="0" w:oddVBand="0" w:evenVBand="0" w:oddHBand="0" w:evenHBand="0" w:firstRowFirstColumn="0" w:firstRowLastColumn="0" w:lastRowFirstColumn="0" w:lastRowLastColumn="0"/>
            <w:tcW w:w="3110" w:type="dxa"/>
            <w:hideMark/>
          </w:tcPr>
          <w:p w14:paraId="21AF0EB7" w14:textId="77777777" w:rsidR="00A13819" w:rsidRPr="004F4BA7" w:rsidRDefault="00A13819" w:rsidP="001D508A">
            <w:pPr>
              <w:rPr>
                <w:bCs/>
                <w:lang w:eastAsia="en-GB"/>
              </w:rPr>
            </w:pPr>
            <w:r w:rsidRPr="004F4BA7">
              <w:rPr>
                <w:bCs/>
                <w:lang w:eastAsia="en-GB"/>
              </w:rPr>
              <w:t>OMV</w:t>
            </w:r>
          </w:p>
        </w:tc>
        <w:tc>
          <w:tcPr>
            <w:tcW w:w="1134" w:type="dxa"/>
            <w:hideMark/>
          </w:tcPr>
          <w:p w14:paraId="53D442D8"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£157,550</w:t>
            </w:r>
          </w:p>
        </w:tc>
        <w:tc>
          <w:tcPr>
            <w:tcW w:w="1189" w:type="dxa"/>
            <w:hideMark/>
          </w:tcPr>
          <w:p w14:paraId="1115336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£200,100</w:t>
            </w:r>
          </w:p>
        </w:tc>
        <w:tc>
          <w:tcPr>
            <w:tcW w:w="1692" w:type="dxa"/>
            <w:hideMark/>
          </w:tcPr>
          <w:p w14:paraId="7562F06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£249,550</w:t>
            </w:r>
          </w:p>
        </w:tc>
        <w:tc>
          <w:tcPr>
            <w:tcW w:w="1692" w:type="dxa"/>
            <w:hideMark/>
          </w:tcPr>
          <w:p w14:paraId="6FAE944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£353,050</w:t>
            </w:r>
          </w:p>
        </w:tc>
      </w:tr>
      <w:tr w:rsidR="007A71A5" w:rsidRPr="007A71A5" w14:paraId="79430B49"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110" w:type="dxa"/>
            <w:hideMark/>
          </w:tcPr>
          <w:p w14:paraId="56ACC8CD" w14:textId="77777777" w:rsidR="00A13819" w:rsidRPr="004F4BA7" w:rsidRDefault="00A13819" w:rsidP="001D508A">
            <w:pPr>
              <w:rPr>
                <w:bCs/>
                <w:lang w:eastAsia="en-GB"/>
              </w:rPr>
            </w:pPr>
            <w:r w:rsidRPr="004F4BA7">
              <w:rPr>
                <w:bCs/>
                <w:lang w:eastAsia="en-GB"/>
              </w:rPr>
              <w:t>Share Bought</w:t>
            </w:r>
          </w:p>
        </w:tc>
        <w:tc>
          <w:tcPr>
            <w:tcW w:w="1134" w:type="dxa"/>
            <w:hideMark/>
          </w:tcPr>
          <w:p w14:paraId="3DA0579C"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25%</w:t>
            </w:r>
          </w:p>
        </w:tc>
        <w:tc>
          <w:tcPr>
            <w:tcW w:w="1189" w:type="dxa"/>
            <w:hideMark/>
          </w:tcPr>
          <w:p w14:paraId="4B4DCE2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29%</w:t>
            </w:r>
          </w:p>
        </w:tc>
        <w:tc>
          <w:tcPr>
            <w:tcW w:w="1692" w:type="dxa"/>
            <w:hideMark/>
          </w:tcPr>
          <w:p w14:paraId="02EB20F1"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47%</w:t>
            </w:r>
          </w:p>
        </w:tc>
        <w:tc>
          <w:tcPr>
            <w:tcW w:w="1692" w:type="dxa"/>
            <w:hideMark/>
          </w:tcPr>
          <w:p w14:paraId="115B5E73"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45%</w:t>
            </w:r>
          </w:p>
        </w:tc>
      </w:tr>
      <w:tr w:rsidR="007A71A5" w:rsidRPr="007A71A5" w14:paraId="18D1271D"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110" w:type="dxa"/>
            <w:hideMark/>
          </w:tcPr>
          <w:p w14:paraId="1C14F87E" w14:textId="77777777" w:rsidR="00A13819" w:rsidRPr="004F4BA7" w:rsidRDefault="00A13819" w:rsidP="001D508A">
            <w:pPr>
              <w:rPr>
                <w:bCs/>
                <w:lang w:eastAsia="en-GB"/>
              </w:rPr>
            </w:pPr>
            <w:r w:rsidRPr="004F4BA7">
              <w:rPr>
                <w:bCs/>
                <w:lang w:eastAsia="en-GB"/>
              </w:rPr>
              <w:t>Equity Bought</w:t>
            </w:r>
          </w:p>
        </w:tc>
        <w:tc>
          <w:tcPr>
            <w:tcW w:w="1134" w:type="dxa"/>
            <w:hideMark/>
          </w:tcPr>
          <w:p w14:paraId="6B8DAEB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£40,018</w:t>
            </w:r>
          </w:p>
        </w:tc>
        <w:tc>
          <w:tcPr>
            <w:tcW w:w="1189" w:type="dxa"/>
            <w:hideMark/>
          </w:tcPr>
          <w:p w14:paraId="3575BF5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£57,629</w:t>
            </w:r>
          </w:p>
        </w:tc>
        <w:tc>
          <w:tcPr>
            <w:tcW w:w="1692" w:type="dxa"/>
            <w:hideMark/>
          </w:tcPr>
          <w:p w14:paraId="013A1A17"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£117,289</w:t>
            </w:r>
          </w:p>
        </w:tc>
        <w:tc>
          <w:tcPr>
            <w:tcW w:w="1692" w:type="dxa"/>
            <w:hideMark/>
          </w:tcPr>
          <w:p w14:paraId="2D07A1A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£158,873</w:t>
            </w:r>
          </w:p>
        </w:tc>
      </w:tr>
      <w:tr w:rsidR="007A71A5" w:rsidRPr="007A71A5" w14:paraId="74642CE3"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110" w:type="dxa"/>
            <w:hideMark/>
          </w:tcPr>
          <w:p w14:paraId="2AD63F4B" w14:textId="77777777" w:rsidR="00A13819" w:rsidRPr="004F4BA7" w:rsidRDefault="00A13819" w:rsidP="001D508A">
            <w:pPr>
              <w:rPr>
                <w:bCs/>
                <w:lang w:eastAsia="en-GB"/>
              </w:rPr>
            </w:pPr>
            <w:r w:rsidRPr="004F4BA7">
              <w:rPr>
                <w:bCs/>
                <w:lang w:eastAsia="en-GB"/>
              </w:rPr>
              <w:t>Mortgage Needed</w:t>
            </w:r>
          </w:p>
        </w:tc>
        <w:tc>
          <w:tcPr>
            <w:tcW w:w="1134" w:type="dxa"/>
            <w:hideMark/>
          </w:tcPr>
          <w:p w14:paraId="7846E178"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£36,016</w:t>
            </w:r>
          </w:p>
        </w:tc>
        <w:tc>
          <w:tcPr>
            <w:tcW w:w="1189" w:type="dxa"/>
            <w:hideMark/>
          </w:tcPr>
          <w:p w14:paraId="5244AA2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£51,866</w:t>
            </w:r>
          </w:p>
        </w:tc>
        <w:tc>
          <w:tcPr>
            <w:tcW w:w="1692" w:type="dxa"/>
            <w:hideMark/>
          </w:tcPr>
          <w:p w14:paraId="2F40451A"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£105,560</w:t>
            </w:r>
          </w:p>
        </w:tc>
        <w:tc>
          <w:tcPr>
            <w:tcW w:w="1692" w:type="dxa"/>
            <w:hideMark/>
          </w:tcPr>
          <w:p w14:paraId="4FA7D35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£142,985</w:t>
            </w:r>
          </w:p>
        </w:tc>
      </w:tr>
      <w:tr w:rsidR="007A71A5" w:rsidRPr="007A71A5" w14:paraId="143F2AFB"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110" w:type="dxa"/>
            <w:hideMark/>
          </w:tcPr>
          <w:p w14:paraId="421AF0B5" w14:textId="77777777" w:rsidR="00A13819" w:rsidRPr="004F4BA7" w:rsidRDefault="00A13819" w:rsidP="001D508A">
            <w:pPr>
              <w:rPr>
                <w:bCs/>
                <w:lang w:eastAsia="en-GB"/>
              </w:rPr>
            </w:pPr>
            <w:r w:rsidRPr="004F4BA7">
              <w:rPr>
                <w:bCs/>
                <w:lang w:eastAsia="en-GB"/>
              </w:rPr>
              <w:t>Monthly Cost of Mortgage</w:t>
            </w:r>
          </w:p>
        </w:tc>
        <w:tc>
          <w:tcPr>
            <w:tcW w:w="1134" w:type="dxa"/>
            <w:hideMark/>
          </w:tcPr>
          <w:p w14:paraId="1E912D7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£190</w:t>
            </w:r>
          </w:p>
        </w:tc>
        <w:tc>
          <w:tcPr>
            <w:tcW w:w="1189" w:type="dxa"/>
            <w:hideMark/>
          </w:tcPr>
          <w:p w14:paraId="428AF72A"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£274</w:t>
            </w:r>
          </w:p>
        </w:tc>
        <w:tc>
          <w:tcPr>
            <w:tcW w:w="1692" w:type="dxa"/>
            <w:hideMark/>
          </w:tcPr>
          <w:p w14:paraId="6838EF88"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£557</w:t>
            </w:r>
          </w:p>
        </w:tc>
        <w:tc>
          <w:tcPr>
            <w:tcW w:w="1692" w:type="dxa"/>
            <w:hideMark/>
          </w:tcPr>
          <w:p w14:paraId="6B4A161C"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£755</w:t>
            </w:r>
          </w:p>
        </w:tc>
      </w:tr>
      <w:tr w:rsidR="007A71A5" w:rsidRPr="007A71A5" w14:paraId="49BCF97B" w14:textId="77777777" w:rsidTr="004F4BA7">
        <w:trPr>
          <w:trHeight w:val="73"/>
        </w:trPr>
        <w:tc>
          <w:tcPr>
            <w:cnfStyle w:val="001000000000" w:firstRow="0" w:lastRow="0" w:firstColumn="1" w:lastColumn="0" w:oddVBand="0" w:evenVBand="0" w:oddHBand="0" w:evenHBand="0" w:firstRowFirstColumn="0" w:firstRowLastColumn="0" w:lastRowFirstColumn="0" w:lastRowLastColumn="0"/>
            <w:tcW w:w="3110" w:type="dxa"/>
            <w:hideMark/>
          </w:tcPr>
          <w:p w14:paraId="5660ADEF" w14:textId="77777777" w:rsidR="00A13819" w:rsidRPr="004F4BA7" w:rsidRDefault="00A13819" w:rsidP="001D508A">
            <w:pPr>
              <w:rPr>
                <w:bCs/>
                <w:lang w:eastAsia="en-GB"/>
              </w:rPr>
            </w:pPr>
            <w:r w:rsidRPr="004F4BA7">
              <w:rPr>
                <w:bCs/>
                <w:lang w:eastAsia="en-GB"/>
              </w:rPr>
              <w:t>Retained Equity</w:t>
            </w:r>
          </w:p>
        </w:tc>
        <w:tc>
          <w:tcPr>
            <w:tcW w:w="1134" w:type="dxa"/>
            <w:hideMark/>
          </w:tcPr>
          <w:p w14:paraId="55FD7FF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£117,532</w:t>
            </w:r>
          </w:p>
        </w:tc>
        <w:tc>
          <w:tcPr>
            <w:tcW w:w="1189" w:type="dxa"/>
            <w:hideMark/>
          </w:tcPr>
          <w:p w14:paraId="792408C3"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£142,471</w:t>
            </w:r>
          </w:p>
        </w:tc>
        <w:tc>
          <w:tcPr>
            <w:tcW w:w="1692" w:type="dxa"/>
            <w:hideMark/>
          </w:tcPr>
          <w:p w14:paraId="76712AB4"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£132,262</w:t>
            </w:r>
          </w:p>
        </w:tc>
        <w:tc>
          <w:tcPr>
            <w:tcW w:w="1692" w:type="dxa"/>
            <w:hideMark/>
          </w:tcPr>
          <w:p w14:paraId="6E8043FB"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£194,178</w:t>
            </w:r>
          </w:p>
        </w:tc>
      </w:tr>
      <w:tr w:rsidR="007A71A5" w:rsidRPr="007A71A5" w14:paraId="41C843BB" w14:textId="77777777" w:rsidTr="004F4BA7">
        <w:trPr>
          <w:trHeight w:val="361"/>
        </w:trPr>
        <w:tc>
          <w:tcPr>
            <w:cnfStyle w:val="001000000000" w:firstRow="0" w:lastRow="0" w:firstColumn="1" w:lastColumn="0" w:oddVBand="0" w:evenVBand="0" w:oddHBand="0" w:evenHBand="0" w:firstRowFirstColumn="0" w:firstRowLastColumn="0" w:lastRowFirstColumn="0" w:lastRowLastColumn="0"/>
            <w:tcW w:w="3110" w:type="dxa"/>
            <w:hideMark/>
          </w:tcPr>
          <w:p w14:paraId="71BBC2EA" w14:textId="77777777" w:rsidR="00A13819" w:rsidRPr="004F4BA7" w:rsidRDefault="00A13819" w:rsidP="001D508A">
            <w:pPr>
              <w:rPr>
                <w:bCs/>
                <w:lang w:eastAsia="en-GB"/>
              </w:rPr>
            </w:pPr>
            <w:r w:rsidRPr="004F4BA7">
              <w:rPr>
                <w:bCs/>
                <w:lang w:eastAsia="en-GB"/>
              </w:rPr>
              <w:t>Monthly Rent on Retained Equity</w:t>
            </w:r>
          </w:p>
        </w:tc>
        <w:tc>
          <w:tcPr>
            <w:tcW w:w="1134" w:type="dxa"/>
            <w:hideMark/>
          </w:tcPr>
          <w:p w14:paraId="4B31860A"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£269</w:t>
            </w:r>
          </w:p>
        </w:tc>
        <w:tc>
          <w:tcPr>
            <w:tcW w:w="1189" w:type="dxa"/>
            <w:hideMark/>
          </w:tcPr>
          <w:p w14:paraId="45F0115D"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£326</w:t>
            </w:r>
          </w:p>
        </w:tc>
        <w:tc>
          <w:tcPr>
            <w:tcW w:w="1692" w:type="dxa"/>
            <w:hideMark/>
          </w:tcPr>
          <w:p w14:paraId="25D6ED8F"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£303</w:t>
            </w:r>
          </w:p>
        </w:tc>
        <w:tc>
          <w:tcPr>
            <w:tcW w:w="1692" w:type="dxa"/>
            <w:hideMark/>
          </w:tcPr>
          <w:p w14:paraId="41645972"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£445</w:t>
            </w:r>
          </w:p>
        </w:tc>
      </w:tr>
      <w:tr w:rsidR="007A71A5" w:rsidRPr="007A71A5" w14:paraId="340A4197" w14:textId="77777777" w:rsidTr="004F4BA7">
        <w:trPr>
          <w:trHeight w:val="125"/>
        </w:trPr>
        <w:tc>
          <w:tcPr>
            <w:cnfStyle w:val="001000000000" w:firstRow="0" w:lastRow="0" w:firstColumn="1" w:lastColumn="0" w:oddVBand="0" w:evenVBand="0" w:oddHBand="0" w:evenHBand="0" w:firstRowFirstColumn="0" w:firstRowLastColumn="0" w:lastRowFirstColumn="0" w:lastRowLastColumn="0"/>
            <w:tcW w:w="3110" w:type="dxa"/>
            <w:hideMark/>
          </w:tcPr>
          <w:p w14:paraId="3ADB2431" w14:textId="77777777" w:rsidR="00A13819" w:rsidRPr="004F4BA7" w:rsidRDefault="00A13819" w:rsidP="001D508A">
            <w:pPr>
              <w:rPr>
                <w:bCs/>
                <w:lang w:eastAsia="en-GB"/>
              </w:rPr>
            </w:pPr>
            <w:r w:rsidRPr="004F4BA7">
              <w:rPr>
                <w:bCs/>
                <w:lang w:eastAsia="en-GB"/>
              </w:rPr>
              <w:t>Service Charge per month</w:t>
            </w:r>
          </w:p>
        </w:tc>
        <w:tc>
          <w:tcPr>
            <w:tcW w:w="1134" w:type="dxa"/>
            <w:hideMark/>
          </w:tcPr>
          <w:p w14:paraId="04083BA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189" w:type="dxa"/>
            <w:hideMark/>
          </w:tcPr>
          <w:p w14:paraId="4AE62773"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£100</w:t>
            </w:r>
          </w:p>
        </w:tc>
        <w:tc>
          <w:tcPr>
            <w:tcW w:w="1692" w:type="dxa"/>
            <w:hideMark/>
          </w:tcPr>
          <w:p w14:paraId="7A844B2E"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c>
          <w:tcPr>
            <w:tcW w:w="1692" w:type="dxa"/>
            <w:hideMark/>
          </w:tcPr>
          <w:p w14:paraId="40450CD6" w14:textId="77777777" w:rsidR="00A13819" w:rsidRPr="007A71A5"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w:t>
            </w:r>
          </w:p>
        </w:tc>
      </w:tr>
      <w:tr w:rsidR="007A71A5" w:rsidRPr="007A71A5" w14:paraId="10EA0971" w14:textId="77777777" w:rsidTr="004F4BA7">
        <w:trPr>
          <w:trHeight w:val="56"/>
        </w:trPr>
        <w:tc>
          <w:tcPr>
            <w:cnfStyle w:val="001000000000" w:firstRow="0" w:lastRow="0" w:firstColumn="1" w:lastColumn="0" w:oddVBand="0" w:evenVBand="0" w:oddHBand="0" w:evenHBand="0" w:firstRowFirstColumn="0" w:firstRowLastColumn="0" w:lastRowFirstColumn="0" w:lastRowLastColumn="0"/>
            <w:tcW w:w="3110" w:type="dxa"/>
            <w:hideMark/>
          </w:tcPr>
          <w:p w14:paraId="0882FB27" w14:textId="77777777" w:rsidR="00A13819" w:rsidRPr="007A71A5" w:rsidRDefault="00A13819" w:rsidP="001D508A">
            <w:pPr>
              <w:rPr>
                <w:b/>
                <w:lang w:eastAsia="en-GB"/>
              </w:rPr>
            </w:pPr>
            <w:r w:rsidRPr="007A71A5">
              <w:rPr>
                <w:b/>
                <w:lang w:eastAsia="en-GB"/>
              </w:rPr>
              <w:t>Total Cost per month</w:t>
            </w:r>
          </w:p>
        </w:tc>
        <w:tc>
          <w:tcPr>
            <w:tcW w:w="1134" w:type="dxa"/>
            <w:hideMark/>
          </w:tcPr>
          <w:p w14:paraId="23E9AA9C"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£560</w:t>
            </w:r>
          </w:p>
        </w:tc>
        <w:tc>
          <w:tcPr>
            <w:tcW w:w="1189" w:type="dxa"/>
            <w:hideMark/>
          </w:tcPr>
          <w:p w14:paraId="5642F94A"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£700</w:t>
            </w:r>
          </w:p>
        </w:tc>
        <w:tc>
          <w:tcPr>
            <w:tcW w:w="1692" w:type="dxa"/>
            <w:hideMark/>
          </w:tcPr>
          <w:p w14:paraId="626264D2"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£860</w:t>
            </w:r>
          </w:p>
        </w:tc>
        <w:tc>
          <w:tcPr>
            <w:tcW w:w="1692" w:type="dxa"/>
            <w:hideMark/>
          </w:tcPr>
          <w:p w14:paraId="73C2BD6E" w14:textId="77777777" w:rsidR="00A13819" w:rsidRPr="004F4BA7"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£1,200</w:t>
            </w:r>
          </w:p>
        </w:tc>
      </w:tr>
    </w:tbl>
    <w:p w14:paraId="7D78FDDA" w14:textId="77777777" w:rsidR="00A13819" w:rsidRDefault="00A13819" w:rsidP="00A13819">
      <w:pPr>
        <w:pStyle w:val="Bodytextwithindent"/>
        <w:spacing w:before="0" w:after="120"/>
      </w:pPr>
      <w:r>
        <w:t xml:space="preserve"> </w:t>
      </w:r>
      <w:r w:rsidRPr="007D0FBF">
        <w:rPr>
          <w:sz w:val="24"/>
          <w:szCs w:val="22"/>
        </w:rPr>
        <w:t>Source: Data based on Housing Market Cost Analysis</w:t>
      </w:r>
    </w:p>
    <w:p w14:paraId="2517C3C3" w14:textId="77777777" w:rsidR="004F4BA7" w:rsidRDefault="004F4BA7">
      <w:pPr>
        <w:spacing w:after="200"/>
        <w:rPr>
          <w:bCs/>
          <w:sz w:val="24"/>
          <w:szCs w:val="24"/>
        </w:rPr>
      </w:pPr>
      <w:r>
        <w:br w:type="page"/>
      </w:r>
    </w:p>
    <w:p w14:paraId="25AF912D" w14:textId="3B396D02" w:rsidR="00A13819" w:rsidRDefault="00A13819" w:rsidP="007D0FBF">
      <w:pPr>
        <w:pStyle w:val="11Bodytext"/>
      </w:pPr>
      <w:r>
        <w:lastRenderedPageBreak/>
        <w:t xml:space="preserve">In terms of understanding the demand for Shared Ownership dwellings, Radian, the Help to Buy agent for the Southern Region of England maintains a record of applications for this tenure. While the date of the application is not </w:t>
      </w:r>
      <w:r w:rsidR="00AD5563">
        <w:t xml:space="preserve">publicly </w:t>
      </w:r>
      <w:r>
        <w:t xml:space="preserve">available, </w:t>
      </w:r>
      <w:r w:rsidR="00AD5563">
        <w:t xml:space="preserve">it is probable the </w:t>
      </w:r>
      <w:proofErr w:type="spellStart"/>
      <w:r w:rsidR="00AD5563">
        <w:t>the</w:t>
      </w:r>
      <w:proofErr w:type="spellEnd"/>
      <w:r w:rsidR="00AD5563">
        <w:t xml:space="preserve"> applications set out in the table below took place over the period January – October 2020 given that Radian took over as agent in January 2020. This</w:t>
      </w:r>
      <w:r>
        <w:t xml:space="preserve"> provide</w:t>
      </w:r>
      <w:r w:rsidR="00AD5563">
        <w:t>s</w:t>
      </w:r>
      <w:r>
        <w:t xml:space="preserve"> an indication of the scale of demand for Shared Ownership dwellings and which local authority areas attract the most demand. </w:t>
      </w:r>
    </w:p>
    <w:p w14:paraId="5B614449" w14:textId="77777777" w:rsidR="00A13819" w:rsidRDefault="00A13819" w:rsidP="007D0FBF">
      <w:pPr>
        <w:pStyle w:val="11Bodytext"/>
      </w:pPr>
      <w:r>
        <w:t xml:space="preserve">The data set out in the tables reflects data from the inception of Help to Buy until October 2020. As shown, Cambridge has attracted the greatest number of applications, although South Cambridgeshire and West Suffolk are also popular. </w:t>
      </w:r>
    </w:p>
    <w:p w14:paraId="3D8595A9" w14:textId="77777777" w:rsidR="00A13819" w:rsidRDefault="00A13819" w:rsidP="003D5E23">
      <w:pPr>
        <w:pStyle w:val="Tableheading"/>
        <w:numPr>
          <w:ilvl w:val="0"/>
          <w:numId w:val="54"/>
        </w:numPr>
      </w:pPr>
      <w:r>
        <w:t>Applications for Shared Ownership dwellings in the HMA (as at October 2020)</w:t>
      </w:r>
    </w:p>
    <w:tbl>
      <w:tblPr>
        <w:tblStyle w:val="TableGridLight1"/>
        <w:tblW w:w="8382" w:type="dxa"/>
        <w:tblInd w:w="846" w:type="dxa"/>
        <w:tblLook w:val="04A0" w:firstRow="1" w:lastRow="0" w:firstColumn="1" w:lastColumn="0" w:noHBand="0" w:noVBand="1"/>
      </w:tblPr>
      <w:tblGrid>
        <w:gridCol w:w="3490"/>
        <w:gridCol w:w="2281"/>
        <w:gridCol w:w="2611"/>
      </w:tblGrid>
      <w:tr w:rsidR="007A71A5" w:rsidRPr="007A71A5" w14:paraId="370D1F91" w14:textId="77777777" w:rsidTr="007A71A5">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490" w:type="dxa"/>
            <w:hideMark/>
          </w:tcPr>
          <w:p w14:paraId="48CB58E0" w14:textId="77777777" w:rsidR="00A13819" w:rsidRPr="007A71A5" w:rsidRDefault="00A13819" w:rsidP="007D0FBF">
            <w:pPr>
              <w:rPr>
                <w:lang w:eastAsia="en-GB"/>
              </w:rPr>
            </w:pPr>
            <w:r w:rsidRPr="007A71A5">
              <w:rPr>
                <w:lang w:eastAsia="en-GB"/>
              </w:rPr>
              <w:t>District</w:t>
            </w:r>
          </w:p>
        </w:tc>
        <w:tc>
          <w:tcPr>
            <w:tcW w:w="2281" w:type="dxa"/>
            <w:hideMark/>
          </w:tcPr>
          <w:p w14:paraId="3C1D531B" w14:textId="77777777" w:rsidR="00A13819" w:rsidRPr="007A71A5" w:rsidRDefault="00A13819"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No.</w:t>
            </w:r>
          </w:p>
        </w:tc>
        <w:tc>
          <w:tcPr>
            <w:tcW w:w="2611" w:type="dxa"/>
            <w:hideMark/>
          </w:tcPr>
          <w:p w14:paraId="4C0A0275" w14:textId="77777777" w:rsidR="00A13819" w:rsidRPr="007A71A5" w:rsidRDefault="00A13819"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w:t>
            </w:r>
          </w:p>
        </w:tc>
      </w:tr>
      <w:tr w:rsidR="007A71A5" w:rsidRPr="007A71A5" w14:paraId="6C740768"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0D80C815" w14:textId="77777777" w:rsidR="00A13819" w:rsidRPr="004F4BA7" w:rsidRDefault="00A13819" w:rsidP="007D0FBF">
            <w:pPr>
              <w:rPr>
                <w:lang w:eastAsia="en-GB"/>
              </w:rPr>
            </w:pPr>
            <w:r w:rsidRPr="004F4BA7">
              <w:rPr>
                <w:lang w:eastAsia="en-GB"/>
              </w:rPr>
              <w:t>Cambridge</w:t>
            </w:r>
          </w:p>
        </w:tc>
        <w:tc>
          <w:tcPr>
            <w:tcW w:w="2281" w:type="dxa"/>
            <w:noWrap/>
            <w:hideMark/>
          </w:tcPr>
          <w:p w14:paraId="20888F45"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547</w:t>
            </w:r>
          </w:p>
        </w:tc>
        <w:tc>
          <w:tcPr>
            <w:tcW w:w="2611" w:type="dxa"/>
            <w:noWrap/>
            <w:hideMark/>
          </w:tcPr>
          <w:p w14:paraId="31ED020A"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30.4%</w:t>
            </w:r>
          </w:p>
        </w:tc>
      </w:tr>
      <w:tr w:rsidR="007A71A5" w:rsidRPr="007A71A5" w14:paraId="25ACDAF8"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3A4D0F73" w14:textId="77777777" w:rsidR="00A13819" w:rsidRPr="004F4BA7" w:rsidRDefault="00A13819" w:rsidP="007D0FBF">
            <w:pPr>
              <w:rPr>
                <w:lang w:eastAsia="en-GB"/>
              </w:rPr>
            </w:pPr>
            <w:r w:rsidRPr="004F4BA7">
              <w:rPr>
                <w:lang w:eastAsia="en-GB"/>
              </w:rPr>
              <w:t>East Cambridgeshire</w:t>
            </w:r>
          </w:p>
        </w:tc>
        <w:tc>
          <w:tcPr>
            <w:tcW w:w="2281" w:type="dxa"/>
            <w:noWrap/>
            <w:hideMark/>
          </w:tcPr>
          <w:p w14:paraId="3956938E"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162</w:t>
            </w:r>
          </w:p>
        </w:tc>
        <w:tc>
          <w:tcPr>
            <w:tcW w:w="2611" w:type="dxa"/>
            <w:noWrap/>
            <w:hideMark/>
          </w:tcPr>
          <w:p w14:paraId="49679430"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9.0%</w:t>
            </w:r>
          </w:p>
        </w:tc>
      </w:tr>
      <w:tr w:rsidR="007A71A5" w:rsidRPr="007A71A5" w14:paraId="28353619"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7359144A" w14:textId="77777777" w:rsidR="00A13819" w:rsidRPr="004F4BA7" w:rsidRDefault="00A13819" w:rsidP="007D0FBF">
            <w:pPr>
              <w:rPr>
                <w:lang w:eastAsia="en-GB"/>
              </w:rPr>
            </w:pPr>
            <w:r w:rsidRPr="004F4BA7">
              <w:rPr>
                <w:lang w:eastAsia="en-GB"/>
              </w:rPr>
              <w:t>Fenland</w:t>
            </w:r>
          </w:p>
        </w:tc>
        <w:tc>
          <w:tcPr>
            <w:tcW w:w="2281" w:type="dxa"/>
            <w:noWrap/>
            <w:hideMark/>
          </w:tcPr>
          <w:p w14:paraId="3B6C3D90"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35</w:t>
            </w:r>
          </w:p>
        </w:tc>
        <w:tc>
          <w:tcPr>
            <w:tcW w:w="2611" w:type="dxa"/>
            <w:noWrap/>
            <w:hideMark/>
          </w:tcPr>
          <w:p w14:paraId="42829FB2"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1.9%</w:t>
            </w:r>
          </w:p>
        </w:tc>
      </w:tr>
      <w:tr w:rsidR="007A71A5" w:rsidRPr="007A71A5" w14:paraId="384E5372"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1C692D08" w14:textId="77777777" w:rsidR="00A13819" w:rsidRPr="004F4BA7" w:rsidRDefault="00A13819" w:rsidP="007D0FBF">
            <w:pPr>
              <w:rPr>
                <w:lang w:eastAsia="en-GB"/>
              </w:rPr>
            </w:pPr>
            <w:r w:rsidRPr="004F4BA7">
              <w:rPr>
                <w:lang w:eastAsia="en-GB"/>
              </w:rPr>
              <w:t>Huntingdonshire</w:t>
            </w:r>
          </w:p>
        </w:tc>
        <w:tc>
          <w:tcPr>
            <w:tcW w:w="2281" w:type="dxa"/>
            <w:noWrap/>
            <w:hideMark/>
          </w:tcPr>
          <w:p w14:paraId="09F15E7B"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331</w:t>
            </w:r>
          </w:p>
        </w:tc>
        <w:tc>
          <w:tcPr>
            <w:tcW w:w="2611" w:type="dxa"/>
            <w:noWrap/>
            <w:hideMark/>
          </w:tcPr>
          <w:p w14:paraId="0BC24E9B"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18.4%</w:t>
            </w:r>
          </w:p>
        </w:tc>
      </w:tr>
      <w:tr w:rsidR="007A71A5" w:rsidRPr="007A71A5" w14:paraId="346F58EB"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2FE40CAA" w14:textId="77777777" w:rsidR="00A13819" w:rsidRPr="004F4BA7" w:rsidRDefault="00A13819" w:rsidP="007D0FBF">
            <w:pPr>
              <w:rPr>
                <w:lang w:eastAsia="en-GB"/>
              </w:rPr>
            </w:pPr>
            <w:r w:rsidRPr="004F4BA7">
              <w:rPr>
                <w:lang w:eastAsia="en-GB"/>
              </w:rPr>
              <w:t>South Cambridgeshire</w:t>
            </w:r>
          </w:p>
        </w:tc>
        <w:tc>
          <w:tcPr>
            <w:tcW w:w="2281" w:type="dxa"/>
            <w:noWrap/>
            <w:hideMark/>
          </w:tcPr>
          <w:p w14:paraId="5AC69DD6"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330</w:t>
            </w:r>
          </w:p>
        </w:tc>
        <w:tc>
          <w:tcPr>
            <w:tcW w:w="2611" w:type="dxa"/>
            <w:noWrap/>
            <w:hideMark/>
          </w:tcPr>
          <w:p w14:paraId="10A210E8"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18.3%</w:t>
            </w:r>
          </w:p>
        </w:tc>
      </w:tr>
      <w:tr w:rsidR="007A71A5" w:rsidRPr="007A71A5" w14:paraId="2C2D9995"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2EB2F189" w14:textId="77777777" w:rsidR="00A13819" w:rsidRPr="004F4BA7" w:rsidRDefault="00A13819" w:rsidP="007D0FBF">
            <w:pPr>
              <w:rPr>
                <w:lang w:eastAsia="en-GB"/>
              </w:rPr>
            </w:pPr>
            <w:r w:rsidRPr="004F4BA7">
              <w:rPr>
                <w:lang w:eastAsia="en-GB"/>
              </w:rPr>
              <w:t>West Suffolk</w:t>
            </w:r>
          </w:p>
        </w:tc>
        <w:tc>
          <w:tcPr>
            <w:tcW w:w="2281" w:type="dxa"/>
            <w:noWrap/>
            <w:hideMark/>
          </w:tcPr>
          <w:p w14:paraId="21E8D728"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395</w:t>
            </w:r>
          </w:p>
        </w:tc>
        <w:tc>
          <w:tcPr>
            <w:tcW w:w="2611" w:type="dxa"/>
            <w:noWrap/>
            <w:hideMark/>
          </w:tcPr>
          <w:p w14:paraId="7C92F0D2"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21.9%</w:t>
            </w:r>
          </w:p>
        </w:tc>
      </w:tr>
      <w:tr w:rsidR="007A71A5" w:rsidRPr="007A71A5" w14:paraId="0823E4E1" w14:textId="77777777" w:rsidTr="007A71A5">
        <w:trPr>
          <w:trHeight w:val="257"/>
        </w:trPr>
        <w:tc>
          <w:tcPr>
            <w:cnfStyle w:val="001000000000" w:firstRow="0" w:lastRow="0" w:firstColumn="1" w:lastColumn="0" w:oddVBand="0" w:evenVBand="0" w:oddHBand="0" w:evenHBand="0" w:firstRowFirstColumn="0" w:firstRowLastColumn="0" w:lastRowFirstColumn="0" w:lastRowLastColumn="0"/>
            <w:tcW w:w="3490" w:type="dxa"/>
            <w:noWrap/>
            <w:hideMark/>
          </w:tcPr>
          <w:p w14:paraId="6C69B52E" w14:textId="77777777" w:rsidR="00A13819" w:rsidRPr="007A71A5" w:rsidRDefault="00A13819" w:rsidP="007D0FBF">
            <w:pPr>
              <w:rPr>
                <w:b/>
                <w:bCs/>
                <w:lang w:eastAsia="en-GB"/>
              </w:rPr>
            </w:pPr>
            <w:r w:rsidRPr="007A71A5">
              <w:rPr>
                <w:b/>
                <w:bCs/>
                <w:lang w:eastAsia="en-GB"/>
              </w:rPr>
              <w:t>Total</w:t>
            </w:r>
          </w:p>
        </w:tc>
        <w:tc>
          <w:tcPr>
            <w:tcW w:w="2281" w:type="dxa"/>
            <w:noWrap/>
            <w:hideMark/>
          </w:tcPr>
          <w:p w14:paraId="2E588D90" w14:textId="77777777" w:rsidR="00A13819" w:rsidRPr="004F4BA7" w:rsidRDefault="00A13819" w:rsidP="007D0FBF">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1800</w:t>
            </w:r>
          </w:p>
        </w:tc>
        <w:tc>
          <w:tcPr>
            <w:tcW w:w="2611" w:type="dxa"/>
            <w:noWrap/>
            <w:hideMark/>
          </w:tcPr>
          <w:p w14:paraId="163B9DDD" w14:textId="77777777" w:rsidR="00A13819" w:rsidRPr="004F4BA7" w:rsidRDefault="00A13819" w:rsidP="007D0FBF">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100.0%</w:t>
            </w:r>
          </w:p>
        </w:tc>
      </w:tr>
    </w:tbl>
    <w:p w14:paraId="64104B0D" w14:textId="77777777" w:rsidR="00A13819" w:rsidRDefault="00A13819" w:rsidP="007D0FBF">
      <w:pPr>
        <w:pStyle w:val="11Bodytext"/>
        <w:numPr>
          <w:ilvl w:val="0"/>
          <w:numId w:val="0"/>
        </w:numPr>
        <w:spacing w:before="0" w:after="0" w:line="240" w:lineRule="auto"/>
        <w:ind w:left="794"/>
      </w:pPr>
      <w:r>
        <w:t>Source: Help to Buy agent (South)</w:t>
      </w:r>
    </w:p>
    <w:p w14:paraId="601C1E38" w14:textId="77777777" w:rsidR="00A13819" w:rsidRPr="00526C6E" w:rsidRDefault="00A13819" w:rsidP="007D0FBF">
      <w:pPr>
        <w:pStyle w:val="11Bodytext"/>
        <w:rPr>
          <w:b/>
        </w:rPr>
      </w:pPr>
      <w:r>
        <w:t>In terms of the size of shared ownership dwellings that are sought, 2 bedroom homes are the most popular, attracting half of all applications, followed by 3 bedrooms (28%).</w:t>
      </w:r>
    </w:p>
    <w:p w14:paraId="31C024C9" w14:textId="77777777" w:rsidR="00A13819" w:rsidRDefault="00A13819" w:rsidP="003D5E23">
      <w:pPr>
        <w:pStyle w:val="Tableheading"/>
        <w:numPr>
          <w:ilvl w:val="0"/>
          <w:numId w:val="54"/>
        </w:numPr>
      </w:pPr>
      <w:r>
        <w:t>Size of Shared ownership dwellings sought as at October 2020 (Cambridgeshire and West Suffolk)</w:t>
      </w:r>
    </w:p>
    <w:tbl>
      <w:tblPr>
        <w:tblStyle w:val="TableGridLight1"/>
        <w:tblW w:w="8327" w:type="dxa"/>
        <w:tblInd w:w="846" w:type="dxa"/>
        <w:tblLook w:val="04A0" w:firstRow="1" w:lastRow="0" w:firstColumn="1" w:lastColumn="0" w:noHBand="0" w:noVBand="1"/>
      </w:tblPr>
      <w:tblGrid>
        <w:gridCol w:w="3093"/>
        <w:gridCol w:w="2617"/>
        <w:gridCol w:w="2617"/>
      </w:tblGrid>
      <w:tr w:rsidR="007A71A5" w:rsidRPr="007A71A5" w14:paraId="47277D05" w14:textId="77777777" w:rsidTr="007A71A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093" w:type="dxa"/>
            <w:noWrap/>
            <w:hideMark/>
          </w:tcPr>
          <w:p w14:paraId="334FEFB6" w14:textId="77777777" w:rsidR="00A13819" w:rsidRPr="007A71A5" w:rsidRDefault="00A13819" w:rsidP="007D0FBF">
            <w:pPr>
              <w:rPr>
                <w:lang w:eastAsia="en-GB"/>
              </w:rPr>
            </w:pPr>
            <w:r w:rsidRPr="007A71A5">
              <w:rPr>
                <w:lang w:eastAsia="en-GB"/>
              </w:rPr>
              <w:t>Bedrooms</w:t>
            </w:r>
          </w:p>
        </w:tc>
        <w:tc>
          <w:tcPr>
            <w:tcW w:w="2617" w:type="dxa"/>
            <w:noWrap/>
            <w:hideMark/>
          </w:tcPr>
          <w:p w14:paraId="1CABF7E7" w14:textId="77777777" w:rsidR="00A13819" w:rsidRPr="007A71A5" w:rsidRDefault="00A13819"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 xml:space="preserve">No. </w:t>
            </w:r>
          </w:p>
        </w:tc>
        <w:tc>
          <w:tcPr>
            <w:tcW w:w="2617" w:type="dxa"/>
            <w:noWrap/>
            <w:hideMark/>
          </w:tcPr>
          <w:p w14:paraId="0C522A25" w14:textId="77777777" w:rsidR="00A13819" w:rsidRPr="007A71A5" w:rsidRDefault="00A13819" w:rsidP="007D0FBF">
            <w:pPr>
              <w:cnfStyle w:val="100000000000" w:firstRow="1" w:lastRow="0" w:firstColumn="0" w:lastColumn="0" w:oddVBand="0" w:evenVBand="0" w:oddHBand="0" w:evenHBand="0" w:firstRowFirstColumn="0" w:firstRowLastColumn="0" w:lastRowFirstColumn="0" w:lastRowLastColumn="0"/>
              <w:rPr>
                <w:lang w:eastAsia="en-GB"/>
              </w:rPr>
            </w:pPr>
            <w:r w:rsidRPr="007A71A5">
              <w:rPr>
                <w:lang w:eastAsia="en-GB"/>
              </w:rPr>
              <w:t>%</w:t>
            </w:r>
          </w:p>
        </w:tc>
      </w:tr>
      <w:tr w:rsidR="007A71A5" w:rsidRPr="007A71A5" w14:paraId="5EA75C5D" w14:textId="77777777" w:rsidTr="007A71A5">
        <w:trPr>
          <w:trHeight w:val="234"/>
        </w:trPr>
        <w:tc>
          <w:tcPr>
            <w:cnfStyle w:val="001000000000" w:firstRow="0" w:lastRow="0" w:firstColumn="1" w:lastColumn="0" w:oddVBand="0" w:evenVBand="0" w:oddHBand="0" w:evenHBand="0" w:firstRowFirstColumn="0" w:firstRowLastColumn="0" w:lastRowFirstColumn="0" w:lastRowLastColumn="0"/>
            <w:tcW w:w="3093" w:type="dxa"/>
            <w:noWrap/>
            <w:hideMark/>
          </w:tcPr>
          <w:p w14:paraId="50F40FC4" w14:textId="77777777" w:rsidR="00A13819" w:rsidRPr="004F4BA7" w:rsidRDefault="00A13819" w:rsidP="007D0FBF">
            <w:pPr>
              <w:rPr>
                <w:sz w:val="22"/>
                <w:szCs w:val="22"/>
                <w:lang w:eastAsia="en-GB"/>
              </w:rPr>
            </w:pPr>
            <w:r w:rsidRPr="004F4BA7">
              <w:rPr>
                <w:lang w:eastAsia="en-GB"/>
              </w:rPr>
              <w:t>Bedsit</w:t>
            </w:r>
          </w:p>
        </w:tc>
        <w:tc>
          <w:tcPr>
            <w:tcW w:w="2617" w:type="dxa"/>
            <w:noWrap/>
            <w:hideMark/>
          </w:tcPr>
          <w:p w14:paraId="3E0DC212"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w:t>
            </w:r>
          </w:p>
        </w:tc>
        <w:tc>
          <w:tcPr>
            <w:tcW w:w="2617" w:type="dxa"/>
            <w:noWrap/>
            <w:hideMark/>
          </w:tcPr>
          <w:p w14:paraId="30DB0DA6"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0.1%</w:t>
            </w:r>
          </w:p>
        </w:tc>
      </w:tr>
      <w:tr w:rsidR="007A71A5" w:rsidRPr="007A71A5" w14:paraId="567D72BB" w14:textId="77777777" w:rsidTr="007A71A5">
        <w:trPr>
          <w:trHeight w:val="234"/>
        </w:trPr>
        <w:tc>
          <w:tcPr>
            <w:cnfStyle w:val="001000000000" w:firstRow="0" w:lastRow="0" w:firstColumn="1" w:lastColumn="0" w:oddVBand="0" w:evenVBand="0" w:oddHBand="0" w:evenHBand="0" w:firstRowFirstColumn="0" w:firstRowLastColumn="0" w:lastRowFirstColumn="0" w:lastRowLastColumn="0"/>
            <w:tcW w:w="3093" w:type="dxa"/>
            <w:noWrap/>
            <w:hideMark/>
          </w:tcPr>
          <w:p w14:paraId="558F4B6D" w14:textId="77777777" w:rsidR="00A13819" w:rsidRPr="004F4BA7" w:rsidRDefault="00A13819" w:rsidP="007D0FBF">
            <w:pPr>
              <w:rPr>
                <w:lang w:eastAsia="en-GB"/>
              </w:rPr>
            </w:pPr>
            <w:r w:rsidRPr="004F4BA7">
              <w:rPr>
                <w:lang w:eastAsia="en-GB"/>
              </w:rPr>
              <w:t>1</w:t>
            </w:r>
          </w:p>
        </w:tc>
        <w:tc>
          <w:tcPr>
            <w:tcW w:w="2617" w:type="dxa"/>
            <w:noWrap/>
            <w:hideMark/>
          </w:tcPr>
          <w:p w14:paraId="754D8729"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364</w:t>
            </w:r>
          </w:p>
        </w:tc>
        <w:tc>
          <w:tcPr>
            <w:tcW w:w="2617" w:type="dxa"/>
            <w:noWrap/>
            <w:hideMark/>
          </w:tcPr>
          <w:p w14:paraId="3A4725AF"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20.2%</w:t>
            </w:r>
          </w:p>
        </w:tc>
      </w:tr>
      <w:tr w:rsidR="007A71A5" w:rsidRPr="007A71A5" w14:paraId="530D8427" w14:textId="77777777" w:rsidTr="007A71A5">
        <w:trPr>
          <w:trHeight w:val="234"/>
        </w:trPr>
        <w:tc>
          <w:tcPr>
            <w:cnfStyle w:val="001000000000" w:firstRow="0" w:lastRow="0" w:firstColumn="1" w:lastColumn="0" w:oddVBand="0" w:evenVBand="0" w:oddHBand="0" w:evenHBand="0" w:firstRowFirstColumn="0" w:firstRowLastColumn="0" w:lastRowFirstColumn="0" w:lastRowLastColumn="0"/>
            <w:tcW w:w="3093" w:type="dxa"/>
            <w:noWrap/>
            <w:hideMark/>
          </w:tcPr>
          <w:p w14:paraId="25A746B4" w14:textId="77777777" w:rsidR="00A13819" w:rsidRPr="004F4BA7" w:rsidRDefault="00A13819" w:rsidP="007D0FBF">
            <w:pPr>
              <w:rPr>
                <w:lang w:eastAsia="en-GB"/>
              </w:rPr>
            </w:pPr>
            <w:r w:rsidRPr="004F4BA7">
              <w:rPr>
                <w:lang w:eastAsia="en-GB"/>
              </w:rPr>
              <w:t>2</w:t>
            </w:r>
          </w:p>
        </w:tc>
        <w:tc>
          <w:tcPr>
            <w:tcW w:w="2617" w:type="dxa"/>
            <w:noWrap/>
            <w:hideMark/>
          </w:tcPr>
          <w:p w14:paraId="1D5027E8"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899</w:t>
            </w:r>
          </w:p>
        </w:tc>
        <w:tc>
          <w:tcPr>
            <w:tcW w:w="2617" w:type="dxa"/>
            <w:noWrap/>
            <w:hideMark/>
          </w:tcPr>
          <w:p w14:paraId="2717B1D2"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49.9%</w:t>
            </w:r>
          </w:p>
        </w:tc>
      </w:tr>
      <w:tr w:rsidR="007A71A5" w:rsidRPr="007A71A5" w14:paraId="23EAA2CE" w14:textId="77777777" w:rsidTr="007A71A5">
        <w:trPr>
          <w:trHeight w:val="234"/>
        </w:trPr>
        <w:tc>
          <w:tcPr>
            <w:cnfStyle w:val="001000000000" w:firstRow="0" w:lastRow="0" w:firstColumn="1" w:lastColumn="0" w:oddVBand="0" w:evenVBand="0" w:oddHBand="0" w:evenHBand="0" w:firstRowFirstColumn="0" w:firstRowLastColumn="0" w:lastRowFirstColumn="0" w:lastRowLastColumn="0"/>
            <w:tcW w:w="3093" w:type="dxa"/>
            <w:noWrap/>
            <w:hideMark/>
          </w:tcPr>
          <w:p w14:paraId="4893B538" w14:textId="77777777" w:rsidR="00A13819" w:rsidRPr="004F4BA7" w:rsidRDefault="00A13819" w:rsidP="007D0FBF">
            <w:pPr>
              <w:rPr>
                <w:lang w:eastAsia="en-GB"/>
              </w:rPr>
            </w:pPr>
            <w:r w:rsidRPr="004F4BA7">
              <w:rPr>
                <w:lang w:eastAsia="en-GB"/>
              </w:rPr>
              <w:t>3</w:t>
            </w:r>
          </w:p>
        </w:tc>
        <w:tc>
          <w:tcPr>
            <w:tcW w:w="2617" w:type="dxa"/>
            <w:noWrap/>
            <w:hideMark/>
          </w:tcPr>
          <w:p w14:paraId="659BF225"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504</w:t>
            </w:r>
          </w:p>
        </w:tc>
        <w:tc>
          <w:tcPr>
            <w:tcW w:w="2617" w:type="dxa"/>
            <w:noWrap/>
            <w:hideMark/>
          </w:tcPr>
          <w:p w14:paraId="2AA55640"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28.0%</w:t>
            </w:r>
          </w:p>
        </w:tc>
      </w:tr>
      <w:tr w:rsidR="007A71A5" w:rsidRPr="007A71A5" w14:paraId="36B868D5" w14:textId="77777777" w:rsidTr="007A71A5">
        <w:trPr>
          <w:trHeight w:val="234"/>
        </w:trPr>
        <w:tc>
          <w:tcPr>
            <w:cnfStyle w:val="001000000000" w:firstRow="0" w:lastRow="0" w:firstColumn="1" w:lastColumn="0" w:oddVBand="0" w:evenVBand="0" w:oddHBand="0" w:evenHBand="0" w:firstRowFirstColumn="0" w:firstRowLastColumn="0" w:lastRowFirstColumn="0" w:lastRowLastColumn="0"/>
            <w:tcW w:w="3093" w:type="dxa"/>
            <w:noWrap/>
            <w:hideMark/>
          </w:tcPr>
          <w:p w14:paraId="7B746C3C" w14:textId="77777777" w:rsidR="00A13819" w:rsidRPr="004F4BA7" w:rsidRDefault="00A13819" w:rsidP="007D0FBF">
            <w:pPr>
              <w:rPr>
                <w:lang w:eastAsia="en-GB"/>
              </w:rPr>
            </w:pPr>
            <w:r w:rsidRPr="004F4BA7">
              <w:rPr>
                <w:lang w:eastAsia="en-GB"/>
              </w:rPr>
              <w:t>4</w:t>
            </w:r>
          </w:p>
        </w:tc>
        <w:tc>
          <w:tcPr>
            <w:tcW w:w="2617" w:type="dxa"/>
            <w:noWrap/>
            <w:hideMark/>
          </w:tcPr>
          <w:p w14:paraId="3C692ADD"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32</w:t>
            </w:r>
          </w:p>
        </w:tc>
        <w:tc>
          <w:tcPr>
            <w:tcW w:w="2617" w:type="dxa"/>
            <w:noWrap/>
            <w:hideMark/>
          </w:tcPr>
          <w:p w14:paraId="299E3DDF" w14:textId="77777777" w:rsidR="00A13819" w:rsidRPr="007A71A5" w:rsidRDefault="00A13819" w:rsidP="007D0FBF">
            <w:pPr>
              <w:cnfStyle w:val="000000000000" w:firstRow="0" w:lastRow="0" w:firstColumn="0" w:lastColumn="0" w:oddVBand="0" w:evenVBand="0" w:oddHBand="0" w:evenHBand="0" w:firstRowFirstColumn="0" w:firstRowLastColumn="0" w:lastRowFirstColumn="0" w:lastRowLastColumn="0"/>
              <w:rPr>
                <w:lang w:eastAsia="en-GB"/>
              </w:rPr>
            </w:pPr>
            <w:r w:rsidRPr="007A71A5">
              <w:rPr>
                <w:lang w:eastAsia="en-GB"/>
              </w:rPr>
              <w:t>1.8%</w:t>
            </w:r>
          </w:p>
        </w:tc>
      </w:tr>
      <w:tr w:rsidR="007A71A5" w:rsidRPr="007A71A5" w14:paraId="5D4055F3" w14:textId="77777777" w:rsidTr="007A71A5">
        <w:trPr>
          <w:trHeight w:val="234"/>
        </w:trPr>
        <w:tc>
          <w:tcPr>
            <w:cnfStyle w:val="001000000000" w:firstRow="0" w:lastRow="0" w:firstColumn="1" w:lastColumn="0" w:oddVBand="0" w:evenVBand="0" w:oddHBand="0" w:evenHBand="0" w:firstRowFirstColumn="0" w:firstRowLastColumn="0" w:lastRowFirstColumn="0" w:lastRowLastColumn="0"/>
            <w:tcW w:w="3093" w:type="dxa"/>
            <w:noWrap/>
            <w:hideMark/>
          </w:tcPr>
          <w:p w14:paraId="5B9A7E88" w14:textId="77777777" w:rsidR="00A13819" w:rsidRPr="007A71A5" w:rsidRDefault="00A13819" w:rsidP="007D0FBF">
            <w:pPr>
              <w:rPr>
                <w:b/>
                <w:bCs/>
                <w:lang w:eastAsia="en-GB"/>
              </w:rPr>
            </w:pPr>
            <w:r w:rsidRPr="007A71A5">
              <w:rPr>
                <w:b/>
                <w:bCs/>
                <w:lang w:eastAsia="en-GB"/>
              </w:rPr>
              <w:t>Grand Total</w:t>
            </w:r>
          </w:p>
        </w:tc>
        <w:tc>
          <w:tcPr>
            <w:tcW w:w="2617" w:type="dxa"/>
            <w:noWrap/>
            <w:hideMark/>
          </w:tcPr>
          <w:p w14:paraId="50F5085D" w14:textId="77777777" w:rsidR="00A13819" w:rsidRPr="004F4BA7" w:rsidRDefault="00A13819" w:rsidP="007D0FBF">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1800</w:t>
            </w:r>
          </w:p>
        </w:tc>
        <w:tc>
          <w:tcPr>
            <w:tcW w:w="2617" w:type="dxa"/>
            <w:noWrap/>
            <w:hideMark/>
          </w:tcPr>
          <w:p w14:paraId="634EB345" w14:textId="77777777" w:rsidR="00A13819" w:rsidRPr="004F4BA7" w:rsidRDefault="00A13819" w:rsidP="007D0FBF">
            <w:pPr>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r>
    </w:tbl>
    <w:p w14:paraId="082E3D19" w14:textId="77777777" w:rsidR="00A13819" w:rsidRDefault="00A13819" w:rsidP="007D0FBF">
      <w:pPr>
        <w:pStyle w:val="11Bodytext"/>
        <w:numPr>
          <w:ilvl w:val="0"/>
          <w:numId w:val="0"/>
        </w:numPr>
        <w:spacing w:before="0" w:after="0" w:line="240" w:lineRule="auto"/>
        <w:ind w:left="794"/>
      </w:pPr>
      <w:r>
        <w:t>Source: Help to Buy agent (South)</w:t>
      </w:r>
    </w:p>
    <w:p w14:paraId="70EA982F" w14:textId="77777777" w:rsidR="00A13819" w:rsidRDefault="00A13819" w:rsidP="007D0FBF">
      <w:pPr>
        <w:pStyle w:val="11Bodytext"/>
      </w:pPr>
      <w:r>
        <w:lastRenderedPageBreak/>
        <w:t>The tables to follow disaggregate the distribution of size of Shared Ownership homes by district. This suggests the popularity of different sizes of dwelling is broadly consistent across the HMA.</w:t>
      </w:r>
    </w:p>
    <w:p w14:paraId="72DD3470" w14:textId="77777777" w:rsidR="00A13819" w:rsidRDefault="00A13819" w:rsidP="003D5E23">
      <w:pPr>
        <w:pStyle w:val="Tableheading"/>
        <w:numPr>
          <w:ilvl w:val="0"/>
          <w:numId w:val="54"/>
        </w:numPr>
      </w:pPr>
      <w:r>
        <w:t>Shared Ownership Dwelling by size and district sought (as at October 2020)</w:t>
      </w:r>
    </w:p>
    <w:tbl>
      <w:tblPr>
        <w:tblStyle w:val="TableGridLight1"/>
        <w:tblW w:w="8415" w:type="dxa"/>
        <w:tblInd w:w="795" w:type="dxa"/>
        <w:tblLayout w:type="fixed"/>
        <w:tblLook w:val="04A0" w:firstRow="1" w:lastRow="0" w:firstColumn="1" w:lastColumn="0" w:noHBand="0" w:noVBand="1"/>
      </w:tblPr>
      <w:tblGrid>
        <w:gridCol w:w="1261"/>
        <w:gridCol w:w="1261"/>
        <w:gridCol w:w="1018"/>
        <w:gridCol w:w="1048"/>
        <w:gridCol w:w="850"/>
        <w:gridCol w:w="993"/>
        <w:gridCol w:w="1134"/>
        <w:gridCol w:w="850"/>
      </w:tblGrid>
      <w:tr w:rsidR="00917CCF" w:rsidRPr="00917CCF" w14:paraId="68B2CD3A" w14:textId="77777777" w:rsidTr="00917CCF">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260" w:type="dxa"/>
            <w:hideMark/>
          </w:tcPr>
          <w:p w14:paraId="2B31A626" w14:textId="77777777" w:rsidR="00A13819" w:rsidRPr="00917CCF" w:rsidRDefault="00A13819" w:rsidP="007D0FBF">
            <w:pPr>
              <w:keepNext/>
              <w:contextualSpacing/>
              <w:rPr>
                <w:lang w:eastAsia="en-GB"/>
              </w:rPr>
            </w:pPr>
            <w:r w:rsidRPr="00917CCF">
              <w:rPr>
                <w:lang w:eastAsia="en-GB"/>
              </w:rPr>
              <w:t>Bedrooms</w:t>
            </w:r>
          </w:p>
        </w:tc>
        <w:tc>
          <w:tcPr>
            <w:tcW w:w="1261" w:type="dxa"/>
            <w:hideMark/>
          </w:tcPr>
          <w:p w14:paraId="2ABFC437"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Cambridge</w:t>
            </w:r>
          </w:p>
        </w:tc>
        <w:tc>
          <w:tcPr>
            <w:tcW w:w="1018" w:type="dxa"/>
            <w:hideMark/>
          </w:tcPr>
          <w:p w14:paraId="19D7459A"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East Cambs</w:t>
            </w:r>
          </w:p>
        </w:tc>
        <w:tc>
          <w:tcPr>
            <w:tcW w:w="1048" w:type="dxa"/>
            <w:hideMark/>
          </w:tcPr>
          <w:p w14:paraId="7295F3B1"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Fenland</w:t>
            </w:r>
          </w:p>
        </w:tc>
        <w:tc>
          <w:tcPr>
            <w:tcW w:w="850" w:type="dxa"/>
            <w:hideMark/>
          </w:tcPr>
          <w:p w14:paraId="7DB2C9D4"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Hunts</w:t>
            </w:r>
          </w:p>
        </w:tc>
        <w:tc>
          <w:tcPr>
            <w:tcW w:w="993" w:type="dxa"/>
            <w:hideMark/>
          </w:tcPr>
          <w:p w14:paraId="4EF5C605"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South Cambs</w:t>
            </w:r>
          </w:p>
        </w:tc>
        <w:tc>
          <w:tcPr>
            <w:tcW w:w="1134" w:type="dxa"/>
            <w:hideMark/>
          </w:tcPr>
          <w:p w14:paraId="45BA9F55"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West Suffolk</w:t>
            </w:r>
          </w:p>
        </w:tc>
        <w:tc>
          <w:tcPr>
            <w:tcW w:w="850" w:type="dxa"/>
            <w:hideMark/>
          </w:tcPr>
          <w:p w14:paraId="237F60D7" w14:textId="77777777" w:rsidR="00A13819" w:rsidRPr="00917CCF" w:rsidRDefault="00A13819" w:rsidP="007D0FBF">
            <w:pPr>
              <w:keepNext/>
              <w:contextualSpacing/>
              <w:cnfStyle w:val="100000000000" w:firstRow="1" w:lastRow="0" w:firstColumn="0" w:lastColumn="0" w:oddVBand="0" w:evenVBand="0" w:oddHBand="0" w:evenHBand="0" w:firstRowFirstColumn="0" w:firstRowLastColumn="0" w:lastRowFirstColumn="0" w:lastRowLastColumn="0"/>
              <w:rPr>
                <w:lang w:eastAsia="en-GB"/>
              </w:rPr>
            </w:pPr>
            <w:r w:rsidRPr="00917CCF">
              <w:rPr>
                <w:lang w:eastAsia="en-GB"/>
              </w:rPr>
              <w:t>HMA</w:t>
            </w:r>
          </w:p>
        </w:tc>
      </w:tr>
      <w:tr w:rsidR="00917CCF" w:rsidRPr="00917CCF" w14:paraId="2756C6E4"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E7821F5" w14:textId="77777777" w:rsidR="00A13819" w:rsidRPr="00917CCF" w:rsidRDefault="00A13819" w:rsidP="007D0FBF">
            <w:pPr>
              <w:keepNext/>
              <w:contextualSpacing/>
              <w:rPr>
                <w:b/>
                <w:lang w:eastAsia="en-GB"/>
              </w:rPr>
            </w:pPr>
            <w:r w:rsidRPr="00917CCF">
              <w:rPr>
                <w:b/>
                <w:lang w:eastAsia="en-GB"/>
              </w:rPr>
              <w:t>0</w:t>
            </w:r>
          </w:p>
        </w:tc>
        <w:tc>
          <w:tcPr>
            <w:tcW w:w="1261" w:type="dxa"/>
            <w:noWrap/>
            <w:hideMark/>
          </w:tcPr>
          <w:p w14:paraId="51BB7F75"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w:t>
            </w:r>
          </w:p>
        </w:tc>
        <w:tc>
          <w:tcPr>
            <w:tcW w:w="1018" w:type="dxa"/>
            <w:noWrap/>
            <w:hideMark/>
          </w:tcPr>
          <w:p w14:paraId="211581F9"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w:t>
            </w:r>
          </w:p>
        </w:tc>
        <w:tc>
          <w:tcPr>
            <w:tcW w:w="1048" w:type="dxa"/>
            <w:noWrap/>
            <w:hideMark/>
          </w:tcPr>
          <w:p w14:paraId="5127F876"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w:t>
            </w:r>
          </w:p>
        </w:tc>
        <w:tc>
          <w:tcPr>
            <w:tcW w:w="850" w:type="dxa"/>
            <w:noWrap/>
            <w:hideMark/>
          </w:tcPr>
          <w:p w14:paraId="057399E4"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w:t>
            </w:r>
          </w:p>
        </w:tc>
        <w:tc>
          <w:tcPr>
            <w:tcW w:w="993" w:type="dxa"/>
            <w:noWrap/>
            <w:hideMark/>
          </w:tcPr>
          <w:p w14:paraId="3EE37D32"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w:t>
            </w:r>
          </w:p>
        </w:tc>
        <w:tc>
          <w:tcPr>
            <w:tcW w:w="1134" w:type="dxa"/>
            <w:noWrap/>
            <w:hideMark/>
          </w:tcPr>
          <w:p w14:paraId="3846B7F0"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w:t>
            </w:r>
          </w:p>
        </w:tc>
        <w:tc>
          <w:tcPr>
            <w:tcW w:w="850" w:type="dxa"/>
            <w:noWrap/>
            <w:hideMark/>
          </w:tcPr>
          <w:p w14:paraId="0C0B44B0"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w:t>
            </w:r>
          </w:p>
        </w:tc>
      </w:tr>
      <w:tr w:rsidR="00917CCF" w:rsidRPr="00917CCF" w14:paraId="067CE00A"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718E016" w14:textId="77777777" w:rsidR="00A13819" w:rsidRPr="00917CCF" w:rsidRDefault="00A13819" w:rsidP="007D0FBF">
            <w:pPr>
              <w:keepNext/>
              <w:contextualSpacing/>
              <w:rPr>
                <w:b/>
                <w:lang w:eastAsia="en-GB"/>
              </w:rPr>
            </w:pPr>
            <w:r w:rsidRPr="00917CCF">
              <w:rPr>
                <w:b/>
                <w:lang w:eastAsia="en-GB"/>
              </w:rPr>
              <w:t>1</w:t>
            </w:r>
          </w:p>
        </w:tc>
        <w:tc>
          <w:tcPr>
            <w:tcW w:w="1261" w:type="dxa"/>
            <w:noWrap/>
            <w:hideMark/>
          </w:tcPr>
          <w:p w14:paraId="20597BD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144</w:t>
            </w:r>
          </w:p>
        </w:tc>
        <w:tc>
          <w:tcPr>
            <w:tcW w:w="1018" w:type="dxa"/>
            <w:noWrap/>
            <w:hideMark/>
          </w:tcPr>
          <w:p w14:paraId="23F1BF41"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33</w:t>
            </w:r>
          </w:p>
        </w:tc>
        <w:tc>
          <w:tcPr>
            <w:tcW w:w="1048" w:type="dxa"/>
            <w:noWrap/>
            <w:hideMark/>
          </w:tcPr>
          <w:p w14:paraId="0C42DEA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w:t>
            </w:r>
          </w:p>
        </w:tc>
        <w:tc>
          <w:tcPr>
            <w:tcW w:w="850" w:type="dxa"/>
            <w:noWrap/>
            <w:hideMark/>
          </w:tcPr>
          <w:p w14:paraId="7C6495CA"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60</w:t>
            </w:r>
          </w:p>
        </w:tc>
        <w:tc>
          <w:tcPr>
            <w:tcW w:w="993" w:type="dxa"/>
            <w:noWrap/>
            <w:hideMark/>
          </w:tcPr>
          <w:p w14:paraId="39D36084"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57</w:t>
            </w:r>
          </w:p>
        </w:tc>
        <w:tc>
          <w:tcPr>
            <w:tcW w:w="1134" w:type="dxa"/>
            <w:noWrap/>
            <w:hideMark/>
          </w:tcPr>
          <w:p w14:paraId="7D2A84C9"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67</w:t>
            </w:r>
          </w:p>
        </w:tc>
        <w:tc>
          <w:tcPr>
            <w:tcW w:w="850" w:type="dxa"/>
            <w:noWrap/>
            <w:hideMark/>
          </w:tcPr>
          <w:p w14:paraId="6335153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364</w:t>
            </w:r>
          </w:p>
        </w:tc>
      </w:tr>
      <w:tr w:rsidR="00917CCF" w:rsidRPr="00917CCF" w14:paraId="45220722"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FABA46A" w14:textId="77777777" w:rsidR="00A13819" w:rsidRPr="00917CCF" w:rsidRDefault="00A13819" w:rsidP="007D0FBF">
            <w:pPr>
              <w:keepNext/>
              <w:contextualSpacing/>
              <w:rPr>
                <w:b/>
                <w:lang w:eastAsia="en-GB"/>
              </w:rPr>
            </w:pPr>
            <w:r w:rsidRPr="00917CCF">
              <w:rPr>
                <w:b/>
                <w:lang w:eastAsia="en-GB"/>
              </w:rPr>
              <w:t>2</w:t>
            </w:r>
          </w:p>
        </w:tc>
        <w:tc>
          <w:tcPr>
            <w:tcW w:w="1261" w:type="dxa"/>
            <w:noWrap/>
            <w:hideMark/>
          </w:tcPr>
          <w:p w14:paraId="76CF6CF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268</w:t>
            </w:r>
          </w:p>
        </w:tc>
        <w:tc>
          <w:tcPr>
            <w:tcW w:w="1018" w:type="dxa"/>
            <w:noWrap/>
            <w:hideMark/>
          </w:tcPr>
          <w:p w14:paraId="0E9446A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78</w:t>
            </w:r>
          </w:p>
        </w:tc>
        <w:tc>
          <w:tcPr>
            <w:tcW w:w="1048" w:type="dxa"/>
            <w:noWrap/>
            <w:hideMark/>
          </w:tcPr>
          <w:p w14:paraId="696839E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18</w:t>
            </w:r>
          </w:p>
        </w:tc>
        <w:tc>
          <w:tcPr>
            <w:tcW w:w="850" w:type="dxa"/>
            <w:noWrap/>
            <w:hideMark/>
          </w:tcPr>
          <w:p w14:paraId="5E834C8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160</w:t>
            </w:r>
          </w:p>
        </w:tc>
        <w:tc>
          <w:tcPr>
            <w:tcW w:w="993" w:type="dxa"/>
            <w:noWrap/>
            <w:hideMark/>
          </w:tcPr>
          <w:p w14:paraId="6E1CCF6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176</w:t>
            </w:r>
          </w:p>
        </w:tc>
        <w:tc>
          <w:tcPr>
            <w:tcW w:w="1134" w:type="dxa"/>
            <w:noWrap/>
            <w:hideMark/>
          </w:tcPr>
          <w:p w14:paraId="624DB13B"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199</w:t>
            </w:r>
          </w:p>
        </w:tc>
        <w:tc>
          <w:tcPr>
            <w:tcW w:w="850" w:type="dxa"/>
            <w:noWrap/>
            <w:hideMark/>
          </w:tcPr>
          <w:p w14:paraId="5995065D"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899</w:t>
            </w:r>
          </w:p>
        </w:tc>
      </w:tr>
      <w:tr w:rsidR="00917CCF" w:rsidRPr="00917CCF" w14:paraId="229742F3"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5788C07" w14:textId="77777777" w:rsidR="00A13819" w:rsidRPr="00917CCF" w:rsidRDefault="00A13819" w:rsidP="007D0FBF">
            <w:pPr>
              <w:keepNext/>
              <w:contextualSpacing/>
              <w:rPr>
                <w:b/>
                <w:lang w:eastAsia="en-GB"/>
              </w:rPr>
            </w:pPr>
            <w:r w:rsidRPr="00917CCF">
              <w:rPr>
                <w:b/>
                <w:lang w:eastAsia="en-GB"/>
              </w:rPr>
              <w:t>3</w:t>
            </w:r>
          </w:p>
        </w:tc>
        <w:tc>
          <w:tcPr>
            <w:tcW w:w="1261" w:type="dxa"/>
            <w:noWrap/>
            <w:hideMark/>
          </w:tcPr>
          <w:p w14:paraId="3CA0B8D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128</w:t>
            </w:r>
          </w:p>
        </w:tc>
        <w:tc>
          <w:tcPr>
            <w:tcW w:w="1018" w:type="dxa"/>
            <w:noWrap/>
            <w:hideMark/>
          </w:tcPr>
          <w:p w14:paraId="7CE0EBB2"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51</w:t>
            </w:r>
          </w:p>
        </w:tc>
        <w:tc>
          <w:tcPr>
            <w:tcW w:w="1048" w:type="dxa"/>
            <w:noWrap/>
            <w:hideMark/>
          </w:tcPr>
          <w:p w14:paraId="5BBEFDB4"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13</w:t>
            </w:r>
          </w:p>
        </w:tc>
        <w:tc>
          <w:tcPr>
            <w:tcW w:w="850" w:type="dxa"/>
            <w:noWrap/>
            <w:hideMark/>
          </w:tcPr>
          <w:p w14:paraId="4917CDEA"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99</w:t>
            </w:r>
          </w:p>
        </w:tc>
        <w:tc>
          <w:tcPr>
            <w:tcW w:w="993" w:type="dxa"/>
            <w:noWrap/>
            <w:hideMark/>
          </w:tcPr>
          <w:p w14:paraId="31435696"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90</w:t>
            </w:r>
          </w:p>
        </w:tc>
        <w:tc>
          <w:tcPr>
            <w:tcW w:w="1134" w:type="dxa"/>
            <w:noWrap/>
            <w:hideMark/>
          </w:tcPr>
          <w:p w14:paraId="7F5D8464"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123</w:t>
            </w:r>
          </w:p>
        </w:tc>
        <w:tc>
          <w:tcPr>
            <w:tcW w:w="850" w:type="dxa"/>
            <w:noWrap/>
            <w:hideMark/>
          </w:tcPr>
          <w:p w14:paraId="41ACF09B"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504</w:t>
            </w:r>
          </w:p>
        </w:tc>
      </w:tr>
      <w:tr w:rsidR="00917CCF" w:rsidRPr="00917CCF" w14:paraId="1D0CD4F6"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FF0398C" w14:textId="77777777" w:rsidR="00A13819" w:rsidRPr="00917CCF" w:rsidRDefault="00A13819" w:rsidP="007D0FBF">
            <w:pPr>
              <w:keepNext/>
              <w:contextualSpacing/>
              <w:rPr>
                <w:b/>
                <w:lang w:eastAsia="en-GB"/>
              </w:rPr>
            </w:pPr>
            <w:r w:rsidRPr="00917CCF">
              <w:rPr>
                <w:b/>
                <w:lang w:eastAsia="en-GB"/>
              </w:rPr>
              <w:t>4</w:t>
            </w:r>
          </w:p>
        </w:tc>
        <w:tc>
          <w:tcPr>
            <w:tcW w:w="1261" w:type="dxa"/>
            <w:noWrap/>
            <w:hideMark/>
          </w:tcPr>
          <w:p w14:paraId="5DDC7E75"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7</w:t>
            </w:r>
          </w:p>
        </w:tc>
        <w:tc>
          <w:tcPr>
            <w:tcW w:w="1018" w:type="dxa"/>
            <w:noWrap/>
            <w:hideMark/>
          </w:tcPr>
          <w:p w14:paraId="6EEC3D1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 </w:t>
            </w:r>
          </w:p>
        </w:tc>
        <w:tc>
          <w:tcPr>
            <w:tcW w:w="1048" w:type="dxa"/>
            <w:noWrap/>
            <w:hideMark/>
          </w:tcPr>
          <w:p w14:paraId="77F0C5D0"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w:t>
            </w:r>
          </w:p>
        </w:tc>
        <w:tc>
          <w:tcPr>
            <w:tcW w:w="850" w:type="dxa"/>
            <w:noWrap/>
            <w:hideMark/>
          </w:tcPr>
          <w:p w14:paraId="6AE1C5C1"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12</w:t>
            </w:r>
          </w:p>
        </w:tc>
        <w:tc>
          <w:tcPr>
            <w:tcW w:w="993" w:type="dxa"/>
            <w:noWrap/>
            <w:hideMark/>
          </w:tcPr>
          <w:p w14:paraId="726C6D6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6</w:t>
            </w:r>
          </w:p>
        </w:tc>
        <w:tc>
          <w:tcPr>
            <w:tcW w:w="1134" w:type="dxa"/>
            <w:noWrap/>
            <w:hideMark/>
          </w:tcPr>
          <w:p w14:paraId="44AEF99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6</w:t>
            </w:r>
          </w:p>
        </w:tc>
        <w:tc>
          <w:tcPr>
            <w:tcW w:w="850" w:type="dxa"/>
            <w:noWrap/>
            <w:hideMark/>
          </w:tcPr>
          <w:p w14:paraId="07A9ED9A"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32</w:t>
            </w:r>
          </w:p>
        </w:tc>
      </w:tr>
      <w:tr w:rsidR="00917CCF" w:rsidRPr="00917CCF" w14:paraId="193B24E1"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05294B2" w14:textId="77777777" w:rsidR="00A13819" w:rsidRPr="00917CCF" w:rsidRDefault="00A13819" w:rsidP="007D0FBF">
            <w:pPr>
              <w:keepNext/>
              <w:contextualSpacing/>
              <w:rPr>
                <w:b/>
                <w:lang w:eastAsia="en-GB"/>
              </w:rPr>
            </w:pPr>
            <w:r w:rsidRPr="00917CCF">
              <w:rPr>
                <w:b/>
                <w:lang w:eastAsia="en-GB"/>
              </w:rPr>
              <w:t>Total</w:t>
            </w:r>
          </w:p>
        </w:tc>
        <w:tc>
          <w:tcPr>
            <w:tcW w:w="1261" w:type="dxa"/>
            <w:noWrap/>
            <w:hideMark/>
          </w:tcPr>
          <w:p w14:paraId="4B1F3466"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547</w:t>
            </w:r>
          </w:p>
        </w:tc>
        <w:tc>
          <w:tcPr>
            <w:tcW w:w="1018" w:type="dxa"/>
            <w:noWrap/>
            <w:hideMark/>
          </w:tcPr>
          <w:p w14:paraId="072A0EB1"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162</w:t>
            </w:r>
          </w:p>
        </w:tc>
        <w:tc>
          <w:tcPr>
            <w:tcW w:w="1048" w:type="dxa"/>
            <w:noWrap/>
            <w:hideMark/>
          </w:tcPr>
          <w:p w14:paraId="73824369"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35</w:t>
            </w:r>
          </w:p>
        </w:tc>
        <w:tc>
          <w:tcPr>
            <w:tcW w:w="850" w:type="dxa"/>
            <w:noWrap/>
            <w:hideMark/>
          </w:tcPr>
          <w:p w14:paraId="67610C4D"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331</w:t>
            </w:r>
          </w:p>
        </w:tc>
        <w:tc>
          <w:tcPr>
            <w:tcW w:w="993" w:type="dxa"/>
            <w:noWrap/>
            <w:hideMark/>
          </w:tcPr>
          <w:p w14:paraId="1121DB3D"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330</w:t>
            </w:r>
          </w:p>
        </w:tc>
        <w:tc>
          <w:tcPr>
            <w:tcW w:w="1134" w:type="dxa"/>
            <w:noWrap/>
            <w:hideMark/>
          </w:tcPr>
          <w:p w14:paraId="5AE470E6"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395</w:t>
            </w:r>
          </w:p>
        </w:tc>
        <w:tc>
          <w:tcPr>
            <w:tcW w:w="850" w:type="dxa"/>
            <w:noWrap/>
            <w:hideMark/>
          </w:tcPr>
          <w:p w14:paraId="08CC1B2C" w14:textId="77777777" w:rsidR="00A13819" w:rsidRPr="004F4BA7"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1800</w:t>
            </w:r>
          </w:p>
        </w:tc>
      </w:tr>
      <w:tr w:rsidR="00917CCF" w:rsidRPr="00917CCF" w14:paraId="519A5660"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D028091" w14:textId="77777777" w:rsidR="00A13819" w:rsidRPr="00917CCF" w:rsidRDefault="00A13819" w:rsidP="007D0FBF">
            <w:pPr>
              <w:keepNext/>
              <w:contextualSpacing/>
              <w:rPr>
                <w:b/>
                <w:lang w:eastAsia="en-GB"/>
              </w:rPr>
            </w:pPr>
            <w:r w:rsidRPr="00917CCF">
              <w:rPr>
                <w:b/>
                <w:lang w:eastAsia="en-GB"/>
              </w:rPr>
              <w:t>Bedrooms</w:t>
            </w:r>
          </w:p>
        </w:tc>
        <w:tc>
          <w:tcPr>
            <w:tcW w:w="1261" w:type="dxa"/>
            <w:noWrap/>
            <w:hideMark/>
          </w:tcPr>
          <w:p w14:paraId="340AF053"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Cambridge</w:t>
            </w:r>
          </w:p>
        </w:tc>
        <w:tc>
          <w:tcPr>
            <w:tcW w:w="1018" w:type="dxa"/>
            <w:noWrap/>
            <w:hideMark/>
          </w:tcPr>
          <w:p w14:paraId="22B27C1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East Cambs</w:t>
            </w:r>
          </w:p>
        </w:tc>
        <w:tc>
          <w:tcPr>
            <w:tcW w:w="1048" w:type="dxa"/>
            <w:noWrap/>
            <w:hideMark/>
          </w:tcPr>
          <w:p w14:paraId="344F5353"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Fenland</w:t>
            </w:r>
          </w:p>
        </w:tc>
        <w:tc>
          <w:tcPr>
            <w:tcW w:w="850" w:type="dxa"/>
            <w:noWrap/>
            <w:hideMark/>
          </w:tcPr>
          <w:p w14:paraId="623C703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Hunts</w:t>
            </w:r>
          </w:p>
        </w:tc>
        <w:tc>
          <w:tcPr>
            <w:tcW w:w="993" w:type="dxa"/>
            <w:noWrap/>
            <w:hideMark/>
          </w:tcPr>
          <w:p w14:paraId="43AAD33D"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South Cambs</w:t>
            </w:r>
          </w:p>
        </w:tc>
        <w:tc>
          <w:tcPr>
            <w:tcW w:w="1134" w:type="dxa"/>
            <w:noWrap/>
            <w:hideMark/>
          </w:tcPr>
          <w:p w14:paraId="0B76A76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West Suffolk</w:t>
            </w:r>
          </w:p>
        </w:tc>
        <w:tc>
          <w:tcPr>
            <w:tcW w:w="850" w:type="dxa"/>
            <w:noWrap/>
            <w:hideMark/>
          </w:tcPr>
          <w:p w14:paraId="6200BE8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b/>
                <w:bCs/>
                <w:lang w:eastAsia="en-GB"/>
              </w:rPr>
              <w:t>HMA</w:t>
            </w:r>
          </w:p>
        </w:tc>
      </w:tr>
      <w:tr w:rsidR="00917CCF" w:rsidRPr="00917CCF" w14:paraId="6141D680"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8F07B17" w14:textId="77777777" w:rsidR="00A13819" w:rsidRPr="00917CCF" w:rsidRDefault="00A13819" w:rsidP="007D0FBF">
            <w:pPr>
              <w:keepNext/>
              <w:contextualSpacing/>
              <w:rPr>
                <w:b/>
                <w:lang w:eastAsia="en-GB"/>
              </w:rPr>
            </w:pPr>
            <w:r w:rsidRPr="00917CCF">
              <w:rPr>
                <w:b/>
                <w:lang w:eastAsia="en-GB"/>
              </w:rPr>
              <w:t>0</w:t>
            </w:r>
          </w:p>
        </w:tc>
        <w:tc>
          <w:tcPr>
            <w:tcW w:w="1261" w:type="dxa"/>
            <w:noWrap/>
            <w:hideMark/>
          </w:tcPr>
          <w:p w14:paraId="2CAEEF82"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0.0%</w:t>
            </w:r>
          </w:p>
        </w:tc>
        <w:tc>
          <w:tcPr>
            <w:tcW w:w="1018" w:type="dxa"/>
            <w:noWrap/>
            <w:hideMark/>
          </w:tcPr>
          <w:p w14:paraId="4E271303"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0.0%</w:t>
            </w:r>
          </w:p>
        </w:tc>
        <w:tc>
          <w:tcPr>
            <w:tcW w:w="1048" w:type="dxa"/>
            <w:noWrap/>
            <w:hideMark/>
          </w:tcPr>
          <w:p w14:paraId="4C112A30"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0.0%</w:t>
            </w:r>
          </w:p>
        </w:tc>
        <w:tc>
          <w:tcPr>
            <w:tcW w:w="850" w:type="dxa"/>
            <w:noWrap/>
            <w:hideMark/>
          </w:tcPr>
          <w:p w14:paraId="498C53F2"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0.0%</w:t>
            </w:r>
          </w:p>
        </w:tc>
        <w:tc>
          <w:tcPr>
            <w:tcW w:w="993" w:type="dxa"/>
            <w:noWrap/>
            <w:hideMark/>
          </w:tcPr>
          <w:p w14:paraId="277D42F5"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0.3%</w:t>
            </w:r>
          </w:p>
        </w:tc>
        <w:tc>
          <w:tcPr>
            <w:tcW w:w="1134" w:type="dxa"/>
            <w:noWrap/>
            <w:hideMark/>
          </w:tcPr>
          <w:p w14:paraId="0B7E74E4"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0.0%</w:t>
            </w:r>
          </w:p>
        </w:tc>
        <w:tc>
          <w:tcPr>
            <w:tcW w:w="850" w:type="dxa"/>
            <w:noWrap/>
            <w:hideMark/>
          </w:tcPr>
          <w:p w14:paraId="0D571809"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0.1%</w:t>
            </w:r>
          </w:p>
        </w:tc>
      </w:tr>
      <w:tr w:rsidR="00917CCF" w:rsidRPr="00917CCF" w14:paraId="6693B492"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5CEE669" w14:textId="77777777" w:rsidR="00A13819" w:rsidRPr="00917CCF" w:rsidRDefault="00A13819" w:rsidP="007D0FBF">
            <w:pPr>
              <w:keepNext/>
              <w:contextualSpacing/>
              <w:rPr>
                <w:b/>
                <w:lang w:eastAsia="en-GB"/>
              </w:rPr>
            </w:pPr>
            <w:r w:rsidRPr="00917CCF">
              <w:rPr>
                <w:b/>
                <w:lang w:eastAsia="en-GB"/>
              </w:rPr>
              <w:t>1</w:t>
            </w:r>
          </w:p>
        </w:tc>
        <w:tc>
          <w:tcPr>
            <w:tcW w:w="1261" w:type="dxa"/>
            <w:noWrap/>
            <w:hideMark/>
          </w:tcPr>
          <w:p w14:paraId="5D6A11ED"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26.3%</w:t>
            </w:r>
          </w:p>
        </w:tc>
        <w:tc>
          <w:tcPr>
            <w:tcW w:w="1018" w:type="dxa"/>
            <w:noWrap/>
            <w:hideMark/>
          </w:tcPr>
          <w:p w14:paraId="493E8B63"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20.4%</w:t>
            </w:r>
          </w:p>
        </w:tc>
        <w:tc>
          <w:tcPr>
            <w:tcW w:w="1048" w:type="dxa"/>
            <w:noWrap/>
            <w:hideMark/>
          </w:tcPr>
          <w:p w14:paraId="7F762A14"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8.6%</w:t>
            </w:r>
          </w:p>
        </w:tc>
        <w:tc>
          <w:tcPr>
            <w:tcW w:w="850" w:type="dxa"/>
            <w:noWrap/>
            <w:hideMark/>
          </w:tcPr>
          <w:p w14:paraId="73394EA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18.1%</w:t>
            </w:r>
          </w:p>
        </w:tc>
        <w:tc>
          <w:tcPr>
            <w:tcW w:w="993" w:type="dxa"/>
            <w:noWrap/>
            <w:hideMark/>
          </w:tcPr>
          <w:p w14:paraId="788B5393"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17.3%</w:t>
            </w:r>
          </w:p>
        </w:tc>
        <w:tc>
          <w:tcPr>
            <w:tcW w:w="1134" w:type="dxa"/>
            <w:noWrap/>
            <w:hideMark/>
          </w:tcPr>
          <w:p w14:paraId="141238CC"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17.0%</w:t>
            </w:r>
          </w:p>
        </w:tc>
        <w:tc>
          <w:tcPr>
            <w:tcW w:w="850" w:type="dxa"/>
            <w:noWrap/>
            <w:hideMark/>
          </w:tcPr>
          <w:p w14:paraId="1A19B07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20.2%</w:t>
            </w:r>
          </w:p>
        </w:tc>
      </w:tr>
      <w:tr w:rsidR="00917CCF" w:rsidRPr="00917CCF" w14:paraId="4355ECE8"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B834218" w14:textId="77777777" w:rsidR="00A13819" w:rsidRPr="00917CCF" w:rsidRDefault="00A13819" w:rsidP="007D0FBF">
            <w:pPr>
              <w:keepNext/>
              <w:contextualSpacing/>
              <w:rPr>
                <w:b/>
                <w:lang w:eastAsia="en-GB"/>
              </w:rPr>
            </w:pPr>
            <w:r w:rsidRPr="00917CCF">
              <w:rPr>
                <w:b/>
                <w:lang w:eastAsia="en-GB"/>
              </w:rPr>
              <w:t>2</w:t>
            </w:r>
          </w:p>
        </w:tc>
        <w:tc>
          <w:tcPr>
            <w:tcW w:w="1261" w:type="dxa"/>
            <w:noWrap/>
            <w:hideMark/>
          </w:tcPr>
          <w:p w14:paraId="058B72A1"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49.0%</w:t>
            </w:r>
          </w:p>
        </w:tc>
        <w:tc>
          <w:tcPr>
            <w:tcW w:w="1018" w:type="dxa"/>
            <w:noWrap/>
            <w:hideMark/>
          </w:tcPr>
          <w:p w14:paraId="51B95125"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48.1%</w:t>
            </w:r>
          </w:p>
        </w:tc>
        <w:tc>
          <w:tcPr>
            <w:tcW w:w="1048" w:type="dxa"/>
            <w:noWrap/>
            <w:hideMark/>
          </w:tcPr>
          <w:p w14:paraId="4D6ADD4B"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51.4%</w:t>
            </w:r>
          </w:p>
        </w:tc>
        <w:tc>
          <w:tcPr>
            <w:tcW w:w="850" w:type="dxa"/>
            <w:noWrap/>
            <w:hideMark/>
          </w:tcPr>
          <w:p w14:paraId="17B872D2"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48.3%</w:t>
            </w:r>
          </w:p>
        </w:tc>
        <w:tc>
          <w:tcPr>
            <w:tcW w:w="993" w:type="dxa"/>
            <w:noWrap/>
            <w:hideMark/>
          </w:tcPr>
          <w:p w14:paraId="1A199D56"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53.3%</w:t>
            </w:r>
          </w:p>
        </w:tc>
        <w:tc>
          <w:tcPr>
            <w:tcW w:w="1134" w:type="dxa"/>
            <w:noWrap/>
            <w:hideMark/>
          </w:tcPr>
          <w:p w14:paraId="63B5A4D0"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50.4%</w:t>
            </w:r>
          </w:p>
        </w:tc>
        <w:tc>
          <w:tcPr>
            <w:tcW w:w="850" w:type="dxa"/>
            <w:noWrap/>
            <w:hideMark/>
          </w:tcPr>
          <w:p w14:paraId="4A809EB9"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49.9%</w:t>
            </w:r>
          </w:p>
        </w:tc>
      </w:tr>
      <w:tr w:rsidR="00917CCF" w:rsidRPr="00917CCF" w14:paraId="23313055"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26E67FB" w14:textId="77777777" w:rsidR="00A13819" w:rsidRPr="00917CCF" w:rsidRDefault="00A13819" w:rsidP="007D0FBF">
            <w:pPr>
              <w:keepNext/>
              <w:contextualSpacing/>
              <w:rPr>
                <w:b/>
                <w:lang w:eastAsia="en-GB"/>
              </w:rPr>
            </w:pPr>
            <w:r w:rsidRPr="00917CCF">
              <w:rPr>
                <w:b/>
                <w:lang w:eastAsia="en-GB"/>
              </w:rPr>
              <w:t>3</w:t>
            </w:r>
          </w:p>
        </w:tc>
        <w:tc>
          <w:tcPr>
            <w:tcW w:w="1261" w:type="dxa"/>
            <w:noWrap/>
            <w:hideMark/>
          </w:tcPr>
          <w:p w14:paraId="7097F101"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23.4%</w:t>
            </w:r>
          </w:p>
        </w:tc>
        <w:tc>
          <w:tcPr>
            <w:tcW w:w="1018" w:type="dxa"/>
            <w:noWrap/>
            <w:hideMark/>
          </w:tcPr>
          <w:p w14:paraId="1005B7FD"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31.5%</w:t>
            </w:r>
          </w:p>
        </w:tc>
        <w:tc>
          <w:tcPr>
            <w:tcW w:w="1048" w:type="dxa"/>
            <w:noWrap/>
            <w:hideMark/>
          </w:tcPr>
          <w:p w14:paraId="46702BD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37.1%</w:t>
            </w:r>
          </w:p>
        </w:tc>
        <w:tc>
          <w:tcPr>
            <w:tcW w:w="850" w:type="dxa"/>
            <w:noWrap/>
            <w:hideMark/>
          </w:tcPr>
          <w:p w14:paraId="584FBE03"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29.9%</w:t>
            </w:r>
          </w:p>
        </w:tc>
        <w:tc>
          <w:tcPr>
            <w:tcW w:w="993" w:type="dxa"/>
            <w:noWrap/>
            <w:hideMark/>
          </w:tcPr>
          <w:p w14:paraId="0639552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27.3%</w:t>
            </w:r>
          </w:p>
        </w:tc>
        <w:tc>
          <w:tcPr>
            <w:tcW w:w="1134" w:type="dxa"/>
            <w:noWrap/>
            <w:hideMark/>
          </w:tcPr>
          <w:p w14:paraId="60858240"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31.1%</w:t>
            </w:r>
          </w:p>
        </w:tc>
        <w:tc>
          <w:tcPr>
            <w:tcW w:w="850" w:type="dxa"/>
            <w:noWrap/>
            <w:hideMark/>
          </w:tcPr>
          <w:p w14:paraId="7CE2C875"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28.0%</w:t>
            </w:r>
          </w:p>
        </w:tc>
      </w:tr>
      <w:tr w:rsidR="00917CCF" w:rsidRPr="00917CCF" w14:paraId="722519BA" w14:textId="77777777" w:rsidTr="00917CCF">
        <w:trPr>
          <w:trHeight w:val="28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1180239" w14:textId="77777777" w:rsidR="00A13819" w:rsidRPr="00917CCF" w:rsidRDefault="00A13819" w:rsidP="007D0FBF">
            <w:pPr>
              <w:keepNext/>
              <w:contextualSpacing/>
              <w:rPr>
                <w:b/>
                <w:lang w:eastAsia="en-GB"/>
              </w:rPr>
            </w:pPr>
            <w:r w:rsidRPr="00917CCF">
              <w:rPr>
                <w:b/>
                <w:lang w:eastAsia="en-GB"/>
              </w:rPr>
              <w:t>4</w:t>
            </w:r>
          </w:p>
        </w:tc>
        <w:tc>
          <w:tcPr>
            <w:tcW w:w="1261" w:type="dxa"/>
            <w:noWrap/>
            <w:hideMark/>
          </w:tcPr>
          <w:p w14:paraId="011A1A4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1.3%</w:t>
            </w:r>
          </w:p>
        </w:tc>
        <w:tc>
          <w:tcPr>
            <w:tcW w:w="1018" w:type="dxa"/>
            <w:noWrap/>
            <w:hideMark/>
          </w:tcPr>
          <w:p w14:paraId="616ED9E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0.0%</w:t>
            </w:r>
          </w:p>
        </w:tc>
        <w:tc>
          <w:tcPr>
            <w:tcW w:w="1048" w:type="dxa"/>
            <w:noWrap/>
            <w:hideMark/>
          </w:tcPr>
          <w:p w14:paraId="74AA5107"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2.9%</w:t>
            </w:r>
          </w:p>
        </w:tc>
        <w:tc>
          <w:tcPr>
            <w:tcW w:w="850" w:type="dxa"/>
            <w:noWrap/>
            <w:hideMark/>
          </w:tcPr>
          <w:p w14:paraId="44F3643E"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3.6%</w:t>
            </w:r>
          </w:p>
        </w:tc>
        <w:tc>
          <w:tcPr>
            <w:tcW w:w="993" w:type="dxa"/>
            <w:noWrap/>
            <w:hideMark/>
          </w:tcPr>
          <w:p w14:paraId="48596B2D"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1.8%</w:t>
            </w:r>
          </w:p>
        </w:tc>
        <w:tc>
          <w:tcPr>
            <w:tcW w:w="1134" w:type="dxa"/>
            <w:noWrap/>
            <w:hideMark/>
          </w:tcPr>
          <w:p w14:paraId="29717038"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1.5%</w:t>
            </w:r>
          </w:p>
        </w:tc>
        <w:tc>
          <w:tcPr>
            <w:tcW w:w="850" w:type="dxa"/>
            <w:noWrap/>
            <w:hideMark/>
          </w:tcPr>
          <w:p w14:paraId="7FEAEA22" w14:textId="77777777" w:rsidR="00A13819" w:rsidRPr="00917CCF" w:rsidRDefault="00A13819" w:rsidP="007D0FBF">
            <w:pPr>
              <w:keepNext/>
              <w:contextualSpacing/>
              <w:cnfStyle w:val="000000000000" w:firstRow="0" w:lastRow="0" w:firstColumn="0" w:lastColumn="0" w:oddVBand="0" w:evenVBand="0" w:oddHBand="0" w:evenHBand="0" w:firstRowFirstColumn="0" w:firstRowLastColumn="0" w:lastRowFirstColumn="0" w:lastRowLastColumn="0"/>
              <w:rPr>
                <w:lang w:eastAsia="en-GB"/>
              </w:rPr>
            </w:pPr>
            <w:r w:rsidRPr="00917CCF">
              <w:rPr>
                <w:lang w:eastAsia="en-GB"/>
              </w:rPr>
              <w:t>1.8%</w:t>
            </w:r>
          </w:p>
        </w:tc>
      </w:tr>
    </w:tbl>
    <w:p w14:paraId="746B1E03" w14:textId="47CDE68F" w:rsidR="00A13819" w:rsidRDefault="00A13819" w:rsidP="007D0FBF">
      <w:pPr>
        <w:pStyle w:val="11Bodytext"/>
        <w:numPr>
          <w:ilvl w:val="0"/>
          <w:numId w:val="0"/>
        </w:numPr>
        <w:spacing w:before="0" w:after="0" w:line="240" w:lineRule="auto"/>
        <w:ind w:left="794"/>
        <w:contextualSpacing/>
      </w:pPr>
      <w:r>
        <w:t>Source: Help to Buy agent (South)</w:t>
      </w:r>
    </w:p>
    <w:p w14:paraId="4112C66E" w14:textId="77777777" w:rsidR="007D0FBF" w:rsidRDefault="007D0FBF" w:rsidP="007D0FBF">
      <w:pPr>
        <w:pStyle w:val="11Bodytext"/>
        <w:numPr>
          <w:ilvl w:val="0"/>
          <w:numId w:val="0"/>
        </w:numPr>
        <w:spacing w:before="0" w:after="0" w:line="240" w:lineRule="auto"/>
        <w:ind w:left="794"/>
        <w:contextualSpacing/>
      </w:pPr>
    </w:p>
    <w:p w14:paraId="4C6B4775" w14:textId="77777777" w:rsidR="00A13819" w:rsidRDefault="00A13819" w:rsidP="007D0FBF">
      <w:pPr>
        <w:pStyle w:val="Heading3"/>
      </w:pPr>
      <w:r>
        <w:t>First homes</w:t>
      </w:r>
    </w:p>
    <w:p w14:paraId="4AA142C6" w14:textId="77777777" w:rsidR="00A13819" w:rsidRDefault="00A13819" w:rsidP="007D0FBF">
      <w:pPr>
        <w:pStyle w:val="11Bodytext"/>
      </w:pPr>
      <w:r>
        <w:t>The Government are currently consulting on the introduction of a new tenure of affordable home ownership called “First Homes”. These are defined by the Government</w:t>
      </w:r>
      <w:r>
        <w:rPr>
          <w:rStyle w:val="FootnoteReference"/>
        </w:rPr>
        <w:footnoteReference w:id="21"/>
      </w:r>
      <w:r>
        <w:t xml:space="preserve"> as new build dwellings subject to a minimum discount of 30% targeted at first time buyers. It is proposed that after the discount has been applied the asking price should not exceed £250,000 in England outside London or £420,000 in London. </w:t>
      </w:r>
    </w:p>
    <w:p w14:paraId="041315D3" w14:textId="77777777" w:rsidR="004F4BA7" w:rsidRDefault="004F4BA7">
      <w:pPr>
        <w:spacing w:after="200"/>
        <w:rPr>
          <w:bCs/>
          <w:sz w:val="24"/>
          <w:szCs w:val="24"/>
        </w:rPr>
      </w:pPr>
      <w:r>
        <w:br w:type="page"/>
      </w:r>
    </w:p>
    <w:p w14:paraId="278B75A8" w14:textId="78EBAB2F" w:rsidR="00A13819" w:rsidRDefault="00A13819" w:rsidP="007D0FBF">
      <w:pPr>
        <w:pStyle w:val="11Bodytext"/>
      </w:pPr>
      <w:r>
        <w:lastRenderedPageBreak/>
        <w:t xml:space="preserve">It is also proposed that a restrictive covenant is put in place to ensure the original level of discount is passed on to future purchasers of the house. Eligible buyers will have a maximum household income of £80,000 if they live in outside London and £90,000 if they live in London. The house must remain their sole residence and therefore there is a restriction on the ability of the owner to let the dwelling. </w:t>
      </w:r>
    </w:p>
    <w:p w14:paraId="2C2D6BB3" w14:textId="77777777" w:rsidR="00A13819" w:rsidRDefault="00A13819" w:rsidP="007D0FBF">
      <w:pPr>
        <w:pStyle w:val="11Bodytext"/>
      </w:pPr>
      <w:r>
        <w:t xml:space="preserve">Local Authorities are empowered to set a Local Connection test, although in the event that buyers are not forthcoming it is proposed that the test expires after three months and homes are made available to first time buyers from outside the area. </w:t>
      </w:r>
    </w:p>
    <w:p w14:paraId="6589784F" w14:textId="77777777" w:rsidR="00A13819" w:rsidRDefault="00A13819" w:rsidP="007D0FBF">
      <w:pPr>
        <w:pStyle w:val="11Bodytext"/>
      </w:pPr>
      <w:r>
        <w:t>The proposed regulations around First Homes allow for some flexibility on the price cap to enable Local Authorities to give households on low incomes (particularly around key workers) access to homes to buy. LPAs can set lower price caps provided they provide evidence of both local need and the impact on the viability of building new First Homes through the local plan-making process.</w:t>
      </w:r>
    </w:p>
    <w:p w14:paraId="65D95713" w14:textId="77777777" w:rsidR="00A13819" w:rsidRDefault="00A13819" w:rsidP="007D0FBF">
      <w:pPr>
        <w:pStyle w:val="11Bodytext"/>
      </w:pPr>
      <w:r>
        <w:t>At the time of writing, the Government is undertaking a further consultation that seeks feedback on how the policy should be delivered in practice. It notes that the Government intends to set out in policy that a minimum of 25% of all affordable housing units secured through developer contributions should be First Homes.</w:t>
      </w:r>
      <w:r>
        <w:rPr>
          <w:rStyle w:val="FootnoteReference"/>
        </w:rPr>
        <w:footnoteReference w:id="22"/>
      </w:r>
      <w:r>
        <w:t xml:space="preserve"> </w:t>
      </w:r>
    </w:p>
    <w:p w14:paraId="5DEE4EB7" w14:textId="77777777" w:rsidR="00A13819" w:rsidRDefault="00A13819" w:rsidP="007D0FBF">
      <w:pPr>
        <w:pStyle w:val="11Bodytext"/>
      </w:pPr>
      <w:r>
        <w:t xml:space="preserve">It is likely that “First Homes” will replace affordable home ownership tenures within Local Plan policy but with a potentially greater discount. There will also be a need to ensure that a balance between affordable home ownership and affordable rented tenures is maintained. It is worth noting that the requirement for a minimum discount of 30% and that at least 25% of all affordable housing units should be First Homes makes it more challenging to deliver affordable rented homes because of there being potentially less resource for cross subsidy.    </w:t>
      </w:r>
    </w:p>
    <w:p w14:paraId="1A4EA204" w14:textId="77777777" w:rsidR="00A13819" w:rsidRDefault="00A13819" w:rsidP="007D0FBF">
      <w:pPr>
        <w:pStyle w:val="11Bodytext"/>
      </w:pPr>
      <w:r>
        <w:lastRenderedPageBreak/>
        <w:t xml:space="preserve">The minimum 30% discount is applied to the market rate for individual properties. The table below applies this discount to the median and lower quartile house prices for the individual districts and at the HMA to show what this means. </w:t>
      </w:r>
    </w:p>
    <w:p w14:paraId="55AA3DA2" w14:textId="77777777" w:rsidR="00A13819" w:rsidRDefault="00A13819" w:rsidP="003D5E23">
      <w:pPr>
        <w:pStyle w:val="Tableheading"/>
        <w:numPr>
          <w:ilvl w:val="0"/>
          <w:numId w:val="54"/>
        </w:numPr>
      </w:pPr>
      <w:r>
        <w:t xml:space="preserve"> 30% Discount Applied to House Prices in the Housing Market Area (2019)</w:t>
      </w:r>
    </w:p>
    <w:tbl>
      <w:tblPr>
        <w:tblStyle w:val="TableGridLight1"/>
        <w:tblW w:w="8417" w:type="dxa"/>
        <w:tblInd w:w="792" w:type="dxa"/>
        <w:tblLook w:val="04A0" w:firstRow="1" w:lastRow="0" w:firstColumn="1" w:lastColumn="0" w:noHBand="0" w:noVBand="1"/>
      </w:tblPr>
      <w:tblGrid>
        <w:gridCol w:w="2191"/>
        <w:gridCol w:w="1556"/>
        <w:gridCol w:w="1557"/>
        <w:gridCol w:w="1556"/>
        <w:gridCol w:w="1557"/>
      </w:tblGrid>
      <w:tr w:rsidR="00E57512" w:rsidRPr="00E57512" w14:paraId="468E0E2E" w14:textId="77777777" w:rsidTr="00E57512">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191" w:type="dxa"/>
            <w:hideMark/>
          </w:tcPr>
          <w:p w14:paraId="7F0B42F2" w14:textId="77777777" w:rsidR="00A13819" w:rsidRPr="00E57512" w:rsidRDefault="00A13819" w:rsidP="007D0FBF">
            <w:pPr>
              <w:keepNext/>
              <w:rPr>
                <w:lang w:eastAsia="en-GB"/>
              </w:rPr>
            </w:pPr>
            <w:r w:rsidRPr="00E57512">
              <w:rPr>
                <w:lang w:eastAsia="en-GB"/>
              </w:rPr>
              <w:t>Area</w:t>
            </w:r>
          </w:p>
        </w:tc>
        <w:tc>
          <w:tcPr>
            <w:tcW w:w="1556" w:type="dxa"/>
            <w:hideMark/>
          </w:tcPr>
          <w:p w14:paraId="6E14289C" w14:textId="77777777" w:rsidR="00A13819" w:rsidRPr="00E57512"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Median</w:t>
            </w:r>
          </w:p>
        </w:tc>
        <w:tc>
          <w:tcPr>
            <w:tcW w:w="1557" w:type="dxa"/>
            <w:hideMark/>
          </w:tcPr>
          <w:p w14:paraId="1666DBB1" w14:textId="77777777" w:rsidR="00A13819" w:rsidRPr="00E57512"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Lower Quartile</w:t>
            </w:r>
          </w:p>
        </w:tc>
        <w:tc>
          <w:tcPr>
            <w:tcW w:w="1556" w:type="dxa"/>
            <w:hideMark/>
          </w:tcPr>
          <w:p w14:paraId="0306C1E3" w14:textId="77777777" w:rsidR="00A13819" w:rsidRPr="00E57512"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First Home price (Median)</w:t>
            </w:r>
          </w:p>
        </w:tc>
        <w:tc>
          <w:tcPr>
            <w:tcW w:w="1557" w:type="dxa"/>
            <w:hideMark/>
          </w:tcPr>
          <w:p w14:paraId="3548D7DD" w14:textId="77777777" w:rsidR="00A13819" w:rsidRPr="00E57512" w:rsidRDefault="00A13819" w:rsidP="007D0FBF">
            <w:pPr>
              <w:keepNext/>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First Home price (LQ)</w:t>
            </w:r>
          </w:p>
        </w:tc>
      </w:tr>
      <w:tr w:rsidR="00E57512" w:rsidRPr="00E57512" w14:paraId="06259875"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52C2E3D6" w14:textId="77777777" w:rsidR="00A13819" w:rsidRPr="004F4BA7" w:rsidRDefault="00A13819" w:rsidP="007D0FBF">
            <w:pPr>
              <w:keepNext/>
              <w:rPr>
                <w:bCs/>
                <w:lang w:eastAsia="en-GB"/>
              </w:rPr>
            </w:pPr>
            <w:r w:rsidRPr="004F4BA7">
              <w:rPr>
                <w:bCs/>
                <w:lang w:eastAsia="en-GB"/>
              </w:rPr>
              <w:t>Cambridge</w:t>
            </w:r>
          </w:p>
        </w:tc>
        <w:tc>
          <w:tcPr>
            <w:tcW w:w="1556" w:type="dxa"/>
            <w:hideMark/>
          </w:tcPr>
          <w:p w14:paraId="19AB5C84"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£440,000</w:t>
            </w:r>
          </w:p>
        </w:tc>
        <w:tc>
          <w:tcPr>
            <w:tcW w:w="1557" w:type="dxa"/>
            <w:hideMark/>
          </w:tcPr>
          <w:p w14:paraId="5E08EA46"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£336,716</w:t>
            </w:r>
          </w:p>
        </w:tc>
        <w:tc>
          <w:tcPr>
            <w:tcW w:w="1556" w:type="dxa"/>
            <w:hideMark/>
          </w:tcPr>
          <w:p w14:paraId="171073B9"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£308,000</w:t>
            </w:r>
          </w:p>
        </w:tc>
        <w:tc>
          <w:tcPr>
            <w:tcW w:w="1557" w:type="dxa"/>
            <w:hideMark/>
          </w:tcPr>
          <w:p w14:paraId="6D343015"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£235,701</w:t>
            </w:r>
          </w:p>
        </w:tc>
      </w:tr>
      <w:tr w:rsidR="00E57512" w:rsidRPr="00E57512" w14:paraId="3C668F90"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6B5679AC" w14:textId="77777777" w:rsidR="00A13819" w:rsidRPr="004F4BA7" w:rsidRDefault="00A13819" w:rsidP="007D0FBF">
            <w:pPr>
              <w:keepNext/>
              <w:rPr>
                <w:bCs/>
                <w:lang w:eastAsia="en-GB"/>
              </w:rPr>
            </w:pPr>
            <w:r w:rsidRPr="004F4BA7">
              <w:rPr>
                <w:bCs/>
                <w:lang w:eastAsia="en-GB"/>
              </w:rPr>
              <w:t>East Cambridge</w:t>
            </w:r>
          </w:p>
        </w:tc>
        <w:tc>
          <w:tcPr>
            <w:tcW w:w="1556" w:type="dxa"/>
            <w:hideMark/>
          </w:tcPr>
          <w:p w14:paraId="6F86AC06"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£290,998</w:t>
            </w:r>
          </w:p>
        </w:tc>
        <w:tc>
          <w:tcPr>
            <w:tcW w:w="1557" w:type="dxa"/>
            <w:hideMark/>
          </w:tcPr>
          <w:p w14:paraId="1C825BCA"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£220,000</w:t>
            </w:r>
          </w:p>
        </w:tc>
        <w:tc>
          <w:tcPr>
            <w:tcW w:w="1556" w:type="dxa"/>
            <w:hideMark/>
          </w:tcPr>
          <w:p w14:paraId="500826BA"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£203,699</w:t>
            </w:r>
          </w:p>
        </w:tc>
        <w:tc>
          <w:tcPr>
            <w:tcW w:w="1557" w:type="dxa"/>
            <w:hideMark/>
          </w:tcPr>
          <w:p w14:paraId="63C29F4F"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£154,000</w:t>
            </w:r>
          </w:p>
        </w:tc>
      </w:tr>
      <w:tr w:rsidR="00E57512" w:rsidRPr="00E57512" w14:paraId="1EB72A7E"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459E5670" w14:textId="77777777" w:rsidR="00A13819" w:rsidRPr="004F4BA7" w:rsidRDefault="00A13819" w:rsidP="007D0FBF">
            <w:pPr>
              <w:keepNext/>
              <w:rPr>
                <w:bCs/>
                <w:lang w:eastAsia="en-GB"/>
              </w:rPr>
            </w:pPr>
            <w:r w:rsidRPr="004F4BA7">
              <w:rPr>
                <w:bCs/>
                <w:lang w:eastAsia="en-GB"/>
              </w:rPr>
              <w:t>Fenland</w:t>
            </w:r>
          </w:p>
        </w:tc>
        <w:tc>
          <w:tcPr>
            <w:tcW w:w="1556" w:type="dxa"/>
            <w:hideMark/>
          </w:tcPr>
          <w:p w14:paraId="6666D955"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£184,000</w:t>
            </w:r>
          </w:p>
        </w:tc>
        <w:tc>
          <w:tcPr>
            <w:tcW w:w="1557" w:type="dxa"/>
            <w:hideMark/>
          </w:tcPr>
          <w:p w14:paraId="12AC7922"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£146,750</w:t>
            </w:r>
          </w:p>
        </w:tc>
        <w:tc>
          <w:tcPr>
            <w:tcW w:w="1556" w:type="dxa"/>
            <w:hideMark/>
          </w:tcPr>
          <w:p w14:paraId="7DAFCC5D"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£128,800</w:t>
            </w:r>
          </w:p>
        </w:tc>
        <w:tc>
          <w:tcPr>
            <w:tcW w:w="1557" w:type="dxa"/>
            <w:hideMark/>
          </w:tcPr>
          <w:p w14:paraId="5C4002C5"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£102,725</w:t>
            </w:r>
          </w:p>
        </w:tc>
      </w:tr>
      <w:tr w:rsidR="00E57512" w:rsidRPr="00E57512" w14:paraId="252876D3"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73E5DEF7" w14:textId="77777777" w:rsidR="00A13819" w:rsidRPr="004F4BA7" w:rsidRDefault="00A13819" w:rsidP="007D0FBF">
            <w:pPr>
              <w:keepNext/>
              <w:rPr>
                <w:bCs/>
                <w:lang w:eastAsia="en-GB"/>
              </w:rPr>
            </w:pPr>
            <w:r w:rsidRPr="004F4BA7">
              <w:rPr>
                <w:bCs/>
                <w:lang w:eastAsia="en-GB"/>
              </w:rPr>
              <w:t>Huntingdonshire</w:t>
            </w:r>
          </w:p>
        </w:tc>
        <w:tc>
          <w:tcPr>
            <w:tcW w:w="1556" w:type="dxa"/>
            <w:hideMark/>
          </w:tcPr>
          <w:p w14:paraId="54A7969A"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£275,000</w:t>
            </w:r>
          </w:p>
        </w:tc>
        <w:tc>
          <w:tcPr>
            <w:tcW w:w="1557" w:type="dxa"/>
            <w:hideMark/>
          </w:tcPr>
          <w:p w14:paraId="3C4968F0"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£210,000</w:t>
            </w:r>
          </w:p>
        </w:tc>
        <w:tc>
          <w:tcPr>
            <w:tcW w:w="1556" w:type="dxa"/>
            <w:hideMark/>
          </w:tcPr>
          <w:p w14:paraId="674B949B"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£192,500</w:t>
            </w:r>
          </w:p>
        </w:tc>
        <w:tc>
          <w:tcPr>
            <w:tcW w:w="1557" w:type="dxa"/>
            <w:hideMark/>
          </w:tcPr>
          <w:p w14:paraId="5990DAD8"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£147,000</w:t>
            </w:r>
          </w:p>
        </w:tc>
      </w:tr>
      <w:tr w:rsidR="00E57512" w:rsidRPr="00E57512" w14:paraId="1CB9F3C2"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1C6334C7" w14:textId="77777777" w:rsidR="00A13819" w:rsidRPr="004F4BA7" w:rsidRDefault="00A13819" w:rsidP="007D0FBF">
            <w:pPr>
              <w:keepNext/>
              <w:rPr>
                <w:bCs/>
                <w:lang w:eastAsia="en-GB"/>
              </w:rPr>
            </w:pPr>
            <w:r w:rsidRPr="004F4BA7">
              <w:rPr>
                <w:bCs/>
                <w:lang w:eastAsia="en-GB"/>
              </w:rPr>
              <w:t>South Cambridge</w:t>
            </w:r>
          </w:p>
        </w:tc>
        <w:tc>
          <w:tcPr>
            <w:tcW w:w="1556" w:type="dxa"/>
            <w:hideMark/>
          </w:tcPr>
          <w:p w14:paraId="24EC6BA5"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£360,000</w:t>
            </w:r>
          </w:p>
        </w:tc>
        <w:tc>
          <w:tcPr>
            <w:tcW w:w="1557" w:type="dxa"/>
            <w:hideMark/>
          </w:tcPr>
          <w:p w14:paraId="1CEA5902"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£280,000</w:t>
            </w:r>
          </w:p>
        </w:tc>
        <w:tc>
          <w:tcPr>
            <w:tcW w:w="1556" w:type="dxa"/>
            <w:hideMark/>
          </w:tcPr>
          <w:p w14:paraId="656560D0"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£252,000</w:t>
            </w:r>
          </w:p>
        </w:tc>
        <w:tc>
          <w:tcPr>
            <w:tcW w:w="1557" w:type="dxa"/>
            <w:hideMark/>
          </w:tcPr>
          <w:p w14:paraId="7D400983"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£196,000</w:t>
            </w:r>
          </w:p>
        </w:tc>
      </w:tr>
      <w:tr w:rsidR="00E57512" w:rsidRPr="00E57512" w14:paraId="5DFC5CCA"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24C9150C" w14:textId="77777777" w:rsidR="00A13819" w:rsidRPr="004F4BA7" w:rsidRDefault="00A13819" w:rsidP="007D0FBF">
            <w:pPr>
              <w:keepNext/>
              <w:rPr>
                <w:bCs/>
                <w:lang w:eastAsia="en-GB"/>
              </w:rPr>
            </w:pPr>
            <w:r w:rsidRPr="004F4BA7">
              <w:rPr>
                <w:bCs/>
                <w:lang w:eastAsia="en-GB"/>
              </w:rPr>
              <w:t>West Suffolk</w:t>
            </w:r>
          </w:p>
        </w:tc>
        <w:tc>
          <w:tcPr>
            <w:tcW w:w="1556" w:type="dxa"/>
            <w:hideMark/>
          </w:tcPr>
          <w:p w14:paraId="51393058"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£251,000</w:t>
            </w:r>
          </w:p>
        </w:tc>
        <w:tc>
          <w:tcPr>
            <w:tcW w:w="1557" w:type="dxa"/>
            <w:hideMark/>
          </w:tcPr>
          <w:p w14:paraId="1A0088A5"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£198,000</w:t>
            </w:r>
          </w:p>
        </w:tc>
        <w:tc>
          <w:tcPr>
            <w:tcW w:w="1556" w:type="dxa"/>
            <w:hideMark/>
          </w:tcPr>
          <w:p w14:paraId="2186F244"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£175,700</w:t>
            </w:r>
          </w:p>
        </w:tc>
        <w:tc>
          <w:tcPr>
            <w:tcW w:w="1557" w:type="dxa"/>
            <w:hideMark/>
          </w:tcPr>
          <w:p w14:paraId="5108E9C0"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£138,600</w:t>
            </w:r>
          </w:p>
        </w:tc>
      </w:tr>
      <w:tr w:rsidR="00E57512" w:rsidRPr="00E57512" w14:paraId="12D1DCE2"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35809CC2" w14:textId="77777777" w:rsidR="00A13819" w:rsidRPr="003A75AB" w:rsidRDefault="00A13819" w:rsidP="007D0FBF">
            <w:pPr>
              <w:keepNext/>
              <w:rPr>
                <w:b/>
                <w:lang w:eastAsia="en-GB"/>
              </w:rPr>
            </w:pPr>
            <w:r w:rsidRPr="003A75AB">
              <w:rPr>
                <w:b/>
                <w:lang w:eastAsia="en-GB"/>
              </w:rPr>
              <w:t>HMA</w:t>
            </w:r>
          </w:p>
        </w:tc>
        <w:tc>
          <w:tcPr>
            <w:tcW w:w="1556" w:type="dxa"/>
            <w:hideMark/>
          </w:tcPr>
          <w:p w14:paraId="220A7D1E"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£297,000</w:t>
            </w:r>
          </w:p>
        </w:tc>
        <w:tc>
          <w:tcPr>
            <w:tcW w:w="1557" w:type="dxa"/>
            <w:hideMark/>
          </w:tcPr>
          <w:p w14:paraId="076EBC0C"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£210,000</w:t>
            </w:r>
          </w:p>
        </w:tc>
        <w:tc>
          <w:tcPr>
            <w:tcW w:w="1556" w:type="dxa"/>
            <w:hideMark/>
          </w:tcPr>
          <w:p w14:paraId="3E30CB29"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£207,900</w:t>
            </w:r>
          </w:p>
        </w:tc>
        <w:tc>
          <w:tcPr>
            <w:tcW w:w="1557" w:type="dxa"/>
            <w:hideMark/>
          </w:tcPr>
          <w:p w14:paraId="70EEC393"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£147,000</w:t>
            </w:r>
          </w:p>
        </w:tc>
      </w:tr>
      <w:tr w:rsidR="00E57512" w:rsidRPr="00E57512" w14:paraId="22D971E8"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181394F5" w14:textId="77777777" w:rsidR="00A13819" w:rsidRPr="004F4BA7" w:rsidRDefault="00A13819" w:rsidP="007D0FBF">
            <w:pPr>
              <w:keepNext/>
              <w:rPr>
                <w:bCs/>
                <w:lang w:eastAsia="en-GB"/>
              </w:rPr>
            </w:pPr>
            <w:r w:rsidRPr="004F4BA7">
              <w:rPr>
                <w:bCs/>
                <w:lang w:eastAsia="en-GB"/>
              </w:rPr>
              <w:t>Greater Cambridge</w:t>
            </w:r>
          </w:p>
        </w:tc>
        <w:tc>
          <w:tcPr>
            <w:tcW w:w="1556" w:type="dxa"/>
            <w:hideMark/>
          </w:tcPr>
          <w:p w14:paraId="42464017"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£286,500</w:t>
            </w:r>
          </w:p>
        </w:tc>
        <w:tc>
          <w:tcPr>
            <w:tcW w:w="1557" w:type="dxa"/>
            <w:hideMark/>
          </w:tcPr>
          <w:p w14:paraId="1C1577F7"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£210,000</w:t>
            </w:r>
          </w:p>
        </w:tc>
        <w:tc>
          <w:tcPr>
            <w:tcW w:w="1556" w:type="dxa"/>
            <w:hideMark/>
          </w:tcPr>
          <w:p w14:paraId="7EA80EC0"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£200,550</w:t>
            </w:r>
          </w:p>
        </w:tc>
        <w:tc>
          <w:tcPr>
            <w:tcW w:w="1557" w:type="dxa"/>
            <w:hideMark/>
          </w:tcPr>
          <w:p w14:paraId="104ADBA8"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£147,000</w:t>
            </w:r>
          </w:p>
        </w:tc>
      </w:tr>
      <w:tr w:rsidR="00E57512" w:rsidRPr="00E57512" w14:paraId="26CA90E3"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0AF39BC3" w14:textId="77777777" w:rsidR="00A13819" w:rsidRPr="004F4BA7" w:rsidRDefault="00A13819" w:rsidP="007D0FBF">
            <w:pPr>
              <w:keepNext/>
              <w:rPr>
                <w:bCs/>
                <w:lang w:eastAsia="en-GB"/>
              </w:rPr>
            </w:pPr>
            <w:r w:rsidRPr="004F4BA7">
              <w:rPr>
                <w:bCs/>
                <w:lang w:eastAsia="en-GB"/>
              </w:rPr>
              <w:t>East of England</w:t>
            </w:r>
          </w:p>
        </w:tc>
        <w:tc>
          <w:tcPr>
            <w:tcW w:w="1556" w:type="dxa"/>
            <w:hideMark/>
          </w:tcPr>
          <w:p w14:paraId="3EAB5072"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£282,500</w:t>
            </w:r>
          </w:p>
        </w:tc>
        <w:tc>
          <w:tcPr>
            <w:tcW w:w="1557" w:type="dxa"/>
            <w:hideMark/>
          </w:tcPr>
          <w:p w14:paraId="4D39FFA1"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£206,000</w:t>
            </w:r>
          </w:p>
        </w:tc>
        <w:tc>
          <w:tcPr>
            <w:tcW w:w="1556" w:type="dxa"/>
            <w:hideMark/>
          </w:tcPr>
          <w:p w14:paraId="451091A3"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£197,750</w:t>
            </w:r>
          </w:p>
        </w:tc>
        <w:tc>
          <w:tcPr>
            <w:tcW w:w="1557" w:type="dxa"/>
            <w:hideMark/>
          </w:tcPr>
          <w:p w14:paraId="27B0055D"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£144,200</w:t>
            </w:r>
          </w:p>
        </w:tc>
      </w:tr>
      <w:tr w:rsidR="00E57512" w:rsidRPr="00E57512" w14:paraId="67D48DCA" w14:textId="77777777" w:rsidTr="00E57512">
        <w:trPr>
          <w:trHeight w:val="313"/>
        </w:trPr>
        <w:tc>
          <w:tcPr>
            <w:cnfStyle w:val="001000000000" w:firstRow="0" w:lastRow="0" w:firstColumn="1" w:lastColumn="0" w:oddVBand="0" w:evenVBand="0" w:oddHBand="0" w:evenHBand="0" w:firstRowFirstColumn="0" w:firstRowLastColumn="0" w:lastRowFirstColumn="0" w:lastRowLastColumn="0"/>
            <w:tcW w:w="2191" w:type="dxa"/>
            <w:hideMark/>
          </w:tcPr>
          <w:p w14:paraId="44250E9C" w14:textId="77777777" w:rsidR="00A13819" w:rsidRPr="004F4BA7" w:rsidRDefault="00A13819" w:rsidP="007D0FBF">
            <w:pPr>
              <w:keepNext/>
              <w:rPr>
                <w:bCs/>
                <w:lang w:eastAsia="en-GB"/>
              </w:rPr>
            </w:pPr>
            <w:r w:rsidRPr="004F4BA7">
              <w:rPr>
                <w:bCs/>
                <w:lang w:eastAsia="en-GB"/>
              </w:rPr>
              <w:t>England</w:t>
            </w:r>
          </w:p>
        </w:tc>
        <w:tc>
          <w:tcPr>
            <w:tcW w:w="1556" w:type="dxa"/>
            <w:hideMark/>
          </w:tcPr>
          <w:p w14:paraId="5CAE4EB6"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£230,000</w:t>
            </w:r>
          </w:p>
        </w:tc>
        <w:tc>
          <w:tcPr>
            <w:tcW w:w="1557" w:type="dxa"/>
            <w:hideMark/>
          </w:tcPr>
          <w:p w14:paraId="260E865E"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£148,000</w:t>
            </w:r>
          </w:p>
        </w:tc>
        <w:tc>
          <w:tcPr>
            <w:tcW w:w="1556" w:type="dxa"/>
            <w:hideMark/>
          </w:tcPr>
          <w:p w14:paraId="16458D5B"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£161,000</w:t>
            </w:r>
          </w:p>
        </w:tc>
        <w:tc>
          <w:tcPr>
            <w:tcW w:w="1557" w:type="dxa"/>
            <w:hideMark/>
          </w:tcPr>
          <w:p w14:paraId="054CA14C" w14:textId="77777777" w:rsidR="00A13819" w:rsidRPr="00E57512" w:rsidRDefault="00A13819" w:rsidP="007D0FBF">
            <w:pPr>
              <w:keepNext/>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£103,600</w:t>
            </w:r>
          </w:p>
        </w:tc>
      </w:tr>
    </w:tbl>
    <w:p w14:paraId="60506C87" w14:textId="77777777" w:rsidR="00A13819" w:rsidRDefault="00A13819" w:rsidP="007D0FBF">
      <w:pPr>
        <w:pStyle w:val="11Bodytext"/>
        <w:numPr>
          <w:ilvl w:val="0"/>
          <w:numId w:val="0"/>
        </w:numPr>
        <w:spacing w:before="0" w:after="0" w:line="240" w:lineRule="auto"/>
        <w:ind w:left="794"/>
      </w:pPr>
      <w:r>
        <w:t>Source: Land Registry Price Paid, 2019</w:t>
      </w:r>
    </w:p>
    <w:p w14:paraId="08605156" w14:textId="14AD8687" w:rsidR="00A13819" w:rsidRDefault="00A13819" w:rsidP="007D0FBF">
      <w:pPr>
        <w:pStyle w:val="11Bodytext"/>
      </w:pPr>
      <w:r>
        <w:t xml:space="preserve">In order to afford a First Home based on the discounted average and lower quartile prices for the HMA a household would indicatively require an income of £41,580 and £29,400 to afford dwellings priced around the mean and lower quartile respectively. This calculation assumes </w:t>
      </w:r>
      <w:r w:rsidR="0062163C">
        <w:t>the household in question is able</w:t>
      </w:r>
      <w:r>
        <w:t xml:space="preserve"> to raise a 10% deposit and borrow to a 4.5 multiple of the household income. </w:t>
      </w:r>
    </w:p>
    <w:p w14:paraId="721CFEFF" w14:textId="77777777" w:rsidR="00A13819" w:rsidRDefault="00A13819" w:rsidP="007D0FBF">
      <w:pPr>
        <w:pStyle w:val="11Bodytext"/>
      </w:pPr>
      <w:r>
        <w:t xml:space="preserve">The table below sets out the required income for median and lower quartile properties after the 30% First Homes discount has been applied alongside the median and lower quartile income levels in each Local Authority. </w:t>
      </w:r>
    </w:p>
    <w:p w14:paraId="37617739" w14:textId="77777777" w:rsidR="004F4BA7" w:rsidRDefault="004F4BA7">
      <w:pPr>
        <w:spacing w:after="200"/>
        <w:rPr>
          <w:bCs/>
          <w:sz w:val="24"/>
          <w:szCs w:val="24"/>
        </w:rPr>
      </w:pPr>
      <w:r>
        <w:br w:type="page"/>
      </w:r>
    </w:p>
    <w:p w14:paraId="5D6F63A9" w14:textId="3F2CDE85" w:rsidR="00A13819" w:rsidRDefault="00A13819" w:rsidP="007D0FBF">
      <w:pPr>
        <w:pStyle w:val="11Bodytext"/>
      </w:pPr>
      <w:r>
        <w:lastRenderedPageBreak/>
        <w:t xml:space="preserve">As set out only Fenland, Huntingdonshire and West Suffolk have median incomes which exceed the requirement based on a 30% discount. This would suggest that First Homes would be an appropriate product in these areas with the 30% discount. </w:t>
      </w:r>
    </w:p>
    <w:p w14:paraId="154F414F" w14:textId="77777777" w:rsidR="00A13819" w:rsidRDefault="00A13819" w:rsidP="004F4BA7">
      <w:pPr>
        <w:pStyle w:val="Tableheading"/>
        <w:numPr>
          <w:ilvl w:val="0"/>
          <w:numId w:val="54"/>
        </w:numPr>
        <w:ind w:left="1843" w:hanging="1134"/>
      </w:pPr>
      <w:r>
        <w:t>Estimated income required for First Homes priced around the Median and Lower Quartile and Affordability Gaps for each local authority, 2019</w:t>
      </w:r>
    </w:p>
    <w:tbl>
      <w:tblPr>
        <w:tblStyle w:val="TableGridLight1"/>
        <w:tblW w:w="8634" w:type="dxa"/>
        <w:tblInd w:w="704" w:type="dxa"/>
        <w:tblLook w:val="04A0" w:firstRow="1" w:lastRow="0" w:firstColumn="1" w:lastColumn="0" w:noHBand="0" w:noVBand="1"/>
      </w:tblPr>
      <w:tblGrid>
        <w:gridCol w:w="1823"/>
        <w:gridCol w:w="1007"/>
        <w:gridCol w:w="1472"/>
        <w:gridCol w:w="928"/>
        <w:gridCol w:w="928"/>
        <w:gridCol w:w="1238"/>
        <w:gridCol w:w="1238"/>
      </w:tblGrid>
      <w:tr w:rsidR="00E57512" w:rsidRPr="00E57512" w14:paraId="650B77B7" w14:textId="77777777" w:rsidTr="004F4BA7">
        <w:trPr>
          <w:cnfStyle w:val="100000000000" w:firstRow="1" w:lastRow="0" w:firstColumn="0" w:lastColumn="0" w:oddVBand="0" w:evenVBand="0" w:oddHBand="0" w:evenHBand="0" w:firstRowFirstColumn="0" w:firstRowLastColumn="0" w:lastRowFirstColumn="0" w:lastRowLastColumn="0"/>
          <w:cantSplit/>
          <w:trHeight w:val="1410"/>
        </w:trPr>
        <w:tc>
          <w:tcPr>
            <w:cnfStyle w:val="001000000000" w:firstRow="0" w:lastRow="0" w:firstColumn="1" w:lastColumn="0" w:oddVBand="0" w:evenVBand="0" w:oddHBand="0" w:evenHBand="0" w:firstRowFirstColumn="0" w:firstRowLastColumn="0" w:lastRowFirstColumn="0" w:lastRowLastColumn="0"/>
            <w:tcW w:w="1843" w:type="dxa"/>
            <w:hideMark/>
          </w:tcPr>
          <w:p w14:paraId="1C89314B" w14:textId="77777777" w:rsidR="00A13819" w:rsidRPr="00E57512" w:rsidRDefault="00A13819" w:rsidP="001D508A">
            <w:pPr>
              <w:rPr>
                <w:lang w:eastAsia="en-GB"/>
              </w:rPr>
            </w:pPr>
            <w:r w:rsidRPr="00E57512">
              <w:rPr>
                <w:lang w:eastAsia="en-GB"/>
              </w:rPr>
              <w:t>Area </w:t>
            </w:r>
          </w:p>
        </w:tc>
        <w:tc>
          <w:tcPr>
            <w:tcW w:w="1007" w:type="dxa"/>
            <w:textDirection w:val="btLr"/>
            <w:hideMark/>
          </w:tcPr>
          <w:p w14:paraId="5634C98F" w14:textId="77777777" w:rsidR="00A13819" w:rsidRPr="00E57512" w:rsidRDefault="00A13819" w:rsidP="004F4BA7">
            <w:pPr>
              <w:ind w:left="113" w:right="113"/>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Income requirement (Median)</w:t>
            </w:r>
          </w:p>
        </w:tc>
        <w:tc>
          <w:tcPr>
            <w:tcW w:w="1472" w:type="dxa"/>
            <w:textDirection w:val="btLr"/>
            <w:hideMark/>
          </w:tcPr>
          <w:p w14:paraId="42255F72" w14:textId="77777777" w:rsidR="00A13819" w:rsidRPr="00E57512" w:rsidRDefault="00A13819" w:rsidP="004F4BA7">
            <w:pPr>
              <w:ind w:left="113" w:right="113"/>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Income Requirement (LQ)</w:t>
            </w:r>
          </w:p>
        </w:tc>
        <w:tc>
          <w:tcPr>
            <w:tcW w:w="918" w:type="dxa"/>
            <w:textDirection w:val="btLr"/>
            <w:hideMark/>
          </w:tcPr>
          <w:p w14:paraId="2ECB72DB" w14:textId="77777777" w:rsidR="00A13819" w:rsidRPr="00E57512" w:rsidRDefault="00A13819" w:rsidP="004F4BA7">
            <w:pPr>
              <w:ind w:left="113" w:right="113"/>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Median Incomes</w:t>
            </w:r>
          </w:p>
        </w:tc>
        <w:tc>
          <w:tcPr>
            <w:tcW w:w="918" w:type="dxa"/>
            <w:textDirection w:val="btLr"/>
            <w:hideMark/>
          </w:tcPr>
          <w:p w14:paraId="4E01F840" w14:textId="77777777" w:rsidR="00A13819" w:rsidRPr="00E57512" w:rsidRDefault="00A13819" w:rsidP="004F4BA7">
            <w:pPr>
              <w:ind w:left="113" w:right="113"/>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LQ Incomes</w:t>
            </w:r>
          </w:p>
        </w:tc>
        <w:tc>
          <w:tcPr>
            <w:tcW w:w="1238" w:type="dxa"/>
            <w:textDirection w:val="btLr"/>
            <w:hideMark/>
          </w:tcPr>
          <w:p w14:paraId="3C9D8E09" w14:textId="77777777" w:rsidR="00A13819" w:rsidRPr="00E57512" w:rsidRDefault="00A13819" w:rsidP="004F4BA7">
            <w:pPr>
              <w:ind w:left="113" w:right="113"/>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Median Affordability Gap</w:t>
            </w:r>
          </w:p>
        </w:tc>
        <w:tc>
          <w:tcPr>
            <w:tcW w:w="1238" w:type="dxa"/>
            <w:textDirection w:val="btLr"/>
            <w:hideMark/>
          </w:tcPr>
          <w:p w14:paraId="035EC07F" w14:textId="77777777" w:rsidR="00A13819" w:rsidRPr="00E57512" w:rsidRDefault="00A13819" w:rsidP="004F4BA7">
            <w:pPr>
              <w:ind w:left="113" w:right="113"/>
              <w:cnfStyle w:val="100000000000" w:firstRow="1" w:lastRow="0" w:firstColumn="0" w:lastColumn="0" w:oddVBand="0" w:evenVBand="0" w:oddHBand="0" w:evenHBand="0" w:firstRowFirstColumn="0" w:firstRowLastColumn="0" w:lastRowFirstColumn="0" w:lastRowLastColumn="0"/>
              <w:rPr>
                <w:lang w:eastAsia="en-GB"/>
              </w:rPr>
            </w:pPr>
            <w:r w:rsidRPr="00E57512">
              <w:rPr>
                <w:lang w:eastAsia="en-GB"/>
              </w:rPr>
              <w:t>LQ Affordability Gap</w:t>
            </w:r>
          </w:p>
        </w:tc>
      </w:tr>
      <w:tr w:rsidR="00E57512" w:rsidRPr="00E57512" w14:paraId="34464CAD"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03FC8E70" w14:textId="77777777" w:rsidR="00A13819" w:rsidRPr="004F4BA7" w:rsidRDefault="00A13819" w:rsidP="001D508A">
            <w:pPr>
              <w:rPr>
                <w:bCs/>
                <w:lang w:eastAsia="en-GB"/>
              </w:rPr>
            </w:pPr>
            <w:r w:rsidRPr="004F4BA7">
              <w:rPr>
                <w:bCs/>
                <w:lang w:eastAsia="en-GB"/>
              </w:rPr>
              <w:t>Cambridge</w:t>
            </w:r>
          </w:p>
        </w:tc>
        <w:tc>
          <w:tcPr>
            <w:tcW w:w="1007" w:type="dxa"/>
            <w:noWrap/>
            <w:hideMark/>
          </w:tcPr>
          <w:p w14:paraId="0AF101D5"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£61,600</w:t>
            </w:r>
          </w:p>
        </w:tc>
        <w:tc>
          <w:tcPr>
            <w:tcW w:w="1472" w:type="dxa"/>
            <w:noWrap/>
            <w:hideMark/>
          </w:tcPr>
          <w:p w14:paraId="5AE0031F"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£47,140</w:t>
            </w:r>
          </w:p>
        </w:tc>
        <w:tc>
          <w:tcPr>
            <w:tcW w:w="918" w:type="dxa"/>
            <w:hideMark/>
          </w:tcPr>
          <w:p w14:paraId="5EE4A5AF"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£43,900</w:t>
            </w:r>
          </w:p>
        </w:tc>
        <w:tc>
          <w:tcPr>
            <w:tcW w:w="918" w:type="dxa"/>
            <w:hideMark/>
          </w:tcPr>
          <w:p w14:paraId="04B51A39"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£25,400</w:t>
            </w:r>
          </w:p>
        </w:tc>
        <w:tc>
          <w:tcPr>
            <w:tcW w:w="1238" w:type="dxa"/>
            <w:noWrap/>
            <w:hideMark/>
          </w:tcPr>
          <w:p w14:paraId="32BBA28C"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£17,700</w:t>
            </w:r>
          </w:p>
        </w:tc>
        <w:tc>
          <w:tcPr>
            <w:tcW w:w="1238" w:type="dxa"/>
            <w:noWrap/>
            <w:hideMark/>
          </w:tcPr>
          <w:p w14:paraId="6357A448"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£21,740</w:t>
            </w:r>
          </w:p>
        </w:tc>
      </w:tr>
      <w:tr w:rsidR="00E57512" w:rsidRPr="00E57512" w14:paraId="2A41E3FF"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07F85F9E" w14:textId="77777777" w:rsidR="00A13819" w:rsidRPr="004F4BA7" w:rsidRDefault="00A13819" w:rsidP="001D508A">
            <w:pPr>
              <w:rPr>
                <w:bCs/>
                <w:lang w:eastAsia="en-GB"/>
              </w:rPr>
            </w:pPr>
            <w:r w:rsidRPr="004F4BA7">
              <w:rPr>
                <w:bCs/>
                <w:lang w:eastAsia="en-GB"/>
              </w:rPr>
              <w:t>East Cambridge</w:t>
            </w:r>
          </w:p>
        </w:tc>
        <w:tc>
          <w:tcPr>
            <w:tcW w:w="1007" w:type="dxa"/>
            <w:noWrap/>
            <w:hideMark/>
          </w:tcPr>
          <w:p w14:paraId="5E78F0E9"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£40,740</w:t>
            </w:r>
          </w:p>
        </w:tc>
        <w:tc>
          <w:tcPr>
            <w:tcW w:w="1472" w:type="dxa"/>
            <w:noWrap/>
            <w:hideMark/>
          </w:tcPr>
          <w:p w14:paraId="60BF038B"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£30,800</w:t>
            </w:r>
          </w:p>
        </w:tc>
        <w:tc>
          <w:tcPr>
            <w:tcW w:w="918" w:type="dxa"/>
            <w:hideMark/>
          </w:tcPr>
          <w:p w14:paraId="1AF7D0BA"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£39,300</w:t>
            </w:r>
          </w:p>
        </w:tc>
        <w:tc>
          <w:tcPr>
            <w:tcW w:w="918" w:type="dxa"/>
            <w:hideMark/>
          </w:tcPr>
          <w:p w14:paraId="300F3242"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£22,800</w:t>
            </w:r>
          </w:p>
        </w:tc>
        <w:tc>
          <w:tcPr>
            <w:tcW w:w="1238" w:type="dxa"/>
            <w:noWrap/>
            <w:hideMark/>
          </w:tcPr>
          <w:p w14:paraId="5207DAC7"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£1,440</w:t>
            </w:r>
          </w:p>
        </w:tc>
        <w:tc>
          <w:tcPr>
            <w:tcW w:w="1238" w:type="dxa"/>
            <w:noWrap/>
            <w:hideMark/>
          </w:tcPr>
          <w:p w14:paraId="1260E51A"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£8,000</w:t>
            </w:r>
          </w:p>
        </w:tc>
      </w:tr>
      <w:tr w:rsidR="00E57512" w:rsidRPr="00E57512" w14:paraId="45AB1746"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3CD48767" w14:textId="77777777" w:rsidR="00A13819" w:rsidRPr="004F4BA7" w:rsidRDefault="00A13819" w:rsidP="001D508A">
            <w:pPr>
              <w:rPr>
                <w:bCs/>
                <w:lang w:eastAsia="en-GB"/>
              </w:rPr>
            </w:pPr>
            <w:r w:rsidRPr="004F4BA7">
              <w:rPr>
                <w:bCs/>
                <w:lang w:eastAsia="en-GB"/>
              </w:rPr>
              <w:t>Fenland</w:t>
            </w:r>
          </w:p>
        </w:tc>
        <w:tc>
          <w:tcPr>
            <w:tcW w:w="1007" w:type="dxa"/>
            <w:noWrap/>
            <w:hideMark/>
          </w:tcPr>
          <w:p w14:paraId="405B451F"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£25,760</w:t>
            </w:r>
          </w:p>
        </w:tc>
        <w:tc>
          <w:tcPr>
            <w:tcW w:w="1472" w:type="dxa"/>
            <w:noWrap/>
            <w:hideMark/>
          </w:tcPr>
          <w:p w14:paraId="087793C7"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£20,545</w:t>
            </w:r>
          </w:p>
        </w:tc>
        <w:tc>
          <w:tcPr>
            <w:tcW w:w="918" w:type="dxa"/>
            <w:hideMark/>
          </w:tcPr>
          <w:p w14:paraId="6E6CE0C7"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£31,500</w:t>
            </w:r>
          </w:p>
        </w:tc>
        <w:tc>
          <w:tcPr>
            <w:tcW w:w="918" w:type="dxa"/>
            <w:hideMark/>
          </w:tcPr>
          <w:p w14:paraId="61F827EE"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£18,200</w:t>
            </w:r>
          </w:p>
        </w:tc>
        <w:tc>
          <w:tcPr>
            <w:tcW w:w="1238" w:type="dxa"/>
            <w:noWrap/>
            <w:hideMark/>
          </w:tcPr>
          <w:p w14:paraId="0820B632"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-£5,740</w:t>
            </w:r>
          </w:p>
        </w:tc>
        <w:tc>
          <w:tcPr>
            <w:tcW w:w="1238" w:type="dxa"/>
            <w:noWrap/>
            <w:hideMark/>
          </w:tcPr>
          <w:p w14:paraId="69FA62BF"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£2,345</w:t>
            </w:r>
          </w:p>
        </w:tc>
      </w:tr>
      <w:tr w:rsidR="00E57512" w:rsidRPr="00E57512" w14:paraId="6F9D44FB"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4FA8A2C2" w14:textId="77777777" w:rsidR="00A13819" w:rsidRPr="004F4BA7" w:rsidRDefault="00A13819" w:rsidP="001D508A">
            <w:pPr>
              <w:rPr>
                <w:bCs/>
                <w:lang w:eastAsia="en-GB"/>
              </w:rPr>
            </w:pPr>
            <w:r w:rsidRPr="004F4BA7">
              <w:rPr>
                <w:bCs/>
                <w:lang w:eastAsia="en-GB"/>
              </w:rPr>
              <w:t>Huntingdonshire</w:t>
            </w:r>
          </w:p>
        </w:tc>
        <w:tc>
          <w:tcPr>
            <w:tcW w:w="1007" w:type="dxa"/>
            <w:noWrap/>
            <w:hideMark/>
          </w:tcPr>
          <w:p w14:paraId="1378CD83"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£38,500</w:t>
            </w:r>
          </w:p>
        </w:tc>
        <w:tc>
          <w:tcPr>
            <w:tcW w:w="1472" w:type="dxa"/>
            <w:noWrap/>
            <w:hideMark/>
          </w:tcPr>
          <w:p w14:paraId="1C70D6AF"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£29,400</w:t>
            </w:r>
          </w:p>
        </w:tc>
        <w:tc>
          <w:tcPr>
            <w:tcW w:w="918" w:type="dxa"/>
            <w:hideMark/>
          </w:tcPr>
          <w:p w14:paraId="2FE8C4FA"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£40,800</w:t>
            </w:r>
          </w:p>
        </w:tc>
        <w:tc>
          <w:tcPr>
            <w:tcW w:w="918" w:type="dxa"/>
            <w:hideMark/>
          </w:tcPr>
          <w:p w14:paraId="0FD976A7"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£23,600</w:t>
            </w:r>
          </w:p>
        </w:tc>
        <w:tc>
          <w:tcPr>
            <w:tcW w:w="1238" w:type="dxa"/>
            <w:noWrap/>
            <w:hideMark/>
          </w:tcPr>
          <w:p w14:paraId="24A99141"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-£2,300</w:t>
            </w:r>
          </w:p>
        </w:tc>
        <w:tc>
          <w:tcPr>
            <w:tcW w:w="1238" w:type="dxa"/>
            <w:noWrap/>
            <w:hideMark/>
          </w:tcPr>
          <w:p w14:paraId="18362104"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£5,800</w:t>
            </w:r>
          </w:p>
        </w:tc>
      </w:tr>
      <w:tr w:rsidR="00E57512" w:rsidRPr="00E57512" w14:paraId="6328EEB9"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7F6C49AA" w14:textId="77777777" w:rsidR="00A13819" w:rsidRPr="004F4BA7" w:rsidRDefault="00A13819" w:rsidP="001D508A">
            <w:pPr>
              <w:rPr>
                <w:bCs/>
                <w:lang w:eastAsia="en-GB"/>
              </w:rPr>
            </w:pPr>
            <w:r w:rsidRPr="004F4BA7">
              <w:rPr>
                <w:bCs/>
                <w:lang w:eastAsia="en-GB"/>
              </w:rPr>
              <w:t>South Cambridge</w:t>
            </w:r>
          </w:p>
        </w:tc>
        <w:tc>
          <w:tcPr>
            <w:tcW w:w="1007" w:type="dxa"/>
            <w:noWrap/>
            <w:hideMark/>
          </w:tcPr>
          <w:p w14:paraId="785301F4"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£50,400</w:t>
            </w:r>
          </w:p>
        </w:tc>
        <w:tc>
          <w:tcPr>
            <w:tcW w:w="1472" w:type="dxa"/>
            <w:noWrap/>
            <w:hideMark/>
          </w:tcPr>
          <w:p w14:paraId="237EEFF1"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£39,200</w:t>
            </w:r>
          </w:p>
        </w:tc>
        <w:tc>
          <w:tcPr>
            <w:tcW w:w="918" w:type="dxa"/>
            <w:hideMark/>
          </w:tcPr>
          <w:p w14:paraId="57C7C598"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£46,800</w:t>
            </w:r>
          </w:p>
        </w:tc>
        <w:tc>
          <w:tcPr>
            <w:tcW w:w="918" w:type="dxa"/>
            <w:hideMark/>
          </w:tcPr>
          <w:p w14:paraId="25F43847"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£27,100</w:t>
            </w:r>
          </w:p>
        </w:tc>
        <w:tc>
          <w:tcPr>
            <w:tcW w:w="1238" w:type="dxa"/>
            <w:noWrap/>
            <w:hideMark/>
          </w:tcPr>
          <w:p w14:paraId="251FD064"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£3,600</w:t>
            </w:r>
          </w:p>
        </w:tc>
        <w:tc>
          <w:tcPr>
            <w:tcW w:w="1238" w:type="dxa"/>
            <w:noWrap/>
            <w:hideMark/>
          </w:tcPr>
          <w:p w14:paraId="508A4293"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£12,100</w:t>
            </w:r>
          </w:p>
        </w:tc>
      </w:tr>
      <w:tr w:rsidR="00E57512" w:rsidRPr="00E57512" w14:paraId="3CA339B9"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345B0992" w14:textId="77777777" w:rsidR="00A13819" w:rsidRPr="004F4BA7" w:rsidRDefault="00A13819" w:rsidP="001D508A">
            <w:pPr>
              <w:rPr>
                <w:bCs/>
                <w:lang w:eastAsia="en-GB"/>
              </w:rPr>
            </w:pPr>
            <w:r w:rsidRPr="004F4BA7">
              <w:rPr>
                <w:bCs/>
                <w:lang w:eastAsia="en-GB"/>
              </w:rPr>
              <w:t>West Suffolk</w:t>
            </w:r>
          </w:p>
        </w:tc>
        <w:tc>
          <w:tcPr>
            <w:tcW w:w="1007" w:type="dxa"/>
            <w:noWrap/>
            <w:hideMark/>
          </w:tcPr>
          <w:p w14:paraId="238B0221"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£35,140</w:t>
            </w:r>
          </w:p>
        </w:tc>
        <w:tc>
          <w:tcPr>
            <w:tcW w:w="1472" w:type="dxa"/>
            <w:noWrap/>
            <w:hideMark/>
          </w:tcPr>
          <w:p w14:paraId="26DD6888"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£27,720</w:t>
            </w:r>
          </w:p>
        </w:tc>
        <w:tc>
          <w:tcPr>
            <w:tcW w:w="918" w:type="dxa"/>
            <w:hideMark/>
          </w:tcPr>
          <w:p w14:paraId="16FFFA42"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£37,100</w:t>
            </w:r>
          </w:p>
        </w:tc>
        <w:tc>
          <w:tcPr>
            <w:tcW w:w="918" w:type="dxa"/>
            <w:hideMark/>
          </w:tcPr>
          <w:p w14:paraId="75306913"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£21,400</w:t>
            </w:r>
          </w:p>
        </w:tc>
        <w:tc>
          <w:tcPr>
            <w:tcW w:w="1238" w:type="dxa"/>
            <w:noWrap/>
            <w:hideMark/>
          </w:tcPr>
          <w:p w14:paraId="5D3BF975"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-£1,960</w:t>
            </w:r>
          </w:p>
        </w:tc>
        <w:tc>
          <w:tcPr>
            <w:tcW w:w="1238" w:type="dxa"/>
            <w:noWrap/>
            <w:hideMark/>
          </w:tcPr>
          <w:p w14:paraId="60DDEB92"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lang w:eastAsia="en-GB"/>
              </w:rPr>
            </w:pPr>
            <w:r w:rsidRPr="00E57512">
              <w:rPr>
                <w:lang w:eastAsia="en-GB"/>
              </w:rPr>
              <w:t>£6,320</w:t>
            </w:r>
          </w:p>
        </w:tc>
      </w:tr>
      <w:tr w:rsidR="00E57512" w:rsidRPr="00E57512" w14:paraId="5EE66301"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843" w:type="dxa"/>
            <w:hideMark/>
          </w:tcPr>
          <w:p w14:paraId="5CEA4772" w14:textId="77777777" w:rsidR="00A13819" w:rsidRPr="00E57512" w:rsidRDefault="00A13819" w:rsidP="001D508A">
            <w:pPr>
              <w:rPr>
                <w:b/>
                <w:lang w:eastAsia="en-GB"/>
              </w:rPr>
            </w:pPr>
            <w:r w:rsidRPr="00E57512">
              <w:rPr>
                <w:b/>
                <w:lang w:eastAsia="en-GB"/>
              </w:rPr>
              <w:t>HMA</w:t>
            </w:r>
          </w:p>
        </w:tc>
        <w:tc>
          <w:tcPr>
            <w:tcW w:w="1007" w:type="dxa"/>
            <w:noWrap/>
            <w:hideMark/>
          </w:tcPr>
          <w:p w14:paraId="22C3C711"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£41,580</w:t>
            </w:r>
          </w:p>
        </w:tc>
        <w:tc>
          <w:tcPr>
            <w:tcW w:w="1472" w:type="dxa"/>
            <w:noWrap/>
            <w:hideMark/>
          </w:tcPr>
          <w:p w14:paraId="4BB8AB2C"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£29,400</w:t>
            </w:r>
          </w:p>
        </w:tc>
        <w:tc>
          <w:tcPr>
            <w:tcW w:w="918" w:type="dxa"/>
            <w:hideMark/>
          </w:tcPr>
          <w:p w14:paraId="068B8237"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£39,900</w:t>
            </w:r>
          </w:p>
        </w:tc>
        <w:tc>
          <w:tcPr>
            <w:tcW w:w="918" w:type="dxa"/>
            <w:hideMark/>
          </w:tcPr>
          <w:p w14:paraId="310F398B"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£23,100</w:t>
            </w:r>
          </w:p>
        </w:tc>
        <w:tc>
          <w:tcPr>
            <w:tcW w:w="1238" w:type="dxa"/>
            <w:noWrap/>
            <w:hideMark/>
          </w:tcPr>
          <w:p w14:paraId="301F60DD"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£1,680</w:t>
            </w:r>
          </w:p>
        </w:tc>
        <w:tc>
          <w:tcPr>
            <w:tcW w:w="1238" w:type="dxa"/>
            <w:noWrap/>
            <w:hideMark/>
          </w:tcPr>
          <w:p w14:paraId="3ED3D02F" w14:textId="77777777" w:rsidR="00A13819" w:rsidRPr="00E57512" w:rsidRDefault="00A13819" w:rsidP="001D508A">
            <w:pPr>
              <w:cnfStyle w:val="000000000000" w:firstRow="0" w:lastRow="0" w:firstColumn="0" w:lastColumn="0" w:oddVBand="0" w:evenVBand="0" w:oddHBand="0" w:evenHBand="0" w:firstRowFirstColumn="0" w:firstRowLastColumn="0" w:lastRowFirstColumn="0" w:lastRowLastColumn="0"/>
              <w:rPr>
                <w:b/>
                <w:bCs/>
                <w:lang w:eastAsia="en-GB"/>
              </w:rPr>
            </w:pPr>
            <w:r w:rsidRPr="00E57512">
              <w:rPr>
                <w:b/>
                <w:bCs/>
                <w:lang w:eastAsia="en-GB"/>
              </w:rPr>
              <w:t>£6,300</w:t>
            </w:r>
          </w:p>
        </w:tc>
      </w:tr>
    </w:tbl>
    <w:p w14:paraId="47710597" w14:textId="77777777" w:rsidR="00A13819" w:rsidRPr="007D0FBF" w:rsidRDefault="00A13819" w:rsidP="00A13819">
      <w:pPr>
        <w:pStyle w:val="BodyText"/>
        <w:tabs>
          <w:tab w:val="clear" w:pos="0"/>
          <w:tab w:val="left" w:pos="720"/>
        </w:tabs>
        <w:spacing w:after="120"/>
        <w:ind w:left="794" w:firstLine="0"/>
        <w:rPr>
          <w:rFonts w:ascii="Arial" w:hAnsi="Arial" w:cs="Arial"/>
          <w:sz w:val="24"/>
          <w:szCs w:val="24"/>
        </w:rPr>
      </w:pPr>
      <w:r w:rsidRPr="007D0FBF">
        <w:rPr>
          <w:rFonts w:ascii="Arial" w:hAnsi="Arial" w:cs="Arial"/>
          <w:sz w:val="24"/>
          <w:szCs w:val="24"/>
        </w:rPr>
        <w:t>Source: ONS Modelled Income Estimates, EHS, and ASHE</w:t>
      </w:r>
    </w:p>
    <w:p w14:paraId="4BFF8BC6" w14:textId="7238849B" w:rsidR="00874B49" w:rsidRPr="00C35AB4" w:rsidRDefault="00A13819" w:rsidP="007D0FBF">
      <w:pPr>
        <w:pStyle w:val="11Bodytext"/>
      </w:pPr>
      <w:r>
        <w:t xml:space="preserve">In Cambridge, South </w:t>
      </w:r>
      <w:proofErr w:type="gramStart"/>
      <w:r>
        <w:t>Cambridgeshire</w:t>
      </w:r>
      <w:proofErr w:type="gramEnd"/>
      <w:r>
        <w:t xml:space="preserve"> and East Cambridgeshire the cost of first homes is likely to require a greater discount than 30% in order for them to be affordable to those households on a median income. This is particularly the case in Cambridge where the difference between required and known incomes is £17,700.</w:t>
      </w:r>
    </w:p>
    <w:p w14:paraId="57C2E886" w14:textId="19804CF7" w:rsidR="00315EFC" w:rsidRDefault="00315EFC">
      <w:pPr>
        <w:spacing w:after="200"/>
        <w:rPr>
          <w:szCs w:val="18"/>
        </w:rPr>
      </w:pPr>
      <w:bookmarkStart w:id="24" w:name="_Toc38027356"/>
      <w:bookmarkStart w:id="25" w:name="_Toc31192097"/>
      <w:r>
        <w:rPr>
          <w:noProof/>
          <w:lang w:eastAsia="en-GB"/>
        </w:rPr>
        <w:lastRenderedPageBreak/>
        <mc:AlternateContent>
          <mc:Choice Requires="wps">
            <w:drawing>
              <wp:inline distT="0" distB="0" distL="0" distR="0" wp14:anchorId="6A155D18" wp14:editId="2FA7381D">
                <wp:extent cx="6298387" cy="8163764"/>
                <wp:effectExtent l="0" t="0" r="2667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387" cy="8163764"/>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2CA7FDB" w14:textId="77777777" w:rsidR="00263CDB" w:rsidRPr="00C35AB4" w:rsidRDefault="00263CDB" w:rsidP="00315EFC">
                            <w:pPr>
                              <w:keepNext/>
                              <w:spacing w:line="228" w:lineRule="auto"/>
                              <w:ind w:left="284"/>
                              <w:rPr>
                                <w:b/>
                              </w:rPr>
                            </w:pPr>
                            <w:r w:rsidRPr="00C35AB4">
                              <w:rPr>
                                <w:b/>
                              </w:rPr>
                              <w:t>Affordable Housing Need: Key Messages</w:t>
                            </w:r>
                          </w:p>
                          <w:p w14:paraId="2D97B4EC" w14:textId="77777777" w:rsidR="00263CDB" w:rsidRPr="00C35AB4" w:rsidRDefault="00263CDB" w:rsidP="00315EFC">
                            <w:pPr>
                              <w:keepNext/>
                              <w:spacing w:line="228" w:lineRule="auto"/>
                              <w:ind w:left="284" w:hanging="720"/>
                            </w:pPr>
                          </w:p>
                          <w:p w14:paraId="30049CB3" w14:textId="77777777" w:rsidR="00263CDB" w:rsidRPr="0035381F" w:rsidRDefault="00263CDB" w:rsidP="00097650">
                            <w:pPr>
                              <w:pStyle w:val="10BulletBodytext"/>
                              <w:rPr>
                                <w:rFonts w:ascii="Arial Narrow" w:hAnsi="Arial Narrow"/>
                              </w:rPr>
                            </w:pPr>
                            <w:r w:rsidRPr="0035381F">
                              <w:rPr>
                                <w:rFonts w:ascii="Arial Narrow" w:hAnsi="Arial Narrow"/>
                              </w:rPr>
                              <w:t>Analysis has been undertaken to estimate the need for affordable housing in the 2020-40 period. The analysis is split between a need for social/affordable rented accommodation and for affordable home ownership products.</w:t>
                            </w:r>
                          </w:p>
                          <w:p w14:paraId="5B8DE6F3" w14:textId="77777777" w:rsidR="00263CDB" w:rsidRPr="0035381F" w:rsidRDefault="00263CDB" w:rsidP="00097650">
                            <w:pPr>
                              <w:pStyle w:val="10BulletBodytext"/>
                              <w:rPr>
                                <w:rFonts w:ascii="Arial Narrow" w:hAnsi="Arial Narrow"/>
                              </w:rPr>
                            </w:pPr>
                            <w:r w:rsidRPr="0035381F">
                              <w:rPr>
                                <w:rFonts w:ascii="Arial Narrow" w:hAnsi="Arial Narrow"/>
                              </w:rPr>
                              <w:t xml:space="preserve">The analysis has taken account of local housing costs, household income and the supply of social/affordable dwellings and low cost for sale homes. </w:t>
                            </w:r>
                          </w:p>
                          <w:p w14:paraId="0A80437F" w14:textId="77777777" w:rsidR="00263CDB" w:rsidRPr="0035381F" w:rsidRDefault="00263CDB" w:rsidP="00097650">
                            <w:pPr>
                              <w:pStyle w:val="10BulletBodytext"/>
                              <w:rPr>
                                <w:rFonts w:ascii="Arial Narrow" w:hAnsi="Arial Narrow"/>
                              </w:rPr>
                            </w:pPr>
                            <w:r w:rsidRPr="0035381F">
                              <w:rPr>
                                <w:rFonts w:ascii="Arial Narrow" w:hAnsi="Arial Narrow"/>
                              </w:rPr>
                              <w:t>When looking at rented needs, the analysis suggests a need for 2,066 affordable homes per annum across the HMA. This is disaggregated to individual local authority areas in the table below. Therefore, the Councils would be justified in seeking to secure additional affordable housing.</w:t>
                            </w:r>
                          </w:p>
                          <w:tbl>
                            <w:tblPr>
                              <w:tblStyle w:val="TableGridLight1"/>
                              <w:tblW w:w="8300" w:type="dxa"/>
                              <w:tblInd w:w="734" w:type="dxa"/>
                              <w:tblLook w:val="04A0" w:firstRow="1" w:lastRow="0" w:firstColumn="1" w:lastColumn="0" w:noHBand="0" w:noVBand="1"/>
                            </w:tblPr>
                            <w:tblGrid>
                              <w:gridCol w:w="1528"/>
                              <w:gridCol w:w="1226"/>
                              <w:gridCol w:w="1144"/>
                              <w:gridCol w:w="1036"/>
                              <w:gridCol w:w="1211"/>
                              <w:gridCol w:w="1162"/>
                              <w:gridCol w:w="993"/>
                            </w:tblGrid>
                            <w:tr w:rsidR="00263CDB" w:rsidRPr="005269E1" w14:paraId="114F6A21" w14:textId="77777777" w:rsidTr="007D0FB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28" w:type="dxa"/>
                                  <w:hideMark/>
                                </w:tcPr>
                                <w:p w14:paraId="1AE90812" w14:textId="77777777" w:rsidR="00263CDB" w:rsidRPr="005269E1" w:rsidRDefault="00263CDB" w:rsidP="005269E1">
                                  <w:pPr>
                                    <w:ind w:left="284"/>
                                    <w:rPr>
                                      <w:lang w:eastAsia="en-GB"/>
                                    </w:rPr>
                                  </w:pPr>
                                  <w:r w:rsidRPr="005269E1">
                                    <w:rPr>
                                      <w:lang w:eastAsia="en-GB"/>
                                    </w:rPr>
                                    <w:t>Cambridge</w:t>
                                  </w:r>
                                </w:p>
                              </w:tc>
                              <w:tc>
                                <w:tcPr>
                                  <w:tcW w:w="1226" w:type="dxa"/>
                                  <w:hideMark/>
                                </w:tcPr>
                                <w:p w14:paraId="78E7489E"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East Cambs</w:t>
                                  </w:r>
                                </w:p>
                              </w:tc>
                              <w:tc>
                                <w:tcPr>
                                  <w:tcW w:w="1144" w:type="dxa"/>
                                  <w:hideMark/>
                                </w:tcPr>
                                <w:p w14:paraId="5BD9CA6F"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Fenland</w:t>
                                  </w:r>
                                </w:p>
                              </w:tc>
                              <w:tc>
                                <w:tcPr>
                                  <w:tcW w:w="1036" w:type="dxa"/>
                                  <w:hideMark/>
                                </w:tcPr>
                                <w:p w14:paraId="4D37FA09"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Hunts</w:t>
                                  </w:r>
                                </w:p>
                              </w:tc>
                              <w:tc>
                                <w:tcPr>
                                  <w:tcW w:w="1211" w:type="dxa"/>
                                  <w:hideMark/>
                                </w:tcPr>
                                <w:p w14:paraId="778012D1" w14:textId="77777777" w:rsidR="00263CDB" w:rsidRPr="005269E1" w:rsidRDefault="00263CDB" w:rsidP="005269E1">
                                  <w:pPr>
                                    <w:ind w:left="12"/>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South Cambs</w:t>
                                  </w:r>
                                </w:p>
                              </w:tc>
                              <w:tc>
                                <w:tcPr>
                                  <w:tcW w:w="1162" w:type="dxa"/>
                                  <w:hideMark/>
                                </w:tcPr>
                                <w:p w14:paraId="075EDD2E"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West Suffolk</w:t>
                                  </w:r>
                                </w:p>
                              </w:tc>
                              <w:tc>
                                <w:tcPr>
                                  <w:tcW w:w="993" w:type="dxa"/>
                                  <w:hideMark/>
                                </w:tcPr>
                                <w:p w14:paraId="5D57EDEC"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HMA</w:t>
                                  </w:r>
                                </w:p>
                              </w:tc>
                            </w:tr>
                            <w:tr w:rsidR="00263CDB" w:rsidRPr="005269E1" w14:paraId="00C191F0" w14:textId="77777777" w:rsidTr="007D0FBF">
                              <w:trPr>
                                <w:trHeight w:val="315"/>
                              </w:trPr>
                              <w:tc>
                                <w:tcPr>
                                  <w:cnfStyle w:val="001000000000" w:firstRow="0" w:lastRow="0" w:firstColumn="1" w:lastColumn="0" w:oddVBand="0" w:evenVBand="0" w:oddHBand="0" w:evenHBand="0" w:firstRowFirstColumn="0" w:firstRowLastColumn="0" w:lastRowFirstColumn="0" w:lastRowLastColumn="0"/>
                                  <w:tcW w:w="1528" w:type="dxa"/>
                                  <w:hideMark/>
                                </w:tcPr>
                                <w:p w14:paraId="2EA71CFA" w14:textId="77777777" w:rsidR="00263CDB" w:rsidRPr="005269E1" w:rsidRDefault="00263CDB" w:rsidP="005269E1">
                                  <w:pPr>
                                    <w:ind w:left="284"/>
                                    <w:jc w:val="center"/>
                                    <w:rPr>
                                      <w:lang w:eastAsia="en-GB"/>
                                    </w:rPr>
                                  </w:pPr>
                                  <w:r w:rsidRPr="005269E1">
                                    <w:rPr>
                                      <w:lang w:eastAsia="en-GB"/>
                                    </w:rPr>
                                    <w:t>314</w:t>
                                  </w:r>
                                </w:p>
                              </w:tc>
                              <w:tc>
                                <w:tcPr>
                                  <w:tcW w:w="1226" w:type="dxa"/>
                                  <w:hideMark/>
                                </w:tcPr>
                                <w:p w14:paraId="5C0F6402"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215</w:t>
                                  </w:r>
                                </w:p>
                              </w:tc>
                              <w:tc>
                                <w:tcPr>
                                  <w:tcW w:w="1144" w:type="dxa"/>
                                  <w:hideMark/>
                                </w:tcPr>
                                <w:p w14:paraId="557C7B9D"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289</w:t>
                                  </w:r>
                                </w:p>
                              </w:tc>
                              <w:tc>
                                <w:tcPr>
                                  <w:tcW w:w="1036" w:type="dxa"/>
                                  <w:hideMark/>
                                </w:tcPr>
                                <w:p w14:paraId="239F1C8A"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404</w:t>
                                  </w:r>
                                </w:p>
                              </w:tc>
                              <w:tc>
                                <w:tcPr>
                                  <w:tcW w:w="1211" w:type="dxa"/>
                                  <w:hideMark/>
                                </w:tcPr>
                                <w:p w14:paraId="2A16A031"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435</w:t>
                                  </w:r>
                                </w:p>
                              </w:tc>
                              <w:tc>
                                <w:tcPr>
                                  <w:tcW w:w="1162" w:type="dxa"/>
                                  <w:hideMark/>
                                </w:tcPr>
                                <w:p w14:paraId="410C4B45"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409</w:t>
                                  </w:r>
                                </w:p>
                              </w:tc>
                              <w:tc>
                                <w:tcPr>
                                  <w:tcW w:w="993" w:type="dxa"/>
                                  <w:hideMark/>
                                </w:tcPr>
                                <w:p w14:paraId="0FB07D3F" w14:textId="77777777" w:rsidR="00263CDB" w:rsidRPr="004F4BA7" w:rsidRDefault="00263CDB" w:rsidP="005269E1">
                                  <w:pPr>
                                    <w:ind w:left="284"/>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2,066</w:t>
                                  </w:r>
                                </w:p>
                              </w:tc>
                            </w:tr>
                          </w:tbl>
                          <w:p w14:paraId="1D085292" w14:textId="77777777" w:rsidR="00263CDB" w:rsidRDefault="00263CDB" w:rsidP="00315EFC">
                            <w:pPr>
                              <w:keepNext/>
                              <w:spacing w:line="228" w:lineRule="auto"/>
                              <w:ind w:left="284"/>
                              <w:rPr>
                                <w:rFonts w:asciiTheme="minorHAnsi" w:eastAsiaTheme="minorHAnsi" w:hAnsiTheme="minorHAnsi" w:cstheme="minorBidi"/>
                                <w:color w:val="auto"/>
                                <w:sz w:val="22"/>
                                <w:szCs w:val="22"/>
                                <w:lang w:eastAsia="en-US"/>
                              </w:rPr>
                            </w:pPr>
                          </w:p>
                          <w:p w14:paraId="63546F39" w14:textId="77777777" w:rsidR="00263CDB" w:rsidRPr="0035381F" w:rsidRDefault="00263CDB" w:rsidP="00097650">
                            <w:pPr>
                              <w:pStyle w:val="10BulletBodytext"/>
                              <w:rPr>
                                <w:rFonts w:ascii="Arial Narrow" w:hAnsi="Arial Narrow"/>
                              </w:rPr>
                            </w:pPr>
                            <w:r w:rsidRPr="0035381F">
                              <w:rPr>
                                <w:rFonts w:ascii="Arial Narrow" w:hAnsi="Arial Narrow"/>
                              </w:rPr>
                              <w:t xml:space="preserve">The analysis suggests a need for both social and affordable rented housing. There are many households who are likely to need benefit support, in full or partially, to be able to afford market rents. </w:t>
                            </w:r>
                          </w:p>
                          <w:p w14:paraId="4665B051" w14:textId="77777777" w:rsidR="00263CDB" w:rsidRPr="0035381F" w:rsidRDefault="00263CDB" w:rsidP="00097650">
                            <w:pPr>
                              <w:pStyle w:val="10BulletBodytext"/>
                              <w:rPr>
                                <w:rFonts w:ascii="Arial Narrow" w:hAnsi="Arial Narrow"/>
                              </w:rPr>
                            </w:pPr>
                            <w:r w:rsidRPr="0035381F">
                              <w:rPr>
                                <w:rFonts w:ascii="Arial Narrow" w:hAnsi="Arial Narrow"/>
                              </w:rPr>
                              <w:t>On this basis, it is not recommended that the Councils have a rigid policy for the split between social and affordable rented housing, although the analysis is clear that both tenures of homes are likely to be required.</w:t>
                            </w:r>
                          </w:p>
                          <w:p w14:paraId="543D7BD2" w14:textId="77777777" w:rsidR="00263CDB" w:rsidRPr="0035381F" w:rsidRDefault="00263CDB" w:rsidP="00097650">
                            <w:pPr>
                              <w:pStyle w:val="10BulletBodytext"/>
                              <w:rPr>
                                <w:rFonts w:ascii="Arial Narrow" w:hAnsi="Arial Narrow"/>
                              </w:rPr>
                            </w:pPr>
                            <w:r w:rsidRPr="0035381F">
                              <w:rPr>
                                <w:rFonts w:ascii="Arial Narrow" w:hAnsi="Arial Narrow"/>
                              </w:rPr>
                              <w:t>When looking at the need for affordable home ownership products it is clear that there are a number of households likely to be able to afford to rent privately but who cannot afford to buy a suitable home. A key issue is access to capital (e.g. for deposits, stamp duty, legal costs) as well as potentially mortgage restrictions (e.g. where employment is temporary) as well as the cost of housing to buy.</w:t>
                            </w:r>
                          </w:p>
                          <w:p w14:paraId="5A246F67" w14:textId="77777777" w:rsidR="00263CDB" w:rsidRPr="0035381F" w:rsidRDefault="00263CDB" w:rsidP="00097650">
                            <w:pPr>
                              <w:pStyle w:val="10BulletBodytext"/>
                              <w:rPr>
                                <w:rFonts w:ascii="Arial Narrow" w:hAnsi="Arial Narrow"/>
                              </w:rPr>
                            </w:pPr>
                            <w:r w:rsidRPr="0035381F">
                              <w:rPr>
                                <w:rFonts w:ascii="Arial Narrow" w:hAnsi="Arial Narrow"/>
                              </w:rPr>
                              <w:t xml:space="preserve">However, there is also a potential supply of homes within the existing stock that can contribute to meeting this need. It is therefore difficult to robustly identify an overall need for these products. </w:t>
                            </w:r>
                          </w:p>
                          <w:p w14:paraId="261A5222" w14:textId="77777777" w:rsidR="00263CDB" w:rsidRPr="0035381F" w:rsidRDefault="00263CDB" w:rsidP="00097650">
                            <w:pPr>
                              <w:pStyle w:val="10BulletBodytext"/>
                              <w:rPr>
                                <w:rFonts w:ascii="Arial Narrow" w:hAnsi="Arial Narrow"/>
                              </w:rPr>
                            </w:pPr>
                            <w:r w:rsidRPr="0035381F">
                              <w:rPr>
                                <w:rFonts w:ascii="Arial Narrow" w:hAnsi="Arial Narrow"/>
                              </w:rPr>
                              <w:t>With the possible exception of Cambridge and South Cambridgeshire the evidence does not show any basis to increase the provision of affordable home ownership above the 10% figure currently suggested in the NPPF. This is because it may result  in an oversupply at the expense of meeting the affordable housing needs of other groups. In some areas, however, (particularly Fenland and West Suffolk) there is some evidence that the 10% figure could be challenged if the Councils wished to do so.</w:t>
                            </w:r>
                          </w:p>
                          <w:p w14:paraId="1C897139" w14:textId="77777777" w:rsidR="00263CDB" w:rsidRPr="0035381F" w:rsidRDefault="00263CDB" w:rsidP="00097650">
                            <w:pPr>
                              <w:pStyle w:val="10BulletBodytext"/>
                              <w:rPr>
                                <w:rFonts w:ascii="Arial Narrow" w:hAnsi="Arial Narrow"/>
                              </w:rPr>
                            </w:pPr>
                            <w:r w:rsidRPr="0035381F">
                              <w:rPr>
                                <w:rFonts w:ascii="Arial Narrow" w:hAnsi="Arial Narrow"/>
                              </w:rPr>
                              <w:t>Given the need to address the housing needs of other groups, the Councils that are able to present suitable evidence could seek to provide less than 10% of the total number of homes to be for affordable home ownership.</w:t>
                            </w:r>
                          </w:p>
                          <w:p w14:paraId="4BE272E1" w14:textId="77777777" w:rsidR="00263CDB" w:rsidRPr="0035381F" w:rsidRDefault="00263CDB" w:rsidP="00097650">
                            <w:pPr>
                              <w:pStyle w:val="10BulletBodytext"/>
                              <w:rPr>
                                <w:rFonts w:ascii="Arial Narrow" w:hAnsi="Arial Narrow"/>
                              </w:rPr>
                            </w:pPr>
                            <w:r w:rsidRPr="0035381F">
                              <w:rPr>
                                <w:rFonts w:ascii="Arial Narrow" w:hAnsi="Arial Narrow"/>
                              </w:rPr>
                              <w:t>Ultimately the choice will be for the Councils to make and in doing so they should consider a wide range of factors including local priority (dealing with acute need or promoting home-ownership) and the viability of different products.</w:t>
                            </w:r>
                          </w:p>
                          <w:p w14:paraId="35C86B98" w14:textId="1F7B1D7B" w:rsidR="00263CDB" w:rsidRPr="0035381F" w:rsidRDefault="00263CDB" w:rsidP="00097650">
                            <w:pPr>
                              <w:pStyle w:val="10BulletBodytext"/>
                              <w:rPr>
                                <w:rFonts w:ascii="Arial Narrow" w:hAnsi="Arial Narrow"/>
                              </w:rPr>
                            </w:pPr>
                            <w:r w:rsidRPr="0035381F">
                              <w:rPr>
                                <w:rFonts w:ascii="Arial Narrow" w:hAnsi="Arial Narrow"/>
                              </w:rPr>
                              <w:t>If the Councils do seek to provide 10% or more of housing as affordable home ownership (the default figure suggested in the NPPF), then it is suggested that Shared Ownership is the most appropriate option. This is due to the lower deposit requirements and lower overall costs (given that the rent would also be subsidised).</w:t>
                            </w:r>
                          </w:p>
                          <w:p w14:paraId="5126C65C" w14:textId="12E4CDD7" w:rsidR="00263CDB" w:rsidRPr="0035381F" w:rsidRDefault="00263CDB" w:rsidP="00097650">
                            <w:pPr>
                              <w:pStyle w:val="10BulletBodytext"/>
                              <w:rPr>
                                <w:rFonts w:ascii="Arial Narrow" w:hAnsi="Arial Narrow"/>
                              </w:rPr>
                            </w:pPr>
                            <w:r w:rsidRPr="0035381F">
                              <w:rPr>
                                <w:rFonts w:ascii="Arial Narrow" w:hAnsi="Arial Narrow"/>
                              </w:rPr>
                              <w:t>Where other forms of affordable home ownership are provided (e.g. Starter Homes or discounted market), the Councils should set prices that are equivalent to the midpoint between that needed to access the PRS and the equivalent for sale home. This could result in greater than 20% discounts from Open Market Value for some types/sizes of home.</w:t>
                            </w:r>
                          </w:p>
                          <w:p w14:paraId="6EB9701E" w14:textId="06926A2C" w:rsidR="00263CDB" w:rsidRPr="0035381F" w:rsidRDefault="00263CDB" w:rsidP="00B963B6">
                            <w:pPr>
                              <w:pStyle w:val="Bulletblueplain"/>
                              <w:rPr>
                                <w:rFonts w:ascii="Arial Narrow" w:hAnsi="Arial Narrow"/>
                              </w:rPr>
                            </w:pPr>
                            <w:r w:rsidRPr="0035381F">
                              <w:rPr>
                                <w:rStyle w:val="10BulletBodytextChar"/>
                                <w:rFonts w:ascii="Arial Narrow" w:hAnsi="Arial Narrow"/>
                              </w:rPr>
                              <w:t>The analysis of First Homes suggests that with a 30% discount these will be a suitable tenure of affordable home in Fenland, Huntingdonshire and West Suffolk. In Cambridge, East Cambridgeshire and South Cambridgeshire a</w:t>
                            </w:r>
                            <w:r w:rsidRPr="0035381F">
                              <w:rPr>
                                <w:rFonts w:ascii="Arial Narrow" w:hAnsi="Arial Narrow"/>
                              </w:rPr>
                              <w:t xml:space="preserve"> </w:t>
                            </w:r>
                            <w:r w:rsidRPr="0035381F">
                              <w:rPr>
                                <w:rFonts w:ascii="Arial Narrow" w:hAnsi="Arial Narrow"/>
                                <w:color w:val="auto"/>
                              </w:rPr>
                              <w:t>discount greater than 30% would be required.</w:t>
                            </w:r>
                          </w:p>
                        </w:txbxContent>
                      </wps:txbx>
                      <wps:bodyPr rot="0" vert="horz" wrap="square" lIns="91440" tIns="45720" rIns="91440" bIns="45720" anchor="t" anchorCtr="0">
                        <a:noAutofit/>
                      </wps:bodyPr>
                    </wps:wsp>
                  </a:graphicData>
                </a:graphic>
              </wp:inline>
            </w:drawing>
          </mc:Choice>
          <mc:Fallback>
            <w:pict>
              <v:shapetype w14:anchorId="6A155D18" id="_x0000_t202" coordsize="21600,21600" o:spt="202" path="m,l,21600r21600,l21600,xe">
                <v:stroke joinstyle="miter"/>
                <v:path gradientshapeok="t" o:connecttype="rect"/>
              </v:shapetype>
              <v:shape id="Text Box 2" o:spid="_x0000_s1029" type="#_x0000_t202" style="width:495.95pt;height:6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" fillcolor="white [3201]" strokecolor="#0093d5 [3205]" strokeweight="2pt">
                <v:textbox>
                  <w:txbxContent>
                    <w:p w14:paraId="02CA7FDB" w14:textId="77777777" w:rsidR="00263CDB" w:rsidRPr="00C35AB4" w:rsidRDefault="00263CDB" w:rsidP="00315EFC">
                      <w:pPr>
                        <w:keepNext/>
                        <w:spacing w:line="228" w:lineRule="auto"/>
                        <w:ind w:left="284"/>
                        <w:rPr>
                          <w:b/>
                        </w:rPr>
                      </w:pPr>
                      <w:r w:rsidRPr="00C35AB4">
                        <w:rPr>
                          <w:b/>
                        </w:rPr>
                        <w:t>Affordable Housing Need: Key Messages</w:t>
                      </w:r>
                    </w:p>
                    <w:p w14:paraId="2D97B4EC" w14:textId="77777777" w:rsidR="00263CDB" w:rsidRPr="00C35AB4" w:rsidRDefault="00263CDB" w:rsidP="00315EFC">
                      <w:pPr>
                        <w:keepNext/>
                        <w:spacing w:line="228" w:lineRule="auto"/>
                        <w:ind w:left="284" w:hanging="720"/>
                      </w:pPr>
                    </w:p>
                    <w:p w14:paraId="30049CB3" w14:textId="77777777" w:rsidR="00263CDB" w:rsidRPr="0035381F" w:rsidRDefault="00263CDB" w:rsidP="00097650">
                      <w:pPr>
                        <w:pStyle w:val="10BulletBodytext"/>
                        <w:rPr>
                          <w:rFonts w:ascii="Arial Narrow" w:hAnsi="Arial Narrow"/>
                        </w:rPr>
                      </w:pPr>
                      <w:r w:rsidRPr="0035381F">
                        <w:rPr>
                          <w:rFonts w:ascii="Arial Narrow" w:hAnsi="Arial Narrow"/>
                        </w:rPr>
                        <w:t>Analysis has been undertaken to estimate the need for affordable housing in the 2020-40 period. The analysis is split between a need for social/affordable rented accommodation and for affordable home ownership products.</w:t>
                      </w:r>
                    </w:p>
                    <w:p w14:paraId="5B8DE6F3" w14:textId="77777777" w:rsidR="00263CDB" w:rsidRPr="0035381F" w:rsidRDefault="00263CDB" w:rsidP="00097650">
                      <w:pPr>
                        <w:pStyle w:val="10BulletBodytext"/>
                        <w:rPr>
                          <w:rFonts w:ascii="Arial Narrow" w:hAnsi="Arial Narrow"/>
                        </w:rPr>
                      </w:pPr>
                      <w:r w:rsidRPr="0035381F">
                        <w:rPr>
                          <w:rFonts w:ascii="Arial Narrow" w:hAnsi="Arial Narrow"/>
                        </w:rPr>
                        <w:t xml:space="preserve">The analysis has taken account of local housing costs, household income and the supply of social/affordable dwellings and low cost for sale homes. </w:t>
                      </w:r>
                    </w:p>
                    <w:p w14:paraId="0A80437F" w14:textId="77777777" w:rsidR="00263CDB" w:rsidRPr="0035381F" w:rsidRDefault="00263CDB" w:rsidP="00097650">
                      <w:pPr>
                        <w:pStyle w:val="10BulletBodytext"/>
                        <w:rPr>
                          <w:rFonts w:ascii="Arial Narrow" w:hAnsi="Arial Narrow"/>
                        </w:rPr>
                      </w:pPr>
                      <w:r w:rsidRPr="0035381F">
                        <w:rPr>
                          <w:rFonts w:ascii="Arial Narrow" w:hAnsi="Arial Narrow"/>
                        </w:rPr>
                        <w:t>When looking at rented needs, the analysis suggests a need for 2,066 affordable homes per annum across the HMA. This is disaggregated to individual local authority areas in the table below. Therefore, the Councils would be justified in seeking to secure additional affordable housing.</w:t>
                      </w:r>
                    </w:p>
                    <w:tbl>
                      <w:tblPr>
                        <w:tblStyle w:val="TableGridLight1"/>
                        <w:tblW w:w="8300" w:type="dxa"/>
                        <w:tblInd w:w="734" w:type="dxa"/>
                        <w:tblLook w:val="04A0" w:firstRow="1" w:lastRow="0" w:firstColumn="1" w:lastColumn="0" w:noHBand="0" w:noVBand="1"/>
                      </w:tblPr>
                      <w:tblGrid>
                        <w:gridCol w:w="1528"/>
                        <w:gridCol w:w="1226"/>
                        <w:gridCol w:w="1144"/>
                        <w:gridCol w:w="1036"/>
                        <w:gridCol w:w="1211"/>
                        <w:gridCol w:w="1162"/>
                        <w:gridCol w:w="993"/>
                      </w:tblGrid>
                      <w:tr w:rsidR="00263CDB" w:rsidRPr="005269E1" w14:paraId="114F6A21" w14:textId="77777777" w:rsidTr="007D0FB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28" w:type="dxa"/>
                            <w:hideMark/>
                          </w:tcPr>
                          <w:p w14:paraId="1AE90812" w14:textId="77777777" w:rsidR="00263CDB" w:rsidRPr="005269E1" w:rsidRDefault="00263CDB" w:rsidP="005269E1">
                            <w:pPr>
                              <w:ind w:left="284"/>
                              <w:rPr>
                                <w:lang w:eastAsia="en-GB"/>
                              </w:rPr>
                            </w:pPr>
                            <w:r w:rsidRPr="005269E1">
                              <w:rPr>
                                <w:lang w:eastAsia="en-GB"/>
                              </w:rPr>
                              <w:t>Cambridge</w:t>
                            </w:r>
                          </w:p>
                        </w:tc>
                        <w:tc>
                          <w:tcPr>
                            <w:tcW w:w="1226" w:type="dxa"/>
                            <w:hideMark/>
                          </w:tcPr>
                          <w:p w14:paraId="78E7489E"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East Cambs</w:t>
                            </w:r>
                          </w:p>
                        </w:tc>
                        <w:tc>
                          <w:tcPr>
                            <w:tcW w:w="1144" w:type="dxa"/>
                            <w:hideMark/>
                          </w:tcPr>
                          <w:p w14:paraId="5BD9CA6F"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Fenland</w:t>
                            </w:r>
                          </w:p>
                        </w:tc>
                        <w:tc>
                          <w:tcPr>
                            <w:tcW w:w="1036" w:type="dxa"/>
                            <w:hideMark/>
                          </w:tcPr>
                          <w:p w14:paraId="4D37FA09"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Hunts</w:t>
                            </w:r>
                          </w:p>
                        </w:tc>
                        <w:tc>
                          <w:tcPr>
                            <w:tcW w:w="1211" w:type="dxa"/>
                            <w:hideMark/>
                          </w:tcPr>
                          <w:p w14:paraId="778012D1" w14:textId="77777777" w:rsidR="00263CDB" w:rsidRPr="005269E1" w:rsidRDefault="00263CDB" w:rsidP="005269E1">
                            <w:pPr>
                              <w:ind w:left="12"/>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South Cambs</w:t>
                            </w:r>
                          </w:p>
                        </w:tc>
                        <w:tc>
                          <w:tcPr>
                            <w:tcW w:w="1162" w:type="dxa"/>
                            <w:hideMark/>
                          </w:tcPr>
                          <w:p w14:paraId="075EDD2E"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West Suffolk</w:t>
                            </w:r>
                          </w:p>
                        </w:tc>
                        <w:tc>
                          <w:tcPr>
                            <w:tcW w:w="993" w:type="dxa"/>
                            <w:hideMark/>
                          </w:tcPr>
                          <w:p w14:paraId="5D57EDEC" w14:textId="77777777" w:rsidR="00263CDB" w:rsidRPr="005269E1" w:rsidRDefault="00263CDB" w:rsidP="005269E1">
                            <w:pPr>
                              <w:cnfStyle w:val="100000000000" w:firstRow="1" w:lastRow="0" w:firstColumn="0" w:lastColumn="0" w:oddVBand="0" w:evenVBand="0" w:oddHBand="0" w:evenHBand="0" w:firstRowFirstColumn="0" w:firstRowLastColumn="0" w:lastRowFirstColumn="0" w:lastRowLastColumn="0"/>
                              <w:rPr>
                                <w:lang w:eastAsia="en-GB"/>
                              </w:rPr>
                            </w:pPr>
                            <w:r w:rsidRPr="005269E1">
                              <w:rPr>
                                <w:lang w:eastAsia="en-GB"/>
                              </w:rPr>
                              <w:t>HMA</w:t>
                            </w:r>
                          </w:p>
                        </w:tc>
                      </w:tr>
                      <w:tr w:rsidR="00263CDB" w:rsidRPr="005269E1" w14:paraId="00C191F0" w14:textId="77777777" w:rsidTr="007D0FBF">
                        <w:trPr>
                          <w:trHeight w:val="315"/>
                        </w:trPr>
                        <w:tc>
                          <w:tcPr>
                            <w:cnfStyle w:val="001000000000" w:firstRow="0" w:lastRow="0" w:firstColumn="1" w:lastColumn="0" w:oddVBand="0" w:evenVBand="0" w:oddHBand="0" w:evenHBand="0" w:firstRowFirstColumn="0" w:firstRowLastColumn="0" w:lastRowFirstColumn="0" w:lastRowLastColumn="0"/>
                            <w:tcW w:w="1528" w:type="dxa"/>
                            <w:hideMark/>
                          </w:tcPr>
                          <w:p w14:paraId="2EA71CFA" w14:textId="77777777" w:rsidR="00263CDB" w:rsidRPr="005269E1" w:rsidRDefault="00263CDB" w:rsidP="005269E1">
                            <w:pPr>
                              <w:ind w:left="284"/>
                              <w:jc w:val="center"/>
                              <w:rPr>
                                <w:lang w:eastAsia="en-GB"/>
                              </w:rPr>
                            </w:pPr>
                            <w:r w:rsidRPr="005269E1">
                              <w:rPr>
                                <w:lang w:eastAsia="en-GB"/>
                              </w:rPr>
                              <w:t>314</w:t>
                            </w:r>
                          </w:p>
                        </w:tc>
                        <w:tc>
                          <w:tcPr>
                            <w:tcW w:w="1226" w:type="dxa"/>
                            <w:hideMark/>
                          </w:tcPr>
                          <w:p w14:paraId="5C0F6402"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215</w:t>
                            </w:r>
                          </w:p>
                        </w:tc>
                        <w:tc>
                          <w:tcPr>
                            <w:tcW w:w="1144" w:type="dxa"/>
                            <w:hideMark/>
                          </w:tcPr>
                          <w:p w14:paraId="557C7B9D"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289</w:t>
                            </w:r>
                          </w:p>
                        </w:tc>
                        <w:tc>
                          <w:tcPr>
                            <w:tcW w:w="1036" w:type="dxa"/>
                            <w:hideMark/>
                          </w:tcPr>
                          <w:p w14:paraId="239F1C8A"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404</w:t>
                            </w:r>
                          </w:p>
                        </w:tc>
                        <w:tc>
                          <w:tcPr>
                            <w:tcW w:w="1211" w:type="dxa"/>
                            <w:hideMark/>
                          </w:tcPr>
                          <w:p w14:paraId="2A16A031"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435</w:t>
                            </w:r>
                          </w:p>
                        </w:tc>
                        <w:tc>
                          <w:tcPr>
                            <w:tcW w:w="1162" w:type="dxa"/>
                            <w:hideMark/>
                          </w:tcPr>
                          <w:p w14:paraId="410C4B45" w14:textId="77777777" w:rsidR="00263CDB" w:rsidRPr="005269E1" w:rsidRDefault="00263CDB" w:rsidP="005269E1">
                            <w:pPr>
                              <w:ind w:left="284"/>
                              <w:cnfStyle w:val="000000000000" w:firstRow="0" w:lastRow="0" w:firstColumn="0" w:lastColumn="0" w:oddVBand="0" w:evenVBand="0" w:oddHBand="0" w:evenHBand="0" w:firstRowFirstColumn="0" w:firstRowLastColumn="0" w:lastRowFirstColumn="0" w:lastRowLastColumn="0"/>
                              <w:rPr>
                                <w:lang w:eastAsia="en-GB"/>
                              </w:rPr>
                            </w:pPr>
                            <w:r w:rsidRPr="005269E1">
                              <w:rPr>
                                <w:lang w:eastAsia="en-GB"/>
                              </w:rPr>
                              <w:t>409</w:t>
                            </w:r>
                          </w:p>
                        </w:tc>
                        <w:tc>
                          <w:tcPr>
                            <w:tcW w:w="993" w:type="dxa"/>
                            <w:hideMark/>
                          </w:tcPr>
                          <w:p w14:paraId="0FB07D3F" w14:textId="77777777" w:rsidR="00263CDB" w:rsidRPr="004F4BA7" w:rsidRDefault="00263CDB" w:rsidP="005269E1">
                            <w:pPr>
                              <w:ind w:left="284"/>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2,066</w:t>
                            </w:r>
                          </w:p>
                        </w:tc>
                      </w:tr>
                    </w:tbl>
                    <w:p w14:paraId="1D085292" w14:textId="77777777" w:rsidR="00263CDB" w:rsidRDefault="00263CDB" w:rsidP="00315EFC">
                      <w:pPr>
                        <w:keepNext/>
                        <w:spacing w:line="228" w:lineRule="auto"/>
                        <w:ind w:left="284"/>
                        <w:rPr>
                          <w:rFonts w:asciiTheme="minorHAnsi" w:eastAsiaTheme="minorHAnsi" w:hAnsiTheme="minorHAnsi" w:cstheme="minorBidi"/>
                          <w:color w:val="auto"/>
                          <w:sz w:val="22"/>
                          <w:szCs w:val="22"/>
                          <w:lang w:eastAsia="en-US"/>
                        </w:rPr>
                      </w:pPr>
                    </w:p>
                    <w:p w14:paraId="63546F39" w14:textId="77777777" w:rsidR="00263CDB" w:rsidRPr="0035381F" w:rsidRDefault="00263CDB" w:rsidP="00097650">
                      <w:pPr>
                        <w:pStyle w:val="10BulletBodytext"/>
                        <w:rPr>
                          <w:rFonts w:ascii="Arial Narrow" w:hAnsi="Arial Narrow"/>
                        </w:rPr>
                      </w:pPr>
                      <w:r w:rsidRPr="0035381F">
                        <w:rPr>
                          <w:rFonts w:ascii="Arial Narrow" w:hAnsi="Arial Narrow"/>
                        </w:rPr>
                        <w:t xml:space="preserve">The analysis suggests a need for both social and affordable rented housing. There are many households who are likely to need benefit support, in full or partially, to be able to afford market rents. </w:t>
                      </w:r>
                    </w:p>
                    <w:p w14:paraId="4665B051" w14:textId="77777777" w:rsidR="00263CDB" w:rsidRPr="0035381F" w:rsidRDefault="00263CDB" w:rsidP="00097650">
                      <w:pPr>
                        <w:pStyle w:val="10BulletBodytext"/>
                        <w:rPr>
                          <w:rFonts w:ascii="Arial Narrow" w:hAnsi="Arial Narrow"/>
                        </w:rPr>
                      </w:pPr>
                      <w:r w:rsidRPr="0035381F">
                        <w:rPr>
                          <w:rFonts w:ascii="Arial Narrow" w:hAnsi="Arial Narrow"/>
                        </w:rPr>
                        <w:t>On this basis, it is not recommended that the Councils have a rigid policy for the split between social and affordable rented housing, although the analysis is clear that both tenures of homes are likely to be required.</w:t>
                      </w:r>
                    </w:p>
                    <w:p w14:paraId="543D7BD2" w14:textId="77777777" w:rsidR="00263CDB" w:rsidRPr="0035381F" w:rsidRDefault="00263CDB" w:rsidP="00097650">
                      <w:pPr>
                        <w:pStyle w:val="10BulletBodytext"/>
                        <w:rPr>
                          <w:rFonts w:ascii="Arial Narrow" w:hAnsi="Arial Narrow"/>
                        </w:rPr>
                      </w:pPr>
                      <w:r w:rsidRPr="0035381F">
                        <w:rPr>
                          <w:rFonts w:ascii="Arial Narrow" w:hAnsi="Arial Narrow"/>
                        </w:rPr>
                        <w:t>When looking at the need for affordable home ownership products it is clear that there are a number of households likely to be able to afford to rent privately but who cannot afford to buy a suitable home. A key issue is access to capital (e.g. for deposits, stamp duty, legal costs) as well as potentially mortgage restrictions (e.g. where employment is temporary) as well as the cost of housing to buy.</w:t>
                      </w:r>
                    </w:p>
                    <w:p w14:paraId="5A246F67" w14:textId="77777777" w:rsidR="00263CDB" w:rsidRPr="0035381F" w:rsidRDefault="00263CDB" w:rsidP="00097650">
                      <w:pPr>
                        <w:pStyle w:val="10BulletBodytext"/>
                        <w:rPr>
                          <w:rFonts w:ascii="Arial Narrow" w:hAnsi="Arial Narrow"/>
                        </w:rPr>
                      </w:pPr>
                      <w:r w:rsidRPr="0035381F">
                        <w:rPr>
                          <w:rFonts w:ascii="Arial Narrow" w:hAnsi="Arial Narrow"/>
                        </w:rPr>
                        <w:t xml:space="preserve">However, there is also a potential supply of homes within the existing stock that can contribute to meeting this need. It is therefore difficult to robustly identify an overall need for these products. </w:t>
                      </w:r>
                    </w:p>
                    <w:p w14:paraId="261A5222" w14:textId="77777777" w:rsidR="00263CDB" w:rsidRPr="0035381F" w:rsidRDefault="00263CDB" w:rsidP="00097650">
                      <w:pPr>
                        <w:pStyle w:val="10BulletBodytext"/>
                        <w:rPr>
                          <w:rFonts w:ascii="Arial Narrow" w:hAnsi="Arial Narrow"/>
                        </w:rPr>
                      </w:pPr>
                      <w:r w:rsidRPr="0035381F">
                        <w:rPr>
                          <w:rFonts w:ascii="Arial Narrow" w:hAnsi="Arial Narrow"/>
                        </w:rPr>
                        <w:t>With the possible exception of Cambridge and South Cambridgeshire the evidence does not show any basis to increase the provision of affordable home ownership above the 10% figure currently suggested in the NPPF. This is because it may result  in an oversupply at the expense of meeting the affordable housing needs of other groups. In some areas, however, (particularly Fenland and West Suffolk) there is some evidence that the 10% figure could be challenged if the Councils wished to do so.</w:t>
                      </w:r>
                    </w:p>
                    <w:p w14:paraId="1C897139" w14:textId="77777777" w:rsidR="00263CDB" w:rsidRPr="0035381F" w:rsidRDefault="00263CDB" w:rsidP="00097650">
                      <w:pPr>
                        <w:pStyle w:val="10BulletBodytext"/>
                        <w:rPr>
                          <w:rFonts w:ascii="Arial Narrow" w:hAnsi="Arial Narrow"/>
                        </w:rPr>
                      </w:pPr>
                      <w:r w:rsidRPr="0035381F">
                        <w:rPr>
                          <w:rFonts w:ascii="Arial Narrow" w:hAnsi="Arial Narrow"/>
                        </w:rPr>
                        <w:t>Given the need to address the housing needs of other groups, the Councils that are able to present suitable evidence could seek to provide less than 10% of the total number of homes to be for affordable home ownership.</w:t>
                      </w:r>
                    </w:p>
                    <w:p w14:paraId="4BE272E1" w14:textId="77777777" w:rsidR="00263CDB" w:rsidRPr="0035381F" w:rsidRDefault="00263CDB" w:rsidP="00097650">
                      <w:pPr>
                        <w:pStyle w:val="10BulletBodytext"/>
                        <w:rPr>
                          <w:rFonts w:ascii="Arial Narrow" w:hAnsi="Arial Narrow"/>
                        </w:rPr>
                      </w:pPr>
                      <w:r w:rsidRPr="0035381F">
                        <w:rPr>
                          <w:rFonts w:ascii="Arial Narrow" w:hAnsi="Arial Narrow"/>
                        </w:rPr>
                        <w:t>Ultimately the choice will be for the Councils to make and in doing so they should consider a wide range of factors including local priority (dealing with acute need or promoting home-ownership) and the viability of different products.</w:t>
                      </w:r>
                    </w:p>
                    <w:p w14:paraId="35C86B98" w14:textId="1F7B1D7B" w:rsidR="00263CDB" w:rsidRPr="0035381F" w:rsidRDefault="00263CDB" w:rsidP="00097650">
                      <w:pPr>
                        <w:pStyle w:val="10BulletBodytext"/>
                        <w:rPr>
                          <w:rFonts w:ascii="Arial Narrow" w:hAnsi="Arial Narrow"/>
                        </w:rPr>
                      </w:pPr>
                      <w:r w:rsidRPr="0035381F">
                        <w:rPr>
                          <w:rFonts w:ascii="Arial Narrow" w:hAnsi="Arial Narrow"/>
                        </w:rPr>
                        <w:t>If the Councils do seek to provide 10% or more of housing as affordable home ownership (the default figure suggested in the NPPF), then it is suggested that Shared Ownership is the most appropriate option. This is due to the lower deposit requirements and lower overall costs (given that the rent would also be subsidised).</w:t>
                      </w:r>
                    </w:p>
                    <w:p w14:paraId="5126C65C" w14:textId="12E4CDD7" w:rsidR="00263CDB" w:rsidRPr="0035381F" w:rsidRDefault="00263CDB" w:rsidP="00097650">
                      <w:pPr>
                        <w:pStyle w:val="10BulletBodytext"/>
                        <w:rPr>
                          <w:rFonts w:ascii="Arial Narrow" w:hAnsi="Arial Narrow"/>
                        </w:rPr>
                      </w:pPr>
                      <w:r w:rsidRPr="0035381F">
                        <w:rPr>
                          <w:rFonts w:ascii="Arial Narrow" w:hAnsi="Arial Narrow"/>
                        </w:rPr>
                        <w:t>Where other forms of affordable home ownership are provided (e.g. Starter Homes or discounted market), the Councils should set prices that are equivalent to the midpoint between that needed to access the PRS and the equivalent for sale home. This could result in greater than 20% discounts from Open Market Value for some types/sizes of home.</w:t>
                      </w:r>
                    </w:p>
                    <w:p w14:paraId="6EB9701E" w14:textId="06926A2C" w:rsidR="00263CDB" w:rsidRPr="0035381F" w:rsidRDefault="00263CDB" w:rsidP="00B963B6">
                      <w:pPr>
                        <w:pStyle w:val="Bulletblueplain"/>
                        <w:rPr>
                          <w:rFonts w:ascii="Arial Narrow" w:hAnsi="Arial Narrow"/>
                        </w:rPr>
                      </w:pPr>
                      <w:r w:rsidRPr="0035381F">
                        <w:rPr>
                          <w:rStyle w:val="10BulletBodytextChar"/>
                          <w:rFonts w:ascii="Arial Narrow" w:hAnsi="Arial Narrow"/>
                        </w:rPr>
                        <w:t>The analysis of First Homes suggests that with a 30% discount these will be a suitable tenure of affordable home in Fenland, Huntingdonshire and West Suffolk. In Cambridge, East Cambridgeshire and South Cambridgeshire a</w:t>
                      </w:r>
                      <w:r w:rsidRPr="0035381F">
                        <w:rPr>
                          <w:rFonts w:ascii="Arial Narrow" w:hAnsi="Arial Narrow"/>
                        </w:rPr>
                        <w:t xml:space="preserve"> </w:t>
                      </w:r>
                      <w:r w:rsidRPr="0035381F">
                        <w:rPr>
                          <w:rFonts w:ascii="Arial Narrow" w:hAnsi="Arial Narrow"/>
                          <w:color w:val="auto"/>
                        </w:rPr>
                        <w:t>discount greater than 30% would be required.</w:t>
                      </w:r>
                    </w:p>
                  </w:txbxContent>
                </v:textbox>
                <w10:anchorlock/>
              </v:shape>
            </w:pict>
          </mc:Fallback>
        </mc:AlternateContent>
      </w:r>
      <w:r>
        <w:br w:type="page"/>
      </w:r>
    </w:p>
    <w:p w14:paraId="68E45946" w14:textId="7CCC1065" w:rsidR="000E6CD7" w:rsidRPr="005A0B3D" w:rsidRDefault="000E6CD7" w:rsidP="005A0B3D">
      <w:pPr>
        <w:pStyle w:val="Heading1"/>
      </w:pPr>
      <w:bookmarkStart w:id="26" w:name="_Toc79590824"/>
      <w:r w:rsidRPr="005A0B3D">
        <w:rPr>
          <w:rStyle w:val="Heading1Char"/>
          <w:b/>
          <w:caps/>
        </w:rPr>
        <w:lastRenderedPageBreak/>
        <w:t>Housing Mix</w:t>
      </w:r>
      <w:bookmarkEnd w:id="24"/>
      <w:bookmarkEnd w:id="26"/>
    </w:p>
    <w:p w14:paraId="1B41C1DA" w14:textId="77777777" w:rsidR="000E6CD7" w:rsidRDefault="000E6CD7" w:rsidP="007D0FBF">
      <w:pPr>
        <w:pStyle w:val="Heading2"/>
      </w:pPr>
      <w:r w:rsidRPr="00271794">
        <w:t>Introduction</w:t>
      </w:r>
    </w:p>
    <w:p w14:paraId="5AA21030" w14:textId="50E814C6" w:rsidR="00A6240C" w:rsidRDefault="00A6240C" w:rsidP="007D0FBF">
      <w:pPr>
        <w:pStyle w:val="11Bodytext"/>
      </w:pPr>
      <w:r>
        <w:t xml:space="preserve">This section draws together the analysis from the preceding sections to provide guidance as to an appropriate mix of housing across the study area having regard to opportunities for larger and more aspirational housing, family housing and smaller units.  </w:t>
      </w:r>
    </w:p>
    <w:p w14:paraId="1653F475" w14:textId="77777777" w:rsidR="00A6240C" w:rsidRDefault="00A6240C" w:rsidP="007D0FBF">
      <w:pPr>
        <w:pStyle w:val="11Bodytext"/>
      </w:pPr>
      <w:r>
        <w:t xml:space="preserve">This section firstly examines a range of statistics in relation to families (generally described as households with dependent children) and, secondly, sets out how demographics within the study area are projected to change over the Plan periods of the local authorities’ Local Plans (as set out in the introduction to this report). </w:t>
      </w:r>
    </w:p>
    <w:p w14:paraId="2DD5D903" w14:textId="77777777" w:rsidR="00A6240C" w:rsidRDefault="00A6240C" w:rsidP="007D0FBF">
      <w:pPr>
        <w:pStyle w:val="11Bodytext"/>
      </w:pPr>
      <w:r>
        <w:t>The analysis considers the mix of housing across Cambridgeshire and West Suffolk (covering all household groups and tenures) and provides commentary about how this should vary so as to take account of differing patterns of need and demand within individual local authority areas.</w:t>
      </w:r>
    </w:p>
    <w:p w14:paraId="7FF31DE1" w14:textId="77777777" w:rsidR="00A6240C" w:rsidRDefault="00A6240C" w:rsidP="007D0FBF">
      <w:pPr>
        <w:pStyle w:val="Heading2"/>
      </w:pPr>
      <w:r>
        <w:t>Background Data</w:t>
      </w:r>
      <w:r>
        <w:tab/>
      </w:r>
    </w:p>
    <w:p w14:paraId="2CCE401E" w14:textId="77777777" w:rsidR="00A6240C" w:rsidRDefault="00A6240C" w:rsidP="007D0FBF">
      <w:pPr>
        <w:pStyle w:val="11Bodytext"/>
      </w:pPr>
      <w:r>
        <w:rPr>
          <w:lang w:eastAsia="en-US"/>
        </w:rPr>
        <w:t>The number of families (defined for this assessment as any household which contains at least one dependent child</w:t>
      </w:r>
      <w:r>
        <w:rPr>
          <w:rStyle w:val="FootnoteReference"/>
          <w:lang w:eastAsia="en-US"/>
        </w:rPr>
        <w:footnoteReference w:id="23"/>
      </w:r>
      <w:r>
        <w:rPr>
          <w:lang w:eastAsia="en-US"/>
        </w:rPr>
        <w:t xml:space="preserve">) in the HMA </w:t>
      </w:r>
      <w:r>
        <w:t xml:space="preserve">totalled 92,662 as of the 2011 Census, accounting for 28.7% of households. This proportion is slightly lower than both the regional (29.4%) and the national average (29.1%). </w:t>
      </w:r>
    </w:p>
    <w:p w14:paraId="357FEA4D" w14:textId="2151E229" w:rsidR="00A6240C" w:rsidRPr="00FB553C" w:rsidRDefault="00A6240C" w:rsidP="00FB553C">
      <w:pPr>
        <w:pStyle w:val="11Bodytext"/>
      </w:pPr>
      <w:r>
        <w:t>There is little difference between individual local authority areas in terms of the overall proportion of households with dependent children. However, South Cambridgeshire (31.2%) does show slightly higher proportions and Cambridge a lower proportion (24.1%)</w:t>
      </w:r>
      <w:r>
        <w:rPr>
          <w:rStyle w:val="FootnoteReference"/>
        </w:rPr>
        <w:footnoteReference w:id="24"/>
      </w:r>
      <w:r>
        <w:t>. Together as the Greater Cambridge area, the proportion is similar to the other areas (28.1%).</w:t>
      </w:r>
    </w:p>
    <w:p w14:paraId="074C563B" w14:textId="432A5DB9" w:rsidR="00A6240C" w:rsidRDefault="00A6240C" w:rsidP="003D5E23">
      <w:pPr>
        <w:pStyle w:val="Tableheading"/>
        <w:numPr>
          <w:ilvl w:val="0"/>
          <w:numId w:val="54"/>
        </w:numPr>
      </w:pPr>
      <w:r>
        <w:lastRenderedPageBreak/>
        <w:t>Households with dependent children (2011)</w:t>
      </w:r>
    </w:p>
    <w:tbl>
      <w:tblPr>
        <w:tblStyle w:val="TableGridLight1"/>
        <w:tblW w:w="9012" w:type="dxa"/>
        <w:tblInd w:w="704" w:type="dxa"/>
        <w:tblLayout w:type="fixed"/>
        <w:tblLook w:val="04A0" w:firstRow="1" w:lastRow="0" w:firstColumn="1" w:lastColumn="0" w:noHBand="0" w:noVBand="1"/>
      </w:tblPr>
      <w:tblGrid>
        <w:gridCol w:w="1969"/>
        <w:gridCol w:w="896"/>
        <w:gridCol w:w="1024"/>
        <w:gridCol w:w="1025"/>
        <w:gridCol w:w="1024"/>
        <w:gridCol w:w="1025"/>
        <w:gridCol w:w="1024"/>
        <w:gridCol w:w="1025"/>
      </w:tblGrid>
      <w:tr w:rsidR="00CC7461" w:rsidRPr="0075717C" w14:paraId="1D02E4D2" w14:textId="77777777" w:rsidTr="004F4BA7">
        <w:trPr>
          <w:cnfStyle w:val="100000000000" w:firstRow="1" w:lastRow="0" w:firstColumn="0" w:lastColumn="0" w:oddVBand="0" w:evenVBand="0" w:oddHBand="0" w:evenHBand="0"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1969" w:type="dxa"/>
            <w:hideMark/>
          </w:tcPr>
          <w:p w14:paraId="3468E101" w14:textId="77777777" w:rsidR="0075717C" w:rsidRPr="0075717C" w:rsidRDefault="0075717C" w:rsidP="00FB553C">
            <w:pPr>
              <w:rPr>
                <w:bCs/>
                <w:lang w:eastAsia="en-GB"/>
              </w:rPr>
            </w:pPr>
            <w:r w:rsidRPr="0075717C">
              <w:rPr>
                <w:bCs/>
                <w:lang w:eastAsia="en-GB"/>
              </w:rPr>
              <w:t> </w:t>
            </w:r>
          </w:p>
        </w:tc>
        <w:tc>
          <w:tcPr>
            <w:tcW w:w="896" w:type="dxa"/>
            <w:textDirection w:val="btLr"/>
            <w:hideMark/>
          </w:tcPr>
          <w:p w14:paraId="368CAD78"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bCs/>
                <w:lang w:eastAsia="en-GB"/>
              </w:rPr>
            </w:pPr>
            <w:r w:rsidRPr="0075717C">
              <w:rPr>
                <w:bCs/>
                <w:lang w:eastAsia="en-GB"/>
              </w:rPr>
              <w:t>Married Couple</w:t>
            </w:r>
          </w:p>
        </w:tc>
        <w:tc>
          <w:tcPr>
            <w:tcW w:w="1024" w:type="dxa"/>
            <w:textDirection w:val="btLr"/>
            <w:hideMark/>
          </w:tcPr>
          <w:p w14:paraId="4DE7A0B8"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bCs/>
                <w:lang w:eastAsia="en-GB"/>
              </w:rPr>
            </w:pPr>
            <w:r w:rsidRPr="0075717C">
              <w:rPr>
                <w:bCs/>
                <w:lang w:eastAsia="en-GB"/>
              </w:rPr>
              <w:t>Cohabiting Couple</w:t>
            </w:r>
          </w:p>
        </w:tc>
        <w:tc>
          <w:tcPr>
            <w:tcW w:w="1025" w:type="dxa"/>
            <w:textDirection w:val="btLr"/>
            <w:hideMark/>
          </w:tcPr>
          <w:p w14:paraId="4A0DA1AA"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bCs/>
                <w:lang w:eastAsia="en-GB"/>
              </w:rPr>
            </w:pPr>
            <w:r w:rsidRPr="0075717C">
              <w:rPr>
                <w:bCs/>
                <w:lang w:eastAsia="en-GB"/>
              </w:rPr>
              <w:t>Lone Parent</w:t>
            </w:r>
          </w:p>
        </w:tc>
        <w:tc>
          <w:tcPr>
            <w:tcW w:w="1024" w:type="dxa"/>
            <w:textDirection w:val="btLr"/>
            <w:hideMark/>
          </w:tcPr>
          <w:p w14:paraId="07FFC30A"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rFonts w:ascii="Calibri" w:hAnsi="Calibri"/>
                <w:sz w:val="22"/>
                <w:szCs w:val="22"/>
                <w:u w:val="single"/>
                <w:lang w:eastAsia="en-GB"/>
              </w:rPr>
            </w:pPr>
            <w:proofErr w:type="gramStart"/>
            <w:r w:rsidRPr="0075717C">
              <w:rPr>
                <w:rFonts w:ascii="Calibri" w:hAnsi="Calibri"/>
                <w:sz w:val="22"/>
                <w:szCs w:val="22"/>
                <w:u w:val="single"/>
                <w:lang w:eastAsia="en-GB"/>
              </w:rPr>
              <w:footnoteReference w:customMarkFollows="1" w:id="25"/>
              <w:t>Other[</w:t>
            </w:r>
            <w:proofErr w:type="gramEnd"/>
            <w:r w:rsidRPr="0075717C">
              <w:rPr>
                <w:rFonts w:ascii="Calibri" w:hAnsi="Calibri"/>
                <w:sz w:val="22"/>
                <w:szCs w:val="22"/>
                <w:u w:val="single"/>
                <w:lang w:eastAsia="en-GB"/>
              </w:rPr>
              <w:t>1]</w:t>
            </w:r>
          </w:p>
        </w:tc>
        <w:tc>
          <w:tcPr>
            <w:tcW w:w="1025" w:type="dxa"/>
            <w:textDirection w:val="btLr"/>
            <w:hideMark/>
          </w:tcPr>
          <w:p w14:paraId="79EA06A9"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bCs/>
                <w:lang w:eastAsia="en-GB"/>
              </w:rPr>
            </w:pPr>
            <w:r w:rsidRPr="0075717C">
              <w:rPr>
                <w:bCs/>
                <w:lang w:eastAsia="en-GB"/>
              </w:rPr>
              <w:t>Households without dependent children</w:t>
            </w:r>
          </w:p>
        </w:tc>
        <w:tc>
          <w:tcPr>
            <w:tcW w:w="1024" w:type="dxa"/>
            <w:textDirection w:val="btLr"/>
            <w:hideMark/>
          </w:tcPr>
          <w:p w14:paraId="220E6BCB"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bCs/>
                <w:lang w:eastAsia="en-GB"/>
              </w:rPr>
            </w:pPr>
            <w:r w:rsidRPr="0075717C">
              <w:rPr>
                <w:bCs/>
                <w:lang w:eastAsia="en-GB"/>
              </w:rPr>
              <w:t>Total without Dependent Children</w:t>
            </w:r>
          </w:p>
        </w:tc>
        <w:tc>
          <w:tcPr>
            <w:tcW w:w="1025" w:type="dxa"/>
            <w:textDirection w:val="btLr"/>
            <w:hideMark/>
          </w:tcPr>
          <w:p w14:paraId="1E4A21E4" w14:textId="77777777" w:rsidR="0075717C" w:rsidRPr="0075717C" w:rsidRDefault="0075717C" w:rsidP="004F4BA7">
            <w:pPr>
              <w:ind w:left="113" w:right="113"/>
              <w:cnfStyle w:val="100000000000" w:firstRow="1" w:lastRow="0" w:firstColumn="0" w:lastColumn="0" w:oddVBand="0" w:evenVBand="0" w:oddHBand="0" w:evenHBand="0" w:firstRowFirstColumn="0" w:firstRowLastColumn="0" w:lastRowFirstColumn="0" w:lastRowLastColumn="0"/>
              <w:rPr>
                <w:bCs/>
                <w:lang w:eastAsia="en-GB"/>
              </w:rPr>
            </w:pPr>
            <w:r w:rsidRPr="0075717C">
              <w:rPr>
                <w:bCs/>
                <w:lang w:eastAsia="en-GB"/>
              </w:rPr>
              <w:t>Total with Dependent Children</w:t>
            </w:r>
          </w:p>
        </w:tc>
      </w:tr>
      <w:tr w:rsidR="00CC7461" w:rsidRPr="0075717C" w14:paraId="19A10A16"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13112096" w14:textId="77777777" w:rsidR="0075717C" w:rsidRPr="0075717C" w:rsidRDefault="0075717C" w:rsidP="00FB553C">
            <w:pPr>
              <w:rPr>
                <w:lang w:eastAsia="en-GB"/>
              </w:rPr>
            </w:pPr>
            <w:r w:rsidRPr="0075717C">
              <w:rPr>
                <w:lang w:eastAsia="en-GB"/>
              </w:rPr>
              <w:t>Cambridge</w:t>
            </w:r>
          </w:p>
        </w:tc>
        <w:tc>
          <w:tcPr>
            <w:tcW w:w="896" w:type="dxa"/>
            <w:noWrap/>
            <w:hideMark/>
          </w:tcPr>
          <w:p w14:paraId="131BDB3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6,513</w:t>
            </w:r>
          </w:p>
        </w:tc>
        <w:tc>
          <w:tcPr>
            <w:tcW w:w="1024" w:type="dxa"/>
            <w:noWrap/>
            <w:hideMark/>
          </w:tcPr>
          <w:p w14:paraId="2EB63DE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1,603</w:t>
            </w:r>
          </w:p>
        </w:tc>
        <w:tc>
          <w:tcPr>
            <w:tcW w:w="1025" w:type="dxa"/>
            <w:noWrap/>
            <w:hideMark/>
          </w:tcPr>
          <w:p w14:paraId="2070933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1,977</w:t>
            </w:r>
          </w:p>
        </w:tc>
        <w:tc>
          <w:tcPr>
            <w:tcW w:w="1024" w:type="dxa"/>
            <w:noWrap/>
            <w:hideMark/>
          </w:tcPr>
          <w:p w14:paraId="19CD755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1,149</w:t>
            </w:r>
          </w:p>
        </w:tc>
        <w:tc>
          <w:tcPr>
            <w:tcW w:w="1025" w:type="dxa"/>
            <w:noWrap/>
            <w:hideMark/>
          </w:tcPr>
          <w:p w14:paraId="7A1B267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35,472</w:t>
            </w:r>
          </w:p>
        </w:tc>
        <w:tc>
          <w:tcPr>
            <w:tcW w:w="1024" w:type="dxa"/>
            <w:noWrap/>
            <w:hideMark/>
          </w:tcPr>
          <w:p w14:paraId="7EA0060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46,714</w:t>
            </w:r>
          </w:p>
        </w:tc>
        <w:tc>
          <w:tcPr>
            <w:tcW w:w="1025" w:type="dxa"/>
            <w:noWrap/>
            <w:hideMark/>
          </w:tcPr>
          <w:p w14:paraId="5C1480E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11,242</w:t>
            </w:r>
          </w:p>
        </w:tc>
      </w:tr>
      <w:tr w:rsidR="00CC7461" w:rsidRPr="0075717C" w14:paraId="36B3EA67"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520CB95F" w14:textId="77777777" w:rsidR="0075717C" w:rsidRPr="0075717C" w:rsidRDefault="0075717C" w:rsidP="00FB553C">
            <w:pPr>
              <w:rPr>
                <w:lang w:eastAsia="en-GB"/>
              </w:rPr>
            </w:pPr>
            <w:r w:rsidRPr="0075717C">
              <w:rPr>
                <w:lang w:eastAsia="en-GB"/>
              </w:rPr>
              <w:t>Cambridge</w:t>
            </w:r>
          </w:p>
        </w:tc>
        <w:tc>
          <w:tcPr>
            <w:tcW w:w="896" w:type="dxa"/>
            <w:noWrap/>
            <w:hideMark/>
          </w:tcPr>
          <w:p w14:paraId="4D30410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13.90%</w:t>
            </w:r>
          </w:p>
        </w:tc>
        <w:tc>
          <w:tcPr>
            <w:tcW w:w="1024" w:type="dxa"/>
            <w:noWrap/>
            <w:hideMark/>
          </w:tcPr>
          <w:p w14:paraId="4F3ADF37"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3.40%</w:t>
            </w:r>
          </w:p>
        </w:tc>
        <w:tc>
          <w:tcPr>
            <w:tcW w:w="1025" w:type="dxa"/>
            <w:noWrap/>
            <w:hideMark/>
          </w:tcPr>
          <w:p w14:paraId="209213A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4.20%</w:t>
            </w:r>
          </w:p>
        </w:tc>
        <w:tc>
          <w:tcPr>
            <w:tcW w:w="1024" w:type="dxa"/>
            <w:noWrap/>
            <w:hideMark/>
          </w:tcPr>
          <w:p w14:paraId="1F07C86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2.50%</w:t>
            </w:r>
          </w:p>
        </w:tc>
        <w:tc>
          <w:tcPr>
            <w:tcW w:w="1025" w:type="dxa"/>
            <w:noWrap/>
            <w:hideMark/>
          </w:tcPr>
          <w:p w14:paraId="089EF04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75.90%</w:t>
            </w:r>
          </w:p>
        </w:tc>
        <w:tc>
          <w:tcPr>
            <w:tcW w:w="1024" w:type="dxa"/>
            <w:noWrap/>
            <w:hideMark/>
          </w:tcPr>
          <w:p w14:paraId="5473BE3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7755EEB7"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24.10%</w:t>
            </w:r>
          </w:p>
        </w:tc>
      </w:tr>
      <w:tr w:rsidR="00CC7461" w:rsidRPr="0075717C" w14:paraId="46E357E0"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2F343814" w14:textId="77777777" w:rsidR="0075717C" w:rsidRPr="0075717C" w:rsidRDefault="0075717C" w:rsidP="00FB553C">
            <w:pPr>
              <w:rPr>
                <w:lang w:eastAsia="en-GB"/>
              </w:rPr>
            </w:pPr>
            <w:r w:rsidRPr="0075717C">
              <w:rPr>
                <w:lang w:eastAsia="en-GB"/>
              </w:rPr>
              <w:t>South Cambs</w:t>
            </w:r>
          </w:p>
        </w:tc>
        <w:tc>
          <w:tcPr>
            <w:tcW w:w="896" w:type="dxa"/>
            <w:noWrap/>
            <w:hideMark/>
          </w:tcPr>
          <w:p w14:paraId="015815C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12,734</w:t>
            </w:r>
          </w:p>
        </w:tc>
        <w:tc>
          <w:tcPr>
            <w:tcW w:w="1024" w:type="dxa"/>
            <w:noWrap/>
            <w:hideMark/>
          </w:tcPr>
          <w:p w14:paraId="2B4779B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2,303</w:t>
            </w:r>
          </w:p>
        </w:tc>
        <w:tc>
          <w:tcPr>
            <w:tcW w:w="1025" w:type="dxa"/>
            <w:noWrap/>
            <w:hideMark/>
          </w:tcPr>
          <w:p w14:paraId="70140FF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2,545</w:t>
            </w:r>
          </w:p>
        </w:tc>
        <w:tc>
          <w:tcPr>
            <w:tcW w:w="1024" w:type="dxa"/>
            <w:noWrap/>
            <w:hideMark/>
          </w:tcPr>
          <w:p w14:paraId="4CB5FA9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1,103</w:t>
            </w:r>
          </w:p>
        </w:tc>
        <w:tc>
          <w:tcPr>
            <w:tcW w:w="1025" w:type="dxa"/>
            <w:noWrap/>
            <w:hideMark/>
          </w:tcPr>
          <w:p w14:paraId="7C5C6D5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41,275</w:t>
            </w:r>
          </w:p>
        </w:tc>
        <w:tc>
          <w:tcPr>
            <w:tcW w:w="1024" w:type="dxa"/>
            <w:noWrap/>
            <w:hideMark/>
          </w:tcPr>
          <w:p w14:paraId="00DAA82D"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59,960</w:t>
            </w:r>
          </w:p>
        </w:tc>
        <w:tc>
          <w:tcPr>
            <w:tcW w:w="1025" w:type="dxa"/>
            <w:noWrap/>
            <w:hideMark/>
          </w:tcPr>
          <w:p w14:paraId="5F72819D"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18,685</w:t>
            </w:r>
          </w:p>
        </w:tc>
      </w:tr>
      <w:tr w:rsidR="00CC7461" w:rsidRPr="0075717C" w14:paraId="52E40B16"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1AAF0AA3" w14:textId="77777777" w:rsidR="0075717C" w:rsidRPr="0075717C" w:rsidRDefault="0075717C" w:rsidP="00FB553C">
            <w:pPr>
              <w:rPr>
                <w:lang w:eastAsia="en-GB"/>
              </w:rPr>
            </w:pPr>
            <w:r w:rsidRPr="0075717C">
              <w:rPr>
                <w:lang w:eastAsia="en-GB"/>
              </w:rPr>
              <w:t>South Cambs</w:t>
            </w:r>
          </w:p>
        </w:tc>
        <w:tc>
          <w:tcPr>
            <w:tcW w:w="896" w:type="dxa"/>
            <w:noWrap/>
            <w:hideMark/>
          </w:tcPr>
          <w:p w14:paraId="4837D60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21.20%</w:t>
            </w:r>
          </w:p>
        </w:tc>
        <w:tc>
          <w:tcPr>
            <w:tcW w:w="1024" w:type="dxa"/>
            <w:noWrap/>
            <w:hideMark/>
          </w:tcPr>
          <w:p w14:paraId="211A709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3.80%</w:t>
            </w:r>
          </w:p>
        </w:tc>
        <w:tc>
          <w:tcPr>
            <w:tcW w:w="1025" w:type="dxa"/>
            <w:noWrap/>
            <w:hideMark/>
          </w:tcPr>
          <w:p w14:paraId="0E5ECEA4"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4.20%</w:t>
            </w:r>
          </w:p>
        </w:tc>
        <w:tc>
          <w:tcPr>
            <w:tcW w:w="1024" w:type="dxa"/>
            <w:noWrap/>
            <w:hideMark/>
          </w:tcPr>
          <w:p w14:paraId="662A255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1.80%</w:t>
            </w:r>
          </w:p>
        </w:tc>
        <w:tc>
          <w:tcPr>
            <w:tcW w:w="1025" w:type="dxa"/>
            <w:noWrap/>
            <w:hideMark/>
          </w:tcPr>
          <w:p w14:paraId="79E8856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68.80%</w:t>
            </w:r>
          </w:p>
        </w:tc>
        <w:tc>
          <w:tcPr>
            <w:tcW w:w="1024" w:type="dxa"/>
            <w:noWrap/>
            <w:hideMark/>
          </w:tcPr>
          <w:p w14:paraId="68529CB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4453836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31.20%</w:t>
            </w:r>
          </w:p>
        </w:tc>
      </w:tr>
      <w:tr w:rsidR="00CC7461" w:rsidRPr="0075717C" w14:paraId="5A13E344"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118A2595" w14:textId="77777777" w:rsidR="0075717C" w:rsidRPr="0075717C" w:rsidRDefault="0075717C" w:rsidP="00FB553C">
            <w:pPr>
              <w:rPr>
                <w:lang w:eastAsia="en-GB"/>
              </w:rPr>
            </w:pPr>
            <w:r w:rsidRPr="0075717C">
              <w:rPr>
                <w:lang w:eastAsia="en-GB"/>
              </w:rPr>
              <w:t>Greater Cambridge</w:t>
            </w:r>
          </w:p>
        </w:tc>
        <w:tc>
          <w:tcPr>
            <w:tcW w:w="896" w:type="dxa"/>
            <w:noWrap/>
            <w:hideMark/>
          </w:tcPr>
          <w:p w14:paraId="7BD08FC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19,247</w:t>
            </w:r>
          </w:p>
        </w:tc>
        <w:tc>
          <w:tcPr>
            <w:tcW w:w="1024" w:type="dxa"/>
            <w:noWrap/>
            <w:hideMark/>
          </w:tcPr>
          <w:p w14:paraId="0B27DC0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3,906</w:t>
            </w:r>
          </w:p>
        </w:tc>
        <w:tc>
          <w:tcPr>
            <w:tcW w:w="1025" w:type="dxa"/>
            <w:noWrap/>
            <w:hideMark/>
          </w:tcPr>
          <w:p w14:paraId="13307DD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4,522</w:t>
            </w:r>
          </w:p>
        </w:tc>
        <w:tc>
          <w:tcPr>
            <w:tcW w:w="1024" w:type="dxa"/>
            <w:noWrap/>
            <w:hideMark/>
          </w:tcPr>
          <w:p w14:paraId="46595D27"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2,252</w:t>
            </w:r>
          </w:p>
        </w:tc>
        <w:tc>
          <w:tcPr>
            <w:tcW w:w="1025" w:type="dxa"/>
            <w:noWrap/>
            <w:hideMark/>
          </w:tcPr>
          <w:p w14:paraId="6D57812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76,747</w:t>
            </w:r>
          </w:p>
        </w:tc>
        <w:tc>
          <w:tcPr>
            <w:tcW w:w="1024" w:type="dxa"/>
            <w:noWrap/>
            <w:hideMark/>
          </w:tcPr>
          <w:p w14:paraId="510282C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106,674</w:t>
            </w:r>
          </w:p>
        </w:tc>
        <w:tc>
          <w:tcPr>
            <w:tcW w:w="1025" w:type="dxa"/>
            <w:noWrap/>
            <w:hideMark/>
          </w:tcPr>
          <w:p w14:paraId="6860867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29,927</w:t>
            </w:r>
          </w:p>
        </w:tc>
      </w:tr>
      <w:tr w:rsidR="00CC7461" w:rsidRPr="0075717C" w14:paraId="56D9DDCB"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48028597" w14:textId="77777777" w:rsidR="0075717C" w:rsidRPr="0075717C" w:rsidRDefault="0075717C" w:rsidP="00FB553C">
            <w:pPr>
              <w:rPr>
                <w:lang w:eastAsia="en-GB"/>
              </w:rPr>
            </w:pPr>
            <w:r w:rsidRPr="0075717C">
              <w:rPr>
                <w:lang w:eastAsia="en-GB"/>
              </w:rPr>
              <w:t>Greater Cambridge</w:t>
            </w:r>
          </w:p>
        </w:tc>
        <w:tc>
          <w:tcPr>
            <w:tcW w:w="896" w:type="dxa"/>
            <w:noWrap/>
            <w:hideMark/>
          </w:tcPr>
          <w:p w14:paraId="23CBBC3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18.00%</w:t>
            </w:r>
          </w:p>
        </w:tc>
        <w:tc>
          <w:tcPr>
            <w:tcW w:w="1024" w:type="dxa"/>
            <w:noWrap/>
            <w:hideMark/>
          </w:tcPr>
          <w:p w14:paraId="59FF381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3.70%</w:t>
            </w:r>
          </w:p>
        </w:tc>
        <w:tc>
          <w:tcPr>
            <w:tcW w:w="1025" w:type="dxa"/>
            <w:noWrap/>
            <w:hideMark/>
          </w:tcPr>
          <w:p w14:paraId="2F184644"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4.20%</w:t>
            </w:r>
          </w:p>
        </w:tc>
        <w:tc>
          <w:tcPr>
            <w:tcW w:w="1024" w:type="dxa"/>
            <w:noWrap/>
            <w:hideMark/>
          </w:tcPr>
          <w:p w14:paraId="514C6C1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2.10%</w:t>
            </w:r>
          </w:p>
        </w:tc>
        <w:tc>
          <w:tcPr>
            <w:tcW w:w="1025" w:type="dxa"/>
            <w:noWrap/>
            <w:hideMark/>
          </w:tcPr>
          <w:p w14:paraId="7BDC13A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71.90%</w:t>
            </w:r>
          </w:p>
        </w:tc>
        <w:tc>
          <w:tcPr>
            <w:tcW w:w="1024" w:type="dxa"/>
            <w:noWrap/>
            <w:hideMark/>
          </w:tcPr>
          <w:p w14:paraId="44EA272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65ED2CB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28.10%</w:t>
            </w:r>
          </w:p>
        </w:tc>
      </w:tr>
      <w:tr w:rsidR="00CC7461" w:rsidRPr="0075717C" w14:paraId="0DC8B438"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7F1EA91B" w14:textId="77777777" w:rsidR="0075717C" w:rsidRPr="0075717C" w:rsidRDefault="0075717C" w:rsidP="00FB553C">
            <w:pPr>
              <w:rPr>
                <w:lang w:eastAsia="en-GB"/>
              </w:rPr>
            </w:pPr>
            <w:r w:rsidRPr="0075717C">
              <w:rPr>
                <w:lang w:eastAsia="en-GB"/>
              </w:rPr>
              <w:t>East Cambs</w:t>
            </w:r>
          </w:p>
        </w:tc>
        <w:tc>
          <w:tcPr>
            <w:tcW w:w="896" w:type="dxa"/>
            <w:noWrap/>
            <w:hideMark/>
          </w:tcPr>
          <w:p w14:paraId="564A746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6,696</w:t>
            </w:r>
          </w:p>
        </w:tc>
        <w:tc>
          <w:tcPr>
            <w:tcW w:w="1024" w:type="dxa"/>
            <w:noWrap/>
            <w:hideMark/>
          </w:tcPr>
          <w:p w14:paraId="015FABF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1,558</w:t>
            </w:r>
          </w:p>
        </w:tc>
        <w:tc>
          <w:tcPr>
            <w:tcW w:w="1025" w:type="dxa"/>
            <w:noWrap/>
            <w:hideMark/>
          </w:tcPr>
          <w:p w14:paraId="4E541C4F"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1,464</w:t>
            </w:r>
          </w:p>
        </w:tc>
        <w:tc>
          <w:tcPr>
            <w:tcW w:w="1024" w:type="dxa"/>
            <w:noWrap/>
            <w:hideMark/>
          </w:tcPr>
          <w:p w14:paraId="0BCEE1C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694</w:t>
            </w:r>
          </w:p>
        </w:tc>
        <w:tc>
          <w:tcPr>
            <w:tcW w:w="1025" w:type="dxa"/>
            <w:noWrap/>
            <w:hideMark/>
          </w:tcPr>
          <w:p w14:paraId="1AB8AE38"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24,202</w:t>
            </w:r>
          </w:p>
        </w:tc>
        <w:tc>
          <w:tcPr>
            <w:tcW w:w="1024" w:type="dxa"/>
            <w:noWrap/>
            <w:hideMark/>
          </w:tcPr>
          <w:p w14:paraId="3A0057C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34,614</w:t>
            </w:r>
          </w:p>
        </w:tc>
        <w:tc>
          <w:tcPr>
            <w:tcW w:w="1025" w:type="dxa"/>
            <w:noWrap/>
            <w:hideMark/>
          </w:tcPr>
          <w:p w14:paraId="3A3491C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10,412</w:t>
            </w:r>
          </w:p>
        </w:tc>
      </w:tr>
      <w:tr w:rsidR="00CC7461" w:rsidRPr="0075717C" w14:paraId="699007E6"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67B67BAB" w14:textId="77777777" w:rsidR="0075717C" w:rsidRPr="0075717C" w:rsidRDefault="0075717C" w:rsidP="00FB553C">
            <w:pPr>
              <w:rPr>
                <w:lang w:eastAsia="en-GB"/>
              </w:rPr>
            </w:pPr>
            <w:r w:rsidRPr="0075717C">
              <w:rPr>
                <w:lang w:eastAsia="en-GB"/>
              </w:rPr>
              <w:t>East Cambs</w:t>
            </w:r>
          </w:p>
        </w:tc>
        <w:tc>
          <w:tcPr>
            <w:tcW w:w="896" w:type="dxa"/>
            <w:noWrap/>
            <w:hideMark/>
          </w:tcPr>
          <w:p w14:paraId="5EB33938"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19.30%</w:t>
            </w:r>
          </w:p>
        </w:tc>
        <w:tc>
          <w:tcPr>
            <w:tcW w:w="1024" w:type="dxa"/>
            <w:noWrap/>
            <w:hideMark/>
          </w:tcPr>
          <w:p w14:paraId="1CA6FAF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4.50%</w:t>
            </w:r>
          </w:p>
        </w:tc>
        <w:tc>
          <w:tcPr>
            <w:tcW w:w="1025" w:type="dxa"/>
            <w:noWrap/>
            <w:hideMark/>
          </w:tcPr>
          <w:p w14:paraId="4CF7164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4.20%</w:t>
            </w:r>
          </w:p>
        </w:tc>
        <w:tc>
          <w:tcPr>
            <w:tcW w:w="1024" w:type="dxa"/>
            <w:noWrap/>
            <w:hideMark/>
          </w:tcPr>
          <w:p w14:paraId="3E1F3468"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2.00%</w:t>
            </w:r>
          </w:p>
        </w:tc>
        <w:tc>
          <w:tcPr>
            <w:tcW w:w="1025" w:type="dxa"/>
            <w:noWrap/>
            <w:hideMark/>
          </w:tcPr>
          <w:p w14:paraId="4E2A489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69.90%</w:t>
            </w:r>
          </w:p>
        </w:tc>
        <w:tc>
          <w:tcPr>
            <w:tcW w:w="1024" w:type="dxa"/>
            <w:noWrap/>
            <w:hideMark/>
          </w:tcPr>
          <w:p w14:paraId="47303F7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20FEC9C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30.10%</w:t>
            </w:r>
          </w:p>
        </w:tc>
      </w:tr>
      <w:tr w:rsidR="00CC7461" w:rsidRPr="0075717C" w14:paraId="5E13D6D6"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558BE143" w14:textId="77777777" w:rsidR="0075717C" w:rsidRPr="0075717C" w:rsidRDefault="0075717C" w:rsidP="00FB553C">
            <w:pPr>
              <w:rPr>
                <w:lang w:eastAsia="en-GB"/>
              </w:rPr>
            </w:pPr>
            <w:r w:rsidRPr="0075717C">
              <w:rPr>
                <w:lang w:eastAsia="en-GB"/>
              </w:rPr>
              <w:t>Fenland</w:t>
            </w:r>
          </w:p>
        </w:tc>
        <w:tc>
          <w:tcPr>
            <w:tcW w:w="896" w:type="dxa"/>
            <w:noWrap/>
            <w:hideMark/>
          </w:tcPr>
          <w:p w14:paraId="724DB7F4"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5,538</w:t>
            </w:r>
          </w:p>
        </w:tc>
        <w:tc>
          <w:tcPr>
            <w:tcW w:w="1024" w:type="dxa"/>
            <w:noWrap/>
            <w:hideMark/>
          </w:tcPr>
          <w:p w14:paraId="2A970C1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1,922</w:t>
            </w:r>
          </w:p>
        </w:tc>
        <w:tc>
          <w:tcPr>
            <w:tcW w:w="1025" w:type="dxa"/>
            <w:noWrap/>
            <w:hideMark/>
          </w:tcPr>
          <w:p w14:paraId="7FB6CEE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2,591</w:t>
            </w:r>
          </w:p>
        </w:tc>
        <w:tc>
          <w:tcPr>
            <w:tcW w:w="1024" w:type="dxa"/>
            <w:noWrap/>
            <w:hideMark/>
          </w:tcPr>
          <w:p w14:paraId="232C4EE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1,011</w:t>
            </w:r>
          </w:p>
        </w:tc>
        <w:tc>
          <w:tcPr>
            <w:tcW w:w="1025" w:type="dxa"/>
            <w:noWrap/>
            <w:hideMark/>
          </w:tcPr>
          <w:p w14:paraId="75DAFB5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29,558</w:t>
            </w:r>
          </w:p>
        </w:tc>
        <w:tc>
          <w:tcPr>
            <w:tcW w:w="1024" w:type="dxa"/>
            <w:noWrap/>
            <w:hideMark/>
          </w:tcPr>
          <w:p w14:paraId="6CE9C84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40,620</w:t>
            </w:r>
          </w:p>
        </w:tc>
        <w:tc>
          <w:tcPr>
            <w:tcW w:w="1025" w:type="dxa"/>
            <w:noWrap/>
            <w:hideMark/>
          </w:tcPr>
          <w:p w14:paraId="5FB5D75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11,062</w:t>
            </w:r>
          </w:p>
        </w:tc>
      </w:tr>
      <w:tr w:rsidR="00CC7461" w:rsidRPr="0075717C" w14:paraId="1278FF54"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3A25B798" w14:textId="77777777" w:rsidR="0075717C" w:rsidRPr="0075717C" w:rsidRDefault="0075717C" w:rsidP="00FB553C">
            <w:pPr>
              <w:rPr>
                <w:lang w:eastAsia="en-GB"/>
              </w:rPr>
            </w:pPr>
            <w:r w:rsidRPr="0075717C">
              <w:rPr>
                <w:lang w:eastAsia="en-GB"/>
              </w:rPr>
              <w:t>Fenland</w:t>
            </w:r>
          </w:p>
        </w:tc>
        <w:tc>
          <w:tcPr>
            <w:tcW w:w="896" w:type="dxa"/>
            <w:noWrap/>
            <w:hideMark/>
          </w:tcPr>
          <w:p w14:paraId="5401129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13.60%</w:t>
            </w:r>
          </w:p>
        </w:tc>
        <w:tc>
          <w:tcPr>
            <w:tcW w:w="1024" w:type="dxa"/>
            <w:noWrap/>
            <w:hideMark/>
          </w:tcPr>
          <w:p w14:paraId="48340D6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4.70%</w:t>
            </w:r>
          </w:p>
        </w:tc>
        <w:tc>
          <w:tcPr>
            <w:tcW w:w="1025" w:type="dxa"/>
            <w:noWrap/>
            <w:hideMark/>
          </w:tcPr>
          <w:p w14:paraId="0FF3896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6.40%</w:t>
            </w:r>
          </w:p>
        </w:tc>
        <w:tc>
          <w:tcPr>
            <w:tcW w:w="1024" w:type="dxa"/>
            <w:noWrap/>
            <w:hideMark/>
          </w:tcPr>
          <w:p w14:paraId="0CEC065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2.50%</w:t>
            </w:r>
          </w:p>
        </w:tc>
        <w:tc>
          <w:tcPr>
            <w:tcW w:w="1025" w:type="dxa"/>
            <w:noWrap/>
            <w:hideMark/>
          </w:tcPr>
          <w:p w14:paraId="55BC3F7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72.80%</w:t>
            </w:r>
          </w:p>
        </w:tc>
        <w:tc>
          <w:tcPr>
            <w:tcW w:w="1024" w:type="dxa"/>
            <w:noWrap/>
            <w:hideMark/>
          </w:tcPr>
          <w:p w14:paraId="31DB04A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3A4F624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27.20%</w:t>
            </w:r>
          </w:p>
        </w:tc>
      </w:tr>
      <w:tr w:rsidR="00CC7461" w:rsidRPr="0075717C" w14:paraId="0ED2BEF4"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46E7F755" w14:textId="77777777" w:rsidR="0075717C" w:rsidRPr="0075717C" w:rsidRDefault="0075717C" w:rsidP="00FB553C">
            <w:pPr>
              <w:rPr>
                <w:lang w:eastAsia="en-GB"/>
              </w:rPr>
            </w:pPr>
            <w:r w:rsidRPr="0075717C">
              <w:rPr>
                <w:lang w:eastAsia="en-GB"/>
              </w:rPr>
              <w:t>Huntingdonshire</w:t>
            </w:r>
          </w:p>
        </w:tc>
        <w:tc>
          <w:tcPr>
            <w:tcW w:w="896" w:type="dxa"/>
            <w:noWrap/>
            <w:hideMark/>
          </w:tcPr>
          <w:p w14:paraId="4C084C1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12,744</w:t>
            </w:r>
          </w:p>
        </w:tc>
        <w:tc>
          <w:tcPr>
            <w:tcW w:w="1024" w:type="dxa"/>
            <w:noWrap/>
            <w:hideMark/>
          </w:tcPr>
          <w:p w14:paraId="755C3B3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3,102</w:t>
            </w:r>
          </w:p>
        </w:tc>
        <w:tc>
          <w:tcPr>
            <w:tcW w:w="1025" w:type="dxa"/>
            <w:noWrap/>
            <w:hideMark/>
          </w:tcPr>
          <w:p w14:paraId="6E58888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3,681</w:t>
            </w:r>
          </w:p>
        </w:tc>
        <w:tc>
          <w:tcPr>
            <w:tcW w:w="1024" w:type="dxa"/>
            <w:noWrap/>
            <w:hideMark/>
          </w:tcPr>
          <w:p w14:paraId="557B152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1,398</w:t>
            </w:r>
          </w:p>
        </w:tc>
        <w:tc>
          <w:tcPr>
            <w:tcW w:w="1025" w:type="dxa"/>
            <w:noWrap/>
            <w:hideMark/>
          </w:tcPr>
          <w:p w14:paraId="6DE6B50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48,408</w:t>
            </w:r>
          </w:p>
        </w:tc>
        <w:tc>
          <w:tcPr>
            <w:tcW w:w="1024" w:type="dxa"/>
            <w:noWrap/>
            <w:hideMark/>
          </w:tcPr>
          <w:p w14:paraId="46BCD604"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69,333</w:t>
            </w:r>
          </w:p>
        </w:tc>
        <w:tc>
          <w:tcPr>
            <w:tcW w:w="1025" w:type="dxa"/>
            <w:noWrap/>
            <w:hideMark/>
          </w:tcPr>
          <w:p w14:paraId="556B421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20,925</w:t>
            </w:r>
          </w:p>
        </w:tc>
      </w:tr>
      <w:tr w:rsidR="00CC7461" w:rsidRPr="0075717C" w14:paraId="53DA94F9"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45F44745" w14:textId="77777777" w:rsidR="0075717C" w:rsidRPr="0075717C" w:rsidRDefault="0075717C" w:rsidP="00FB553C">
            <w:pPr>
              <w:rPr>
                <w:lang w:eastAsia="en-GB"/>
              </w:rPr>
            </w:pPr>
            <w:r w:rsidRPr="0075717C">
              <w:rPr>
                <w:lang w:eastAsia="en-GB"/>
              </w:rPr>
              <w:t>Huntingdonshire</w:t>
            </w:r>
          </w:p>
        </w:tc>
        <w:tc>
          <w:tcPr>
            <w:tcW w:w="896" w:type="dxa"/>
            <w:noWrap/>
            <w:hideMark/>
          </w:tcPr>
          <w:p w14:paraId="475EF77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18.40%</w:t>
            </w:r>
          </w:p>
        </w:tc>
        <w:tc>
          <w:tcPr>
            <w:tcW w:w="1024" w:type="dxa"/>
            <w:noWrap/>
            <w:hideMark/>
          </w:tcPr>
          <w:p w14:paraId="21492C9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4.50%</w:t>
            </w:r>
          </w:p>
        </w:tc>
        <w:tc>
          <w:tcPr>
            <w:tcW w:w="1025" w:type="dxa"/>
            <w:noWrap/>
            <w:hideMark/>
          </w:tcPr>
          <w:p w14:paraId="0F40367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5.30%</w:t>
            </w:r>
          </w:p>
        </w:tc>
        <w:tc>
          <w:tcPr>
            <w:tcW w:w="1024" w:type="dxa"/>
            <w:noWrap/>
            <w:hideMark/>
          </w:tcPr>
          <w:p w14:paraId="2D76EB2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2.00%</w:t>
            </w:r>
          </w:p>
        </w:tc>
        <w:tc>
          <w:tcPr>
            <w:tcW w:w="1025" w:type="dxa"/>
            <w:noWrap/>
            <w:hideMark/>
          </w:tcPr>
          <w:p w14:paraId="4628AC55"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69.80%</w:t>
            </w:r>
          </w:p>
        </w:tc>
        <w:tc>
          <w:tcPr>
            <w:tcW w:w="1024" w:type="dxa"/>
            <w:noWrap/>
            <w:hideMark/>
          </w:tcPr>
          <w:p w14:paraId="21681F4F"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3285D8C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30.20%</w:t>
            </w:r>
          </w:p>
        </w:tc>
      </w:tr>
      <w:tr w:rsidR="00CC7461" w:rsidRPr="0075717C" w14:paraId="51150D3F"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0391FB43" w14:textId="77777777" w:rsidR="0075717C" w:rsidRPr="0075717C" w:rsidRDefault="0075717C" w:rsidP="00FB553C">
            <w:pPr>
              <w:rPr>
                <w:lang w:eastAsia="en-GB"/>
              </w:rPr>
            </w:pPr>
            <w:r w:rsidRPr="0075717C">
              <w:rPr>
                <w:lang w:eastAsia="en-GB"/>
              </w:rPr>
              <w:t>West Suffolk</w:t>
            </w:r>
          </w:p>
        </w:tc>
        <w:tc>
          <w:tcPr>
            <w:tcW w:w="896" w:type="dxa"/>
            <w:noWrap/>
            <w:hideMark/>
          </w:tcPr>
          <w:p w14:paraId="1260F4E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11,701</w:t>
            </w:r>
          </w:p>
        </w:tc>
        <w:tc>
          <w:tcPr>
            <w:tcW w:w="1024" w:type="dxa"/>
            <w:noWrap/>
            <w:hideMark/>
          </w:tcPr>
          <w:p w14:paraId="2CA051A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2,996</w:t>
            </w:r>
          </w:p>
        </w:tc>
        <w:tc>
          <w:tcPr>
            <w:tcW w:w="1025" w:type="dxa"/>
            <w:noWrap/>
            <w:hideMark/>
          </w:tcPr>
          <w:p w14:paraId="1D68762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4,234</w:t>
            </w:r>
          </w:p>
        </w:tc>
        <w:tc>
          <w:tcPr>
            <w:tcW w:w="1024" w:type="dxa"/>
            <w:noWrap/>
            <w:hideMark/>
          </w:tcPr>
          <w:p w14:paraId="4B89F995"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1,405</w:t>
            </w:r>
          </w:p>
        </w:tc>
        <w:tc>
          <w:tcPr>
            <w:tcW w:w="1025" w:type="dxa"/>
            <w:noWrap/>
            <w:hideMark/>
          </w:tcPr>
          <w:p w14:paraId="0738982F"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50,842</w:t>
            </w:r>
          </w:p>
        </w:tc>
        <w:tc>
          <w:tcPr>
            <w:tcW w:w="1024" w:type="dxa"/>
            <w:noWrap/>
            <w:hideMark/>
          </w:tcPr>
          <w:p w14:paraId="2132E864"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71,178</w:t>
            </w:r>
          </w:p>
        </w:tc>
        <w:tc>
          <w:tcPr>
            <w:tcW w:w="1025" w:type="dxa"/>
            <w:noWrap/>
            <w:hideMark/>
          </w:tcPr>
          <w:p w14:paraId="390A0956"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20,336</w:t>
            </w:r>
          </w:p>
        </w:tc>
      </w:tr>
      <w:tr w:rsidR="00CC7461" w:rsidRPr="0075717C" w14:paraId="7131D3C3"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2FA9FE08" w14:textId="77777777" w:rsidR="0075717C" w:rsidRPr="0075717C" w:rsidRDefault="0075717C" w:rsidP="00FB553C">
            <w:pPr>
              <w:rPr>
                <w:lang w:eastAsia="en-GB"/>
              </w:rPr>
            </w:pPr>
            <w:r w:rsidRPr="0075717C">
              <w:rPr>
                <w:lang w:eastAsia="en-GB"/>
              </w:rPr>
              <w:t>West Suffolk</w:t>
            </w:r>
          </w:p>
        </w:tc>
        <w:tc>
          <w:tcPr>
            <w:tcW w:w="896" w:type="dxa"/>
            <w:noWrap/>
            <w:hideMark/>
          </w:tcPr>
          <w:p w14:paraId="2783521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16.40%</w:t>
            </w:r>
          </w:p>
        </w:tc>
        <w:tc>
          <w:tcPr>
            <w:tcW w:w="1024" w:type="dxa"/>
            <w:noWrap/>
            <w:hideMark/>
          </w:tcPr>
          <w:p w14:paraId="73F05C38"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4.20%</w:t>
            </w:r>
          </w:p>
        </w:tc>
        <w:tc>
          <w:tcPr>
            <w:tcW w:w="1025" w:type="dxa"/>
            <w:noWrap/>
            <w:hideMark/>
          </w:tcPr>
          <w:p w14:paraId="670ECED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5.90%</w:t>
            </w:r>
          </w:p>
        </w:tc>
        <w:tc>
          <w:tcPr>
            <w:tcW w:w="1024" w:type="dxa"/>
            <w:noWrap/>
            <w:hideMark/>
          </w:tcPr>
          <w:p w14:paraId="3E213F8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2.00%</w:t>
            </w:r>
          </w:p>
        </w:tc>
        <w:tc>
          <w:tcPr>
            <w:tcW w:w="1025" w:type="dxa"/>
            <w:noWrap/>
            <w:hideMark/>
          </w:tcPr>
          <w:p w14:paraId="1C8E235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71.40%</w:t>
            </w:r>
          </w:p>
        </w:tc>
        <w:tc>
          <w:tcPr>
            <w:tcW w:w="1024" w:type="dxa"/>
            <w:noWrap/>
            <w:hideMark/>
          </w:tcPr>
          <w:p w14:paraId="13ED79AD"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18618B8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28.60%</w:t>
            </w:r>
          </w:p>
        </w:tc>
      </w:tr>
      <w:tr w:rsidR="00CC7461" w:rsidRPr="0075717C" w14:paraId="7A589F5F"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1F95E25E" w14:textId="77777777" w:rsidR="0075717C" w:rsidRPr="0075717C" w:rsidRDefault="0075717C" w:rsidP="00FB553C">
            <w:pPr>
              <w:rPr>
                <w:b/>
                <w:bCs/>
                <w:lang w:eastAsia="en-GB"/>
              </w:rPr>
            </w:pPr>
            <w:r w:rsidRPr="0075717C">
              <w:rPr>
                <w:b/>
                <w:bCs/>
                <w:lang w:eastAsia="en-GB"/>
              </w:rPr>
              <w:t>HMA</w:t>
            </w:r>
          </w:p>
        </w:tc>
        <w:tc>
          <w:tcPr>
            <w:tcW w:w="896" w:type="dxa"/>
            <w:noWrap/>
            <w:hideMark/>
          </w:tcPr>
          <w:p w14:paraId="5419F3CF"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55,926</w:t>
            </w:r>
          </w:p>
        </w:tc>
        <w:tc>
          <w:tcPr>
            <w:tcW w:w="1024" w:type="dxa"/>
            <w:noWrap/>
            <w:hideMark/>
          </w:tcPr>
          <w:p w14:paraId="02AB26DE"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13,484</w:t>
            </w:r>
          </w:p>
        </w:tc>
        <w:tc>
          <w:tcPr>
            <w:tcW w:w="1025" w:type="dxa"/>
            <w:noWrap/>
            <w:hideMark/>
          </w:tcPr>
          <w:p w14:paraId="7AFEBDE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16,492</w:t>
            </w:r>
          </w:p>
        </w:tc>
        <w:tc>
          <w:tcPr>
            <w:tcW w:w="1024" w:type="dxa"/>
            <w:noWrap/>
            <w:hideMark/>
          </w:tcPr>
          <w:p w14:paraId="19C75987"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6,760</w:t>
            </w:r>
          </w:p>
        </w:tc>
        <w:tc>
          <w:tcPr>
            <w:tcW w:w="1025" w:type="dxa"/>
            <w:noWrap/>
            <w:hideMark/>
          </w:tcPr>
          <w:p w14:paraId="0FC2531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229,757</w:t>
            </w:r>
          </w:p>
        </w:tc>
        <w:tc>
          <w:tcPr>
            <w:tcW w:w="1024" w:type="dxa"/>
            <w:noWrap/>
            <w:hideMark/>
          </w:tcPr>
          <w:p w14:paraId="2CFAFC17"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322,419</w:t>
            </w:r>
          </w:p>
        </w:tc>
        <w:tc>
          <w:tcPr>
            <w:tcW w:w="1025" w:type="dxa"/>
            <w:noWrap/>
            <w:hideMark/>
          </w:tcPr>
          <w:p w14:paraId="33A5CA8F"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92,662</w:t>
            </w:r>
          </w:p>
        </w:tc>
      </w:tr>
      <w:tr w:rsidR="00CC7461" w:rsidRPr="0075717C" w14:paraId="001ED327"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34E6EE08" w14:textId="77777777" w:rsidR="0075717C" w:rsidRPr="0075717C" w:rsidRDefault="0075717C" w:rsidP="00FB553C">
            <w:pPr>
              <w:rPr>
                <w:b/>
                <w:bCs/>
                <w:lang w:eastAsia="en-GB"/>
              </w:rPr>
            </w:pPr>
            <w:r w:rsidRPr="0075717C">
              <w:rPr>
                <w:b/>
                <w:bCs/>
                <w:lang w:eastAsia="en-GB"/>
              </w:rPr>
              <w:t>HMA</w:t>
            </w:r>
          </w:p>
        </w:tc>
        <w:tc>
          <w:tcPr>
            <w:tcW w:w="896" w:type="dxa"/>
            <w:noWrap/>
            <w:hideMark/>
          </w:tcPr>
          <w:p w14:paraId="1A467FC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17.30%</w:t>
            </w:r>
          </w:p>
        </w:tc>
        <w:tc>
          <w:tcPr>
            <w:tcW w:w="1024" w:type="dxa"/>
            <w:noWrap/>
            <w:hideMark/>
          </w:tcPr>
          <w:p w14:paraId="1D9FB03C"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4.20%</w:t>
            </w:r>
          </w:p>
        </w:tc>
        <w:tc>
          <w:tcPr>
            <w:tcW w:w="1025" w:type="dxa"/>
            <w:noWrap/>
            <w:hideMark/>
          </w:tcPr>
          <w:p w14:paraId="1238AC37"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5.10%</w:t>
            </w:r>
          </w:p>
        </w:tc>
        <w:tc>
          <w:tcPr>
            <w:tcW w:w="1024" w:type="dxa"/>
            <w:noWrap/>
            <w:hideMark/>
          </w:tcPr>
          <w:p w14:paraId="2333793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2.10%</w:t>
            </w:r>
          </w:p>
        </w:tc>
        <w:tc>
          <w:tcPr>
            <w:tcW w:w="1025" w:type="dxa"/>
            <w:noWrap/>
            <w:hideMark/>
          </w:tcPr>
          <w:p w14:paraId="08BE3EE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71.30%</w:t>
            </w:r>
          </w:p>
        </w:tc>
        <w:tc>
          <w:tcPr>
            <w:tcW w:w="1024" w:type="dxa"/>
            <w:noWrap/>
            <w:hideMark/>
          </w:tcPr>
          <w:p w14:paraId="057ECF9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100.00%</w:t>
            </w:r>
          </w:p>
        </w:tc>
        <w:tc>
          <w:tcPr>
            <w:tcW w:w="1025" w:type="dxa"/>
            <w:noWrap/>
            <w:hideMark/>
          </w:tcPr>
          <w:p w14:paraId="6CEDF6B8"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b/>
                <w:bCs/>
                <w:lang w:eastAsia="en-GB"/>
              </w:rPr>
            </w:pPr>
            <w:r w:rsidRPr="0075717C">
              <w:rPr>
                <w:b/>
                <w:bCs/>
                <w:lang w:eastAsia="en-GB"/>
              </w:rPr>
              <w:t>28.70%</w:t>
            </w:r>
          </w:p>
        </w:tc>
      </w:tr>
      <w:tr w:rsidR="00CC7461" w:rsidRPr="0075717C" w14:paraId="0F86404D"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39973EA2" w14:textId="77777777" w:rsidR="0075717C" w:rsidRPr="0075717C" w:rsidRDefault="0075717C" w:rsidP="00FB553C">
            <w:pPr>
              <w:rPr>
                <w:lang w:eastAsia="en-GB"/>
              </w:rPr>
            </w:pPr>
            <w:r w:rsidRPr="0075717C">
              <w:rPr>
                <w:lang w:eastAsia="en-GB"/>
              </w:rPr>
              <w:t>East of England</w:t>
            </w:r>
          </w:p>
        </w:tc>
        <w:tc>
          <w:tcPr>
            <w:tcW w:w="896" w:type="dxa"/>
            <w:noWrap/>
            <w:hideMark/>
          </w:tcPr>
          <w:p w14:paraId="7A4AA0EB"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16.70%</w:t>
            </w:r>
          </w:p>
        </w:tc>
        <w:tc>
          <w:tcPr>
            <w:tcW w:w="1024" w:type="dxa"/>
            <w:noWrap/>
            <w:hideMark/>
          </w:tcPr>
          <w:p w14:paraId="1C0C5E5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4.30%</w:t>
            </w:r>
          </w:p>
        </w:tc>
        <w:tc>
          <w:tcPr>
            <w:tcW w:w="1025" w:type="dxa"/>
            <w:noWrap/>
            <w:hideMark/>
          </w:tcPr>
          <w:p w14:paraId="218B2883"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6.20%</w:t>
            </w:r>
          </w:p>
        </w:tc>
        <w:tc>
          <w:tcPr>
            <w:tcW w:w="1024" w:type="dxa"/>
            <w:noWrap/>
            <w:hideMark/>
          </w:tcPr>
          <w:p w14:paraId="729DF05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2.20%</w:t>
            </w:r>
          </w:p>
        </w:tc>
        <w:tc>
          <w:tcPr>
            <w:tcW w:w="1025" w:type="dxa"/>
            <w:noWrap/>
            <w:hideMark/>
          </w:tcPr>
          <w:p w14:paraId="3019659D"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70.60%</w:t>
            </w:r>
          </w:p>
        </w:tc>
        <w:tc>
          <w:tcPr>
            <w:tcW w:w="1024" w:type="dxa"/>
            <w:noWrap/>
            <w:hideMark/>
          </w:tcPr>
          <w:p w14:paraId="595BFA3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389A38EA"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29.40%</w:t>
            </w:r>
          </w:p>
        </w:tc>
      </w:tr>
      <w:tr w:rsidR="00CC7461" w:rsidRPr="0075717C" w14:paraId="0A3FA879"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969" w:type="dxa"/>
            <w:noWrap/>
            <w:hideMark/>
          </w:tcPr>
          <w:p w14:paraId="2C5D94E7" w14:textId="77777777" w:rsidR="0075717C" w:rsidRPr="0075717C" w:rsidRDefault="0075717C" w:rsidP="00FB553C">
            <w:pPr>
              <w:rPr>
                <w:lang w:eastAsia="en-GB"/>
              </w:rPr>
            </w:pPr>
            <w:r w:rsidRPr="0075717C">
              <w:rPr>
                <w:lang w:eastAsia="en-GB"/>
              </w:rPr>
              <w:t>England</w:t>
            </w:r>
          </w:p>
        </w:tc>
        <w:tc>
          <w:tcPr>
            <w:tcW w:w="896" w:type="dxa"/>
            <w:noWrap/>
            <w:hideMark/>
          </w:tcPr>
          <w:p w14:paraId="1D262DF9"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15.30%</w:t>
            </w:r>
          </w:p>
        </w:tc>
        <w:tc>
          <w:tcPr>
            <w:tcW w:w="1024" w:type="dxa"/>
            <w:noWrap/>
            <w:hideMark/>
          </w:tcPr>
          <w:p w14:paraId="5CBE6AF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4.00%</w:t>
            </w:r>
          </w:p>
        </w:tc>
        <w:tc>
          <w:tcPr>
            <w:tcW w:w="1025" w:type="dxa"/>
            <w:noWrap/>
            <w:hideMark/>
          </w:tcPr>
          <w:p w14:paraId="10199651"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7.10%</w:t>
            </w:r>
          </w:p>
        </w:tc>
        <w:tc>
          <w:tcPr>
            <w:tcW w:w="1024" w:type="dxa"/>
            <w:noWrap/>
            <w:hideMark/>
          </w:tcPr>
          <w:p w14:paraId="40A85115"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2.60%</w:t>
            </w:r>
          </w:p>
        </w:tc>
        <w:tc>
          <w:tcPr>
            <w:tcW w:w="1025" w:type="dxa"/>
            <w:noWrap/>
            <w:hideMark/>
          </w:tcPr>
          <w:p w14:paraId="143B5A30"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70.90%</w:t>
            </w:r>
          </w:p>
        </w:tc>
        <w:tc>
          <w:tcPr>
            <w:tcW w:w="1024" w:type="dxa"/>
            <w:noWrap/>
            <w:hideMark/>
          </w:tcPr>
          <w:p w14:paraId="43FFA8D2"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100.00%</w:t>
            </w:r>
          </w:p>
        </w:tc>
        <w:tc>
          <w:tcPr>
            <w:tcW w:w="1025" w:type="dxa"/>
            <w:noWrap/>
            <w:hideMark/>
          </w:tcPr>
          <w:p w14:paraId="41FC61C5" w14:textId="77777777" w:rsidR="0075717C" w:rsidRPr="0075717C" w:rsidRDefault="0075717C" w:rsidP="00FB553C">
            <w:pPr>
              <w:cnfStyle w:val="000000000000" w:firstRow="0" w:lastRow="0" w:firstColumn="0" w:lastColumn="0" w:oddVBand="0" w:evenVBand="0" w:oddHBand="0" w:evenHBand="0" w:firstRowFirstColumn="0" w:firstRowLastColumn="0" w:lastRowFirstColumn="0" w:lastRowLastColumn="0"/>
              <w:rPr>
                <w:lang w:eastAsia="en-GB"/>
              </w:rPr>
            </w:pPr>
            <w:r w:rsidRPr="0075717C">
              <w:rPr>
                <w:lang w:eastAsia="en-GB"/>
              </w:rPr>
              <w:t>29.10%</w:t>
            </w:r>
          </w:p>
        </w:tc>
      </w:tr>
    </w:tbl>
    <w:p w14:paraId="525BA934" w14:textId="77777777" w:rsidR="00A6240C" w:rsidRDefault="00A6240C" w:rsidP="00FB553C">
      <w:pPr>
        <w:pStyle w:val="11Bodytext"/>
        <w:numPr>
          <w:ilvl w:val="0"/>
          <w:numId w:val="0"/>
        </w:numPr>
        <w:spacing w:before="0" w:after="0" w:line="240" w:lineRule="auto"/>
        <w:ind w:left="794"/>
      </w:pPr>
      <w:r>
        <w:t>Source: Census (2011)</w:t>
      </w:r>
    </w:p>
    <w:p w14:paraId="217715B8" w14:textId="5CB76E71" w:rsidR="00A6240C" w:rsidRDefault="00A6240C" w:rsidP="007D0FBF">
      <w:pPr>
        <w:pStyle w:val="11Bodytext"/>
      </w:pPr>
      <w:r>
        <w:rPr>
          <w:lang w:eastAsia="en-US"/>
        </w:rPr>
        <w:t xml:space="preserve">Table 47 below shows the change in the number of households with dependent children from 2001 to 2011. The table shows that the number of households with dependent children increased by 11.1% (9,228) compared to a 12.6% increase in all households. </w:t>
      </w:r>
    </w:p>
    <w:p w14:paraId="0414C663" w14:textId="77777777" w:rsidR="0014773D" w:rsidRDefault="0014773D" w:rsidP="004F4BA7">
      <w:pPr>
        <w:pStyle w:val="11Bodytext"/>
        <w:numPr>
          <w:ilvl w:val="0"/>
          <w:numId w:val="0"/>
        </w:numPr>
        <w:ind w:left="794"/>
      </w:pPr>
    </w:p>
    <w:p w14:paraId="708907E9" w14:textId="77777777" w:rsidR="00A6240C" w:rsidRDefault="00A6240C" w:rsidP="003D5E23">
      <w:pPr>
        <w:pStyle w:val="Tableheading"/>
        <w:numPr>
          <w:ilvl w:val="0"/>
          <w:numId w:val="54"/>
        </w:numPr>
      </w:pPr>
      <w:r>
        <w:lastRenderedPageBreak/>
        <w:t>Change in households with dependent children (2001-11) – Cambridgeshire and West Suffolk</w:t>
      </w:r>
    </w:p>
    <w:tbl>
      <w:tblPr>
        <w:tblStyle w:val="TableGridLight1"/>
        <w:tblW w:w="8640" w:type="dxa"/>
        <w:tblInd w:w="704" w:type="dxa"/>
        <w:tblLayout w:type="fixed"/>
        <w:tblLook w:val="04A0" w:firstRow="1" w:lastRow="0" w:firstColumn="1" w:lastColumn="0" w:noHBand="0" w:noVBand="1"/>
      </w:tblPr>
      <w:tblGrid>
        <w:gridCol w:w="1134"/>
        <w:gridCol w:w="1072"/>
        <w:gridCol w:w="1072"/>
        <w:gridCol w:w="975"/>
        <w:gridCol w:w="992"/>
        <w:gridCol w:w="1250"/>
        <w:gridCol w:w="1072"/>
        <w:gridCol w:w="1073"/>
      </w:tblGrid>
      <w:tr w:rsidR="00CC7461" w:rsidRPr="00461FCE" w14:paraId="53E21784" w14:textId="77777777" w:rsidTr="004F4BA7">
        <w:trPr>
          <w:cnfStyle w:val="100000000000" w:firstRow="1" w:lastRow="0" w:firstColumn="0" w:lastColumn="0" w:oddVBand="0" w:evenVBand="0" w:oddHBand="0" w:evenHBand="0" w:firstRowFirstColumn="0" w:firstRowLastColumn="0" w:lastRowFirstColumn="0" w:lastRowLastColumn="0"/>
          <w:cantSplit/>
          <w:trHeight w:val="2373"/>
        </w:trPr>
        <w:tc>
          <w:tcPr>
            <w:cnfStyle w:val="001000000000" w:firstRow="0" w:lastRow="0" w:firstColumn="1" w:lastColumn="0" w:oddVBand="0" w:evenVBand="0" w:oddHBand="0" w:evenHBand="0" w:firstRowFirstColumn="0" w:firstRowLastColumn="0" w:lastRowFirstColumn="0" w:lastRowLastColumn="0"/>
            <w:tcW w:w="1134" w:type="dxa"/>
            <w:hideMark/>
          </w:tcPr>
          <w:p w14:paraId="54016E34" w14:textId="77777777" w:rsidR="00A6240C" w:rsidRPr="00461FCE" w:rsidRDefault="00A6240C" w:rsidP="008E6E40">
            <w:pPr>
              <w:rPr>
                <w:lang w:eastAsia="en-GB"/>
              </w:rPr>
            </w:pPr>
            <w:r w:rsidRPr="00461FCE">
              <w:rPr>
                <w:lang w:eastAsia="en-GB"/>
              </w:rPr>
              <w:t> </w:t>
            </w:r>
          </w:p>
        </w:tc>
        <w:tc>
          <w:tcPr>
            <w:tcW w:w="1072" w:type="dxa"/>
            <w:textDirection w:val="btLr"/>
            <w:hideMark/>
          </w:tcPr>
          <w:p w14:paraId="55EDA4C5" w14:textId="77777777" w:rsidR="00A6240C" w:rsidRPr="00461FCE" w:rsidRDefault="00A6240C"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Married Couple</w:t>
            </w:r>
          </w:p>
        </w:tc>
        <w:tc>
          <w:tcPr>
            <w:tcW w:w="1072" w:type="dxa"/>
            <w:textDirection w:val="btLr"/>
            <w:hideMark/>
          </w:tcPr>
          <w:p w14:paraId="18D6F847" w14:textId="77777777" w:rsidR="00A6240C" w:rsidRPr="00461FCE" w:rsidRDefault="00A6240C"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Cohabiting Couple</w:t>
            </w:r>
          </w:p>
        </w:tc>
        <w:tc>
          <w:tcPr>
            <w:tcW w:w="975" w:type="dxa"/>
            <w:textDirection w:val="btLr"/>
            <w:hideMark/>
          </w:tcPr>
          <w:p w14:paraId="09FF860D" w14:textId="77777777" w:rsidR="00A6240C" w:rsidRPr="00461FCE" w:rsidRDefault="00A6240C"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Lone Parent</w:t>
            </w:r>
          </w:p>
        </w:tc>
        <w:tc>
          <w:tcPr>
            <w:tcW w:w="992" w:type="dxa"/>
            <w:textDirection w:val="btLr"/>
            <w:hideMark/>
          </w:tcPr>
          <w:p w14:paraId="2AC6546D" w14:textId="77777777" w:rsidR="00A6240C" w:rsidRPr="00461FCE" w:rsidRDefault="00A6240C"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Other</w:t>
            </w:r>
          </w:p>
        </w:tc>
        <w:tc>
          <w:tcPr>
            <w:tcW w:w="1250" w:type="dxa"/>
            <w:textDirection w:val="btLr"/>
            <w:hideMark/>
          </w:tcPr>
          <w:p w14:paraId="275EDC5E" w14:textId="2D88B59E" w:rsidR="005178FD" w:rsidRPr="00461FCE" w:rsidRDefault="005178FD"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 xml:space="preserve">Households </w:t>
            </w:r>
          </w:p>
          <w:p w14:paraId="3880FA34" w14:textId="77777777" w:rsidR="005178FD" w:rsidRPr="00461FCE" w:rsidRDefault="005178FD"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 xml:space="preserve">without </w:t>
            </w:r>
          </w:p>
          <w:p w14:paraId="1DACD060" w14:textId="77777777" w:rsidR="005178FD" w:rsidRPr="00461FCE" w:rsidRDefault="005178FD"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 xml:space="preserve">dependent </w:t>
            </w:r>
          </w:p>
          <w:p w14:paraId="15A199D0" w14:textId="0EBA571E" w:rsidR="00A6240C" w:rsidRPr="00461FCE" w:rsidRDefault="005178FD"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children</w:t>
            </w:r>
          </w:p>
        </w:tc>
        <w:tc>
          <w:tcPr>
            <w:tcW w:w="1072" w:type="dxa"/>
            <w:textDirection w:val="btLr"/>
            <w:hideMark/>
          </w:tcPr>
          <w:p w14:paraId="73968D96" w14:textId="77777777" w:rsidR="00A6240C" w:rsidRPr="00461FCE" w:rsidRDefault="00A6240C"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 xml:space="preserve">Total without Dependent Children </w:t>
            </w:r>
          </w:p>
        </w:tc>
        <w:tc>
          <w:tcPr>
            <w:tcW w:w="1073" w:type="dxa"/>
            <w:textDirection w:val="btLr"/>
            <w:hideMark/>
          </w:tcPr>
          <w:p w14:paraId="71C2A934" w14:textId="77777777" w:rsidR="00A6240C" w:rsidRPr="00461FCE" w:rsidRDefault="00A6240C" w:rsidP="004F4BA7">
            <w:pPr>
              <w:ind w:left="113" w:right="113"/>
              <w:jc w:val="left"/>
              <w:cnfStyle w:val="100000000000" w:firstRow="1" w:lastRow="0" w:firstColumn="0" w:lastColumn="0" w:oddVBand="0" w:evenVBand="0" w:oddHBand="0" w:evenHBand="0" w:firstRowFirstColumn="0" w:firstRowLastColumn="0" w:lastRowFirstColumn="0" w:lastRowLastColumn="0"/>
              <w:rPr>
                <w:lang w:eastAsia="en-GB"/>
              </w:rPr>
            </w:pPr>
            <w:r w:rsidRPr="00461FCE">
              <w:rPr>
                <w:lang w:eastAsia="en-GB"/>
              </w:rPr>
              <w:t>Total with Dependent Children</w:t>
            </w:r>
          </w:p>
        </w:tc>
      </w:tr>
      <w:tr w:rsidR="00CC7461" w:rsidRPr="00461FCE" w14:paraId="15314A77" w14:textId="77777777" w:rsidTr="004F4BA7">
        <w:trPr>
          <w:trHeight w:val="481"/>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3AD04E3" w14:textId="77777777" w:rsidR="00A6240C" w:rsidRPr="004F4BA7" w:rsidRDefault="00A6240C" w:rsidP="008E6E40">
            <w:pPr>
              <w:rPr>
                <w:bCs/>
                <w:lang w:eastAsia="en-GB"/>
              </w:rPr>
            </w:pPr>
            <w:r w:rsidRPr="004F4BA7">
              <w:rPr>
                <w:bCs/>
                <w:lang w:eastAsia="en-GB"/>
              </w:rPr>
              <w:t>2001</w:t>
            </w:r>
          </w:p>
        </w:tc>
        <w:tc>
          <w:tcPr>
            <w:tcW w:w="1072" w:type="dxa"/>
            <w:noWrap/>
            <w:hideMark/>
          </w:tcPr>
          <w:p w14:paraId="3FA13B73"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56,907</w:t>
            </w:r>
          </w:p>
        </w:tc>
        <w:tc>
          <w:tcPr>
            <w:tcW w:w="1072" w:type="dxa"/>
            <w:noWrap/>
            <w:hideMark/>
          </w:tcPr>
          <w:p w14:paraId="27729374"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9,308</w:t>
            </w:r>
          </w:p>
        </w:tc>
        <w:tc>
          <w:tcPr>
            <w:tcW w:w="975" w:type="dxa"/>
            <w:noWrap/>
            <w:hideMark/>
          </w:tcPr>
          <w:p w14:paraId="718F9976"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12,609</w:t>
            </w:r>
          </w:p>
        </w:tc>
        <w:tc>
          <w:tcPr>
            <w:tcW w:w="992" w:type="dxa"/>
            <w:noWrap/>
            <w:hideMark/>
          </w:tcPr>
          <w:p w14:paraId="2CFF3948"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4,610</w:t>
            </w:r>
          </w:p>
        </w:tc>
        <w:tc>
          <w:tcPr>
            <w:tcW w:w="1250" w:type="dxa"/>
            <w:noWrap/>
            <w:hideMark/>
          </w:tcPr>
          <w:p w14:paraId="56454AE8"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203,017</w:t>
            </w:r>
          </w:p>
        </w:tc>
        <w:tc>
          <w:tcPr>
            <w:tcW w:w="1072" w:type="dxa"/>
            <w:noWrap/>
            <w:hideMark/>
          </w:tcPr>
          <w:p w14:paraId="3B57989F"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286,451</w:t>
            </w:r>
          </w:p>
        </w:tc>
        <w:tc>
          <w:tcPr>
            <w:tcW w:w="1073" w:type="dxa"/>
            <w:noWrap/>
            <w:hideMark/>
          </w:tcPr>
          <w:p w14:paraId="2A86ECA5"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83,434</w:t>
            </w:r>
          </w:p>
        </w:tc>
      </w:tr>
      <w:tr w:rsidR="00CC7461" w:rsidRPr="00461FCE" w14:paraId="28363373" w14:textId="77777777" w:rsidTr="004F4BA7">
        <w:trPr>
          <w:trHeight w:val="481"/>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F026683" w14:textId="77777777" w:rsidR="00A6240C" w:rsidRPr="004F4BA7" w:rsidRDefault="00A6240C" w:rsidP="008E6E40">
            <w:pPr>
              <w:rPr>
                <w:bCs/>
                <w:lang w:eastAsia="en-GB"/>
              </w:rPr>
            </w:pPr>
            <w:r w:rsidRPr="004F4BA7">
              <w:rPr>
                <w:bCs/>
                <w:lang w:eastAsia="en-GB"/>
              </w:rPr>
              <w:t>2011</w:t>
            </w:r>
          </w:p>
        </w:tc>
        <w:tc>
          <w:tcPr>
            <w:tcW w:w="1072" w:type="dxa"/>
            <w:noWrap/>
            <w:hideMark/>
          </w:tcPr>
          <w:p w14:paraId="3A237AAB"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55,926</w:t>
            </w:r>
          </w:p>
        </w:tc>
        <w:tc>
          <w:tcPr>
            <w:tcW w:w="1072" w:type="dxa"/>
            <w:noWrap/>
            <w:hideMark/>
          </w:tcPr>
          <w:p w14:paraId="7E25CC1B"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13,484</w:t>
            </w:r>
          </w:p>
        </w:tc>
        <w:tc>
          <w:tcPr>
            <w:tcW w:w="975" w:type="dxa"/>
            <w:noWrap/>
            <w:hideMark/>
          </w:tcPr>
          <w:p w14:paraId="0B142DC9"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16,492</w:t>
            </w:r>
          </w:p>
        </w:tc>
        <w:tc>
          <w:tcPr>
            <w:tcW w:w="992" w:type="dxa"/>
            <w:noWrap/>
            <w:hideMark/>
          </w:tcPr>
          <w:p w14:paraId="202D22CE"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6,760</w:t>
            </w:r>
          </w:p>
        </w:tc>
        <w:tc>
          <w:tcPr>
            <w:tcW w:w="1250" w:type="dxa"/>
            <w:noWrap/>
            <w:hideMark/>
          </w:tcPr>
          <w:p w14:paraId="7E9D07CF"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229,757</w:t>
            </w:r>
          </w:p>
        </w:tc>
        <w:tc>
          <w:tcPr>
            <w:tcW w:w="1072" w:type="dxa"/>
            <w:noWrap/>
            <w:hideMark/>
          </w:tcPr>
          <w:p w14:paraId="69417B45"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322,419</w:t>
            </w:r>
          </w:p>
        </w:tc>
        <w:tc>
          <w:tcPr>
            <w:tcW w:w="1073" w:type="dxa"/>
            <w:noWrap/>
            <w:hideMark/>
          </w:tcPr>
          <w:p w14:paraId="1022F5A3"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t>92,662</w:t>
            </w:r>
          </w:p>
        </w:tc>
      </w:tr>
      <w:tr w:rsidR="00CC7461" w:rsidRPr="00461FCE" w14:paraId="47652CC6" w14:textId="77777777" w:rsidTr="004F4BA7">
        <w:trPr>
          <w:trHeight w:val="481"/>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2609653" w14:textId="77777777" w:rsidR="00A6240C" w:rsidRPr="004F4BA7" w:rsidRDefault="00A6240C" w:rsidP="008E6E40">
            <w:pPr>
              <w:rPr>
                <w:bCs/>
                <w:lang w:eastAsia="en-GB"/>
              </w:rPr>
            </w:pPr>
            <w:r w:rsidRPr="004F4BA7">
              <w:rPr>
                <w:bCs/>
                <w:lang w:eastAsia="en-GB"/>
              </w:rPr>
              <w:t>Change</w:t>
            </w:r>
          </w:p>
        </w:tc>
        <w:tc>
          <w:tcPr>
            <w:tcW w:w="1072" w:type="dxa"/>
            <w:noWrap/>
            <w:hideMark/>
          </w:tcPr>
          <w:p w14:paraId="0E73B5F0"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-981</w:t>
            </w:r>
          </w:p>
        </w:tc>
        <w:tc>
          <w:tcPr>
            <w:tcW w:w="1072" w:type="dxa"/>
            <w:noWrap/>
            <w:hideMark/>
          </w:tcPr>
          <w:p w14:paraId="08176C1E"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4,176</w:t>
            </w:r>
          </w:p>
        </w:tc>
        <w:tc>
          <w:tcPr>
            <w:tcW w:w="975" w:type="dxa"/>
            <w:noWrap/>
            <w:hideMark/>
          </w:tcPr>
          <w:p w14:paraId="059B69A8"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3,883</w:t>
            </w:r>
          </w:p>
        </w:tc>
        <w:tc>
          <w:tcPr>
            <w:tcW w:w="992" w:type="dxa"/>
            <w:noWrap/>
            <w:hideMark/>
          </w:tcPr>
          <w:p w14:paraId="363112B2"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2,150</w:t>
            </w:r>
          </w:p>
        </w:tc>
        <w:tc>
          <w:tcPr>
            <w:tcW w:w="1250" w:type="dxa"/>
            <w:noWrap/>
            <w:hideMark/>
          </w:tcPr>
          <w:p w14:paraId="13A70724"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26,740</w:t>
            </w:r>
          </w:p>
        </w:tc>
        <w:tc>
          <w:tcPr>
            <w:tcW w:w="1072" w:type="dxa"/>
            <w:noWrap/>
            <w:hideMark/>
          </w:tcPr>
          <w:p w14:paraId="09C9A6B4"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35,968</w:t>
            </w:r>
          </w:p>
        </w:tc>
        <w:tc>
          <w:tcPr>
            <w:tcW w:w="1073" w:type="dxa"/>
            <w:noWrap/>
            <w:hideMark/>
          </w:tcPr>
          <w:p w14:paraId="180D0AD4"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9,228</w:t>
            </w:r>
          </w:p>
        </w:tc>
      </w:tr>
      <w:tr w:rsidR="00CC7461" w:rsidRPr="00461FCE" w14:paraId="4F9FF833" w14:textId="77777777" w:rsidTr="004F4BA7">
        <w:trPr>
          <w:trHeight w:val="481"/>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F7385E5" w14:textId="77777777" w:rsidR="00A6240C" w:rsidRPr="004F4BA7" w:rsidRDefault="00A6240C" w:rsidP="008E6E40">
            <w:pPr>
              <w:rPr>
                <w:bCs/>
                <w:lang w:eastAsia="en-GB"/>
              </w:rPr>
            </w:pPr>
            <w:r w:rsidRPr="004F4BA7">
              <w:rPr>
                <w:bCs/>
                <w:lang w:eastAsia="en-GB"/>
              </w:rPr>
              <w:t>% change</w:t>
            </w:r>
          </w:p>
        </w:tc>
        <w:tc>
          <w:tcPr>
            <w:tcW w:w="1072" w:type="dxa"/>
            <w:noWrap/>
            <w:hideMark/>
          </w:tcPr>
          <w:p w14:paraId="5DE44D20"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-1.70%</w:t>
            </w:r>
          </w:p>
        </w:tc>
        <w:tc>
          <w:tcPr>
            <w:tcW w:w="1072" w:type="dxa"/>
            <w:noWrap/>
            <w:hideMark/>
          </w:tcPr>
          <w:p w14:paraId="1A6FA18A"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44.90%</w:t>
            </w:r>
          </w:p>
        </w:tc>
        <w:tc>
          <w:tcPr>
            <w:tcW w:w="975" w:type="dxa"/>
            <w:noWrap/>
            <w:hideMark/>
          </w:tcPr>
          <w:p w14:paraId="4794E79A"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30.80%</w:t>
            </w:r>
          </w:p>
        </w:tc>
        <w:tc>
          <w:tcPr>
            <w:tcW w:w="992" w:type="dxa"/>
            <w:noWrap/>
            <w:hideMark/>
          </w:tcPr>
          <w:p w14:paraId="3685C8D3"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46.60%</w:t>
            </w:r>
          </w:p>
        </w:tc>
        <w:tc>
          <w:tcPr>
            <w:tcW w:w="1250" w:type="dxa"/>
            <w:noWrap/>
            <w:hideMark/>
          </w:tcPr>
          <w:p w14:paraId="4576243D"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13.20%</w:t>
            </w:r>
          </w:p>
        </w:tc>
        <w:tc>
          <w:tcPr>
            <w:tcW w:w="1072" w:type="dxa"/>
            <w:noWrap/>
            <w:hideMark/>
          </w:tcPr>
          <w:p w14:paraId="60590CFA"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12.60%</w:t>
            </w:r>
          </w:p>
        </w:tc>
        <w:tc>
          <w:tcPr>
            <w:tcW w:w="1073" w:type="dxa"/>
            <w:noWrap/>
            <w:hideMark/>
          </w:tcPr>
          <w:p w14:paraId="5353C456" w14:textId="77777777" w:rsidR="00A6240C" w:rsidRPr="00461FCE" w:rsidRDefault="00A6240C" w:rsidP="008E6E40">
            <w:pPr>
              <w:cnfStyle w:val="000000000000" w:firstRow="0" w:lastRow="0" w:firstColumn="0" w:lastColumn="0" w:oddVBand="0" w:evenVBand="0" w:oddHBand="0" w:evenHBand="0" w:firstRowFirstColumn="0" w:firstRowLastColumn="0" w:lastRowFirstColumn="0" w:lastRowLastColumn="0"/>
              <w:rPr>
                <w:lang w:eastAsia="en-GB"/>
              </w:rPr>
            </w:pPr>
            <w:r w:rsidRPr="00461FCE">
              <w:rPr>
                <w:lang w:eastAsia="en-GB"/>
              </w:rPr>
              <w:t>11.10%</w:t>
            </w:r>
          </w:p>
        </w:tc>
      </w:tr>
    </w:tbl>
    <w:p w14:paraId="47019804" w14:textId="77777777" w:rsidR="00A6240C" w:rsidRPr="00FB553C" w:rsidRDefault="00A6240C" w:rsidP="008E6E40">
      <w:pPr>
        <w:widowControl w:val="0"/>
        <w:autoSpaceDE w:val="0"/>
        <w:autoSpaceDN w:val="0"/>
        <w:adjustRightInd w:val="0"/>
        <w:ind w:left="794"/>
        <w:rPr>
          <w:sz w:val="24"/>
          <w:szCs w:val="24"/>
        </w:rPr>
      </w:pPr>
      <w:r w:rsidRPr="00FB553C">
        <w:rPr>
          <w:sz w:val="24"/>
          <w:szCs w:val="24"/>
        </w:rPr>
        <w:t>Source: Census (2001 and 2011)</w:t>
      </w:r>
    </w:p>
    <w:p w14:paraId="2331A2FA" w14:textId="77777777" w:rsidR="00A6240C" w:rsidRDefault="00A6240C" w:rsidP="007D0FBF">
      <w:pPr>
        <w:pStyle w:val="11Bodytext"/>
      </w:pPr>
      <w:r>
        <w:rPr>
          <w:lang w:eastAsia="en-US"/>
        </w:rPr>
        <w:t>Within this, for families with children, there was a large increase in the number of cohabiting couples (44.9%), lone parents (30.8%) and “other” households (46.6%), and a marginal decrease in married couples (-1.7%). “Other households” include dwellings where two or more unrelated adults share accommodation, such as Houses in Multiple Occupation (HMOs).</w:t>
      </w:r>
    </w:p>
    <w:p w14:paraId="42461C46" w14:textId="39A90E4B" w:rsidR="00A6240C" w:rsidRDefault="00A6240C" w:rsidP="007D0FBF">
      <w:pPr>
        <w:pStyle w:val="11Bodytext"/>
        <w:rPr>
          <w:lang w:eastAsia="en-US"/>
        </w:rPr>
      </w:pPr>
      <w:r>
        <w:rPr>
          <w:lang w:eastAsia="en-US"/>
        </w:rPr>
        <w:t>At a local authority level, the growth in households with dependent children has been the largest in absolute terms in South Cambridgeshire (2,677), although in percentage terms, the largest growth was in East Cambridgeshire (20%). The smallest growth was in Huntingdonshire (at 2% and 476 additional households).</w:t>
      </w:r>
    </w:p>
    <w:p w14:paraId="25962272" w14:textId="68C77AD1" w:rsidR="00CC7461" w:rsidRDefault="00CC7461" w:rsidP="007D0FBF">
      <w:pPr>
        <w:pStyle w:val="11Bodytext"/>
        <w:numPr>
          <w:ilvl w:val="0"/>
          <w:numId w:val="0"/>
        </w:numPr>
        <w:ind w:left="794"/>
        <w:rPr>
          <w:lang w:eastAsia="en-US"/>
        </w:rPr>
      </w:pPr>
    </w:p>
    <w:p w14:paraId="47BF8914" w14:textId="1F08FA9A" w:rsidR="00CC7461" w:rsidRDefault="00CC7461" w:rsidP="007D0FBF">
      <w:pPr>
        <w:pStyle w:val="11Bodytext"/>
        <w:numPr>
          <w:ilvl w:val="0"/>
          <w:numId w:val="0"/>
        </w:numPr>
        <w:ind w:left="794"/>
        <w:rPr>
          <w:lang w:eastAsia="en-US"/>
        </w:rPr>
      </w:pPr>
    </w:p>
    <w:p w14:paraId="36829A8C" w14:textId="76209897" w:rsidR="00CC7461" w:rsidRDefault="00CC7461" w:rsidP="007D0FBF">
      <w:pPr>
        <w:pStyle w:val="11Bodytext"/>
        <w:numPr>
          <w:ilvl w:val="0"/>
          <w:numId w:val="0"/>
        </w:numPr>
        <w:ind w:left="794"/>
        <w:rPr>
          <w:lang w:eastAsia="en-US"/>
        </w:rPr>
      </w:pPr>
    </w:p>
    <w:p w14:paraId="5B8AD443" w14:textId="18CB75AB" w:rsidR="00CC7461" w:rsidRDefault="00CC7461" w:rsidP="007D0FBF">
      <w:pPr>
        <w:pStyle w:val="11Bodytext"/>
        <w:numPr>
          <w:ilvl w:val="0"/>
          <w:numId w:val="0"/>
        </w:numPr>
        <w:ind w:left="794"/>
        <w:rPr>
          <w:lang w:eastAsia="en-US"/>
        </w:rPr>
      </w:pPr>
    </w:p>
    <w:p w14:paraId="506DE8C0" w14:textId="77777777" w:rsidR="00CC7461" w:rsidRDefault="00CC7461" w:rsidP="004F4BA7">
      <w:pPr>
        <w:pStyle w:val="11Bodytext"/>
        <w:numPr>
          <w:ilvl w:val="0"/>
          <w:numId w:val="0"/>
        </w:numPr>
        <w:ind w:left="794"/>
        <w:rPr>
          <w:lang w:eastAsia="en-US"/>
        </w:rPr>
      </w:pPr>
    </w:p>
    <w:p w14:paraId="16B77FE6" w14:textId="0B2A05D8" w:rsidR="00A6240C" w:rsidRDefault="00A6240C" w:rsidP="003D5E23">
      <w:pPr>
        <w:pStyle w:val="Tableheading"/>
        <w:numPr>
          <w:ilvl w:val="0"/>
          <w:numId w:val="54"/>
        </w:numPr>
      </w:pPr>
      <w:r>
        <w:lastRenderedPageBreak/>
        <w:t>Change in households with dependent children (2001-11) – Local Authority</w:t>
      </w:r>
    </w:p>
    <w:tbl>
      <w:tblPr>
        <w:tblStyle w:val="TableGridLight1"/>
        <w:tblW w:w="8399" w:type="dxa"/>
        <w:tblInd w:w="846" w:type="dxa"/>
        <w:tblLayout w:type="fixed"/>
        <w:tblLook w:val="04A0" w:firstRow="1" w:lastRow="0" w:firstColumn="1" w:lastColumn="0" w:noHBand="0" w:noVBand="1"/>
      </w:tblPr>
      <w:tblGrid>
        <w:gridCol w:w="1837"/>
        <w:gridCol w:w="937"/>
        <w:gridCol w:w="942"/>
        <w:gridCol w:w="941"/>
        <w:gridCol w:w="935"/>
        <w:gridCol w:w="936"/>
        <w:gridCol w:w="935"/>
        <w:gridCol w:w="936"/>
      </w:tblGrid>
      <w:tr w:rsidR="00CC7461" w:rsidRPr="00CC7461" w14:paraId="198B49FE" w14:textId="77777777" w:rsidTr="004F4BA7">
        <w:trPr>
          <w:cnfStyle w:val="100000000000" w:firstRow="1" w:lastRow="0" w:firstColumn="0" w:lastColumn="0" w:oddVBand="0" w:evenVBand="0" w:oddHBand="0" w:evenHBand="0" w:firstRowFirstColumn="0" w:firstRowLastColumn="0" w:lastRowFirstColumn="0" w:lastRowLastColumn="0"/>
          <w:cantSplit/>
          <w:trHeight w:val="1848"/>
        </w:trPr>
        <w:tc>
          <w:tcPr>
            <w:cnfStyle w:val="001000000000" w:firstRow="0" w:lastRow="0" w:firstColumn="1" w:lastColumn="0" w:oddVBand="0" w:evenVBand="0" w:oddHBand="0" w:evenHBand="0" w:firstRowFirstColumn="0" w:firstRowLastColumn="0" w:lastRowFirstColumn="0" w:lastRowLastColumn="0"/>
            <w:tcW w:w="1837" w:type="dxa"/>
            <w:hideMark/>
          </w:tcPr>
          <w:p w14:paraId="02628218" w14:textId="77777777" w:rsidR="00CC7461" w:rsidRPr="004F4BA7" w:rsidRDefault="00CC7461" w:rsidP="00CC7461">
            <w:pPr>
              <w:rPr>
                <w:bCs/>
                <w:color w:val="auto"/>
                <w:lang w:eastAsia="en-GB"/>
              </w:rPr>
            </w:pPr>
            <w:r w:rsidRPr="004F4BA7">
              <w:rPr>
                <w:bCs/>
                <w:color w:val="auto"/>
                <w:lang w:eastAsia="en-GB"/>
              </w:rPr>
              <w:t> </w:t>
            </w:r>
          </w:p>
        </w:tc>
        <w:tc>
          <w:tcPr>
            <w:tcW w:w="937" w:type="dxa"/>
            <w:textDirection w:val="btLr"/>
            <w:hideMark/>
          </w:tcPr>
          <w:p w14:paraId="18258A18"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Married Couple</w:t>
            </w:r>
          </w:p>
        </w:tc>
        <w:tc>
          <w:tcPr>
            <w:tcW w:w="942" w:type="dxa"/>
            <w:textDirection w:val="btLr"/>
            <w:hideMark/>
          </w:tcPr>
          <w:p w14:paraId="732F771C"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Cohabiting Couple</w:t>
            </w:r>
          </w:p>
        </w:tc>
        <w:tc>
          <w:tcPr>
            <w:tcW w:w="941" w:type="dxa"/>
            <w:textDirection w:val="btLr"/>
            <w:hideMark/>
          </w:tcPr>
          <w:p w14:paraId="7EF96D72"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Lone Parent</w:t>
            </w:r>
          </w:p>
        </w:tc>
        <w:tc>
          <w:tcPr>
            <w:tcW w:w="935" w:type="dxa"/>
            <w:textDirection w:val="btLr"/>
            <w:hideMark/>
          </w:tcPr>
          <w:p w14:paraId="41E8AD6B"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Other</w:t>
            </w:r>
          </w:p>
        </w:tc>
        <w:tc>
          <w:tcPr>
            <w:tcW w:w="936" w:type="dxa"/>
            <w:textDirection w:val="btLr"/>
            <w:hideMark/>
          </w:tcPr>
          <w:p w14:paraId="1651B738"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All Households without children</w:t>
            </w:r>
          </w:p>
        </w:tc>
        <w:tc>
          <w:tcPr>
            <w:tcW w:w="935" w:type="dxa"/>
            <w:textDirection w:val="btLr"/>
            <w:hideMark/>
          </w:tcPr>
          <w:p w14:paraId="57EE8E8C"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Total without Dependent Children</w:t>
            </w:r>
          </w:p>
        </w:tc>
        <w:tc>
          <w:tcPr>
            <w:tcW w:w="936" w:type="dxa"/>
            <w:textDirection w:val="btLr"/>
            <w:hideMark/>
          </w:tcPr>
          <w:p w14:paraId="75DF7B54" w14:textId="77777777" w:rsidR="00CC7461" w:rsidRPr="004F4BA7" w:rsidRDefault="00CC7461" w:rsidP="004F4BA7">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Total with Dependent Children</w:t>
            </w:r>
          </w:p>
        </w:tc>
      </w:tr>
      <w:tr w:rsidR="0035381F" w:rsidRPr="00CC7461" w14:paraId="155D269F"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0FA24E26" w14:textId="5FF3C6EA" w:rsidR="0035381F" w:rsidRPr="004F4BA7" w:rsidRDefault="0035381F" w:rsidP="0035381F">
            <w:pPr>
              <w:rPr>
                <w:color w:val="auto"/>
                <w:lang w:eastAsia="en-GB"/>
              </w:rPr>
            </w:pPr>
            <w:r w:rsidRPr="00711F14">
              <w:t>Cambridge #</w:t>
            </w:r>
          </w:p>
        </w:tc>
        <w:tc>
          <w:tcPr>
            <w:tcW w:w="937" w:type="dxa"/>
            <w:noWrap/>
            <w:hideMark/>
          </w:tcPr>
          <w:p w14:paraId="609CB61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586</w:t>
            </w:r>
          </w:p>
        </w:tc>
        <w:tc>
          <w:tcPr>
            <w:tcW w:w="942" w:type="dxa"/>
            <w:noWrap/>
            <w:hideMark/>
          </w:tcPr>
          <w:p w14:paraId="770333C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513</w:t>
            </w:r>
          </w:p>
        </w:tc>
        <w:tc>
          <w:tcPr>
            <w:tcW w:w="941" w:type="dxa"/>
            <w:noWrap/>
            <w:hideMark/>
          </w:tcPr>
          <w:p w14:paraId="50E535F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-88</w:t>
            </w:r>
          </w:p>
        </w:tc>
        <w:tc>
          <w:tcPr>
            <w:tcW w:w="935" w:type="dxa"/>
            <w:noWrap/>
            <w:hideMark/>
          </w:tcPr>
          <w:p w14:paraId="0453860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365</w:t>
            </w:r>
          </w:p>
        </w:tc>
        <w:tc>
          <w:tcPr>
            <w:tcW w:w="936" w:type="dxa"/>
            <w:noWrap/>
            <w:hideMark/>
          </w:tcPr>
          <w:p w14:paraId="1349200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2,680</w:t>
            </w:r>
          </w:p>
        </w:tc>
        <w:tc>
          <w:tcPr>
            <w:tcW w:w="935" w:type="dxa"/>
            <w:noWrap/>
            <w:hideMark/>
          </w:tcPr>
          <w:p w14:paraId="775E2E1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4,056</w:t>
            </w:r>
          </w:p>
        </w:tc>
        <w:tc>
          <w:tcPr>
            <w:tcW w:w="936" w:type="dxa"/>
            <w:noWrap/>
            <w:hideMark/>
          </w:tcPr>
          <w:p w14:paraId="731C079E"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1,376</w:t>
            </w:r>
          </w:p>
        </w:tc>
      </w:tr>
      <w:tr w:rsidR="0035381F" w:rsidRPr="00CC7461" w14:paraId="1CA99B93"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319F5CBB" w14:textId="25CE2180" w:rsidR="0035381F" w:rsidRPr="004F4BA7" w:rsidRDefault="0035381F" w:rsidP="0035381F">
            <w:pPr>
              <w:rPr>
                <w:color w:val="auto"/>
                <w:lang w:eastAsia="en-GB"/>
              </w:rPr>
            </w:pPr>
            <w:r w:rsidRPr="00711F14">
              <w:t>Cambridge %</w:t>
            </w:r>
          </w:p>
        </w:tc>
        <w:tc>
          <w:tcPr>
            <w:tcW w:w="937" w:type="dxa"/>
            <w:noWrap/>
            <w:hideMark/>
          </w:tcPr>
          <w:p w14:paraId="49B549E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w:t>
            </w:r>
          </w:p>
        </w:tc>
        <w:tc>
          <w:tcPr>
            <w:tcW w:w="942" w:type="dxa"/>
            <w:noWrap/>
            <w:hideMark/>
          </w:tcPr>
          <w:p w14:paraId="4AE0DFD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47%</w:t>
            </w:r>
          </w:p>
        </w:tc>
        <w:tc>
          <w:tcPr>
            <w:tcW w:w="941" w:type="dxa"/>
            <w:noWrap/>
            <w:hideMark/>
          </w:tcPr>
          <w:p w14:paraId="2FF7E212"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w:t>
            </w:r>
          </w:p>
        </w:tc>
        <w:tc>
          <w:tcPr>
            <w:tcW w:w="935" w:type="dxa"/>
            <w:noWrap/>
            <w:hideMark/>
          </w:tcPr>
          <w:p w14:paraId="53A8916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47%</w:t>
            </w:r>
          </w:p>
        </w:tc>
        <w:tc>
          <w:tcPr>
            <w:tcW w:w="936" w:type="dxa"/>
            <w:noWrap/>
            <w:hideMark/>
          </w:tcPr>
          <w:p w14:paraId="04DECD2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w:t>
            </w:r>
          </w:p>
        </w:tc>
        <w:tc>
          <w:tcPr>
            <w:tcW w:w="935" w:type="dxa"/>
            <w:noWrap/>
            <w:hideMark/>
          </w:tcPr>
          <w:p w14:paraId="726FFAA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w:t>
            </w:r>
          </w:p>
        </w:tc>
        <w:tc>
          <w:tcPr>
            <w:tcW w:w="936" w:type="dxa"/>
            <w:noWrap/>
            <w:hideMark/>
          </w:tcPr>
          <w:p w14:paraId="4CEF8AB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w:t>
            </w:r>
          </w:p>
        </w:tc>
      </w:tr>
      <w:tr w:rsidR="0035381F" w:rsidRPr="00CC7461" w14:paraId="7B59CAC9"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31C20B01" w14:textId="30DD0667" w:rsidR="0035381F" w:rsidRPr="004F4BA7" w:rsidRDefault="0035381F" w:rsidP="0035381F">
            <w:pPr>
              <w:rPr>
                <w:color w:val="auto"/>
                <w:lang w:eastAsia="en-GB"/>
              </w:rPr>
            </w:pPr>
            <w:r w:rsidRPr="00711F14">
              <w:t>South Cambs #</w:t>
            </w:r>
          </w:p>
        </w:tc>
        <w:tc>
          <w:tcPr>
            <w:tcW w:w="937" w:type="dxa"/>
            <w:noWrap/>
            <w:hideMark/>
          </w:tcPr>
          <w:p w14:paraId="7C2CEC7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847</w:t>
            </w:r>
          </w:p>
        </w:tc>
        <w:tc>
          <w:tcPr>
            <w:tcW w:w="942" w:type="dxa"/>
            <w:noWrap/>
            <w:hideMark/>
          </w:tcPr>
          <w:p w14:paraId="62789FE4"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852</w:t>
            </w:r>
          </w:p>
        </w:tc>
        <w:tc>
          <w:tcPr>
            <w:tcW w:w="941" w:type="dxa"/>
            <w:noWrap/>
            <w:hideMark/>
          </w:tcPr>
          <w:p w14:paraId="489AE809"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622</w:t>
            </w:r>
          </w:p>
        </w:tc>
        <w:tc>
          <w:tcPr>
            <w:tcW w:w="935" w:type="dxa"/>
            <w:noWrap/>
            <w:hideMark/>
          </w:tcPr>
          <w:p w14:paraId="79C484E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356</w:t>
            </w:r>
          </w:p>
        </w:tc>
        <w:tc>
          <w:tcPr>
            <w:tcW w:w="936" w:type="dxa"/>
            <w:noWrap/>
            <w:hideMark/>
          </w:tcPr>
          <w:p w14:paraId="032C41E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5,102</w:t>
            </w:r>
          </w:p>
        </w:tc>
        <w:tc>
          <w:tcPr>
            <w:tcW w:w="935" w:type="dxa"/>
            <w:noWrap/>
            <w:hideMark/>
          </w:tcPr>
          <w:p w14:paraId="53E9119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7,779</w:t>
            </w:r>
          </w:p>
        </w:tc>
        <w:tc>
          <w:tcPr>
            <w:tcW w:w="936" w:type="dxa"/>
            <w:noWrap/>
            <w:hideMark/>
          </w:tcPr>
          <w:p w14:paraId="2F556D9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2,677</w:t>
            </w:r>
            <w:r w:rsidRPr="00CC7461">
              <w:rPr>
                <w:rFonts w:ascii="Times New Roman" w:hAnsi="Times New Roman"/>
                <w:color w:val="auto"/>
                <w:sz w:val="16"/>
                <w:szCs w:val="16"/>
                <w:lang w:eastAsia="en-GB"/>
              </w:rPr>
              <w:t> </w:t>
            </w:r>
          </w:p>
        </w:tc>
      </w:tr>
      <w:tr w:rsidR="0035381F" w:rsidRPr="00CC7461" w14:paraId="259924F1"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3EC5832C" w14:textId="2A5F0558" w:rsidR="0035381F" w:rsidRPr="004F4BA7" w:rsidRDefault="0035381F" w:rsidP="0035381F">
            <w:pPr>
              <w:rPr>
                <w:color w:val="auto"/>
                <w:lang w:eastAsia="en-GB"/>
              </w:rPr>
            </w:pPr>
            <w:r w:rsidRPr="00711F14">
              <w:t>South Cambs %</w:t>
            </w:r>
          </w:p>
        </w:tc>
        <w:tc>
          <w:tcPr>
            <w:tcW w:w="937" w:type="dxa"/>
            <w:noWrap/>
            <w:hideMark/>
          </w:tcPr>
          <w:p w14:paraId="3A45F61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w:t>
            </w:r>
          </w:p>
        </w:tc>
        <w:tc>
          <w:tcPr>
            <w:tcW w:w="942" w:type="dxa"/>
            <w:noWrap/>
            <w:hideMark/>
          </w:tcPr>
          <w:p w14:paraId="28FEB8A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59%</w:t>
            </w:r>
          </w:p>
        </w:tc>
        <w:tc>
          <w:tcPr>
            <w:tcW w:w="941" w:type="dxa"/>
            <w:noWrap/>
            <w:hideMark/>
          </w:tcPr>
          <w:p w14:paraId="4EFED8E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w:t>
            </w:r>
          </w:p>
        </w:tc>
        <w:tc>
          <w:tcPr>
            <w:tcW w:w="935" w:type="dxa"/>
            <w:noWrap/>
            <w:hideMark/>
          </w:tcPr>
          <w:p w14:paraId="21D2ED0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48%</w:t>
            </w:r>
          </w:p>
        </w:tc>
        <w:tc>
          <w:tcPr>
            <w:tcW w:w="936" w:type="dxa"/>
            <w:noWrap/>
            <w:hideMark/>
          </w:tcPr>
          <w:p w14:paraId="33DC15B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w:t>
            </w:r>
          </w:p>
        </w:tc>
        <w:tc>
          <w:tcPr>
            <w:tcW w:w="935" w:type="dxa"/>
            <w:noWrap/>
            <w:hideMark/>
          </w:tcPr>
          <w:p w14:paraId="1D39BDB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w:t>
            </w:r>
          </w:p>
        </w:tc>
        <w:tc>
          <w:tcPr>
            <w:tcW w:w="936" w:type="dxa"/>
            <w:noWrap/>
            <w:hideMark/>
          </w:tcPr>
          <w:p w14:paraId="4B30AE3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17%</w:t>
            </w:r>
          </w:p>
        </w:tc>
      </w:tr>
      <w:tr w:rsidR="0035381F" w:rsidRPr="00CC7461" w14:paraId="15392D1F" w14:textId="77777777" w:rsidTr="004F4BA7">
        <w:trPr>
          <w:trHeight w:val="526"/>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7F2AEFAA" w14:textId="7285FF72" w:rsidR="0035381F" w:rsidRPr="004F4BA7" w:rsidRDefault="0035381F" w:rsidP="0035381F">
            <w:pPr>
              <w:rPr>
                <w:color w:val="auto"/>
                <w:lang w:eastAsia="en-GB"/>
              </w:rPr>
            </w:pPr>
            <w:r w:rsidRPr="00711F14">
              <w:t>Greater Cambridge #</w:t>
            </w:r>
          </w:p>
        </w:tc>
        <w:tc>
          <w:tcPr>
            <w:tcW w:w="937" w:type="dxa"/>
            <w:noWrap/>
            <w:hideMark/>
          </w:tcPr>
          <w:p w14:paraId="2D393CDA"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1,433</w:t>
            </w:r>
          </w:p>
        </w:tc>
        <w:tc>
          <w:tcPr>
            <w:tcW w:w="942" w:type="dxa"/>
            <w:noWrap/>
            <w:hideMark/>
          </w:tcPr>
          <w:p w14:paraId="07E046D9"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1,365</w:t>
            </w:r>
          </w:p>
        </w:tc>
        <w:tc>
          <w:tcPr>
            <w:tcW w:w="941" w:type="dxa"/>
            <w:noWrap/>
            <w:hideMark/>
          </w:tcPr>
          <w:p w14:paraId="420AA98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534</w:t>
            </w:r>
          </w:p>
        </w:tc>
        <w:tc>
          <w:tcPr>
            <w:tcW w:w="935" w:type="dxa"/>
            <w:noWrap/>
            <w:hideMark/>
          </w:tcPr>
          <w:p w14:paraId="2E1690D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721</w:t>
            </w:r>
          </w:p>
        </w:tc>
        <w:tc>
          <w:tcPr>
            <w:tcW w:w="936" w:type="dxa"/>
            <w:noWrap/>
            <w:hideMark/>
          </w:tcPr>
          <w:p w14:paraId="32BE3D3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7,782</w:t>
            </w:r>
          </w:p>
        </w:tc>
        <w:tc>
          <w:tcPr>
            <w:tcW w:w="935" w:type="dxa"/>
            <w:noWrap/>
            <w:hideMark/>
          </w:tcPr>
          <w:p w14:paraId="473EABD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11,835</w:t>
            </w:r>
          </w:p>
        </w:tc>
        <w:tc>
          <w:tcPr>
            <w:tcW w:w="936" w:type="dxa"/>
            <w:noWrap/>
            <w:hideMark/>
          </w:tcPr>
          <w:p w14:paraId="4A540B0F"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4,053</w:t>
            </w:r>
          </w:p>
        </w:tc>
      </w:tr>
      <w:tr w:rsidR="0035381F" w:rsidRPr="00CC7461" w14:paraId="36368A28"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4D84BC9A" w14:textId="01C00428" w:rsidR="0035381F" w:rsidRPr="004F4BA7" w:rsidRDefault="0035381F" w:rsidP="0035381F">
            <w:pPr>
              <w:rPr>
                <w:color w:val="auto"/>
                <w:lang w:eastAsia="en-GB"/>
              </w:rPr>
            </w:pPr>
            <w:r w:rsidRPr="00711F14">
              <w:t>Greater Cambridge %</w:t>
            </w:r>
          </w:p>
        </w:tc>
        <w:tc>
          <w:tcPr>
            <w:tcW w:w="937" w:type="dxa"/>
            <w:noWrap/>
            <w:hideMark/>
          </w:tcPr>
          <w:p w14:paraId="78443E94"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w:t>
            </w:r>
          </w:p>
        </w:tc>
        <w:tc>
          <w:tcPr>
            <w:tcW w:w="942" w:type="dxa"/>
            <w:noWrap/>
            <w:hideMark/>
          </w:tcPr>
          <w:p w14:paraId="6D219D69"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w:t>
            </w:r>
          </w:p>
        </w:tc>
        <w:tc>
          <w:tcPr>
            <w:tcW w:w="941" w:type="dxa"/>
            <w:noWrap/>
            <w:hideMark/>
          </w:tcPr>
          <w:p w14:paraId="3DA0C9D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w:t>
            </w:r>
          </w:p>
        </w:tc>
        <w:tc>
          <w:tcPr>
            <w:tcW w:w="935" w:type="dxa"/>
            <w:noWrap/>
            <w:hideMark/>
          </w:tcPr>
          <w:p w14:paraId="5C6C3151"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47%</w:t>
            </w:r>
          </w:p>
        </w:tc>
        <w:tc>
          <w:tcPr>
            <w:tcW w:w="936" w:type="dxa"/>
            <w:noWrap/>
            <w:hideMark/>
          </w:tcPr>
          <w:p w14:paraId="3DACE61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w:t>
            </w:r>
          </w:p>
        </w:tc>
        <w:tc>
          <w:tcPr>
            <w:tcW w:w="935" w:type="dxa"/>
            <w:noWrap/>
            <w:hideMark/>
          </w:tcPr>
          <w:p w14:paraId="2D02D46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w:t>
            </w:r>
          </w:p>
        </w:tc>
        <w:tc>
          <w:tcPr>
            <w:tcW w:w="936" w:type="dxa"/>
            <w:noWrap/>
            <w:hideMark/>
          </w:tcPr>
          <w:p w14:paraId="609B05B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w:t>
            </w:r>
          </w:p>
        </w:tc>
      </w:tr>
      <w:tr w:rsidR="0035381F" w:rsidRPr="00CC7461" w14:paraId="374E980B"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655EEA1C" w14:textId="5368AA04" w:rsidR="0035381F" w:rsidRPr="00CC7461" w:rsidRDefault="0035381F" w:rsidP="0035381F">
            <w:pPr>
              <w:rPr>
                <w:color w:val="auto"/>
                <w:lang w:eastAsia="en-GB"/>
              </w:rPr>
            </w:pPr>
            <w:r w:rsidRPr="00711F14">
              <w:t>East Cambs #</w:t>
            </w:r>
          </w:p>
        </w:tc>
        <w:tc>
          <w:tcPr>
            <w:tcW w:w="937" w:type="dxa"/>
            <w:noWrap/>
            <w:hideMark/>
          </w:tcPr>
          <w:p w14:paraId="05481C4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500</w:t>
            </w:r>
          </w:p>
        </w:tc>
        <w:tc>
          <w:tcPr>
            <w:tcW w:w="942" w:type="dxa"/>
            <w:noWrap/>
            <w:hideMark/>
          </w:tcPr>
          <w:p w14:paraId="3A708231"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511</w:t>
            </w:r>
          </w:p>
        </w:tc>
        <w:tc>
          <w:tcPr>
            <w:tcW w:w="941" w:type="dxa"/>
            <w:noWrap/>
            <w:hideMark/>
          </w:tcPr>
          <w:p w14:paraId="093F5B7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548</w:t>
            </w:r>
          </w:p>
        </w:tc>
        <w:tc>
          <w:tcPr>
            <w:tcW w:w="935" w:type="dxa"/>
            <w:noWrap/>
            <w:hideMark/>
          </w:tcPr>
          <w:p w14:paraId="5EA4602F"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146</w:t>
            </w:r>
          </w:p>
        </w:tc>
        <w:tc>
          <w:tcPr>
            <w:tcW w:w="936" w:type="dxa"/>
            <w:noWrap/>
            <w:hideMark/>
          </w:tcPr>
          <w:p w14:paraId="630ACC41"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3,129</w:t>
            </w:r>
          </w:p>
        </w:tc>
        <w:tc>
          <w:tcPr>
            <w:tcW w:w="935" w:type="dxa"/>
            <w:noWrap/>
            <w:hideMark/>
          </w:tcPr>
          <w:p w14:paraId="304ACA02"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4,834</w:t>
            </w:r>
          </w:p>
        </w:tc>
        <w:tc>
          <w:tcPr>
            <w:tcW w:w="936" w:type="dxa"/>
            <w:noWrap/>
            <w:hideMark/>
          </w:tcPr>
          <w:p w14:paraId="403473E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1,705</w:t>
            </w:r>
          </w:p>
        </w:tc>
      </w:tr>
      <w:tr w:rsidR="0035381F" w:rsidRPr="00CC7461" w14:paraId="4A26CFFC"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5D2BA9E6" w14:textId="07D04382" w:rsidR="0035381F" w:rsidRPr="00CC7461" w:rsidRDefault="0035381F" w:rsidP="0035381F">
            <w:pPr>
              <w:rPr>
                <w:color w:val="auto"/>
                <w:lang w:eastAsia="en-GB"/>
              </w:rPr>
            </w:pPr>
            <w:r w:rsidRPr="00711F14">
              <w:t>East Cambs %</w:t>
            </w:r>
          </w:p>
        </w:tc>
        <w:tc>
          <w:tcPr>
            <w:tcW w:w="937" w:type="dxa"/>
            <w:noWrap/>
            <w:hideMark/>
          </w:tcPr>
          <w:p w14:paraId="6F21B677"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w:t>
            </w:r>
          </w:p>
        </w:tc>
        <w:tc>
          <w:tcPr>
            <w:tcW w:w="942" w:type="dxa"/>
            <w:noWrap/>
            <w:hideMark/>
          </w:tcPr>
          <w:p w14:paraId="7B61F23B"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49%</w:t>
            </w:r>
          </w:p>
        </w:tc>
        <w:tc>
          <w:tcPr>
            <w:tcW w:w="941" w:type="dxa"/>
            <w:noWrap/>
            <w:hideMark/>
          </w:tcPr>
          <w:p w14:paraId="7796BD2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60%</w:t>
            </w:r>
          </w:p>
        </w:tc>
        <w:tc>
          <w:tcPr>
            <w:tcW w:w="935" w:type="dxa"/>
            <w:noWrap/>
            <w:hideMark/>
          </w:tcPr>
          <w:p w14:paraId="6CE2E3B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w:t>
            </w:r>
          </w:p>
        </w:tc>
        <w:tc>
          <w:tcPr>
            <w:tcW w:w="936" w:type="dxa"/>
            <w:noWrap/>
            <w:hideMark/>
          </w:tcPr>
          <w:p w14:paraId="5746FB5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w:t>
            </w:r>
          </w:p>
        </w:tc>
        <w:tc>
          <w:tcPr>
            <w:tcW w:w="935" w:type="dxa"/>
            <w:noWrap/>
            <w:hideMark/>
          </w:tcPr>
          <w:p w14:paraId="5925D974"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w:t>
            </w:r>
          </w:p>
        </w:tc>
        <w:tc>
          <w:tcPr>
            <w:tcW w:w="936" w:type="dxa"/>
            <w:noWrap/>
            <w:hideMark/>
          </w:tcPr>
          <w:p w14:paraId="1C141999"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w:t>
            </w:r>
          </w:p>
        </w:tc>
      </w:tr>
      <w:tr w:rsidR="0035381F" w:rsidRPr="00CC7461" w14:paraId="0B157E7F"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4E05C260" w14:textId="1BD0B146" w:rsidR="0035381F" w:rsidRPr="004F4BA7" w:rsidRDefault="0035381F" w:rsidP="0035381F">
            <w:pPr>
              <w:rPr>
                <w:color w:val="auto"/>
                <w:lang w:eastAsia="en-GB"/>
              </w:rPr>
            </w:pPr>
            <w:r w:rsidRPr="00711F14">
              <w:t>Fenland #</w:t>
            </w:r>
          </w:p>
        </w:tc>
        <w:tc>
          <w:tcPr>
            <w:tcW w:w="937" w:type="dxa"/>
            <w:noWrap/>
            <w:hideMark/>
          </w:tcPr>
          <w:p w14:paraId="4DFEAFD2"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-557</w:t>
            </w:r>
          </w:p>
        </w:tc>
        <w:tc>
          <w:tcPr>
            <w:tcW w:w="942" w:type="dxa"/>
            <w:noWrap/>
            <w:hideMark/>
          </w:tcPr>
          <w:p w14:paraId="3EABE80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503</w:t>
            </w:r>
          </w:p>
        </w:tc>
        <w:tc>
          <w:tcPr>
            <w:tcW w:w="941" w:type="dxa"/>
            <w:noWrap/>
            <w:hideMark/>
          </w:tcPr>
          <w:p w14:paraId="63F20F9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821</w:t>
            </w:r>
          </w:p>
        </w:tc>
        <w:tc>
          <w:tcPr>
            <w:tcW w:w="935" w:type="dxa"/>
            <w:noWrap/>
            <w:hideMark/>
          </w:tcPr>
          <w:p w14:paraId="584DF28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417</w:t>
            </w:r>
          </w:p>
        </w:tc>
        <w:tc>
          <w:tcPr>
            <w:tcW w:w="936" w:type="dxa"/>
            <w:noWrap/>
            <w:hideMark/>
          </w:tcPr>
          <w:p w14:paraId="415DB527"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4,244</w:t>
            </w:r>
          </w:p>
        </w:tc>
        <w:tc>
          <w:tcPr>
            <w:tcW w:w="935" w:type="dxa"/>
            <w:noWrap/>
            <w:hideMark/>
          </w:tcPr>
          <w:p w14:paraId="42FB750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5,428</w:t>
            </w:r>
          </w:p>
        </w:tc>
        <w:tc>
          <w:tcPr>
            <w:tcW w:w="936" w:type="dxa"/>
            <w:noWrap/>
            <w:hideMark/>
          </w:tcPr>
          <w:p w14:paraId="43C581E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1,184</w:t>
            </w:r>
          </w:p>
        </w:tc>
      </w:tr>
      <w:tr w:rsidR="0035381F" w:rsidRPr="00CC7461" w14:paraId="2EEDE336"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52A2801D" w14:textId="5FBF16DC" w:rsidR="0035381F" w:rsidRPr="004F4BA7" w:rsidRDefault="0035381F" w:rsidP="0035381F">
            <w:pPr>
              <w:rPr>
                <w:color w:val="auto"/>
                <w:lang w:eastAsia="en-GB"/>
              </w:rPr>
            </w:pPr>
            <w:r w:rsidRPr="00711F14">
              <w:t>Fenland %</w:t>
            </w:r>
          </w:p>
        </w:tc>
        <w:tc>
          <w:tcPr>
            <w:tcW w:w="937" w:type="dxa"/>
            <w:noWrap/>
            <w:hideMark/>
          </w:tcPr>
          <w:p w14:paraId="3F19B84B"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w:t>
            </w:r>
          </w:p>
        </w:tc>
        <w:tc>
          <w:tcPr>
            <w:tcW w:w="942" w:type="dxa"/>
            <w:noWrap/>
            <w:hideMark/>
          </w:tcPr>
          <w:p w14:paraId="58BFF454"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w:t>
            </w:r>
          </w:p>
        </w:tc>
        <w:tc>
          <w:tcPr>
            <w:tcW w:w="941" w:type="dxa"/>
            <w:noWrap/>
            <w:hideMark/>
          </w:tcPr>
          <w:p w14:paraId="570D279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46%</w:t>
            </w:r>
          </w:p>
        </w:tc>
        <w:tc>
          <w:tcPr>
            <w:tcW w:w="935" w:type="dxa"/>
            <w:noWrap/>
            <w:hideMark/>
          </w:tcPr>
          <w:p w14:paraId="2EB5777F"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70%</w:t>
            </w:r>
          </w:p>
        </w:tc>
        <w:tc>
          <w:tcPr>
            <w:tcW w:w="936" w:type="dxa"/>
            <w:noWrap/>
            <w:hideMark/>
          </w:tcPr>
          <w:p w14:paraId="02B6053A"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17%</w:t>
            </w:r>
          </w:p>
        </w:tc>
        <w:tc>
          <w:tcPr>
            <w:tcW w:w="935" w:type="dxa"/>
            <w:noWrap/>
            <w:hideMark/>
          </w:tcPr>
          <w:p w14:paraId="1BF33D7E"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w:t>
            </w:r>
          </w:p>
        </w:tc>
        <w:tc>
          <w:tcPr>
            <w:tcW w:w="936" w:type="dxa"/>
            <w:noWrap/>
            <w:hideMark/>
          </w:tcPr>
          <w:p w14:paraId="5D8ABFD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w:t>
            </w:r>
          </w:p>
        </w:tc>
      </w:tr>
      <w:tr w:rsidR="0035381F" w:rsidRPr="00CC7461" w14:paraId="5AF17609"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7732551F" w14:textId="760F0FFC" w:rsidR="0035381F" w:rsidRPr="004F4BA7" w:rsidRDefault="0035381F" w:rsidP="0035381F">
            <w:pPr>
              <w:rPr>
                <w:color w:val="auto"/>
                <w:lang w:eastAsia="en-GB"/>
              </w:rPr>
            </w:pPr>
            <w:r w:rsidRPr="00711F14">
              <w:t>Huntingdonshire #</w:t>
            </w:r>
          </w:p>
        </w:tc>
        <w:tc>
          <w:tcPr>
            <w:tcW w:w="937" w:type="dxa"/>
            <w:noWrap/>
            <w:hideMark/>
          </w:tcPr>
          <w:p w14:paraId="60F8838A"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-1,374</w:t>
            </w:r>
          </w:p>
        </w:tc>
        <w:tc>
          <w:tcPr>
            <w:tcW w:w="942" w:type="dxa"/>
            <w:noWrap/>
            <w:hideMark/>
          </w:tcPr>
          <w:p w14:paraId="38DB39F2"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782</w:t>
            </w:r>
          </w:p>
        </w:tc>
        <w:tc>
          <w:tcPr>
            <w:tcW w:w="941" w:type="dxa"/>
            <w:noWrap/>
            <w:hideMark/>
          </w:tcPr>
          <w:p w14:paraId="4D4AD992"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741</w:t>
            </w:r>
          </w:p>
        </w:tc>
        <w:tc>
          <w:tcPr>
            <w:tcW w:w="935" w:type="dxa"/>
            <w:noWrap/>
            <w:hideMark/>
          </w:tcPr>
          <w:p w14:paraId="4B899C04"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327</w:t>
            </w:r>
          </w:p>
        </w:tc>
        <w:tc>
          <w:tcPr>
            <w:tcW w:w="936" w:type="dxa"/>
            <w:noWrap/>
            <w:hideMark/>
          </w:tcPr>
          <w:p w14:paraId="7933277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5,795</w:t>
            </w:r>
          </w:p>
        </w:tc>
        <w:tc>
          <w:tcPr>
            <w:tcW w:w="935" w:type="dxa"/>
            <w:noWrap/>
            <w:hideMark/>
          </w:tcPr>
          <w:p w14:paraId="3A7DA3D2"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6,271</w:t>
            </w:r>
          </w:p>
        </w:tc>
        <w:tc>
          <w:tcPr>
            <w:tcW w:w="936" w:type="dxa"/>
            <w:noWrap/>
            <w:hideMark/>
          </w:tcPr>
          <w:p w14:paraId="010293E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476</w:t>
            </w:r>
          </w:p>
        </w:tc>
      </w:tr>
      <w:tr w:rsidR="0035381F" w:rsidRPr="00CC7461" w14:paraId="1018C1E3"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7C4A250A" w14:textId="0774E9DC" w:rsidR="0035381F" w:rsidRPr="004F4BA7" w:rsidRDefault="0035381F" w:rsidP="0035381F">
            <w:pPr>
              <w:rPr>
                <w:color w:val="auto"/>
                <w:lang w:eastAsia="en-GB"/>
              </w:rPr>
            </w:pPr>
            <w:r w:rsidRPr="00711F14">
              <w:t>Huntingdonshire %</w:t>
            </w:r>
          </w:p>
        </w:tc>
        <w:tc>
          <w:tcPr>
            <w:tcW w:w="937" w:type="dxa"/>
            <w:noWrap/>
            <w:hideMark/>
          </w:tcPr>
          <w:p w14:paraId="437BD9E8"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w:t>
            </w:r>
          </w:p>
        </w:tc>
        <w:tc>
          <w:tcPr>
            <w:tcW w:w="942" w:type="dxa"/>
            <w:noWrap/>
            <w:hideMark/>
          </w:tcPr>
          <w:p w14:paraId="01637B11"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34%</w:t>
            </w:r>
          </w:p>
        </w:tc>
        <w:tc>
          <w:tcPr>
            <w:tcW w:w="941" w:type="dxa"/>
            <w:noWrap/>
            <w:hideMark/>
          </w:tcPr>
          <w:p w14:paraId="6074F039"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w:t>
            </w:r>
          </w:p>
        </w:tc>
        <w:tc>
          <w:tcPr>
            <w:tcW w:w="935" w:type="dxa"/>
            <w:noWrap/>
            <w:hideMark/>
          </w:tcPr>
          <w:p w14:paraId="0130ABA1"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31%</w:t>
            </w:r>
          </w:p>
        </w:tc>
        <w:tc>
          <w:tcPr>
            <w:tcW w:w="936" w:type="dxa"/>
            <w:noWrap/>
            <w:hideMark/>
          </w:tcPr>
          <w:p w14:paraId="4334F42A"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w:t>
            </w:r>
          </w:p>
        </w:tc>
        <w:tc>
          <w:tcPr>
            <w:tcW w:w="935" w:type="dxa"/>
            <w:noWrap/>
            <w:hideMark/>
          </w:tcPr>
          <w:p w14:paraId="6187BD55"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w:t>
            </w:r>
          </w:p>
        </w:tc>
        <w:tc>
          <w:tcPr>
            <w:tcW w:w="936" w:type="dxa"/>
            <w:noWrap/>
            <w:hideMark/>
          </w:tcPr>
          <w:p w14:paraId="2F77558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w:t>
            </w:r>
          </w:p>
        </w:tc>
      </w:tr>
      <w:tr w:rsidR="0035381F" w:rsidRPr="00CC7461" w14:paraId="7947199C"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20D2CA87" w14:textId="46C7E97D" w:rsidR="0035381F" w:rsidRPr="004F4BA7" w:rsidRDefault="0035381F" w:rsidP="0035381F">
            <w:pPr>
              <w:rPr>
                <w:color w:val="auto"/>
                <w:lang w:eastAsia="en-GB"/>
              </w:rPr>
            </w:pPr>
            <w:r w:rsidRPr="00711F14">
              <w:t>West Suffolk #</w:t>
            </w:r>
          </w:p>
        </w:tc>
        <w:tc>
          <w:tcPr>
            <w:tcW w:w="937" w:type="dxa"/>
            <w:noWrap/>
            <w:hideMark/>
          </w:tcPr>
          <w:p w14:paraId="51B0653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-983</w:t>
            </w:r>
          </w:p>
        </w:tc>
        <w:tc>
          <w:tcPr>
            <w:tcW w:w="942" w:type="dxa"/>
            <w:noWrap/>
            <w:hideMark/>
          </w:tcPr>
          <w:p w14:paraId="77272C4B"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1,015</w:t>
            </w:r>
          </w:p>
        </w:tc>
        <w:tc>
          <w:tcPr>
            <w:tcW w:w="941" w:type="dxa"/>
            <w:noWrap/>
            <w:hideMark/>
          </w:tcPr>
          <w:p w14:paraId="34DB202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1,239</w:t>
            </w:r>
          </w:p>
        </w:tc>
        <w:tc>
          <w:tcPr>
            <w:tcW w:w="935" w:type="dxa"/>
            <w:noWrap/>
            <w:hideMark/>
          </w:tcPr>
          <w:p w14:paraId="556C2E3C"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539</w:t>
            </w:r>
          </w:p>
        </w:tc>
        <w:tc>
          <w:tcPr>
            <w:tcW w:w="936" w:type="dxa"/>
            <w:noWrap/>
            <w:hideMark/>
          </w:tcPr>
          <w:p w14:paraId="32369FFF"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5,790</w:t>
            </w:r>
          </w:p>
        </w:tc>
        <w:tc>
          <w:tcPr>
            <w:tcW w:w="935" w:type="dxa"/>
            <w:noWrap/>
            <w:hideMark/>
          </w:tcPr>
          <w:p w14:paraId="74A4B83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7,600</w:t>
            </w:r>
          </w:p>
        </w:tc>
        <w:tc>
          <w:tcPr>
            <w:tcW w:w="936" w:type="dxa"/>
            <w:noWrap/>
            <w:hideMark/>
          </w:tcPr>
          <w:p w14:paraId="6E3B701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1,810</w:t>
            </w:r>
          </w:p>
        </w:tc>
      </w:tr>
      <w:tr w:rsidR="0035381F" w:rsidRPr="00CC7461" w14:paraId="7EFBC80F" w14:textId="77777777" w:rsidTr="004F4BA7">
        <w:trPr>
          <w:trHeight w:val="368"/>
        </w:trPr>
        <w:tc>
          <w:tcPr>
            <w:cnfStyle w:val="001000000000" w:firstRow="0" w:lastRow="0" w:firstColumn="1" w:lastColumn="0" w:oddVBand="0" w:evenVBand="0" w:oddHBand="0" w:evenHBand="0" w:firstRowFirstColumn="0" w:firstRowLastColumn="0" w:lastRowFirstColumn="0" w:lastRowLastColumn="0"/>
            <w:tcW w:w="1837" w:type="dxa"/>
            <w:vAlign w:val="top"/>
            <w:hideMark/>
          </w:tcPr>
          <w:p w14:paraId="37AE62FE" w14:textId="28D901B4" w:rsidR="0035381F" w:rsidRPr="004F4BA7" w:rsidRDefault="0035381F" w:rsidP="0035381F">
            <w:pPr>
              <w:rPr>
                <w:color w:val="auto"/>
                <w:lang w:eastAsia="en-GB"/>
              </w:rPr>
            </w:pPr>
            <w:r w:rsidRPr="00711F14">
              <w:t>West Suffolk %</w:t>
            </w:r>
          </w:p>
        </w:tc>
        <w:tc>
          <w:tcPr>
            <w:tcW w:w="937" w:type="dxa"/>
            <w:noWrap/>
            <w:hideMark/>
          </w:tcPr>
          <w:p w14:paraId="381884B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w:t>
            </w:r>
          </w:p>
        </w:tc>
        <w:tc>
          <w:tcPr>
            <w:tcW w:w="942" w:type="dxa"/>
            <w:noWrap/>
            <w:hideMark/>
          </w:tcPr>
          <w:p w14:paraId="1FA81D2D"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w:t>
            </w:r>
          </w:p>
        </w:tc>
        <w:tc>
          <w:tcPr>
            <w:tcW w:w="941" w:type="dxa"/>
            <w:noWrap/>
            <w:hideMark/>
          </w:tcPr>
          <w:p w14:paraId="0F73FFC6"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41%</w:t>
            </w:r>
          </w:p>
        </w:tc>
        <w:tc>
          <w:tcPr>
            <w:tcW w:w="935" w:type="dxa"/>
            <w:noWrap/>
            <w:hideMark/>
          </w:tcPr>
          <w:p w14:paraId="7027F9C9"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w:t>
            </w:r>
          </w:p>
        </w:tc>
        <w:tc>
          <w:tcPr>
            <w:tcW w:w="936" w:type="dxa"/>
            <w:noWrap/>
            <w:hideMark/>
          </w:tcPr>
          <w:p w14:paraId="48A69053"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w:t>
            </w:r>
          </w:p>
        </w:tc>
        <w:tc>
          <w:tcPr>
            <w:tcW w:w="935" w:type="dxa"/>
            <w:noWrap/>
            <w:hideMark/>
          </w:tcPr>
          <w:p w14:paraId="38FBA72E"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w:t>
            </w:r>
          </w:p>
        </w:tc>
        <w:tc>
          <w:tcPr>
            <w:tcW w:w="936" w:type="dxa"/>
            <w:noWrap/>
            <w:hideMark/>
          </w:tcPr>
          <w:p w14:paraId="29496030" w14:textId="77777777" w:rsidR="0035381F" w:rsidRPr="004F4BA7" w:rsidRDefault="0035381F" w:rsidP="0035381F">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w:t>
            </w:r>
          </w:p>
        </w:tc>
      </w:tr>
    </w:tbl>
    <w:p w14:paraId="3501DA31" w14:textId="77777777" w:rsidR="00A6240C" w:rsidRPr="00FB553C" w:rsidRDefault="00A6240C" w:rsidP="008E6E40">
      <w:pPr>
        <w:keepNext/>
        <w:widowControl w:val="0"/>
        <w:autoSpaceDE w:val="0"/>
        <w:autoSpaceDN w:val="0"/>
        <w:adjustRightInd w:val="0"/>
        <w:ind w:left="794"/>
        <w:rPr>
          <w:sz w:val="24"/>
          <w:szCs w:val="24"/>
        </w:rPr>
      </w:pPr>
      <w:r w:rsidRPr="00FB553C">
        <w:rPr>
          <w:sz w:val="24"/>
          <w:szCs w:val="24"/>
        </w:rPr>
        <w:t>Source: Census (2001 and 2011)</w:t>
      </w:r>
    </w:p>
    <w:p w14:paraId="231C5C7C" w14:textId="77777777" w:rsidR="00A6240C" w:rsidRPr="00526C6E" w:rsidRDefault="00A6240C" w:rsidP="007D0FBF">
      <w:pPr>
        <w:pStyle w:val="11Bodytext"/>
        <w:rPr>
          <w:b/>
        </w:rPr>
      </w:pPr>
      <w:r>
        <w:rPr>
          <w:lang w:eastAsia="en-US"/>
        </w:rPr>
        <w:t xml:space="preserve">The table below shows the projected change to the number of children (aged 15 or under) from 2020 to 2040, as indicated by the population projection linked to the standard method (see Appendix C). The projections see a notable increase (16.8%) in the number of children within the HMA. This is explained in part by families moving into newly built homes in the study area who tend to be of child-bearing age. </w:t>
      </w:r>
    </w:p>
    <w:p w14:paraId="1214D89B" w14:textId="77777777" w:rsidR="00A6240C" w:rsidRDefault="00A6240C" w:rsidP="00A6240C">
      <w:pPr>
        <w:spacing w:after="200"/>
        <w:rPr>
          <w:b/>
        </w:rPr>
      </w:pPr>
      <w:r>
        <w:br w:type="page"/>
      </w:r>
    </w:p>
    <w:p w14:paraId="44C65C15" w14:textId="77777777" w:rsidR="00A6240C" w:rsidRDefault="00A6240C" w:rsidP="003D5E23">
      <w:pPr>
        <w:pStyle w:val="Tableheading"/>
        <w:numPr>
          <w:ilvl w:val="0"/>
          <w:numId w:val="54"/>
        </w:numPr>
      </w:pPr>
      <w:r>
        <w:lastRenderedPageBreak/>
        <w:t>Estimated change in the population of dependent children (2020-2040) – Cambridgeshire and West Suffolk</w:t>
      </w:r>
    </w:p>
    <w:tbl>
      <w:tblPr>
        <w:tblStyle w:val="TableGridLight1"/>
        <w:tblW w:w="8534" w:type="dxa"/>
        <w:tblInd w:w="817" w:type="dxa"/>
        <w:tblLook w:val="04A0" w:firstRow="1" w:lastRow="0" w:firstColumn="1" w:lastColumn="0" w:noHBand="0" w:noVBand="1"/>
      </w:tblPr>
      <w:tblGrid>
        <w:gridCol w:w="2505"/>
        <w:gridCol w:w="1507"/>
        <w:gridCol w:w="1507"/>
        <w:gridCol w:w="1507"/>
        <w:gridCol w:w="1508"/>
      </w:tblGrid>
      <w:tr w:rsidR="009E47B9" w:rsidRPr="009E47B9" w14:paraId="63A480A1" w14:textId="77777777" w:rsidTr="009E47B9">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505" w:type="dxa"/>
            <w:hideMark/>
          </w:tcPr>
          <w:p w14:paraId="08C76271" w14:textId="77777777" w:rsidR="00A6240C" w:rsidRPr="009E47B9" w:rsidRDefault="00A6240C" w:rsidP="001D508A">
            <w:pPr>
              <w:spacing w:line="256" w:lineRule="auto"/>
              <w:rPr>
                <w:lang w:eastAsia="en-GB"/>
              </w:rPr>
            </w:pPr>
            <w:r w:rsidRPr="009E47B9">
              <w:rPr>
                <w:lang w:eastAsia="en-GB"/>
              </w:rPr>
              <w:t> </w:t>
            </w:r>
          </w:p>
        </w:tc>
        <w:tc>
          <w:tcPr>
            <w:tcW w:w="1507" w:type="dxa"/>
            <w:hideMark/>
          </w:tcPr>
          <w:p w14:paraId="64184BE3"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2020</w:t>
            </w:r>
          </w:p>
        </w:tc>
        <w:tc>
          <w:tcPr>
            <w:tcW w:w="1507" w:type="dxa"/>
            <w:hideMark/>
          </w:tcPr>
          <w:p w14:paraId="13241E35"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2040</w:t>
            </w:r>
          </w:p>
        </w:tc>
        <w:tc>
          <w:tcPr>
            <w:tcW w:w="1507" w:type="dxa"/>
            <w:hideMark/>
          </w:tcPr>
          <w:p w14:paraId="6BA78974"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Change (2020-2040)</w:t>
            </w:r>
          </w:p>
        </w:tc>
        <w:tc>
          <w:tcPr>
            <w:tcW w:w="1508" w:type="dxa"/>
            <w:hideMark/>
          </w:tcPr>
          <w:p w14:paraId="15511BCF"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 Change</w:t>
            </w:r>
          </w:p>
        </w:tc>
      </w:tr>
      <w:tr w:rsidR="009E47B9" w:rsidRPr="009E47B9" w14:paraId="3C63499F"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38E795AD" w14:textId="77777777" w:rsidR="00A6240C" w:rsidRPr="004F4BA7" w:rsidRDefault="00A6240C" w:rsidP="001D508A">
            <w:pPr>
              <w:spacing w:line="256" w:lineRule="auto"/>
              <w:rPr>
                <w:bCs/>
                <w:lang w:eastAsia="en-GB"/>
              </w:rPr>
            </w:pPr>
            <w:r w:rsidRPr="004F4BA7">
              <w:rPr>
                <w:bCs/>
                <w:lang w:eastAsia="en-GB"/>
              </w:rPr>
              <w:t>Cambridge</w:t>
            </w:r>
          </w:p>
        </w:tc>
        <w:tc>
          <w:tcPr>
            <w:tcW w:w="1507" w:type="dxa"/>
            <w:hideMark/>
          </w:tcPr>
          <w:p w14:paraId="2765EAF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22,051</w:t>
            </w:r>
          </w:p>
        </w:tc>
        <w:tc>
          <w:tcPr>
            <w:tcW w:w="1507" w:type="dxa"/>
            <w:hideMark/>
          </w:tcPr>
          <w:p w14:paraId="0BF496E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28,016</w:t>
            </w:r>
          </w:p>
        </w:tc>
        <w:tc>
          <w:tcPr>
            <w:tcW w:w="1507" w:type="dxa"/>
            <w:hideMark/>
          </w:tcPr>
          <w:p w14:paraId="414E9940"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5,965</w:t>
            </w:r>
          </w:p>
        </w:tc>
        <w:tc>
          <w:tcPr>
            <w:tcW w:w="1508" w:type="dxa"/>
            <w:hideMark/>
          </w:tcPr>
          <w:p w14:paraId="7F5A0AF5"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27.10%</w:t>
            </w:r>
          </w:p>
        </w:tc>
      </w:tr>
      <w:tr w:rsidR="009E47B9" w:rsidRPr="009E47B9" w14:paraId="2614F134"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480C32E6" w14:textId="77777777" w:rsidR="00A6240C" w:rsidRPr="004F4BA7" w:rsidRDefault="00A6240C" w:rsidP="001D508A">
            <w:pPr>
              <w:spacing w:line="256" w:lineRule="auto"/>
              <w:rPr>
                <w:bCs/>
                <w:lang w:eastAsia="en-GB"/>
              </w:rPr>
            </w:pPr>
            <w:r w:rsidRPr="004F4BA7">
              <w:rPr>
                <w:bCs/>
                <w:lang w:eastAsia="en-GB"/>
              </w:rPr>
              <w:t>South Cambs</w:t>
            </w:r>
          </w:p>
        </w:tc>
        <w:tc>
          <w:tcPr>
            <w:tcW w:w="1507" w:type="dxa"/>
            <w:hideMark/>
          </w:tcPr>
          <w:p w14:paraId="17098F1A"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32,174</w:t>
            </w:r>
          </w:p>
        </w:tc>
        <w:tc>
          <w:tcPr>
            <w:tcW w:w="1507" w:type="dxa"/>
            <w:hideMark/>
          </w:tcPr>
          <w:p w14:paraId="64C3A159"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38,028</w:t>
            </w:r>
          </w:p>
        </w:tc>
        <w:tc>
          <w:tcPr>
            <w:tcW w:w="1507" w:type="dxa"/>
            <w:hideMark/>
          </w:tcPr>
          <w:p w14:paraId="4011C96B"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5,854</w:t>
            </w:r>
          </w:p>
        </w:tc>
        <w:tc>
          <w:tcPr>
            <w:tcW w:w="1508" w:type="dxa"/>
            <w:hideMark/>
          </w:tcPr>
          <w:p w14:paraId="0568F1E7"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18.20%</w:t>
            </w:r>
          </w:p>
        </w:tc>
      </w:tr>
      <w:tr w:rsidR="009E47B9" w:rsidRPr="009E47B9" w14:paraId="0C6036E2" w14:textId="77777777" w:rsidTr="009E47B9">
        <w:trPr>
          <w:trHeight w:val="322"/>
        </w:trPr>
        <w:tc>
          <w:tcPr>
            <w:cnfStyle w:val="001000000000" w:firstRow="0" w:lastRow="0" w:firstColumn="1" w:lastColumn="0" w:oddVBand="0" w:evenVBand="0" w:oddHBand="0" w:evenHBand="0" w:firstRowFirstColumn="0" w:firstRowLastColumn="0" w:lastRowFirstColumn="0" w:lastRowLastColumn="0"/>
            <w:tcW w:w="2505" w:type="dxa"/>
            <w:hideMark/>
          </w:tcPr>
          <w:p w14:paraId="0C7619E8" w14:textId="77777777" w:rsidR="00A6240C" w:rsidRPr="004F4BA7" w:rsidRDefault="00A6240C" w:rsidP="001D508A">
            <w:pPr>
              <w:spacing w:line="256" w:lineRule="auto"/>
              <w:rPr>
                <w:bCs/>
                <w:lang w:eastAsia="en-GB"/>
              </w:rPr>
            </w:pPr>
            <w:r w:rsidRPr="004F4BA7">
              <w:rPr>
                <w:bCs/>
                <w:lang w:eastAsia="en-GB"/>
              </w:rPr>
              <w:t>Greater Cambridge</w:t>
            </w:r>
          </w:p>
        </w:tc>
        <w:tc>
          <w:tcPr>
            <w:tcW w:w="1507" w:type="dxa"/>
            <w:hideMark/>
          </w:tcPr>
          <w:p w14:paraId="29CC8DB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54,225</w:t>
            </w:r>
          </w:p>
        </w:tc>
        <w:tc>
          <w:tcPr>
            <w:tcW w:w="1507" w:type="dxa"/>
            <w:hideMark/>
          </w:tcPr>
          <w:p w14:paraId="27661E78"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66,044</w:t>
            </w:r>
          </w:p>
        </w:tc>
        <w:tc>
          <w:tcPr>
            <w:tcW w:w="1507" w:type="dxa"/>
            <w:hideMark/>
          </w:tcPr>
          <w:p w14:paraId="13ABABC7"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11,819</w:t>
            </w:r>
          </w:p>
        </w:tc>
        <w:tc>
          <w:tcPr>
            <w:tcW w:w="1508" w:type="dxa"/>
            <w:hideMark/>
          </w:tcPr>
          <w:p w14:paraId="3BE99E07"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21.80%</w:t>
            </w:r>
          </w:p>
        </w:tc>
      </w:tr>
      <w:tr w:rsidR="009E47B9" w:rsidRPr="009E47B9" w14:paraId="58371B60"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62262263" w14:textId="77777777" w:rsidR="00A6240C" w:rsidRPr="004F4BA7" w:rsidRDefault="00A6240C" w:rsidP="001D508A">
            <w:pPr>
              <w:spacing w:line="256" w:lineRule="auto"/>
              <w:rPr>
                <w:bCs/>
                <w:lang w:eastAsia="en-GB"/>
              </w:rPr>
            </w:pPr>
            <w:r w:rsidRPr="004F4BA7">
              <w:rPr>
                <w:bCs/>
                <w:lang w:eastAsia="en-GB"/>
              </w:rPr>
              <w:t>Fenland</w:t>
            </w:r>
          </w:p>
        </w:tc>
        <w:tc>
          <w:tcPr>
            <w:tcW w:w="1507" w:type="dxa"/>
            <w:hideMark/>
          </w:tcPr>
          <w:p w14:paraId="6C022932"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17,681</w:t>
            </w:r>
          </w:p>
        </w:tc>
        <w:tc>
          <w:tcPr>
            <w:tcW w:w="1507" w:type="dxa"/>
            <w:hideMark/>
          </w:tcPr>
          <w:p w14:paraId="29F35F52"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21,002</w:t>
            </w:r>
          </w:p>
        </w:tc>
        <w:tc>
          <w:tcPr>
            <w:tcW w:w="1507" w:type="dxa"/>
            <w:hideMark/>
          </w:tcPr>
          <w:p w14:paraId="789CA5E0"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3,321</w:t>
            </w:r>
          </w:p>
        </w:tc>
        <w:tc>
          <w:tcPr>
            <w:tcW w:w="1508" w:type="dxa"/>
            <w:hideMark/>
          </w:tcPr>
          <w:p w14:paraId="2C948174"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18.80%</w:t>
            </w:r>
          </w:p>
        </w:tc>
      </w:tr>
      <w:tr w:rsidR="009E47B9" w:rsidRPr="009E47B9" w14:paraId="6E7F6DB3"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552222B7" w14:textId="77777777" w:rsidR="00A6240C" w:rsidRPr="004F4BA7" w:rsidRDefault="00A6240C" w:rsidP="001D508A">
            <w:pPr>
              <w:spacing w:line="256" w:lineRule="auto"/>
              <w:rPr>
                <w:bCs/>
                <w:lang w:eastAsia="en-GB"/>
              </w:rPr>
            </w:pPr>
            <w:r w:rsidRPr="004F4BA7">
              <w:rPr>
                <w:bCs/>
                <w:lang w:eastAsia="en-GB"/>
              </w:rPr>
              <w:t>East Cambs</w:t>
            </w:r>
          </w:p>
        </w:tc>
        <w:tc>
          <w:tcPr>
            <w:tcW w:w="1507" w:type="dxa"/>
            <w:hideMark/>
          </w:tcPr>
          <w:p w14:paraId="199AB574"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18,073</w:t>
            </w:r>
          </w:p>
        </w:tc>
        <w:tc>
          <w:tcPr>
            <w:tcW w:w="1507" w:type="dxa"/>
            <w:hideMark/>
          </w:tcPr>
          <w:p w14:paraId="5F2FD6FD"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20,071</w:t>
            </w:r>
          </w:p>
        </w:tc>
        <w:tc>
          <w:tcPr>
            <w:tcW w:w="1507" w:type="dxa"/>
            <w:hideMark/>
          </w:tcPr>
          <w:p w14:paraId="49579C6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1,998</w:t>
            </w:r>
          </w:p>
        </w:tc>
        <w:tc>
          <w:tcPr>
            <w:tcW w:w="1508" w:type="dxa"/>
            <w:hideMark/>
          </w:tcPr>
          <w:p w14:paraId="4118C662"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11.10%</w:t>
            </w:r>
          </w:p>
        </w:tc>
      </w:tr>
      <w:tr w:rsidR="009E47B9" w:rsidRPr="009E47B9" w14:paraId="207CEE34"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29A04C89" w14:textId="77777777" w:rsidR="00A6240C" w:rsidRPr="004F4BA7" w:rsidRDefault="00A6240C" w:rsidP="001D508A">
            <w:pPr>
              <w:spacing w:line="256" w:lineRule="auto"/>
              <w:rPr>
                <w:bCs/>
                <w:lang w:eastAsia="en-GB"/>
              </w:rPr>
            </w:pPr>
            <w:r w:rsidRPr="004F4BA7">
              <w:rPr>
                <w:bCs/>
                <w:lang w:eastAsia="en-GB"/>
              </w:rPr>
              <w:t>Huntingdonshire</w:t>
            </w:r>
          </w:p>
        </w:tc>
        <w:tc>
          <w:tcPr>
            <w:tcW w:w="1507" w:type="dxa"/>
            <w:hideMark/>
          </w:tcPr>
          <w:p w14:paraId="05A4FBD0"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34,050</w:t>
            </w:r>
          </w:p>
        </w:tc>
        <w:tc>
          <w:tcPr>
            <w:tcW w:w="1507" w:type="dxa"/>
            <w:hideMark/>
          </w:tcPr>
          <w:p w14:paraId="255D1E73"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37,708</w:t>
            </w:r>
          </w:p>
        </w:tc>
        <w:tc>
          <w:tcPr>
            <w:tcW w:w="1507" w:type="dxa"/>
            <w:hideMark/>
          </w:tcPr>
          <w:p w14:paraId="0065EAFD"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3,657</w:t>
            </w:r>
          </w:p>
        </w:tc>
        <w:tc>
          <w:tcPr>
            <w:tcW w:w="1508" w:type="dxa"/>
            <w:hideMark/>
          </w:tcPr>
          <w:p w14:paraId="60F48AC7"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10.70%</w:t>
            </w:r>
          </w:p>
        </w:tc>
      </w:tr>
      <w:tr w:rsidR="009E47B9" w:rsidRPr="009E47B9" w14:paraId="05D889FE"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73CB170E" w14:textId="77777777" w:rsidR="00A6240C" w:rsidRPr="004F4BA7" w:rsidRDefault="00A6240C" w:rsidP="001D508A">
            <w:pPr>
              <w:spacing w:line="256" w:lineRule="auto"/>
              <w:rPr>
                <w:bCs/>
                <w:lang w:eastAsia="en-GB"/>
              </w:rPr>
            </w:pPr>
            <w:r w:rsidRPr="004F4BA7">
              <w:rPr>
                <w:bCs/>
                <w:lang w:eastAsia="en-GB"/>
              </w:rPr>
              <w:t>West Suffolk</w:t>
            </w:r>
          </w:p>
        </w:tc>
        <w:tc>
          <w:tcPr>
            <w:tcW w:w="1507" w:type="dxa"/>
            <w:hideMark/>
          </w:tcPr>
          <w:p w14:paraId="51406FF1"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34,340</w:t>
            </w:r>
          </w:p>
        </w:tc>
        <w:tc>
          <w:tcPr>
            <w:tcW w:w="1507" w:type="dxa"/>
            <w:hideMark/>
          </w:tcPr>
          <w:p w14:paraId="30135422"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40,128</w:t>
            </w:r>
          </w:p>
        </w:tc>
        <w:tc>
          <w:tcPr>
            <w:tcW w:w="1507" w:type="dxa"/>
            <w:hideMark/>
          </w:tcPr>
          <w:p w14:paraId="708F5F2F"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5,788</w:t>
            </w:r>
          </w:p>
        </w:tc>
        <w:tc>
          <w:tcPr>
            <w:tcW w:w="1508" w:type="dxa"/>
            <w:hideMark/>
          </w:tcPr>
          <w:p w14:paraId="47438F2D"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16.90%</w:t>
            </w:r>
          </w:p>
        </w:tc>
      </w:tr>
      <w:tr w:rsidR="009E47B9" w:rsidRPr="009E47B9" w14:paraId="0DB39D77" w14:textId="77777777" w:rsidTr="009E47B9">
        <w:trPr>
          <w:trHeight w:val="263"/>
        </w:trPr>
        <w:tc>
          <w:tcPr>
            <w:cnfStyle w:val="001000000000" w:firstRow="0" w:lastRow="0" w:firstColumn="1" w:lastColumn="0" w:oddVBand="0" w:evenVBand="0" w:oddHBand="0" w:evenHBand="0" w:firstRowFirstColumn="0" w:firstRowLastColumn="0" w:lastRowFirstColumn="0" w:lastRowLastColumn="0"/>
            <w:tcW w:w="2505" w:type="dxa"/>
            <w:hideMark/>
          </w:tcPr>
          <w:p w14:paraId="5F32842D" w14:textId="77777777" w:rsidR="00A6240C" w:rsidRPr="009E47B9" w:rsidRDefault="00A6240C" w:rsidP="001D508A">
            <w:pPr>
              <w:spacing w:line="256" w:lineRule="auto"/>
              <w:rPr>
                <w:b/>
                <w:lang w:eastAsia="en-GB"/>
              </w:rPr>
            </w:pPr>
            <w:r w:rsidRPr="009E47B9">
              <w:rPr>
                <w:b/>
                <w:lang w:eastAsia="en-GB"/>
              </w:rPr>
              <w:t>HMA</w:t>
            </w:r>
          </w:p>
        </w:tc>
        <w:tc>
          <w:tcPr>
            <w:tcW w:w="1507" w:type="dxa"/>
            <w:hideMark/>
          </w:tcPr>
          <w:p w14:paraId="3005A750"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158,369</w:t>
            </w:r>
          </w:p>
        </w:tc>
        <w:tc>
          <w:tcPr>
            <w:tcW w:w="1507" w:type="dxa"/>
            <w:hideMark/>
          </w:tcPr>
          <w:p w14:paraId="63F0704B"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184,952</w:t>
            </w:r>
          </w:p>
        </w:tc>
        <w:tc>
          <w:tcPr>
            <w:tcW w:w="1507" w:type="dxa"/>
            <w:hideMark/>
          </w:tcPr>
          <w:p w14:paraId="1A10CAFC"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26,583</w:t>
            </w:r>
          </w:p>
        </w:tc>
        <w:tc>
          <w:tcPr>
            <w:tcW w:w="1508" w:type="dxa"/>
            <w:hideMark/>
          </w:tcPr>
          <w:p w14:paraId="1147E1F1"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16.80%</w:t>
            </w:r>
          </w:p>
        </w:tc>
      </w:tr>
    </w:tbl>
    <w:p w14:paraId="3EAC9993" w14:textId="77777777" w:rsidR="00A6240C" w:rsidRPr="00FB553C" w:rsidRDefault="00A6240C" w:rsidP="00A6240C">
      <w:pPr>
        <w:spacing w:after="120" w:line="360" w:lineRule="auto"/>
        <w:ind w:left="794"/>
        <w:rPr>
          <w:sz w:val="24"/>
          <w:szCs w:val="24"/>
        </w:rPr>
      </w:pPr>
      <w:r w:rsidRPr="00FB553C">
        <w:rPr>
          <w:sz w:val="24"/>
          <w:szCs w:val="24"/>
        </w:rPr>
        <w:t>Source: ONS and derived from demographic modelling</w:t>
      </w:r>
    </w:p>
    <w:p w14:paraId="7E8C70D8" w14:textId="56441C01" w:rsidR="00A6240C" w:rsidRDefault="00A6240C" w:rsidP="007D0FBF">
      <w:pPr>
        <w:pStyle w:val="11Bodytext"/>
      </w:pPr>
      <w:r>
        <w:t>The figure below shows the current tenure of households with dependent children. There are significant differences between the different types of household. For example, a very high proportion of lone parents live in the social rented and PRS. Only 27% of lone parent households are owner-occupiers compared with over 65% of married couples with children.</w:t>
      </w:r>
    </w:p>
    <w:p w14:paraId="0DF33187" w14:textId="6AB95624" w:rsidR="004C0111" w:rsidRDefault="004C0111" w:rsidP="003D5E23">
      <w:pPr>
        <w:pStyle w:val="FigureHeading"/>
      </w:pPr>
      <w:r w:rsidRPr="004C0111">
        <w:t>Tenure of households with dependent children – Cambridgeshire and West Suffolk</w:t>
      </w:r>
    </w:p>
    <w:p w14:paraId="632A842F" w14:textId="3C31C188" w:rsidR="004C0111" w:rsidRDefault="004C0111" w:rsidP="00FB553C">
      <w:pPr>
        <w:pStyle w:val="11Bodytext"/>
        <w:keepNext/>
        <w:numPr>
          <w:ilvl w:val="0"/>
          <w:numId w:val="0"/>
        </w:numPr>
        <w:spacing w:before="0" w:after="0" w:line="240" w:lineRule="auto"/>
        <w:ind w:left="794"/>
      </w:pPr>
      <w:r>
        <w:rPr>
          <w:noProof/>
        </w:rPr>
        <w:drawing>
          <wp:inline distT="0" distB="0" distL="0" distR="0" wp14:anchorId="5BDA60C9" wp14:editId="6A84C2DB">
            <wp:extent cx="5281575" cy="3233318"/>
            <wp:effectExtent l="0" t="0" r="14605" b="5715"/>
            <wp:docPr id="1" name="Chart 1" descr="Bar chart showing the tenure of households with dependant children for Cambridgeshire and West Suffolk">
              <a:extLst xmlns:a="http://schemas.openxmlformats.org/drawingml/2006/main">
                <a:ext uri="{FF2B5EF4-FFF2-40B4-BE49-F238E27FC236}">
                  <a16:creationId xmlns:a16="http://schemas.microsoft.com/office/drawing/2014/main" id="{16110ED8-02AB-46CB-AD96-13CAAC2F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DD6193" w14:textId="08CDE562" w:rsidR="00A6240C" w:rsidRPr="00FB553C" w:rsidRDefault="00A6240C" w:rsidP="00FB553C">
      <w:pPr>
        <w:ind w:left="794"/>
        <w:rPr>
          <w:sz w:val="24"/>
          <w:szCs w:val="24"/>
        </w:rPr>
      </w:pPr>
      <w:r w:rsidRPr="00FB553C">
        <w:rPr>
          <w:sz w:val="24"/>
          <w:szCs w:val="24"/>
        </w:rPr>
        <w:t>Source: ONS, Census (2011), DC4101EW</w:t>
      </w:r>
    </w:p>
    <w:p w14:paraId="7AF52C06" w14:textId="77777777" w:rsidR="00A6240C" w:rsidRDefault="00A6240C" w:rsidP="007D0FBF">
      <w:pPr>
        <w:pStyle w:val="11Bodytext"/>
        <w:rPr>
          <w:lang w:eastAsia="en-US"/>
        </w:rPr>
      </w:pPr>
      <w:r>
        <w:rPr>
          <w:lang w:eastAsia="en-US"/>
        </w:rPr>
        <w:lastRenderedPageBreak/>
        <w:t>The table below shows the number of households in the study area with non-dependent children</w:t>
      </w:r>
      <w:r>
        <w:rPr>
          <w:rStyle w:val="FootnoteReference"/>
          <w:lang w:eastAsia="en-US"/>
        </w:rPr>
        <w:footnoteReference w:id="26"/>
      </w:r>
      <w:r>
        <w:rPr>
          <w:lang w:eastAsia="en-US"/>
        </w:rPr>
        <w:t xml:space="preserve">. In total, some 8.5% of households (27,468) contained non-dependent children as of 2011. </w:t>
      </w:r>
    </w:p>
    <w:p w14:paraId="2AA6EA67" w14:textId="7DAA0290" w:rsidR="00A6240C" w:rsidRDefault="00A6240C" w:rsidP="007D0FBF">
      <w:pPr>
        <w:pStyle w:val="11Bodytext"/>
      </w:pPr>
      <w:r>
        <w:rPr>
          <w:lang w:eastAsia="en-US"/>
        </w:rPr>
        <w:t xml:space="preserve">This indicates the difficulties faced by young people in </w:t>
      </w:r>
      <w:r>
        <w:t>accessing</w:t>
      </w:r>
      <w:r>
        <w:rPr>
          <w:lang w:eastAsia="en-US"/>
        </w:rPr>
        <w:t xml:space="preserve"> housing. Being deemed a low priority for social housing, low incomes and the unaffordability of owner-occupation mean young people may need to remain in the parental home. The proportion of households with non-dependent children in the study area is, however, slightly lower to that seen in England and the East of England.</w:t>
      </w:r>
    </w:p>
    <w:p w14:paraId="7E315C86" w14:textId="1F9AB053" w:rsidR="00CC7461" w:rsidRDefault="00CC7461" w:rsidP="007D0FBF">
      <w:pPr>
        <w:pStyle w:val="11Bodytext"/>
        <w:numPr>
          <w:ilvl w:val="0"/>
          <w:numId w:val="0"/>
        </w:numPr>
        <w:ind w:left="794"/>
      </w:pPr>
    </w:p>
    <w:p w14:paraId="0C6B1056" w14:textId="2108F996" w:rsidR="00CC7461" w:rsidRDefault="00CC7461" w:rsidP="007D0FBF">
      <w:pPr>
        <w:pStyle w:val="11Bodytext"/>
        <w:numPr>
          <w:ilvl w:val="0"/>
          <w:numId w:val="0"/>
        </w:numPr>
        <w:ind w:left="794"/>
      </w:pPr>
    </w:p>
    <w:p w14:paraId="705BB4F3" w14:textId="6D6800BD" w:rsidR="00CC7461" w:rsidRDefault="00CC7461" w:rsidP="007D0FBF">
      <w:pPr>
        <w:pStyle w:val="11Bodytext"/>
        <w:numPr>
          <w:ilvl w:val="0"/>
          <w:numId w:val="0"/>
        </w:numPr>
        <w:ind w:left="794"/>
      </w:pPr>
    </w:p>
    <w:p w14:paraId="49F150C4" w14:textId="49B43DA7" w:rsidR="00CC7461" w:rsidRDefault="00CC7461" w:rsidP="007D0FBF">
      <w:pPr>
        <w:pStyle w:val="11Bodytext"/>
        <w:numPr>
          <w:ilvl w:val="0"/>
          <w:numId w:val="0"/>
        </w:numPr>
        <w:ind w:left="794"/>
      </w:pPr>
    </w:p>
    <w:p w14:paraId="22AE1054" w14:textId="666FCD97" w:rsidR="00CC7461" w:rsidRDefault="00CC7461" w:rsidP="007D0FBF">
      <w:pPr>
        <w:pStyle w:val="11Bodytext"/>
        <w:numPr>
          <w:ilvl w:val="0"/>
          <w:numId w:val="0"/>
        </w:numPr>
        <w:ind w:left="794"/>
      </w:pPr>
    </w:p>
    <w:p w14:paraId="6A2F090C" w14:textId="297B007B" w:rsidR="00CC7461" w:rsidRDefault="00CC7461" w:rsidP="007D0FBF">
      <w:pPr>
        <w:pStyle w:val="11Bodytext"/>
        <w:numPr>
          <w:ilvl w:val="0"/>
          <w:numId w:val="0"/>
        </w:numPr>
        <w:ind w:left="794"/>
      </w:pPr>
    </w:p>
    <w:p w14:paraId="6ECE3078" w14:textId="22283F9A" w:rsidR="00CC7461" w:rsidRDefault="00CC7461" w:rsidP="007D0FBF">
      <w:pPr>
        <w:pStyle w:val="11Bodytext"/>
        <w:numPr>
          <w:ilvl w:val="0"/>
          <w:numId w:val="0"/>
        </w:numPr>
        <w:ind w:left="794"/>
      </w:pPr>
    </w:p>
    <w:p w14:paraId="7D1CBBF3" w14:textId="68E861DC" w:rsidR="00CC7461" w:rsidRDefault="00CC7461" w:rsidP="007D0FBF">
      <w:pPr>
        <w:pStyle w:val="11Bodytext"/>
        <w:numPr>
          <w:ilvl w:val="0"/>
          <w:numId w:val="0"/>
        </w:numPr>
        <w:ind w:left="794"/>
      </w:pPr>
    </w:p>
    <w:p w14:paraId="35FF1701" w14:textId="58EC5B7D" w:rsidR="00CC7461" w:rsidRDefault="00CC7461" w:rsidP="007D0FBF">
      <w:pPr>
        <w:pStyle w:val="11Bodytext"/>
        <w:numPr>
          <w:ilvl w:val="0"/>
          <w:numId w:val="0"/>
        </w:numPr>
        <w:ind w:left="794"/>
      </w:pPr>
    </w:p>
    <w:p w14:paraId="7E7EA4C5" w14:textId="58DA6A62" w:rsidR="00CC7461" w:rsidRDefault="00CC7461" w:rsidP="007D0FBF">
      <w:pPr>
        <w:pStyle w:val="11Bodytext"/>
        <w:numPr>
          <w:ilvl w:val="0"/>
          <w:numId w:val="0"/>
        </w:numPr>
        <w:ind w:left="794"/>
      </w:pPr>
    </w:p>
    <w:p w14:paraId="4E3013AF" w14:textId="77777777" w:rsidR="00CC7461" w:rsidRDefault="00CC7461" w:rsidP="007D0FBF">
      <w:pPr>
        <w:pStyle w:val="11Bodytext"/>
        <w:numPr>
          <w:ilvl w:val="0"/>
          <w:numId w:val="0"/>
        </w:numPr>
        <w:ind w:left="794"/>
      </w:pPr>
    </w:p>
    <w:p w14:paraId="5E14EB48" w14:textId="2BAD48F7" w:rsidR="00CC7461" w:rsidRPr="00CC7461" w:rsidRDefault="00A6240C" w:rsidP="003D5E23">
      <w:pPr>
        <w:pStyle w:val="Tableheading"/>
        <w:numPr>
          <w:ilvl w:val="0"/>
          <w:numId w:val="54"/>
        </w:numPr>
      </w:pPr>
      <w:r>
        <w:lastRenderedPageBreak/>
        <w:t>Households with non-dependent children (2011)</w:t>
      </w:r>
    </w:p>
    <w:tbl>
      <w:tblPr>
        <w:tblStyle w:val="TableGridLight1"/>
        <w:tblW w:w="0" w:type="auto"/>
        <w:tblInd w:w="846" w:type="dxa"/>
        <w:tblLayout w:type="fixed"/>
        <w:tblLook w:val="04A0" w:firstRow="1" w:lastRow="0" w:firstColumn="1" w:lastColumn="0" w:noHBand="0" w:noVBand="1"/>
      </w:tblPr>
      <w:tblGrid>
        <w:gridCol w:w="1843"/>
        <w:gridCol w:w="1014"/>
        <w:gridCol w:w="1127"/>
        <w:gridCol w:w="1127"/>
        <w:gridCol w:w="1127"/>
        <w:gridCol w:w="1127"/>
        <w:gridCol w:w="1127"/>
      </w:tblGrid>
      <w:tr w:rsidR="00FB553C" w:rsidRPr="00CC7461" w14:paraId="63028154" w14:textId="77777777" w:rsidTr="008556E5">
        <w:trPr>
          <w:cnfStyle w:val="100000000000" w:firstRow="1" w:lastRow="0" w:firstColumn="0" w:lastColumn="0" w:oddVBand="0" w:evenVBand="0" w:oddHBand="0" w:evenHBand="0" w:firstRowFirstColumn="0" w:firstRowLastColumn="0" w:lastRowFirstColumn="0" w:lastRowLastColumn="0"/>
          <w:cantSplit/>
          <w:trHeight w:val="1862"/>
        </w:trPr>
        <w:tc>
          <w:tcPr>
            <w:cnfStyle w:val="001000000000" w:firstRow="0" w:lastRow="0" w:firstColumn="1" w:lastColumn="0" w:oddVBand="0" w:evenVBand="0" w:oddHBand="0" w:evenHBand="0" w:firstRowFirstColumn="0" w:firstRowLastColumn="0" w:lastRowFirstColumn="0" w:lastRowLastColumn="0"/>
            <w:tcW w:w="1843" w:type="dxa"/>
            <w:hideMark/>
          </w:tcPr>
          <w:p w14:paraId="5E562706" w14:textId="77777777" w:rsidR="00CC7461" w:rsidRPr="004F4BA7" w:rsidRDefault="00CC7461" w:rsidP="00FB553C">
            <w:pPr>
              <w:rPr>
                <w:b w:val="0"/>
                <w:color w:val="auto"/>
                <w:lang w:eastAsia="en-GB"/>
              </w:rPr>
            </w:pPr>
            <w:r w:rsidRPr="004F4BA7">
              <w:rPr>
                <w:color w:val="auto"/>
                <w:lang w:eastAsia="en-GB"/>
              </w:rPr>
              <w:t> </w:t>
            </w:r>
          </w:p>
        </w:tc>
        <w:tc>
          <w:tcPr>
            <w:tcW w:w="1014" w:type="dxa"/>
            <w:textDirection w:val="btLr"/>
            <w:hideMark/>
          </w:tcPr>
          <w:p w14:paraId="2A240505" w14:textId="77777777" w:rsidR="00CC7461" w:rsidRPr="004F4BA7" w:rsidRDefault="00CC7461" w:rsidP="00FB553C">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Married Couple</w:t>
            </w:r>
          </w:p>
        </w:tc>
        <w:tc>
          <w:tcPr>
            <w:tcW w:w="1127" w:type="dxa"/>
            <w:textDirection w:val="btLr"/>
            <w:hideMark/>
          </w:tcPr>
          <w:p w14:paraId="42E1639D" w14:textId="77777777" w:rsidR="00CC7461" w:rsidRPr="004F4BA7" w:rsidRDefault="00CC7461" w:rsidP="00FB553C">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Cohabiting Couple</w:t>
            </w:r>
          </w:p>
        </w:tc>
        <w:tc>
          <w:tcPr>
            <w:tcW w:w="1127" w:type="dxa"/>
            <w:textDirection w:val="btLr"/>
            <w:hideMark/>
          </w:tcPr>
          <w:p w14:paraId="5BB74CDC" w14:textId="77777777" w:rsidR="00CC7461" w:rsidRPr="004F4BA7" w:rsidRDefault="00CC7461" w:rsidP="00FB553C">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Lone Parent</w:t>
            </w:r>
          </w:p>
        </w:tc>
        <w:tc>
          <w:tcPr>
            <w:tcW w:w="1127" w:type="dxa"/>
            <w:textDirection w:val="btLr"/>
            <w:hideMark/>
          </w:tcPr>
          <w:p w14:paraId="220C710F" w14:textId="77777777" w:rsidR="00CC7461" w:rsidRPr="004F4BA7" w:rsidRDefault="00CC7461" w:rsidP="00FB553C">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All Households without non-</w:t>
            </w:r>
            <w:proofErr w:type="spellStart"/>
            <w:r w:rsidRPr="004F4BA7">
              <w:rPr>
                <w:bCs/>
                <w:color w:val="auto"/>
                <w:lang w:eastAsia="en-GB"/>
              </w:rPr>
              <w:t>dependant</w:t>
            </w:r>
            <w:proofErr w:type="spellEnd"/>
            <w:r w:rsidRPr="004F4BA7">
              <w:rPr>
                <w:bCs/>
                <w:color w:val="auto"/>
                <w:lang w:eastAsia="en-GB"/>
              </w:rPr>
              <w:t xml:space="preserve"> children</w:t>
            </w:r>
          </w:p>
        </w:tc>
        <w:tc>
          <w:tcPr>
            <w:tcW w:w="1127" w:type="dxa"/>
            <w:textDirection w:val="btLr"/>
            <w:hideMark/>
          </w:tcPr>
          <w:p w14:paraId="525A1DD2" w14:textId="77777777" w:rsidR="00CC7461" w:rsidRPr="004F4BA7" w:rsidRDefault="00CC7461" w:rsidP="00FB553C">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Total</w:t>
            </w:r>
          </w:p>
        </w:tc>
        <w:tc>
          <w:tcPr>
            <w:tcW w:w="1127" w:type="dxa"/>
            <w:textDirection w:val="btLr"/>
            <w:hideMark/>
          </w:tcPr>
          <w:p w14:paraId="6636E52B" w14:textId="77777777" w:rsidR="00CC7461" w:rsidRPr="004F4BA7" w:rsidRDefault="00CC7461" w:rsidP="00FB553C">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4F4BA7">
              <w:rPr>
                <w:bCs/>
                <w:color w:val="auto"/>
                <w:lang w:eastAsia="en-GB"/>
              </w:rPr>
              <w:t>Total with Non-Dependent Children</w:t>
            </w:r>
          </w:p>
        </w:tc>
      </w:tr>
      <w:tr w:rsidR="00FB553C" w:rsidRPr="00CC7461" w14:paraId="094DE334"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2286421" w14:textId="53328502" w:rsidR="00CC7461" w:rsidRPr="004F4BA7" w:rsidRDefault="00CC7461" w:rsidP="00FB553C">
            <w:pPr>
              <w:rPr>
                <w:color w:val="auto"/>
                <w:lang w:eastAsia="en-GB"/>
              </w:rPr>
            </w:pPr>
            <w:r w:rsidRPr="004F4BA7">
              <w:rPr>
                <w:color w:val="auto"/>
                <w:lang w:eastAsia="en-GB"/>
              </w:rPr>
              <w:t>Cambridge</w:t>
            </w:r>
            <w:r w:rsidR="00FB553C">
              <w:rPr>
                <w:color w:val="auto"/>
                <w:lang w:eastAsia="en-GB"/>
              </w:rPr>
              <w:t xml:space="preserve"> #</w:t>
            </w:r>
          </w:p>
        </w:tc>
        <w:tc>
          <w:tcPr>
            <w:tcW w:w="1014" w:type="dxa"/>
            <w:noWrap/>
            <w:hideMark/>
          </w:tcPr>
          <w:p w14:paraId="1296466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1,679</w:t>
            </w:r>
          </w:p>
        </w:tc>
        <w:tc>
          <w:tcPr>
            <w:tcW w:w="1127" w:type="dxa"/>
            <w:noWrap/>
            <w:hideMark/>
          </w:tcPr>
          <w:p w14:paraId="2A18373C"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156</w:t>
            </w:r>
          </w:p>
        </w:tc>
        <w:tc>
          <w:tcPr>
            <w:tcW w:w="1127" w:type="dxa"/>
            <w:noWrap/>
            <w:hideMark/>
          </w:tcPr>
          <w:p w14:paraId="7E0BD3C2"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1,235</w:t>
            </w:r>
          </w:p>
        </w:tc>
        <w:tc>
          <w:tcPr>
            <w:tcW w:w="1127" w:type="dxa"/>
            <w:noWrap/>
            <w:hideMark/>
          </w:tcPr>
          <w:p w14:paraId="26C7A6F3"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43,644</w:t>
            </w:r>
          </w:p>
        </w:tc>
        <w:tc>
          <w:tcPr>
            <w:tcW w:w="1127" w:type="dxa"/>
            <w:noWrap/>
            <w:hideMark/>
          </w:tcPr>
          <w:p w14:paraId="545C7A4A"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46,714</w:t>
            </w:r>
          </w:p>
        </w:tc>
        <w:tc>
          <w:tcPr>
            <w:tcW w:w="1127" w:type="dxa"/>
            <w:noWrap/>
            <w:hideMark/>
          </w:tcPr>
          <w:p w14:paraId="7ACC43B1"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3,070</w:t>
            </w:r>
          </w:p>
        </w:tc>
      </w:tr>
      <w:tr w:rsidR="00FB553C" w:rsidRPr="00CC7461" w14:paraId="226A8FDB"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C11E5C9" w14:textId="7EA7F86D" w:rsidR="00CC7461" w:rsidRPr="004F4BA7" w:rsidRDefault="00CC7461" w:rsidP="00FB553C">
            <w:pPr>
              <w:rPr>
                <w:color w:val="auto"/>
                <w:lang w:eastAsia="en-GB"/>
              </w:rPr>
            </w:pPr>
            <w:r w:rsidRPr="004F4BA7">
              <w:rPr>
                <w:color w:val="auto"/>
                <w:lang w:eastAsia="en-GB"/>
              </w:rPr>
              <w:t>Cambridge</w:t>
            </w:r>
            <w:r w:rsidR="00FB553C">
              <w:rPr>
                <w:color w:val="auto"/>
                <w:lang w:eastAsia="en-GB"/>
              </w:rPr>
              <w:t xml:space="preserve"> %</w:t>
            </w:r>
          </w:p>
        </w:tc>
        <w:tc>
          <w:tcPr>
            <w:tcW w:w="1014" w:type="dxa"/>
            <w:noWrap/>
            <w:hideMark/>
          </w:tcPr>
          <w:p w14:paraId="25A903B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3.60%</w:t>
            </w:r>
          </w:p>
        </w:tc>
        <w:tc>
          <w:tcPr>
            <w:tcW w:w="1127" w:type="dxa"/>
            <w:noWrap/>
            <w:hideMark/>
          </w:tcPr>
          <w:p w14:paraId="6000906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0.30%</w:t>
            </w:r>
          </w:p>
        </w:tc>
        <w:tc>
          <w:tcPr>
            <w:tcW w:w="1127" w:type="dxa"/>
            <w:noWrap/>
            <w:hideMark/>
          </w:tcPr>
          <w:p w14:paraId="10B14C4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2.60%</w:t>
            </w:r>
          </w:p>
        </w:tc>
        <w:tc>
          <w:tcPr>
            <w:tcW w:w="1127" w:type="dxa"/>
            <w:noWrap/>
            <w:hideMark/>
          </w:tcPr>
          <w:p w14:paraId="7CC775AF"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93.40%</w:t>
            </w:r>
          </w:p>
        </w:tc>
        <w:tc>
          <w:tcPr>
            <w:tcW w:w="1127" w:type="dxa"/>
            <w:noWrap/>
            <w:hideMark/>
          </w:tcPr>
          <w:p w14:paraId="0AFAC87E"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100.00%</w:t>
            </w:r>
          </w:p>
        </w:tc>
        <w:tc>
          <w:tcPr>
            <w:tcW w:w="1127" w:type="dxa"/>
            <w:noWrap/>
            <w:hideMark/>
          </w:tcPr>
          <w:p w14:paraId="51EA3E72"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6.60%</w:t>
            </w:r>
          </w:p>
        </w:tc>
      </w:tr>
      <w:tr w:rsidR="00FB553C" w:rsidRPr="00CC7461" w14:paraId="57F1B08D"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D1D825F" w14:textId="018E1876" w:rsidR="00CC7461" w:rsidRPr="004F4BA7" w:rsidRDefault="00CC7461" w:rsidP="00FB553C">
            <w:pPr>
              <w:rPr>
                <w:color w:val="auto"/>
                <w:lang w:eastAsia="en-GB"/>
              </w:rPr>
            </w:pPr>
            <w:r w:rsidRPr="004F4BA7">
              <w:rPr>
                <w:color w:val="auto"/>
                <w:lang w:eastAsia="en-GB"/>
              </w:rPr>
              <w:t>South Cambs</w:t>
            </w:r>
            <w:r w:rsidR="00FB553C">
              <w:rPr>
                <w:color w:val="auto"/>
                <w:lang w:eastAsia="en-GB"/>
              </w:rPr>
              <w:t xml:space="preserve"> #</w:t>
            </w:r>
          </w:p>
        </w:tc>
        <w:tc>
          <w:tcPr>
            <w:tcW w:w="1014" w:type="dxa"/>
            <w:noWrap/>
            <w:hideMark/>
          </w:tcPr>
          <w:p w14:paraId="201F711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3,439</w:t>
            </w:r>
          </w:p>
        </w:tc>
        <w:tc>
          <w:tcPr>
            <w:tcW w:w="1127" w:type="dxa"/>
            <w:noWrap/>
            <w:hideMark/>
          </w:tcPr>
          <w:p w14:paraId="714285D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284</w:t>
            </w:r>
          </w:p>
        </w:tc>
        <w:tc>
          <w:tcPr>
            <w:tcW w:w="1127" w:type="dxa"/>
            <w:noWrap/>
            <w:hideMark/>
          </w:tcPr>
          <w:p w14:paraId="2015D7C3"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1,547</w:t>
            </w:r>
          </w:p>
        </w:tc>
        <w:tc>
          <w:tcPr>
            <w:tcW w:w="1127" w:type="dxa"/>
            <w:noWrap/>
            <w:hideMark/>
          </w:tcPr>
          <w:p w14:paraId="0103061F"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54,690</w:t>
            </w:r>
          </w:p>
        </w:tc>
        <w:tc>
          <w:tcPr>
            <w:tcW w:w="1127" w:type="dxa"/>
            <w:noWrap/>
            <w:hideMark/>
          </w:tcPr>
          <w:p w14:paraId="6C0E822A"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59,960</w:t>
            </w:r>
          </w:p>
        </w:tc>
        <w:tc>
          <w:tcPr>
            <w:tcW w:w="1127" w:type="dxa"/>
            <w:noWrap/>
            <w:hideMark/>
          </w:tcPr>
          <w:p w14:paraId="03A47A3A"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5,270</w:t>
            </w:r>
          </w:p>
        </w:tc>
      </w:tr>
      <w:tr w:rsidR="00FB553C" w:rsidRPr="00CC7461" w14:paraId="451F258D"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E0EF4E0" w14:textId="327A2BDA" w:rsidR="00CC7461" w:rsidRPr="004F4BA7" w:rsidRDefault="00CC7461" w:rsidP="00FB553C">
            <w:pPr>
              <w:rPr>
                <w:color w:val="auto"/>
                <w:lang w:eastAsia="en-GB"/>
              </w:rPr>
            </w:pPr>
            <w:r w:rsidRPr="004F4BA7">
              <w:rPr>
                <w:color w:val="auto"/>
                <w:lang w:eastAsia="en-GB"/>
              </w:rPr>
              <w:t>South Cambs</w:t>
            </w:r>
            <w:r w:rsidR="00FB553C">
              <w:rPr>
                <w:color w:val="auto"/>
                <w:lang w:eastAsia="en-GB"/>
              </w:rPr>
              <w:t xml:space="preserve"> %</w:t>
            </w:r>
          </w:p>
        </w:tc>
        <w:tc>
          <w:tcPr>
            <w:tcW w:w="1014" w:type="dxa"/>
            <w:noWrap/>
            <w:hideMark/>
          </w:tcPr>
          <w:p w14:paraId="4ED5258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5.70%</w:t>
            </w:r>
          </w:p>
        </w:tc>
        <w:tc>
          <w:tcPr>
            <w:tcW w:w="1127" w:type="dxa"/>
            <w:noWrap/>
            <w:hideMark/>
          </w:tcPr>
          <w:p w14:paraId="620E1C3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0.50%</w:t>
            </w:r>
          </w:p>
        </w:tc>
        <w:tc>
          <w:tcPr>
            <w:tcW w:w="1127" w:type="dxa"/>
            <w:noWrap/>
            <w:hideMark/>
          </w:tcPr>
          <w:p w14:paraId="525C3D5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2.60%</w:t>
            </w:r>
          </w:p>
        </w:tc>
        <w:tc>
          <w:tcPr>
            <w:tcW w:w="1127" w:type="dxa"/>
            <w:noWrap/>
            <w:hideMark/>
          </w:tcPr>
          <w:p w14:paraId="37AA45FE"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91.20%</w:t>
            </w:r>
          </w:p>
        </w:tc>
        <w:tc>
          <w:tcPr>
            <w:tcW w:w="1127" w:type="dxa"/>
            <w:noWrap/>
            <w:hideMark/>
          </w:tcPr>
          <w:p w14:paraId="1A4BDFC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100.00%</w:t>
            </w:r>
          </w:p>
        </w:tc>
        <w:tc>
          <w:tcPr>
            <w:tcW w:w="1127" w:type="dxa"/>
            <w:noWrap/>
            <w:hideMark/>
          </w:tcPr>
          <w:p w14:paraId="6BD4286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8.80%</w:t>
            </w:r>
          </w:p>
        </w:tc>
      </w:tr>
      <w:tr w:rsidR="00FB553C" w:rsidRPr="00CC7461" w14:paraId="352BE97E"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6F07128" w14:textId="27C00691" w:rsidR="00CC7461" w:rsidRPr="004F4BA7" w:rsidRDefault="00CC7461" w:rsidP="00FB553C">
            <w:pPr>
              <w:rPr>
                <w:color w:val="auto"/>
                <w:lang w:eastAsia="en-GB"/>
              </w:rPr>
            </w:pPr>
            <w:r w:rsidRPr="004F4BA7">
              <w:rPr>
                <w:color w:val="auto"/>
                <w:lang w:eastAsia="en-GB"/>
              </w:rPr>
              <w:t>Greater Cambridge</w:t>
            </w:r>
            <w:r w:rsidR="00FB553C">
              <w:rPr>
                <w:color w:val="auto"/>
                <w:lang w:eastAsia="en-GB"/>
              </w:rPr>
              <w:t xml:space="preserve"> #</w:t>
            </w:r>
          </w:p>
        </w:tc>
        <w:tc>
          <w:tcPr>
            <w:tcW w:w="1014" w:type="dxa"/>
            <w:noWrap/>
            <w:hideMark/>
          </w:tcPr>
          <w:p w14:paraId="6131EAB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5,118</w:t>
            </w:r>
          </w:p>
        </w:tc>
        <w:tc>
          <w:tcPr>
            <w:tcW w:w="1127" w:type="dxa"/>
            <w:noWrap/>
            <w:hideMark/>
          </w:tcPr>
          <w:p w14:paraId="5305560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440</w:t>
            </w:r>
          </w:p>
        </w:tc>
        <w:tc>
          <w:tcPr>
            <w:tcW w:w="1127" w:type="dxa"/>
            <w:noWrap/>
            <w:hideMark/>
          </w:tcPr>
          <w:p w14:paraId="0EC125B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2,782</w:t>
            </w:r>
          </w:p>
        </w:tc>
        <w:tc>
          <w:tcPr>
            <w:tcW w:w="1127" w:type="dxa"/>
            <w:noWrap/>
            <w:hideMark/>
          </w:tcPr>
          <w:p w14:paraId="22D02CD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98,334</w:t>
            </w:r>
          </w:p>
        </w:tc>
        <w:tc>
          <w:tcPr>
            <w:tcW w:w="1127" w:type="dxa"/>
            <w:noWrap/>
            <w:hideMark/>
          </w:tcPr>
          <w:p w14:paraId="27558575"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106,674</w:t>
            </w:r>
          </w:p>
        </w:tc>
        <w:tc>
          <w:tcPr>
            <w:tcW w:w="1127" w:type="dxa"/>
            <w:noWrap/>
            <w:hideMark/>
          </w:tcPr>
          <w:p w14:paraId="16EDA05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8,340</w:t>
            </w:r>
          </w:p>
        </w:tc>
      </w:tr>
      <w:tr w:rsidR="00FB553C" w:rsidRPr="00CC7461" w14:paraId="4E2ACBB4"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0A944BD" w14:textId="5152F800" w:rsidR="00CC7461" w:rsidRPr="004F4BA7" w:rsidRDefault="00CC7461" w:rsidP="00FB553C">
            <w:pPr>
              <w:rPr>
                <w:color w:val="auto"/>
                <w:lang w:eastAsia="en-GB"/>
              </w:rPr>
            </w:pPr>
            <w:r w:rsidRPr="004F4BA7">
              <w:rPr>
                <w:color w:val="auto"/>
                <w:lang w:eastAsia="en-GB"/>
              </w:rPr>
              <w:t>Greater Cambridge</w:t>
            </w:r>
            <w:r w:rsidR="00FB553C">
              <w:rPr>
                <w:color w:val="auto"/>
                <w:lang w:eastAsia="en-GB"/>
              </w:rPr>
              <w:t xml:space="preserve"> %</w:t>
            </w:r>
          </w:p>
        </w:tc>
        <w:tc>
          <w:tcPr>
            <w:tcW w:w="1014" w:type="dxa"/>
            <w:noWrap/>
            <w:hideMark/>
          </w:tcPr>
          <w:p w14:paraId="28BEE8D1"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4.80%</w:t>
            </w:r>
          </w:p>
        </w:tc>
        <w:tc>
          <w:tcPr>
            <w:tcW w:w="1127" w:type="dxa"/>
            <w:noWrap/>
            <w:hideMark/>
          </w:tcPr>
          <w:p w14:paraId="3EF671F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0.40%</w:t>
            </w:r>
          </w:p>
        </w:tc>
        <w:tc>
          <w:tcPr>
            <w:tcW w:w="1127" w:type="dxa"/>
            <w:noWrap/>
            <w:hideMark/>
          </w:tcPr>
          <w:p w14:paraId="0F7EFAF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2.60%</w:t>
            </w:r>
          </w:p>
        </w:tc>
        <w:tc>
          <w:tcPr>
            <w:tcW w:w="1127" w:type="dxa"/>
            <w:noWrap/>
            <w:hideMark/>
          </w:tcPr>
          <w:p w14:paraId="156F386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92.20%</w:t>
            </w:r>
          </w:p>
        </w:tc>
        <w:tc>
          <w:tcPr>
            <w:tcW w:w="1127" w:type="dxa"/>
            <w:noWrap/>
            <w:hideMark/>
          </w:tcPr>
          <w:p w14:paraId="66D3198F"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100.00%</w:t>
            </w:r>
          </w:p>
        </w:tc>
        <w:tc>
          <w:tcPr>
            <w:tcW w:w="1127" w:type="dxa"/>
            <w:noWrap/>
            <w:hideMark/>
          </w:tcPr>
          <w:p w14:paraId="4B887CD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7.80%</w:t>
            </w:r>
          </w:p>
        </w:tc>
      </w:tr>
      <w:tr w:rsidR="00FB553C" w:rsidRPr="00CC7461" w14:paraId="08736ECA"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D592AE" w14:textId="7FBB5CC0" w:rsidR="00CC7461" w:rsidRPr="00CC7461" w:rsidRDefault="00CC7461" w:rsidP="00FB553C">
            <w:pPr>
              <w:rPr>
                <w:color w:val="auto"/>
                <w:lang w:eastAsia="en-GB"/>
              </w:rPr>
            </w:pPr>
            <w:r w:rsidRPr="00CC7461">
              <w:rPr>
                <w:color w:val="auto"/>
                <w:lang w:eastAsia="en-GB"/>
              </w:rPr>
              <w:t>East Cambs</w:t>
            </w:r>
            <w:r w:rsidR="00FB553C">
              <w:rPr>
                <w:color w:val="auto"/>
                <w:lang w:eastAsia="en-GB"/>
              </w:rPr>
              <w:t xml:space="preserve"> #</w:t>
            </w:r>
          </w:p>
        </w:tc>
        <w:tc>
          <w:tcPr>
            <w:tcW w:w="1014" w:type="dxa"/>
            <w:noWrap/>
            <w:hideMark/>
          </w:tcPr>
          <w:p w14:paraId="4E68F25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1,993</w:t>
            </w:r>
          </w:p>
        </w:tc>
        <w:tc>
          <w:tcPr>
            <w:tcW w:w="1127" w:type="dxa"/>
            <w:noWrap/>
            <w:hideMark/>
          </w:tcPr>
          <w:p w14:paraId="2B25678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199</w:t>
            </w:r>
          </w:p>
        </w:tc>
        <w:tc>
          <w:tcPr>
            <w:tcW w:w="1127" w:type="dxa"/>
            <w:noWrap/>
            <w:hideMark/>
          </w:tcPr>
          <w:p w14:paraId="55020FF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826</w:t>
            </w:r>
          </w:p>
        </w:tc>
        <w:tc>
          <w:tcPr>
            <w:tcW w:w="1127" w:type="dxa"/>
            <w:noWrap/>
            <w:hideMark/>
          </w:tcPr>
          <w:p w14:paraId="4B2B7A1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31,596</w:t>
            </w:r>
          </w:p>
        </w:tc>
        <w:tc>
          <w:tcPr>
            <w:tcW w:w="1127" w:type="dxa"/>
            <w:noWrap/>
            <w:hideMark/>
          </w:tcPr>
          <w:p w14:paraId="5DF73B1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34,614</w:t>
            </w:r>
            <w:r w:rsidRPr="00CC7461">
              <w:rPr>
                <w:rFonts w:ascii="Times New Roman" w:hAnsi="Times New Roman"/>
                <w:color w:val="auto"/>
                <w:sz w:val="16"/>
                <w:szCs w:val="16"/>
                <w:lang w:eastAsia="en-GB"/>
              </w:rPr>
              <w:t> </w:t>
            </w:r>
          </w:p>
        </w:tc>
        <w:tc>
          <w:tcPr>
            <w:tcW w:w="1127" w:type="dxa"/>
            <w:noWrap/>
            <w:hideMark/>
          </w:tcPr>
          <w:p w14:paraId="70A1C0EE"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3,018</w:t>
            </w:r>
          </w:p>
        </w:tc>
      </w:tr>
      <w:tr w:rsidR="00FB553C" w:rsidRPr="00CC7461" w14:paraId="1DCF0211"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6DE677" w14:textId="35C3D1E8" w:rsidR="00CC7461" w:rsidRPr="00CC7461" w:rsidRDefault="00CC7461" w:rsidP="00FB553C">
            <w:pPr>
              <w:rPr>
                <w:color w:val="auto"/>
                <w:lang w:eastAsia="en-GB"/>
              </w:rPr>
            </w:pPr>
            <w:r w:rsidRPr="00CC7461">
              <w:rPr>
                <w:color w:val="auto"/>
                <w:lang w:eastAsia="en-GB"/>
              </w:rPr>
              <w:t>East Cambs</w:t>
            </w:r>
            <w:r w:rsidR="00FB553C">
              <w:rPr>
                <w:color w:val="auto"/>
                <w:lang w:eastAsia="en-GB"/>
              </w:rPr>
              <w:t xml:space="preserve"> %</w:t>
            </w:r>
          </w:p>
        </w:tc>
        <w:tc>
          <w:tcPr>
            <w:tcW w:w="1014" w:type="dxa"/>
            <w:noWrap/>
            <w:hideMark/>
          </w:tcPr>
          <w:p w14:paraId="462F4E1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5.80%</w:t>
            </w:r>
          </w:p>
        </w:tc>
        <w:tc>
          <w:tcPr>
            <w:tcW w:w="1127" w:type="dxa"/>
            <w:noWrap/>
            <w:hideMark/>
          </w:tcPr>
          <w:p w14:paraId="1FD32FD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0.60%</w:t>
            </w:r>
          </w:p>
        </w:tc>
        <w:tc>
          <w:tcPr>
            <w:tcW w:w="1127" w:type="dxa"/>
            <w:noWrap/>
            <w:hideMark/>
          </w:tcPr>
          <w:p w14:paraId="03DFAF31"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2.40%</w:t>
            </w:r>
          </w:p>
        </w:tc>
        <w:tc>
          <w:tcPr>
            <w:tcW w:w="1127" w:type="dxa"/>
            <w:noWrap/>
            <w:hideMark/>
          </w:tcPr>
          <w:p w14:paraId="37509AF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91.30%</w:t>
            </w:r>
          </w:p>
        </w:tc>
        <w:tc>
          <w:tcPr>
            <w:tcW w:w="1127" w:type="dxa"/>
            <w:noWrap/>
            <w:hideMark/>
          </w:tcPr>
          <w:p w14:paraId="2A56612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100.00%</w:t>
            </w:r>
          </w:p>
        </w:tc>
        <w:tc>
          <w:tcPr>
            <w:tcW w:w="1127" w:type="dxa"/>
            <w:noWrap/>
            <w:hideMark/>
          </w:tcPr>
          <w:p w14:paraId="4EDA0A6E"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8.70%</w:t>
            </w:r>
          </w:p>
        </w:tc>
      </w:tr>
      <w:tr w:rsidR="00FB553C" w:rsidRPr="00CC7461" w14:paraId="57E66605"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298F136E" w14:textId="4CDA550F" w:rsidR="00CC7461" w:rsidRPr="004F4BA7" w:rsidRDefault="00CC7461" w:rsidP="00FB553C">
            <w:pPr>
              <w:rPr>
                <w:color w:val="auto"/>
                <w:lang w:eastAsia="en-GB"/>
              </w:rPr>
            </w:pPr>
            <w:r w:rsidRPr="004F4BA7">
              <w:rPr>
                <w:color w:val="auto"/>
                <w:lang w:eastAsia="en-GB"/>
              </w:rPr>
              <w:t>Fenland</w:t>
            </w:r>
            <w:r w:rsidR="00FB553C">
              <w:rPr>
                <w:color w:val="auto"/>
                <w:lang w:eastAsia="en-GB"/>
              </w:rPr>
              <w:t xml:space="preserve"> #</w:t>
            </w:r>
          </w:p>
        </w:tc>
        <w:tc>
          <w:tcPr>
            <w:tcW w:w="1014" w:type="dxa"/>
            <w:noWrap/>
            <w:hideMark/>
          </w:tcPr>
          <w:p w14:paraId="70E920D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2,208</w:t>
            </w:r>
          </w:p>
        </w:tc>
        <w:tc>
          <w:tcPr>
            <w:tcW w:w="1127" w:type="dxa"/>
            <w:noWrap/>
            <w:hideMark/>
          </w:tcPr>
          <w:p w14:paraId="3A9E2662"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258</w:t>
            </w:r>
          </w:p>
        </w:tc>
        <w:tc>
          <w:tcPr>
            <w:tcW w:w="1127" w:type="dxa"/>
            <w:noWrap/>
            <w:hideMark/>
          </w:tcPr>
          <w:p w14:paraId="603359B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1,136</w:t>
            </w:r>
          </w:p>
        </w:tc>
        <w:tc>
          <w:tcPr>
            <w:tcW w:w="1127" w:type="dxa"/>
            <w:noWrap/>
            <w:hideMark/>
          </w:tcPr>
          <w:p w14:paraId="2D0497D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37,018</w:t>
            </w:r>
          </w:p>
        </w:tc>
        <w:tc>
          <w:tcPr>
            <w:tcW w:w="1127" w:type="dxa"/>
            <w:noWrap/>
            <w:hideMark/>
          </w:tcPr>
          <w:p w14:paraId="24420A52"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40,620</w:t>
            </w:r>
          </w:p>
        </w:tc>
        <w:tc>
          <w:tcPr>
            <w:tcW w:w="1127" w:type="dxa"/>
            <w:noWrap/>
            <w:hideMark/>
          </w:tcPr>
          <w:p w14:paraId="14929EE5"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3,602</w:t>
            </w:r>
          </w:p>
        </w:tc>
      </w:tr>
      <w:tr w:rsidR="00FB553C" w:rsidRPr="00CC7461" w14:paraId="03E77A82"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CE4BBD0" w14:textId="44E08F33" w:rsidR="00CC7461" w:rsidRPr="004F4BA7" w:rsidRDefault="00CC7461" w:rsidP="00FB553C">
            <w:pPr>
              <w:rPr>
                <w:color w:val="auto"/>
                <w:lang w:eastAsia="en-GB"/>
              </w:rPr>
            </w:pPr>
            <w:r w:rsidRPr="004F4BA7">
              <w:rPr>
                <w:color w:val="auto"/>
                <w:lang w:eastAsia="en-GB"/>
              </w:rPr>
              <w:t>Fenland</w:t>
            </w:r>
            <w:r w:rsidR="00FB553C">
              <w:rPr>
                <w:color w:val="auto"/>
                <w:lang w:eastAsia="en-GB"/>
              </w:rPr>
              <w:t xml:space="preserve"> %</w:t>
            </w:r>
          </w:p>
        </w:tc>
        <w:tc>
          <w:tcPr>
            <w:tcW w:w="1014" w:type="dxa"/>
            <w:noWrap/>
            <w:hideMark/>
          </w:tcPr>
          <w:p w14:paraId="2E05E6EA"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5.40%</w:t>
            </w:r>
          </w:p>
        </w:tc>
        <w:tc>
          <w:tcPr>
            <w:tcW w:w="1127" w:type="dxa"/>
            <w:noWrap/>
            <w:hideMark/>
          </w:tcPr>
          <w:p w14:paraId="33787C5F"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0.60%</w:t>
            </w:r>
          </w:p>
        </w:tc>
        <w:tc>
          <w:tcPr>
            <w:tcW w:w="1127" w:type="dxa"/>
            <w:noWrap/>
            <w:hideMark/>
          </w:tcPr>
          <w:p w14:paraId="3048086D"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2.80%</w:t>
            </w:r>
          </w:p>
        </w:tc>
        <w:tc>
          <w:tcPr>
            <w:tcW w:w="1127" w:type="dxa"/>
            <w:noWrap/>
            <w:hideMark/>
          </w:tcPr>
          <w:p w14:paraId="5678151D"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91.10%</w:t>
            </w:r>
          </w:p>
        </w:tc>
        <w:tc>
          <w:tcPr>
            <w:tcW w:w="1127" w:type="dxa"/>
            <w:noWrap/>
            <w:hideMark/>
          </w:tcPr>
          <w:p w14:paraId="57CED95E"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100.00%</w:t>
            </w:r>
          </w:p>
        </w:tc>
        <w:tc>
          <w:tcPr>
            <w:tcW w:w="1127" w:type="dxa"/>
            <w:noWrap/>
            <w:hideMark/>
          </w:tcPr>
          <w:p w14:paraId="3575D13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8.90%</w:t>
            </w:r>
          </w:p>
        </w:tc>
      </w:tr>
      <w:tr w:rsidR="00FB553C" w:rsidRPr="00CC7461" w14:paraId="1427EDB5"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2536CB2" w14:textId="4ABCB496" w:rsidR="00CC7461" w:rsidRPr="004F4BA7" w:rsidRDefault="00CC7461" w:rsidP="00FB553C">
            <w:pPr>
              <w:rPr>
                <w:color w:val="auto"/>
                <w:lang w:eastAsia="en-GB"/>
              </w:rPr>
            </w:pPr>
            <w:r w:rsidRPr="004F4BA7">
              <w:rPr>
                <w:color w:val="auto"/>
                <w:lang w:eastAsia="en-GB"/>
              </w:rPr>
              <w:t>Huntingdonshire</w:t>
            </w:r>
            <w:r w:rsidR="00FB553C">
              <w:rPr>
                <w:color w:val="auto"/>
                <w:lang w:eastAsia="en-GB"/>
              </w:rPr>
              <w:t xml:space="preserve"> #</w:t>
            </w:r>
          </w:p>
        </w:tc>
        <w:tc>
          <w:tcPr>
            <w:tcW w:w="1014" w:type="dxa"/>
            <w:noWrap/>
            <w:hideMark/>
          </w:tcPr>
          <w:p w14:paraId="357DCD9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4,098</w:t>
            </w:r>
          </w:p>
        </w:tc>
        <w:tc>
          <w:tcPr>
            <w:tcW w:w="1127" w:type="dxa"/>
            <w:noWrap/>
            <w:hideMark/>
          </w:tcPr>
          <w:p w14:paraId="36450D65"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334</w:t>
            </w:r>
          </w:p>
        </w:tc>
        <w:tc>
          <w:tcPr>
            <w:tcW w:w="1127" w:type="dxa"/>
            <w:noWrap/>
            <w:hideMark/>
          </w:tcPr>
          <w:p w14:paraId="121FB8FB"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1,931</w:t>
            </w:r>
          </w:p>
        </w:tc>
        <w:tc>
          <w:tcPr>
            <w:tcW w:w="1127" w:type="dxa"/>
            <w:noWrap/>
            <w:hideMark/>
          </w:tcPr>
          <w:p w14:paraId="66082E21"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62,970</w:t>
            </w:r>
          </w:p>
        </w:tc>
        <w:tc>
          <w:tcPr>
            <w:tcW w:w="1127" w:type="dxa"/>
            <w:noWrap/>
            <w:hideMark/>
          </w:tcPr>
          <w:p w14:paraId="62DE83A0"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69,333</w:t>
            </w:r>
          </w:p>
        </w:tc>
        <w:tc>
          <w:tcPr>
            <w:tcW w:w="1127" w:type="dxa"/>
            <w:noWrap/>
            <w:hideMark/>
          </w:tcPr>
          <w:p w14:paraId="0D6C7096"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6,363</w:t>
            </w:r>
          </w:p>
        </w:tc>
      </w:tr>
      <w:tr w:rsidR="00FB553C" w:rsidRPr="00CC7461" w14:paraId="62574D42"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AD6E99B" w14:textId="542DC41D" w:rsidR="00CC7461" w:rsidRPr="004F4BA7" w:rsidRDefault="00CC7461" w:rsidP="00FB553C">
            <w:pPr>
              <w:rPr>
                <w:color w:val="auto"/>
                <w:lang w:eastAsia="en-GB"/>
              </w:rPr>
            </w:pPr>
            <w:r w:rsidRPr="004F4BA7">
              <w:rPr>
                <w:color w:val="auto"/>
                <w:lang w:eastAsia="en-GB"/>
              </w:rPr>
              <w:t>Huntingdonshire</w:t>
            </w:r>
            <w:r w:rsidR="00FB553C">
              <w:rPr>
                <w:color w:val="auto"/>
                <w:lang w:eastAsia="en-GB"/>
              </w:rPr>
              <w:t xml:space="preserve"> %</w:t>
            </w:r>
          </w:p>
        </w:tc>
        <w:tc>
          <w:tcPr>
            <w:tcW w:w="1014" w:type="dxa"/>
            <w:noWrap/>
            <w:hideMark/>
          </w:tcPr>
          <w:p w14:paraId="01CCC9A3"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5.90%</w:t>
            </w:r>
          </w:p>
        </w:tc>
        <w:tc>
          <w:tcPr>
            <w:tcW w:w="1127" w:type="dxa"/>
            <w:noWrap/>
            <w:hideMark/>
          </w:tcPr>
          <w:p w14:paraId="28601C07"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0.50%</w:t>
            </w:r>
          </w:p>
        </w:tc>
        <w:tc>
          <w:tcPr>
            <w:tcW w:w="1127" w:type="dxa"/>
            <w:noWrap/>
            <w:hideMark/>
          </w:tcPr>
          <w:p w14:paraId="0A1FF9A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2.80%</w:t>
            </w:r>
          </w:p>
        </w:tc>
        <w:tc>
          <w:tcPr>
            <w:tcW w:w="1127" w:type="dxa"/>
            <w:noWrap/>
            <w:hideMark/>
          </w:tcPr>
          <w:p w14:paraId="07B98CF5"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90.80%</w:t>
            </w:r>
          </w:p>
        </w:tc>
        <w:tc>
          <w:tcPr>
            <w:tcW w:w="1127" w:type="dxa"/>
            <w:noWrap/>
            <w:hideMark/>
          </w:tcPr>
          <w:p w14:paraId="74614E32"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100.00%</w:t>
            </w:r>
          </w:p>
        </w:tc>
        <w:tc>
          <w:tcPr>
            <w:tcW w:w="1127" w:type="dxa"/>
            <w:noWrap/>
            <w:hideMark/>
          </w:tcPr>
          <w:p w14:paraId="5401C10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9.20%</w:t>
            </w:r>
          </w:p>
        </w:tc>
      </w:tr>
      <w:tr w:rsidR="00FB553C" w:rsidRPr="00CC7461" w14:paraId="1FBF5875"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A3BD8C2" w14:textId="75CFD032" w:rsidR="00CC7461" w:rsidRPr="004F4BA7" w:rsidRDefault="00CC7461" w:rsidP="00FB553C">
            <w:pPr>
              <w:rPr>
                <w:color w:val="auto"/>
                <w:lang w:eastAsia="en-GB"/>
              </w:rPr>
            </w:pPr>
            <w:r w:rsidRPr="004F4BA7">
              <w:rPr>
                <w:color w:val="auto"/>
                <w:lang w:eastAsia="en-GB"/>
              </w:rPr>
              <w:t>West Suffolk</w:t>
            </w:r>
            <w:r w:rsidR="00FB553C">
              <w:rPr>
                <w:color w:val="auto"/>
                <w:lang w:eastAsia="en-GB"/>
              </w:rPr>
              <w:t xml:space="preserve"> #</w:t>
            </w:r>
          </w:p>
        </w:tc>
        <w:tc>
          <w:tcPr>
            <w:tcW w:w="1014" w:type="dxa"/>
            <w:noWrap/>
            <w:hideMark/>
          </w:tcPr>
          <w:p w14:paraId="74F76703"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3,689</w:t>
            </w:r>
          </w:p>
        </w:tc>
        <w:tc>
          <w:tcPr>
            <w:tcW w:w="1127" w:type="dxa"/>
            <w:noWrap/>
            <w:hideMark/>
          </w:tcPr>
          <w:p w14:paraId="5237C471"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363</w:t>
            </w:r>
          </w:p>
        </w:tc>
        <w:tc>
          <w:tcPr>
            <w:tcW w:w="1127" w:type="dxa"/>
            <w:noWrap/>
            <w:hideMark/>
          </w:tcPr>
          <w:p w14:paraId="407801AF"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2,093</w:t>
            </w:r>
          </w:p>
        </w:tc>
        <w:tc>
          <w:tcPr>
            <w:tcW w:w="1127" w:type="dxa"/>
            <w:noWrap/>
            <w:hideMark/>
          </w:tcPr>
          <w:p w14:paraId="56E58039"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65,033</w:t>
            </w:r>
          </w:p>
        </w:tc>
        <w:tc>
          <w:tcPr>
            <w:tcW w:w="1127" w:type="dxa"/>
            <w:noWrap/>
            <w:hideMark/>
          </w:tcPr>
          <w:p w14:paraId="3D74E8E4"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71,178</w:t>
            </w:r>
          </w:p>
        </w:tc>
        <w:tc>
          <w:tcPr>
            <w:tcW w:w="1127" w:type="dxa"/>
            <w:noWrap/>
            <w:hideMark/>
          </w:tcPr>
          <w:p w14:paraId="49175908" w14:textId="77777777" w:rsidR="00CC7461" w:rsidRPr="004F4BA7" w:rsidRDefault="00CC7461" w:rsidP="00FB553C">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6,145</w:t>
            </w:r>
          </w:p>
        </w:tc>
      </w:tr>
      <w:tr w:rsidR="00FB553C" w:rsidRPr="00CC7461" w14:paraId="2F48169E"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AB13E19" w14:textId="2A014CA9" w:rsidR="00CC7461" w:rsidRPr="00CC7461" w:rsidRDefault="00CC7461" w:rsidP="00FB553C">
            <w:pPr>
              <w:rPr>
                <w:color w:val="000000"/>
                <w:lang w:eastAsia="en-GB"/>
              </w:rPr>
            </w:pPr>
            <w:r w:rsidRPr="00CC7461">
              <w:rPr>
                <w:color w:val="000000"/>
                <w:lang w:eastAsia="en-GB"/>
              </w:rPr>
              <w:t>West Suffolk</w:t>
            </w:r>
            <w:r w:rsidR="00FB553C">
              <w:rPr>
                <w:color w:val="000000"/>
                <w:lang w:eastAsia="en-GB"/>
              </w:rPr>
              <w:t xml:space="preserve"> %</w:t>
            </w:r>
          </w:p>
        </w:tc>
        <w:tc>
          <w:tcPr>
            <w:tcW w:w="1014" w:type="dxa"/>
            <w:noWrap/>
            <w:hideMark/>
          </w:tcPr>
          <w:p w14:paraId="4CA80465"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5.20%</w:t>
            </w:r>
          </w:p>
        </w:tc>
        <w:tc>
          <w:tcPr>
            <w:tcW w:w="1127" w:type="dxa"/>
            <w:noWrap/>
            <w:hideMark/>
          </w:tcPr>
          <w:p w14:paraId="64BD8330"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0.50%</w:t>
            </w:r>
          </w:p>
        </w:tc>
        <w:tc>
          <w:tcPr>
            <w:tcW w:w="1127" w:type="dxa"/>
            <w:noWrap/>
            <w:hideMark/>
          </w:tcPr>
          <w:p w14:paraId="555EA2E0"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2.90%</w:t>
            </w:r>
          </w:p>
        </w:tc>
        <w:tc>
          <w:tcPr>
            <w:tcW w:w="1127" w:type="dxa"/>
            <w:noWrap/>
            <w:hideMark/>
          </w:tcPr>
          <w:p w14:paraId="2A9B4E6F"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91.40%</w:t>
            </w:r>
          </w:p>
        </w:tc>
        <w:tc>
          <w:tcPr>
            <w:tcW w:w="1127" w:type="dxa"/>
            <w:noWrap/>
            <w:hideMark/>
          </w:tcPr>
          <w:p w14:paraId="231CB0BF"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100.00%</w:t>
            </w:r>
          </w:p>
        </w:tc>
        <w:tc>
          <w:tcPr>
            <w:tcW w:w="1127" w:type="dxa"/>
            <w:noWrap/>
            <w:hideMark/>
          </w:tcPr>
          <w:p w14:paraId="1EB5609D"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8.60%</w:t>
            </w:r>
          </w:p>
        </w:tc>
      </w:tr>
      <w:tr w:rsidR="00FB553C" w:rsidRPr="00CC7461" w14:paraId="6AD48E3A"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B986BFC" w14:textId="46F0819D" w:rsidR="00CC7461" w:rsidRPr="00CC7461" w:rsidRDefault="00CC7461" w:rsidP="00FB553C">
            <w:pPr>
              <w:rPr>
                <w:b/>
                <w:bCs/>
                <w:color w:val="000000"/>
                <w:lang w:eastAsia="en-GB"/>
              </w:rPr>
            </w:pPr>
            <w:r w:rsidRPr="00CC7461">
              <w:rPr>
                <w:b/>
                <w:bCs/>
                <w:color w:val="000000"/>
                <w:lang w:eastAsia="en-GB"/>
              </w:rPr>
              <w:t>HMA</w:t>
            </w:r>
            <w:r w:rsidR="00FB553C">
              <w:rPr>
                <w:b/>
                <w:bCs/>
                <w:color w:val="000000"/>
                <w:lang w:eastAsia="en-GB"/>
              </w:rPr>
              <w:t xml:space="preserve"> #</w:t>
            </w:r>
          </w:p>
        </w:tc>
        <w:tc>
          <w:tcPr>
            <w:tcW w:w="1014" w:type="dxa"/>
            <w:noWrap/>
            <w:hideMark/>
          </w:tcPr>
          <w:p w14:paraId="2173926B"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17,106</w:t>
            </w:r>
          </w:p>
        </w:tc>
        <w:tc>
          <w:tcPr>
            <w:tcW w:w="1127" w:type="dxa"/>
            <w:noWrap/>
            <w:hideMark/>
          </w:tcPr>
          <w:p w14:paraId="69C4CDB0"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1,594</w:t>
            </w:r>
          </w:p>
        </w:tc>
        <w:tc>
          <w:tcPr>
            <w:tcW w:w="1127" w:type="dxa"/>
            <w:noWrap/>
            <w:hideMark/>
          </w:tcPr>
          <w:p w14:paraId="3E13C955"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8,768</w:t>
            </w:r>
          </w:p>
        </w:tc>
        <w:tc>
          <w:tcPr>
            <w:tcW w:w="1127" w:type="dxa"/>
            <w:noWrap/>
            <w:hideMark/>
          </w:tcPr>
          <w:p w14:paraId="181F870A"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294,951</w:t>
            </w:r>
          </w:p>
        </w:tc>
        <w:tc>
          <w:tcPr>
            <w:tcW w:w="1127" w:type="dxa"/>
            <w:noWrap/>
            <w:hideMark/>
          </w:tcPr>
          <w:p w14:paraId="0C8C5737"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322,419</w:t>
            </w:r>
          </w:p>
        </w:tc>
        <w:tc>
          <w:tcPr>
            <w:tcW w:w="1127" w:type="dxa"/>
            <w:noWrap/>
            <w:hideMark/>
          </w:tcPr>
          <w:p w14:paraId="7EFA7E84"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27,468</w:t>
            </w:r>
          </w:p>
        </w:tc>
      </w:tr>
      <w:tr w:rsidR="00FB553C" w:rsidRPr="00CC7461" w14:paraId="03B03E55"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7614612" w14:textId="6BFBC3BB" w:rsidR="00CC7461" w:rsidRPr="00CC7461" w:rsidRDefault="00CC7461" w:rsidP="00FB553C">
            <w:pPr>
              <w:rPr>
                <w:b/>
                <w:bCs/>
                <w:color w:val="000000"/>
                <w:lang w:eastAsia="en-GB"/>
              </w:rPr>
            </w:pPr>
            <w:r w:rsidRPr="00CC7461">
              <w:rPr>
                <w:b/>
                <w:bCs/>
                <w:color w:val="000000"/>
                <w:lang w:eastAsia="en-GB"/>
              </w:rPr>
              <w:t>HMA</w:t>
            </w:r>
            <w:r w:rsidR="00FB553C">
              <w:rPr>
                <w:b/>
                <w:bCs/>
                <w:color w:val="000000"/>
                <w:lang w:eastAsia="en-GB"/>
              </w:rPr>
              <w:t xml:space="preserve"> %</w:t>
            </w:r>
          </w:p>
        </w:tc>
        <w:tc>
          <w:tcPr>
            <w:tcW w:w="1014" w:type="dxa"/>
            <w:noWrap/>
            <w:hideMark/>
          </w:tcPr>
          <w:p w14:paraId="69CA1C3E"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5.30%</w:t>
            </w:r>
          </w:p>
        </w:tc>
        <w:tc>
          <w:tcPr>
            <w:tcW w:w="1127" w:type="dxa"/>
            <w:noWrap/>
            <w:hideMark/>
          </w:tcPr>
          <w:p w14:paraId="09AA7289"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0.50%</w:t>
            </w:r>
          </w:p>
        </w:tc>
        <w:tc>
          <w:tcPr>
            <w:tcW w:w="1127" w:type="dxa"/>
            <w:noWrap/>
            <w:hideMark/>
          </w:tcPr>
          <w:p w14:paraId="6AF8967B"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2.70%</w:t>
            </w:r>
          </w:p>
        </w:tc>
        <w:tc>
          <w:tcPr>
            <w:tcW w:w="1127" w:type="dxa"/>
            <w:noWrap/>
            <w:hideMark/>
          </w:tcPr>
          <w:p w14:paraId="5DB1ED09"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91.50%</w:t>
            </w:r>
          </w:p>
        </w:tc>
        <w:tc>
          <w:tcPr>
            <w:tcW w:w="1127" w:type="dxa"/>
            <w:noWrap/>
            <w:hideMark/>
          </w:tcPr>
          <w:p w14:paraId="0DDF51F5"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100.00%</w:t>
            </w:r>
          </w:p>
        </w:tc>
        <w:tc>
          <w:tcPr>
            <w:tcW w:w="1127" w:type="dxa"/>
            <w:noWrap/>
            <w:hideMark/>
          </w:tcPr>
          <w:p w14:paraId="4B57D5C2"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CC7461">
              <w:rPr>
                <w:b/>
                <w:bCs/>
                <w:color w:val="000000"/>
                <w:lang w:eastAsia="en-GB"/>
              </w:rPr>
              <w:t>8.50%</w:t>
            </w:r>
          </w:p>
        </w:tc>
      </w:tr>
      <w:tr w:rsidR="00FB553C" w:rsidRPr="00CC7461" w14:paraId="1D41630D"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B5407F7" w14:textId="4D5421C2" w:rsidR="00CC7461" w:rsidRPr="00CC7461" w:rsidRDefault="00CC7461" w:rsidP="00FB553C">
            <w:pPr>
              <w:rPr>
                <w:color w:val="000000"/>
                <w:lang w:eastAsia="en-GB"/>
              </w:rPr>
            </w:pPr>
            <w:r w:rsidRPr="00CC7461">
              <w:rPr>
                <w:color w:val="000000"/>
                <w:lang w:eastAsia="en-GB"/>
              </w:rPr>
              <w:t>East of England</w:t>
            </w:r>
            <w:r w:rsidR="00FB553C">
              <w:rPr>
                <w:color w:val="000000"/>
                <w:lang w:eastAsia="en-GB"/>
              </w:rPr>
              <w:t xml:space="preserve"> #</w:t>
            </w:r>
          </w:p>
        </w:tc>
        <w:tc>
          <w:tcPr>
            <w:tcW w:w="1014" w:type="dxa"/>
            <w:noWrap/>
            <w:hideMark/>
          </w:tcPr>
          <w:p w14:paraId="01C25458"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5.90%</w:t>
            </w:r>
          </w:p>
        </w:tc>
        <w:tc>
          <w:tcPr>
            <w:tcW w:w="1127" w:type="dxa"/>
            <w:noWrap/>
            <w:hideMark/>
          </w:tcPr>
          <w:p w14:paraId="172A5DA2"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0.50%</w:t>
            </w:r>
          </w:p>
        </w:tc>
        <w:tc>
          <w:tcPr>
            <w:tcW w:w="1127" w:type="dxa"/>
            <w:noWrap/>
            <w:hideMark/>
          </w:tcPr>
          <w:p w14:paraId="4F56C308"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3.20%</w:t>
            </w:r>
          </w:p>
        </w:tc>
        <w:tc>
          <w:tcPr>
            <w:tcW w:w="1127" w:type="dxa"/>
            <w:noWrap/>
            <w:hideMark/>
          </w:tcPr>
          <w:p w14:paraId="4E84D6B5"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90.50%</w:t>
            </w:r>
          </w:p>
        </w:tc>
        <w:tc>
          <w:tcPr>
            <w:tcW w:w="1127" w:type="dxa"/>
            <w:noWrap/>
            <w:hideMark/>
          </w:tcPr>
          <w:p w14:paraId="592DBE8F"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100.00%</w:t>
            </w:r>
          </w:p>
        </w:tc>
        <w:tc>
          <w:tcPr>
            <w:tcW w:w="1127" w:type="dxa"/>
            <w:noWrap/>
            <w:hideMark/>
          </w:tcPr>
          <w:p w14:paraId="4AF467DD"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9.50%</w:t>
            </w:r>
          </w:p>
        </w:tc>
      </w:tr>
      <w:tr w:rsidR="00FB553C" w:rsidRPr="00CC7461" w14:paraId="3D9035C0"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081B46C" w14:textId="6B3AA6E2" w:rsidR="00CC7461" w:rsidRPr="00CC7461" w:rsidRDefault="00CC7461" w:rsidP="00FB553C">
            <w:pPr>
              <w:rPr>
                <w:color w:val="000000"/>
                <w:lang w:eastAsia="en-GB"/>
              </w:rPr>
            </w:pPr>
            <w:r w:rsidRPr="00CC7461">
              <w:rPr>
                <w:color w:val="000000"/>
                <w:lang w:eastAsia="en-GB"/>
              </w:rPr>
              <w:t>England</w:t>
            </w:r>
            <w:r w:rsidR="00FB553C">
              <w:rPr>
                <w:color w:val="000000"/>
                <w:lang w:eastAsia="en-GB"/>
              </w:rPr>
              <w:t xml:space="preserve"> %</w:t>
            </w:r>
          </w:p>
        </w:tc>
        <w:tc>
          <w:tcPr>
            <w:tcW w:w="1014" w:type="dxa"/>
            <w:noWrap/>
            <w:hideMark/>
          </w:tcPr>
          <w:p w14:paraId="3AF3971C"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5.60%</w:t>
            </w:r>
          </w:p>
        </w:tc>
        <w:tc>
          <w:tcPr>
            <w:tcW w:w="1127" w:type="dxa"/>
            <w:noWrap/>
            <w:hideMark/>
          </w:tcPr>
          <w:p w14:paraId="2DF8DB06"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0.50%</w:t>
            </w:r>
          </w:p>
        </w:tc>
        <w:tc>
          <w:tcPr>
            <w:tcW w:w="1127" w:type="dxa"/>
            <w:noWrap/>
            <w:hideMark/>
          </w:tcPr>
          <w:p w14:paraId="3EF74474"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3.50%</w:t>
            </w:r>
          </w:p>
        </w:tc>
        <w:tc>
          <w:tcPr>
            <w:tcW w:w="1127" w:type="dxa"/>
            <w:noWrap/>
            <w:hideMark/>
          </w:tcPr>
          <w:p w14:paraId="2F09F6B9"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90.40%</w:t>
            </w:r>
          </w:p>
        </w:tc>
        <w:tc>
          <w:tcPr>
            <w:tcW w:w="1127" w:type="dxa"/>
            <w:noWrap/>
            <w:hideMark/>
          </w:tcPr>
          <w:p w14:paraId="2C4AF638"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100.00%</w:t>
            </w:r>
          </w:p>
        </w:tc>
        <w:tc>
          <w:tcPr>
            <w:tcW w:w="1127" w:type="dxa"/>
            <w:noWrap/>
            <w:hideMark/>
          </w:tcPr>
          <w:p w14:paraId="52D4821B" w14:textId="77777777" w:rsidR="00CC7461" w:rsidRPr="00CC7461" w:rsidRDefault="00CC7461" w:rsidP="00FB553C">
            <w:pPr>
              <w:cnfStyle w:val="000000000000" w:firstRow="0" w:lastRow="0" w:firstColumn="0" w:lastColumn="0" w:oddVBand="0" w:evenVBand="0" w:oddHBand="0" w:evenHBand="0" w:firstRowFirstColumn="0" w:firstRowLastColumn="0" w:lastRowFirstColumn="0" w:lastRowLastColumn="0"/>
              <w:rPr>
                <w:color w:val="000000"/>
                <w:lang w:eastAsia="en-GB"/>
              </w:rPr>
            </w:pPr>
            <w:r w:rsidRPr="00CC7461">
              <w:rPr>
                <w:color w:val="000000"/>
                <w:lang w:eastAsia="en-GB"/>
              </w:rPr>
              <w:t>9.60%</w:t>
            </w:r>
          </w:p>
        </w:tc>
      </w:tr>
    </w:tbl>
    <w:p w14:paraId="35A35362" w14:textId="258C8F52" w:rsidR="00A6240C" w:rsidRPr="008556E5" w:rsidRDefault="00A6240C" w:rsidP="00FB553C">
      <w:pPr>
        <w:pStyle w:val="11Bodytext"/>
        <w:numPr>
          <w:ilvl w:val="0"/>
          <w:numId w:val="0"/>
        </w:numPr>
        <w:spacing w:before="0" w:after="0" w:line="240" w:lineRule="auto"/>
        <w:ind w:left="709"/>
        <w:rPr>
          <w:color w:val="auto"/>
        </w:rPr>
      </w:pPr>
      <w:r w:rsidRPr="008556E5">
        <w:rPr>
          <w:color w:val="auto"/>
        </w:rPr>
        <w:t xml:space="preserve">Source: Census (2011), </w:t>
      </w:r>
      <w:hyperlink r:id="rId46" w:tooltip="Start a query using this dataset" w:history="1">
        <w:r w:rsidRPr="008556E5">
          <w:rPr>
            <w:rStyle w:val="Hyperlink"/>
            <w:rFonts w:ascii="Verdana" w:hAnsi="Verdana"/>
            <w:color w:val="auto"/>
            <w:shd w:val="clear" w:color="auto" w:fill="FFFFFF"/>
          </w:rPr>
          <w:t>KS105EW</w:t>
        </w:r>
      </w:hyperlink>
    </w:p>
    <w:p w14:paraId="55C2AAD2" w14:textId="77777777" w:rsidR="00A6240C" w:rsidRPr="00526C6E" w:rsidRDefault="00A6240C" w:rsidP="007D0FBF">
      <w:pPr>
        <w:pStyle w:val="11Bodytext"/>
        <w:rPr>
          <w:color w:val="auto"/>
        </w:rPr>
      </w:pPr>
      <w:r>
        <w:t>The table below shows that the number of households with non-dependent children increased at a greater rate in actual numbers than changes to all other households from 2001 to 2011. In total, the number of households with non-dependent children increased by 3,347 (a 13.9% increase) with around two-thirds of this being in lone parent households.</w:t>
      </w:r>
    </w:p>
    <w:p w14:paraId="28201A6D" w14:textId="77777777" w:rsidR="00A6240C" w:rsidRDefault="00A6240C" w:rsidP="00A6240C">
      <w:pPr>
        <w:spacing w:after="200"/>
        <w:rPr>
          <w:b/>
          <w:color w:val="000000"/>
          <w:szCs w:val="24"/>
        </w:rPr>
      </w:pPr>
      <w:r>
        <w:rPr>
          <w:color w:val="000000"/>
        </w:rPr>
        <w:br w:type="page"/>
      </w:r>
    </w:p>
    <w:p w14:paraId="72A27CCB" w14:textId="77777777" w:rsidR="00A6240C" w:rsidRDefault="00A6240C" w:rsidP="003D5E23">
      <w:pPr>
        <w:pStyle w:val="Tableheading"/>
        <w:numPr>
          <w:ilvl w:val="0"/>
          <w:numId w:val="54"/>
        </w:numPr>
      </w:pPr>
      <w:r>
        <w:lastRenderedPageBreak/>
        <w:t>Change in households with non-dependent children (2001-11) – Cambridgeshire &amp; West Suffolk</w:t>
      </w:r>
    </w:p>
    <w:tbl>
      <w:tblPr>
        <w:tblStyle w:val="TableGridLight1"/>
        <w:tblW w:w="8505" w:type="dxa"/>
        <w:tblInd w:w="846" w:type="dxa"/>
        <w:tblLook w:val="04A0" w:firstRow="1" w:lastRow="0" w:firstColumn="1" w:lastColumn="0" w:noHBand="0" w:noVBand="1"/>
      </w:tblPr>
      <w:tblGrid>
        <w:gridCol w:w="1276"/>
        <w:gridCol w:w="1013"/>
        <w:gridCol w:w="1244"/>
        <w:gridCol w:w="1006"/>
        <w:gridCol w:w="1309"/>
        <w:gridCol w:w="1882"/>
        <w:gridCol w:w="928"/>
      </w:tblGrid>
      <w:tr w:rsidR="009E47B9" w:rsidRPr="009E47B9" w14:paraId="601A98E0" w14:textId="77777777" w:rsidTr="009E47B9">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276" w:type="dxa"/>
            <w:hideMark/>
          </w:tcPr>
          <w:p w14:paraId="5E9A7699" w14:textId="77777777" w:rsidR="00A6240C" w:rsidRPr="009E47B9" w:rsidRDefault="00A6240C" w:rsidP="008E6E40">
            <w:pPr>
              <w:keepNext/>
              <w:rPr>
                <w:lang w:eastAsia="en-GB"/>
              </w:rPr>
            </w:pPr>
            <w:r w:rsidRPr="009E47B9">
              <w:rPr>
                <w:lang w:eastAsia="en-GB"/>
              </w:rPr>
              <w:t> </w:t>
            </w:r>
          </w:p>
        </w:tc>
        <w:tc>
          <w:tcPr>
            <w:tcW w:w="1013" w:type="dxa"/>
            <w:hideMark/>
          </w:tcPr>
          <w:p w14:paraId="66C4B95A"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Married couple</w:t>
            </w:r>
          </w:p>
        </w:tc>
        <w:tc>
          <w:tcPr>
            <w:tcW w:w="1244" w:type="dxa"/>
            <w:hideMark/>
          </w:tcPr>
          <w:p w14:paraId="24078F82"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Cohabiting couple</w:t>
            </w:r>
          </w:p>
        </w:tc>
        <w:tc>
          <w:tcPr>
            <w:tcW w:w="1006" w:type="dxa"/>
            <w:hideMark/>
          </w:tcPr>
          <w:p w14:paraId="51193196"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Lone parent</w:t>
            </w:r>
          </w:p>
        </w:tc>
        <w:tc>
          <w:tcPr>
            <w:tcW w:w="1309" w:type="dxa"/>
            <w:hideMark/>
          </w:tcPr>
          <w:p w14:paraId="4E902CA5"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Total with non-dependent children</w:t>
            </w:r>
          </w:p>
        </w:tc>
        <w:tc>
          <w:tcPr>
            <w:tcW w:w="1882" w:type="dxa"/>
            <w:hideMark/>
          </w:tcPr>
          <w:p w14:paraId="0C0D9807"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t>All households without non-</w:t>
            </w:r>
            <w:proofErr w:type="spellStart"/>
            <w:r w:rsidRPr="009E47B9">
              <w:t>dependant</w:t>
            </w:r>
            <w:proofErr w:type="spellEnd"/>
            <w:r w:rsidRPr="009E47B9">
              <w:t xml:space="preserve"> children</w:t>
            </w:r>
          </w:p>
        </w:tc>
        <w:tc>
          <w:tcPr>
            <w:tcW w:w="775" w:type="dxa"/>
            <w:hideMark/>
          </w:tcPr>
          <w:p w14:paraId="008DEF1B"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Total</w:t>
            </w:r>
          </w:p>
        </w:tc>
      </w:tr>
      <w:tr w:rsidR="009E47B9" w:rsidRPr="009E47B9" w14:paraId="7CB1B7FC" w14:textId="77777777" w:rsidTr="009E47B9">
        <w:trPr>
          <w:trHeight w:val="35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767C0CF" w14:textId="77777777" w:rsidR="00A6240C" w:rsidRPr="004F4BA7" w:rsidRDefault="00A6240C" w:rsidP="008E6E40">
            <w:pPr>
              <w:keepNext/>
              <w:rPr>
                <w:bCs/>
                <w:lang w:eastAsia="en-GB"/>
              </w:rPr>
            </w:pPr>
            <w:r w:rsidRPr="004F4BA7">
              <w:rPr>
                <w:bCs/>
                <w:lang w:eastAsia="en-GB"/>
              </w:rPr>
              <w:t>2001</w:t>
            </w:r>
          </w:p>
        </w:tc>
        <w:tc>
          <w:tcPr>
            <w:tcW w:w="1013" w:type="dxa"/>
            <w:noWrap/>
            <w:hideMark/>
          </w:tcPr>
          <w:p w14:paraId="625CBF08"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16,457</w:t>
            </w:r>
          </w:p>
        </w:tc>
        <w:tc>
          <w:tcPr>
            <w:tcW w:w="1244" w:type="dxa"/>
            <w:noWrap/>
            <w:hideMark/>
          </w:tcPr>
          <w:p w14:paraId="1B197D3C"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1,001</w:t>
            </w:r>
          </w:p>
        </w:tc>
        <w:tc>
          <w:tcPr>
            <w:tcW w:w="1006" w:type="dxa"/>
            <w:noWrap/>
            <w:hideMark/>
          </w:tcPr>
          <w:p w14:paraId="3BE62CC8"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6,663</w:t>
            </w:r>
          </w:p>
        </w:tc>
        <w:tc>
          <w:tcPr>
            <w:tcW w:w="1309" w:type="dxa"/>
            <w:noWrap/>
            <w:hideMark/>
          </w:tcPr>
          <w:p w14:paraId="0850C129"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24,121</w:t>
            </w:r>
          </w:p>
        </w:tc>
        <w:tc>
          <w:tcPr>
            <w:tcW w:w="1882" w:type="dxa"/>
            <w:noWrap/>
            <w:hideMark/>
          </w:tcPr>
          <w:p w14:paraId="1D0F06D5"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262,330</w:t>
            </w:r>
          </w:p>
        </w:tc>
        <w:tc>
          <w:tcPr>
            <w:tcW w:w="775" w:type="dxa"/>
            <w:noWrap/>
            <w:hideMark/>
          </w:tcPr>
          <w:p w14:paraId="6485D10C"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286,451</w:t>
            </w:r>
          </w:p>
        </w:tc>
      </w:tr>
      <w:tr w:rsidR="009E47B9" w:rsidRPr="009E47B9" w14:paraId="3CE7DE63" w14:textId="77777777" w:rsidTr="009E47B9">
        <w:trPr>
          <w:trHeight w:val="35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8EC3DB3" w14:textId="77777777" w:rsidR="00A6240C" w:rsidRPr="004F4BA7" w:rsidRDefault="00A6240C" w:rsidP="008E6E40">
            <w:pPr>
              <w:keepNext/>
              <w:rPr>
                <w:bCs/>
                <w:lang w:eastAsia="en-GB"/>
              </w:rPr>
            </w:pPr>
            <w:r w:rsidRPr="004F4BA7">
              <w:rPr>
                <w:bCs/>
                <w:lang w:eastAsia="en-GB"/>
              </w:rPr>
              <w:t>2011</w:t>
            </w:r>
          </w:p>
        </w:tc>
        <w:tc>
          <w:tcPr>
            <w:tcW w:w="1013" w:type="dxa"/>
            <w:noWrap/>
            <w:hideMark/>
          </w:tcPr>
          <w:p w14:paraId="2A07DF4F"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17,106</w:t>
            </w:r>
          </w:p>
        </w:tc>
        <w:tc>
          <w:tcPr>
            <w:tcW w:w="1244" w:type="dxa"/>
            <w:noWrap/>
            <w:hideMark/>
          </w:tcPr>
          <w:p w14:paraId="0B0EA70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1,594</w:t>
            </w:r>
          </w:p>
        </w:tc>
        <w:tc>
          <w:tcPr>
            <w:tcW w:w="1006" w:type="dxa"/>
            <w:noWrap/>
            <w:hideMark/>
          </w:tcPr>
          <w:p w14:paraId="4C2A7C6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8,768</w:t>
            </w:r>
          </w:p>
        </w:tc>
        <w:tc>
          <w:tcPr>
            <w:tcW w:w="1309" w:type="dxa"/>
            <w:noWrap/>
            <w:hideMark/>
          </w:tcPr>
          <w:p w14:paraId="14F3527D"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27,468</w:t>
            </w:r>
          </w:p>
        </w:tc>
        <w:tc>
          <w:tcPr>
            <w:tcW w:w="1882" w:type="dxa"/>
            <w:noWrap/>
            <w:hideMark/>
          </w:tcPr>
          <w:p w14:paraId="55B03B6F"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294,951</w:t>
            </w:r>
          </w:p>
        </w:tc>
        <w:tc>
          <w:tcPr>
            <w:tcW w:w="775" w:type="dxa"/>
            <w:noWrap/>
            <w:hideMark/>
          </w:tcPr>
          <w:p w14:paraId="64E4E9BD"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322,419</w:t>
            </w:r>
          </w:p>
        </w:tc>
      </w:tr>
      <w:tr w:rsidR="009E47B9" w:rsidRPr="009E47B9" w14:paraId="0BF60778" w14:textId="77777777" w:rsidTr="009E47B9">
        <w:trPr>
          <w:trHeight w:val="35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64B56EE" w14:textId="77777777" w:rsidR="00A6240C" w:rsidRPr="004F4BA7" w:rsidRDefault="00A6240C" w:rsidP="008E6E40">
            <w:pPr>
              <w:keepNext/>
              <w:rPr>
                <w:bCs/>
                <w:lang w:eastAsia="en-GB"/>
              </w:rPr>
            </w:pPr>
            <w:r w:rsidRPr="004F4BA7">
              <w:rPr>
                <w:bCs/>
                <w:lang w:eastAsia="en-GB"/>
              </w:rPr>
              <w:t>Change</w:t>
            </w:r>
          </w:p>
        </w:tc>
        <w:tc>
          <w:tcPr>
            <w:tcW w:w="1013" w:type="dxa"/>
            <w:noWrap/>
            <w:hideMark/>
          </w:tcPr>
          <w:p w14:paraId="3352AF92"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649</w:t>
            </w:r>
          </w:p>
        </w:tc>
        <w:tc>
          <w:tcPr>
            <w:tcW w:w="1244" w:type="dxa"/>
            <w:noWrap/>
            <w:hideMark/>
          </w:tcPr>
          <w:p w14:paraId="062635F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593</w:t>
            </w:r>
          </w:p>
        </w:tc>
        <w:tc>
          <w:tcPr>
            <w:tcW w:w="1006" w:type="dxa"/>
            <w:noWrap/>
            <w:hideMark/>
          </w:tcPr>
          <w:p w14:paraId="02F18BA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2,105</w:t>
            </w:r>
          </w:p>
        </w:tc>
        <w:tc>
          <w:tcPr>
            <w:tcW w:w="1309" w:type="dxa"/>
            <w:noWrap/>
            <w:hideMark/>
          </w:tcPr>
          <w:p w14:paraId="0787DC6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3,347</w:t>
            </w:r>
          </w:p>
        </w:tc>
        <w:tc>
          <w:tcPr>
            <w:tcW w:w="1882" w:type="dxa"/>
            <w:noWrap/>
            <w:hideMark/>
          </w:tcPr>
          <w:p w14:paraId="021F9852"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32,621</w:t>
            </w:r>
          </w:p>
        </w:tc>
        <w:tc>
          <w:tcPr>
            <w:tcW w:w="775" w:type="dxa"/>
            <w:noWrap/>
            <w:hideMark/>
          </w:tcPr>
          <w:p w14:paraId="112322AD"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35,968</w:t>
            </w:r>
          </w:p>
        </w:tc>
      </w:tr>
      <w:tr w:rsidR="009E47B9" w:rsidRPr="009E47B9" w14:paraId="7FF621EB" w14:textId="77777777" w:rsidTr="009E47B9">
        <w:trPr>
          <w:trHeight w:val="35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8894822" w14:textId="77777777" w:rsidR="00A6240C" w:rsidRPr="004F4BA7" w:rsidRDefault="00A6240C" w:rsidP="008E6E40">
            <w:pPr>
              <w:keepNext/>
              <w:rPr>
                <w:bCs/>
                <w:lang w:eastAsia="en-GB"/>
              </w:rPr>
            </w:pPr>
            <w:r w:rsidRPr="004F4BA7">
              <w:rPr>
                <w:bCs/>
                <w:lang w:eastAsia="en-GB"/>
              </w:rPr>
              <w:t>% change</w:t>
            </w:r>
          </w:p>
        </w:tc>
        <w:tc>
          <w:tcPr>
            <w:tcW w:w="1013" w:type="dxa"/>
            <w:noWrap/>
            <w:hideMark/>
          </w:tcPr>
          <w:p w14:paraId="45A145EE"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3.90%</w:t>
            </w:r>
          </w:p>
        </w:tc>
        <w:tc>
          <w:tcPr>
            <w:tcW w:w="1244" w:type="dxa"/>
            <w:noWrap/>
            <w:hideMark/>
          </w:tcPr>
          <w:p w14:paraId="570497FF"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59.20%</w:t>
            </w:r>
          </w:p>
        </w:tc>
        <w:tc>
          <w:tcPr>
            <w:tcW w:w="1006" w:type="dxa"/>
            <w:noWrap/>
            <w:hideMark/>
          </w:tcPr>
          <w:p w14:paraId="6647F7FD"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31.60%</w:t>
            </w:r>
          </w:p>
        </w:tc>
        <w:tc>
          <w:tcPr>
            <w:tcW w:w="1309" w:type="dxa"/>
            <w:noWrap/>
            <w:hideMark/>
          </w:tcPr>
          <w:p w14:paraId="72018364"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13.90%</w:t>
            </w:r>
          </w:p>
        </w:tc>
        <w:tc>
          <w:tcPr>
            <w:tcW w:w="1882" w:type="dxa"/>
            <w:noWrap/>
            <w:hideMark/>
          </w:tcPr>
          <w:p w14:paraId="3F1A956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12.40%</w:t>
            </w:r>
          </w:p>
        </w:tc>
        <w:tc>
          <w:tcPr>
            <w:tcW w:w="775" w:type="dxa"/>
            <w:noWrap/>
            <w:hideMark/>
          </w:tcPr>
          <w:p w14:paraId="79E276D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12.60%</w:t>
            </w:r>
          </w:p>
        </w:tc>
      </w:tr>
    </w:tbl>
    <w:p w14:paraId="2080327A" w14:textId="77777777" w:rsidR="00A6240C" w:rsidRPr="008556E5" w:rsidRDefault="00A6240C" w:rsidP="008E6E40">
      <w:pPr>
        <w:keepNext/>
        <w:widowControl w:val="0"/>
        <w:autoSpaceDE w:val="0"/>
        <w:autoSpaceDN w:val="0"/>
        <w:adjustRightInd w:val="0"/>
        <w:ind w:left="794"/>
        <w:rPr>
          <w:color w:val="auto"/>
          <w:sz w:val="24"/>
          <w:szCs w:val="24"/>
        </w:rPr>
      </w:pPr>
      <w:r>
        <w:t xml:space="preserve"> </w:t>
      </w:r>
      <w:r w:rsidRPr="008556E5">
        <w:rPr>
          <w:color w:val="auto"/>
          <w:sz w:val="24"/>
          <w:szCs w:val="24"/>
        </w:rPr>
        <w:t xml:space="preserve">Source: Census (2001 and 2011), </w:t>
      </w:r>
      <w:hyperlink r:id="rId47" w:tooltip="Start a query using this dataset" w:history="1">
        <w:r w:rsidRPr="008556E5">
          <w:rPr>
            <w:rStyle w:val="Hyperlink"/>
            <w:rFonts w:ascii="Verdana" w:hAnsi="Verdana"/>
            <w:color w:val="auto"/>
            <w:sz w:val="24"/>
            <w:szCs w:val="24"/>
            <w:shd w:val="clear" w:color="auto" w:fill="FFFFFF"/>
          </w:rPr>
          <w:t>KS020</w:t>
        </w:r>
      </w:hyperlink>
      <w:r w:rsidRPr="008556E5">
        <w:rPr>
          <w:color w:val="auto"/>
          <w:sz w:val="24"/>
          <w:szCs w:val="24"/>
        </w:rPr>
        <w:t xml:space="preserve"> and </w:t>
      </w:r>
      <w:hyperlink r:id="rId48" w:tooltip="Start a query using this dataset" w:history="1">
        <w:r w:rsidRPr="008556E5">
          <w:rPr>
            <w:rStyle w:val="Hyperlink"/>
            <w:rFonts w:ascii="Verdana" w:hAnsi="Verdana"/>
            <w:color w:val="auto"/>
            <w:sz w:val="24"/>
            <w:szCs w:val="24"/>
            <w:shd w:val="clear" w:color="auto" w:fill="FFFFFF"/>
          </w:rPr>
          <w:t>KS105EW</w:t>
        </w:r>
      </w:hyperlink>
    </w:p>
    <w:p w14:paraId="711D40C4" w14:textId="77777777" w:rsidR="00A6240C" w:rsidRPr="00526C6E" w:rsidRDefault="00A6240C" w:rsidP="007D0FBF">
      <w:pPr>
        <w:pStyle w:val="11Bodytext"/>
        <w:rPr>
          <w:b/>
          <w:color w:val="000000"/>
        </w:rPr>
      </w:pPr>
      <w:r>
        <w:t xml:space="preserve">At a local authority level, Huntingdonshire had the highest absolute and percentage growth in households with non-dependent children. The lowest growth for both was in Cambridge. Fenland and Huntingdonshire had a higher level of growth in in households with non-dependent children than all households. </w:t>
      </w:r>
    </w:p>
    <w:p w14:paraId="0A4AA63A" w14:textId="78872EBC" w:rsidR="00A6240C" w:rsidRDefault="00A6240C" w:rsidP="003D5E23">
      <w:pPr>
        <w:pStyle w:val="Tableheading"/>
        <w:numPr>
          <w:ilvl w:val="0"/>
          <w:numId w:val="54"/>
        </w:numPr>
      </w:pPr>
      <w:r>
        <w:t>Change in households with non-dependent children (2001-11) – Local Authority</w:t>
      </w:r>
    </w:p>
    <w:tbl>
      <w:tblPr>
        <w:tblStyle w:val="TableGridLight1"/>
        <w:tblW w:w="8749" w:type="dxa"/>
        <w:tblInd w:w="846" w:type="dxa"/>
        <w:tblLayout w:type="fixed"/>
        <w:tblLook w:val="04A0" w:firstRow="1" w:lastRow="0" w:firstColumn="1" w:lastColumn="0" w:noHBand="0" w:noVBand="1"/>
      </w:tblPr>
      <w:tblGrid>
        <w:gridCol w:w="2268"/>
        <w:gridCol w:w="878"/>
        <w:gridCol w:w="1121"/>
        <w:gridCol w:w="1120"/>
        <w:gridCol w:w="1121"/>
        <w:gridCol w:w="1120"/>
        <w:gridCol w:w="1121"/>
      </w:tblGrid>
      <w:tr w:rsidR="005B02AD" w:rsidRPr="005B02AD" w14:paraId="6B560C43" w14:textId="77777777" w:rsidTr="008556E5">
        <w:trPr>
          <w:cnfStyle w:val="100000000000" w:firstRow="1" w:lastRow="0" w:firstColumn="0" w:lastColumn="0" w:oddVBand="0" w:evenVBand="0" w:oddHBand="0" w:evenHBand="0" w:firstRowFirstColumn="0" w:firstRowLastColumn="0" w:lastRowFirstColumn="0" w:lastRowLastColumn="0"/>
          <w:cantSplit/>
          <w:trHeight w:val="1752"/>
        </w:trPr>
        <w:tc>
          <w:tcPr>
            <w:cnfStyle w:val="001000000000" w:firstRow="0" w:lastRow="0" w:firstColumn="1" w:lastColumn="0" w:oddVBand="0" w:evenVBand="0" w:oddHBand="0" w:evenHBand="0" w:firstRowFirstColumn="0" w:firstRowLastColumn="0" w:lastRowFirstColumn="0" w:lastRowLastColumn="0"/>
            <w:tcW w:w="2268" w:type="dxa"/>
            <w:hideMark/>
          </w:tcPr>
          <w:p w14:paraId="2A7F3544" w14:textId="77777777" w:rsidR="005B02AD" w:rsidRPr="005B02AD" w:rsidRDefault="005B02AD" w:rsidP="005B02AD">
            <w:pPr>
              <w:rPr>
                <w:color w:val="auto"/>
                <w:lang w:eastAsia="en-GB"/>
              </w:rPr>
            </w:pPr>
            <w:r w:rsidRPr="005B02AD">
              <w:rPr>
                <w:color w:val="auto"/>
                <w:lang w:eastAsia="en-GB"/>
              </w:rPr>
              <w:t> </w:t>
            </w:r>
          </w:p>
        </w:tc>
        <w:tc>
          <w:tcPr>
            <w:tcW w:w="878" w:type="dxa"/>
            <w:textDirection w:val="btLr"/>
            <w:hideMark/>
          </w:tcPr>
          <w:p w14:paraId="6D2B483E" w14:textId="77777777" w:rsidR="005B02AD" w:rsidRPr="005B02AD" w:rsidRDefault="005B02AD" w:rsidP="005B02AD">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Married Couple</w:t>
            </w:r>
          </w:p>
        </w:tc>
        <w:tc>
          <w:tcPr>
            <w:tcW w:w="1121" w:type="dxa"/>
            <w:textDirection w:val="btLr"/>
            <w:hideMark/>
          </w:tcPr>
          <w:p w14:paraId="307F6ADC" w14:textId="77777777" w:rsidR="005B02AD" w:rsidRPr="005B02AD" w:rsidRDefault="005B02AD" w:rsidP="005B02AD">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Cohabiting Couple</w:t>
            </w:r>
          </w:p>
        </w:tc>
        <w:tc>
          <w:tcPr>
            <w:tcW w:w="1120" w:type="dxa"/>
            <w:textDirection w:val="btLr"/>
            <w:hideMark/>
          </w:tcPr>
          <w:p w14:paraId="233348F9" w14:textId="77777777" w:rsidR="005B02AD" w:rsidRPr="005B02AD" w:rsidRDefault="005B02AD" w:rsidP="005B02AD">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Lone Parent</w:t>
            </w:r>
          </w:p>
        </w:tc>
        <w:tc>
          <w:tcPr>
            <w:tcW w:w="1121" w:type="dxa"/>
            <w:textDirection w:val="btLr"/>
            <w:hideMark/>
          </w:tcPr>
          <w:p w14:paraId="01834424" w14:textId="77777777" w:rsidR="005B02AD" w:rsidRPr="005B02AD" w:rsidRDefault="005B02AD" w:rsidP="005B02AD">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All Other Households</w:t>
            </w:r>
          </w:p>
        </w:tc>
        <w:tc>
          <w:tcPr>
            <w:tcW w:w="1120" w:type="dxa"/>
            <w:textDirection w:val="btLr"/>
            <w:hideMark/>
          </w:tcPr>
          <w:p w14:paraId="23D9B7BA" w14:textId="77777777" w:rsidR="005B02AD" w:rsidRPr="005B02AD" w:rsidRDefault="005B02AD" w:rsidP="005B02AD">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Total</w:t>
            </w:r>
          </w:p>
        </w:tc>
        <w:tc>
          <w:tcPr>
            <w:tcW w:w="1121" w:type="dxa"/>
            <w:textDirection w:val="btLr"/>
            <w:hideMark/>
          </w:tcPr>
          <w:p w14:paraId="726A1935" w14:textId="77777777" w:rsidR="005B02AD" w:rsidRPr="005B02AD" w:rsidRDefault="005B02AD" w:rsidP="005B02AD">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Total with Non-Dependent Children</w:t>
            </w:r>
          </w:p>
        </w:tc>
      </w:tr>
      <w:tr w:rsidR="008556E5" w:rsidRPr="005B02AD" w14:paraId="7A1340BF" w14:textId="77777777" w:rsidTr="008556E5">
        <w:trPr>
          <w:trHeight w:val="166"/>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5F214E44" w14:textId="34DE4B7E" w:rsidR="008556E5" w:rsidRPr="005B02AD" w:rsidRDefault="008556E5" w:rsidP="008556E5">
            <w:pPr>
              <w:rPr>
                <w:color w:val="auto"/>
                <w:lang w:eastAsia="en-GB"/>
              </w:rPr>
            </w:pPr>
            <w:r w:rsidRPr="00F20E9F">
              <w:t>Cambridge #</w:t>
            </w:r>
          </w:p>
        </w:tc>
        <w:tc>
          <w:tcPr>
            <w:tcW w:w="878" w:type="dxa"/>
            <w:noWrap/>
            <w:hideMark/>
          </w:tcPr>
          <w:p w14:paraId="1BC45E2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20</w:t>
            </w:r>
          </w:p>
        </w:tc>
        <w:tc>
          <w:tcPr>
            <w:tcW w:w="1121" w:type="dxa"/>
            <w:noWrap/>
            <w:hideMark/>
          </w:tcPr>
          <w:p w14:paraId="575C8A4E"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27</w:t>
            </w:r>
          </w:p>
        </w:tc>
        <w:tc>
          <w:tcPr>
            <w:tcW w:w="1120" w:type="dxa"/>
            <w:noWrap/>
            <w:hideMark/>
          </w:tcPr>
          <w:p w14:paraId="1432BC8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207</w:t>
            </w:r>
          </w:p>
        </w:tc>
        <w:tc>
          <w:tcPr>
            <w:tcW w:w="1121" w:type="dxa"/>
            <w:noWrap/>
            <w:hideMark/>
          </w:tcPr>
          <w:p w14:paraId="7976AFD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3,802</w:t>
            </w:r>
          </w:p>
        </w:tc>
        <w:tc>
          <w:tcPr>
            <w:tcW w:w="1120" w:type="dxa"/>
            <w:noWrap/>
            <w:hideMark/>
          </w:tcPr>
          <w:p w14:paraId="5944215F"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4,056</w:t>
            </w:r>
          </w:p>
        </w:tc>
        <w:tc>
          <w:tcPr>
            <w:tcW w:w="1121" w:type="dxa"/>
            <w:noWrap/>
            <w:hideMark/>
          </w:tcPr>
          <w:p w14:paraId="25C10CC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254</w:t>
            </w:r>
          </w:p>
        </w:tc>
      </w:tr>
      <w:tr w:rsidR="008556E5" w:rsidRPr="005B02AD" w14:paraId="4AC6ADF0" w14:textId="77777777" w:rsidTr="008556E5">
        <w:trPr>
          <w:trHeight w:val="169"/>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4FA7CA29" w14:textId="3E5581BA" w:rsidR="008556E5" w:rsidRPr="005B02AD" w:rsidRDefault="008556E5" w:rsidP="008556E5">
            <w:pPr>
              <w:rPr>
                <w:color w:val="auto"/>
                <w:lang w:eastAsia="en-GB"/>
              </w:rPr>
            </w:pPr>
            <w:r w:rsidRPr="00F20E9F">
              <w:t>Cambridge %</w:t>
            </w:r>
          </w:p>
        </w:tc>
        <w:tc>
          <w:tcPr>
            <w:tcW w:w="878" w:type="dxa"/>
            <w:noWrap/>
            <w:hideMark/>
          </w:tcPr>
          <w:p w14:paraId="73035A9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1.20%</w:t>
            </w:r>
          </w:p>
        </w:tc>
        <w:tc>
          <w:tcPr>
            <w:tcW w:w="1121" w:type="dxa"/>
            <w:noWrap/>
            <w:hideMark/>
          </w:tcPr>
          <w:p w14:paraId="62B7289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20.90%</w:t>
            </w:r>
          </w:p>
        </w:tc>
        <w:tc>
          <w:tcPr>
            <w:tcW w:w="1120" w:type="dxa"/>
            <w:noWrap/>
            <w:hideMark/>
          </w:tcPr>
          <w:p w14:paraId="279C617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20.10%</w:t>
            </w:r>
          </w:p>
        </w:tc>
        <w:tc>
          <w:tcPr>
            <w:tcW w:w="1121" w:type="dxa"/>
            <w:noWrap/>
            <w:hideMark/>
          </w:tcPr>
          <w:p w14:paraId="35534EA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9.50%</w:t>
            </w:r>
          </w:p>
        </w:tc>
        <w:tc>
          <w:tcPr>
            <w:tcW w:w="1120" w:type="dxa"/>
            <w:noWrap/>
            <w:hideMark/>
          </w:tcPr>
          <w:p w14:paraId="57FCEFE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9.50%</w:t>
            </w:r>
          </w:p>
        </w:tc>
        <w:tc>
          <w:tcPr>
            <w:tcW w:w="1121" w:type="dxa"/>
            <w:noWrap/>
            <w:hideMark/>
          </w:tcPr>
          <w:p w14:paraId="1D8D24BA"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9.00%</w:t>
            </w:r>
          </w:p>
        </w:tc>
      </w:tr>
      <w:tr w:rsidR="008556E5" w:rsidRPr="005B02AD" w14:paraId="613950DF" w14:textId="77777777" w:rsidTr="008556E5">
        <w:trPr>
          <w:trHeight w:val="173"/>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430BBD22" w14:textId="555E0493" w:rsidR="008556E5" w:rsidRPr="005B02AD" w:rsidRDefault="008556E5" w:rsidP="008556E5">
            <w:pPr>
              <w:rPr>
                <w:color w:val="auto"/>
                <w:lang w:eastAsia="en-GB"/>
              </w:rPr>
            </w:pPr>
            <w:r w:rsidRPr="00F20E9F">
              <w:t>South Cambs #</w:t>
            </w:r>
          </w:p>
        </w:tc>
        <w:tc>
          <w:tcPr>
            <w:tcW w:w="878" w:type="dxa"/>
            <w:noWrap/>
            <w:hideMark/>
          </w:tcPr>
          <w:p w14:paraId="34639F3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102</w:t>
            </w:r>
          </w:p>
        </w:tc>
        <w:tc>
          <w:tcPr>
            <w:tcW w:w="1121" w:type="dxa"/>
            <w:noWrap/>
            <w:hideMark/>
          </w:tcPr>
          <w:p w14:paraId="6CE0B17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116</w:t>
            </w:r>
          </w:p>
        </w:tc>
        <w:tc>
          <w:tcPr>
            <w:tcW w:w="1120" w:type="dxa"/>
            <w:noWrap/>
            <w:hideMark/>
          </w:tcPr>
          <w:p w14:paraId="0305E97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356</w:t>
            </w:r>
          </w:p>
        </w:tc>
        <w:tc>
          <w:tcPr>
            <w:tcW w:w="1121" w:type="dxa"/>
            <w:noWrap/>
            <w:hideMark/>
          </w:tcPr>
          <w:p w14:paraId="14D9769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7,205</w:t>
            </w:r>
          </w:p>
        </w:tc>
        <w:tc>
          <w:tcPr>
            <w:tcW w:w="1120" w:type="dxa"/>
            <w:noWrap/>
            <w:hideMark/>
          </w:tcPr>
          <w:p w14:paraId="75A7067F"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7,779</w:t>
            </w:r>
          </w:p>
        </w:tc>
        <w:tc>
          <w:tcPr>
            <w:tcW w:w="1121" w:type="dxa"/>
            <w:noWrap/>
            <w:hideMark/>
          </w:tcPr>
          <w:p w14:paraId="23B13B3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574</w:t>
            </w:r>
          </w:p>
        </w:tc>
      </w:tr>
      <w:tr w:rsidR="008556E5" w:rsidRPr="005B02AD" w14:paraId="1B621CDC" w14:textId="77777777" w:rsidTr="008556E5">
        <w:trPr>
          <w:trHeight w:val="163"/>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6EE05513" w14:textId="0FCA7EC0" w:rsidR="008556E5" w:rsidRPr="005B02AD" w:rsidRDefault="008556E5" w:rsidP="008556E5">
            <w:pPr>
              <w:rPr>
                <w:color w:val="auto"/>
                <w:lang w:eastAsia="en-GB"/>
              </w:rPr>
            </w:pPr>
            <w:r w:rsidRPr="00F20E9F">
              <w:t>South Cambs %</w:t>
            </w:r>
          </w:p>
        </w:tc>
        <w:tc>
          <w:tcPr>
            <w:tcW w:w="878" w:type="dxa"/>
            <w:noWrap/>
            <w:hideMark/>
          </w:tcPr>
          <w:p w14:paraId="2F2CA07B"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3.10%</w:t>
            </w:r>
          </w:p>
        </w:tc>
        <w:tc>
          <w:tcPr>
            <w:tcW w:w="1121" w:type="dxa"/>
            <w:noWrap/>
            <w:hideMark/>
          </w:tcPr>
          <w:p w14:paraId="5E155BC9"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69.00%</w:t>
            </w:r>
          </w:p>
        </w:tc>
        <w:tc>
          <w:tcPr>
            <w:tcW w:w="1120" w:type="dxa"/>
            <w:noWrap/>
            <w:hideMark/>
          </w:tcPr>
          <w:p w14:paraId="746F045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29.90%</w:t>
            </w:r>
          </w:p>
        </w:tc>
        <w:tc>
          <w:tcPr>
            <w:tcW w:w="1121" w:type="dxa"/>
            <w:noWrap/>
            <w:hideMark/>
          </w:tcPr>
          <w:p w14:paraId="62063AA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15.20%</w:t>
            </w:r>
          </w:p>
        </w:tc>
        <w:tc>
          <w:tcPr>
            <w:tcW w:w="1120" w:type="dxa"/>
            <w:noWrap/>
            <w:hideMark/>
          </w:tcPr>
          <w:p w14:paraId="2405B3D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14.90%</w:t>
            </w:r>
          </w:p>
        </w:tc>
        <w:tc>
          <w:tcPr>
            <w:tcW w:w="1121" w:type="dxa"/>
            <w:noWrap/>
            <w:hideMark/>
          </w:tcPr>
          <w:p w14:paraId="09D0693E"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12.20%</w:t>
            </w:r>
          </w:p>
        </w:tc>
      </w:tr>
      <w:tr w:rsidR="008556E5" w:rsidRPr="005B02AD" w14:paraId="51892C00" w14:textId="77777777" w:rsidTr="008556E5">
        <w:trPr>
          <w:trHeight w:val="168"/>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1DF9D347" w14:textId="09B79362" w:rsidR="008556E5" w:rsidRPr="005B02AD" w:rsidRDefault="008556E5" w:rsidP="008556E5">
            <w:pPr>
              <w:rPr>
                <w:color w:val="auto"/>
                <w:lang w:eastAsia="en-GB"/>
              </w:rPr>
            </w:pPr>
            <w:r w:rsidRPr="00F20E9F">
              <w:t>Greater Cambridge #</w:t>
            </w:r>
          </w:p>
        </w:tc>
        <w:tc>
          <w:tcPr>
            <w:tcW w:w="878" w:type="dxa"/>
            <w:noWrap/>
            <w:hideMark/>
          </w:tcPr>
          <w:p w14:paraId="142B1CD8"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122</w:t>
            </w:r>
          </w:p>
        </w:tc>
        <w:tc>
          <w:tcPr>
            <w:tcW w:w="1121" w:type="dxa"/>
            <w:noWrap/>
            <w:hideMark/>
          </w:tcPr>
          <w:p w14:paraId="54FE39F9"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143</w:t>
            </w:r>
          </w:p>
        </w:tc>
        <w:tc>
          <w:tcPr>
            <w:tcW w:w="1120" w:type="dxa"/>
            <w:noWrap/>
            <w:hideMark/>
          </w:tcPr>
          <w:p w14:paraId="3802E571"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563</w:t>
            </w:r>
          </w:p>
        </w:tc>
        <w:tc>
          <w:tcPr>
            <w:tcW w:w="1121" w:type="dxa"/>
            <w:noWrap/>
            <w:hideMark/>
          </w:tcPr>
          <w:p w14:paraId="6228EDA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11,007</w:t>
            </w:r>
          </w:p>
        </w:tc>
        <w:tc>
          <w:tcPr>
            <w:tcW w:w="1120" w:type="dxa"/>
            <w:noWrap/>
            <w:hideMark/>
          </w:tcPr>
          <w:p w14:paraId="5732E694"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11,835</w:t>
            </w:r>
          </w:p>
        </w:tc>
        <w:tc>
          <w:tcPr>
            <w:tcW w:w="1121" w:type="dxa"/>
            <w:noWrap/>
            <w:hideMark/>
          </w:tcPr>
          <w:p w14:paraId="56C4A8B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828</w:t>
            </w:r>
          </w:p>
        </w:tc>
      </w:tr>
      <w:tr w:rsidR="008556E5" w:rsidRPr="005B02AD" w14:paraId="2F0AC554" w14:textId="77777777" w:rsidTr="008556E5">
        <w:trPr>
          <w:trHeight w:val="157"/>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1669ECB2" w14:textId="58D74486" w:rsidR="008556E5" w:rsidRPr="005B02AD" w:rsidRDefault="008556E5" w:rsidP="008556E5">
            <w:pPr>
              <w:rPr>
                <w:color w:val="auto"/>
                <w:lang w:eastAsia="en-GB"/>
              </w:rPr>
            </w:pPr>
            <w:r w:rsidRPr="00F20E9F">
              <w:t>Greater Cambridge %</w:t>
            </w:r>
          </w:p>
        </w:tc>
        <w:tc>
          <w:tcPr>
            <w:tcW w:w="878" w:type="dxa"/>
            <w:noWrap/>
            <w:hideMark/>
          </w:tcPr>
          <w:p w14:paraId="78AA2354"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2.40%</w:t>
            </w:r>
          </w:p>
        </w:tc>
        <w:tc>
          <w:tcPr>
            <w:tcW w:w="1121" w:type="dxa"/>
            <w:noWrap/>
            <w:hideMark/>
          </w:tcPr>
          <w:p w14:paraId="321A565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48.10%</w:t>
            </w:r>
          </w:p>
        </w:tc>
        <w:tc>
          <w:tcPr>
            <w:tcW w:w="1120" w:type="dxa"/>
            <w:noWrap/>
            <w:hideMark/>
          </w:tcPr>
          <w:p w14:paraId="376EEECB"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25.40%</w:t>
            </w:r>
          </w:p>
        </w:tc>
        <w:tc>
          <w:tcPr>
            <w:tcW w:w="1121" w:type="dxa"/>
            <w:noWrap/>
            <w:hideMark/>
          </w:tcPr>
          <w:p w14:paraId="35CBBB8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12.60%</w:t>
            </w:r>
          </w:p>
        </w:tc>
        <w:tc>
          <w:tcPr>
            <w:tcW w:w="1120" w:type="dxa"/>
            <w:noWrap/>
            <w:hideMark/>
          </w:tcPr>
          <w:p w14:paraId="63E55B4B"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12.50%</w:t>
            </w:r>
          </w:p>
        </w:tc>
        <w:tc>
          <w:tcPr>
            <w:tcW w:w="1121" w:type="dxa"/>
            <w:noWrap/>
            <w:hideMark/>
          </w:tcPr>
          <w:p w14:paraId="70EC29C1"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11.00%</w:t>
            </w:r>
          </w:p>
        </w:tc>
      </w:tr>
      <w:tr w:rsidR="008556E5" w:rsidRPr="005B02AD" w14:paraId="49A38D61" w14:textId="77777777" w:rsidTr="008556E5">
        <w:trPr>
          <w:trHeight w:val="162"/>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4B40F6DD" w14:textId="4713326A" w:rsidR="008556E5" w:rsidRPr="005B02AD" w:rsidRDefault="008556E5" w:rsidP="008556E5">
            <w:pPr>
              <w:rPr>
                <w:color w:val="auto"/>
                <w:lang w:eastAsia="en-GB"/>
              </w:rPr>
            </w:pPr>
            <w:r w:rsidRPr="00F20E9F">
              <w:t>East Cambs #</w:t>
            </w:r>
          </w:p>
        </w:tc>
        <w:tc>
          <w:tcPr>
            <w:tcW w:w="878" w:type="dxa"/>
            <w:noWrap/>
            <w:hideMark/>
          </w:tcPr>
          <w:p w14:paraId="164B63D7"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143</w:t>
            </w:r>
          </w:p>
        </w:tc>
        <w:tc>
          <w:tcPr>
            <w:tcW w:w="1121" w:type="dxa"/>
            <w:noWrap/>
            <w:hideMark/>
          </w:tcPr>
          <w:p w14:paraId="6541E3A1"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85</w:t>
            </w:r>
          </w:p>
        </w:tc>
        <w:tc>
          <w:tcPr>
            <w:tcW w:w="1120" w:type="dxa"/>
            <w:noWrap/>
            <w:hideMark/>
          </w:tcPr>
          <w:p w14:paraId="2BC67DFE"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117</w:t>
            </w:r>
          </w:p>
        </w:tc>
        <w:tc>
          <w:tcPr>
            <w:tcW w:w="1121" w:type="dxa"/>
            <w:noWrap/>
            <w:hideMark/>
          </w:tcPr>
          <w:p w14:paraId="78DC3F54"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4,489</w:t>
            </w:r>
          </w:p>
        </w:tc>
        <w:tc>
          <w:tcPr>
            <w:tcW w:w="1120" w:type="dxa"/>
            <w:noWrap/>
            <w:hideMark/>
          </w:tcPr>
          <w:p w14:paraId="3476735A"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4,834</w:t>
            </w:r>
            <w:r w:rsidRPr="005B02AD">
              <w:rPr>
                <w:rFonts w:ascii="Times New Roman" w:hAnsi="Times New Roman"/>
                <w:color w:val="auto"/>
                <w:sz w:val="16"/>
                <w:szCs w:val="16"/>
                <w:lang w:eastAsia="en-GB"/>
              </w:rPr>
              <w:t> </w:t>
            </w:r>
          </w:p>
        </w:tc>
        <w:tc>
          <w:tcPr>
            <w:tcW w:w="1121" w:type="dxa"/>
            <w:noWrap/>
            <w:hideMark/>
          </w:tcPr>
          <w:p w14:paraId="3F3404A9"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345</w:t>
            </w:r>
          </w:p>
        </w:tc>
      </w:tr>
      <w:tr w:rsidR="008556E5" w:rsidRPr="005B02AD" w14:paraId="67AFEACF" w14:textId="77777777" w:rsidTr="008556E5">
        <w:trPr>
          <w:trHeight w:val="56"/>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22738EBE" w14:textId="011B2E40" w:rsidR="008556E5" w:rsidRPr="005B02AD" w:rsidRDefault="008556E5" w:rsidP="008556E5">
            <w:pPr>
              <w:rPr>
                <w:color w:val="auto"/>
                <w:lang w:eastAsia="en-GB"/>
              </w:rPr>
            </w:pPr>
            <w:r w:rsidRPr="00F20E9F">
              <w:t>East Cambs %</w:t>
            </w:r>
          </w:p>
        </w:tc>
        <w:tc>
          <w:tcPr>
            <w:tcW w:w="878" w:type="dxa"/>
            <w:noWrap/>
            <w:hideMark/>
          </w:tcPr>
          <w:p w14:paraId="4637D3F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7.70%</w:t>
            </w:r>
          </w:p>
        </w:tc>
        <w:tc>
          <w:tcPr>
            <w:tcW w:w="1121" w:type="dxa"/>
            <w:noWrap/>
            <w:hideMark/>
          </w:tcPr>
          <w:p w14:paraId="66CB3C09"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74.60%</w:t>
            </w:r>
          </w:p>
        </w:tc>
        <w:tc>
          <w:tcPr>
            <w:tcW w:w="1120" w:type="dxa"/>
            <w:noWrap/>
            <w:hideMark/>
          </w:tcPr>
          <w:p w14:paraId="1DCB23E7"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16.50%</w:t>
            </w:r>
          </w:p>
        </w:tc>
        <w:tc>
          <w:tcPr>
            <w:tcW w:w="1121" w:type="dxa"/>
            <w:noWrap/>
            <w:hideMark/>
          </w:tcPr>
          <w:p w14:paraId="152D0759"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16.60%</w:t>
            </w:r>
          </w:p>
        </w:tc>
        <w:tc>
          <w:tcPr>
            <w:tcW w:w="1120" w:type="dxa"/>
            <w:noWrap/>
            <w:hideMark/>
          </w:tcPr>
          <w:p w14:paraId="7B7F9E2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16.20%</w:t>
            </w:r>
          </w:p>
        </w:tc>
        <w:tc>
          <w:tcPr>
            <w:tcW w:w="1121" w:type="dxa"/>
            <w:noWrap/>
            <w:hideMark/>
          </w:tcPr>
          <w:p w14:paraId="69E3EAB4"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12.90%</w:t>
            </w:r>
          </w:p>
        </w:tc>
      </w:tr>
      <w:tr w:rsidR="008556E5" w:rsidRPr="005B02AD" w14:paraId="31DB7C95" w14:textId="77777777" w:rsidTr="008556E5">
        <w:trPr>
          <w:trHeight w:val="156"/>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62CFE4DC" w14:textId="7FEA0F81" w:rsidR="008556E5" w:rsidRPr="005B02AD" w:rsidRDefault="008556E5" w:rsidP="008556E5">
            <w:pPr>
              <w:rPr>
                <w:color w:val="auto"/>
                <w:lang w:eastAsia="en-GB"/>
              </w:rPr>
            </w:pPr>
            <w:r w:rsidRPr="00F20E9F">
              <w:t>Fenland #</w:t>
            </w:r>
          </w:p>
        </w:tc>
        <w:tc>
          <w:tcPr>
            <w:tcW w:w="878" w:type="dxa"/>
            <w:noWrap/>
            <w:hideMark/>
          </w:tcPr>
          <w:p w14:paraId="5C8BA7B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136</w:t>
            </w:r>
          </w:p>
        </w:tc>
        <w:tc>
          <w:tcPr>
            <w:tcW w:w="1121" w:type="dxa"/>
            <w:noWrap/>
            <w:hideMark/>
          </w:tcPr>
          <w:p w14:paraId="74ADB82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122</w:t>
            </w:r>
          </w:p>
        </w:tc>
        <w:tc>
          <w:tcPr>
            <w:tcW w:w="1120" w:type="dxa"/>
            <w:noWrap/>
            <w:hideMark/>
          </w:tcPr>
          <w:p w14:paraId="477E6B2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282</w:t>
            </w:r>
          </w:p>
        </w:tc>
        <w:tc>
          <w:tcPr>
            <w:tcW w:w="1121" w:type="dxa"/>
            <w:noWrap/>
            <w:hideMark/>
          </w:tcPr>
          <w:p w14:paraId="57E0F5C1"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4,888</w:t>
            </w:r>
          </w:p>
        </w:tc>
        <w:tc>
          <w:tcPr>
            <w:tcW w:w="1120" w:type="dxa"/>
            <w:noWrap/>
            <w:hideMark/>
          </w:tcPr>
          <w:p w14:paraId="6C40D75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5,428</w:t>
            </w:r>
          </w:p>
        </w:tc>
        <w:tc>
          <w:tcPr>
            <w:tcW w:w="1121" w:type="dxa"/>
            <w:noWrap/>
            <w:hideMark/>
          </w:tcPr>
          <w:p w14:paraId="0E92D3FE"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540</w:t>
            </w:r>
          </w:p>
        </w:tc>
      </w:tr>
      <w:tr w:rsidR="008556E5" w:rsidRPr="005B02AD" w14:paraId="6E388B0E" w14:textId="77777777" w:rsidTr="008556E5">
        <w:trPr>
          <w:trHeight w:val="159"/>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4C473AA4" w14:textId="2BF67C0C" w:rsidR="008556E5" w:rsidRPr="005B02AD" w:rsidRDefault="008556E5" w:rsidP="008556E5">
            <w:pPr>
              <w:rPr>
                <w:color w:val="auto"/>
                <w:lang w:eastAsia="en-GB"/>
              </w:rPr>
            </w:pPr>
            <w:r w:rsidRPr="00F20E9F">
              <w:t>Fenland %</w:t>
            </w:r>
          </w:p>
        </w:tc>
        <w:tc>
          <w:tcPr>
            <w:tcW w:w="878" w:type="dxa"/>
            <w:noWrap/>
            <w:hideMark/>
          </w:tcPr>
          <w:p w14:paraId="63A18F9A"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6.60%</w:t>
            </w:r>
          </w:p>
        </w:tc>
        <w:tc>
          <w:tcPr>
            <w:tcW w:w="1121" w:type="dxa"/>
            <w:noWrap/>
            <w:hideMark/>
          </w:tcPr>
          <w:p w14:paraId="480EE19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89.70%</w:t>
            </w:r>
          </w:p>
        </w:tc>
        <w:tc>
          <w:tcPr>
            <w:tcW w:w="1120" w:type="dxa"/>
            <w:noWrap/>
            <w:hideMark/>
          </w:tcPr>
          <w:p w14:paraId="7DF1EF44"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33.00%</w:t>
            </w:r>
          </w:p>
        </w:tc>
        <w:tc>
          <w:tcPr>
            <w:tcW w:w="1121" w:type="dxa"/>
            <w:noWrap/>
            <w:hideMark/>
          </w:tcPr>
          <w:p w14:paraId="4574FC7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15.20%</w:t>
            </w:r>
          </w:p>
        </w:tc>
        <w:tc>
          <w:tcPr>
            <w:tcW w:w="1120" w:type="dxa"/>
            <w:noWrap/>
            <w:hideMark/>
          </w:tcPr>
          <w:p w14:paraId="340719C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15.40%</w:t>
            </w:r>
          </w:p>
        </w:tc>
        <w:tc>
          <w:tcPr>
            <w:tcW w:w="1121" w:type="dxa"/>
            <w:noWrap/>
            <w:hideMark/>
          </w:tcPr>
          <w:p w14:paraId="0F73F2D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17.60%</w:t>
            </w:r>
          </w:p>
        </w:tc>
      </w:tr>
      <w:tr w:rsidR="008556E5" w:rsidRPr="005B02AD" w14:paraId="2610E9A0" w14:textId="77777777" w:rsidTr="008556E5">
        <w:trPr>
          <w:trHeight w:val="56"/>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0A3B8D94" w14:textId="1D85C70E" w:rsidR="008556E5" w:rsidRPr="005B02AD" w:rsidRDefault="008556E5" w:rsidP="008556E5">
            <w:pPr>
              <w:rPr>
                <w:color w:val="auto"/>
                <w:lang w:eastAsia="en-GB"/>
              </w:rPr>
            </w:pPr>
            <w:r w:rsidRPr="00F20E9F">
              <w:t>Huntingdonshire #</w:t>
            </w:r>
          </w:p>
        </w:tc>
        <w:tc>
          <w:tcPr>
            <w:tcW w:w="878" w:type="dxa"/>
            <w:noWrap/>
            <w:hideMark/>
          </w:tcPr>
          <w:p w14:paraId="29B3130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288</w:t>
            </w:r>
          </w:p>
        </w:tc>
        <w:tc>
          <w:tcPr>
            <w:tcW w:w="1121" w:type="dxa"/>
            <w:noWrap/>
            <w:hideMark/>
          </w:tcPr>
          <w:p w14:paraId="55EE9A9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84</w:t>
            </w:r>
          </w:p>
        </w:tc>
        <w:tc>
          <w:tcPr>
            <w:tcW w:w="1120" w:type="dxa"/>
            <w:noWrap/>
            <w:hideMark/>
          </w:tcPr>
          <w:p w14:paraId="3DAE380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622</w:t>
            </w:r>
          </w:p>
        </w:tc>
        <w:tc>
          <w:tcPr>
            <w:tcW w:w="1121" w:type="dxa"/>
            <w:noWrap/>
            <w:hideMark/>
          </w:tcPr>
          <w:p w14:paraId="5FA91B58"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5,277</w:t>
            </w:r>
          </w:p>
        </w:tc>
        <w:tc>
          <w:tcPr>
            <w:tcW w:w="1120" w:type="dxa"/>
            <w:noWrap/>
            <w:hideMark/>
          </w:tcPr>
          <w:p w14:paraId="758AE9E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6,271</w:t>
            </w:r>
          </w:p>
        </w:tc>
        <w:tc>
          <w:tcPr>
            <w:tcW w:w="1121" w:type="dxa"/>
            <w:noWrap/>
            <w:hideMark/>
          </w:tcPr>
          <w:p w14:paraId="6D3BB16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994</w:t>
            </w:r>
          </w:p>
        </w:tc>
      </w:tr>
      <w:tr w:rsidR="008556E5" w:rsidRPr="005B02AD" w14:paraId="470CF4E8" w14:textId="77777777" w:rsidTr="008556E5">
        <w:trPr>
          <w:trHeight w:val="153"/>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71DF5DB0" w14:textId="10A9F3DA" w:rsidR="008556E5" w:rsidRPr="005B02AD" w:rsidRDefault="008556E5" w:rsidP="008556E5">
            <w:pPr>
              <w:rPr>
                <w:color w:val="auto"/>
                <w:lang w:eastAsia="en-GB"/>
              </w:rPr>
            </w:pPr>
            <w:r w:rsidRPr="00F20E9F">
              <w:t>Huntingdonshire %</w:t>
            </w:r>
          </w:p>
        </w:tc>
        <w:tc>
          <w:tcPr>
            <w:tcW w:w="878" w:type="dxa"/>
            <w:noWrap/>
            <w:hideMark/>
          </w:tcPr>
          <w:p w14:paraId="211A1C7B"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7.60%</w:t>
            </w:r>
          </w:p>
        </w:tc>
        <w:tc>
          <w:tcPr>
            <w:tcW w:w="1121" w:type="dxa"/>
            <w:noWrap/>
            <w:hideMark/>
          </w:tcPr>
          <w:p w14:paraId="01C351C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33.60%</w:t>
            </w:r>
          </w:p>
        </w:tc>
        <w:tc>
          <w:tcPr>
            <w:tcW w:w="1120" w:type="dxa"/>
            <w:noWrap/>
            <w:hideMark/>
          </w:tcPr>
          <w:p w14:paraId="3D24465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47.50%</w:t>
            </w:r>
          </w:p>
        </w:tc>
        <w:tc>
          <w:tcPr>
            <w:tcW w:w="1121" w:type="dxa"/>
            <w:noWrap/>
            <w:hideMark/>
          </w:tcPr>
          <w:p w14:paraId="33AC0AD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9.10%</w:t>
            </w:r>
          </w:p>
        </w:tc>
        <w:tc>
          <w:tcPr>
            <w:tcW w:w="1120" w:type="dxa"/>
            <w:noWrap/>
            <w:hideMark/>
          </w:tcPr>
          <w:p w14:paraId="6A27EB2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9.90%</w:t>
            </w:r>
          </w:p>
        </w:tc>
        <w:tc>
          <w:tcPr>
            <w:tcW w:w="1121" w:type="dxa"/>
            <w:noWrap/>
            <w:hideMark/>
          </w:tcPr>
          <w:p w14:paraId="1874772F"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18.50%</w:t>
            </w:r>
          </w:p>
        </w:tc>
      </w:tr>
      <w:tr w:rsidR="008556E5" w:rsidRPr="005B02AD" w14:paraId="68168927" w14:textId="77777777" w:rsidTr="008556E5">
        <w:trPr>
          <w:trHeight w:val="56"/>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571C2FE9" w14:textId="1449882E" w:rsidR="008556E5" w:rsidRPr="005B02AD" w:rsidRDefault="008556E5" w:rsidP="008556E5">
            <w:pPr>
              <w:rPr>
                <w:color w:val="auto"/>
                <w:lang w:eastAsia="en-GB"/>
              </w:rPr>
            </w:pPr>
            <w:r w:rsidRPr="00F20E9F">
              <w:t>West Suffolk #</w:t>
            </w:r>
          </w:p>
        </w:tc>
        <w:tc>
          <w:tcPr>
            <w:tcW w:w="878" w:type="dxa"/>
            <w:noWrap/>
            <w:hideMark/>
          </w:tcPr>
          <w:p w14:paraId="6F66F05B"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-40</w:t>
            </w:r>
          </w:p>
        </w:tc>
        <w:tc>
          <w:tcPr>
            <w:tcW w:w="1121" w:type="dxa"/>
            <w:noWrap/>
            <w:hideMark/>
          </w:tcPr>
          <w:p w14:paraId="5B1FD6C8"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159</w:t>
            </w:r>
          </w:p>
        </w:tc>
        <w:tc>
          <w:tcPr>
            <w:tcW w:w="1120" w:type="dxa"/>
            <w:noWrap/>
            <w:hideMark/>
          </w:tcPr>
          <w:p w14:paraId="6F7F9D1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521</w:t>
            </w:r>
          </w:p>
        </w:tc>
        <w:tc>
          <w:tcPr>
            <w:tcW w:w="1121" w:type="dxa"/>
            <w:noWrap/>
            <w:hideMark/>
          </w:tcPr>
          <w:p w14:paraId="0DBA141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6,960</w:t>
            </w:r>
          </w:p>
        </w:tc>
        <w:tc>
          <w:tcPr>
            <w:tcW w:w="1120" w:type="dxa"/>
            <w:noWrap/>
            <w:hideMark/>
          </w:tcPr>
          <w:p w14:paraId="36A1415F"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7,600</w:t>
            </w:r>
          </w:p>
        </w:tc>
        <w:tc>
          <w:tcPr>
            <w:tcW w:w="1121" w:type="dxa"/>
            <w:noWrap/>
            <w:hideMark/>
          </w:tcPr>
          <w:p w14:paraId="6355A7E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640</w:t>
            </w:r>
          </w:p>
        </w:tc>
      </w:tr>
      <w:tr w:rsidR="008556E5" w:rsidRPr="005B02AD" w14:paraId="657522E2" w14:textId="77777777" w:rsidTr="008556E5">
        <w:trPr>
          <w:trHeight w:val="147"/>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43988744" w14:textId="0C52BBAB" w:rsidR="008556E5" w:rsidRPr="005B02AD" w:rsidRDefault="008556E5" w:rsidP="008556E5">
            <w:pPr>
              <w:rPr>
                <w:color w:val="auto"/>
                <w:lang w:eastAsia="en-GB"/>
              </w:rPr>
            </w:pPr>
            <w:r w:rsidRPr="00F20E9F">
              <w:t>West Suffolk %</w:t>
            </w:r>
          </w:p>
        </w:tc>
        <w:tc>
          <w:tcPr>
            <w:tcW w:w="878" w:type="dxa"/>
            <w:noWrap/>
            <w:hideMark/>
          </w:tcPr>
          <w:p w14:paraId="4D8A1D56"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-1.10%</w:t>
            </w:r>
          </w:p>
        </w:tc>
        <w:tc>
          <w:tcPr>
            <w:tcW w:w="1121" w:type="dxa"/>
            <w:noWrap/>
            <w:hideMark/>
          </w:tcPr>
          <w:p w14:paraId="469439B8"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77.90%</w:t>
            </w:r>
          </w:p>
        </w:tc>
        <w:tc>
          <w:tcPr>
            <w:tcW w:w="1120" w:type="dxa"/>
            <w:noWrap/>
            <w:hideMark/>
          </w:tcPr>
          <w:p w14:paraId="3F771AA4"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33.10%</w:t>
            </w:r>
          </w:p>
        </w:tc>
        <w:tc>
          <w:tcPr>
            <w:tcW w:w="1121" w:type="dxa"/>
            <w:noWrap/>
            <w:hideMark/>
          </w:tcPr>
          <w:p w14:paraId="5745D467"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12.00%</w:t>
            </w:r>
          </w:p>
        </w:tc>
        <w:tc>
          <w:tcPr>
            <w:tcW w:w="1120" w:type="dxa"/>
            <w:noWrap/>
            <w:hideMark/>
          </w:tcPr>
          <w:p w14:paraId="2CF2508E"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12.00%</w:t>
            </w:r>
          </w:p>
        </w:tc>
        <w:tc>
          <w:tcPr>
            <w:tcW w:w="1121" w:type="dxa"/>
            <w:noWrap/>
            <w:hideMark/>
          </w:tcPr>
          <w:p w14:paraId="670928F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11.60%</w:t>
            </w:r>
          </w:p>
        </w:tc>
      </w:tr>
      <w:tr w:rsidR="008556E5" w:rsidRPr="005B02AD" w14:paraId="229F9BEB" w14:textId="77777777" w:rsidTr="008556E5">
        <w:trPr>
          <w:trHeight w:val="137"/>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59C816CF" w14:textId="6FB04A61" w:rsidR="008556E5" w:rsidRPr="005B02AD" w:rsidRDefault="008556E5" w:rsidP="008556E5">
            <w:pPr>
              <w:rPr>
                <w:b/>
                <w:bCs/>
                <w:color w:val="auto"/>
                <w:lang w:eastAsia="en-GB"/>
              </w:rPr>
            </w:pPr>
            <w:r w:rsidRPr="00F20E9F">
              <w:t>HMA #</w:t>
            </w:r>
          </w:p>
        </w:tc>
        <w:tc>
          <w:tcPr>
            <w:tcW w:w="878" w:type="dxa"/>
            <w:noWrap/>
            <w:hideMark/>
          </w:tcPr>
          <w:p w14:paraId="6C1FF3D0"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649</w:t>
            </w:r>
          </w:p>
        </w:tc>
        <w:tc>
          <w:tcPr>
            <w:tcW w:w="1121" w:type="dxa"/>
            <w:noWrap/>
            <w:hideMark/>
          </w:tcPr>
          <w:p w14:paraId="20D972FE"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593</w:t>
            </w:r>
          </w:p>
        </w:tc>
        <w:tc>
          <w:tcPr>
            <w:tcW w:w="1120" w:type="dxa"/>
            <w:noWrap/>
            <w:hideMark/>
          </w:tcPr>
          <w:p w14:paraId="511D3AA3"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2,105</w:t>
            </w:r>
          </w:p>
        </w:tc>
        <w:tc>
          <w:tcPr>
            <w:tcW w:w="1121" w:type="dxa"/>
            <w:noWrap/>
            <w:hideMark/>
          </w:tcPr>
          <w:p w14:paraId="695F5A2D"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32,621</w:t>
            </w:r>
          </w:p>
        </w:tc>
        <w:tc>
          <w:tcPr>
            <w:tcW w:w="1120" w:type="dxa"/>
            <w:noWrap/>
            <w:hideMark/>
          </w:tcPr>
          <w:p w14:paraId="0A135DD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35,968</w:t>
            </w:r>
          </w:p>
        </w:tc>
        <w:tc>
          <w:tcPr>
            <w:tcW w:w="1121" w:type="dxa"/>
            <w:noWrap/>
            <w:hideMark/>
          </w:tcPr>
          <w:p w14:paraId="2403033A"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3,347</w:t>
            </w:r>
          </w:p>
        </w:tc>
      </w:tr>
      <w:tr w:rsidR="008556E5" w:rsidRPr="005B02AD" w14:paraId="49056022" w14:textId="77777777" w:rsidTr="008556E5">
        <w:trPr>
          <w:trHeight w:val="141"/>
        </w:trPr>
        <w:tc>
          <w:tcPr>
            <w:cnfStyle w:val="001000000000" w:firstRow="0" w:lastRow="0" w:firstColumn="1" w:lastColumn="0" w:oddVBand="0" w:evenVBand="0" w:oddHBand="0" w:evenHBand="0" w:firstRowFirstColumn="0" w:firstRowLastColumn="0" w:lastRowFirstColumn="0" w:lastRowLastColumn="0"/>
            <w:tcW w:w="2268" w:type="dxa"/>
            <w:noWrap/>
            <w:vAlign w:val="top"/>
            <w:hideMark/>
          </w:tcPr>
          <w:p w14:paraId="602D43A9" w14:textId="166717E9" w:rsidR="008556E5" w:rsidRPr="005B02AD" w:rsidRDefault="008556E5" w:rsidP="008556E5">
            <w:pPr>
              <w:rPr>
                <w:b/>
                <w:bCs/>
                <w:color w:val="auto"/>
                <w:lang w:eastAsia="en-GB"/>
              </w:rPr>
            </w:pPr>
            <w:r w:rsidRPr="00F20E9F">
              <w:t>HMA %</w:t>
            </w:r>
          </w:p>
        </w:tc>
        <w:tc>
          <w:tcPr>
            <w:tcW w:w="878" w:type="dxa"/>
            <w:noWrap/>
            <w:hideMark/>
          </w:tcPr>
          <w:p w14:paraId="43899A90"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3.90%</w:t>
            </w:r>
          </w:p>
        </w:tc>
        <w:tc>
          <w:tcPr>
            <w:tcW w:w="1121" w:type="dxa"/>
            <w:noWrap/>
            <w:hideMark/>
          </w:tcPr>
          <w:p w14:paraId="10FB5CEF"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59.20%</w:t>
            </w:r>
          </w:p>
        </w:tc>
        <w:tc>
          <w:tcPr>
            <w:tcW w:w="1120" w:type="dxa"/>
            <w:noWrap/>
            <w:hideMark/>
          </w:tcPr>
          <w:p w14:paraId="1628EF67"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31.60%</w:t>
            </w:r>
          </w:p>
        </w:tc>
        <w:tc>
          <w:tcPr>
            <w:tcW w:w="1121" w:type="dxa"/>
            <w:noWrap/>
            <w:hideMark/>
          </w:tcPr>
          <w:p w14:paraId="3B750D32"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12.40%</w:t>
            </w:r>
          </w:p>
        </w:tc>
        <w:tc>
          <w:tcPr>
            <w:tcW w:w="1120" w:type="dxa"/>
            <w:noWrap/>
            <w:hideMark/>
          </w:tcPr>
          <w:p w14:paraId="14881BA5"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12.60%</w:t>
            </w:r>
          </w:p>
        </w:tc>
        <w:tc>
          <w:tcPr>
            <w:tcW w:w="1121" w:type="dxa"/>
            <w:noWrap/>
            <w:hideMark/>
          </w:tcPr>
          <w:p w14:paraId="449952AC" w14:textId="77777777" w:rsidR="008556E5" w:rsidRPr="005B02AD" w:rsidRDefault="008556E5" w:rsidP="008556E5">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13.90%</w:t>
            </w:r>
          </w:p>
        </w:tc>
      </w:tr>
    </w:tbl>
    <w:p w14:paraId="67FC0EAE" w14:textId="77777777" w:rsidR="00A6240C" w:rsidRDefault="00A6240C" w:rsidP="008E6E40">
      <w:pPr>
        <w:keepNext/>
        <w:widowControl w:val="0"/>
        <w:autoSpaceDE w:val="0"/>
        <w:autoSpaceDN w:val="0"/>
        <w:adjustRightInd w:val="0"/>
        <w:ind w:left="794"/>
      </w:pPr>
      <w:r>
        <w:t xml:space="preserve"> </w:t>
      </w:r>
      <w:r w:rsidRPr="008556E5">
        <w:rPr>
          <w:sz w:val="24"/>
          <w:szCs w:val="24"/>
        </w:rPr>
        <w:t xml:space="preserve">Source: Census (2001 and 2011), </w:t>
      </w:r>
      <w:hyperlink r:id="rId49" w:tooltip="Start a query using this dataset" w:history="1">
        <w:r w:rsidRPr="008556E5">
          <w:rPr>
            <w:rStyle w:val="Hyperlink"/>
            <w:rFonts w:ascii="Verdana" w:hAnsi="Verdana"/>
            <w:color w:val="0000BB"/>
            <w:sz w:val="24"/>
            <w:szCs w:val="24"/>
            <w:shd w:val="clear" w:color="auto" w:fill="FFFFFF"/>
          </w:rPr>
          <w:t>KS020</w:t>
        </w:r>
      </w:hyperlink>
      <w:r w:rsidRPr="008556E5">
        <w:rPr>
          <w:sz w:val="24"/>
          <w:szCs w:val="24"/>
        </w:rPr>
        <w:t xml:space="preserve"> and </w:t>
      </w:r>
      <w:hyperlink r:id="rId50" w:tooltip="Start a query using this dataset" w:history="1">
        <w:r w:rsidRPr="008556E5">
          <w:rPr>
            <w:rStyle w:val="Hyperlink"/>
            <w:rFonts w:ascii="Verdana" w:hAnsi="Verdana"/>
            <w:color w:val="0000BB"/>
            <w:sz w:val="24"/>
            <w:szCs w:val="24"/>
            <w:shd w:val="clear" w:color="auto" w:fill="FFFFFF"/>
          </w:rPr>
          <w:t>KS105EW</w:t>
        </w:r>
      </w:hyperlink>
    </w:p>
    <w:p w14:paraId="37A7AA48" w14:textId="77777777" w:rsidR="002E1AC9" w:rsidRDefault="002E1AC9">
      <w:pPr>
        <w:spacing w:after="200"/>
        <w:rPr>
          <w:color w:val="0093D5"/>
          <w:sz w:val="24"/>
          <w:szCs w:val="24"/>
        </w:rPr>
      </w:pPr>
      <w:r>
        <w:br w:type="page"/>
      </w:r>
    </w:p>
    <w:p w14:paraId="4BCC0898" w14:textId="5C54AE18" w:rsidR="00A6240C" w:rsidRDefault="00A6240C" w:rsidP="007D0FBF">
      <w:pPr>
        <w:pStyle w:val="Heading2"/>
      </w:pPr>
      <w:r>
        <w:lastRenderedPageBreak/>
        <w:t>Projected Changes</w:t>
      </w:r>
    </w:p>
    <w:p w14:paraId="6D7291D2" w14:textId="77777777" w:rsidR="00A6240C" w:rsidRPr="00526C6E" w:rsidRDefault="00A6240C" w:rsidP="007D0FBF">
      <w:pPr>
        <w:pStyle w:val="11Bodytext"/>
        <w:rPr>
          <w:b/>
        </w:rPr>
      </w:pPr>
      <w:r>
        <w:t xml:space="preserve">The analysis below also looks at projected changes to households by household type. The official household projections use a range of household types. As set out in the table below there is projected to be a 90,369 increase in the number of households between 2020 and 2040. These projections have been developed for this report and are based on the standard method growth in dwellings with an assumption on vacancies. </w:t>
      </w:r>
    </w:p>
    <w:p w14:paraId="5F5126FD" w14:textId="77777777" w:rsidR="00A6240C" w:rsidRDefault="00A6240C" w:rsidP="003D5E23">
      <w:pPr>
        <w:pStyle w:val="Tableheading"/>
        <w:numPr>
          <w:ilvl w:val="0"/>
          <w:numId w:val="54"/>
        </w:numPr>
      </w:pPr>
      <w:r>
        <w:t>Projected Change in Household Types in Cambridgeshire/West Suffolk, 2020-40</w:t>
      </w:r>
    </w:p>
    <w:tbl>
      <w:tblPr>
        <w:tblStyle w:val="TableGridLight1"/>
        <w:tblW w:w="8576" w:type="dxa"/>
        <w:tblInd w:w="846" w:type="dxa"/>
        <w:tblLayout w:type="fixed"/>
        <w:tblLook w:val="04A0" w:firstRow="1" w:lastRow="0" w:firstColumn="1" w:lastColumn="0" w:noHBand="0" w:noVBand="1"/>
      </w:tblPr>
      <w:tblGrid>
        <w:gridCol w:w="4078"/>
        <w:gridCol w:w="984"/>
        <w:gridCol w:w="962"/>
        <w:gridCol w:w="1276"/>
        <w:gridCol w:w="1276"/>
      </w:tblGrid>
      <w:tr w:rsidR="009E47B9" w:rsidRPr="009E47B9" w14:paraId="31B1578C" w14:textId="77777777" w:rsidTr="008556E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4751A1EF" w14:textId="77777777" w:rsidR="00A6240C" w:rsidRPr="009E47B9" w:rsidRDefault="00A6240C" w:rsidP="008E6E40">
            <w:pPr>
              <w:keepNext/>
              <w:rPr>
                <w:lang w:eastAsia="en-GB"/>
              </w:rPr>
            </w:pPr>
            <w:r w:rsidRPr="009E47B9">
              <w:rPr>
                <w:lang w:eastAsia="en-GB"/>
              </w:rPr>
              <w:t> </w:t>
            </w:r>
          </w:p>
        </w:tc>
        <w:tc>
          <w:tcPr>
            <w:tcW w:w="984" w:type="dxa"/>
            <w:hideMark/>
          </w:tcPr>
          <w:p w14:paraId="21BE287D"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2020</w:t>
            </w:r>
          </w:p>
        </w:tc>
        <w:tc>
          <w:tcPr>
            <w:tcW w:w="962" w:type="dxa"/>
            <w:hideMark/>
          </w:tcPr>
          <w:p w14:paraId="17241503"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2040</w:t>
            </w:r>
          </w:p>
        </w:tc>
        <w:tc>
          <w:tcPr>
            <w:tcW w:w="1276" w:type="dxa"/>
            <w:hideMark/>
          </w:tcPr>
          <w:p w14:paraId="5E46C025"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Change in households</w:t>
            </w:r>
          </w:p>
        </w:tc>
        <w:tc>
          <w:tcPr>
            <w:tcW w:w="1276" w:type="dxa"/>
            <w:hideMark/>
          </w:tcPr>
          <w:p w14:paraId="5B464426"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 Change</w:t>
            </w:r>
          </w:p>
        </w:tc>
      </w:tr>
      <w:tr w:rsidR="009E47B9" w:rsidRPr="009E47B9" w14:paraId="756CC0A1" w14:textId="77777777" w:rsidTr="008556E5">
        <w:trPr>
          <w:trHeight w:val="127"/>
        </w:trPr>
        <w:tc>
          <w:tcPr>
            <w:cnfStyle w:val="001000000000" w:firstRow="0" w:lastRow="0" w:firstColumn="1" w:lastColumn="0" w:oddVBand="0" w:evenVBand="0" w:oddHBand="0" w:evenHBand="0" w:firstRowFirstColumn="0" w:firstRowLastColumn="0" w:lastRowFirstColumn="0" w:lastRowLastColumn="0"/>
            <w:tcW w:w="4078" w:type="dxa"/>
            <w:hideMark/>
          </w:tcPr>
          <w:p w14:paraId="7B78655B" w14:textId="77777777" w:rsidR="00A6240C" w:rsidRPr="004F4BA7" w:rsidRDefault="00A6240C" w:rsidP="008E6E40">
            <w:pPr>
              <w:keepNext/>
              <w:rPr>
                <w:bCs/>
                <w:lang w:eastAsia="en-GB"/>
              </w:rPr>
            </w:pPr>
            <w:r w:rsidRPr="004F4BA7">
              <w:rPr>
                <w:bCs/>
                <w:lang w:eastAsia="en-GB"/>
              </w:rPr>
              <w:t>One-person household (aged 65 and over)</w:t>
            </w:r>
          </w:p>
        </w:tc>
        <w:tc>
          <w:tcPr>
            <w:tcW w:w="984" w:type="dxa"/>
            <w:hideMark/>
          </w:tcPr>
          <w:p w14:paraId="54D5498C"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42,788</w:t>
            </w:r>
          </w:p>
        </w:tc>
        <w:tc>
          <w:tcPr>
            <w:tcW w:w="962" w:type="dxa"/>
            <w:hideMark/>
          </w:tcPr>
          <w:p w14:paraId="15735282"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57,241</w:t>
            </w:r>
          </w:p>
        </w:tc>
        <w:tc>
          <w:tcPr>
            <w:tcW w:w="1276" w:type="dxa"/>
            <w:hideMark/>
          </w:tcPr>
          <w:p w14:paraId="0431061E"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14,452</w:t>
            </w:r>
          </w:p>
        </w:tc>
        <w:tc>
          <w:tcPr>
            <w:tcW w:w="1276" w:type="dxa"/>
            <w:hideMark/>
          </w:tcPr>
          <w:p w14:paraId="67C46BE9"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33.80%</w:t>
            </w:r>
          </w:p>
        </w:tc>
      </w:tr>
      <w:tr w:rsidR="009E47B9" w:rsidRPr="009E47B9" w14:paraId="34D892D0" w14:textId="77777777" w:rsidTr="008556E5">
        <w:trPr>
          <w:trHeight w:val="60"/>
        </w:trPr>
        <w:tc>
          <w:tcPr>
            <w:cnfStyle w:val="001000000000" w:firstRow="0" w:lastRow="0" w:firstColumn="1" w:lastColumn="0" w:oddVBand="0" w:evenVBand="0" w:oddHBand="0" w:evenHBand="0" w:firstRowFirstColumn="0" w:firstRowLastColumn="0" w:lastRowFirstColumn="0" w:lastRowLastColumn="0"/>
            <w:tcW w:w="4078" w:type="dxa"/>
            <w:hideMark/>
          </w:tcPr>
          <w:p w14:paraId="6826CB69" w14:textId="77777777" w:rsidR="00A6240C" w:rsidRPr="004F4BA7" w:rsidRDefault="00A6240C" w:rsidP="008E6E40">
            <w:pPr>
              <w:keepNext/>
              <w:rPr>
                <w:bCs/>
                <w:lang w:eastAsia="en-GB"/>
              </w:rPr>
            </w:pPr>
            <w:r w:rsidRPr="004F4BA7">
              <w:rPr>
                <w:bCs/>
                <w:lang w:eastAsia="en-GB"/>
              </w:rPr>
              <w:t>One-person household (aged under 65)</w:t>
            </w:r>
          </w:p>
        </w:tc>
        <w:tc>
          <w:tcPr>
            <w:tcW w:w="984" w:type="dxa"/>
            <w:hideMark/>
          </w:tcPr>
          <w:p w14:paraId="33565CC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52,248</w:t>
            </w:r>
          </w:p>
        </w:tc>
        <w:tc>
          <w:tcPr>
            <w:tcW w:w="962" w:type="dxa"/>
            <w:hideMark/>
          </w:tcPr>
          <w:p w14:paraId="13320BC6"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63,449</w:t>
            </w:r>
          </w:p>
        </w:tc>
        <w:tc>
          <w:tcPr>
            <w:tcW w:w="1276" w:type="dxa"/>
            <w:hideMark/>
          </w:tcPr>
          <w:p w14:paraId="01FA575E"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11,200</w:t>
            </w:r>
          </w:p>
        </w:tc>
        <w:tc>
          <w:tcPr>
            <w:tcW w:w="1276" w:type="dxa"/>
            <w:hideMark/>
          </w:tcPr>
          <w:p w14:paraId="7BF6599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21.40%</w:t>
            </w:r>
          </w:p>
        </w:tc>
      </w:tr>
      <w:tr w:rsidR="009E47B9" w:rsidRPr="009E47B9" w14:paraId="36D5BF30"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7384F792" w14:textId="77777777" w:rsidR="00A6240C" w:rsidRPr="004F4BA7" w:rsidRDefault="00A6240C" w:rsidP="008E6E40">
            <w:pPr>
              <w:keepNext/>
              <w:rPr>
                <w:bCs/>
                <w:lang w:eastAsia="en-GB"/>
              </w:rPr>
            </w:pPr>
            <w:r w:rsidRPr="004F4BA7">
              <w:rPr>
                <w:bCs/>
                <w:lang w:eastAsia="en-GB"/>
              </w:rPr>
              <w:t>Couple (aged 65 and over)</w:t>
            </w:r>
          </w:p>
        </w:tc>
        <w:tc>
          <w:tcPr>
            <w:tcW w:w="984" w:type="dxa"/>
            <w:hideMark/>
          </w:tcPr>
          <w:p w14:paraId="4F1A9D3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49,832</w:t>
            </w:r>
          </w:p>
        </w:tc>
        <w:tc>
          <w:tcPr>
            <w:tcW w:w="962" w:type="dxa"/>
            <w:hideMark/>
          </w:tcPr>
          <w:p w14:paraId="4B0E2684"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80,123</w:t>
            </w:r>
          </w:p>
        </w:tc>
        <w:tc>
          <w:tcPr>
            <w:tcW w:w="1276" w:type="dxa"/>
            <w:hideMark/>
          </w:tcPr>
          <w:p w14:paraId="78E86021"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30,290</w:t>
            </w:r>
          </w:p>
        </w:tc>
        <w:tc>
          <w:tcPr>
            <w:tcW w:w="1276" w:type="dxa"/>
            <w:hideMark/>
          </w:tcPr>
          <w:p w14:paraId="05BCCB73"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60.80%</w:t>
            </w:r>
          </w:p>
        </w:tc>
      </w:tr>
      <w:tr w:rsidR="009E47B9" w:rsidRPr="009E47B9" w14:paraId="205F5F60"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4114680F" w14:textId="77777777" w:rsidR="00A6240C" w:rsidRPr="004F4BA7" w:rsidRDefault="00A6240C" w:rsidP="008E6E40">
            <w:pPr>
              <w:keepNext/>
              <w:rPr>
                <w:bCs/>
                <w:lang w:eastAsia="en-GB"/>
              </w:rPr>
            </w:pPr>
            <w:r w:rsidRPr="004F4BA7">
              <w:rPr>
                <w:bCs/>
                <w:lang w:eastAsia="en-GB"/>
              </w:rPr>
              <w:t>Couple (aged under 65)</w:t>
            </w:r>
          </w:p>
        </w:tc>
        <w:tc>
          <w:tcPr>
            <w:tcW w:w="984" w:type="dxa"/>
            <w:hideMark/>
          </w:tcPr>
          <w:p w14:paraId="46E8D633"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54,123</w:t>
            </w:r>
          </w:p>
        </w:tc>
        <w:tc>
          <w:tcPr>
            <w:tcW w:w="962" w:type="dxa"/>
            <w:hideMark/>
          </w:tcPr>
          <w:p w14:paraId="6D6E38B1"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47,379</w:t>
            </w:r>
          </w:p>
        </w:tc>
        <w:tc>
          <w:tcPr>
            <w:tcW w:w="1276" w:type="dxa"/>
            <w:hideMark/>
          </w:tcPr>
          <w:p w14:paraId="3881DA28"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-6,744</w:t>
            </w:r>
          </w:p>
        </w:tc>
        <w:tc>
          <w:tcPr>
            <w:tcW w:w="1276" w:type="dxa"/>
            <w:hideMark/>
          </w:tcPr>
          <w:p w14:paraId="689B141C"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-12.50%</w:t>
            </w:r>
          </w:p>
        </w:tc>
      </w:tr>
      <w:tr w:rsidR="009E47B9" w:rsidRPr="009E47B9" w14:paraId="4B512834"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05DA9A41" w14:textId="77777777" w:rsidR="00A6240C" w:rsidRPr="004F4BA7" w:rsidRDefault="00A6240C" w:rsidP="008E6E40">
            <w:pPr>
              <w:keepNext/>
              <w:rPr>
                <w:bCs/>
                <w:lang w:eastAsia="en-GB"/>
              </w:rPr>
            </w:pPr>
            <w:r w:rsidRPr="004F4BA7">
              <w:rPr>
                <w:bCs/>
                <w:lang w:eastAsia="en-GB"/>
              </w:rPr>
              <w:t>A couple and one or more other adults: No dependent children</w:t>
            </w:r>
          </w:p>
        </w:tc>
        <w:tc>
          <w:tcPr>
            <w:tcW w:w="984" w:type="dxa"/>
            <w:hideMark/>
          </w:tcPr>
          <w:p w14:paraId="2E5C61D1"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26,679</w:t>
            </w:r>
          </w:p>
        </w:tc>
        <w:tc>
          <w:tcPr>
            <w:tcW w:w="962" w:type="dxa"/>
            <w:hideMark/>
          </w:tcPr>
          <w:p w14:paraId="29215D3A"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35,164</w:t>
            </w:r>
          </w:p>
        </w:tc>
        <w:tc>
          <w:tcPr>
            <w:tcW w:w="1276" w:type="dxa"/>
            <w:hideMark/>
          </w:tcPr>
          <w:p w14:paraId="00024CCC"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8,485</w:t>
            </w:r>
          </w:p>
        </w:tc>
        <w:tc>
          <w:tcPr>
            <w:tcW w:w="1276" w:type="dxa"/>
            <w:hideMark/>
          </w:tcPr>
          <w:p w14:paraId="7348CF99"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31.80%</w:t>
            </w:r>
          </w:p>
        </w:tc>
      </w:tr>
      <w:tr w:rsidR="009E47B9" w:rsidRPr="009E47B9" w14:paraId="592277C3"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038031D4" w14:textId="77777777" w:rsidR="00A6240C" w:rsidRPr="004F4BA7" w:rsidRDefault="00A6240C" w:rsidP="008E6E40">
            <w:pPr>
              <w:keepNext/>
              <w:rPr>
                <w:bCs/>
                <w:lang w:eastAsia="en-GB"/>
              </w:rPr>
            </w:pPr>
            <w:r w:rsidRPr="004F4BA7">
              <w:rPr>
                <w:bCs/>
                <w:lang w:eastAsia="en-GB"/>
              </w:rPr>
              <w:t>Households with one dependent child</w:t>
            </w:r>
          </w:p>
        </w:tc>
        <w:tc>
          <w:tcPr>
            <w:tcW w:w="984" w:type="dxa"/>
            <w:hideMark/>
          </w:tcPr>
          <w:p w14:paraId="68044ACF"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48,598</w:t>
            </w:r>
          </w:p>
        </w:tc>
        <w:tc>
          <w:tcPr>
            <w:tcW w:w="962" w:type="dxa"/>
            <w:hideMark/>
          </w:tcPr>
          <w:p w14:paraId="07B6DB44"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64,314</w:t>
            </w:r>
          </w:p>
        </w:tc>
        <w:tc>
          <w:tcPr>
            <w:tcW w:w="1276" w:type="dxa"/>
            <w:hideMark/>
          </w:tcPr>
          <w:p w14:paraId="0D06810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15,716</w:t>
            </w:r>
          </w:p>
        </w:tc>
        <w:tc>
          <w:tcPr>
            <w:tcW w:w="1276" w:type="dxa"/>
            <w:hideMark/>
          </w:tcPr>
          <w:p w14:paraId="4D914575"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32.30%</w:t>
            </w:r>
          </w:p>
        </w:tc>
      </w:tr>
      <w:tr w:rsidR="009E47B9" w:rsidRPr="009E47B9" w14:paraId="36B15EB7"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1A596103" w14:textId="77777777" w:rsidR="00A6240C" w:rsidRPr="004F4BA7" w:rsidRDefault="00A6240C" w:rsidP="008E6E40">
            <w:pPr>
              <w:keepNext/>
              <w:rPr>
                <w:bCs/>
                <w:lang w:eastAsia="en-GB"/>
              </w:rPr>
            </w:pPr>
            <w:r w:rsidRPr="004F4BA7">
              <w:rPr>
                <w:bCs/>
                <w:lang w:eastAsia="en-GB"/>
              </w:rPr>
              <w:t>Households with two dependent children</w:t>
            </w:r>
          </w:p>
        </w:tc>
        <w:tc>
          <w:tcPr>
            <w:tcW w:w="984" w:type="dxa"/>
            <w:hideMark/>
          </w:tcPr>
          <w:p w14:paraId="71EB7C84"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41,503</w:t>
            </w:r>
          </w:p>
        </w:tc>
        <w:tc>
          <w:tcPr>
            <w:tcW w:w="962" w:type="dxa"/>
            <w:hideMark/>
          </w:tcPr>
          <w:p w14:paraId="7214B848"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47,291</w:t>
            </w:r>
          </w:p>
        </w:tc>
        <w:tc>
          <w:tcPr>
            <w:tcW w:w="1276" w:type="dxa"/>
            <w:hideMark/>
          </w:tcPr>
          <w:p w14:paraId="1FEE8464"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5,787</w:t>
            </w:r>
          </w:p>
        </w:tc>
        <w:tc>
          <w:tcPr>
            <w:tcW w:w="1276" w:type="dxa"/>
            <w:hideMark/>
          </w:tcPr>
          <w:p w14:paraId="1C59A8E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13.90%</w:t>
            </w:r>
          </w:p>
        </w:tc>
      </w:tr>
      <w:tr w:rsidR="009E47B9" w:rsidRPr="009E47B9" w14:paraId="1A4787F8"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4D8B602E" w14:textId="77777777" w:rsidR="00A6240C" w:rsidRPr="004F4BA7" w:rsidRDefault="00A6240C" w:rsidP="008E6E40">
            <w:pPr>
              <w:keepNext/>
              <w:rPr>
                <w:bCs/>
                <w:lang w:eastAsia="en-GB"/>
              </w:rPr>
            </w:pPr>
            <w:r w:rsidRPr="004F4BA7">
              <w:rPr>
                <w:bCs/>
                <w:lang w:eastAsia="en-GB"/>
              </w:rPr>
              <w:t>Households with three dependent children</w:t>
            </w:r>
          </w:p>
        </w:tc>
        <w:tc>
          <w:tcPr>
            <w:tcW w:w="984" w:type="dxa"/>
            <w:hideMark/>
          </w:tcPr>
          <w:p w14:paraId="76F5AC69"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15,017</w:t>
            </w:r>
          </w:p>
        </w:tc>
        <w:tc>
          <w:tcPr>
            <w:tcW w:w="962" w:type="dxa"/>
            <w:hideMark/>
          </w:tcPr>
          <w:p w14:paraId="49E420F8"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15,552</w:t>
            </w:r>
          </w:p>
        </w:tc>
        <w:tc>
          <w:tcPr>
            <w:tcW w:w="1276" w:type="dxa"/>
            <w:hideMark/>
          </w:tcPr>
          <w:p w14:paraId="4FD1A86E"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536</w:t>
            </w:r>
          </w:p>
        </w:tc>
        <w:tc>
          <w:tcPr>
            <w:tcW w:w="1276" w:type="dxa"/>
            <w:hideMark/>
          </w:tcPr>
          <w:p w14:paraId="393751BD"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3.60%</w:t>
            </w:r>
          </w:p>
        </w:tc>
      </w:tr>
      <w:tr w:rsidR="009E47B9" w:rsidRPr="009E47B9" w14:paraId="2811619B"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4537F36F" w14:textId="77777777" w:rsidR="00A6240C" w:rsidRPr="004F4BA7" w:rsidRDefault="00A6240C" w:rsidP="008E6E40">
            <w:pPr>
              <w:keepNext/>
              <w:rPr>
                <w:bCs/>
                <w:lang w:eastAsia="en-GB"/>
              </w:rPr>
            </w:pPr>
            <w:r w:rsidRPr="004F4BA7">
              <w:rPr>
                <w:bCs/>
                <w:lang w:eastAsia="en-GB"/>
              </w:rPr>
              <w:t>Other households</w:t>
            </w:r>
          </w:p>
        </w:tc>
        <w:tc>
          <w:tcPr>
            <w:tcW w:w="984" w:type="dxa"/>
            <w:hideMark/>
          </w:tcPr>
          <w:p w14:paraId="0E82C7F6"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23,667</w:t>
            </w:r>
          </w:p>
        </w:tc>
        <w:tc>
          <w:tcPr>
            <w:tcW w:w="962" w:type="dxa"/>
            <w:hideMark/>
          </w:tcPr>
          <w:p w14:paraId="4A3DEBA7"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34,313</w:t>
            </w:r>
          </w:p>
        </w:tc>
        <w:tc>
          <w:tcPr>
            <w:tcW w:w="1276" w:type="dxa"/>
            <w:hideMark/>
          </w:tcPr>
          <w:p w14:paraId="448643DA"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10,646</w:t>
            </w:r>
          </w:p>
        </w:tc>
        <w:tc>
          <w:tcPr>
            <w:tcW w:w="1276" w:type="dxa"/>
            <w:hideMark/>
          </w:tcPr>
          <w:p w14:paraId="6DE5E865"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45.00%</w:t>
            </w:r>
          </w:p>
        </w:tc>
      </w:tr>
      <w:tr w:rsidR="009E47B9" w:rsidRPr="009E47B9" w14:paraId="59F92241"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3DDA34FA" w14:textId="77777777" w:rsidR="00A6240C" w:rsidRPr="004F4BA7" w:rsidRDefault="00A6240C" w:rsidP="008E6E40">
            <w:pPr>
              <w:keepNext/>
              <w:rPr>
                <w:bCs/>
                <w:lang w:eastAsia="en-GB"/>
              </w:rPr>
            </w:pPr>
            <w:r w:rsidRPr="004F4BA7">
              <w:rPr>
                <w:bCs/>
                <w:lang w:eastAsia="en-GB"/>
              </w:rPr>
              <w:t>Total</w:t>
            </w:r>
          </w:p>
        </w:tc>
        <w:tc>
          <w:tcPr>
            <w:tcW w:w="984" w:type="dxa"/>
            <w:hideMark/>
          </w:tcPr>
          <w:p w14:paraId="772F211A"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354,457</w:t>
            </w:r>
          </w:p>
        </w:tc>
        <w:tc>
          <w:tcPr>
            <w:tcW w:w="962" w:type="dxa"/>
            <w:hideMark/>
          </w:tcPr>
          <w:p w14:paraId="6615CAD2"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444,826</w:t>
            </w:r>
          </w:p>
        </w:tc>
        <w:tc>
          <w:tcPr>
            <w:tcW w:w="1276" w:type="dxa"/>
            <w:hideMark/>
          </w:tcPr>
          <w:p w14:paraId="6D12B52D"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90,369</w:t>
            </w:r>
          </w:p>
        </w:tc>
        <w:tc>
          <w:tcPr>
            <w:tcW w:w="1276" w:type="dxa"/>
            <w:hideMark/>
          </w:tcPr>
          <w:p w14:paraId="01BD65D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25.50%</w:t>
            </w:r>
          </w:p>
        </w:tc>
      </w:tr>
      <w:tr w:rsidR="009E47B9" w:rsidRPr="009E47B9" w14:paraId="3539BCA1" w14:textId="77777777" w:rsidTr="008556E5">
        <w:trPr>
          <w:trHeight w:val="269"/>
        </w:trPr>
        <w:tc>
          <w:tcPr>
            <w:cnfStyle w:val="001000000000" w:firstRow="0" w:lastRow="0" w:firstColumn="1" w:lastColumn="0" w:oddVBand="0" w:evenVBand="0" w:oddHBand="0" w:evenHBand="0" w:firstRowFirstColumn="0" w:firstRowLastColumn="0" w:lastRowFirstColumn="0" w:lastRowLastColumn="0"/>
            <w:tcW w:w="4078" w:type="dxa"/>
            <w:hideMark/>
          </w:tcPr>
          <w:p w14:paraId="45A3EB16" w14:textId="77777777" w:rsidR="00A6240C" w:rsidRPr="004F4BA7" w:rsidRDefault="00A6240C" w:rsidP="008E6E40">
            <w:pPr>
              <w:keepNext/>
              <w:rPr>
                <w:bCs/>
                <w:lang w:eastAsia="en-GB"/>
              </w:rPr>
            </w:pPr>
            <w:r w:rsidRPr="004F4BA7">
              <w:rPr>
                <w:bCs/>
                <w:lang w:eastAsia="en-GB"/>
              </w:rPr>
              <w:t>Total households with dependent children</w:t>
            </w:r>
          </w:p>
        </w:tc>
        <w:tc>
          <w:tcPr>
            <w:tcW w:w="984" w:type="dxa"/>
            <w:hideMark/>
          </w:tcPr>
          <w:p w14:paraId="3C7E82CF"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105,118</w:t>
            </w:r>
          </w:p>
        </w:tc>
        <w:tc>
          <w:tcPr>
            <w:tcW w:w="962" w:type="dxa"/>
            <w:hideMark/>
          </w:tcPr>
          <w:p w14:paraId="5C6D148B"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127,157</w:t>
            </w:r>
          </w:p>
        </w:tc>
        <w:tc>
          <w:tcPr>
            <w:tcW w:w="1276" w:type="dxa"/>
            <w:hideMark/>
          </w:tcPr>
          <w:p w14:paraId="5FB9EE10"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22,039</w:t>
            </w:r>
          </w:p>
        </w:tc>
        <w:tc>
          <w:tcPr>
            <w:tcW w:w="1276" w:type="dxa"/>
            <w:hideMark/>
          </w:tcPr>
          <w:p w14:paraId="7AEEC648" w14:textId="77777777" w:rsidR="00A6240C" w:rsidRPr="009E47B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21.00%</w:t>
            </w:r>
          </w:p>
        </w:tc>
      </w:tr>
    </w:tbl>
    <w:p w14:paraId="03064BBA" w14:textId="77777777" w:rsidR="00A6240C" w:rsidRDefault="00A6240C" w:rsidP="008E6E40">
      <w:pPr>
        <w:pStyle w:val="Caption"/>
        <w:keepNext/>
        <w:spacing w:after="0"/>
        <w:ind w:firstLine="794"/>
        <w:rPr>
          <w:rFonts w:ascii="Arial" w:hAnsi="Arial" w:cs="Arial"/>
          <w:i w:val="0"/>
          <w:iCs w:val="0"/>
          <w:color w:val="auto"/>
          <w:sz w:val="20"/>
          <w:szCs w:val="20"/>
        </w:rPr>
      </w:pPr>
      <w:r>
        <w:rPr>
          <w:rFonts w:ascii="Arial" w:hAnsi="Arial" w:cs="Arial"/>
          <w:i w:val="0"/>
          <w:iCs w:val="0"/>
          <w:color w:val="auto"/>
          <w:sz w:val="20"/>
          <w:szCs w:val="20"/>
        </w:rPr>
        <w:t xml:space="preserve"> </w:t>
      </w:r>
      <w:r w:rsidRPr="008556E5">
        <w:rPr>
          <w:rFonts w:ascii="Arial" w:hAnsi="Arial" w:cs="Arial"/>
          <w:i w:val="0"/>
          <w:iCs w:val="0"/>
          <w:color w:val="auto"/>
          <w:sz w:val="24"/>
          <w:szCs w:val="24"/>
        </w:rPr>
        <w:t xml:space="preserve">Source: Demographic Projections based on ONS Data </w:t>
      </w:r>
    </w:p>
    <w:p w14:paraId="2393CCE1" w14:textId="77777777" w:rsidR="00A6240C" w:rsidRDefault="00A6240C" w:rsidP="007D0FBF">
      <w:pPr>
        <w:pStyle w:val="11Bodytext"/>
      </w:pPr>
      <w:r>
        <w:t>This data shows a large projected increase in older person households. There is also projected to be an increase of 21% in the number of households with dependent children (around 22,000) which equates to around 24% of all growth. Unfortunately, the ONS projections no longer look at projecting lone parent households separately from other households with children.</w:t>
      </w:r>
    </w:p>
    <w:p w14:paraId="782790F4" w14:textId="77777777" w:rsidR="00A6240C" w:rsidRDefault="00A6240C" w:rsidP="007D0FBF">
      <w:pPr>
        <w:pStyle w:val="11Bodytext"/>
      </w:pPr>
      <w:r>
        <w:t xml:space="preserve">The projection also includes three categories for dependent children depending on the number of children. This indicates that the vast majority of the growth in households with dependent children relates to those with a single child. </w:t>
      </w:r>
    </w:p>
    <w:p w14:paraId="440EC100" w14:textId="77777777" w:rsidR="002E1AC9" w:rsidRDefault="002E1AC9">
      <w:pPr>
        <w:spacing w:after="200"/>
        <w:rPr>
          <w:b/>
          <w:bCs/>
          <w:szCs w:val="18"/>
        </w:rPr>
      </w:pPr>
      <w:r>
        <w:br w:type="page"/>
      </w:r>
    </w:p>
    <w:p w14:paraId="20F0E0D8" w14:textId="01FF8E9D" w:rsidR="00A6240C" w:rsidRDefault="00A6240C" w:rsidP="008556E5">
      <w:pPr>
        <w:pStyle w:val="Heading3"/>
      </w:pPr>
      <w:r>
        <w:lastRenderedPageBreak/>
        <w:t>Cambridge</w:t>
      </w:r>
    </w:p>
    <w:p w14:paraId="53EE9037" w14:textId="77777777" w:rsidR="00A6240C" w:rsidRDefault="00A6240C" w:rsidP="007D0FBF">
      <w:pPr>
        <w:pStyle w:val="11Bodytext"/>
      </w:pPr>
      <w:r>
        <w:t xml:space="preserve">The table below sets out the projected change in household types in Cambridge.  In line with data at the level of the HMA, this shows large increases in older person households. Also, there is projected to be an increase of 16.3% in the number of households with dependent children (2,196). This equates to around 17% of all growth. </w:t>
      </w:r>
    </w:p>
    <w:p w14:paraId="021F6E58" w14:textId="77777777" w:rsidR="00A6240C" w:rsidRDefault="00A6240C" w:rsidP="007D0FBF">
      <w:pPr>
        <w:pStyle w:val="11Bodytext"/>
      </w:pPr>
      <w:r>
        <w:t xml:space="preserve">The three categories for dependent children indicate, as with trends at the HMA level, that the majority of the growth in households with dependent children relates to those with one child. “Other households” are also projected to increase substantially (38.3%). </w:t>
      </w:r>
    </w:p>
    <w:p w14:paraId="0AD8C9B7" w14:textId="77777777" w:rsidR="00A6240C" w:rsidRDefault="00A6240C" w:rsidP="003D5E23">
      <w:pPr>
        <w:pStyle w:val="Tableheading"/>
        <w:numPr>
          <w:ilvl w:val="0"/>
          <w:numId w:val="54"/>
        </w:numPr>
      </w:pPr>
      <w:r>
        <w:t>Projected Change in Household Types in Cambridge, 2020-40</w:t>
      </w:r>
    </w:p>
    <w:tbl>
      <w:tblPr>
        <w:tblStyle w:val="TableGridLight1"/>
        <w:tblW w:w="8514" w:type="dxa"/>
        <w:tblInd w:w="846" w:type="dxa"/>
        <w:tblLook w:val="04A0" w:firstRow="1" w:lastRow="0" w:firstColumn="1" w:lastColumn="0" w:noHBand="0" w:noVBand="1"/>
      </w:tblPr>
      <w:tblGrid>
        <w:gridCol w:w="3974"/>
        <w:gridCol w:w="851"/>
        <w:gridCol w:w="923"/>
        <w:gridCol w:w="1383"/>
        <w:gridCol w:w="1383"/>
      </w:tblGrid>
      <w:tr w:rsidR="009E47B9" w:rsidRPr="009E47B9" w14:paraId="53F93B1E" w14:textId="77777777" w:rsidTr="008556E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39BF173F" w14:textId="77777777" w:rsidR="00A6240C" w:rsidRPr="005B02AD" w:rsidRDefault="00A6240C" w:rsidP="008E6E40">
            <w:pPr>
              <w:keepNext/>
              <w:rPr>
                <w:lang w:eastAsia="en-GB"/>
              </w:rPr>
            </w:pPr>
            <w:r w:rsidRPr="005B02AD">
              <w:rPr>
                <w:lang w:eastAsia="en-GB"/>
              </w:rPr>
              <w:t> </w:t>
            </w:r>
          </w:p>
        </w:tc>
        <w:tc>
          <w:tcPr>
            <w:tcW w:w="851" w:type="dxa"/>
            <w:hideMark/>
          </w:tcPr>
          <w:p w14:paraId="72EBAB55" w14:textId="77777777" w:rsidR="00A6240C" w:rsidRPr="005B02AD"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5B02AD">
              <w:rPr>
                <w:lang w:eastAsia="en-GB"/>
              </w:rPr>
              <w:t>2020</w:t>
            </w:r>
          </w:p>
        </w:tc>
        <w:tc>
          <w:tcPr>
            <w:tcW w:w="923" w:type="dxa"/>
            <w:hideMark/>
          </w:tcPr>
          <w:p w14:paraId="5618DC88" w14:textId="77777777" w:rsidR="00A6240C" w:rsidRPr="005B02AD"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5B02AD">
              <w:rPr>
                <w:lang w:eastAsia="en-GB"/>
              </w:rPr>
              <w:t>2040</w:t>
            </w:r>
          </w:p>
        </w:tc>
        <w:tc>
          <w:tcPr>
            <w:tcW w:w="1383" w:type="dxa"/>
            <w:hideMark/>
          </w:tcPr>
          <w:p w14:paraId="12D1229A" w14:textId="77777777" w:rsidR="00A6240C" w:rsidRPr="005B02AD"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5B02AD">
              <w:rPr>
                <w:lang w:eastAsia="en-GB"/>
              </w:rPr>
              <w:t>Change in households</w:t>
            </w:r>
          </w:p>
        </w:tc>
        <w:tc>
          <w:tcPr>
            <w:tcW w:w="1383" w:type="dxa"/>
            <w:hideMark/>
          </w:tcPr>
          <w:p w14:paraId="7C293593" w14:textId="77777777" w:rsidR="00A6240C" w:rsidRPr="005B02AD"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5B02AD">
              <w:rPr>
                <w:lang w:eastAsia="en-GB"/>
              </w:rPr>
              <w:t>% Change</w:t>
            </w:r>
          </w:p>
        </w:tc>
      </w:tr>
      <w:tr w:rsidR="009E47B9" w:rsidRPr="009E47B9" w14:paraId="52C8803F"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1B5DCB56" w14:textId="77777777" w:rsidR="00A6240C" w:rsidRPr="004F4BA7" w:rsidRDefault="00A6240C" w:rsidP="008E6E40">
            <w:pPr>
              <w:keepNext/>
              <w:rPr>
                <w:bCs/>
                <w:lang w:eastAsia="en-GB"/>
              </w:rPr>
            </w:pPr>
            <w:r w:rsidRPr="004F4BA7">
              <w:rPr>
                <w:bCs/>
                <w:lang w:eastAsia="en-GB"/>
              </w:rPr>
              <w:t>One-person household (aged 65 and over)</w:t>
            </w:r>
          </w:p>
        </w:tc>
        <w:tc>
          <w:tcPr>
            <w:tcW w:w="851" w:type="dxa"/>
            <w:hideMark/>
          </w:tcPr>
          <w:p w14:paraId="784E691F"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5,957</w:t>
            </w:r>
          </w:p>
        </w:tc>
        <w:tc>
          <w:tcPr>
            <w:tcW w:w="923" w:type="dxa"/>
            <w:hideMark/>
          </w:tcPr>
          <w:p w14:paraId="7323C404"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8,284</w:t>
            </w:r>
          </w:p>
        </w:tc>
        <w:tc>
          <w:tcPr>
            <w:tcW w:w="1383" w:type="dxa"/>
            <w:hideMark/>
          </w:tcPr>
          <w:p w14:paraId="3E23D41A"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2,327</w:t>
            </w:r>
          </w:p>
        </w:tc>
        <w:tc>
          <w:tcPr>
            <w:tcW w:w="1383" w:type="dxa"/>
            <w:hideMark/>
          </w:tcPr>
          <w:p w14:paraId="7F8CACA7"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39.10%</w:t>
            </w:r>
          </w:p>
        </w:tc>
      </w:tr>
      <w:tr w:rsidR="009E47B9" w:rsidRPr="009E47B9" w14:paraId="10601AC4"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70ECDB35" w14:textId="77777777" w:rsidR="00A6240C" w:rsidRPr="004F4BA7" w:rsidRDefault="00A6240C" w:rsidP="008E6E40">
            <w:pPr>
              <w:keepNext/>
              <w:rPr>
                <w:bCs/>
                <w:lang w:eastAsia="en-GB"/>
              </w:rPr>
            </w:pPr>
            <w:r w:rsidRPr="004F4BA7">
              <w:rPr>
                <w:bCs/>
                <w:lang w:eastAsia="en-GB"/>
              </w:rPr>
              <w:t>One-person household (aged under 65)</w:t>
            </w:r>
          </w:p>
        </w:tc>
        <w:tc>
          <w:tcPr>
            <w:tcW w:w="851" w:type="dxa"/>
            <w:hideMark/>
          </w:tcPr>
          <w:p w14:paraId="49A276CA"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11,095</w:t>
            </w:r>
          </w:p>
        </w:tc>
        <w:tc>
          <w:tcPr>
            <w:tcW w:w="923" w:type="dxa"/>
            <w:hideMark/>
          </w:tcPr>
          <w:p w14:paraId="78B40B01"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12,843</w:t>
            </w:r>
          </w:p>
        </w:tc>
        <w:tc>
          <w:tcPr>
            <w:tcW w:w="1383" w:type="dxa"/>
            <w:hideMark/>
          </w:tcPr>
          <w:p w14:paraId="2E172D96"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1,748</w:t>
            </w:r>
          </w:p>
        </w:tc>
        <w:tc>
          <w:tcPr>
            <w:tcW w:w="1383" w:type="dxa"/>
            <w:hideMark/>
          </w:tcPr>
          <w:p w14:paraId="4A3C8FA9"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15.80%</w:t>
            </w:r>
          </w:p>
        </w:tc>
      </w:tr>
      <w:tr w:rsidR="009E47B9" w:rsidRPr="009E47B9" w14:paraId="43EE8CB8" w14:textId="77777777" w:rsidTr="008556E5">
        <w:trPr>
          <w:trHeight w:val="166"/>
        </w:trPr>
        <w:tc>
          <w:tcPr>
            <w:cnfStyle w:val="001000000000" w:firstRow="0" w:lastRow="0" w:firstColumn="1" w:lastColumn="0" w:oddVBand="0" w:evenVBand="0" w:oddHBand="0" w:evenHBand="0" w:firstRowFirstColumn="0" w:firstRowLastColumn="0" w:lastRowFirstColumn="0" w:lastRowLastColumn="0"/>
            <w:tcW w:w="3974" w:type="dxa"/>
            <w:hideMark/>
          </w:tcPr>
          <w:p w14:paraId="51EF98E9" w14:textId="77777777" w:rsidR="00A6240C" w:rsidRPr="004F4BA7" w:rsidRDefault="00A6240C" w:rsidP="008E6E40">
            <w:pPr>
              <w:keepNext/>
              <w:rPr>
                <w:bCs/>
                <w:lang w:eastAsia="en-GB"/>
              </w:rPr>
            </w:pPr>
            <w:r w:rsidRPr="004F4BA7">
              <w:rPr>
                <w:bCs/>
                <w:lang w:eastAsia="en-GB"/>
              </w:rPr>
              <w:t>Couple (aged 65 and over)</w:t>
            </w:r>
          </w:p>
        </w:tc>
        <w:tc>
          <w:tcPr>
            <w:tcW w:w="851" w:type="dxa"/>
            <w:hideMark/>
          </w:tcPr>
          <w:p w14:paraId="6FC9F5F6"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4,117</w:t>
            </w:r>
          </w:p>
        </w:tc>
        <w:tc>
          <w:tcPr>
            <w:tcW w:w="923" w:type="dxa"/>
            <w:hideMark/>
          </w:tcPr>
          <w:p w14:paraId="31EDDDF9"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6,387</w:t>
            </w:r>
          </w:p>
        </w:tc>
        <w:tc>
          <w:tcPr>
            <w:tcW w:w="1383" w:type="dxa"/>
            <w:hideMark/>
          </w:tcPr>
          <w:p w14:paraId="0D6959D3"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2,270</w:t>
            </w:r>
          </w:p>
        </w:tc>
        <w:tc>
          <w:tcPr>
            <w:tcW w:w="1383" w:type="dxa"/>
            <w:hideMark/>
          </w:tcPr>
          <w:p w14:paraId="1DA7A841"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55.10%</w:t>
            </w:r>
          </w:p>
        </w:tc>
      </w:tr>
      <w:tr w:rsidR="009E47B9" w:rsidRPr="009E47B9" w14:paraId="44AF33F6" w14:textId="77777777" w:rsidTr="008556E5">
        <w:trPr>
          <w:trHeight w:val="166"/>
        </w:trPr>
        <w:tc>
          <w:tcPr>
            <w:cnfStyle w:val="001000000000" w:firstRow="0" w:lastRow="0" w:firstColumn="1" w:lastColumn="0" w:oddVBand="0" w:evenVBand="0" w:oddHBand="0" w:evenHBand="0" w:firstRowFirstColumn="0" w:firstRowLastColumn="0" w:lastRowFirstColumn="0" w:lastRowLastColumn="0"/>
            <w:tcW w:w="3974" w:type="dxa"/>
            <w:hideMark/>
          </w:tcPr>
          <w:p w14:paraId="31995725" w14:textId="77777777" w:rsidR="00A6240C" w:rsidRPr="004F4BA7" w:rsidRDefault="00A6240C" w:rsidP="008E6E40">
            <w:pPr>
              <w:keepNext/>
              <w:rPr>
                <w:bCs/>
                <w:lang w:eastAsia="en-GB"/>
              </w:rPr>
            </w:pPr>
            <w:r w:rsidRPr="004F4BA7">
              <w:rPr>
                <w:bCs/>
                <w:lang w:eastAsia="en-GB"/>
              </w:rPr>
              <w:t>Couple (aged under 65)</w:t>
            </w:r>
          </w:p>
        </w:tc>
        <w:tc>
          <w:tcPr>
            <w:tcW w:w="851" w:type="dxa"/>
            <w:hideMark/>
          </w:tcPr>
          <w:p w14:paraId="62B0FA49"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7,531</w:t>
            </w:r>
          </w:p>
        </w:tc>
        <w:tc>
          <w:tcPr>
            <w:tcW w:w="923" w:type="dxa"/>
            <w:hideMark/>
          </w:tcPr>
          <w:p w14:paraId="3A7EA62D"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7,315</w:t>
            </w:r>
          </w:p>
        </w:tc>
        <w:tc>
          <w:tcPr>
            <w:tcW w:w="1383" w:type="dxa"/>
            <w:hideMark/>
          </w:tcPr>
          <w:p w14:paraId="27B9D627"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-217</w:t>
            </w:r>
          </w:p>
        </w:tc>
        <w:tc>
          <w:tcPr>
            <w:tcW w:w="1383" w:type="dxa"/>
            <w:hideMark/>
          </w:tcPr>
          <w:p w14:paraId="1F596CCA"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-2.90%</w:t>
            </w:r>
          </w:p>
        </w:tc>
      </w:tr>
      <w:tr w:rsidR="009E47B9" w:rsidRPr="009E47B9" w14:paraId="3D34EFE0" w14:textId="77777777" w:rsidTr="008556E5">
        <w:trPr>
          <w:trHeight w:val="425"/>
        </w:trPr>
        <w:tc>
          <w:tcPr>
            <w:cnfStyle w:val="001000000000" w:firstRow="0" w:lastRow="0" w:firstColumn="1" w:lastColumn="0" w:oddVBand="0" w:evenVBand="0" w:oddHBand="0" w:evenHBand="0" w:firstRowFirstColumn="0" w:firstRowLastColumn="0" w:lastRowFirstColumn="0" w:lastRowLastColumn="0"/>
            <w:tcW w:w="3974" w:type="dxa"/>
            <w:hideMark/>
          </w:tcPr>
          <w:p w14:paraId="10692F26" w14:textId="77777777" w:rsidR="00A6240C" w:rsidRPr="004F4BA7" w:rsidRDefault="00A6240C" w:rsidP="008E6E40">
            <w:pPr>
              <w:keepNext/>
              <w:rPr>
                <w:bCs/>
                <w:lang w:eastAsia="en-GB"/>
              </w:rPr>
            </w:pPr>
            <w:r w:rsidRPr="004F4BA7">
              <w:rPr>
                <w:bCs/>
                <w:lang w:eastAsia="en-GB"/>
              </w:rPr>
              <w:t>A couple and one or more other adults: No dependent children</w:t>
            </w:r>
          </w:p>
        </w:tc>
        <w:tc>
          <w:tcPr>
            <w:tcW w:w="851" w:type="dxa"/>
            <w:hideMark/>
          </w:tcPr>
          <w:p w14:paraId="2E4282EC"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3,623</w:t>
            </w:r>
          </w:p>
        </w:tc>
        <w:tc>
          <w:tcPr>
            <w:tcW w:w="923" w:type="dxa"/>
            <w:hideMark/>
          </w:tcPr>
          <w:p w14:paraId="48A56177"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5,509</w:t>
            </w:r>
          </w:p>
        </w:tc>
        <w:tc>
          <w:tcPr>
            <w:tcW w:w="1383" w:type="dxa"/>
            <w:hideMark/>
          </w:tcPr>
          <w:p w14:paraId="0B98E1E2"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1,886</w:t>
            </w:r>
          </w:p>
        </w:tc>
        <w:tc>
          <w:tcPr>
            <w:tcW w:w="1383" w:type="dxa"/>
            <w:hideMark/>
          </w:tcPr>
          <w:p w14:paraId="031E51CE"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52.00%</w:t>
            </w:r>
          </w:p>
        </w:tc>
      </w:tr>
      <w:tr w:rsidR="009E47B9" w:rsidRPr="009E47B9" w14:paraId="02309D87"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32E34C61" w14:textId="77777777" w:rsidR="00A6240C" w:rsidRPr="004F4BA7" w:rsidRDefault="00A6240C" w:rsidP="008E6E40">
            <w:pPr>
              <w:keepNext/>
              <w:rPr>
                <w:bCs/>
                <w:lang w:eastAsia="en-GB"/>
              </w:rPr>
            </w:pPr>
            <w:r w:rsidRPr="004F4BA7">
              <w:rPr>
                <w:bCs/>
                <w:lang w:eastAsia="en-GB"/>
              </w:rPr>
              <w:t>Households with one dependent child</w:t>
            </w:r>
          </w:p>
        </w:tc>
        <w:tc>
          <w:tcPr>
            <w:tcW w:w="851" w:type="dxa"/>
            <w:hideMark/>
          </w:tcPr>
          <w:p w14:paraId="54F5F436"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6,405</w:t>
            </w:r>
          </w:p>
        </w:tc>
        <w:tc>
          <w:tcPr>
            <w:tcW w:w="923" w:type="dxa"/>
            <w:hideMark/>
          </w:tcPr>
          <w:p w14:paraId="7AA6A6B0"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7,754</w:t>
            </w:r>
          </w:p>
        </w:tc>
        <w:tc>
          <w:tcPr>
            <w:tcW w:w="1383" w:type="dxa"/>
            <w:hideMark/>
          </w:tcPr>
          <w:p w14:paraId="66559D6E"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1,348</w:t>
            </w:r>
          </w:p>
        </w:tc>
        <w:tc>
          <w:tcPr>
            <w:tcW w:w="1383" w:type="dxa"/>
            <w:hideMark/>
          </w:tcPr>
          <w:p w14:paraId="7D856996"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21.10%</w:t>
            </w:r>
          </w:p>
        </w:tc>
      </w:tr>
      <w:tr w:rsidR="009E47B9" w:rsidRPr="009E47B9" w14:paraId="47C43036"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1E17E53D" w14:textId="77777777" w:rsidR="00A6240C" w:rsidRPr="004F4BA7" w:rsidRDefault="00A6240C" w:rsidP="008E6E40">
            <w:pPr>
              <w:keepNext/>
              <w:rPr>
                <w:bCs/>
                <w:lang w:eastAsia="en-GB"/>
              </w:rPr>
            </w:pPr>
            <w:r w:rsidRPr="004F4BA7">
              <w:rPr>
                <w:bCs/>
                <w:lang w:eastAsia="en-GB"/>
              </w:rPr>
              <w:t>Households with two dependent children</w:t>
            </w:r>
          </w:p>
        </w:tc>
        <w:tc>
          <w:tcPr>
            <w:tcW w:w="851" w:type="dxa"/>
            <w:hideMark/>
          </w:tcPr>
          <w:p w14:paraId="15C21A8D"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5,060</w:t>
            </w:r>
          </w:p>
        </w:tc>
        <w:tc>
          <w:tcPr>
            <w:tcW w:w="923" w:type="dxa"/>
            <w:hideMark/>
          </w:tcPr>
          <w:p w14:paraId="52813EFB"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5,846</w:t>
            </w:r>
          </w:p>
        </w:tc>
        <w:tc>
          <w:tcPr>
            <w:tcW w:w="1383" w:type="dxa"/>
            <w:hideMark/>
          </w:tcPr>
          <w:p w14:paraId="435A0005"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786</w:t>
            </w:r>
          </w:p>
        </w:tc>
        <w:tc>
          <w:tcPr>
            <w:tcW w:w="1383" w:type="dxa"/>
            <w:hideMark/>
          </w:tcPr>
          <w:p w14:paraId="6EBF9BAD"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15.50%</w:t>
            </w:r>
          </w:p>
        </w:tc>
      </w:tr>
      <w:tr w:rsidR="009E47B9" w:rsidRPr="009E47B9" w14:paraId="7F202004"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4C7A64E7" w14:textId="77777777" w:rsidR="00A6240C" w:rsidRPr="004F4BA7" w:rsidRDefault="00A6240C" w:rsidP="008E6E40">
            <w:pPr>
              <w:keepNext/>
              <w:rPr>
                <w:bCs/>
                <w:lang w:eastAsia="en-GB"/>
              </w:rPr>
            </w:pPr>
            <w:r w:rsidRPr="004F4BA7">
              <w:rPr>
                <w:bCs/>
                <w:lang w:eastAsia="en-GB"/>
              </w:rPr>
              <w:t>Households with three dependent children</w:t>
            </w:r>
          </w:p>
        </w:tc>
        <w:tc>
          <w:tcPr>
            <w:tcW w:w="851" w:type="dxa"/>
            <w:hideMark/>
          </w:tcPr>
          <w:p w14:paraId="0E7DD13B"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2,028</w:t>
            </w:r>
          </w:p>
        </w:tc>
        <w:tc>
          <w:tcPr>
            <w:tcW w:w="923" w:type="dxa"/>
            <w:hideMark/>
          </w:tcPr>
          <w:p w14:paraId="0BD079B6"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2,090</w:t>
            </w:r>
          </w:p>
        </w:tc>
        <w:tc>
          <w:tcPr>
            <w:tcW w:w="1383" w:type="dxa"/>
            <w:hideMark/>
          </w:tcPr>
          <w:p w14:paraId="57D9F436"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62</w:t>
            </w:r>
          </w:p>
        </w:tc>
        <w:tc>
          <w:tcPr>
            <w:tcW w:w="1383" w:type="dxa"/>
            <w:hideMark/>
          </w:tcPr>
          <w:p w14:paraId="5F7AA531"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3.00%</w:t>
            </w:r>
          </w:p>
        </w:tc>
      </w:tr>
      <w:tr w:rsidR="009E47B9" w:rsidRPr="009E47B9" w14:paraId="141A3C3A" w14:textId="77777777" w:rsidTr="008556E5">
        <w:trPr>
          <w:trHeight w:val="166"/>
        </w:trPr>
        <w:tc>
          <w:tcPr>
            <w:cnfStyle w:val="001000000000" w:firstRow="0" w:lastRow="0" w:firstColumn="1" w:lastColumn="0" w:oddVBand="0" w:evenVBand="0" w:oddHBand="0" w:evenHBand="0" w:firstRowFirstColumn="0" w:firstRowLastColumn="0" w:lastRowFirstColumn="0" w:lastRowLastColumn="0"/>
            <w:tcW w:w="3974" w:type="dxa"/>
            <w:hideMark/>
          </w:tcPr>
          <w:p w14:paraId="0E7923C8" w14:textId="77777777" w:rsidR="00A6240C" w:rsidRPr="004F4BA7" w:rsidRDefault="00A6240C" w:rsidP="008E6E40">
            <w:pPr>
              <w:keepNext/>
              <w:rPr>
                <w:bCs/>
                <w:lang w:eastAsia="en-GB"/>
              </w:rPr>
            </w:pPr>
            <w:r w:rsidRPr="004F4BA7">
              <w:rPr>
                <w:bCs/>
                <w:lang w:eastAsia="en-GB"/>
              </w:rPr>
              <w:t>Other households</w:t>
            </w:r>
          </w:p>
        </w:tc>
        <w:tc>
          <w:tcPr>
            <w:tcW w:w="851" w:type="dxa"/>
            <w:hideMark/>
          </w:tcPr>
          <w:p w14:paraId="585E598A"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6,698</w:t>
            </w:r>
          </w:p>
        </w:tc>
        <w:tc>
          <w:tcPr>
            <w:tcW w:w="923" w:type="dxa"/>
            <w:hideMark/>
          </w:tcPr>
          <w:p w14:paraId="369DF194"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9,265</w:t>
            </w:r>
          </w:p>
        </w:tc>
        <w:tc>
          <w:tcPr>
            <w:tcW w:w="1383" w:type="dxa"/>
            <w:hideMark/>
          </w:tcPr>
          <w:p w14:paraId="64498A90"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2,567</w:t>
            </w:r>
          </w:p>
        </w:tc>
        <w:tc>
          <w:tcPr>
            <w:tcW w:w="1383" w:type="dxa"/>
            <w:hideMark/>
          </w:tcPr>
          <w:p w14:paraId="7455A14F"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38.30%</w:t>
            </w:r>
          </w:p>
        </w:tc>
      </w:tr>
      <w:tr w:rsidR="009E47B9" w:rsidRPr="009E47B9" w14:paraId="0C5CFBE8" w14:textId="77777777" w:rsidTr="008556E5">
        <w:trPr>
          <w:trHeight w:val="166"/>
        </w:trPr>
        <w:tc>
          <w:tcPr>
            <w:cnfStyle w:val="001000000000" w:firstRow="0" w:lastRow="0" w:firstColumn="1" w:lastColumn="0" w:oddVBand="0" w:evenVBand="0" w:oddHBand="0" w:evenHBand="0" w:firstRowFirstColumn="0" w:firstRowLastColumn="0" w:lastRowFirstColumn="0" w:lastRowLastColumn="0"/>
            <w:tcW w:w="3974" w:type="dxa"/>
            <w:hideMark/>
          </w:tcPr>
          <w:p w14:paraId="4D853F88" w14:textId="77777777" w:rsidR="00A6240C" w:rsidRPr="004F4BA7" w:rsidRDefault="00A6240C" w:rsidP="008E6E40">
            <w:pPr>
              <w:keepNext/>
              <w:rPr>
                <w:bCs/>
                <w:lang w:eastAsia="en-GB"/>
              </w:rPr>
            </w:pPr>
            <w:r w:rsidRPr="004F4BA7">
              <w:rPr>
                <w:bCs/>
                <w:lang w:eastAsia="en-GB"/>
              </w:rPr>
              <w:t>Total</w:t>
            </w:r>
          </w:p>
        </w:tc>
        <w:tc>
          <w:tcPr>
            <w:tcW w:w="851" w:type="dxa"/>
            <w:hideMark/>
          </w:tcPr>
          <w:p w14:paraId="0BE322AB"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52,515</w:t>
            </w:r>
          </w:p>
        </w:tc>
        <w:tc>
          <w:tcPr>
            <w:tcW w:w="923" w:type="dxa"/>
            <w:hideMark/>
          </w:tcPr>
          <w:p w14:paraId="23B5C0EE"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65,292</w:t>
            </w:r>
          </w:p>
        </w:tc>
        <w:tc>
          <w:tcPr>
            <w:tcW w:w="1383" w:type="dxa"/>
            <w:hideMark/>
          </w:tcPr>
          <w:p w14:paraId="0EB736E4"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12,777</w:t>
            </w:r>
          </w:p>
        </w:tc>
        <w:tc>
          <w:tcPr>
            <w:tcW w:w="1383" w:type="dxa"/>
            <w:hideMark/>
          </w:tcPr>
          <w:p w14:paraId="25C186CC"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24.30%</w:t>
            </w:r>
          </w:p>
        </w:tc>
      </w:tr>
      <w:tr w:rsidR="009E47B9" w:rsidRPr="009E47B9" w14:paraId="59C3C2C7" w14:textId="77777777" w:rsidTr="008556E5">
        <w:trPr>
          <w:trHeight w:val="283"/>
        </w:trPr>
        <w:tc>
          <w:tcPr>
            <w:cnfStyle w:val="001000000000" w:firstRow="0" w:lastRow="0" w:firstColumn="1" w:lastColumn="0" w:oddVBand="0" w:evenVBand="0" w:oddHBand="0" w:evenHBand="0" w:firstRowFirstColumn="0" w:firstRowLastColumn="0" w:lastRowFirstColumn="0" w:lastRowLastColumn="0"/>
            <w:tcW w:w="3974" w:type="dxa"/>
            <w:hideMark/>
          </w:tcPr>
          <w:p w14:paraId="6638A4CF" w14:textId="77777777" w:rsidR="00A6240C" w:rsidRPr="004F4BA7" w:rsidRDefault="00A6240C" w:rsidP="008E6E40">
            <w:pPr>
              <w:keepNext/>
              <w:rPr>
                <w:bCs/>
                <w:lang w:eastAsia="en-GB"/>
              </w:rPr>
            </w:pPr>
            <w:r w:rsidRPr="004F4BA7">
              <w:rPr>
                <w:bCs/>
                <w:lang w:eastAsia="en-GB"/>
              </w:rPr>
              <w:t>Total households with dependent children</w:t>
            </w:r>
          </w:p>
        </w:tc>
        <w:tc>
          <w:tcPr>
            <w:tcW w:w="851" w:type="dxa"/>
            <w:hideMark/>
          </w:tcPr>
          <w:p w14:paraId="26177583"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13,493</w:t>
            </w:r>
          </w:p>
        </w:tc>
        <w:tc>
          <w:tcPr>
            <w:tcW w:w="923" w:type="dxa"/>
            <w:hideMark/>
          </w:tcPr>
          <w:p w14:paraId="6D03F409"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15,689</w:t>
            </w:r>
          </w:p>
        </w:tc>
        <w:tc>
          <w:tcPr>
            <w:tcW w:w="1383" w:type="dxa"/>
            <w:hideMark/>
          </w:tcPr>
          <w:p w14:paraId="4BB5E81E"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2,196</w:t>
            </w:r>
          </w:p>
        </w:tc>
        <w:tc>
          <w:tcPr>
            <w:tcW w:w="1383" w:type="dxa"/>
            <w:hideMark/>
          </w:tcPr>
          <w:p w14:paraId="1C96A1A4" w14:textId="77777777" w:rsidR="00A6240C" w:rsidRPr="005B02AD"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5B02AD">
              <w:rPr>
                <w:lang w:eastAsia="en-GB"/>
              </w:rPr>
              <w:t>16.30%</w:t>
            </w:r>
          </w:p>
        </w:tc>
      </w:tr>
    </w:tbl>
    <w:p w14:paraId="461440F5" w14:textId="536EE6D6" w:rsidR="00A6240C" w:rsidRPr="008556E5" w:rsidRDefault="00A6240C" w:rsidP="008E6E40">
      <w:pPr>
        <w:pStyle w:val="Caption"/>
        <w:keepNext/>
        <w:spacing w:after="0"/>
        <w:ind w:firstLine="794"/>
        <w:rPr>
          <w:rFonts w:ascii="Arial" w:hAnsi="Arial" w:cs="Arial"/>
          <w:i w:val="0"/>
          <w:iCs w:val="0"/>
          <w:color w:val="auto"/>
          <w:sz w:val="24"/>
          <w:szCs w:val="24"/>
        </w:rPr>
      </w:pPr>
      <w:r>
        <w:rPr>
          <w:rFonts w:ascii="Arial" w:hAnsi="Arial" w:cs="Arial"/>
          <w:i w:val="0"/>
          <w:iCs w:val="0"/>
          <w:color w:val="auto"/>
          <w:sz w:val="20"/>
          <w:szCs w:val="20"/>
        </w:rPr>
        <w:t xml:space="preserve"> </w:t>
      </w:r>
      <w:r w:rsidRPr="008556E5">
        <w:rPr>
          <w:rFonts w:ascii="Arial" w:hAnsi="Arial" w:cs="Arial"/>
          <w:i w:val="0"/>
          <w:iCs w:val="0"/>
          <w:color w:val="auto"/>
          <w:sz w:val="24"/>
          <w:szCs w:val="24"/>
        </w:rPr>
        <w:t xml:space="preserve">Source: Demographic Projections based on ONS Data </w:t>
      </w:r>
    </w:p>
    <w:p w14:paraId="609A73E3" w14:textId="77777777" w:rsidR="008556E5" w:rsidRPr="008556E5" w:rsidRDefault="008556E5" w:rsidP="008556E5">
      <w:pPr>
        <w:rPr>
          <w:lang w:eastAsia="en-GB"/>
        </w:rPr>
      </w:pPr>
    </w:p>
    <w:p w14:paraId="120CC9BA" w14:textId="77777777" w:rsidR="00A6240C" w:rsidRDefault="00A6240C" w:rsidP="008556E5">
      <w:pPr>
        <w:pStyle w:val="Heading3"/>
      </w:pPr>
      <w:r>
        <w:t>East Cambridgeshire</w:t>
      </w:r>
    </w:p>
    <w:p w14:paraId="0FA3AC6E" w14:textId="77777777" w:rsidR="00A6240C" w:rsidRDefault="00A6240C" w:rsidP="007D0FBF">
      <w:pPr>
        <w:pStyle w:val="11Bodytext"/>
      </w:pPr>
      <w:r>
        <w:t xml:space="preserve">The table below sets out the projected change in household types in East Cambridgeshire.  In line with data at the level of the HMA, this shows large increases in older person households although there is also projected to be an increase of 21.3% in the number of households with dependent children (2,775). This equates to around 24% of all growth. </w:t>
      </w:r>
    </w:p>
    <w:p w14:paraId="0C6752A4" w14:textId="77777777" w:rsidR="004F4BA7" w:rsidRDefault="004F4BA7">
      <w:pPr>
        <w:spacing w:after="200"/>
        <w:rPr>
          <w:bCs/>
          <w:sz w:val="24"/>
          <w:szCs w:val="24"/>
        </w:rPr>
      </w:pPr>
      <w:r>
        <w:br w:type="page"/>
      </w:r>
    </w:p>
    <w:p w14:paraId="3C4C4C8E" w14:textId="4B941E9D" w:rsidR="00A6240C" w:rsidRPr="008E6E40" w:rsidRDefault="00A6240C" w:rsidP="007D0FBF">
      <w:pPr>
        <w:pStyle w:val="11Bodytext"/>
      </w:pPr>
      <w:r>
        <w:lastRenderedPageBreak/>
        <w:t>The three categories for dependent children indicate, as with trends at the HMA level, that the majority of the growth in households with dependent children relates to those with one child.  In contrast with Cambridge, “Other households” are also projected to increase modestly (7.6%).  It is also worth noting that younger couples (aged under 65) are forecast to fall (-12%)</w:t>
      </w:r>
    </w:p>
    <w:p w14:paraId="5621CAFC" w14:textId="77777777" w:rsidR="00A6240C" w:rsidRDefault="00A6240C" w:rsidP="003D5E23">
      <w:pPr>
        <w:pStyle w:val="Tableheading"/>
        <w:numPr>
          <w:ilvl w:val="0"/>
          <w:numId w:val="54"/>
        </w:numPr>
      </w:pPr>
      <w:r>
        <w:t>Projected Change in Household Types in East Cambridgeshire, 2020-40</w:t>
      </w:r>
    </w:p>
    <w:tbl>
      <w:tblPr>
        <w:tblStyle w:val="TableGridLight1"/>
        <w:tblW w:w="8633" w:type="dxa"/>
        <w:tblInd w:w="846" w:type="dxa"/>
        <w:tblLook w:val="04A0" w:firstRow="1" w:lastRow="0" w:firstColumn="1" w:lastColumn="0" w:noHBand="0" w:noVBand="1"/>
      </w:tblPr>
      <w:tblGrid>
        <w:gridCol w:w="4363"/>
        <w:gridCol w:w="846"/>
        <w:gridCol w:w="944"/>
        <w:gridCol w:w="1321"/>
        <w:gridCol w:w="1159"/>
      </w:tblGrid>
      <w:tr w:rsidR="00A6240C" w14:paraId="4A53F3D9" w14:textId="77777777" w:rsidTr="008556E5">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370" w:type="dxa"/>
            <w:hideMark/>
          </w:tcPr>
          <w:p w14:paraId="697518DC" w14:textId="77777777" w:rsidR="00A6240C" w:rsidRPr="009E47B9" w:rsidRDefault="00A6240C" w:rsidP="008E6E40">
            <w:pPr>
              <w:keepNext/>
              <w:rPr>
                <w:lang w:eastAsia="en-GB"/>
              </w:rPr>
            </w:pPr>
            <w:r w:rsidRPr="009E47B9">
              <w:rPr>
                <w:lang w:eastAsia="en-GB"/>
              </w:rPr>
              <w:t> </w:t>
            </w:r>
          </w:p>
        </w:tc>
        <w:tc>
          <w:tcPr>
            <w:tcW w:w="846" w:type="dxa"/>
            <w:hideMark/>
          </w:tcPr>
          <w:p w14:paraId="4C479EAA"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2020</w:t>
            </w:r>
          </w:p>
        </w:tc>
        <w:tc>
          <w:tcPr>
            <w:tcW w:w="944" w:type="dxa"/>
            <w:hideMark/>
          </w:tcPr>
          <w:p w14:paraId="729ECB6D"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2040</w:t>
            </w:r>
          </w:p>
        </w:tc>
        <w:tc>
          <w:tcPr>
            <w:tcW w:w="1314" w:type="dxa"/>
            <w:hideMark/>
          </w:tcPr>
          <w:p w14:paraId="50EF1579"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Change in households</w:t>
            </w:r>
          </w:p>
        </w:tc>
        <w:tc>
          <w:tcPr>
            <w:tcW w:w="1159" w:type="dxa"/>
            <w:hideMark/>
          </w:tcPr>
          <w:p w14:paraId="7F17ACFA" w14:textId="77777777" w:rsidR="00A6240C" w:rsidRPr="009E47B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 Change</w:t>
            </w:r>
          </w:p>
        </w:tc>
      </w:tr>
      <w:tr w:rsidR="00A6240C" w14:paraId="08496B59" w14:textId="77777777" w:rsidTr="008556E5">
        <w:trPr>
          <w:trHeight w:val="123"/>
        </w:trPr>
        <w:tc>
          <w:tcPr>
            <w:cnfStyle w:val="001000000000" w:firstRow="0" w:lastRow="0" w:firstColumn="1" w:lastColumn="0" w:oddVBand="0" w:evenVBand="0" w:oddHBand="0" w:evenHBand="0" w:firstRowFirstColumn="0" w:firstRowLastColumn="0" w:lastRowFirstColumn="0" w:lastRowLastColumn="0"/>
            <w:tcW w:w="4370" w:type="dxa"/>
            <w:hideMark/>
          </w:tcPr>
          <w:p w14:paraId="11BE9D95" w14:textId="77777777" w:rsidR="00A6240C" w:rsidRPr="004F4BA7" w:rsidRDefault="00A6240C" w:rsidP="008E6E40">
            <w:pPr>
              <w:keepNext/>
              <w:rPr>
                <w:color w:val="auto"/>
                <w:lang w:eastAsia="en-GB"/>
              </w:rPr>
            </w:pPr>
            <w:r w:rsidRPr="004F4BA7">
              <w:rPr>
                <w:color w:val="auto"/>
                <w:lang w:eastAsia="en-GB"/>
              </w:rPr>
              <w:t>One-person household (aged 65 and over)</w:t>
            </w:r>
          </w:p>
        </w:tc>
        <w:tc>
          <w:tcPr>
            <w:tcW w:w="846" w:type="dxa"/>
            <w:hideMark/>
          </w:tcPr>
          <w:p w14:paraId="58B0171F"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4,760</w:t>
            </w:r>
          </w:p>
        </w:tc>
        <w:tc>
          <w:tcPr>
            <w:tcW w:w="944" w:type="dxa"/>
            <w:hideMark/>
          </w:tcPr>
          <w:p w14:paraId="7673F0BA"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6,676</w:t>
            </w:r>
          </w:p>
        </w:tc>
        <w:tc>
          <w:tcPr>
            <w:tcW w:w="1314" w:type="dxa"/>
            <w:hideMark/>
          </w:tcPr>
          <w:p w14:paraId="58E7020F"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1,916</w:t>
            </w:r>
          </w:p>
        </w:tc>
        <w:tc>
          <w:tcPr>
            <w:tcW w:w="1159" w:type="dxa"/>
            <w:hideMark/>
          </w:tcPr>
          <w:p w14:paraId="3146E845"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40.20%</w:t>
            </w:r>
          </w:p>
        </w:tc>
      </w:tr>
      <w:tr w:rsidR="00A6240C" w14:paraId="58187AF2" w14:textId="77777777" w:rsidTr="008556E5">
        <w:trPr>
          <w:trHeight w:val="125"/>
        </w:trPr>
        <w:tc>
          <w:tcPr>
            <w:cnfStyle w:val="001000000000" w:firstRow="0" w:lastRow="0" w:firstColumn="1" w:lastColumn="0" w:oddVBand="0" w:evenVBand="0" w:oddHBand="0" w:evenHBand="0" w:firstRowFirstColumn="0" w:firstRowLastColumn="0" w:lastRowFirstColumn="0" w:lastRowLastColumn="0"/>
            <w:tcW w:w="4370" w:type="dxa"/>
            <w:hideMark/>
          </w:tcPr>
          <w:p w14:paraId="03A7E55D" w14:textId="77777777" w:rsidR="00A6240C" w:rsidRPr="004F4BA7" w:rsidRDefault="00A6240C" w:rsidP="008E6E40">
            <w:pPr>
              <w:keepNext/>
              <w:rPr>
                <w:color w:val="auto"/>
                <w:lang w:eastAsia="en-GB"/>
              </w:rPr>
            </w:pPr>
            <w:r w:rsidRPr="004F4BA7">
              <w:rPr>
                <w:color w:val="auto"/>
                <w:lang w:eastAsia="en-GB"/>
              </w:rPr>
              <w:t>One-person household (aged under 65)</w:t>
            </w:r>
          </w:p>
        </w:tc>
        <w:tc>
          <w:tcPr>
            <w:tcW w:w="846" w:type="dxa"/>
            <w:hideMark/>
          </w:tcPr>
          <w:p w14:paraId="5B16E4D2"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5,309</w:t>
            </w:r>
          </w:p>
        </w:tc>
        <w:tc>
          <w:tcPr>
            <w:tcW w:w="944" w:type="dxa"/>
            <w:hideMark/>
          </w:tcPr>
          <w:p w14:paraId="1855236F"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7,680</w:t>
            </w:r>
          </w:p>
        </w:tc>
        <w:tc>
          <w:tcPr>
            <w:tcW w:w="1314" w:type="dxa"/>
            <w:hideMark/>
          </w:tcPr>
          <w:p w14:paraId="153D1652"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2,371</w:t>
            </w:r>
          </w:p>
        </w:tc>
        <w:tc>
          <w:tcPr>
            <w:tcW w:w="1159" w:type="dxa"/>
            <w:hideMark/>
          </w:tcPr>
          <w:p w14:paraId="638DF5B8"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44.70%</w:t>
            </w:r>
          </w:p>
        </w:tc>
      </w:tr>
      <w:tr w:rsidR="00A6240C" w14:paraId="2897C9C0" w14:textId="77777777" w:rsidTr="008556E5">
        <w:trPr>
          <w:trHeight w:val="183"/>
        </w:trPr>
        <w:tc>
          <w:tcPr>
            <w:cnfStyle w:val="001000000000" w:firstRow="0" w:lastRow="0" w:firstColumn="1" w:lastColumn="0" w:oddVBand="0" w:evenVBand="0" w:oddHBand="0" w:evenHBand="0" w:firstRowFirstColumn="0" w:firstRowLastColumn="0" w:lastRowFirstColumn="0" w:lastRowLastColumn="0"/>
            <w:tcW w:w="4370" w:type="dxa"/>
            <w:hideMark/>
          </w:tcPr>
          <w:p w14:paraId="3E316D5B" w14:textId="77777777" w:rsidR="00A6240C" w:rsidRPr="004F4BA7" w:rsidRDefault="00A6240C" w:rsidP="008E6E40">
            <w:pPr>
              <w:keepNext/>
              <w:rPr>
                <w:color w:val="auto"/>
                <w:lang w:eastAsia="en-GB"/>
              </w:rPr>
            </w:pPr>
            <w:r w:rsidRPr="004F4BA7">
              <w:rPr>
                <w:color w:val="auto"/>
                <w:lang w:eastAsia="en-GB"/>
              </w:rPr>
              <w:t>Couple (aged 65 and over)</w:t>
            </w:r>
          </w:p>
        </w:tc>
        <w:tc>
          <w:tcPr>
            <w:tcW w:w="846" w:type="dxa"/>
            <w:hideMark/>
          </w:tcPr>
          <w:p w14:paraId="093D14ED"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5,742</w:t>
            </w:r>
          </w:p>
        </w:tc>
        <w:tc>
          <w:tcPr>
            <w:tcW w:w="944" w:type="dxa"/>
            <w:hideMark/>
          </w:tcPr>
          <w:p w14:paraId="07588BE9"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9,724</w:t>
            </w:r>
          </w:p>
        </w:tc>
        <w:tc>
          <w:tcPr>
            <w:tcW w:w="1314" w:type="dxa"/>
            <w:hideMark/>
          </w:tcPr>
          <w:p w14:paraId="6AFC2BE1"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3,982</w:t>
            </w:r>
          </w:p>
        </w:tc>
        <w:tc>
          <w:tcPr>
            <w:tcW w:w="1159" w:type="dxa"/>
            <w:hideMark/>
          </w:tcPr>
          <w:p w14:paraId="672C4674"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69.30%</w:t>
            </w:r>
          </w:p>
        </w:tc>
      </w:tr>
      <w:tr w:rsidR="00A6240C" w14:paraId="0A86B31F" w14:textId="77777777" w:rsidTr="008556E5">
        <w:trPr>
          <w:trHeight w:val="183"/>
        </w:trPr>
        <w:tc>
          <w:tcPr>
            <w:cnfStyle w:val="001000000000" w:firstRow="0" w:lastRow="0" w:firstColumn="1" w:lastColumn="0" w:oddVBand="0" w:evenVBand="0" w:oddHBand="0" w:evenHBand="0" w:firstRowFirstColumn="0" w:firstRowLastColumn="0" w:lastRowFirstColumn="0" w:lastRowLastColumn="0"/>
            <w:tcW w:w="4370" w:type="dxa"/>
            <w:hideMark/>
          </w:tcPr>
          <w:p w14:paraId="62239D05" w14:textId="77777777" w:rsidR="00A6240C" w:rsidRPr="004F4BA7" w:rsidRDefault="00A6240C" w:rsidP="008E6E40">
            <w:pPr>
              <w:keepNext/>
              <w:rPr>
                <w:color w:val="auto"/>
                <w:lang w:eastAsia="en-GB"/>
              </w:rPr>
            </w:pPr>
            <w:r w:rsidRPr="004F4BA7">
              <w:rPr>
                <w:color w:val="auto"/>
                <w:lang w:eastAsia="en-GB"/>
              </w:rPr>
              <w:t>Couple (aged under 65)</w:t>
            </w:r>
          </w:p>
        </w:tc>
        <w:tc>
          <w:tcPr>
            <w:tcW w:w="846" w:type="dxa"/>
            <w:hideMark/>
          </w:tcPr>
          <w:p w14:paraId="0B4BB398"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6,017</w:t>
            </w:r>
          </w:p>
        </w:tc>
        <w:tc>
          <w:tcPr>
            <w:tcW w:w="944" w:type="dxa"/>
            <w:hideMark/>
          </w:tcPr>
          <w:p w14:paraId="72357B79"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5,295</w:t>
            </w:r>
          </w:p>
        </w:tc>
        <w:tc>
          <w:tcPr>
            <w:tcW w:w="1314" w:type="dxa"/>
            <w:hideMark/>
          </w:tcPr>
          <w:p w14:paraId="08CEC613"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-722</w:t>
            </w:r>
          </w:p>
        </w:tc>
        <w:tc>
          <w:tcPr>
            <w:tcW w:w="1159" w:type="dxa"/>
            <w:hideMark/>
          </w:tcPr>
          <w:p w14:paraId="7F9176C7"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-12.00%</w:t>
            </w:r>
          </w:p>
        </w:tc>
      </w:tr>
      <w:tr w:rsidR="00A6240C" w14:paraId="7397EBC5" w14:textId="77777777" w:rsidTr="008556E5">
        <w:trPr>
          <w:trHeight w:val="470"/>
        </w:trPr>
        <w:tc>
          <w:tcPr>
            <w:cnfStyle w:val="001000000000" w:firstRow="0" w:lastRow="0" w:firstColumn="1" w:lastColumn="0" w:oddVBand="0" w:evenVBand="0" w:oddHBand="0" w:evenHBand="0" w:firstRowFirstColumn="0" w:firstRowLastColumn="0" w:lastRowFirstColumn="0" w:lastRowLastColumn="0"/>
            <w:tcW w:w="4370" w:type="dxa"/>
            <w:hideMark/>
          </w:tcPr>
          <w:p w14:paraId="6C92656E" w14:textId="77777777" w:rsidR="00A6240C" w:rsidRPr="004F4BA7" w:rsidRDefault="00A6240C" w:rsidP="008E6E40">
            <w:pPr>
              <w:keepNext/>
              <w:rPr>
                <w:color w:val="auto"/>
                <w:lang w:eastAsia="en-GB"/>
              </w:rPr>
            </w:pPr>
            <w:r w:rsidRPr="004F4BA7">
              <w:rPr>
                <w:color w:val="auto"/>
                <w:lang w:eastAsia="en-GB"/>
              </w:rPr>
              <w:t>A couple and one or more other adults: No dependent children</w:t>
            </w:r>
          </w:p>
        </w:tc>
        <w:tc>
          <w:tcPr>
            <w:tcW w:w="846" w:type="dxa"/>
            <w:hideMark/>
          </w:tcPr>
          <w:p w14:paraId="474A1D81"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2,990</w:t>
            </w:r>
          </w:p>
        </w:tc>
        <w:tc>
          <w:tcPr>
            <w:tcW w:w="944" w:type="dxa"/>
            <w:hideMark/>
          </w:tcPr>
          <w:p w14:paraId="015AB11D"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4,151</w:t>
            </w:r>
          </w:p>
        </w:tc>
        <w:tc>
          <w:tcPr>
            <w:tcW w:w="1314" w:type="dxa"/>
            <w:hideMark/>
          </w:tcPr>
          <w:p w14:paraId="0F495172"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1,160</w:t>
            </w:r>
          </w:p>
        </w:tc>
        <w:tc>
          <w:tcPr>
            <w:tcW w:w="1159" w:type="dxa"/>
            <w:hideMark/>
          </w:tcPr>
          <w:p w14:paraId="0AC646D4"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38.80%</w:t>
            </w:r>
          </w:p>
        </w:tc>
      </w:tr>
      <w:tr w:rsidR="00A6240C" w14:paraId="778D18A4" w14:textId="77777777" w:rsidTr="008556E5">
        <w:trPr>
          <w:trHeight w:val="313"/>
        </w:trPr>
        <w:tc>
          <w:tcPr>
            <w:cnfStyle w:val="001000000000" w:firstRow="0" w:lastRow="0" w:firstColumn="1" w:lastColumn="0" w:oddVBand="0" w:evenVBand="0" w:oddHBand="0" w:evenHBand="0" w:firstRowFirstColumn="0" w:firstRowLastColumn="0" w:lastRowFirstColumn="0" w:lastRowLastColumn="0"/>
            <w:tcW w:w="4370" w:type="dxa"/>
            <w:hideMark/>
          </w:tcPr>
          <w:p w14:paraId="263CE854" w14:textId="77777777" w:rsidR="00A6240C" w:rsidRPr="004F4BA7" w:rsidRDefault="00A6240C" w:rsidP="008E6E40">
            <w:pPr>
              <w:keepNext/>
              <w:rPr>
                <w:color w:val="auto"/>
                <w:lang w:eastAsia="en-GB"/>
              </w:rPr>
            </w:pPr>
            <w:r w:rsidRPr="004F4BA7">
              <w:rPr>
                <w:color w:val="auto"/>
                <w:lang w:eastAsia="en-GB"/>
              </w:rPr>
              <w:t>Households with one dependent child</w:t>
            </w:r>
          </w:p>
        </w:tc>
        <w:tc>
          <w:tcPr>
            <w:tcW w:w="846" w:type="dxa"/>
            <w:hideMark/>
          </w:tcPr>
          <w:p w14:paraId="09A9B536"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5,423</w:t>
            </w:r>
          </w:p>
        </w:tc>
        <w:tc>
          <w:tcPr>
            <w:tcW w:w="944" w:type="dxa"/>
            <w:hideMark/>
          </w:tcPr>
          <w:p w14:paraId="4E999229"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7,328</w:t>
            </w:r>
          </w:p>
        </w:tc>
        <w:tc>
          <w:tcPr>
            <w:tcW w:w="1314" w:type="dxa"/>
            <w:hideMark/>
          </w:tcPr>
          <w:p w14:paraId="74891BEA"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1,905</w:t>
            </w:r>
          </w:p>
        </w:tc>
        <w:tc>
          <w:tcPr>
            <w:tcW w:w="1159" w:type="dxa"/>
            <w:hideMark/>
          </w:tcPr>
          <w:p w14:paraId="4B00C4DC"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35.10%</w:t>
            </w:r>
          </w:p>
        </w:tc>
      </w:tr>
      <w:tr w:rsidR="00A6240C" w14:paraId="76DA77E9" w14:textId="77777777" w:rsidTr="008556E5">
        <w:trPr>
          <w:trHeight w:val="313"/>
        </w:trPr>
        <w:tc>
          <w:tcPr>
            <w:cnfStyle w:val="001000000000" w:firstRow="0" w:lastRow="0" w:firstColumn="1" w:lastColumn="0" w:oddVBand="0" w:evenVBand="0" w:oddHBand="0" w:evenHBand="0" w:firstRowFirstColumn="0" w:firstRowLastColumn="0" w:lastRowFirstColumn="0" w:lastRowLastColumn="0"/>
            <w:tcW w:w="4370" w:type="dxa"/>
            <w:hideMark/>
          </w:tcPr>
          <w:p w14:paraId="7AF73AEB" w14:textId="77777777" w:rsidR="00A6240C" w:rsidRPr="004F4BA7" w:rsidRDefault="00A6240C" w:rsidP="008E6E40">
            <w:pPr>
              <w:keepNext/>
              <w:rPr>
                <w:color w:val="auto"/>
                <w:lang w:eastAsia="en-GB"/>
              </w:rPr>
            </w:pPr>
            <w:r w:rsidRPr="004F4BA7">
              <w:rPr>
                <w:color w:val="auto"/>
                <w:lang w:eastAsia="en-GB"/>
              </w:rPr>
              <w:t>Households with two dependent children</w:t>
            </w:r>
          </w:p>
        </w:tc>
        <w:tc>
          <w:tcPr>
            <w:tcW w:w="846" w:type="dxa"/>
            <w:hideMark/>
          </w:tcPr>
          <w:p w14:paraId="799C4693"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5,000</w:t>
            </w:r>
          </w:p>
        </w:tc>
        <w:tc>
          <w:tcPr>
            <w:tcW w:w="944" w:type="dxa"/>
            <w:hideMark/>
          </w:tcPr>
          <w:p w14:paraId="7B4C6352"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5,874</w:t>
            </w:r>
          </w:p>
        </w:tc>
        <w:tc>
          <w:tcPr>
            <w:tcW w:w="1314" w:type="dxa"/>
            <w:hideMark/>
          </w:tcPr>
          <w:p w14:paraId="3C8B2C9D"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874</w:t>
            </w:r>
          </w:p>
        </w:tc>
        <w:tc>
          <w:tcPr>
            <w:tcW w:w="1159" w:type="dxa"/>
            <w:hideMark/>
          </w:tcPr>
          <w:p w14:paraId="423B4532"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17.50%</w:t>
            </w:r>
          </w:p>
        </w:tc>
      </w:tr>
      <w:tr w:rsidR="00A6240C" w14:paraId="49C22F52" w14:textId="77777777" w:rsidTr="008556E5">
        <w:trPr>
          <w:trHeight w:val="313"/>
        </w:trPr>
        <w:tc>
          <w:tcPr>
            <w:cnfStyle w:val="001000000000" w:firstRow="0" w:lastRow="0" w:firstColumn="1" w:lastColumn="0" w:oddVBand="0" w:evenVBand="0" w:oddHBand="0" w:evenHBand="0" w:firstRowFirstColumn="0" w:firstRowLastColumn="0" w:lastRowFirstColumn="0" w:lastRowLastColumn="0"/>
            <w:tcW w:w="4370" w:type="dxa"/>
            <w:hideMark/>
          </w:tcPr>
          <w:p w14:paraId="3637234D" w14:textId="77777777" w:rsidR="00A6240C" w:rsidRPr="004F4BA7" w:rsidRDefault="00A6240C" w:rsidP="008E6E40">
            <w:pPr>
              <w:keepNext/>
              <w:rPr>
                <w:color w:val="auto"/>
                <w:lang w:eastAsia="en-GB"/>
              </w:rPr>
            </w:pPr>
            <w:r w:rsidRPr="004F4BA7">
              <w:rPr>
                <w:color w:val="auto"/>
                <w:lang w:eastAsia="en-GB"/>
              </w:rPr>
              <w:t>Households with three dependent children</w:t>
            </w:r>
          </w:p>
        </w:tc>
        <w:tc>
          <w:tcPr>
            <w:tcW w:w="846" w:type="dxa"/>
            <w:hideMark/>
          </w:tcPr>
          <w:p w14:paraId="7C520BF9"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1,597</w:t>
            </w:r>
          </w:p>
        </w:tc>
        <w:tc>
          <w:tcPr>
            <w:tcW w:w="944" w:type="dxa"/>
            <w:hideMark/>
          </w:tcPr>
          <w:p w14:paraId="72A248D7"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1,593</w:t>
            </w:r>
          </w:p>
        </w:tc>
        <w:tc>
          <w:tcPr>
            <w:tcW w:w="1314" w:type="dxa"/>
            <w:hideMark/>
          </w:tcPr>
          <w:p w14:paraId="56D143D5"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w:t>
            </w:r>
          </w:p>
        </w:tc>
        <w:tc>
          <w:tcPr>
            <w:tcW w:w="1159" w:type="dxa"/>
            <w:hideMark/>
          </w:tcPr>
          <w:p w14:paraId="35243997"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-0.20%</w:t>
            </w:r>
          </w:p>
        </w:tc>
      </w:tr>
      <w:tr w:rsidR="00A6240C" w14:paraId="5E9C8FDB" w14:textId="77777777" w:rsidTr="008556E5">
        <w:trPr>
          <w:trHeight w:val="183"/>
        </w:trPr>
        <w:tc>
          <w:tcPr>
            <w:cnfStyle w:val="001000000000" w:firstRow="0" w:lastRow="0" w:firstColumn="1" w:lastColumn="0" w:oddVBand="0" w:evenVBand="0" w:oddHBand="0" w:evenHBand="0" w:firstRowFirstColumn="0" w:firstRowLastColumn="0" w:lastRowFirstColumn="0" w:lastRowLastColumn="0"/>
            <w:tcW w:w="4370" w:type="dxa"/>
            <w:hideMark/>
          </w:tcPr>
          <w:p w14:paraId="399E31FC" w14:textId="77777777" w:rsidR="00A6240C" w:rsidRPr="004F4BA7" w:rsidRDefault="00A6240C" w:rsidP="008E6E40">
            <w:pPr>
              <w:keepNext/>
              <w:rPr>
                <w:color w:val="auto"/>
                <w:lang w:eastAsia="en-GB"/>
              </w:rPr>
            </w:pPr>
            <w:r w:rsidRPr="004F4BA7">
              <w:rPr>
                <w:color w:val="auto"/>
                <w:lang w:eastAsia="en-GB"/>
              </w:rPr>
              <w:t>Other households</w:t>
            </w:r>
          </w:p>
        </w:tc>
        <w:tc>
          <w:tcPr>
            <w:tcW w:w="846" w:type="dxa"/>
            <w:hideMark/>
          </w:tcPr>
          <w:p w14:paraId="04F0582F"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1,452</w:t>
            </w:r>
          </w:p>
        </w:tc>
        <w:tc>
          <w:tcPr>
            <w:tcW w:w="944" w:type="dxa"/>
            <w:hideMark/>
          </w:tcPr>
          <w:p w14:paraId="1373A911"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1,562</w:t>
            </w:r>
          </w:p>
        </w:tc>
        <w:tc>
          <w:tcPr>
            <w:tcW w:w="1314" w:type="dxa"/>
            <w:hideMark/>
          </w:tcPr>
          <w:p w14:paraId="5729A82C"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110</w:t>
            </w:r>
          </w:p>
        </w:tc>
        <w:tc>
          <w:tcPr>
            <w:tcW w:w="1159" w:type="dxa"/>
            <w:hideMark/>
          </w:tcPr>
          <w:p w14:paraId="74258642"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7.60%</w:t>
            </w:r>
          </w:p>
        </w:tc>
      </w:tr>
      <w:tr w:rsidR="00A6240C" w14:paraId="524569F3" w14:textId="77777777" w:rsidTr="008556E5">
        <w:trPr>
          <w:trHeight w:val="183"/>
        </w:trPr>
        <w:tc>
          <w:tcPr>
            <w:cnfStyle w:val="001000000000" w:firstRow="0" w:lastRow="0" w:firstColumn="1" w:lastColumn="0" w:oddVBand="0" w:evenVBand="0" w:oddHBand="0" w:evenHBand="0" w:firstRowFirstColumn="0" w:firstRowLastColumn="0" w:lastRowFirstColumn="0" w:lastRowLastColumn="0"/>
            <w:tcW w:w="4370" w:type="dxa"/>
            <w:hideMark/>
          </w:tcPr>
          <w:p w14:paraId="3747A465" w14:textId="77777777" w:rsidR="00A6240C" w:rsidRPr="004F4BA7" w:rsidRDefault="00A6240C" w:rsidP="008E6E40">
            <w:pPr>
              <w:keepNext/>
              <w:rPr>
                <w:color w:val="auto"/>
                <w:lang w:eastAsia="en-GB"/>
              </w:rPr>
            </w:pPr>
            <w:r w:rsidRPr="004F4BA7">
              <w:rPr>
                <w:color w:val="auto"/>
                <w:lang w:eastAsia="en-GB"/>
              </w:rPr>
              <w:t>Total</w:t>
            </w:r>
          </w:p>
        </w:tc>
        <w:tc>
          <w:tcPr>
            <w:tcW w:w="846" w:type="dxa"/>
            <w:hideMark/>
          </w:tcPr>
          <w:p w14:paraId="527A7661"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38,290</w:t>
            </w:r>
          </w:p>
        </w:tc>
        <w:tc>
          <w:tcPr>
            <w:tcW w:w="944" w:type="dxa"/>
            <w:hideMark/>
          </w:tcPr>
          <w:p w14:paraId="3F1C5037"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49,883</w:t>
            </w:r>
          </w:p>
        </w:tc>
        <w:tc>
          <w:tcPr>
            <w:tcW w:w="1314" w:type="dxa"/>
            <w:hideMark/>
          </w:tcPr>
          <w:p w14:paraId="3C3E13D0"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11,592</w:t>
            </w:r>
          </w:p>
        </w:tc>
        <w:tc>
          <w:tcPr>
            <w:tcW w:w="1159" w:type="dxa"/>
            <w:hideMark/>
          </w:tcPr>
          <w:p w14:paraId="348AF77E"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30.30%</w:t>
            </w:r>
          </w:p>
        </w:tc>
      </w:tr>
      <w:tr w:rsidR="00A6240C" w14:paraId="0E1FBD5E" w14:textId="77777777" w:rsidTr="008556E5">
        <w:trPr>
          <w:trHeight w:val="313"/>
        </w:trPr>
        <w:tc>
          <w:tcPr>
            <w:cnfStyle w:val="001000000000" w:firstRow="0" w:lastRow="0" w:firstColumn="1" w:lastColumn="0" w:oddVBand="0" w:evenVBand="0" w:oddHBand="0" w:evenHBand="0" w:firstRowFirstColumn="0" w:firstRowLastColumn="0" w:lastRowFirstColumn="0" w:lastRowLastColumn="0"/>
            <w:tcW w:w="4370" w:type="dxa"/>
            <w:hideMark/>
          </w:tcPr>
          <w:p w14:paraId="4BFE6C90" w14:textId="77777777" w:rsidR="00A6240C" w:rsidRPr="004F4BA7" w:rsidRDefault="00A6240C" w:rsidP="008E6E40">
            <w:pPr>
              <w:keepNext/>
              <w:rPr>
                <w:color w:val="auto"/>
                <w:lang w:eastAsia="en-GB"/>
              </w:rPr>
            </w:pPr>
            <w:r w:rsidRPr="004F4BA7">
              <w:rPr>
                <w:color w:val="auto"/>
                <w:lang w:eastAsia="en-GB"/>
              </w:rPr>
              <w:t>Total households with dependent children</w:t>
            </w:r>
          </w:p>
        </w:tc>
        <w:tc>
          <w:tcPr>
            <w:tcW w:w="846" w:type="dxa"/>
            <w:hideMark/>
          </w:tcPr>
          <w:p w14:paraId="7A97AF9E"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12,020</w:t>
            </w:r>
          </w:p>
        </w:tc>
        <w:tc>
          <w:tcPr>
            <w:tcW w:w="944" w:type="dxa"/>
            <w:hideMark/>
          </w:tcPr>
          <w:p w14:paraId="28394267"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14,795</w:t>
            </w:r>
          </w:p>
        </w:tc>
        <w:tc>
          <w:tcPr>
            <w:tcW w:w="1314" w:type="dxa"/>
            <w:hideMark/>
          </w:tcPr>
          <w:p w14:paraId="37B52297"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2,775</w:t>
            </w:r>
          </w:p>
        </w:tc>
        <w:tc>
          <w:tcPr>
            <w:tcW w:w="1159" w:type="dxa"/>
            <w:hideMark/>
          </w:tcPr>
          <w:p w14:paraId="3AFCC509" w14:textId="77777777" w:rsidR="00A6240C" w:rsidRDefault="00A6240C"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23.10%</w:t>
            </w:r>
          </w:p>
        </w:tc>
      </w:tr>
    </w:tbl>
    <w:p w14:paraId="72B0837B" w14:textId="30E72F9C" w:rsidR="00A6240C" w:rsidRDefault="00A6240C" w:rsidP="008E6E40">
      <w:pPr>
        <w:pStyle w:val="Caption"/>
        <w:keepNext/>
        <w:spacing w:after="0"/>
        <w:ind w:firstLine="794"/>
        <w:rPr>
          <w:rFonts w:ascii="Arial" w:hAnsi="Arial" w:cs="Arial"/>
          <w:i w:val="0"/>
          <w:iCs w:val="0"/>
          <w:color w:val="auto"/>
          <w:sz w:val="24"/>
          <w:szCs w:val="24"/>
        </w:rPr>
      </w:pPr>
      <w:r>
        <w:rPr>
          <w:rFonts w:ascii="Arial" w:hAnsi="Arial" w:cs="Arial"/>
          <w:i w:val="0"/>
          <w:iCs w:val="0"/>
          <w:color w:val="auto"/>
          <w:sz w:val="20"/>
          <w:szCs w:val="20"/>
        </w:rPr>
        <w:t xml:space="preserve"> </w:t>
      </w:r>
      <w:r w:rsidRPr="008556E5">
        <w:rPr>
          <w:rFonts w:ascii="Arial" w:hAnsi="Arial" w:cs="Arial"/>
          <w:i w:val="0"/>
          <w:iCs w:val="0"/>
          <w:color w:val="auto"/>
          <w:sz w:val="24"/>
          <w:szCs w:val="24"/>
        </w:rPr>
        <w:t xml:space="preserve">Source: Demographic Projections based on ONS Data </w:t>
      </w:r>
    </w:p>
    <w:p w14:paraId="301A5036" w14:textId="77777777" w:rsidR="008556E5" w:rsidRPr="008556E5" w:rsidRDefault="008556E5" w:rsidP="008556E5">
      <w:pPr>
        <w:rPr>
          <w:lang w:eastAsia="en-GB"/>
        </w:rPr>
      </w:pPr>
    </w:p>
    <w:p w14:paraId="78B0F8B2" w14:textId="77777777" w:rsidR="00A6240C" w:rsidRDefault="00A6240C" w:rsidP="008556E5">
      <w:pPr>
        <w:pStyle w:val="Heading3"/>
      </w:pPr>
      <w:r>
        <w:t>Fenland</w:t>
      </w:r>
    </w:p>
    <w:p w14:paraId="3841BDF9" w14:textId="77777777" w:rsidR="00A6240C" w:rsidRDefault="00A6240C" w:rsidP="007D0FBF">
      <w:pPr>
        <w:pStyle w:val="11Bodytext"/>
      </w:pPr>
      <w:r>
        <w:t xml:space="preserve">The table below sets out the projected change in household types in Fenland.  In line with data at the level of the HMA, this shows large increases in older person households. There is also projected to be an increase of 18.8% in the number of households with dependent children (2,324). This equates to around 22% of all growth. </w:t>
      </w:r>
    </w:p>
    <w:p w14:paraId="4D21D64B" w14:textId="77777777" w:rsidR="00A6240C" w:rsidRDefault="00A6240C" w:rsidP="007D0FBF">
      <w:pPr>
        <w:pStyle w:val="11Bodytext"/>
      </w:pPr>
      <w:r>
        <w:t>The three categories for dependent children indicate, as with trends at the HMA level, that the majority of the growth in households with dependent children relates to households with one child. Indeed, in Fenland the number of households with three dependent children is forecast to fall slightly (-1.1%). Other households are also projected to increase substantially by 1,181 or 47.9%. It is also worth noting that younger couples (aged under 65) are forecast to fall (-18%).</w:t>
      </w:r>
    </w:p>
    <w:p w14:paraId="007A4433" w14:textId="77777777" w:rsidR="00A6240C" w:rsidRDefault="00A6240C" w:rsidP="003D5E23">
      <w:pPr>
        <w:pStyle w:val="Tableheading"/>
        <w:numPr>
          <w:ilvl w:val="0"/>
          <w:numId w:val="54"/>
        </w:numPr>
      </w:pPr>
      <w:r>
        <w:lastRenderedPageBreak/>
        <w:t>Projected Change in Household Types in Fenland, 2020-40</w:t>
      </w:r>
    </w:p>
    <w:tbl>
      <w:tblPr>
        <w:tblStyle w:val="TableGridLight1"/>
        <w:tblW w:w="8566" w:type="dxa"/>
        <w:tblInd w:w="794" w:type="dxa"/>
        <w:tblLook w:val="04A0" w:firstRow="1" w:lastRow="0" w:firstColumn="1" w:lastColumn="0" w:noHBand="0" w:noVBand="1"/>
      </w:tblPr>
      <w:tblGrid>
        <w:gridCol w:w="4451"/>
        <w:gridCol w:w="833"/>
        <w:gridCol w:w="828"/>
        <w:gridCol w:w="1322"/>
        <w:gridCol w:w="1132"/>
      </w:tblGrid>
      <w:tr w:rsidR="009E47B9" w:rsidRPr="009E47B9" w14:paraId="7C9BD306" w14:textId="77777777" w:rsidTr="008556E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51" w:type="dxa"/>
            <w:hideMark/>
          </w:tcPr>
          <w:p w14:paraId="6D970A81" w14:textId="77777777" w:rsidR="00A6240C" w:rsidRPr="009E47B9" w:rsidRDefault="00A6240C" w:rsidP="001D508A">
            <w:pPr>
              <w:rPr>
                <w:bCs/>
                <w:lang w:val="en-US" w:eastAsia="en-GB"/>
              </w:rPr>
            </w:pPr>
            <w:r w:rsidRPr="009E47B9">
              <w:rPr>
                <w:bCs/>
                <w:lang w:val="en-US" w:eastAsia="en-GB"/>
              </w:rPr>
              <w:t> </w:t>
            </w:r>
          </w:p>
        </w:tc>
        <w:tc>
          <w:tcPr>
            <w:tcW w:w="833" w:type="dxa"/>
            <w:hideMark/>
          </w:tcPr>
          <w:p w14:paraId="567AD69F" w14:textId="77777777" w:rsidR="00A6240C" w:rsidRPr="009E47B9" w:rsidRDefault="00A6240C" w:rsidP="001D508A">
            <w:pPr>
              <w:cnfStyle w:val="100000000000" w:firstRow="1"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2020</w:t>
            </w:r>
          </w:p>
        </w:tc>
        <w:tc>
          <w:tcPr>
            <w:tcW w:w="828" w:type="dxa"/>
            <w:hideMark/>
          </w:tcPr>
          <w:p w14:paraId="41887C63" w14:textId="77777777" w:rsidR="00A6240C" w:rsidRPr="009E47B9" w:rsidRDefault="00A6240C" w:rsidP="001D508A">
            <w:pPr>
              <w:cnfStyle w:val="100000000000" w:firstRow="1"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2040</w:t>
            </w:r>
          </w:p>
        </w:tc>
        <w:tc>
          <w:tcPr>
            <w:tcW w:w="1322" w:type="dxa"/>
            <w:hideMark/>
          </w:tcPr>
          <w:p w14:paraId="2C18A7A6" w14:textId="77777777" w:rsidR="00A6240C" w:rsidRPr="009E47B9" w:rsidRDefault="00A6240C" w:rsidP="001D508A">
            <w:pPr>
              <w:cnfStyle w:val="100000000000" w:firstRow="1"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Change in households</w:t>
            </w:r>
          </w:p>
        </w:tc>
        <w:tc>
          <w:tcPr>
            <w:tcW w:w="1132" w:type="dxa"/>
            <w:hideMark/>
          </w:tcPr>
          <w:p w14:paraId="48E4624C" w14:textId="77777777" w:rsidR="00A6240C" w:rsidRPr="009E47B9" w:rsidRDefault="00A6240C" w:rsidP="001D508A">
            <w:pPr>
              <w:cnfStyle w:val="100000000000" w:firstRow="1"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 Change</w:t>
            </w:r>
          </w:p>
        </w:tc>
      </w:tr>
      <w:tr w:rsidR="009E47B9" w:rsidRPr="009E47B9" w14:paraId="19C55A02" w14:textId="77777777" w:rsidTr="008556E5">
        <w:trPr>
          <w:trHeight w:val="157"/>
        </w:trPr>
        <w:tc>
          <w:tcPr>
            <w:cnfStyle w:val="001000000000" w:firstRow="0" w:lastRow="0" w:firstColumn="1" w:lastColumn="0" w:oddVBand="0" w:evenVBand="0" w:oddHBand="0" w:evenHBand="0" w:firstRowFirstColumn="0" w:firstRowLastColumn="0" w:lastRowFirstColumn="0" w:lastRowLastColumn="0"/>
            <w:tcW w:w="4451" w:type="dxa"/>
            <w:hideMark/>
          </w:tcPr>
          <w:p w14:paraId="00FB9015" w14:textId="77777777" w:rsidR="00A6240C" w:rsidRPr="004F4BA7" w:rsidRDefault="00A6240C" w:rsidP="001D508A">
            <w:pPr>
              <w:rPr>
                <w:lang w:val="en-US" w:eastAsia="en-GB"/>
              </w:rPr>
            </w:pPr>
            <w:r w:rsidRPr="004F4BA7">
              <w:rPr>
                <w:lang w:val="en-US" w:eastAsia="en-GB"/>
              </w:rPr>
              <w:t>One-person household (aged 65 and over)</w:t>
            </w:r>
          </w:p>
        </w:tc>
        <w:tc>
          <w:tcPr>
            <w:tcW w:w="833" w:type="dxa"/>
            <w:hideMark/>
          </w:tcPr>
          <w:p w14:paraId="4DD335B1"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6,459</w:t>
            </w:r>
          </w:p>
        </w:tc>
        <w:tc>
          <w:tcPr>
            <w:tcW w:w="828" w:type="dxa"/>
            <w:hideMark/>
          </w:tcPr>
          <w:p w14:paraId="3ABFACC1"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8,575</w:t>
            </w:r>
          </w:p>
        </w:tc>
        <w:tc>
          <w:tcPr>
            <w:tcW w:w="1322" w:type="dxa"/>
            <w:hideMark/>
          </w:tcPr>
          <w:p w14:paraId="66534B2B"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2,116</w:t>
            </w:r>
          </w:p>
        </w:tc>
        <w:tc>
          <w:tcPr>
            <w:tcW w:w="1132" w:type="dxa"/>
            <w:hideMark/>
          </w:tcPr>
          <w:p w14:paraId="24778F68"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32.80%</w:t>
            </w:r>
          </w:p>
        </w:tc>
      </w:tr>
      <w:tr w:rsidR="009E47B9" w:rsidRPr="009E47B9" w14:paraId="24C9F1E7" w14:textId="77777777" w:rsidTr="008556E5">
        <w:trPr>
          <w:trHeight w:val="296"/>
        </w:trPr>
        <w:tc>
          <w:tcPr>
            <w:cnfStyle w:val="001000000000" w:firstRow="0" w:lastRow="0" w:firstColumn="1" w:lastColumn="0" w:oddVBand="0" w:evenVBand="0" w:oddHBand="0" w:evenHBand="0" w:firstRowFirstColumn="0" w:firstRowLastColumn="0" w:lastRowFirstColumn="0" w:lastRowLastColumn="0"/>
            <w:tcW w:w="4451" w:type="dxa"/>
            <w:hideMark/>
          </w:tcPr>
          <w:p w14:paraId="431AAE4E" w14:textId="77777777" w:rsidR="00A6240C" w:rsidRPr="004F4BA7" w:rsidRDefault="00A6240C" w:rsidP="001D508A">
            <w:pPr>
              <w:rPr>
                <w:lang w:val="en-US" w:eastAsia="en-GB"/>
              </w:rPr>
            </w:pPr>
            <w:r w:rsidRPr="004F4BA7">
              <w:rPr>
                <w:lang w:val="en-US" w:eastAsia="en-GB"/>
              </w:rPr>
              <w:t>One-person household (aged under 65)</w:t>
            </w:r>
          </w:p>
        </w:tc>
        <w:tc>
          <w:tcPr>
            <w:tcW w:w="833" w:type="dxa"/>
            <w:hideMark/>
          </w:tcPr>
          <w:p w14:paraId="719DCD49"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6,203</w:t>
            </w:r>
          </w:p>
        </w:tc>
        <w:tc>
          <w:tcPr>
            <w:tcW w:w="828" w:type="dxa"/>
            <w:hideMark/>
          </w:tcPr>
          <w:p w14:paraId="4DD95963"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7,467</w:t>
            </w:r>
          </w:p>
        </w:tc>
        <w:tc>
          <w:tcPr>
            <w:tcW w:w="1322" w:type="dxa"/>
            <w:hideMark/>
          </w:tcPr>
          <w:p w14:paraId="26470C26"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1,263</w:t>
            </w:r>
          </w:p>
        </w:tc>
        <w:tc>
          <w:tcPr>
            <w:tcW w:w="1132" w:type="dxa"/>
            <w:hideMark/>
          </w:tcPr>
          <w:p w14:paraId="0EA9D7D6"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20.40%</w:t>
            </w:r>
          </w:p>
        </w:tc>
      </w:tr>
      <w:tr w:rsidR="009E47B9" w:rsidRPr="009E47B9" w14:paraId="613CE25E" w14:textId="77777777" w:rsidTr="008556E5">
        <w:trPr>
          <w:trHeight w:val="174"/>
        </w:trPr>
        <w:tc>
          <w:tcPr>
            <w:cnfStyle w:val="001000000000" w:firstRow="0" w:lastRow="0" w:firstColumn="1" w:lastColumn="0" w:oddVBand="0" w:evenVBand="0" w:oddHBand="0" w:evenHBand="0" w:firstRowFirstColumn="0" w:firstRowLastColumn="0" w:lastRowFirstColumn="0" w:lastRowLastColumn="0"/>
            <w:tcW w:w="4451" w:type="dxa"/>
            <w:hideMark/>
          </w:tcPr>
          <w:p w14:paraId="7251F77E" w14:textId="77777777" w:rsidR="00A6240C" w:rsidRPr="004F4BA7" w:rsidRDefault="00A6240C" w:rsidP="001D508A">
            <w:pPr>
              <w:rPr>
                <w:lang w:val="en-US" w:eastAsia="en-GB"/>
              </w:rPr>
            </w:pPr>
            <w:r w:rsidRPr="004F4BA7">
              <w:rPr>
                <w:lang w:val="en-US" w:eastAsia="en-GB"/>
              </w:rPr>
              <w:t>Couple (aged 65 and over)</w:t>
            </w:r>
          </w:p>
        </w:tc>
        <w:tc>
          <w:tcPr>
            <w:tcW w:w="833" w:type="dxa"/>
            <w:hideMark/>
          </w:tcPr>
          <w:p w14:paraId="4D908F0A"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7,119</w:t>
            </w:r>
          </w:p>
        </w:tc>
        <w:tc>
          <w:tcPr>
            <w:tcW w:w="828" w:type="dxa"/>
            <w:hideMark/>
          </w:tcPr>
          <w:p w14:paraId="3DCC4C9F"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10,904</w:t>
            </w:r>
          </w:p>
        </w:tc>
        <w:tc>
          <w:tcPr>
            <w:tcW w:w="1322" w:type="dxa"/>
            <w:hideMark/>
          </w:tcPr>
          <w:p w14:paraId="61A44F5E"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3,784</w:t>
            </w:r>
          </w:p>
        </w:tc>
        <w:tc>
          <w:tcPr>
            <w:tcW w:w="1132" w:type="dxa"/>
            <w:hideMark/>
          </w:tcPr>
          <w:p w14:paraId="7785C0A8"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53.20%</w:t>
            </w:r>
          </w:p>
        </w:tc>
      </w:tr>
      <w:tr w:rsidR="009E47B9" w:rsidRPr="009E47B9" w14:paraId="1C5742EE" w14:textId="77777777" w:rsidTr="008556E5">
        <w:trPr>
          <w:trHeight w:val="174"/>
        </w:trPr>
        <w:tc>
          <w:tcPr>
            <w:cnfStyle w:val="001000000000" w:firstRow="0" w:lastRow="0" w:firstColumn="1" w:lastColumn="0" w:oddVBand="0" w:evenVBand="0" w:oddHBand="0" w:evenHBand="0" w:firstRowFirstColumn="0" w:firstRowLastColumn="0" w:lastRowFirstColumn="0" w:lastRowLastColumn="0"/>
            <w:tcW w:w="4451" w:type="dxa"/>
            <w:hideMark/>
          </w:tcPr>
          <w:p w14:paraId="77C51B5E" w14:textId="77777777" w:rsidR="00A6240C" w:rsidRPr="004F4BA7" w:rsidRDefault="00A6240C" w:rsidP="001D508A">
            <w:pPr>
              <w:rPr>
                <w:lang w:val="en-US" w:eastAsia="en-GB"/>
              </w:rPr>
            </w:pPr>
            <w:r w:rsidRPr="004F4BA7">
              <w:rPr>
                <w:lang w:val="en-US" w:eastAsia="en-GB"/>
              </w:rPr>
              <w:t>Couple (aged under 65)</w:t>
            </w:r>
          </w:p>
        </w:tc>
        <w:tc>
          <w:tcPr>
            <w:tcW w:w="833" w:type="dxa"/>
            <w:hideMark/>
          </w:tcPr>
          <w:p w14:paraId="5FB7E294"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6,476</w:t>
            </w:r>
          </w:p>
        </w:tc>
        <w:tc>
          <w:tcPr>
            <w:tcW w:w="828" w:type="dxa"/>
            <w:hideMark/>
          </w:tcPr>
          <w:p w14:paraId="2C7C244E"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5,310</w:t>
            </w:r>
          </w:p>
        </w:tc>
        <w:tc>
          <w:tcPr>
            <w:tcW w:w="1322" w:type="dxa"/>
            <w:hideMark/>
          </w:tcPr>
          <w:p w14:paraId="31898453"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-1,167</w:t>
            </w:r>
          </w:p>
        </w:tc>
        <w:tc>
          <w:tcPr>
            <w:tcW w:w="1132" w:type="dxa"/>
            <w:hideMark/>
          </w:tcPr>
          <w:p w14:paraId="03A642A4"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-18.00%</w:t>
            </w:r>
          </w:p>
        </w:tc>
      </w:tr>
      <w:tr w:rsidR="009E47B9" w:rsidRPr="009E47B9" w14:paraId="4E80868C" w14:textId="77777777" w:rsidTr="008556E5">
        <w:trPr>
          <w:trHeight w:val="444"/>
        </w:trPr>
        <w:tc>
          <w:tcPr>
            <w:cnfStyle w:val="001000000000" w:firstRow="0" w:lastRow="0" w:firstColumn="1" w:lastColumn="0" w:oddVBand="0" w:evenVBand="0" w:oddHBand="0" w:evenHBand="0" w:firstRowFirstColumn="0" w:firstRowLastColumn="0" w:lastRowFirstColumn="0" w:lastRowLastColumn="0"/>
            <w:tcW w:w="4451" w:type="dxa"/>
            <w:hideMark/>
          </w:tcPr>
          <w:p w14:paraId="5AAF6486" w14:textId="77777777" w:rsidR="00A6240C" w:rsidRPr="004F4BA7" w:rsidRDefault="00A6240C" w:rsidP="001D508A">
            <w:pPr>
              <w:rPr>
                <w:lang w:val="en-US" w:eastAsia="en-GB"/>
              </w:rPr>
            </w:pPr>
            <w:r w:rsidRPr="004F4BA7">
              <w:rPr>
                <w:lang w:val="en-US" w:eastAsia="en-GB"/>
              </w:rPr>
              <w:t>A couple and one or more other adults: No dependent children</w:t>
            </w:r>
          </w:p>
        </w:tc>
        <w:tc>
          <w:tcPr>
            <w:tcW w:w="833" w:type="dxa"/>
            <w:hideMark/>
          </w:tcPr>
          <w:p w14:paraId="15B04E23"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3,493</w:t>
            </w:r>
          </w:p>
        </w:tc>
        <w:tc>
          <w:tcPr>
            <w:tcW w:w="828" w:type="dxa"/>
            <w:hideMark/>
          </w:tcPr>
          <w:p w14:paraId="27B245F2"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4,437</w:t>
            </w:r>
          </w:p>
        </w:tc>
        <w:tc>
          <w:tcPr>
            <w:tcW w:w="1322" w:type="dxa"/>
            <w:hideMark/>
          </w:tcPr>
          <w:p w14:paraId="7D321559"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944</w:t>
            </w:r>
          </w:p>
        </w:tc>
        <w:tc>
          <w:tcPr>
            <w:tcW w:w="1132" w:type="dxa"/>
            <w:hideMark/>
          </w:tcPr>
          <w:p w14:paraId="0569FFA1"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27.00%</w:t>
            </w:r>
          </w:p>
        </w:tc>
      </w:tr>
      <w:tr w:rsidR="009E47B9" w:rsidRPr="009E47B9" w14:paraId="5A36767E" w14:textId="77777777" w:rsidTr="008556E5">
        <w:trPr>
          <w:trHeight w:val="296"/>
        </w:trPr>
        <w:tc>
          <w:tcPr>
            <w:cnfStyle w:val="001000000000" w:firstRow="0" w:lastRow="0" w:firstColumn="1" w:lastColumn="0" w:oddVBand="0" w:evenVBand="0" w:oddHBand="0" w:evenHBand="0" w:firstRowFirstColumn="0" w:firstRowLastColumn="0" w:lastRowFirstColumn="0" w:lastRowLastColumn="0"/>
            <w:tcW w:w="4451" w:type="dxa"/>
            <w:hideMark/>
          </w:tcPr>
          <w:p w14:paraId="33B69881" w14:textId="77777777" w:rsidR="00A6240C" w:rsidRPr="004F4BA7" w:rsidRDefault="00A6240C" w:rsidP="001D508A">
            <w:pPr>
              <w:rPr>
                <w:lang w:val="en-US" w:eastAsia="en-GB"/>
              </w:rPr>
            </w:pPr>
            <w:r w:rsidRPr="004F4BA7">
              <w:rPr>
                <w:lang w:val="en-US" w:eastAsia="en-GB"/>
              </w:rPr>
              <w:t>Households with one dependent child</w:t>
            </w:r>
          </w:p>
        </w:tc>
        <w:tc>
          <w:tcPr>
            <w:tcW w:w="833" w:type="dxa"/>
            <w:hideMark/>
          </w:tcPr>
          <w:p w14:paraId="7F055910"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6,231</w:t>
            </w:r>
          </w:p>
        </w:tc>
        <w:tc>
          <w:tcPr>
            <w:tcW w:w="828" w:type="dxa"/>
            <w:hideMark/>
          </w:tcPr>
          <w:p w14:paraId="0B36B09A"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8,262</w:t>
            </w:r>
          </w:p>
        </w:tc>
        <w:tc>
          <w:tcPr>
            <w:tcW w:w="1322" w:type="dxa"/>
            <w:hideMark/>
          </w:tcPr>
          <w:p w14:paraId="4C21CC1A"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2,031</w:t>
            </w:r>
          </w:p>
        </w:tc>
        <w:tc>
          <w:tcPr>
            <w:tcW w:w="1132" w:type="dxa"/>
            <w:hideMark/>
          </w:tcPr>
          <w:p w14:paraId="479FD836"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32.60%</w:t>
            </w:r>
          </w:p>
        </w:tc>
      </w:tr>
      <w:tr w:rsidR="009E47B9" w:rsidRPr="009E47B9" w14:paraId="62024FBF" w14:textId="77777777" w:rsidTr="008556E5">
        <w:trPr>
          <w:trHeight w:val="296"/>
        </w:trPr>
        <w:tc>
          <w:tcPr>
            <w:cnfStyle w:val="001000000000" w:firstRow="0" w:lastRow="0" w:firstColumn="1" w:lastColumn="0" w:oddVBand="0" w:evenVBand="0" w:oddHBand="0" w:evenHBand="0" w:firstRowFirstColumn="0" w:firstRowLastColumn="0" w:lastRowFirstColumn="0" w:lastRowLastColumn="0"/>
            <w:tcW w:w="4451" w:type="dxa"/>
            <w:hideMark/>
          </w:tcPr>
          <w:p w14:paraId="766CA8AC" w14:textId="77777777" w:rsidR="00A6240C" w:rsidRPr="004F4BA7" w:rsidRDefault="00A6240C" w:rsidP="001D508A">
            <w:pPr>
              <w:rPr>
                <w:lang w:val="en-US" w:eastAsia="en-GB"/>
              </w:rPr>
            </w:pPr>
            <w:r w:rsidRPr="004F4BA7">
              <w:rPr>
                <w:lang w:val="en-US" w:eastAsia="en-GB"/>
              </w:rPr>
              <w:t>Households with two dependent children</w:t>
            </w:r>
          </w:p>
        </w:tc>
        <w:tc>
          <w:tcPr>
            <w:tcW w:w="833" w:type="dxa"/>
            <w:hideMark/>
          </w:tcPr>
          <w:p w14:paraId="418FB3B6"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4,359</w:t>
            </w:r>
          </w:p>
        </w:tc>
        <w:tc>
          <w:tcPr>
            <w:tcW w:w="828" w:type="dxa"/>
            <w:hideMark/>
          </w:tcPr>
          <w:p w14:paraId="40EE363E"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4,671</w:t>
            </w:r>
          </w:p>
        </w:tc>
        <w:tc>
          <w:tcPr>
            <w:tcW w:w="1322" w:type="dxa"/>
            <w:hideMark/>
          </w:tcPr>
          <w:p w14:paraId="0DA3BC4C"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312</w:t>
            </w:r>
          </w:p>
        </w:tc>
        <w:tc>
          <w:tcPr>
            <w:tcW w:w="1132" w:type="dxa"/>
            <w:hideMark/>
          </w:tcPr>
          <w:p w14:paraId="5D7B65EE"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7.20%</w:t>
            </w:r>
          </w:p>
        </w:tc>
      </w:tr>
      <w:tr w:rsidR="009E47B9" w:rsidRPr="009E47B9" w14:paraId="4DF6C34A" w14:textId="77777777" w:rsidTr="008556E5">
        <w:trPr>
          <w:trHeight w:val="296"/>
        </w:trPr>
        <w:tc>
          <w:tcPr>
            <w:cnfStyle w:val="001000000000" w:firstRow="0" w:lastRow="0" w:firstColumn="1" w:lastColumn="0" w:oddVBand="0" w:evenVBand="0" w:oddHBand="0" w:evenHBand="0" w:firstRowFirstColumn="0" w:firstRowLastColumn="0" w:lastRowFirstColumn="0" w:lastRowLastColumn="0"/>
            <w:tcW w:w="4451" w:type="dxa"/>
            <w:hideMark/>
          </w:tcPr>
          <w:p w14:paraId="0DBA4EFF" w14:textId="77777777" w:rsidR="00A6240C" w:rsidRPr="004F4BA7" w:rsidRDefault="00A6240C" w:rsidP="001D508A">
            <w:pPr>
              <w:rPr>
                <w:lang w:val="en-US" w:eastAsia="en-GB"/>
              </w:rPr>
            </w:pPr>
            <w:r w:rsidRPr="004F4BA7">
              <w:rPr>
                <w:lang w:val="en-US" w:eastAsia="en-GB"/>
              </w:rPr>
              <w:t>Households with three dependent children</w:t>
            </w:r>
          </w:p>
        </w:tc>
        <w:tc>
          <w:tcPr>
            <w:tcW w:w="833" w:type="dxa"/>
            <w:hideMark/>
          </w:tcPr>
          <w:p w14:paraId="3F7542BC"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1,773</w:t>
            </w:r>
          </w:p>
        </w:tc>
        <w:tc>
          <w:tcPr>
            <w:tcW w:w="828" w:type="dxa"/>
            <w:hideMark/>
          </w:tcPr>
          <w:p w14:paraId="108E05AF"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1,754</w:t>
            </w:r>
          </w:p>
        </w:tc>
        <w:tc>
          <w:tcPr>
            <w:tcW w:w="1322" w:type="dxa"/>
            <w:hideMark/>
          </w:tcPr>
          <w:p w14:paraId="337CC6D1"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-19</w:t>
            </w:r>
          </w:p>
        </w:tc>
        <w:tc>
          <w:tcPr>
            <w:tcW w:w="1132" w:type="dxa"/>
            <w:hideMark/>
          </w:tcPr>
          <w:p w14:paraId="54E41B43"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-1.10%</w:t>
            </w:r>
          </w:p>
        </w:tc>
      </w:tr>
      <w:tr w:rsidR="009E47B9" w:rsidRPr="009E47B9" w14:paraId="57D348F2" w14:textId="77777777" w:rsidTr="008556E5">
        <w:trPr>
          <w:trHeight w:val="174"/>
        </w:trPr>
        <w:tc>
          <w:tcPr>
            <w:cnfStyle w:val="001000000000" w:firstRow="0" w:lastRow="0" w:firstColumn="1" w:lastColumn="0" w:oddVBand="0" w:evenVBand="0" w:oddHBand="0" w:evenHBand="0" w:firstRowFirstColumn="0" w:firstRowLastColumn="0" w:lastRowFirstColumn="0" w:lastRowLastColumn="0"/>
            <w:tcW w:w="4451" w:type="dxa"/>
            <w:hideMark/>
          </w:tcPr>
          <w:p w14:paraId="0EAEC195" w14:textId="77777777" w:rsidR="00A6240C" w:rsidRPr="004F4BA7" w:rsidRDefault="00A6240C" w:rsidP="001D508A">
            <w:pPr>
              <w:rPr>
                <w:lang w:val="en-US" w:eastAsia="en-GB"/>
              </w:rPr>
            </w:pPr>
            <w:r w:rsidRPr="004F4BA7">
              <w:rPr>
                <w:lang w:val="en-US" w:eastAsia="en-GB"/>
              </w:rPr>
              <w:t>Other households</w:t>
            </w:r>
          </w:p>
        </w:tc>
        <w:tc>
          <w:tcPr>
            <w:tcW w:w="833" w:type="dxa"/>
            <w:hideMark/>
          </w:tcPr>
          <w:p w14:paraId="6145207B"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2,466</w:t>
            </w:r>
          </w:p>
        </w:tc>
        <w:tc>
          <w:tcPr>
            <w:tcW w:w="828" w:type="dxa"/>
            <w:hideMark/>
          </w:tcPr>
          <w:p w14:paraId="33FC0718"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3,647</w:t>
            </w:r>
          </w:p>
        </w:tc>
        <w:tc>
          <w:tcPr>
            <w:tcW w:w="1322" w:type="dxa"/>
            <w:hideMark/>
          </w:tcPr>
          <w:p w14:paraId="66A8F996"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1,181</w:t>
            </w:r>
          </w:p>
        </w:tc>
        <w:tc>
          <w:tcPr>
            <w:tcW w:w="1132" w:type="dxa"/>
            <w:hideMark/>
          </w:tcPr>
          <w:p w14:paraId="7B7BCF79"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47.90%</w:t>
            </w:r>
          </w:p>
        </w:tc>
      </w:tr>
      <w:tr w:rsidR="009E47B9" w:rsidRPr="009E47B9" w14:paraId="6F04B9F6" w14:textId="77777777" w:rsidTr="008556E5">
        <w:trPr>
          <w:trHeight w:val="174"/>
        </w:trPr>
        <w:tc>
          <w:tcPr>
            <w:cnfStyle w:val="001000000000" w:firstRow="0" w:lastRow="0" w:firstColumn="1" w:lastColumn="0" w:oddVBand="0" w:evenVBand="0" w:oddHBand="0" w:evenHBand="0" w:firstRowFirstColumn="0" w:firstRowLastColumn="0" w:lastRowFirstColumn="0" w:lastRowLastColumn="0"/>
            <w:tcW w:w="4451" w:type="dxa"/>
            <w:hideMark/>
          </w:tcPr>
          <w:p w14:paraId="5FA24CA5" w14:textId="77777777" w:rsidR="00A6240C" w:rsidRPr="004F4BA7" w:rsidRDefault="00A6240C" w:rsidP="001D508A">
            <w:pPr>
              <w:rPr>
                <w:lang w:val="en-US" w:eastAsia="en-GB"/>
              </w:rPr>
            </w:pPr>
            <w:r w:rsidRPr="004F4BA7">
              <w:rPr>
                <w:lang w:val="en-US" w:eastAsia="en-GB"/>
              </w:rPr>
              <w:t>Total</w:t>
            </w:r>
          </w:p>
        </w:tc>
        <w:tc>
          <w:tcPr>
            <w:tcW w:w="833" w:type="dxa"/>
            <w:hideMark/>
          </w:tcPr>
          <w:p w14:paraId="706342E2"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44,581</w:t>
            </w:r>
          </w:p>
        </w:tc>
        <w:tc>
          <w:tcPr>
            <w:tcW w:w="828" w:type="dxa"/>
            <w:hideMark/>
          </w:tcPr>
          <w:p w14:paraId="2B09DC5A"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55,027</w:t>
            </w:r>
          </w:p>
        </w:tc>
        <w:tc>
          <w:tcPr>
            <w:tcW w:w="1322" w:type="dxa"/>
            <w:hideMark/>
          </w:tcPr>
          <w:p w14:paraId="3457331A"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10,446</w:t>
            </w:r>
          </w:p>
        </w:tc>
        <w:tc>
          <w:tcPr>
            <w:tcW w:w="1132" w:type="dxa"/>
            <w:hideMark/>
          </w:tcPr>
          <w:p w14:paraId="10502E16"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bCs/>
                <w:lang w:val="en-US" w:eastAsia="en-GB"/>
              </w:rPr>
            </w:pPr>
            <w:r w:rsidRPr="009E47B9">
              <w:rPr>
                <w:bCs/>
                <w:lang w:val="en-US" w:eastAsia="en-GB"/>
              </w:rPr>
              <w:t>23.40%</w:t>
            </w:r>
          </w:p>
        </w:tc>
      </w:tr>
      <w:tr w:rsidR="009E47B9" w:rsidRPr="009E47B9" w14:paraId="2430F8F9" w14:textId="77777777" w:rsidTr="008556E5">
        <w:trPr>
          <w:trHeight w:val="296"/>
        </w:trPr>
        <w:tc>
          <w:tcPr>
            <w:cnfStyle w:val="001000000000" w:firstRow="0" w:lastRow="0" w:firstColumn="1" w:lastColumn="0" w:oddVBand="0" w:evenVBand="0" w:oddHBand="0" w:evenHBand="0" w:firstRowFirstColumn="0" w:firstRowLastColumn="0" w:lastRowFirstColumn="0" w:lastRowLastColumn="0"/>
            <w:tcW w:w="4451" w:type="dxa"/>
            <w:hideMark/>
          </w:tcPr>
          <w:p w14:paraId="235F0682" w14:textId="77777777" w:rsidR="00A6240C" w:rsidRPr="004F4BA7" w:rsidRDefault="00A6240C" w:rsidP="001D508A">
            <w:pPr>
              <w:rPr>
                <w:lang w:val="en-US" w:eastAsia="en-GB"/>
              </w:rPr>
            </w:pPr>
            <w:r w:rsidRPr="004F4BA7">
              <w:rPr>
                <w:lang w:val="en-US" w:eastAsia="en-GB"/>
              </w:rPr>
              <w:t>Total households with dependent children</w:t>
            </w:r>
          </w:p>
        </w:tc>
        <w:tc>
          <w:tcPr>
            <w:tcW w:w="833" w:type="dxa"/>
            <w:hideMark/>
          </w:tcPr>
          <w:p w14:paraId="0F8971AF"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12,364</w:t>
            </w:r>
          </w:p>
        </w:tc>
        <w:tc>
          <w:tcPr>
            <w:tcW w:w="828" w:type="dxa"/>
            <w:hideMark/>
          </w:tcPr>
          <w:p w14:paraId="26DB12DA"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14,688</w:t>
            </w:r>
          </w:p>
        </w:tc>
        <w:tc>
          <w:tcPr>
            <w:tcW w:w="1322" w:type="dxa"/>
            <w:hideMark/>
          </w:tcPr>
          <w:p w14:paraId="3D6F0B97"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2,324</w:t>
            </w:r>
          </w:p>
        </w:tc>
        <w:tc>
          <w:tcPr>
            <w:tcW w:w="1132" w:type="dxa"/>
            <w:hideMark/>
          </w:tcPr>
          <w:p w14:paraId="681C63E3" w14:textId="77777777" w:rsidR="00A6240C" w:rsidRPr="009E47B9" w:rsidRDefault="00A6240C" w:rsidP="001D508A">
            <w:pPr>
              <w:cnfStyle w:val="000000000000" w:firstRow="0" w:lastRow="0" w:firstColumn="0" w:lastColumn="0" w:oddVBand="0" w:evenVBand="0" w:oddHBand="0" w:evenHBand="0" w:firstRowFirstColumn="0" w:firstRowLastColumn="0" w:lastRowFirstColumn="0" w:lastRowLastColumn="0"/>
              <w:rPr>
                <w:lang w:val="en-US" w:eastAsia="en-GB"/>
              </w:rPr>
            </w:pPr>
            <w:r w:rsidRPr="009E47B9">
              <w:rPr>
                <w:lang w:val="en-US" w:eastAsia="en-GB"/>
              </w:rPr>
              <w:t>18.80%</w:t>
            </w:r>
          </w:p>
        </w:tc>
      </w:tr>
    </w:tbl>
    <w:p w14:paraId="05CC2574" w14:textId="77777777" w:rsidR="00A6240C" w:rsidRPr="008556E5" w:rsidRDefault="00A6240C" w:rsidP="00A6240C">
      <w:pPr>
        <w:pStyle w:val="Caption"/>
        <w:spacing w:after="120" w:line="360" w:lineRule="auto"/>
        <w:ind w:firstLine="794"/>
        <w:rPr>
          <w:rFonts w:ascii="Arial" w:hAnsi="Arial" w:cs="Arial"/>
          <w:i w:val="0"/>
          <w:iCs w:val="0"/>
          <w:color w:val="auto"/>
          <w:sz w:val="24"/>
          <w:szCs w:val="24"/>
        </w:rPr>
      </w:pPr>
      <w:r w:rsidRPr="008556E5">
        <w:rPr>
          <w:rFonts w:ascii="Arial" w:hAnsi="Arial" w:cs="Arial"/>
          <w:i w:val="0"/>
          <w:iCs w:val="0"/>
          <w:color w:val="auto"/>
          <w:sz w:val="24"/>
          <w:szCs w:val="24"/>
        </w:rPr>
        <w:t xml:space="preserve">Source: Demographic Projections based on ONS Data </w:t>
      </w:r>
    </w:p>
    <w:p w14:paraId="03C58113" w14:textId="77777777" w:rsidR="00A6240C" w:rsidRDefault="00A6240C" w:rsidP="008556E5">
      <w:pPr>
        <w:pStyle w:val="Heading3"/>
      </w:pPr>
      <w:r>
        <w:t>Huntingdonshire</w:t>
      </w:r>
    </w:p>
    <w:p w14:paraId="4AF576A4" w14:textId="77777777" w:rsidR="00A6240C" w:rsidRDefault="00A6240C" w:rsidP="007D0FBF">
      <w:pPr>
        <w:pStyle w:val="11Bodytext"/>
      </w:pPr>
      <w:r>
        <w:t xml:space="preserve">The table below sets out the projected change in household types in Huntingdonshire.  In line with data at the level of the HMA, this shows large increases in older person households. Also, there is projected to be an increase of 23.2% in the number of households with dependent children (5,370). This equates to around 28% of all growth. </w:t>
      </w:r>
    </w:p>
    <w:p w14:paraId="45D54905" w14:textId="77777777" w:rsidR="00A6240C" w:rsidRDefault="00A6240C" w:rsidP="007D0FBF">
      <w:pPr>
        <w:pStyle w:val="11Bodytext"/>
      </w:pPr>
      <w:r>
        <w:t>The three categories for dependent children indicate, as with trends at the HMA level, that the majority of the growth in households with dependent children relates to those with one child.  “Other households” are also projected to increase substantially by 1,902 or 45.1%.  It is also worth noting that younger couples (aged under 65) are forecast to fall (-18.3%).</w:t>
      </w:r>
    </w:p>
    <w:p w14:paraId="225F1DAF" w14:textId="77777777" w:rsidR="00A6240C" w:rsidRDefault="00A6240C" w:rsidP="00A6240C">
      <w:pPr>
        <w:spacing w:after="200"/>
        <w:rPr>
          <w:b/>
        </w:rPr>
      </w:pPr>
      <w:r>
        <w:br w:type="page"/>
      </w:r>
    </w:p>
    <w:p w14:paraId="36028663" w14:textId="77777777" w:rsidR="00A6240C" w:rsidRDefault="00A6240C" w:rsidP="003D5E23">
      <w:pPr>
        <w:pStyle w:val="Tableheading"/>
        <w:numPr>
          <w:ilvl w:val="0"/>
          <w:numId w:val="54"/>
        </w:numPr>
      </w:pPr>
      <w:r>
        <w:lastRenderedPageBreak/>
        <w:t>Projected Change in Household Types in Huntingdonshire, 2020-40</w:t>
      </w:r>
    </w:p>
    <w:tbl>
      <w:tblPr>
        <w:tblStyle w:val="TableGridLight1"/>
        <w:tblW w:w="8595" w:type="dxa"/>
        <w:tblInd w:w="846" w:type="dxa"/>
        <w:tblLook w:val="04A0" w:firstRow="1" w:lastRow="0" w:firstColumn="1" w:lastColumn="0" w:noHBand="0" w:noVBand="1"/>
      </w:tblPr>
      <w:tblGrid>
        <w:gridCol w:w="4441"/>
        <w:gridCol w:w="846"/>
        <w:gridCol w:w="826"/>
        <w:gridCol w:w="1337"/>
        <w:gridCol w:w="1145"/>
      </w:tblGrid>
      <w:tr w:rsidR="00A6240C" w14:paraId="7267C12F" w14:textId="77777777" w:rsidTr="008556E5">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19EA4634" w14:textId="77777777" w:rsidR="00A6240C" w:rsidRPr="009E47B9" w:rsidRDefault="00A6240C" w:rsidP="001D508A">
            <w:pPr>
              <w:spacing w:line="256" w:lineRule="auto"/>
              <w:rPr>
                <w:lang w:eastAsia="en-GB"/>
              </w:rPr>
            </w:pPr>
            <w:r w:rsidRPr="009E47B9">
              <w:rPr>
                <w:lang w:eastAsia="en-GB"/>
              </w:rPr>
              <w:t> </w:t>
            </w:r>
          </w:p>
        </w:tc>
        <w:tc>
          <w:tcPr>
            <w:tcW w:w="846" w:type="dxa"/>
            <w:hideMark/>
          </w:tcPr>
          <w:p w14:paraId="4B94023F"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2020</w:t>
            </w:r>
          </w:p>
        </w:tc>
        <w:tc>
          <w:tcPr>
            <w:tcW w:w="826" w:type="dxa"/>
            <w:hideMark/>
          </w:tcPr>
          <w:p w14:paraId="0826FE10"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2040</w:t>
            </w:r>
          </w:p>
        </w:tc>
        <w:tc>
          <w:tcPr>
            <w:tcW w:w="1337" w:type="dxa"/>
            <w:hideMark/>
          </w:tcPr>
          <w:p w14:paraId="5AED50C0"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Change in households</w:t>
            </w:r>
          </w:p>
        </w:tc>
        <w:tc>
          <w:tcPr>
            <w:tcW w:w="1145" w:type="dxa"/>
            <w:hideMark/>
          </w:tcPr>
          <w:p w14:paraId="5D3FC4A4" w14:textId="77777777" w:rsidR="00A6240C" w:rsidRPr="009E47B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9E47B9">
              <w:rPr>
                <w:lang w:eastAsia="en-GB"/>
              </w:rPr>
              <w:t>% Change</w:t>
            </w:r>
          </w:p>
        </w:tc>
      </w:tr>
      <w:tr w:rsidR="00A6240C" w14:paraId="134FABED" w14:textId="77777777" w:rsidTr="008556E5">
        <w:trPr>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116B20B6" w14:textId="77777777" w:rsidR="00A6240C" w:rsidRPr="004F4BA7" w:rsidRDefault="00A6240C" w:rsidP="001D508A">
            <w:pPr>
              <w:spacing w:line="256" w:lineRule="auto"/>
              <w:rPr>
                <w:lang w:eastAsia="en-GB"/>
              </w:rPr>
            </w:pPr>
            <w:r w:rsidRPr="004F4BA7">
              <w:rPr>
                <w:lang w:eastAsia="en-GB"/>
              </w:rPr>
              <w:t>One-person household (aged 65 and over)</w:t>
            </w:r>
          </w:p>
        </w:tc>
        <w:tc>
          <w:tcPr>
            <w:tcW w:w="846" w:type="dxa"/>
            <w:hideMark/>
          </w:tcPr>
          <w:p w14:paraId="55D2AAAD"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8,047</w:t>
            </w:r>
          </w:p>
        </w:tc>
        <w:tc>
          <w:tcPr>
            <w:tcW w:w="826" w:type="dxa"/>
            <w:hideMark/>
          </w:tcPr>
          <w:p w14:paraId="0DEA9068"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10,697</w:t>
            </w:r>
          </w:p>
        </w:tc>
        <w:tc>
          <w:tcPr>
            <w:tcW w:w="1337" w:type="dxa"/>
            <w:hideMark/>
          </w:tcPr>
          <w:p w14:paraId="7AB2AC49"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2,650</w:t>
            </w:r>
          </w:p>
        </w:tc>
        <w:tc>
          <w:tcPr>
            <w:tcW w:w="1145" w:type="dxa"/>
            <w:hideMark/>
          </w:tcPr>
          <w:p w14:paraId="338869CD"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32.90%</w:t>
            </w:r>
          </w:p>
        </w:tc>
      </w:tr>
      <w:tr w:rsidR="00A6240C" w14:paraId="3F1727C9" w14:textId="77777777" w:rsidTr="008556E5">
        <w:trPr>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72835D64" w14:textId="77777777" w:rsidR="00A6240C" w:rsidRPr="004F4BA7" w:rsidRDefault="00A6240C" w:rsidP="001D508A">
            <w:pPr>
              <w:spacing w:line="256" w:lineRule="auto"/>
              <w:rPr>
                <w:lang w:eastAsia="en-GB"/>
              </w:rPr>
            </w:pPr>
            <w:r w:rsidRPr="004F4BA7">
              <w:rPr>
                <w:lang w:eastAsia="en-GB"/>
              </w:rPr>
              <w:t>One-person household (aged under 65)</w:t>
            </w:r>
          </w:p>
        </w:tc>
        <w:tc>
          <w:tcPr>
            <w:tcW w:w="846" w:type="dxa"/>
            <w:hideMark/>
          </w:tcPr>
          <w:p w14:paraId="34A2AB4E"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11,056</w:t>
            </w:r>
          </w:p>
        </w:tc>
        <w:tc>
          <w:tcPr>
            <w:tcW w:w="826" w:type="dxa"/>
            <w:hideMark/>
          </w:tcPr>
          <w:p w14:paraId="5F92B16A"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13,401</w:t>
            </w:r>
          </w:p>
        </w:tc>
        <w:tc>
          <w:tcPr>
            <w:tcW w:w="1337" w:type="dxa"/>
            <w:hideMark/>
          </w:tcPr>
          <w:p w14:paraId="19AD26C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2,345</w:t>
            </w:r>
          </w:p>
        </w:tc>
        <w:tc>
          <w:tcPr>
            <w:tcW w:w="1145" w:type="dxa"/>
            <w:hideMark/>
          </w:tcPr>
          <w:p w14:paraId="22B61A2E"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21.20%</w:t>
            </w:r>
          </w:p>
        </w:tc>
      </w:tr>
      <w:tr w:rsidR="00A6240C" w14:paraId="014E8406" w14:textId="77777777" w:rsidTr="008556E5">
        <w:trPr>
          <w:trHeight w:val="175"/>
        </w:trPr>
        <w:tc>
          <w:tcPr>
            <w:cnfStyle w:val="001000000000" w:firstRow="0" w:lastRow="0" w:firstColumn="1" w:lastColumn="0" w:oddVBand="0" w:evenVBand="0" w:oddHBand="0" w:evenHBand="0" w:firstRowFirstColumn="0" w:firstRowLastColumn="0" w:lastRowFirstColumn="0" w:lastRowLastColumn="0"/>
            <w:tcW w:w="4441" w:type="dxa"/>
            <w:hideMark/>
          </w:tcPr>
          <w:p w14:paraId="765E1206" w14:textId="77777777" w:rsidR="00A6240C" w:rsidRPr="004F4BA7" w:rsidRDefault="00A6240C" w:rsidP="001D508A">
            <w:pPr>
              <w:spacing w:line="256" w:lineRule="auto"/>
              <w:rPr>
                <w:lang w:eastAsia="en-GB"/>
              </w:rPr>
            </w:pPr>
            <w:r w:rsidRPr="004F4BA7">
              <w:rPr>
                <w:lang w:eastAsia="en-GB"/>
              </w:rPr>
              <w:t>Couple (aged 65 and over)</w:t>
            </w:r>
          </w:p>
        </w:tc>
        <w:tc>
          <w:tcPr>
            <w:tcW w:w="846" w:type="dxa"/>
            <w:hideMark/>
          </w:tcPr>
          <w:p w14:paraId="11E65F60"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11,131</w:t>
            </w:r>
          </w:p>
        </w:tc>
        <w:tc>
          <w:tcPr>
            <w:tcW w:w="826" w:type="dxa"/>
            <w:hideMark/>
          </w:tcPr>
          <w:p w14:paraId="4DE5AEA1"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18,611</w:t>
            </w:r>
          </w:p>
        </w:tc>
        <w:tc>
          <w:tcPr>
            <w:tcW w:w="1337" w:type="dxa"/>
            <w:hideMark/>
          </w:tcPr>
          <w:p w14:paraId="7F693EA3"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7,480</w:t>
            </w:r>
          </w:p>
        </w:tc>
        <w:tc>
          <w:tcPr>
            <w:tcW w:w="1145" w:type="dxa"/>
            <w:hideMark/>
          </w:tcPr>
          <w:p w14:paraId="0394DF7E"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67.20%</w:t>
            </w:r>
          </w:p>
        </w:tc>
      </w:tr>
      <w:tr w:rsidR="00A6240C" w14:paraId="587395DB" w14:textId="77777777" w:rsidTr="008556E5">
        <w:trPr>
          <w:trHeight w:val="175"/>
        </w:trPr>
        <w:tc>
          <w:tcPr>
            <w:cnfStyle w:val="001000000000" w:firstRow="0" w:lastRow="0" w:firstColumn="1" w:lastColumn="0" w:oddVBand="0" w:evenVBand="0" w:oddHBand="0" w:evenHBand="0" w:firstRowFirstColumn="0" w:firstRowLastColumn="0" w:lastRowFirstColumn="0" w:lastRowLastColumn="0"/>
            <w:tcW w:w="4441" w:type="dxa"/>
            <w:hideMark/>
          </w:tcPr>
          <w:p w14:paraId="3C2B83D7" w14:textId="77777777" w:rsidR="00A6240C" w:rsidRPr="004F4BA7" w:rsidRDefault="00A6240C" w:rsidP="001D508A">
            <w:pPr>
              <w:spacing w:line="256" w:lineRule="auto"/>
              <w:rPr>
                <w:lang w:eastAsia="en-GB"/>
              </w:rPr>
            </w:pPr>
            <w:r w:rsidRPr="004F4BA7">
              <w:rPr>
                <w:lang w:eastAsia="en-GB"/>
              </w:rPr>
              <w:t>Couple (aged under 65)</w:t>
            </w:r>
          </w:p>
        </w:tc>
        <w:tc>
          <w:tcPr>
            <w:tcW w:w="846" w:type="dxa"/>
            <w:hideMark/>
          </w:tcPr>
          <w:p w14:paraId="6C6DA8A5"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12,131</w:t>
            </w:r>
          </w:p>
        </w:tc>
        <w:tc>
          <w:tcPr>
            <w:tcW w:w="826" w:type="dxa"/>
            <w:hideMark/>
          </w:tcPr>
          <w:p w14:paraId="45EBA991"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9,911</w:t>
            </w:r>
          </w:p>
        </w:tc>
        <w:tc>
          <w:tcPr>
            <w:tcW w:w="1337" w:type="dxa"/>
            <w:hideMark/>
          </w:tcPr>
          <w:p w14:paraId="7CD5019B"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-2,220</w:t>
            </w:r>
          </w:p>
        </w:tc>
        <w:tc>
          <w:tcPr>
            <w:tcW w:w="1145" w:type="dxa"/>
            <w:hideMark/>
          </w:tcPr>
          <w:p w14:paraId="12AB80A9"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-18.30%</w:t>
            </w:r>
          </w:p>
        </w:tc>
      </w:tr>
      <w:tr w:rsidR="00A6240C" w14:paraId="1AC199EB" w14:textId="77777777" w:rsidTr="008556E5">
        <w:trPr>
          <w:trHeight w:val="447"/>
        </w:trPr>
        <w:tc>
          <w:tcPr>
            <w:cnfStyle w:val="001000000000" w:firstRow="0" w:lastRow="0" w:firstColumn="1" w:lastColumn="0" w:oddVBand="0" w:evenVBand="0" w:oddHBand="0" w:evenHBand="0" w:firstRowFirstColumn="0" w:firstRowLastColumn="0" w:lastRowFirstColumn="0" w:lastRowLastColumn="0"/>
            <w:tcW w:w="4441" w:type="dxa"/>
            <w:hideMark/>
          </w:tcPr>
          <w:p w14:paraId="6548D0D1" w14:textId="77777777" w:rsidR="00A6240C" w:rsidRPr="004F4BA7" w:rsidRDefault="00A6240C" w:rsidP="001D508A">
            <w:pPr>
              <w:spacing w:line="256" w:lineRule="auto"/>
              <w:rPr>
                <w:lang w:eastAsia="en-GB"/>
              </w:rPr>
            </w:pPr>
            <w:r w:rsidRPr="004F4BA7">
              <w:rPr>
                <w:lang w:eastAsia="en-GB"/>
              </w:rPr>
              <w:t>A couple and one or more other adults: No dependent children</w:t>
            </w:r>
          </w:p>
        </w:tc>
        <w:tc>
          <w:tcPr>
            <w:tcW w:w="846" w:type="dxa"/>
            <w:hideMark/>
          </w:tcPr>
          <w:p w14:paraId="357FCF19"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6,021</w:t>
            </w:r>
          </w:p>
        </w:tc>
        <w:tc>
          <w:tcPr>
            <w:tcW w:w="826" w:type="dxa"/>
            <w:hideMark/>
          </w:tcPr>
          <w:p w14:paraId="0338BE83"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7,444</w:t>
            </w:r>
          </w:p>
        </w:tc>
        <w:tc>
          <w:tcPr>
            <w:tcW w:w="1337" w:type="dxa"/>
            <w:hideMark/>
          </w:tcPr>
          <w:p w14:paraId="32F1658F"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1,424</w:t>
            </w:r>
          </w:p>
        </w:tc>
        <w:tc>
          <w:tcPr>
            <w:tcW w:w="1145" w:type="dxa"/>
            <w:hideMark/>
          </w:tcPr>
          <w:p w14:paraId="71D1DABE"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23.60%</w:t>
            </w:r>
          </w:p>
        </w:tc>
      </w:tr>
      <w:tr w:rsidR="00A6240C" w14:paraId="41447D3B" w14:textId="77777777" w:rsidTr="008556E5">
        <w:trPr>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103A9F9F" w14:textId="77777777" w:rsidR="00A6240C" w:rsidRPr="004F4BA7" w:rsidRDefault="00A6240C" w:rsidP="001D508A">
            <w:pPr>
              <w:spacing w:line="256" w:lineRule="auto"/>
              <w:rPr>
                <w:lang w:eastAsia="en-GB"/>
              </w:rPr>
            </w:pPr>
            <w:r w:rsidRPr="004F4BA7">
              <w:rPr>
                <w:lang w:eastAsia="en-GB"/>
              </w:rPr>
              <w:t>Households with one dependent child</w:t>
            </w:r>
          </w:p>
        </w:tc>
        <w:tc>
          <w:tcPr>
            <w:tcW w:w="846" w:type="dxa"/>
            <w:hideMark/>
          </w:tcPr>
          <w:p w14:paraId="340A42A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10,577</w:t>
            </w:r>
          </w:p>
        </w:tc>
        <w:tc>
          <w:tcPr>
            <w:tcW w:w="826" w:type="dxa"/>
            <w:hideMark/>
          </w:tcPr>
          <w:p w14:paraId="08AC84E6"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14,506</w:t>
            </w:r>
          </w:p>
        </w:tc>
        <w:tc>
          <w:tcPr>
            <w:tcW w:w="1337" w:type="dxa"/>
            <w:hideMark/>
          </w:tcPr>
          <w:p w14:paraId="5D7318CF"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3,929</w:t>
            </w:r>
          </w:p>
        </w:tc>
        <w:tc>
          <w:tcPr>
            <w:tcW w:w="1145" w:type="dxa"/>
            <w:hideMark/>
          </w:tcPr>
          <w:p w14:paraId="238BB250"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37.20%</w:t>
            </w:r>
          </w:p>
        </w:tc>
      </w:tr>
      <w:tr w:rsidR="00A6240C" w14:paraId="31498750" w14:textId="77777777" w:rsidTr="008556E5">
        <w:trPr>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7B8515EC" w14:textId="77777777" w:rsidR="00A6240C" w:rsidRPr="004F4BA7" w:rsidRDefault="00A6240C" w:rsidP="001D508A">
            <w:pPr>
              <w:spacing w:line="256" w:lineRule="auto"/>
              <w:rPr>
                <w:lang w:eastAsia="en-GB"/>
              </w:rPr>
            </w:pPr>
            <w:r w:rsidRPr="004F4BA7">
              <w:rPr>
                <w:lang w:eastAsia="en-GB"/>
              </w:rPr>
              <w:t>Households with two dependent children</w:t>
            </w:r>
          </w:p>
        </w:tc>
        <w:tc>
          <w:tcPr>
            <w:tcW w:w="846" w:type="dxa"/>
            <w:hideMark/>
          </w:tcPr>
          <w:p w14:paraId="3BA7089A"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9,427</w:t>
            </w:r>
          </w:p>
        </w:tc>
        <w:tc>
          <w:tcPr>
            <w:tcW w:w="826" w:type="dxa"/>
            <w:hideMark/>
          </w:tcPr>
          <w:p w14:paraId="1201DE2E"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10,798</w:t>
            </w:r>
          </w:p>
        </w:tc>
        <w:tc>
          <w:tcPr>
            <w:tcW w:w="1337" w:type="dxa"/>
            <w:hideMark/>
          </w:tcPr>
          <w:p w14:paraId="6CB54334"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1,370</w:t>
            </w:r>
          </w:p>
        </w:tc>
        <w:tc>
          <w:tcPr>
            <w:tcW w:w="1145" w:type="dxa"/>
            <w:hideMark/>
          </w:tcPr>
          <w:p w14:paraId="00E02073"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14.50%</w:t>
            </w:r>
          </w:p>
        </w:tc>
      </w:tr>
      <w:tr w:rsidR="00A6240C" w14:paraId="40F7E0BE" w14:textId="77777777" w:rsidTr="008556E5">
        <w:trPr>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6CD8CFFE" w14:textId="77777777" w:rsidR="00A6240C" w:rsidRPr="004F4BA7" w:rsidRDefault="00A6240C" w:rsidP="001D508A">
            <w:pPr>
              <w:spacing w:line="256" w:lineRule="auto"/>
              <w:rPr>
                <w:lang w:eastAsia="en-GB"/>
              </w:rPr>
            </w:pPr>
            <w:r w:rsidRPr="004F4BA7">
              <w:rPr>
                <w:lang w:eastAsia="en-GB"/>
              </w:rPr>
              <w:t>Households with three dependent children</w:t>
            </w:r>
          </w:p>
        </w:tc>
        <w:tc>
          <w:tcPr>
            <w:tcW w:w="846" w:type="dxa"/>
            <w:hideMark/>
          </w:tcPr>
          <w:p w14:paraId="54B03700"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3,153</w:t>
            </w:r>
          </w:p>
        </w:tc>
        <w:tc>
          <w:tcPr>
            <w:tcW w:w="826" w:type="dxa"/>
            <w:hideMark/>
          </w:tcPr>
          <w:p w14:paraId="073AD6A4"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3,223</w:t>
            </w:r>
          </w:p>
        </w:tc>
        <w:tc>
          <w:tcPr>
            <w:tcW w:w="1337" w:type="dxa"/>
            <w:hideMark/>
          </w:tcPr>
          <w:p w14:paraId="77490AA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70</w:t>
            </w:r>
          </w:p>
        </w:tc>
        <w:tc>
          <w:tcPr>
            <w:tcW w:w="1145" w:type="dxa"/>
            <w:hideMark/>
          </w:tcPr>
          <w:p w14:paraId="482B520F"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2.20%</w:t>
            </w:r>
          </w:p>
        </w:tc>
      </w:tr>
      <w:tr w:rsidR="00A6240C" w14:paraId="097A1E7F" w14:textId="77777777" w:rsidTr="008556E5">
        <w:trPr>
          <w:trHeight w:val="175"/>
        </w:trPr>
        <w:tc>
          <w:tcPr>
            <w:cnfStyle w:val="001000000000" w:firstRow="0" w:lastRow="0" w:firstColumn="1" w:lastColumn="0" w:oddVBand="0" w:evenVBand="0" w:oddHBand="0" w:evenHBand="0" w:firstRowFirstColumn="0" w:firstRowLastColumn="0" w:lastRowFirstColumn="0" w:lastRowLastColumn="0"/>
            <w:tcW w:w="4441" w:type="dxa"/>
            <w:hideMark/>
          </w:tcPr>
          <w:p w14:paraId="0075A3F5" w14:textId="77777777" w:rsidR="00A6240C" w:rsidRPr="004F4BA7" w:rsidRDefault="00A6240C" w:rsidP="001D508A">
            <w:pPr>
              <w:spacing w:line="256" w:lineRule="auto"/>
              <w:rPr>
                <w:lang w:eastAsia="en-GB"/>
              </w:rPr>
            </w:pPr>
            <w:r w:rsidRPr="004F4BA7">
              <w:rPr>
                <w:lang w:eastAsia="en-GB"/>
              </w:rPr>
              <w:t>Other households</w:t>
            </w:r>
          </w:p>
        </w:tc>
        <w:tc>
          <w:tcPr>
            <w:tcW w:w="846" w:type="dxa"/>
            <w:hideMark/>
          </w:tcPr>
          <w:p w14:paraId="3C1F93B2"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4,221</w:t>
            </w:r>
          </w:p>
        </w:tc>
        <w:tc>
          <w:tcPr>
            <w:tcW w:w="826" w:type="dxa"/>
            <w:hideMark/>
          </w:tcPr>
          <w:p w14:paraId="2271D528"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6,123</w:t>
            </w:r>
          </w:p>
        </w:tc>
        <w:tc>
          <w:tcPr>
            <w:tcW w:w="1337" w:type="dxa"/>
            <w:hideMark/>
          </w:tcPr>
          <w:p w14:paraId="040B1509"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1,902</w:t>
            </w:r>
          </w:p>
        </w:tc>
        <w:tc>
          <w:tcPr>
            <w:tcW w:w="1145" w:type="dxa"/>
            <w:hideMark/>
          </w:tcPr>
          <w:p w14:paraId="3832A1E8"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45.10%</w:t>
            </w:r>
          </w:p>
        </w:tc>
      </w:tr>
      <w:tr w:rsidR="00A6240C" w14:paraId="3C89A539" w14:textId="77777777" w:rsidTr="008556E5">
        <w:trPr>
          <w:trHeight w:val="175"/>
        </w:trPr>
        <w:tc>
          <w:tcPr>
            <w:cnfStyle w:val="001000000000" w:firstRow="0" w:lastRow="0" w:firstColumn="1" w:lastColumn="0" w:oddVBand="0" w:evenVBand="0" w:oddHBand="0" w:evenHBand="0" w:firstRowFirstColumn="0" w:firstRowLastColumn="0" w:lastRowFirstColumn="0" w:lastRowLastColumn="0"/>
            <w:tcW w:w="4441" w:type="dxa"/>
            <w:hideMark/>
          </w:tcPr>
          <w:p w14:paraId="2CF0A01E" w14:textId="77777777" w:rsidR="00A6240C" w:rsidRPr="004F4BA7" w:rsidRDefault="00A6240C" w:rsidP="001D508A">
            <w:pPr>
              <w:spacing w:line="256" w:lineRule="auto"/>
              <w:rPr>
                <w:lang w:eastAsia="en-GB"/>
              </w:rPr>
            </w:pPr>
            <w:r w:rsidRPr="004F4BA7">
              <w:rPr>
                <w:lang w:eastAsia="en-GB"/>
              </w:rPr>
              <w:t>Total</w:t>
            </w:r>
          </w:p>
        </w:tc>
        <w:tc>
          <w:tcPr>
            <w:tcW w:w="846" w:type="dxa"/>
            <w:hideMark/>
          </w:tcPr>
          <w:p w14:paraId="263B584C"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75,763</w:t>
            </w:r>
          </w:p>
        </w:tc>
        <w:tc>
          <w:tcPr>
            <w:tcW w:w="826" w:type="dxa"/>
            <w:hideMark/>
          </w:tcPr>
          <w:p w14:paraId="4DB71454"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94,714</w:t>
            </w:r>
          </w:p>
        </w:tc>
        <w:tc>
          <w:tcPr>
            <w:tcW w:w="1337" w:type="dxa"/>
            <w:hideMark/>
          </w:tcPr>
          <w:p w14:paraId="0393C79D"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18,952</w:t>
            </w:r>
          </w:p>
        </w:tc>
        <w:tc>
          <w:tcPr>
            <w:tcW w:w="1145" w:type="dxa"/>
            <w:hideMark/>
          </w:tcPr>
          <w:p w14:paraId="575D977E"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25.00%</w:t>
            </w:r>
          </w:p>
        </w:tc>
      </w:tr>
      <w:tr w:rsidR="00A6240C" w14:paraId="7C01ABB2" w14:textId="77777777" w:rsidTr="008556E5">
        <w:trPr>
          <w:trHeight w:val="298"/>
        </w:trPr>
        <w:tc>
          <w:tcPr>
            <w:cnfStyle w:val="001000000000" w:firstRow="0" w:lastRow="0" w:firstColumn="1" w:lastColumn="0" w:oddVBand="0" w:evenVBand="0" w:oddHBand="0" w:evenHBand="0" w:firstRowFirstColumn="0" w:firstRowLastColumn="0" w:lastRowFirstColumn="0" w:lastRowLastColumn="0"/>
            <w:tcW w:w="4441" w:type="dxa"/>
            <w:hideMark/>
          </w:tcPr>
          <w:p w14:paraId="07945D7E" w14:textId="77777777" w:rsidR="00A6240C" w:rsidRPr="004F4BA7" w:rsidRDefault="00A6240C" w:rsidP="001D508A">
            <w:pPr>
              <w:spacing w:line="256" w:lineRule="auto"/>
              <w:rPr>
                <w:lang w:eastAsia="en-GB"/>
              </w:rPr>
            </w:pPr>
            <w:r w:rsidRPr="004F4BA7">
              <w:rPr>
                <w:lang w:eastAsia="en-GB"/>
              </w:rPr>
              <w:t>Total households with dependent children</w:t>
            </w:r>
          </w:p>
        </w:tc>
        <w:tc>
          <w:tcPr>
            <w:tcW w:w="846" w:type="dxa"/>
            <w:hideMark/>
          </w:tcPr>
          <w:p w14:paraId="61D35FD2"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23,157</w:t>
            </w:r>
          </w:p>
        </w:tc>
        <w:tc>
          <w:tcPr>
            <w:tcW w:w="826" w:type="dxa"/>
            <w:hideMark/>
          </w:tcPr>
          <w:p w14:paraId="050FEC36"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28,527</w:t>
            </w:r>
          </w:p>
        </w:tc>
        <w:tc>
          <w:tcPr>
            <w:tcW w:w="1337" w:type="dxa"/>
            <w:hideMark/>
          </w:tcPr>
          <w:p w14:paraId="4EE57CD4"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5,370</w:t>
            </w:r>
          </w:p>
        </w:tc>
        <w:tc>
          <w:tcPr>
            <w:tcW w:w="1145" w:type="dxa"/>
            <w:hideMark/>
          </w:tcPr>
          <w:p w14:paraId="54F2A71B" w14:textId="77777777" w:rsidR="00A6240C" w:rsidRPr="009E47B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9E47B9">
              <w:rPr>
                <w:lang w:eastAsia="en-GB"/>
              </w:rPr>
              <w:t>23.20%</w:t>
            </w:r>
          </w:p>
        </w:tc>
      </w:tr>
    </w:tbl>
    <w:p w14:paraId="6724B34A" w14:textId="77777777" w:rsidR="00A6240C" w:rsidRDefault="00A6240C" w:rsidP="00A6240C">
      <w:pPr>
        <w:pStyle w:val="Caption"/>
        <w:spacing w:after="120" w:line="360" w:lineRule="auto"/>
        <w:ind w:firstLine="794"/>
        <w:rPr>
          <w:rFonts w:ascii="Arial" w:hAnsi="Arial" w:cs="Arial"/>
          <w:i w:val="0"/>
          <w:iCs w:val="0"/>
          <w:color w:val="auto"/>
          <w:sz w:val="20"/>
          <w:szCs w:val="20"/>
        </w:rPr>
      </w:pPr>
      <w:r>
        <w:rPr>
          <w:rFonts w:ascii="Arial" w:hAnsi="Arial" w:cs="Arial"/>
          <w:i w:val="0"/>
          <w:iCs w:val="0"/>
          <w:color w:val="auto"/>
          <w:sz w:val="20"/>
          <w:szCs w:val="20"/>
        </w:rPr>
        <w:t xml:space="preserve"> </w:t>
      </w:r>
      <w:r w:rsidRPr="008556E5">
        <w:rPr>
          <w:rFonts w:ascii="Arial" w:hAnsi="Arial" w:cs="Arial"/>
          <w:i w:val="0"/>
          <w:iCs w:val="0"/>
          <w:color w:val="auto"/>
          <w:sz w:val="24"/>
          <w:szCs w:val="24"/>
        </w:rPr>
        <w:t>Source: Demographic Projections based on ONS Data</w:t>
      </w:r>
    </w:p>
    <w:p w14:paraId="05FEFFD1" w14:textId="77777777" w:rsidR="00A6240C" w:rsidRDefault="00A6240C" w:rsidP="008556E5">
      <w:pPr>
        <w:pStyle w:val="Heading3"/>
      </w:pPr>
      <w:r>
        <w:t>South Cambridgeshire</w:t>
      </w:r>
    </w:p>
    <w:p w14:paraId="22A8B7EA" w14:textId="77777777" w:rsidR="00A6240C" w:rsidRDefault="00A6240C" w:rsidP="007D0FBF">
      <w:pPr>
        <w:pStyle w:val="11Bodytext"/>
      </w:pPr>
      <w:r>
        <w:t xml:space="preserve">The table below sets out the projected change in household types in South Cambridgeshire. In line with data at the level of the HMA, this shows large increases in older person households. Also, there is projected to be an increase of 26.6% in the number of households with dependent children (5,517). This equates to around 26% of all growth. </w:t>
      </w:r>
    </w:p>
    <w:p w14:paraId="3DA44E52" w14:textId="77777777" w:rsidR="00A6240C" w:rsidRDefault="00A6240C" w:rsidP="007D0FBF">
      <w:pPr>
        <w:pStyle w:val="11Bodytext"/>
      </w:pPr>
      <w:r>
        <w:t>The three categories for dependent children indicate, as with trends at the HMA level, that the majority of the growth in households with dependent children relates to those with one child.  Other households are also projected to increase substantially by 1,910 or 55%. It is also worth noting that younger couples (aged under 65) are forecast to fall (4.7%), although this fall is modest in comparison with other areas.</w:t>
      </w:r>
    </w:p>
    <w:p w14:paraId="635D701C" w14:textId="77777777" w:rsidR="00A6240C" w:rsidRDefault="00A6240C" w:rsidP="00A6240C">
      <w:pPr>
        <w:spacing w:after="200"/>
        <w:rPr>
          <w:b/>
        </w:rPr>
      </w:pPr>
      <w:r>
        <w:br w:type="page"/>
      </w:r>
    </w:p>
    <w:p w14:paraId="12A2D796" w14:textId="77777777" w:rsidR="00A6240C" w:rsidRDefault="00A6240C" w:rsidP="003D5E23">
      <w:pPr>
        <w:pStyle w:val="Tableheading"/>
        <w:numPr>
          <w:ilvl w:val="0"/>
          <w:numId w:val="54"/>
        </w:numPr>
      </w:pPr>
      <w:r>
        <w:lastRenderedPageBreak/>
        <w:t>Projected Change in Household Types in South Cambridgeshire, 2020-40</w:t>
      </w:r>
    </w:p>
    <w:tbl>
      <w:tblPr>
        <w:tblStyle w:val="TableGridLight1"/>
        <w:tblW w:w="8505" w:type="dxa"/>
        <w:tblInd w:w="846" w:type="dxa"/>
        <w:tblLook w:val="04A0" w:firstRow="1" w:lastRow="0" w:firstColumn="1" w:lastColumn="0" w:noHBand="0" w:noVBand="1"/>
      </w:tblPr>
      <w:tblGrid>
        <w:gridCol w:w="4252"/>
        <w:gridCol w:w="851"/>
        <w:gridCol w:w="957"/>
        <w:gridCol w:w="1453"/>
        <w:gridCol w:w="992"/>
      </w:tblGrid>
      <w:tr w:rsidR="00DA49C9" w:rsidRPr="00DA49C9" w14:paraId="35DD0D61" w14:textId="77777777" w:rsidTr="00A830B2">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4252" w:type="dxa"/>
            <w:hideMark/>
          </w:tcPr>
          <w:p w14:paraId="0C35612C" w14:textId="77777777" w:rsidR="00A6240C" w:rsidRPr="00DA49C9" w:rsidRDefault="00A6240C" w:rsidP="001D508A">
            <w:pPr>
              <w:spacing w:line="256" w:lineRule="auto"/>
              <w:rPr>
                <w:lang w:eastAsia="en-GB"/>
              </w:rPr>
            </w:pPr>
            <w:r w:rsidRPr="00DA49C9">
              <w:rPr>
                <w:lang w:eastAsia="en-GB"/>
              </w:rPr>
              <w:t> </w:t>
            </w:r>
          </w:p>
        </w:tc>
        <w:tc>
          <w:tcPr>
            <w:tcW w:w="851" w:type="dxa"/>
            <w:hideMark/>
          </w:tcPr>
          <w:p w14:paraId="76DD99FE"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957" w:type="dxa"/>
            <w:hideMark/>
          </w:tcPr>
          <w:p w14:paraId="2E698A47"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453" w:type="dxa"/>
            <w:hideMark/>
          </w:tcPr>
          <w:p w14:paraId="21EA99F1"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992" w:type="dxa"/>
            <w:hideMark/>
          </w:tcPr>
          <w:p w14:paraId="4020655A"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1E53F0E1" w14:textId="77777777" w:rsidTr="00A830B2">
        <w:trPr>
          <w:trHeight w:val="256"/>
        </w:trPr>
        <w:tc>
          <w:tcPr>
            <w:cnfStyle w:val="001000000000" w:firstRow="0" w:lastRow="0" w:firstColumn="1" w:lastColumn="0" w:oddVBand="0" w:evenVBand="0" w:oddHBand="0" w:evenHBand="0" w:firstRowFirstColumn="0" w:firstRowLastColumn="0" w:lastRowFirstColumn="0" w:lastRowLastColumn="0"/>
            <w:tcW w:w="4252" w:type="dxa"/>
            <w:hideMark/>
          </w:tcPr>
          <w:p w14:paraId="7C571A5A" w14:textId="77777777" w:rsidR="00A6240C" w:rsidRPr="004F4BA7" w:rsidRDefault="00A6240C" w:rsidP="001D508A">
            <w:pPr>
              <w:spacing w:line="256" w:lineRule="auto"/>
              <w:rPr>
                <w:bCs/>
                <w:lang w:eastAsia="en-GB"/>
              </w:rPr>
            </w:pPr>
            <w:r w:rsidRPr="004F4BA7">
              <w:rPr>
                <w:bCs/>
                <w:lang w:eastAsia="en-GB"/>
              </w:rPr>
              <w:t>One-person household (aged 65 and over)</w:t>
            </w:r>
          </w:p>
        </w:tc>
        <w:tc>
          <w:tcPr>
            <w:tcW w:w="851" w:type="dxa"/>
            <w:hideMark/>
          </w:tcPr>
          <w:p w14:paraId="349ADFE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8,152</w:t>
            </w:r>
          </w:p>
        </w:tc>
        <w:tc>
          <w:tcPr>
            <w:tcW w:w="957" w:type="dxa"/>
            <w:hideMark/>
          </w:tcPr>
          <w:p w14:paraId="348CD92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11,347</w:t>
            </w:r>
          </w:p>
        </w:tc>
        <w:tc>
          <w:tcPr>
            <w:tcW w:w="1453" w:type="dxa"/>
            <w:hideMark/>
          </w:tcPr>
          <w:p w14:paraId="1A74133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3,195</w:t>
            </w:r>
          </w:p>
        </w:tc>
        <w:tc>
          <w:tcPr>
            <w:tcW w:w="992" w:type="dxa"/>
            <w:hideMark/>
          </w:tcPr>
          <w:p w14:paraId="7211576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39.20%</w:t>
            </w:r>
          </w:p>
        </w:tc>
      </w:tr>
      <w:tr w:rsidR="00DA49C9" w:rsidRPr="00DA49C9" w14:paraId="4741DC6B" w14:textId="77777777" w:rsidTr="00A830B2">
        <w:trPr>
          <w:trHeight w:val="91"/>
        </w:trPr>
        <w:tc>
          <w:tcPr>
            <w:cnfStyle w:val="001000000000" w:firstRow="0" w:lastRow="0" w:firstColumn="1" w:lastColumn="0" w:oddVBand="0" w:evenVBand="0" w:oddHBand="0" w:evenHBand="0" w:firstRowFirstColumn="0" w:firstRowLastColumn="0" w:lastRowFirstColumn="0" w:lastRowLastColumn="0"/>
            <w:tcW w:w="4252" w:type="dxa"/>
            <w:hideMark/>
          </w:tcPr>
          <w:p w14:paraId="154C9A05" w14:textId="77777777" w:rsidR="00A6240C" w:rsidRPr="004F4BA7" w:rsidRDefault="00A6240C" w:rsidP="001D508A">
            <w:pPr>
              <w:spacing w:line="256" w:lineRule="auto"/>
              <w:rPr>
                <w:bCs/>
                <w:lang w:eastAsia="en-GB"/>
              </w:rPr>
            </w:pPr>
            <w:r w:rsidRPr="004F4BA7">
              <w:rPr>
                <w:bCs/>
                <w:lang w:eastAsia="en-GB"/>
              </w:rPr>
              <w:t>One-person household (aged under 65)</w:t>
            </w:r>
          </w:p>
        </w:tc>
        <w:tc>
          <w:tcPr>
            <w:tcW w:w="851" w:type="dxa"/>
            <w:hideMark/>
          </w:tcPr>
          <w:p w14:paraId="36BD60B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8,284</w:t>
            </w:r>
          </w:p>
        </w:tc>
        <w:tc>
          <w:tcPr>
            <w:tcW w:w="957" w:type="dxa"/>
            <w:hideMark/>
          </w:tcPr>
          <w:p w14:paraId="1A3467C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10,739</w:t>
            </w:r>
          </w:p>
        </w:tc>
        <w:tc>
          <w:tcPr>
            <w:tcW w:w="1453" w:type="dxa"/>
            <w:hideMark/>
          </w:tcPr>
          <w:p w14:paraId="677F386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2,455</w:t>
            </w:r>
          </w:p>
        </w:tc>
        <w:tc>
          <w:tcPr>
            <w:tcW w:w="992" w:type="dxa"/>
            <w:hideMark/>
          </w:tcPr>
          <w:p w14:paraId="16A4B1B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29.60%</w:t>
            </w:r>
          </w:p>
        </w:tc>
      </w:tr>
      <w:tr w:rsidR="00DA49C9" w:rsidRPr="00DA49C9" w14:paraId="700A3C1D" w14:textId="77777777" w:rsidTr="00A830B2">
        <w:trPr>
          <w:trHeight w:val="307"/>
        </w:trPr>
        <w:tc>
          <w:tcPr>
            <w:cnfStyle w:val="001000000000" w:firstRow="0" w:lastRow="0" w:firstColumn="1" w:lastColumn="0" w:oddVBand="0" w:evenVBand="0" w:oddHBand="0" w:evenHBand="0" w:firstRowFirstColumn="0" w:firstRowLastColumn="0" w:lastRowFirstColumn="0" w:lastRowLastColumn="0"/>
            <w:tcW w:w="4252" w:type="dxa"/>
            <w:hideMark/>
          </w:tcPr>
          <w:p w14:paraId="44B1DE25" w14:textId="77777777" w:rsidR="00A6240C" w:rsidRPr="004F4BA7" w:rsidRDefault="00A6240C" w:rsidP="001D508A">
            <w:pPr>
              <w:spacing w:line="256" w:lineRule="auto"/>
              <w:rPr>
                <w:bCs/>
                <w:lang w:eastAsia="en-GB"/>
              </w:rPr>
            </w:pPr>
            <w:r w:rsidRPr="004F4BA7">
              <w:rPr>
                <w:bCs/>
                <w:lang w:eastAsia="en-GB"/>
              </w:rPr>
              <w:t>Couple (aged 65 and over)</w:t>
            </w:r>
          </w:p>
        </w:tc>
        <w:tc>
          <w:tcPr>
            <w:tcW w:w="851" w:type="dxa"/>
            <w:hideMark/>
          </w:tcPr>
          <w:p w14:paraId="76A4132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10,213</w:t>
            </w:r>
          </w:p>
        </w:tc>
        <w:tc>
          <w:tcPr>
            <w:tcW w:w="957" w:type="dxa"/>
            <w:hideMark/>
          </w:tcPr>
          <w:p w14:paraId="0F7F6D4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16,909</w:t>
            </w:r>
          </w:p>
        </w:tc>
        <w:tc>
          <w:tcPr>
            <w:tcW w:w="1453" w:type="dxa"/>
            <w:hideMark/>
          </w:tcPr>
          <w:p w14:paraId="268EFF0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6,696</w:t>
            </w:r>
          </w:p>
        </w:tc>
        <w:tc>
          <w:tcPr>
            <w:tcW w:w="992" w:type="dxa"/>
            <w:hideMark/>
          </w:tcPr>
          <w:p w14:paraId="56D9792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65.60%</w:t>
            </w:r>
          </w:p>
        </w:tc>
      </w:tr>
      <w:tr w:rsidR="00DA49C9" w:rsidRPr="00DA49C9" w14:paraId="13D08AAF" w14:textId="77777777" w:rsidTr="00A830B2">
        <w:trPr>
          <w:trHeight w:val="184"/>
        </w:trPr>
        <w:tc>
          <w:tcPr>
            <w:cnfStyle w:val="001000000000" w:firstRow="0" w:lastRow="0" w:firstColumn="1" w:lastColumn="0" w:oddVBand="0" w:evenVBand="0" w:oddHBand="0" w:evenHBand="0" w:firstRowFirstColumn="0" w:firstRowLastColumn="0" w:lastRowFirstColumn="0" w:lastRowLastColumn="0"/>
            <w:tcW w:w="4252" w:type="dxa"/>
            <w:hideMark/>
          </w:tcPr>
          <w:p w14:paraId="53B1080A" w14:textId="77777777" w:rsidR="00A6240C" w:rsidRPr="004F4BA7" w:rsidRDefault="00A6240C" w:rsidP="001D508A">
            <w:pPr>
              <w:spacing w:line="256" w:lineRule="auto"/>
              <w:rPr>
                <w:bCs/>
                <w:lang w:eastAsia="en-GB"/>
              </w:rPr>
            </w:pPr>
            <w:r w:rsidRPr="004F4BA7">
              <w:rPr>
                <w:bCs/>
                <w:lang w:eastAsia="en-GB"/>
              </w:rPr>
              <w:t>Couple (aged under 65)</w:t>
            </w:r>
          </w:p>
        </w:tc>
        <w:tc>
          <w:tcPr>
            <w:tcW w:w="851" w:type="dxa"/>
            <w:hideMark/>
          </w:tcPr>
          <w:p w14:paraId="498E49D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10,542</w:t>
            </w:r>
          </w:p>
        </w:tc>
        <w:tc>
          <w:tcPr>
            <w:tcW w:w="957" w:type="dxa"/>
            <w:hideMark/>
          </w:tcPr>
          <w:p w14:paraId="72B4822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10,048</w:t>
            </w:r>
          </w:p>
        </w:tc>
        <w:tc>
          <w:tcPr>
            <w:tcW w:w="1453" w:type="dxa"/>
            <w:hideMark/>
          </w:tcPr>
          <w:p w14:paraId="11F19DA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-494</w:t>
            </w:r>
          </w:p>
        </w:tc>
        <w:tc>
          <w:tcPr>
            <w:tcW w:w="992" w:type="dxa"/>
            <w:hideMark/>
          </w:tcPr>
          <w:p w14:paraId="7D3921B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-4.70%</w:t>
            </w:r>
          </w:p>
        </w:tc>
      </w:tr>
      <w:tr w:rsidR="00DA49C9" w:rsidRPr="00DA49C9" w14:paraId="60809E13" w14:textId="77777777" w:rsidTr="00A830B2">
        <w:trPr>
          <w:trHeight w:val="302"/>
        </w:trPr>
        <w:tc>
          <w:tcPr>
            <w:cnfStyle w:val="001000000000" w:firstRow="0" w:lastRow="0" w:firstColumn="1" w:lastColumn="0" w:oddVBand="0" w:evenVBand="0" w:oddHBand="0" w:evenHBand="0" w:firstRowFirstColumn="0" w:firstRowLastColumn="0" w:lastRowFirstColumn="0" w:lastRowLastColumn="0"/>
            <w:tcW w:w="4252" w:type="dxa"/>
            <w:hideMark/>
          </w:tcPr>
          <w:p w14:paraId="42651D70" w14:textId="77777777" w:rsidR="00A6240C" w:rsidRPr="004F4BA7" w:rsidRDefault="00A6240C" w:rsidP="001D508A">
            <w:pPr>
              <w:spacing w:line="256" w:lineRule="auto"/>
              <w:rPr>
                <w:bCs/>
                <w:lang w:eastAsia="en-GB"/>
              </w:rPr>
            </w:pPr>
            <w:r w:rsidRPr="004F4BA7">
              <w:rPr>
                <w:bCs/>
                <w:lang w:eastAsia="en-GB"/>
              </w:rPr>
              <w:t>A couple and one or more other adults: No dependent children</w:t>
            </w:r>
          </w:p>
        </w:tc>
        <w:tc>
          <w:tcPr>
            <w:tcW w:w="851" w:type="dxa"/>
            <w:hideMark/>
          </w:tcPr>
          <w:p w14:paraId="3C271E9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5,083</w:t>
            </w:r>
          </w:p>
        </w:tc>
        <w:tc>
          <w:tcPr>
            <w:tcW w:w="957" w:type="dxa"/>
            <w:hideMark/>
          </w:tcPr>
          <w:p w14:paraId="43CC621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6,873</w:t>
            </w:r>
          </w:p>
        </w:tc>
        <w:tc>
          <w:tcPr>
            <w:tcW w:w="1453" w:type="dxa"/>
            <w:hideMark/>
          </w:tcPr>
          <w:p w14:paraId="12DBD5C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1,789</w:t>
            </w:r>
          </w:p>
        </w:tc>
        <w:tc>
          <w:tcPr>
            <w:tcW w:w="992" w:type="dxa"/>
            <w:hideMark/>
          </w:tcPr>
          <w:p w14:paraId="16A55A2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35.20%</w:t>
            </w:r>
          </w:p>
        </w:tc>
      </w:tr>
      <w:tr w:rsidR="00DA49C9" w:rsidRPr="00DA49C9" w14:paraId="127A2426" w14:textId="77777777" w:rsidTr="00A830B2">
        <w:trPr>
          <w:trHeight w:val="281"/>
        </w:trPr>
        <w:tc>
          <w:tcPr>
            <w:cnfStyle w:val="001000000000" w:firstRow="0" w:lastRow="0" w:firstColumn="1" w:lastColumn="0" w:oddVBand="0" w:evenVBand="0" w:oddHBand="0" w:evenHBand="0" w:firstRowFirstColumn="0" w:firstRowLastColumn="0" w:lastRowFirstColumn="0" w:lastRowLastColumn="0"/>
            <w:tcW w:w="4252" w:type="dxa"/>
            <w:hideMark/>
          </w:tcPr>
          <w:p w14:paraId="413D2E2C" w14:textId="77777777" w:rsidR="00A6240C" w:rsidRPr="004F4BA7" w:rsidRDefault="00A6240C" w:rsidP="001D508A">
            <w:pPr>
              <w:spacing w:line="256" w:lineRule="auto"/>
              <w:rPr>
                <w:bCs/>
                <w:lang w:eastAsia="en-GB"/>
              </w:rPr>
            </w:pPr>
            <w:r w:rsidRPr="004F4BA7">
              <w:rPr>
                <w:bCs/>
                <w:lang w:eastAsia="en-GB"/>
              </w:rPr>
              <w:t>Households with one dependent child</w:t>
            </w:r>
          </w:p>
        </w:tc>
        <w:tc>
          <w:tcPr>
            <w:tcW w:w="851" w:type="dxa"/>
            <w:hideMark/>
          </w:tcPr>
          <w:p w14:paraId="63211DB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8,543</w:t>
            </w:r>
          </w:p>
        </w:tc>
        <w:tc>
          <w:tcPr>
            <w:tcW w:w="957" w:type="dxa"/>
            <w:hideMark/>
          </w:tcPr>
          <w:p w14:paraId="087D8CC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11,583</w:t>
            </w:r>
          </w:p>
        </w:tc>
        <w:tc>
          <w:tcPr>
            <w:tcW w:w="1453" w:type="dxa"/>
            <w:hideMark/>
          </w:tcPr>
          <w:p w14:paraId="538EC14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3,041</w:t>
            </w:r>
          </w:p>
        </w:tc>
        <w:tc>
          <w:tcPr>
            <w:tcW w:w="992" w:type="dxa"/>
            <w:hideMark/>
          </w:tcPr>
          <w:p w14:paraId="269A8F5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35.60%</w:t>
            </w:r>
          </w:p>
        </w:tc>
      </w:tr>
      <w:tr w:rsidR="00DA49C9" w:rsidRPr="00DA49C9" w14:paraId="52D699F5" w14:textId="77777777" w:rsidTr="00A830B2">
        <w:trPr>
          <w:trHeight w:val="243"/>
        </w:trPr>
        <w:tc>
          <w:tcPr>
            <w:cnfStyle w:val="001000000000" w:firstRow="0" w:lastRow="0" w:firstColumn="1" w:lastColumn="0" w:oddVBand="0" w:evenVBand="0" w:oddHBand="0" w:evenHBand="0" w:firstRowFirstColumn="0" w:firstRowLastColumn="0" w:lastRowFirstColumn="0" w:lastRowLastColumn="0"/>
            <w:tcW w:w="4252" w:type="dxa"/>
            <w:hideMark/>
          </w:tcPr>
          <w:p w14:paraId="72C97EF9" w14:textId="77777777" w:rsidR="00A6240C" w:rsidRPr="004F4BA7" w:rsidRDefault="00A6240C" w:rsidP="001D508A">
            <w:pPr>
              <w:spacing w:line="256" w:lineRule="auto"/>
              <w:rPr>
                <w:bCs/>
                <w:lang w:eastAsia="en-GB"/>
              </w:rPr>
            </w:pPr>
            <w:r w:rsidRPr="004F4BA7">
              <w:rPr>
                <w:bCs/>
                <w:lang w:eastAsia="en-GB"/>
              </w:rPr>
              <w:t>Households with two dependent children</w:t>
            </w:r>
          </w:p>
        </w:tc>
        <w:tc>
          <w:tcPr>
            <w:tcW w:w="851" w:type="dxa"/>
            <w:hideMark/>
          </w:tcPr>
          <w:p w14:paraId="3719070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9,173</w:t>
            </w:r>
          </w:p>
        </w:tc>
        <w:tc>
          <w:tcPr>
            <w:tcW w:w="957" w:type="dxa"/>
            <w:hideMark/>
          </w:tcPr>
          <w:p w14:paraId="562E5E3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11,326</w:t>
            </w:r>
          </w:p>
        </w:tc>
        <w:tc>
          <w:tcPr>
            <w:tcW w:w="1453" w:type="dxa"/>
            <w:hideMark/>
          </w:tcPr>
          <w:p w14:paraId="4BE2692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2,152</w:t>
            </w:r>
          </w:p>
        </w:tc>
        <w:tc>
          <w:tcPr>
            <w:tcW w:w="992" w:type="dxa"/>
            <w:hideMark/>
          </w:tcPr>
          <w:p w14:paraId="47E90E4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23.50%</w:t>
            </w:r>
          </w:p>
        </w:tc>
      </w:tr>
      <w:tr w:rsidR="00DA49C9" w:rsidRPr="00DA49C9" w14:paraId="3EDA59B6" w14:textId="77777777" w:rsidTr="00A830B2">
        <w:trPr>
          <w:trHeight w:val="234"/>
        </w:trPr>
        <w:tc>
          <w:tcPr>
            <w:cnfStyle w:val="001000000000" w:firstRow="0" w:lastRow="0" w:firstColumn="1" w:lastColumn="0" w:oddVBand="0" w:evenVBand="0" w:oddHBand="0" w:evenHBand="0" w:firstRowFirstColumn="0" w:firstRowLastColumn="0" w:lastRowFirstColumn="0" w:lastRowLastColumn="0"/>
            <w:tcW w:w="4252" w:type="dxa"/>
            <w:hideMark/>
          </w:tcPr>
          <w:p w14:paraId="0DDD1AC2" w14:textId="77777777" w:rsidR="00A6240C" w:rsidRPr="004F4BA7" w:rsidRDefault="00A6240C" w:rsidP="001D508A">
            <w:pPr>
              <w:spacing w:line="256" w:lineRule="auto"/>
              <w:rPr>
                <w:bCs/>
                <w:lang w:eastAsia="en-GB"/>
              </w:rPr>
            </w:pPr>
            <w:r w:rsidRPr="004F4BA7">
              <w:rPr>
                <w:bCs/>
                <w:lang w:eastAsia="en-GB"/>
              </w:rPr>
              <w:t>Households with three dependent children</w:t>
            </w:r>
          </w:p>
        </w:tc>
        <w:tc>
          <w:tcPr>
            <w:tcW w:w="851" w:type="dxa"/>
            <w:hideMark/>
          </w:tcPr>
          <w:p w14:paraId="7658344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3,054</w:t>
            </w:r>
          </w:p>
        </w:tc>
        <w:tc>
          <w:tcPr>
            <w:tcW w:w="957" w:type="dxa"/>
            <w:hideMark/>
          </w:tcPr>
          <w:p w14:paraId="30DA83A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3,378</w:t>
            </w:r>
          </w:p>
        </w:tc>
        <w:tc>
          <w:tcPr>
            <w:tcW w:w="1453" w:type="dxa"/>
            <w:hideMark/>
          </w:tcPr>
          <w:p w14:paraId="49F95AE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324</w:t>
            </w:r>
          </w:p>
        </w:tc>
        <w:tc>
          <w:tcPr>
            <w:tcW w:w="992" w:type="dxa"/>
            <w:hideMark/>
          </w:tcPr>
          <w:p w14:paraId="7E20794C"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10.60%</w:t>
            </w:r>
          </w:p>
        </w:tc>
      </w:tr>
      <w:tr w:rsidR="00DA49C9" w:rsidRPr="00DA49C9" w14:paraId="28BDF952" w14:textId="77777777" w:rsidTr="00A830B2">
        <w:trPr>
          <w:trHeight w:val="67"/>
        </w:trPr>
        <w:tc>
          <w:tcPr>
            <w:cnfStyle w:val="001000000000" w:firstRow="0" w:lastRow="0" w:firstColumn="1" w:lastColumn="0" w:oddVBand="0" w:evenVBand="0" w:oddHBand="0" w:evenHBand="0" w:firstRowFirstColumn="0" w:firstRowLastColumn="0" w:lastRowFirstColumn="0" w:lastRowLastColumn="0"/>
            <w:tcW w:w="4252" w:type="dxa"/>
            <w:hideMark/>
          </w:tcPr>
          <w:p w14:paraId="59B073C2" w14:textId="77777777" w:rsidR="00A6240C" w:rsidRPr="004F4BA7" w:rsidRDefault="00A6240C" w:rsidP="001D508A">
            <w:pPr>
              <w:spacing w:line="256" w:lineRule="auto"/>
              <w:rPr>
                <w:bCs/>
                <w:lang w:eastAsia="en-GB"/>
              </w:rPr>
            </w:pPr>
            <w:r w:rsidRPr="004F4BA7">
              <w:rPr>
                <w:bCs/>
                <w:lang w:eastAsia="en-GB"/>
              </w:rPr>
              <w:t>Other households</w:t>
            </w:r>
          </w:p>
        </w:tc>
        <w:tc>
          <w:tcPr>
            <w:tcW w:w="851" w:type="dxa"/>
            <w:hideMark/>
          </w:tcPr>
          <w:p w14:paraId="6155AEB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3,470</w:t>
            </w:r>
          </w:p>
        </w:tc>
        <w:tc>
          <w:tcPr>
            <w:tcW w:w="957" w:type="dxa"/>
            <w:hideMark/>
          </w:tcPr>
          <w:p w14:paraId="2F1DA3F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5,379</w:t>
            </w:r>
          </w:p>
        </w:tc>
        <w:tc>
          <w:tcPr>
            <w:tcW w:w="1453" w:type="dxa"/>
            <w:hideMark/>
          </w:tcPr>
          <w:p w14:paraId="1F28E92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1,910</w:t>
            </w:r>
          </w:p>
        </w:tc>
        <w:tc>
          <w:tcPr>
            <w:tcW w:w="992" w:type="dxa"/>
            <w:hideMark/>
          </w:tcPr>
          <w:p w14:paraId="7F84E7C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55.00%</w:t>
            </w:r>
          </w:p>
        </w:tc>
      </w:tr>
      <w:tr w:rsidR="00DA49C9" w:rsidRPr="00DA49C9" w14:paraId="3AA80A80" w14:textId="77777777" w:rsidTr="00A830B2">
        <w:trPr>
          <w:trHeight w:val="186"/>
        </w:trPr>
        <w:tc>
          <w:tcPr>
            <w:cnfStyle w:val="001000000000" w:firstRow="0" w:lastRow="0" w:firstColumn="1" w:lastColumn="0" w:oddVBand="0" w:evenVBand="0" w:oddHBand="0" w:evenHBand="0" w:firstRowFirstColumn="0" w:firstRowLastColumn="0" w:lastRowFirstColumn="0" w:lastRowLastColumn="0"/>
            <w:tcW w:w="4252" w:type="dxa"/>
            <w:hideMark/>
          </w:tcPr>
          <w:p w14:paraId="1B1281DA" w14:textId="77777777" w:rsidR="00A6240C" w:rsidRPr="004F4BA7" w:rsidRDefault="00A6240C" w:rsidP="001D508A">
            <w:pPr>
              <w:spacing w:line="256" w:lineRule="auto"/>
              <w:rPr>
                <w:bCs/>
                <w:lang w:eastAsia="en-GB"/>
              </w:rPr>
            </w:pPr>
            <w:r w:rsidRPr="004F4BA7">
              <w:rPr>
                <w:bCs/>
                <w:lang w:eastAsia="en-GB"/>
              </w:rPr>
              <w:t>Total</w:t>
            </w:r>
          </w:p>
        </w:tc>
        <w:tc>
          <w:tcPr>
            <w:tcW w:w="851" w:type="dxa"/>
            <w:hideMark/>
          </w:tcPr>
          <w:p w14:paraId="300C517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66,514</w:t>
            </w:r>
          </w:p>
        </w:tc>
        <w:tc>
          <w:tcPr>
            <w:tcW w:w="957" w:type="dxa"/>
            <w:hideMark/>
          </w:tcPr>
          <w:p w14:paraId="639E818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87,582</w:t>
            </w:r>
          </w:p>
        </w:tc>
        <w:tc>
          <w:tcPr>
            <w:tcW w:w="1453" w:type="dxa"/>
            <w:hideMark/>
          </w:tcPr>
          <w:p w14:paraId="52DBC11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21,068</w:t>
            </w:r>
          </w:p>
        </w:tc>
        <w:tc>
          <w:tcPr>
            <w:tcW w:w="992" w:type="dxa"/>
            <w:hideMark/>
          </w:tcPr>
          <w:p w14:paraId="538BF0F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31.70%</w:t>
            </w:r>
          </w:p>
        </w:tc>
      </w:tr>
      <w:tr w:rsidR="00DA49C9" w:rsidRPr="00DA49C9" w14:paraId="1FCA352C" w14:textId="77777777" w:rsidTr="00A830B2">
        <w:trPr>
          <w:trHeight w:val="175"/>
        </w:trPr>
        <w:tc>
          <w:tcPr>
            <w:cnfStyle w:val="001000000000" w:firstRow="0" w:lastRow="0" w:firstColumn="1" w:lastColumn="0" w:oddVBand="0" w:evenVBand="0" w:oddHBand="0" w:evenHBand="0" w:firstRowFirstColumn="0" w:firstRowLastColumn="0" w:lastRowFirstColumn="0" w:lastRowLastColumn="0"/>
            <w:tcW w:w="4252" w:type="dxa"/>
            <w:hideMark/>
          </w:tcPr>
          <w:p w14:paraId="5BA79103" w14:textId="77777777" w:rsidR="00A6240C" w:rsidRPr="004F4BA7" w:rsidRDefault="00A6240C" w:rsidP="001D508A">
            <w:pPr>
              <w:spacing w:line="256" w:lineRule="auto"/>
              <w:rPr>
                <w:bCs/>
                <w:lang w:eastAsia="en-GB"/>
              </w:rPr>
            </w:pPr>
            <w:r w:rsidRPr="004F4BA7">
              <w:rPr>
                <w:bCs/>
                <w:lang w:eastAsia="en-GB"/>
              </w:rPr>
              <w:t>Total households with dependent children</w:t>
            </w:r>
          </w:p>
        </w:tc>
        <w:tc>
          <w:tcPr>
            <w:tcW w:w="851" w:type="dxa"/>
            <w:hideMark/>
          </w:tcPr>
          <w:p w14:paraId="467308F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20,770</w:t>
            </w:r>
          </w:p>
        </w:tc>
        <w:tc>
          <w:tcPr>
            <w:tcW w:w="957" w:type="dxa"/>
            <w:hideMark/>
          </w:tcPr>
          <w:p w14:paraId="462CB72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26,287</w:t>
            </w:r>
          </w:p>
        </w:tc>
        <w:tc>
          <w:tcPr>
            <w:tcW w:w="1453" w:type="dxa"/>
            <w:hideMark/>
          </w:tcPr>
          <w:p w14:paraId="3C7AA2C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5,517</w:t>
            </w:r>
          </w:p>
        </w:tc>
        <w:tc>
          <w:tcPr>
            <w:tcW w:w="992" w:type="dxa"/>
            <w:hideMark/>
          </w:tcPr>
          <w:p w14:paraId="47C3060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26.60%</w:t>
            </w:r>
          </w:p>
        </w:tc>
      </w:tr>
    </w:tbl>
    <w:p w14:paraId="2B66A689" w14:textId="77777777" w:rsidR="00A6240C" w:rsidRPr="008556E5" w:rsidRDefault="00A6240C" w:rsidP="00A6240C">
      <w:pPr>
        <w:pStyle w:val="Caption"/>
        <w:spacing w:after="120" w:line="360" w:lineRule="auto"/>
        <w:ind w:firstLine="794"/>
        <w:rPr>
          <w:rFonts w:ascii="Arial" w:hAnsi="Arial" w:cs="Arial"/>
          <w:i w:val="0"/>
          <w:iCs w:val="0"/>
          <w:color w:val="auto"/>
          <w:sz w:val="24"/>
          <w:szCs w:val="24"/>
        </w:rPr>
      </w:pPr>
      <w:r w:rsidRPr="008556E5">
        <w:rPr>
          <w:rFonts w:ascii="Arial" w:hAnsi="Arial" w:cs="Arial"/>
          <w:i w:val="0"/>
          <w:iCs w:val="0"/>
          <w:color w:val="auto"/>
          <w:sz w:val="24"/>
          <w:szCs w:val="24"/>
        </w:rPr>
        <w:t xml:space="preserve"> Source: Demographic Projections based on ONS Data</w:t>
      </w:r>
    </w:p>
    <w:p w14:paraId="1C0FAF89" w14:textId="77777777" w:rsidR="00A6240C" w:rsidRDefault="00A6240C" w:rsidP="008556E5">
      <w:pPr>
        <w:pStyle w:val="Heading3"/>
      </w:pPr>
      <w:r>
        <w:t>West Suffolk</w:t>
      </w:r>
    </w:p>
    <w:p w14:paraId="20CDE57A" w14:textId="77777777" w:rsidR="00A6240C" w:rsidRDefault="00A6240C" w:rsidP="007D0FBF">
      <w:pPr>
        <w:pStyle w:val="11Bodytext"/>
      </w:pPr>
      <w:r>
        <w:t xml:space="preserve">The table below sets out the projected change in household types in West Suffolk. In line with data at the level of the HMA, this shows large increases in older person households.  Also, there is projected to be an increase of 16.5% in the number of households with dependent children (3,857). This equates to around 25% of all growth. </w:t>
      </w:r>
    </w:p>
    <w:p w14:paraId="15E93078" w14:textId="77777777" w:rsidR="00A6240C" w:rsidRDefault="00A6240C" w:rsidP="007D0FBF">
      <w:pPr>
        <w:pStyle w:val="11Bodytext"/>
      </w:pPr>
      <w:r>
        <w:t>The three categories for dependent children indicate, as with trends at the HMA level, that the majority of the growth in households with dependent children relates to those with one child. Other households are also projected to increase substantially by 2,976 or 55.5%.  It is also worth noting that younger couples (aged under 65) are forecast to fall (-16.9%).</w:t>
      </w:r>
    </w:p>
    <w:p w14:paraId="2DF53972" w14:textId="77777777" w:rsidR="00A6240C" w:rsidRDefault="00A6240C" w:rsidP="00A6240C">
      <w:pPr>
        <w:rPr>
          <w:lang w:eastAsia="en-GB"/>
        </w:rPr>
      </w:pPr>
    </w:p>
    <w:p w14:paraId="33A999B0" w14:textId="77777777" w:rsidR="00A6240C" w:rsidRDefault="00A6240C" w:rsidP="00A6240C">
      <w:pPr>
        <w:spacing w:after="200"/>
        <w:rPr>
          <w:b/>
        </w:rPr>
      </w:pPr>
      <w:r>
        <w:br w:type="page"/>
      </w:r>
    </w:p>
    <w:p w14:paraId="0C79D586" w14:textId="77777777" w:rsidR="00A6240C" w:rsidRDefault="00A6240C" w:rsidP="003D5E23">
      <w:pPr>
        <w:pStyle w:val="Tableheading"/>
        <w:numPr>
          <w:ilvl w:val="0"/>
          <w:numId w:val="54"/>
        </w:numPr>
      </w:pPr>
      <w:r>
        <w:lastRenderedPageBreak/>
        <w:t>Projected Change in Household Types in West Suffolk, 2020-40</w:t>
      </w:r>
    </w:p>
    <w:tbl>
      <w:tblPr>
        <w:tblStyle w:val="TableGridLight1"/>
        <w:tblW w:w="8662" w:type="dxa"/>
        <w:tblInd w:w="789" w:type="dxa"/>
        <w:tblLook w:val="04A0" w:firstRow="1" w:lastRow="0" w:firstColumn="1" w:lastColumn="0" w:noHBand="0" w:noVBand="1"/>
      </w:tblPr>
      <w:tblGrid>
        <w:gridCol w:w="4360"/>
        <w:gridCol w:w="861"/>
        <w:gridCol w:w="956"/>
        <w:gridCol w:w="1338"/>
        <w:gridCol w:w="1147"/>
      </w:tblGrid>
      <w:tr w:rsidR="00DA49C9" w:rsidRPr="00DA49C9" w14:paraId="7EF54B5C" w14:textId="77777777" w:rsidTr="00A830B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39012E54" w14:textId="77777777" w:rsidR="00A6240C" w:rsidRPr="00DA49C9" w:rsidRDefault="00A6240C" w:rsidP="001D508A">
            <w:pPr>
              <w:spacing w:line="256" w:lineRule="auto"/>
              <w:rPr>
                <w:lang w:eastAsia="en-GB"/>
              </w:rPr>
            </w:pPr>
            <w:r w:rsidRPr="00DA49C9">
              <w:rPr>
                <w:lang w:eastAsia="en-GB"/>
              </w:rPr>
              <w:t> </w:t>
            </w:r>
          </w:p>
        </w:tc>
        <w:tc>
          <w:tcPr>
            <w:tcW w:w="861" w:type="dxa"/>
            <w:hideMark/>
          </w:tcPr>
          <w:p w14:paraId="7D5B0C47"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956" w:type="dxa"/>
            <w:hideMark/>
          </w:tcPr>
          <w:p w14:paraId="28F2EFBD"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338" w:type="dxa"/>
            <w:hideMark/>
          </w:tcPr>
          <w:p w14:paraId="0AE3E787"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147" w:type="dxa"/>
            <w:hideMark/>
          </w:tcPr>
          <w:p w14:paraId="6435CC8E"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0663349F" w14:textId="77777777" w:rsidTr="00A830B2">
        <w:trPr>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2358F838" w14:textId="77777777" w:rsidR="00A6240C" w:rsidRPr="004F4BA7" w:rsidRDefault="00A6240C" w:rsidP="001D508A">
            <w:pPr>
              <w:spacing w:line="256" w:lineRule="auto"/>
              <w:rPr>
                <w:bCs/>
                <w:lang w:eastAsia="en-GB"/>
              </w:rPr>
            </w:pPr>
            <w:r w:rsidRPr="004F4BA7">
              <w:rPr>
                <w:bCs/>
                <w:lang w:eastAsia="en-GB"/>
              </w:rPr>
              <w:t>One-person household (aged 65 and over)</w:t>
            </w:r>
          </w:p>
        </w:tc>
        <w:tc>
          <w:tcPr>
            <w:tcW w:w="861" w:type="dxa"/>
            <w:hideMark/>
          </w:tcPr>
          <w:p w14:paraId="2737301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9,414</w:t>
            </w:r>
          </w:p>
        </w:tc>
        <w:tc>
          <w:tcPr>
            <w:tcW w:w="956" w:type="dxa"/>
            <w:hideMark/>
          </w:tcPr>
          <w:p w14:paraId="0B3DDC7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11,662</w:t>
            </w:r>
          </w:p>
        </w:tc>
        <w:tc>
          <w:tcPr>
            <w:tcW w:w="1338" w:type="dxa"/>
            <w:hideMark/>
          </w:tcPr>
          <w:p w14:paraId="5F3ECA5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2,249</w:t>
            </w:r>
          </w:p>
        </w:tc>
        <w:tc>
          <w:tcPr>
            <w:tcW w:w="1147" w:type="dxa"/>
            <w:hideMark/>
          </w:tcPr>
          <w:p w14:paraId="06E47B8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23.90%</w:t>
            </w:r>
          </w:p>
        </w:tc>
      </w:tr>
      <w:tr w:rsidR="00DA49C9" w:rsidRPr="00DA49C9" w14:paraId="7427A1FE" w14:textId="77777777" w:rsidTr="00A830B2">
        <w:trPr>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26E67E0C" w14:textId="77777777" w:rsidR="00A6240C" w:rsidRPr="004F4BA7" w:rsidRDefault="00A6240C" w:rsidP="001D508A">
            <w:pPr>
              <w:spacing w:line="256" w:lineRule="auto"/>
              <w:rPr>
                <w:bCs/>
                <w:lang w:eastAsia="en-GB"/>
              </w:rPr>
            </w:pPr>
            <w:r w:rsidRPr="004F4BA7">
              <w:rPr>
                <w:bCs/>
                <w:lang w:eastAsia="en-GB"/>
              </w:rPr>
              <w:t>One-person household (aged under 65)</w:t>
            </w:r>
          </w:p>
        </w:tc>
        <w:tc>
          <w:tcPr>
            <w:tcW w:w="861" w:type="dxa"/>
            <w:hideMark/>
          </w:tcPr>
          <w:p w14:paraId="737E545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10,301</w:t>
            </w:r>
          </w:p>
        </w:tc>
        <w:tc>
          <w:tcPr>
            <w:tcW w:w="956" w:type="dxa"/>
            <w:hideMark/>
          </w:tcPr>
          <w:p w14:paraId="50779B5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11,319</w:t>
            </w:r>
          </w:p>
        </w:tc>
        <w:tc>
          <w:tcPr>
            <w:tcW w:w="1338" w:type="dxa"/>
            <w:hideMark/>
          </w:tcPr>
          <w:p w14:paraId="178E9EB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1,018</w:t>
            </w:r>
          </w:p>
        </w:tc>
        <w:tc>
          <w:tcPr>
            <w:tcW w:w="1147" w:type="dxa"/>
            <w:hideMark/>
          </w:tcPr>
          <w:p w14:paraId="556A901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9.90%</w:t>
            </w:r>
          </w:p>
        </w:tc>
      </w:tr>
      <w:tr w:rsidR="00DA49C9" w:rsidRPr="00DA49C9" w14:paraId="3DB184CD" w14:textId="77777777" w:rsidTr="00A830B2">
        <w:trPr>
          <w:trHeight w:val="174"/>
        </w:trPr>
        <w:tc>
          <w:tcPr>
            <w:cnfStyle w:val="001000000000" w:firstRow="0" w:lastRow="0" w:firstColumn="1" w:lastColumn="0" w:oddVBand="0" w:evenVBand="0" w:oddHBand="0" w:evenHBand="0" w:firstRowFirstColumn="0" w:firstRowLastColumn="0" w:lastRowFirstColumn="0" w:lastRowLastColumn="0"/>
            <w:tcW w:w="4360" w:type="dxa"/>
            <w:hideMark/>
          </w:tcPr>
          <w:p w14:paraId="2F7E77F9" w14:textId="77777777" w:rsidR="00A6240C" w:rsidRPr="004F4BA7" w:rsidRDefault="00A6240C" w:rsidP="001D508A">
            <w:pPr>
              <w:spacing w:line="256" w:lineRule="auto"/>
              <w:rPr>
                <w:bCs/>
                <w:lang w:eastAsia="en-GB"/>
              </w:rPr>
            </w:pPr>
            <w:r w:rsidRPr="004F4BA7">
              <w:rPr>
                <w:bCs/>
                <w:lang w:eastAsia="en-GB"/>
              </w:rPr>
              <w:t>Couple (aged 65 and over)</w:t>
            </w:r>
          </w:p>
        </w:tc>
        <w:tc>
          <w:tcPr>
            <w:tcW w:w="861" w:type="dxa"/>
            <w:hideMark/>
          </w:tcPr>
          <w:p w14:paraId="21CD581C"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11,510</w:t>
            </w:r>
          </w:p>
        </w:tc>
        <w:tc>
          <w:tcPr>
            <w:tcW w:w="956" w:type="dxa"/>
            <w:hideMark/>
          </w:tcPr>
          <w:p w14:paraId="5DB9FD0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17,588</w:t>
            </w:r>
          </w:p>
        </w:tc>
        <w:tc>
          <w:tcPr>
            <w:tcW w:w="1338" w:type="dxa"/>
            <w:hideMark/>
          </w:tcPr>
          <w:p w14:paraId="432D64C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6,078</w:t>
            </w:r>
          </w:p>
        </w:tc>
        <w:tc>
          <w:tcPr>
            <w:tcW w:w="1147" w:type="dxa"/>
            <w:hideMark/>
          </w:tcPr>
          <w:p w14:paraId="3F807266"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52.80%</w:t>
            </w:r>
          </w:p>
        </w:tc>
      </w:tr>
      <w:tr w:rsidR="00DA49C9" w:rsidRPr="00DA49C9" w14:paraId="36DBC9EE" w14:textId="77777777" w:rsidTr="00A830B2">
        <w:trPr>
          <w:trHeight w:val="174"/>
        </w:trPr>
        <w:tc>
          <w:tcPr>
            <w:cnfStyle w:val="001000000000" w:firstRow="0" w:lastRow="0" w:firstColumn="1" w:lastColumn="0" w:oddVBand="0" w:evenVBand="0" w:oddHBand="0" w:evenHBand="0" w:firstRowFirstColumn="0" w:firstRowLastColumn="0" w:lastRowFirstColumn="0" w:lastRowLastColumn="0"/>
            <w:tcW w:w="4360" w:type="dxa"/>
            <w:hideMark/>
          </w:tcPr>
          <w:p w14:paraId="5E408CD4" w14:textId="77777777" w:rsidR="00A6240C" w:rsidRPr="004F4BA7" w:rsidRDefault="00A6240C" w:rsidP="001D508A">
            <w:pPr>
              <w:spacing w:line="256" w:lineRule="auto"/>
              <w:rPr>
                <w:bCs/>
                <w:lang w:eastAsia="en-GB"/>
              </w:rPr>
            </w:pPr>
            <w:r w:rsidRPr="004F4BA7">
              <w:rPr>
                <w:bCs/>
                <w:lang w:eastAsia="en-GB"/>
              </w:rPr>
              <w:t>Couple (aged under 65)</w:t>
            </w:r>
          </w:p>
        </w:tc>
        <w:tc>
          <w:tcPr>
            <w:tcW w:w="861" w:type="dxa"/>
            <w:hideMark/>
          </w:tcPr>
          <w:p w14:paraId="6D67917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11,425</w:t>
            </w:r>
          </w:p>
        </w:tc>
        <w:tc>
          <w:tcPr>
            <w:tcW w:w="956" w:type="dxa"/>
            <w:hideMark/>
          </w:tcPr>
          <w:p w14:paraId="39450E2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9,500</w:t>
            </w:r>
          </w:p>
        </w:tc>
        <w:tc>
          <w:tcPr>
            <w:tcW w:w="1338" w:type="dxa"/>
            <w:hideMark/>
          </w:tcPr>
          <w:p w14:paraId="293D9CC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-1,925</w:t>
            </w:r>
          </w:p>
        </w:tc>
        <w:tc>
          <w:tcPr>
            <w:tcW w:w="1147" w:type="dxa"/>
            <w:hideMark/>
          </w:tcPr>
          <w:p w14:paraId="3BB5571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-16.90%</w:t>
            </w:r>
          </w:p>
        </w:tc>
      </w:tr>
      <w:tr w:rsidR="00DA49C9" w:rsidRPr="00DA49C9" w14:paraId="0FDA634D" w14:textId="77777777" w:rsidTr="00A830B2">
        <w:trPr>
          <w:trHeight w:val="446"/>
        </w:trPr>
        <w:tc>
          <w:tcPr>
            <w:cnfStyle w:val="001000000000" w:firstRow="0" w:lastRow="0" w:firstColumn="1" w:lastColumn="0" w:oddVBand="0" w:evenVBand="0" w:oddHBand="0" w:evenHBand="0" w:firstRowFirstColumn="0" w:firstRowLastColumn="0" w:lastRowFirstColumn="0" w:lastRowLastColumn="0"/>
            <w:tcW w:w="4360" w:type="dxa"/>
            <w:hideMark/>
          </w:tcPr>
          <w:p w14:paraId="28DE737F" w14:textId="77777777" w:rsidR="00A6240C" w:rsidRPr="004F4BA7" w:rsidRDefault="00A6240C" w:rsidP="001D508A">
            <w:pPr>
              <w:spacing w:line="256" w:lineRule="auto"/>
              <w:rPr>
                <w:bCs/>
                <w:lang w:eastAsia="en-GB"/>
              </w:rPr>
            </w:pPr>
            <w:r w:rsidRPr="004F4BA7">
              <w:rPr>
                <w:bCs/>
                <w:lang w:eastAsia="en-GB"/>
              </w:rPr>
              <w:t>A couple and one or more other adults: No dependent children</w:t>
            </w:r>
          </w:p>
        </w:tc>
        <w:tc>
          <w:tcPr>
            <w:tcW w:w="861" w:type="dxa"/>
            <w:hideMark/>
          </w:tcPr>
          <w:p w14:paraId="7901A646"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5,469</w:t>
            </w:r>
          </w:p>
        </w:tc>
        <w:tc>
          <w:tcPr>
            <w:tcW w:w="956" w:type="dxa"/>
            <w:hideMark/>
          </w:tcPr>
          <w:p w14:paraId="4F54D526"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6,751</w:t>
            </w:r>
          </w:p>
        </w:tc>
        <w:tc>
          <w:tcPr>
            <w:tcW w:w="1338" w:type="dxa"/>
            <w:hideMark/>
          </w:tcPr>
          <w:p w14:paraId="0481E74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1,282</w:t>
            </w:r>
          </w:p>
        </w:tc>
        <w:tc>
          <w:tcPr>
            <w:tcW w:w="1147" w:type="dxa"/>
            <w:hideMark/>
          </w:tcPr>
          <w:p w14:paraId="069150E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23.40%</w:t>
            </w:r>
          </w:p>
        </w:tc>
      </w:tr>
      <w:tr w:rsidR="00DA49C9" w:rsidRPr="00DA49C9" w14:paraId="49A82EC0" w14:textId="77777777" w:rsidTr="00A830B2">
        <w:trPr>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48203439" w14:textId="77777777" w:rsidR="00A6240C" w:rsidRPr="004F4BA7" w:rsidRDefault="00A6240C" w:rsidP="001D508A">
            <w:pPr>
              <w:spacing w:line="256" w:lineRule="auto"/>
              <w:rPr>
                <w:bCs/>
                <w:lang w:eastAsia="en-GB"/>
              </w:rPr>
            </w:pPr>
            <w:r w:rsidRPr="004F4BA7">
              <w:rPr>
                <w:bCs/>
                <w:lang w:eastAsia="en-GB"/>
              </w:rPr>
              <w:t>Households with one dependent child</w:t>
            </w:r>
          </w:p>
        </w:tc>
        <w:tc>
          <w:tcPr>
            <w:tcW w:w="861" w:type="dxa"/>
            <w:hideMark/>
          </w:tcPr>
          <w:p w14:paraId="168051D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11,419</w:t>
            </w:r>
          </w:p>
        </w:tc>
        <w:tc>
          <w:tcPr>
            <w:tcW w:w="956" w:type="dxa"/>
            <w:hideMark/>
          </w:tcPr>
          <w:p w14:paraId="53D0647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14,881</w:t>
            </w:r>
          </w:p>
        </w:tc>
        <w:tc>
          <w:tcPr>
            <w:tcW w:w="1338" w:type="dxa"/>
            <w:hideMark/>
          </w:tcPr>
          <w:p w14:paraId="7CAC293C"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3,462</w:t>
            </w:r>
          </w:p>
        </w:tc>
        <w:tc>
          <w:tcPr>
            <w:tcW w:w="1147" w:type="dxa"/>
            <w:hideMark/>
          </w:tcPr>
          <w:p w14:paraId="73B6DF7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30.30%</w:t>
            </w:r>
          </w:p>
        </w:tc>
      </w:tr>
      <w:tr w:rsidR="00DA49C9" w:rsidRPr="00DA49C9" w14:paraId="36C9B9D1" w14:textId="77777777" w:rsidTr="00A830B2">
        <w:trPr>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54165716" w14:textId="77777777" w:rsidR="00A6240C" w:rsidRPr="004F4BA7" w:rsidRDefault="00A6240C" w:rsidP="001D508A">
            <w:pPr>
              <w:spacing w:line="256" w:lineRule="auto"/>
              <w:rPr>
                <w:bCs/>
                <w:lang w:eastAsia="en-GB"/>
              </w:rPr>
            </w:pPr>
            <w:r w:rsidRPr="004F4BA7">
              <w:rPr>
                <w:bCs/>
                <w:lang w:eastAsia="en-GB"/>
              </w:rPr>
              <w:t>Households with two dependent children</w:t>
            </w:r>
          </w:p>
        </w:tc>
        <w:tc>
          <w:tcPr>
            <w:tcW w:w="861" w:type="dxa"/>
            <w:hideMark/>
          </w:tcPr>
          <w:p w14:paraId="7817D0F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8,484</w:t>
            </w:r>
          </w:p>
        </w:tc>
        <w:tc>
          <w:tcPr>
            <w:tcW w:w="956" w:type="dxa"/>
            <w:hideMark/>
          </w:tcPr>
          <w:p w14:paraId="44B7813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8,776</w:t>
            </w:r>
          </w:p>
        </w:tc>
        <w:tc>
          <w:tcPr>
            <w:tcW w:w="1338" w:type="dxa"/>
            <w:hideMark/>
          </w:tcPr>
          <w:p w14:paraId="4EE623A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293</w:t>
            </w:r>
          </w:p>
        </w:tc>
        <w:tc>
          <w:tcPr>
            <w:tcW w:w="1147" w:type="dxa"/>
            <w:hideMark/>
          </w:tcPr>
          <w:p w14:paraId="6DF3A33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3.50%</w:t>
            </w:r>
          </w:p>
        </w:tc>
      </w:tr>
      <w:tr w:rsidR="00DA49C9" w:rsidRPr="00DA49C9" w14:paraId="42D192ED" w14:textId="77777777" w:rsidTr="00A830B2">
        <w:trPr>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73EA675B" w14:textId="77777777" w:rsidR="00A6240C" w:rsidRPr="004F4BA7" w:rsidRDefault="00A6240C" w:rsidP="001D508A">
            <w:pPr>
              <w:spacing w:line="256" w:lineRule="auto"/>
              <w:rPr>
                <w:bCs/>
                <w:lang w:eastAsia="en-GB"/>
              </w:rPr>
            </w:pPr>
            <w:r w:rsidRPr="004F4BA7">
              <w:rPr>
                <w:bCs/>
                <w:lang w:eastAsia="en-GB"/>
              </w:rPr>
              <w:t>Households with three dependent children</w:t>
            </w:r>
          </w:p>
        </w:tc>
        <w:tc>
          <w:tcPr>
            <w:tcW w:w="861" w:type="dxa"/>
            <w:hideMark/>
          </w:tcPr>
          <w:p w14:paraId="028C058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3,411</w:t>
            </w:r>
          </w:p>
        </w:tc>
        <w:tc>
          <w:tcPr>
            <w:tcW w:w="956" w:type="dxa"/>
            <w:hideMark/>
          </w:tcPr>
          <w:p w14:paraId="50BBA14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3,514</w:t>
            </w:r>
          </w:p>
        </w:tc>
        <w:tc>
          <w:tcPr>
            <w:tcW w:w="1338" w:type="dxa"/>
            <w:hideMark/>
          </w:tcPr>
          <w:p w14:paraId="4927910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102</w:t>
            </w:r>
          </w:p>
        </w:tc>
        <w:tc>
          <w:tcPr>
            <w:tcW w:w="1147" w:type="dxa"/>
            <w:hideMark/>
          </w:tcPr>
          <w:p w14:paraId="0DF31DF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3.00%</w:t>
            </w:r>
          </w:p>
        </w:tc>
      </w:tr>
      <w:tr w:rsidR="00DA49C9" w:rsidRPr="00DA49C9" w14:paraId="1ABF5826" w14:textId="77777777" w:rsidTr="00A830B2">
        <w:trPr>
          <w:trHeight w:val="174"/>
        </w:trPr>
        <w:tc>
          <w:tcPr>
            <w:cnfStyle w:val="001000000000" w:firstRow="0" w:lastRow="0" w:firstColumn="1" w:lastColumn="0" w:oddVBand="0" w:evenVBand="0" w:oddHBand="0" w:evenHBand="0" w:firstRowFirstColumn="0" w:firstRowLastColumn="0" w:lastRowFirstColumn="0" w:lastRowLastColumn="0"/>
            <w:tcW w:w="4360" w:type="dxa"/>
            <w:hideMark/>
          </w:tcPr>
          <w:p w14:paraId="7CFE7426" w14:textId="77777777" w:rsidR="00A6240C" w:rsidRPr="004F4BA7" w:rsidRDefault="00A6240C" w:rsidP="001D508A">
            <w:pPr>
              <w:spacing w:line="256" w:lineRule="auto"/>
              <w:rPr>
                <w:bCs/>
                <w:lang w:eastAsia="en-GB"/>
              </w:rPr>
            </w:pPr>
            <w:r w:rsidRPr="004F4BA7">
              <w:rPr>
                <w:bCs/>
                <w:lang w:eastAsia="en-GB"/>
              </w:rPr>
              <w:t>Other households</w:t>
            </w:r>
          </w:p>
        </w:tc>
        <w:tc>
          <w:tcPr>
            <w:tcW w:w="861" w:type="dxa"/>
            <w:hideMark/>
          </w:tcPr>
          <w:p w14:paraId="48BABEC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5,361</w:t>
            </w:r>
          </w:p>
        </w:tc>
        <w:tc>
          <w:tcPr>
            <w:tcW w:w="956" w:type="dxa"/>
            <w:hideMark/>
          </w:tcPr>
          <w:p w14:paraId="3F35C49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8,337</w:t>
            </w:r>
          </w:p>
        </w:tc>
        <w:tc>
          <w:tcPr>
            <w:tcW w:w="1338" w:type="dxa"/>
            <w:hideMark/>
          </w:tcPr>
          <w:p w14:paraId="0CC2B436"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2,976</w:t>
            </w:r>
          </w:p>
        </w:tc>
        <w:tc>
          <w:tcPr>
            <w:tcW w:w="1147" w:type="dxa"/>
            <w:hideMark/>
          </w:tcPr>
          <w:p w14:paraId="248844AD"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55.50%</w:t>
            </w:r>
          </w:p>
        </w:tc>
      </w:tr>
      <w:tr w:rsidR="00DA49C9" w:rsidRPr="00DA49C9" w14:paraId="3546FC3B" w14:textId="77777777" w:rsidTr="00A830B2">
        <w:trPr>
          <w:trHeight w:val="174"/>
        </w:trPr>
        <w:tc>
          <w:tcPr>
            <w:cnfStyle w:val="001000000000" w:firstRow="0" w:lastRow="0" w:firstColumn="1" w:lastColumn="0" w:oddVBand="0" w:evenVBand="0" w:oddHBand="0" w:evenHBand="0" w:firstRowFirstColumn="0" w:firstRowLastColumn="0" w:lastRowFirstColumn="0" w:lastRowLastColumn="0"/>
            <w:tcW w:w="4360" w:type="dxa"/>
            <w:hideMark/>
          </w:tcPr>
          <w:p w14:paraId="39A55F3B" w14:textId="77777777" w:rsidR="00A6240C" w:rsidRPr="004F4BA7" w:rsidRDefault="00A6240C" w:rsidP="001D508A">
            <w:pPr>
              <w:spacing w:line="256" w:lineRule="auto"/>
              <w:rPr>
                <w:bCs/>
                <w:lang w:eastAsia="en-GB"/>
              </w:rPr>
            </w:pPr>
            <w:r w:rsidRPr="004F4BA7">
              <w:rPr>
                <w:bCs/>
                <w:lang w:eastAsia="en-GB"/>
              </w:rPr>
              <w:t>Total</w:t>
            </w:r>
          </w:p>
        </w:tc>
        <w:tc>
          <w:tcPr>
            <w:tcW w:w="861" w:type="dxa"/>
            <w:hideMark/>
          </w:tcPr>
          <w:p w14:paraId="1843217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76,794</w:t>
            </w:r>
          </w:p>
        </w:tc>
        <w:tc>
          <w:tcPr>
            <w:tcW w:w="956" w:type="dxa"/>
            <w:hideMark/>
          </w:tcPr>
          <w:p w14:paraId="6267B38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92,328</w:t>
            </w:r>
          </w:p>
        </w:tc>
        <w:tc>
          <w:tcPr>
            <w:tcW w:w="1338" w:type="dxa"/>
            <w:hideMark/>
          </w:tcPr>
          <w:p w14:paraId="3F60734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15,534</w:t>
            </w:r>
          </w:p>
        </w:tc>
        <w:tc>
          <w:tcPr>
            <w:tcW w:w="1147" w:type="dxa"/>
            <w:hideMark/>
          </w:tcPr>
          <w:p w14:paraId="72334E1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20.20%</w:t>
            </w:r>
          </w:p>
        </w:tc>
      </w:tr>
      <w:tr w:rsidR="00DA49C9" w:rsidRPr="00DA49C9" w14:paraId="45A28969" w14:textId="77777777" w:rsidTr="00A830B2">
        <w:trPr>
          <w:trHeight w:val="297"/>
        </w:trPr>
        <w:tc>
          <w:tcPr>
            <w:cnfStyle w:val="001000000000" w:firstRow="0" w:lastRow="0" w:firstColumn="1" w:lastColumn="0" w:oddVBand="0" w:evenVBand="0" w:oddHBand="0" w:evenHBand="0" w:firstRowFirstColumn="0" w:firstRowLastColumn="0" w:lastRowFirstColumn="0" w:lastRowLastColumn="0"/>
            <w:tcW w:w="4360" w:type="dxa"/>
            <w:hideMark/>
          </w:tcPr>
          <w:p w14:paraId="7F47284A" w14:textId="77777777" w:rsidR="00A6240C" w:rsidRPr="004F4BA7" w:rsidRDefault="00A6240C" w:rsidP="001D508A">
            <w:pPr>
              <w:spacing w:line="256" w:lineRule="auto"/>
              <w:rPr>
                <w:bCs/>
                <w:lang w:eastAsia="en-GB"/>
              </w:rPr>
            </w:pPr>
            <w:r w:rsidRPr="004F4BA7">
              <w:rPr>
                <w:bCs/>
                <w:lang w:eastAsia="en-GB"/>
              </w:rPr>
              <w:t>Total households with dependent children</w:t>
            </w:r>
          </w:p>
        </w:tc>
        <w:tc>
          <w:tcPr>
            <w:tcW w:w="861" w:type="dxa"/>
            <w:hideMark/>
          </w:tcPr>
          <w:p w14:paraId="67E19C5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23,314</w:t>
            </w:r>
          </w:p>
        </w:tc>
        <w:tc>
          <w:tcPr>
            <w:tcW w:w="956" w:type="dxa"/>
            <w:hideMark/>
          </w:tcPr>
          <w:p w14:paraId="5536859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27,171</w:t>
            </w:r>
          </w:p>
        </w:tc>
        <w:tc>
          <w:tcPr>
            <w:tcW w:w="1338" w:type="dxa"/>
            <w:hideMark/>
          </w:tcPr>
          <w:p w14:paraId="27B024F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3,857</w:t>
            </w:r>
          </w:p>
        </w:tc>
        <w:tc>
          <w:tcPr>
            <w:tcW w:w="1147" w:type="dxa"/>
            <w:hideMark/>
          </w:tcPr>
          <w:p w14:paraId="2B85C34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16.50%</w:t>
            </w:r>
          </w:p>
        </w:tc>
      </w:tr>
    </w:tbl>
    <w:p w14:paraId="077E6793" w14:textId="77777777" w:rsidR="00A6240C" w:rsidRPr="00A830B2" w:rsidRDefault="00A6240C" w:rsidP="00A6240C">
      <w:pPr>
        <w:pStyle w:val="Caption"/>
        <w:spacing w:after="120" w:line="360" w:lineRule="auto"/>
        <w:ind w:firstLine="794"/>
        <w:rPr>
          <w:rFonts w:ascii="Arial" w:hAnsi="Arial" w:cs="Arial"/>
          <w:i w:val="0"/>
          <w:iCs w:val="0"/>
          <w:color w:val="auto"/>
          <w:sz w:val="24"/>
          <w:szCs w:val="24"/>
        </w:rPr>
      </w:pPr>
      <w:r w:rsidRPr="00A830B2">
        <w:rPr>
          <w:rFonts w:ascii="Arial" w:hAnsi="Arial" w:cs="Arial"/>
          <w:i w:val="0"/>
          <w:iCs w:val="0"/>
          <w:color w:val="auto"/>
          <w:sz w:val="24"/>
          <w:szCs w:val="24"/>
        </w:rPr>
        <w:t>Source: Demographic Projections based on ONS Data</w:t>
      </w:r>
    </w:p>
    <w:p w14:paraId="1758317F" w14:textId="77777777" w:rsidR="00A6240C" w:rsidRDefault="00A6240C" w:rsidP="007D0FBF">
      <w:pPr>
        <w:pStyle w:val="Heading2"/>
      </w:pPr>
      <w:r>
        <w:t>The Mix of Housing</w:t>
      </w:r>
    </w:p>
    <w:p w14:paraId="2D6F865E" w14:textId="0BB59151" w:rsidR="00A6240C" w:rsidRDefault="00A6240C" w:rsidP="007D0FBF">
      <w:pPr>
        <w:pStyle w:val="11Bodytext"/>
      </w:pPr>
      <w:r>
        <w:t xml:space="preserve">A model has been developed that starts with the current profile of housing in terms of size (bedrooms) and tenure. Within the data, information is available about the age of households and the typical sizes of homes they occupy. By using demographic projections linked to the Standard Method-based housing needs figure (see Chapter </w:t>
      </w:r>
      <w:r w:rsidR="00EA54B1">
        <w:t>5</w:t>
      </w:r>
      <w:r>
        <w:t>), it is possible to see which age groups are expected to change in number, and by how much.</w:t>
      </w:r>
    </w:p>
    <w:p w14:paraId="2A828497" w14:textId="77777777" w:rsidR="00A6240C" w:rsidRDefault="00A6240C" w:rsidP="007D0FBF">
      <w:pPr>
        <w:pStyle w:val="11Bodytext"/>
      </w:pPr>
      <w:r>
        <w:t>On the assumption that occupancy patterns for each age group (within each tenure) remain the same, it is possible to forecast the profile of housing needed over the period 2020 to 2040.</w:t>
      </w:r>
    </w:p>
    <w:p w14:paraId="6C25506C" w14:textId="77777777" w:rsidR="00A6240C" w:rsidRDefault="00A6240C" w:rsidP="007D0FBF">
      <w:pPr>
        <w:pStyle w:val="11Bodytext"/>
      </w:pPr>
      <w:r>
        <w:t>It should be noted that the modelled approach reflects occupancy patterns as of the 2011 Census. We recognise that this may not be the best use of accommodation and, therefore, may not best meet local needs. For example, it would perpetuate current levels of under-occupation and overcrowding.</w:t>
      </w:r>
    </w:p>
    <w:p w14:paraId="09CE60B8" w14:textId="77777777" w:rsidR="004F4BA7" w:rsidRDefault="004F4BA7">
      <w:pPr>
        <w:spacing w:after="200"/>
        <w:rPr>
          <w:bCs/>
          <w:sz w:val="24"/>
          <w:szCs w:val="24"/>
        </w:rPr>
      </w:pPr>
      <w:r>
        <w:br w:type="page"/>
      </w:r>
    </w:p>
    <w:p w14:paraId="6E8B2895" w14:textId="23A84792" w:rsidR="00A6240C" w:rsidRDefault="00A6240C" w:rsidP="007D0FBF">
      <w:pPr>
        <w:pStyle w:val="11Bodytext"/>
      </w:pPr>
      <w:r>
        <w:lastRenderedPageBreak/>
        <w:t xml:space="preserve">Our conclusions take the outputs from the model and adjust </w:t>
      </w:r>
      <w:proofErr w:type="gramStart"/>
      <w:r>
        <w:t>taking into account</w:t>
      </w:r>
      <w:proofErr w:type="gramEnd"/>
      <w:r>
        <w:t xml:space="preserve"> other factors (such as that related to the turnover of smaller affordable homes, the need for family-sized affordable homes and the under-occupation of private homes) to get to a recommended mix. The range of factors play out at different spatial scales and influence both the level of housing demand (in terms of aggregate household growth) and the nature of the demand for different types, </w:t>
      </w:r>
      <w:proofErr w:type="gramStart"/>
      <w:r>
        <w:t>tenures</w:t>
      </w:r>
      <w:proofErr w:type="gramEnd"/>
      <w:r>
        <w:t xml:space="preserve"> and sizes of homes. </w:t>
      </w:r>
    </w:p>
    <w:p w14:paraId="6BA0C4F4" w14:textId="77777777" w:rsidR="00A6240C" w:rsidRDefault="00A6240C" w:rsidP="007D0FBF">
      <w:pPr>
        <w:pStyle w:val="11Bodytext"/>
      </w:pPr>
      <w:r>
        <w:t>However, while we make recommendations it will ultimately be for the Council(s) to write into policy the approach which best meets their local circumstance. This could be, for example, a desire for further downsizing or a pragmatic approach to a constrained housing supply both of which would see more smaller homes being built.</w:t>
      </w:r>
    </w:p>
    <w:p w14:paraId="11B0A2FA" w14:textId="3B2A2D61" w:rsidR="00A6240C" w:rsidRDefault="00A6240C" w:rsidP="007D0FBF">
      <w:pPr>
        <w:pStyle w:val="11Bodytext"/>
      </w:pPr>
      <w:r>
        <w:t xml:space="preserve">Furthermore, </w:t>
      </w:r>
      <w:r w:rsidR="008F76FB">
        <w:t>it may</w:t>
      </w:r>
      <w:r>
        <w:t xml:space="preserve"> be a reasonable policy choice to ensure optimal use of the existing stock. This would require the delivery of additional smaller, high-quality, homes (or specialist accommodation) than the modelling would suggest given that this would encourage downsizing from under-occupied properties. This could result, for example, in properties suitable for family use being released into the market. </w:t>
      </w:r>
    </w:p>
    <w:p w14:paraId="40691EAC" w14:textId="77777777" w:rsidR="00A6240C" w:rsidRDefault="00A6240C" w:rsidP="007D0FBF">
      <w:pPr>
        <w:pStyle w:val="11Bodytext"/>
      </w:pPr>
      <w:r>
        <w:t>An important starting point is to understand the current balance of housing in the area. The table below profiles the sizes of homes in different tenure groups. This shows that the profile of housing in the social and PRS   looks to be fairly balanced in comparison with other areas (</w:t>
      </w:r>
      <w:proofErr w:type="gramStart"/>
      <w:r>
        <w:t>i.e.</w:t>
      </w:r>
      <w:proofErr w:type="gramEnd"/>
      <w:r>
        <w:t xml:space="preserve"> there is no obvious over- or under-supply of particular sizes of homes relative to other locations).</w:t>
      </w:r>
    </w:p>
    <w:p w14:paraId="1BCA7BC3" w14:textId="77777777" w:rsidR="00A6240C" w:rsidRDefault="00A6240C" w:rsidP="007D0FBF">
      <w:pPr>
        <w:pStyle w:val="11Bodytext"/>
      </w:pPr>
      <w:r>
        <w:t>The analysis looking at owner-occupied homes highlights a high proportion of homes with 4+-bedrooms compared to other tenures. Observations about the current housing mix feed into conclusions about future mix later in this section.</w:t>
      </w:r>
    </w:p>
    <w:p w14:paraId="41FAA20F" w14:textId="4995BE1D" w:rsidR="00A6240C" w:rsidRDefault="00A6240C" w:rsidP="003D5E23">
      <w:pPr>
        <w:pStyle w:val="Tableheading"/>
        <w:numPr>
          <w:ilvl w:val="0"/>
          <w:numId w:val="54"/>
        </w:numPr>
      </w:pPr>
      <w:r>
        <w:lastRenderedPageBreak/>
        <w:t>Number of bedrooms by Tenure, 2011</w:t>
      </w:r>
    </w:p>
    <w:tbl>
      <w:tblPr>
        <w:tblStyle w:val="TableGridLight1"/>
        <w:tblW w:w="8534" w:type="dxa"/>
        <w:tblInd w:w="846" w:type="dxa"/>
        <w:tblLook w:val="04A0" w:firstRow="1" w:lastRow="0" w:firstColumn="1" w:lastColumn="0" w:noHBand="0" w:noVBand="1"/>
      </w:tblPr>
      <w:tblGrid>
        <w:gridCol w:w="2217"/>
        <w:gridCol w:w="1579"/>
        <w:gridCol w:w="1579"/>
        <w:gridCol w:w="1579"/>
        <w:gridCol w:w="1580"/>
      </w:tblGrid>
      <w:tr w:rsidR="005B02AD" w:rsidRPr="005B02AD" w14:paraId="629E4617" w14:textId="77777777" w:rsidTr="00A830B2">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217" w:type="dxa"/>
            <w:hideMark/>
          </w:tcPr>
          <w:p w14:paraId="7E104560" w14:textId="77777777" w:rsidR="005B02AD" w:rsidRPr="005B02AD" w:rsidRDefault="005B02AD" w:rsidP="00A830B2">
            <w:pPr>
              <w:keepNext/>
              <w:rPr>
                <w:bCs/>
                <w:color w:val="auto"/>
                <w:lang w:eastAsia="en-GB"/>
              </w:rPr>
            </w:pPr>
            <w:r w:rsidRPr="005B02AD">
              <w:rPr>
                <w:bCs/>
                <w:color w:val="auto"/>
                <w:lang w:eastAsia="en-GB"/>
              </w:rPr>
              <w:t> </w:t>
            </w:r>
          </w:p>
        </w:tc>
        <w:tc>
          <w:tcPr>
            <w:tcW w:w="1579" w:type="dxa"/>
            <w:hideMark/>
          </w:tcPr>
          <w:p w14:paraId="51427068" w14:textId="77777777" w:rsidR="005B02AD" w:rsidRPr="005B02AD" w:rsidRDefault="005B02AD" w:rsidP="00A830B2">
            <w:pPr>
              <w:keepNext/>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 </w:t>
            </w:r>
          </w:p>
        </w:tc>
        <w:tc>
          <w:tcPr>
            <w:tcW w:w="1579" w:type="dxa"/>
            <w:hideMark/>
          </w:tcPr>
          <w:p w14:paraId="7CDF1B6C" w14:textId="77777777" w:rsidR="005B02AD" w:rsidRPr="005B02AD" w:rsidRDefault="005B02AD" w:rsidP="00A830B2">
            <w:pPr>
              <w:keepNext/>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HMA</w:t>
            </w:r>
          </w:p>
        </w:tc>
        <w:tc>
          <w:tcPr>
            <w:tcW w:w="1579" w:type="dxa"/>
            <w:hideMark/>
          </w:tcPr>
          <w:p w14:paraId="162BEFAE" w14:textId="77777777" w:rsidR="005B02AD" w:rsidRPr="005B02AD" w:rsidRDefault="005B02AD" w:rsidP="00A830B2">
            <w:pPr>
              <w:keepNext/>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East</w:t>
            </w:r>
          </w:p>
        </w:tc>
        <w:tc>
          <w:tcPr>
            <w:tcW w:w="1580" w:type="dxa"/>
            <w:hideMark/>
          </w:tcPr>
          <w:p w14:paraId="2E9699FD" w14:textId="77777777" w:rsidR="005B02AD" w:rsidRPr="005B02AD" w:rsidRDefault="005B02AD" w:rsidP="00A830B2">
            <w:pPr>
              <w:keepNext/>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England</w:t>
            </w:r>
          </w:p>
        </w:tc>
      </w:tr>
      <w:tr w:rsidR="005B02AD" w:rsidRPr="005B02AD" w14:paraId="59F6CC89"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6CF3CF9F" w14:textId="77777777" w:rsidR="005B02AD" w:rsidRPr="005B02AD" w:rsidRDefault="005B02AD" w:rsidP="00A830B2">
            <w:pPr>
              <w:keepNext/>
              <w:rPr>
                <w:color w:val="auto"/>
                <w:lang w:eastAsia="en-GB"/>
              </w:rPr>
            </w:pPr>
            <w:r w:rsidRPr="005B02AD">
              <w:rPr>
                <w:color w:val="auto"/>
                <w:lang w:eastAsia="en-GB"/>
              </w:rPr>
              <w:t>Owner-occupied</w:t>
            </w:r>
          </w:p>
        </w:tc>
        <w:tc>
          <w:tcPr>
            <w:tcW w:w="1579" w:type="dxa"/>
            <w:hideMark/>
          </w:tcPr>
          <w:p w14:paraId="6070FCD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1-bed</w:t>
            </w:r>
          </w:p>
        </w:tc>
        <w:tc>
          <w:tcPr>
            <w:tcW w:w="1579" w:type="dxa"/>
            <w:hideMark/>
          </w:tcPr>
          <w:p w14:paraId="69A0F4D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w:t>
            </w:r>
          </w:p>
        </w:tc>
        <w:tc>
          <w:tcPr>
            <w:tcW w:w="1579" w:type="dxa"/>
            <w:hideMark/>
          </w:tcPr>
          <w:p w14:paraId="5EDE889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w:t>
            </w:r>
          </w:p>
        </w:tc>
        <w:tc>
          <w:tcPr>
            <w:tcW w:w="1580" w:type="dxa"/>
            <w:hideMark/>
          </w:tcPr>
          <w:p w14:paraId="1A2A0B0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w:t>
            </w:r>
          </w:p>
        </w:tc>
      </w:tr>
      <w:tr w:rsidR="005B02AD" w:rsidRPr="005B02AD" w14:paraId="310EB5C3"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6C11834D" w14:textId="77777777" w:rsidR="005B02AD" w:rsidRPr="005B02AD" w:rsidRDefault="005B02AD" w:rsidP="00A830B2">
            <w:pPr>
              <w:keepNext/>
              <w:rPr>
                <w:color w:val="auto"/>
                <w:lang w:eastAsia="en-GB"/>
              </w:rPr>
            </w:pPr>
            <w:r w:rsidRPr="005B02AD">
              <w:rPr>
                <w:color w:val="auto"/>
                <w:lang w:eastAsia="en-GB"/>
              </w:rPr>
              <w:t>Owner-occupied</w:t>
            </w:r>
          </w:p>
        </w:tc>
        <w:tc>
          <w:tcPr>
            <w:tcW w:w="1579" w:type="dxa"/>
            <w:hideMark/>
          </w:tcPr>
          <w:p w14:paraId="76E7118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2-bed</w:t>
            </w:r>
          </w:p>
        </w:tc>
        <w:tc>
          <w:tcPr>
            <w:tcW w:w="1579" w:type="dxa"/>
            <w:hideMark/>
          </w:tcPr>
          <w:p w14:paraId="1997C83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20%</w:t>
            </w:r>
          </w:p>
        </w:tc>
        <w:tc>
          <w:tcPr>
            <w:tcW w:w="1579" w:type="dxa"/>
            <w:hideMark/>
          </w:tcPr>
          <w:p w14:paraId="6EE81ED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22%</w:t>
            </w:r>
          </w:p>
        </w:tc>
        <w:tc>
          <w:tcPr>
            <w:tcW w:w="1580" w:type="dxa"/>
            <w:hideMark/>
          </w:tcPr>
          <w:p w14:paraId="59F542C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23%</w:t>
            </w:r>
          </w:p>
        </w:tc>
      </w:tr>
      <w:tr w:rsidR="005B02AD" w:rsidRPr="005B02AD" w14:paraId="38F7F238"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1C5FD6E7" w14:textId="77777777" w:rsidR="005B02AD" w:rsidRPr="005B02AD" w:rsidRDefault="005B02AD" w:rsidP="00A830B2">
            <w:pPr>
              <w:keepNext/>
              <w:rPr>
                <w:color w:val="auto"/>
                <w:lang w:eastAsia="en-GB"/>
              </w:rPr>
            </w:pPr>
            <w:r w:rsidRPr="005B02AD">
              <w:rPr>
                <w:color w:val="auto"/>
                <w:lang w:eastAsia="en-GB"/>
              </w:rPr>
              <w:t>Owner-occupied</w:t>
            </w:r>
          </w:p>
        </w:tc>
        <w:tc>
          <w:tcPr>
            <w:tcW w:w="1579" w:type="dxa"/>
            <w:hideMark/>
          </w:tcPr>
          <w:p w14:paraId="23C4265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3-bed</w:t>
            </w:r>
          </w:p>
        </w:tc>
        <w:tc>
          <w:tcPr>
            <w:tcW w:w="1579" w:type="dxa"/>
            <w:hideMark/>
          </w:tcPr>
          <w:p w14:paraId="36FEFFC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44%</w:t>
            </w:r>
          </w:p>
        </w:tc>
        <w:tc>
          <w:tcPr>
            <w:tcW w:w="1579" w:type="dxa"/>
            <w:hideMark/>
          </w:tcPr>
          <w:p w14:paraId="6FA7C6B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46%</w:t>
            </w:r>
          </w:p>
        </w:tc>
        <w:tc>
          <w:tcPr>
            <w:tcW w:w="1580" w:type="dxa"/>
            <w:hideMark/>
          </w:tcPr>
          <w:p w14:paraId="127F4E9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48%</w:t>
            </w:r>
          </w:p>
        </w:tc>
      </w:tr>
      <w:tr w:rsidR="005B02AD" w:rsidRPr="005B02AD" w14:paraId="4B2C5E73"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1B141AA0" w14:textId="77777777" w:rsidR="005B02AD" w:rsidRPr="005B02AD" w:rsidRDefault="005B02AD" w:rsidP="00A830B2">
            <w:pPr>
              <w:keepNext/>
              <w:rPr>
                <w:color w:val="auto"/>
                <w:lang w:eastAsia="en-GB"/>
              </w:rPr>
            </w:pPr>
            <w:r w:rsidRPr="005B02AD">
              <w:rPr>
                <w:color w:val="auto"/>
                <w:lang w:eastAsia="en-GB"/>
              </w:rPr>
              <w:t>Owner-occupied</w:t>
            </w:r>
          </w:p>
        </w:tc>
        <w:tc>
          <w:tcPr>
            <w:tcW w:w="1579" w:type="dxa"/>
            <w:hideMark/>
          </w:tcPr>
          <w:p w14:paraId="6D4E1C2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4+bed</w:t>
            </w:r>
          </w:p>
        </w:tc>
        <w:tc>
          <w:tcPr>
            <w:tcW w:w="1579" w:type="dxa"/>
            <w:hideMark/>
          </w:tcPr>
          <w:p w14:paraId="689AEE9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33%</w:t>
            </w:r>
          </w:p>
        </w:tc>
        <w:tc>
          <w:tcPr>
            <w:tcW w:w="1579" w:type="dxa"/>
            <w:hideMark/>
          </w:tcPr>
          <w:p w14:paraId="1ABF07D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29%</w:t>
            </w:r>
          </w:p>
        </w:tc>
        <w:tc>
          <w:tcPr>
            <w:tcW w:w="1580" w:type="dxa"/>
            <w:hideMark/>
          </w:tcPr>
          <w:p w14:paraId="2D9BC04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25%</w:t>
            </w:r>
          </w:p>
        </w:tc>
      </w:tr>
      <w:tr w:rsidR="005B02AD" w:rsidRPr="005B02AD" w14:paraId="5CB2DBB9"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003048E2" w14:textId="77777777" w:rsidR="005B02AD" w:rsidRPr="005B02AD" w:rsidRDefault="005B02AD" w:rsidP="00A830B2">
            <w:pPr>
              <w:keepNext/>
              <w:rPr>
                <w:b/>
                <w:bCs/>
                <w:color w:val="auto"/>
                <w:lang w:eastAsia="en-GB"/>
              </w:rPr>
            </w:pPr>
            <w:r w:rsidRPr="005B02AD">
              <w:rPr>
                <w:b/>
                <w:bCs/>
                <w:color w:val="auto"/>
                <w:lang w:eastAsia="en-GB"/>
              </w:rPr>
              <w:t>Owner-occupied</w:t>
            </w:r>
          </w:p>
        </w:tc>
        <w:tc>
          <w:tcPr>
            <w:tcW w:w="1579" w:type="dxa"/>
            <w:hideMark/>
          </w:tcPr>
          <w:p w14:paraId="5768B72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TOTAL</w:t>
            </w:r>
          </w:p>
        </w:tc>
        <w:tc>
          <w:tcPr>
            <w:tcW w:w="1579" w:type="dxa"/>
            <w:hideMark/>
          </w:tcPr>
          <w:p w14:paraId="6748389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c>
          <w:tcPr>
            <w:tcW w:w="1579" w:type="dxa"/>
            <w:hideMark/>
          </w:tcPr>
          <w:p w14:paraId="58AF57F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c>
          <w:tcPr>
            <w:tcW w:w="1580" w:type="dxa"/>
            <w:hideMark/>
          </w:tcPr>
          <w:p w14:paraId="59CE5C2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r>
      <w:tr w:rsidR="005B02AD" w:rsidRPr="005B02AD" w14:paraId="79E01DAC"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54A43CF2" w14:textId="77777777" w:rsidR="005B02AD" w:rsidRPr="005B02AD" w:rsidRDefault="005B02AD" w:rsidP="00A830B2">
            <w:pPr>
              <w:keepNext/>
              <w:rPr>
                <w:color w:val="auto"/>
                <w:lang w:eastAsia="en-GB"/>
              </w:rPr>
            </w:pPr>
            <w:r w:rsidRPr="005B02AD">
              <w:rPr>
                <w:color w:val="auto"/>
                <w:lang w:eastAsia="en-GB"/>
              </w:rPr>
              <w:t>Social rented</w:t>
            </w:r>
          </w:p>
        </w:tc>
        <w:tc>
          <w:tcPr>
            <w:tcW w:w="1579" w:type="dxa"/>
            <w:hideMark/>
          </w:tcPr>
          <w:p w14:paraId="3BC2E99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1-bed</w:t>
            </w:r>
          </w:p>
        </w:tc>
        <w:tc>
          <w:tcPr>
            <w:tcW w:w="1579" w:type="dxa"/>
            <w:hideMark/>
          </w:tcPr>
          <w:p w14:paraId="3F88A30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28%</w:t>
            </w:r>
          </w:p>
        </w:tc>
        <w:tc>
          <w:tcPr>
            <w:tcW w:w="1579" w:type="dxa"/>
            <w:hideMark/>
          </w:tcPr>
          <w:p w14:paraId="77E3BEA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30%</w:t>
            </w:r>
          </w:p>
        </w:tc>
        <w:tc>
          <w:tcPr>
            <w:tcW w:w="1580" w:type="dxa"/>
            <w:hideMark/>
          </w:tcPr>
          <w:p w14:paraId="7714F3F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31%</w:t>
            </w:r>
          </w:p>
        </w:tc>
      </w:tr>
      <w:tr w:rsidR="005B02AD" w:rsidRPr="005B02AD" w14:paraId="1BD94692"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25DF52B0" w14:textId="77777777" w:rsidR="005B02AD" w:rsidRPr="005B02AD" w:rsidRDefault="005B02AD" w:rsidP="00A830B2">
            <w:pPr>
              <w:keepNext/>
              <w:rPr>
                <w:color w:val="auto"/>
                <w:lang w:eastAsia="en-GB"/>
              </w:rPr>
            </w:pPr>
            <w:r w:rsidRPr="005B02AD">
              <w:rPr>
                <w:color w:val="auto"/>
                <w:lang w:eastAsia="en-GB"/>
              </w:rPr>
              <w:t>Social rented</w:t>
            </w:r>
          </w:p>
        </w:tc>
        <w:tc>
          <w:tcPr>
            <w:tcW w:w="1579" w:type="dxa"/>
            <w:hideMark/>
          </w:tcPr>
          <w:p w14:paraId="0373DF8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2-bed</w:t>
            </w:r>
          </w:p>
        </w:tc>
        <w:tc>
          <w:tcPr>
            <w:tcW w:w="1579" w:type="dxa"/>
            <w:hideMark/>
          </w:tcPr>
          <w:p w14:paraId="0F52799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36%</w:t>
            </w:r>
          </w:p>
        </w:tc>
        <w:tc>
          <w:tcPr>
            <w:tcW w:w="1579" w:type="dxa"/>
            <w:hideMark/>
          </w:tcPr>
          <w:p w14:paraId="6A0E3C0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33%</w:t>
            </w:r>
          </w:p>
        </w:tc>
        <w:tc>
          <w:tcPr>
            <w:tcW w:w="1580" w:type="dxa"/>
            <w:hideMark/>
          </w:tcPr>
          <w:p w14:paraId="3F22245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34%</w:t>
            </w:r>
          </w:p>
        </w:tc>
      </w:tr>
      <w:tr w:rsidR="005B02AD" w:rsidRPr="005B02AD" w14:paraId="4C2EC5B0"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79751984" w14:textId="77777777" w:rsidR="005B02AD" w:rsidRPr="005B02AD" w:rsidRDefault="005B02AD" w:rsidP="00A830B2">
            <w:pPr>
              <w:keepNext/>
              <w:rPr>
                <w:color w:val="auto"/>
                <w:lang w:eastAsia="en-GB"/>
              </w:rPr>
            </w:pPr>
            <w:r w:rsidRPr="005B02AD">
              <w:rPr>
                <w:color w:val="auto"/>
                <w:lang w:eastAsia="en-GB"/>
              </w:rPr>
              <w:t>Social rented</w:t>
            </w:r>
          </w:p>
        </w:tc>
        <w:tc>
          <w:tcPr>
            <w:tcW w:w="1579" w:type="dxa"/>
            <w:hideMark/>
          </w:tcPr>
          <w:p w14:paraId="1C60CBE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3-bed</w:t>
            </w:r>
          </w:p>
        </w:tc>
        <w:tc>
          <w:tcPr>
            <w:tcW w:w="1579" w:type="dxa"/>
            <w:hideMark/>
          </w:tcPr>
          <w:p w14:paraId="487BF70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31%</w:t>
            </w:r>
          </w:p>
        </w:tc>
        <w:tc>
          <w:tcPr>
            <w:tcW w:w="1579" w:type="dxa"/>
            <w:hideMark/>
          </w:tcPr>
          <w:p w14:paraId="56C0764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33%</w:t>
            </w:r>
          </w:p>
        </w:tc>
        <w:tc>
          <w:tcPr>
            <w:tcW w:w="1580" w:type="dxa"/>
            <w:hideMark/>
          </w:tcPr>
          <w:p w14:paraId="308728A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31%</w:t>
            </w:r>
          </w:p>
        </w:tc>
      </w:tr>
      <w:tr w:rsidR="005B02AD" w:rsidRPr="005B02AD" w14:paraId="45C4CD4E"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3962CDED" w14:textId="77777777" w:rsidR="005B02AD" w:rsidRPr="005B02AD" w:rsidRDefault="005B02AD" w:rsidP="00A830B2">
            <w:pPr>
              <w:keepNext/>
              <w:rPr>
                <w:color w:val="auto"/>
                <w:lang w:eastAsia="en-GB"/>
              </w:rPr>
            </w:pPr>
            <w:r w:rsidRPr="005B02AD">
              <w:rPr>
                <w:color w:val="auto"/>
                <w:lang w:eastAsia="en-GB"/>
              </w:rPr>
              <w:t>Social rented</w:t>
            </w:r>
          </w:p>
        </w:tc>
        <w:tc>
          <w:tcPr>
            <w:tcW w:w="1579" w:type="dxa"/>
            <w:hideMark/>
          </w:tcPr>
          <w:p w14:paraId="1E82C08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4+bed</w:t>
            </w:r>
          </w:p>
        </w:tc>
        <w:tc>
          <w:tcPr>
            <w:tcW w:w="1579" w:type="dxa"/>
            <w:hideMark/>
          </w:tcPr>
          <w:p w14:paraId="19210D8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w:t>
            </w:r>
          </w:p>
        </w:tc>
        <w:tc>
          <w:tcPr>
            <w:tcW w:w="1579" w:type="dxa"/>
            <w:hideMark/>
          </w:tcPr>
          <w:p w14:paraId="2410D20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w:t>
            </w:r>
          </w:p>
        </w:tc>
        <w:tc>
          <w:tcPr>
            <w:tcW w:w="1580" w:type="dxa"/>
            <w:hideMark/>
          </w:tcPr>
          <w:p w14:paraId="345541A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w:t>
            </w:r>
          </w:p>
        </w:tc>
      </w:tr>
      <w:tr w:rsidR="005B02AD" w:rsidRPr="005B02AD" w14:paraId="77DA4E6F"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2A050C2B" w14:textId="77777777" w:rsidR="005B02AD" w:rsidRPr="005B02AD" w:rsidRDefault="005B02AD" w:rsidP="00A830B2">
            <w:pPr>
              <w:keepNext/>
              <w:rPr>
                <w:b/>
                <w:bCs/>
                <w:color w:val="auto"/>
                <w:lang w:eastAsia="en-GB"/>
              </w:rPr>
            </w:pPr>
            <w:r w:rsidRPr="005B02AD">
              <w:rPr>
                <w:b/>
                <w:bCs/>
                <w:color w:val="auto"/>
                <w:lang w:eastAsia="en-GB"/>
              </w:rPr>
              <w:t>Social rented</w:t>
            </w:r>
          </w:p>
        </w:tc>
        <w:tc>
          <w:tcPr>
            <w:tcW w:w="1579" w:type="dxa"/>
            <w:hideMark/>
          </w:tcPr>
          <w:p w14:paraId="1EB0978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TOTAL</w:t>
            </w:r>
          </w:p>
        </w:tc>
        <w:tc>
          <w:tcPr>
            <w:tcW w:w="1579" w:type="dxa"/>
            <w:hideMark/>
          </w:tcPr>
          <w:p w14:paraId="77B0E715"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c>
          <w:tcPr>
            <w:tcW w:w="1579" w:type="dxa"/>
            <w:hideMark/>
          </w:tcPr>
          <w:p w14:paraId="589E0BC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c>
          <w:tcPr>
            <w:tcW w:w="1580" w:type="dxa"/>
            <w:hideMark/>
          </w:tcPr>
          <w:p w14:paraId="4237F5B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r>
      <w:tr w:rsidR="005B02AD" w:rsidRPr="005B02AD" w14:paraId="5304C572"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0CFFFA2E" w14:textId="77777777" w:rsidR="005B02AD" w:rsidRPr="005B02AD" w:rsidRDefault="005B02AD" w:rsidP="00A830B2">
            <w:pPr>
              <w:keepNext/>
              <w:rPr>
                <w:color w:val="auto"/>
                <w:lang w:eastAsia="en-GB"/>
              </w:rPr>
            </w:pPr>
            <w:r w:rsidRPr="005B02AD">
              <w:rPr>
                <w:color w:val="auto"/>
                <w:lang w:eastAsia="en-GB"/>
              </w:rPr>
              <w:t>Private rented</w:t>
            </w:r>
          </w:p>
        </w:tc>
        <w:tc>
          <w:tcPr>
            <w:tcW w:w="1579" w:type="dxa"/>
            <w:hideMark/>
          </w:tcPr>
          <w:p w14:paraId="532D61F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1-bed</w:t>
            </w:r>
          </w:p>
        </w:tc>
        <w:tc>
          <w:tcPr>
            <w:tcW w:w="1579" w:type="dxa"/>
            <w:hideMark/>
          </w:tcPr>
          <w:p w14:paraId="0F13535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18%</w:t>
            </w:r>
          </w:p>
        </w:tc>
        <w:tc>
          <w:tcPr>
            <w:tcW w:w="1579" w:type="dxa"/>
            <w:hideMark/>
          </w:tcPr>
          <w:p w14:paraId="7370DC9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21%</w:t>
            </w:r>
          </w:p>
        </w:tc>
        <w:tc>
          <w:tcPr>
            <w:tcW w:w="1580" w:type="dxa"/>
            <w:hideMark/>
          </w:tcPr>
          <w:p w14:paraId="4BCB583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23</w:t>
            </w:r>
            <w:r w:rsidRPr="005B02AD">
              <w:rPr>
                <w:rFonts w:ascii="Times New Roman" w:hAnsi="Times New Roman"/>
                <w:color w:val="auto"/>
                <w:sz w:val="16"/>
                <w:szCs w:val="16"/>
                <w:lang w:eastAsia="en-GB"/>
              </w:rPr>
              <w:t> </w:t>
            </w:r>
            <w:r w:rsidRPr="005B02AD">
              <w:rPr>
                <w:color w:val="auto"/>
                <w:lang w:eastAsia="en-GB"/>
              </w:rPr>
              <w:t>%</w:t>
            </w:r>
          </w:p>
        </w:tc>
      </w:tr>
      <w:tr w:rsidR="005B02AD" w:rsidRPr="005B02AD" w14:paraId="13F4FA5D"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79178379" w14:textId="77777777" w:rsidR="005B02AD" w:rsidRPr="005B02AD" w:rsidRDefault="005B02AD" w:rsidP="00A830B2">
            <w:pPr>
              <w:keepNext/>
              <w:rPr>
                <w:color w:val="auto"/>
                <w:lang w:eastAsia="en-GB"/>
              </w:rPr>
            </w:pPr>
            <w:r w:rsidRPr="005B02AD">
              <w:rPr>
                <w:color w:val="auto"/>
                <w:lang w:eastAsia="en-GB"/>
              </w:rPr>
              <w:t>Private rented</w:t>
            </w:r>
          </w:p>
        </w:tc>
        <w:tc>
          <w:tcPr>
            <w:tcW w:w="1579" w:type="dxa"/>
            <w:hideMark/>
          </w:tcPr>
          <w:p w14:paraId="161BA9B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2-bed</w:t>
            </w:r>
          </w:p>
        </w:tc>
        <w:tc>
          <w:tcPr>
            <w:tcW w:w="1579" w:type="dxa"/>
            <w:hideMark/>
          </w:tcPr>
          <w:p w14:paraId="3E4B064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36%</w:t>
            </w:r>
          </w:p>
        </w:tc>
        <w:tc>
          <w:tcPr>
            <w:tcW w:w="1579" w:type="dxa"/>
            <w:hideMark/>
          </w:tcPr>
          <w:p w14:paraId="5F3CDD75"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38%</w:t>
            </w:r>
          </w:p>
        </w:tc>
        <w:tc>
          <w:tcPr>
            <w:tcW w:w="1580" w:type="dxa"/>
            <w:hideMark/>
          </w:tcPr>
          <w:p w14:paraId="3D08C18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39%</w:t>
            </w:r>
          </w:p>
        </w:tc>
      </w:tr>
      <w:tr w:rsidR="005B02AD" w:rsidRPr="005B02AD" w14:paraId="04EF9EA1"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38357C9B" w14:textId="77777777" w:rsidR="005B02AD" w:rsidRPr="005B02AD" w:rsidRDefault="005B02AD" w:rsidP="00A830B2">
            <w:pPr>
              <w:keepNext/>
              <w:rPr>
                <w:color w:val="auto"/>
                <w:lang w:eastAsia="en-GB"/>
              </w:rPr>
            </w:pPr>
            <w:r w:rsidRPr="005B02AD">
              <w:rPr>
                <w:color w:val="auto"/>
                <w:lang w:eastAsia="en-GB"/>
              </w:rPr>
              <w:t>Private rented</w:t>
            </w:r>
          </w:p>
        </w:tc>
        <w:tc>
          <w:tcPr>
            <w:tcW w:w="1579" w:type="dxa"/>
            <w:hideMark/>
          </w:tcPr>
          <w:p w14:paraId="76FA105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3-bed</w:t>
            </w:r>
          </w:p>
        </w:tc>
        <w:tc>
          <w:tcPr>
            <w:tcW w:w="1579" w:type="dxa"/>
            <w:hideMark/>
          </w:tcPr>
          <w:p w14:paraId="72519EC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32%</w:t>
            </w:r>
          </w:p>
        </w:tc>
        <w:tc>
          <w:tcPr>
            <w:tcW w:w="1579" w:type="dxa"/>
            <w:hideMark/>
          </w:tcPr>
          <w:p w14:paraId="404491D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30%</w:t>
            </w:r>
          </w:p>
        </w:tc>
        <w:tc>
          <w:tcPr>
            <w:tcW w:w="1580" w:type="dxa"/>
            <w:hideMark/>
          </w:tcPr>
          <w:p w14:paraId="219C518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28%</w:t>
            </w:r>
          </w:p>
        </w:tc>
      </w:tr>
      <w:tr w:rsidR="005B02AD" w:rsidRPr="005B02AD" w14:paraId="6A68C2D8"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77A53504" w14:textId="77777777" w:rsidR="005B02AD" w:rsidRPr="005B02AD" w:rsidRDefault="005B02AD" w:rsidP="00A830B2">
            <w:pPr>
              <w:keepNext/>
              <w:rPr>
                <w:color w:val="auto"/>
                <w:lang w:eastAsia="en-GB"/>
              </w:rPr>
            </w:pPr>
            <w:r w:rsidRPr="005B02AD">
              <w:rPr>
                <w:color w:val="auto"/>
                <w:lang w:eastAsia="en-GB"/>
              </w:rPr>
              <w:t>Private rented</w:t>
            </w:r>
          </w:p>
        </w:tc>
        <w:tc>
          <w:tcPr>
            <w:tcW w:w="1579" w:type="dxa"/>
            <w:hideMark/>
          </w:tcPr>
          <w:p w14:paraId="17EFD2F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4+bed</w:t>
            </w:r>
          </w:p>
        </w:tc>
        <w:tc>
          <w:tcPr>
            <w:tcW w:w="1579" w:type="dxa"/>
            <w:hideMark/>
          </w:tcPr>
          <w:p w14:paraId="667C1E0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15%</w:t>
            </w:r>
          </w:p>
        </w:tc>
        <w:tc>
          <w:tcPr>
            <w:tcW w:w="1579" w:type="dxa"/>
            <w:hideMark/>
          </w:tcPr>
          <w:p w14:paraId="4298A80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11%</w:t>
            </w:r>
          </w:p>
        </w:tc>
        <w:tc>
          <w:tcPr>
            <w:tcW w:w="1580" w:type="dxa"/>
            <w:hideMark/>
          </w:tcPr>
          <w:p w14:paraId="75737BF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B02AD">
              <w:rPr>
                <w:color w:val="auto"/>
                <w:lang w:eastAsia="en-GB"/>
              </w:rPr>
              <w:t>10%</w:t>
            </w:r>
          </w:p>
        </w:tc>
      </w:tr>
      <w:tr w:rsidR="005B02AD" w:rsidRPr="005B02AD" w14:paraId="00A8A230" w14:textId="77777777" w:rsidTr="00A830B2">
        <w:trPr>
          <w:trHeight w:val="257"/>
        </w:trPr>
        <w:tc>
          <w:tcPr>
            <w:cnfStyle w:val="001000000000" w:firstRow="0" w:lastRow="0" w:firstColumn="1" w:lastColumn="0" w:oddVBand="0" w:evenVBand="0" w:oddHBand="0" w:evenHBand="0" w:firstRowFirstColumn="0" w:firstRowLastColumn="0" w:lastRowFirstColumn="0" w:lastRowLastColumn="0"/>
            <w:tcW w:w="2217" w:type="dxa"/>
            <w:hideMark/>
          </w:tcPr>
          <w:p w14:paraId="5007D72C" w14:textId="77777777" w:rsidR="005B02AD" w:rsidRPr="005B02AD" w:rsidRDefault="005B02AD" w:rsidP="00A830B2">
            <w:pPr>
              <w:keepNext/>
              <w:rPr>
                <w:b/>
                <w:bCs/>
                <w:color w:val="auto"/>
                <w:lang w:eastAsia="en-GB"/>
              </w:rPr>
            </w:pPr>
            <w:r w:rsidRPr="005B02AD">
              <w:rPr>
                <w:b/>
                <w:bCs/>
                <w:color w:val="auto"/>
                <w:lang w:eastAsia="en-GB"/>
              </w:rPr>
              <w:t>Private rented</w:t>
            </w:r>
          </w:p>
        </w:tc>
        <w:tc>
          <w:tcPr>
            <w:tcW w:w="1579" w:type="dxa"/>
            <w:hideMark/>
          </w:tcPr>
          <w:p w14:paraId="57D692B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TOTAL</w:t>
            </w:r>
          </w:p>
        </w:tc>
        <w:tc>
          <w:tcPr>
            <w:tcW w:w="1579" w:type="dxa"/>
            <w:hideMark/>
          </w:tcPr>
          <w:p w14:paraId="5DC8621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c>
          <w:tcPr>
            <w:tcW w:w="1579" w:type="dxa"/>
            <w:hideMark/>
          </w:tcPr>
          <w:p w14:paraId="6B6892E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c>
          <w:tcPr>
            <w:tcW w:w="1580" w:type="dxa"/>
            <w:hideMark/>
          </w:tcPr>
          <w:p w14:paraId="25D893B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B02AD">
              <w:rPr>
                <w:b/>
                <w:bCs/>
                <w:color w:val="auto"/>
                <w:lang w:eastAsia="en-GB"/>
              </w:rPr>
              <w:t>100%</w:t>
            </w:r>
          </w:p>
        </w:tc>
      </w:tr>
    </w:tbl>
    <w:p w14:paraId="3C2EC400" w14:textId="77777777" w:rsidR="00A6240C" w:rsidRPr="00A830B2" w:rsidRDefault="00A6240C" w:rsidP="00A830B2">
      <w:pPr>
        <w:pStyle w:val="Caption"/>
        <w:keepNext/>
        <w:spacing w:after="0"/>
        <w:ind w:firstLine="794"/>
        <w:rPr>
          <w:rFonts w:ascii="Arial" w:hAnsi="Arial" w:cs="Arial"/>
          <w:i w:val="0"/>
          <w:iCs w:val="0"/>
          <w:color w:val="auto"/>
          <w:sz w:val="24"/>
          <w:szCs w:val="24"/>
        </w:rPr>
      </w:pPr>
      <w:r w:rsidRPr="00A830B2">
        <w:rPr>
          <w:rFonts w:ascii="Arial" w:hAnsi="Arial" w:cs="Arial"/>
          <w:i w:val="0"/>
          <w:iCs w:val="0"/>
          <w:color w:val="auto"/>
          <w:sz w:val="24"/>
          <w:szCs w:val="24"/>
        </w:rPr>
        <w:t xml:space="preserve"> Source: 2011 Census</w:t>
      </w:r>
    </w:p>
    <w:p w14:paraId="69220CDD" w14:textId="247358CF" w:rsidR="00A6240C" w:rsidRPr="00526C6E" w:rsidRDefault="00A6240C" w:rsidP="007D0FBF">
      <w:pPr>
        <w:pStyle w:val="11Bodytext"/>
        <w:rPr>
          <w:b/>
        </w:rPr>
      </w:pPr>
      <w:r>
        <w:t xml:space="preserve">A similar analysis is provided below looking at individual local authorities. Key features of this include high proportions of 4+-bedroom owner-occupied homes in South Cambridgeshire and a higher than average proportion of 1-bedroom homes in Cambridge. </w:t>
      </w:r>
    </w:p>
    <w:p w14:paraId="5A546475" w14:textId="20EEFCA6" w:rsidR="00A6240C" w:rsidRDefault="00A6240C" w:rsidP="003D5E23">
      <w:pPr>
        <w:pStyle w:val="Tableheading"/>
        <w:numPr>
          <w:ilvl w:val="0"/>
          <w:numId w:val="54"/>
        </w:numPr>
      </w:pPr>
      <w:r>
        <w:lastRenderedPageBreak/>
        <w:t>Number of bedrooms by Tenure, 2011 – local authorities</w:t>
      </w:r>
    </w:p>
    <w:tbl>
      <w:tblPr>
        <w:tblStyle w:val="TableGridLight1"/>
        <w:tblW w:w="8468" w:type="dxa"/>
        <w:tblInd w:w="846" w:type="dxa"/>
        <w:tblLook w:val="04A0" w:firstRow="1" w:lastRow="0" w:firstColumn="1" w:lastColumn="0" w:noHBand="0" w:noVBand="1"/>
      </w:tblPr>
      <w:tblGrid>
        <w:gridCol w:w="1897"/>
        <w:gridCol w:w="873"/>
        <w:gridCol w:w="949"/>
        <w:gridCol w:w="950"/>
        <w:gridCol w:w="950"/>
        <w:gridCol w:w="949"/>
        <w:gridCol w:w="950"/>
        <w:gridCol w:w="950"/>
      </w:tblGrid>
      <w:tr w:rsidR="005B02AD" w:rsidRPr="005B02AD" w14:paraId="478C8345" w14:textId="77777777" w:rsidTr="00A830B2">
        <w:trPr>
          <w:cnfStyle w:val="100000000000" w:firstRow="1" w:lastRow="0" w:firstColumn="0" w:lastColumn="0" w:oddVBand="0" w:evenVBand="0" w:oddHBand="0" w:evenHBand="0" w:firstRowFirstColumn="0" w:firstRowLastColumn="0" w:lastRowFirstColumn="0" w:lastRowLastColumn="0"/>
          <w:cantSplit/>
          <w:trHeight w:val="1493"/>
        </w:trPr>
        <w:tc>
          <w:tcPr>
            <w:cnfStyle w:val="001000000000" w:firstRow="0" w:lastRow="0" w:firstColumn="1" w:lastColumn="0" w:oddVBand="0" w:evenVBand="0" w:oddHBand="0" w:evenHBand="0" w:firstRowFirstColumn="0" w:firstRowLastColumn="0" w:lastRowFirstColumn="0" w:lastRowLastColumn="0"/>
            <w:tcW w:w="1899" w:type="dxa"/>
            <w:hideMark/>
          </w:tcPr>
          <w:p w14:paraId="66E360E8" w14:textId="77777777" w:rsidR="005B02AD" w:rsidRPr="005B02AD" w:rsidRDefault="005B02AD" w:rsidP="00A830B2">
            <w:pPr>
              <w:keepNext/>
              <w:rPr>
                <w:bCs/>
                <w:color w:val="auto"/>
                <w:lang w:eastAsia="en-GB"/>
              </w:rPr>
            </w:pPr>
            <w:r w:rsidRPr="005B02AD">
              <w:rPr>
                <w:bCs/>
                <w:color w:val="auto"/>
                <w:lang w:eastAsia="en-GB"/>
              </w:rPr>
              <w:t> </w:t>
            </w:r>
          </w:p>
        </w:tc>
        <w:tc>
          <w:tcPr>
            <w:tcW w:w="865" w:type="dxa"/>
            <w:textDirection w:val="tbRl"/>
            <w:hideMark/>
          </w:tcPr>
          <w:p w14:paraId="3C09A0E3"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 </w:t>
            </w:r>
          </w:p>
        </w:tc>
        <w:tc>
          <w:tcPr>
            <w:tcW w:w="950" w:type="dxa"/>
            <w:textDirection w:val="btLr"/>
            <w:hideMark/>
          </w:tcPr>
          <w:p w14:paraId="586E00ED"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Cambridge</w:t>
            </w:r>
          </w:p>
        </w:tc>
        <w:tc>
          <w:tcPr>
            <w:tcW w:w="951" w:type="dxa"/>
            <w:textDirection w:val="btLr"/>
            <w:hideMark/>
          </w:tcPr>
          <w:p w14:paraId="0F26637C"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East Cambs</w:t>
            </w:r>
          </w:p>
        </w:tc>
        <w:tc>
          <w:tcPr>
            <w:tcW w:w="951" w:type="dxa"/>
            <w:textDirection w:val="btLr"/>
            <w:hideMark/>
          </w:tcPr>
          <w:p w14:paraId="4EC3484A"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Fenland</w:t>
            </w:r>
          </w:p>
        </w:tc>
        <w:tc>
          <w:tcPr>
            <w:tcW w:w="950" w:type="dxa"/>
            <w:textDirection w:val="btLr"/>
            <w:hideMark/>
          </w:tcPr>
          <w:p w14:paraId="34B91A39"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Hunts</w:t>
            </w:r>
          </w:p>
        </w:tc>
        <w:tc>
          <w:tcPr>
            <w:tcW w:w="951" w:type="dxa"/>
            <w:textDirection w:val="btLr"/>
            <w:hideMark/>
          </w:tcPr>
          <w:p w14:paraId="3C2FC04B"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South Cambs</w:t>
            </w:r>
          </w:p>
        </w:tc>
        <w:tc>
          <w:tcPr>
            <w:tcW w:w="951" w:type="dxa"/>
            <w:textDirection w:val="btLr"/>
            <w:hideMark/>
          </w:tcPr>
          <w:p w14:paraId="0EF0D0F2" w14:textId="77777777" w:rsidR="005B02AD" w:rsidRPr="005B02AD" w:rsidRDefault="005B02AD" w:rsidP="00A830B2">
            <w:pPr>
              <w:keepNext/>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5B02AD">
              <w:rPr>
                <w:bCs/>
                <w:color w:val="auto"/>
                <w:lang w:eastAsia="en-GB"/>
              </w:rPr>
              <w:t>West Suffolk</w:t>
            </w:r>
          </w:p>
        </w:tc>
      </w:tr>
      <w:tr w:rsidR="005B02AD" w:rsidRPr="005B02AD" w14:paraId="705F4289"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7494C01C" w14:textId="77777777" w:rsidR="005B02AD" w:rsidRPr="005B02AD" w:rsidRDefault="005B02AD" w:rsidP="00A830B2">
            <w:pPr>
              <w:keepNext/>
              <w:rPr>
                <w:color w:val="auto"/>
                <w:lang w:eastAsia="en-GB"/>
              </w:rPr>
            </w:pPr>
            <w:r w:rsidRPr="005B02AD">
              <w:rPr>
                <w:color w:val="auto"/>
                <w:lang w:eastAsia="en-GB"/>
              </w:rPr>
              <w:t>Owner-occupied</w:t>
            </w:r>
          </w:p>
        </w:tc>
        <w:tc>
          <w:tcPr>
            <w:tcW w:w="865" w:type="dxa"/>
            <w:hideMark/>
          </w:tcPr>
          <w:p w14:paraId="099AEE6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1-bed</w:t>
            </w:r>
          </w:p>
        </w:tc>
        <w:tc>
          <w:tcPr>
            <w:tcW w:w="950" w:type="dxa"/>
            <w:hideMark/>
          </w:tcPr>
          <w:p w14:paraId="17B8C58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6%</w:t>
            </w:r>
          </w:p>
        </w:tc>
        <w:tc>
          <w:tcPr>
            <w:tcW w:w="951" w:type="dxa"/>
            <w:hideMark/>
          </w:tcPr>
          <w:p w14:paraId="267F8DC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w:t>
            </w:r>
          </w:p>
        </w:tc>
        <w:tc>
          <w:tcPr>
            <w:tcW w:w="951" w:type="dxa"/>
            <w:hideMark/>
          </w:tcPr>
          <w:p w14:paraId="066F308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w:t>
            </w:r>
          </w:p>
        </w:tc>
        <w:tc>
          <w:tcPr>
            <w:tcW w:w="950" w:type="dxa"/>
            <w:hideMark/>
          </w:tcPr>
          <w:p w14:paraId="72A4D8E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w:t>
            </w:r>
          </w:p>
        </w:tc>
        <w:tc>
          <w:tcPr>
            <w:tcW w:w="951" w:type="dxa"/>
            <w:hideMark/>
          </w:tcPr>
          <w:p w14:paraId="3922AC9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w:t>
            </w:r>
          </w:p>
        </w:tc>
        <w:tc>
          <w:tcPr>
            <w:tcW w:w="951" w:type="dxa"/>
            <w:hideMark/>
          </w:tcPr>
          <w:p w14:paraId="0243715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w:t>
            </w:r>
          </w:p>
        </w:tc>
      </w:tr>
      <w:tr w:rsidR="005B02AD" w:rsidRPr="005B02AD" w14:paraId="7823F060"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11886342" w14:textId="77777777" w:rsidR="005B02AD" w:rsidRPr="005B02AD" w:rsidRDefault="005B02AD" w:rsidP="00A830B2">
            <w:pPr>
              <w:keepNext/>
              <w:rPr>
                <w:color w:val="auto"/>
                <w:lang w:eastAsia="en-GB"/>
              </w:rPr>
            </w:pPr>
            <w:r w:rsidRPr="005B02AD">
              <w:rPr>
                <w:color w:val="auto"/>
                <w:lang w:eastAsia="en-GB"/>
              </w:rPr>
              <w:t>Owner-occupied</w:t>
            </w:r>
          </w:p>
        </w:tc>
        <w:tc>
          <w:tcPr>
            <w:tcW w:w="865" w:type="dxa"/>
            <w:hideMark/>
          </w:tcPr>
          <w:p w14:paraId="38548B2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2-bed</w:t>
            </w:r>
          </w:p>
        </w:tc>
        <w:tc>
          <w:tcPr>
            <w:tcW w:w="950" w:type="dxa"/>
            <w:hideMark/>
          </w:tcPr>
          <w:p w14:paraId="1E6B4F8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21%</w:t>
            </w:r>
          </w:p>
        </w:tc>
        <w:tc>
          <w:tcPr>
            <w:tcW w:w="951" w:type="dxa"/>
            <w:hideMark/>
          </w:tcPr>
          <w:p w14:paraId="15D5D6C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21%</w:t>
            </w:r>
          </w:p>
        </w:tc>
        <w:tc>
          <w:tcPr>
            <w:tcW w:w="951" w:type="dxa"/>
            <w:hideMark/>
          </w:tcPr>
          <w:p w14:paraId="479CDAF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28%</w:t>
            </w:r>
          </w:p>
        </w:tc>
        <w:tc>
          <w:tcPr>
            <w:tcW w:w="950" w:type="dxa"/>
            <w:hideMark/>
          </w:tcPr>
          <w:p w14:paraId="6788432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16%</w:t>
            </w:r>
          </w:p>
        </w:tc>
        <w:tc>
          <w:tcPr>
            <w:tcW w:w="951" w:type="dxa"/>
            <w:hideMark/>
          </w:tcPr>
          <w:p w14:paraId="7185868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16%</w:t>
            </w:r>
          </w:p>
        </w:tc>
        <w:tc>
          <w:tcPr>
            <w:tcW w:w="951" w:type="dxa"/>
            <w:hideMark/>
          </w:tcPr>
          <w:p w14:paraId="2A862AC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24%</w:t>
            </w:r>
          </w:p>
        </w:tc>
      </w:tr>
      <w:tr w:rsidR="005B02AD" w:rsidRPr="005B02AD" w14:paraId="3EA92FB2"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15C99C26" w14:textId="77777777" w:rsidR="005B02AD" w:rsidRPr="005B02AD" w:rsidRDefault="005B02AD" w:rsidP="00A830B2">
            <w:pPr>
              <w:keepNext/>
              <w:rPr>
                <w:color w:val="auto"/>
                <w:lang w:eastAsia="en-GB"/>
              </w:rPr>
            </w:pPr>
            <w:r w:rsidRPr="005B02AD">
              <w:rPr>
                <w:color w:val="auto"/>
                <w:lang w:eastAsia="en-GB"/>
              </w:rPr>
              <w:t>Owner-occupied</w:t>
            </w:r>
          </w:p>
        </w:tc>
        <w:tc>
          <w:tcPr>
            <w:tcW w:w="865" w:type="dxa"/>
            <w:hideMark/>
          </w:tcPr>
          <w:p w14:paraId="7278084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3-bed</w:t>
            </w:r>
          </w:p>
        </w:tc>
        <w:tc>
          <w:tcPr>
            <w:tcW w:w="950" w:type="dxa"/>
            <w:hideMark/>
          </w:tcPr>
          <w:p w14:paraId="01E2D85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44%</w:t>
            </w:r>
          </w:p>
        </w:tc>
        <w:tc>
          <w:tcPr>
            <w:tcW w:w="951" w:type="dxa"/>
            <w:hideMark/>
          </w:tcPr>
          <w:p w14:paraId="7692A3A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43%</w:t>
            </w:r>
          </w:p>
        </w:tc>
        <w:tc>
          <w:tcPr>
            <w:tcW w:w="951" w:type="dxa"/>
            <w:hideMark/>
          </w:tcPr>
          <w:p w14:paraId="729DF96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48%</w:t>
            </w:r>
          </w:p>
        </w:tc>
        <w:tc>
          <w:tcPr>
            <w:tcW w:w="950" w:type="dxa"/>
            <w:hideMark/>
          </w:tcPr>
          <w:p w14:paraId="3176590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44%</w:t>
            </w:r>
          </w:p>
        </w:tc>
        <w:tc>
          <w:tcPr>
            <w:tcW w:w="951" w:type="dxa"/>
            <w:hideMark/>
          </w:tcPr>
          <w:p w14:paraId="2443708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38%</w:t>
            </w:r>
          </w:p>
        </w:tc>
        <w:tc>
          <w:tcPr>
            <w:tcW w:w="951" w:type="dxa"/>
            <w:hideMark/>
          </w:tcPr>
          <w:p w14:paraId="4A411AA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46%</w:t>
            </w:r>
          </w:p>
        </w:tc>
      </w:tr>
      <w:tr w:rsidR="005B02AD" w:rsidRPr="005B02AD" w14:paraId="02E6B001"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7B979920" w14:textId="77777777" w:rsidR="005B02AD" w:rsidRPr="005B02AD" w:rsidRDefault="005B02AD" w:rsidP="00A830B2">
            <w:pPr>
              <w:keepNext/>
              <w:rPr>
                <w:color w:val="auto"/>
                <w:lang w:eastAsia="en-GB"/>
              </w:rPr>
            </w:pPr>
            <w:r w:rsidRPr="005B02AD">
              <w:rPr>
                <w:color w:val="auto"/>
                <w:lang w:eastAsia="en-GB"/>
              </w:rPr>
              <w:t>Owner-occupied</w:t>
            </w:r>
          </w:p>
        </w:tc>
        <w:tc>
          <w:tcPr>
            <w:tcW w:w="865" w:type="dxa"/>
            <w:hideMark/>
          </w:tcPr>
          <w:p w14:paraId="01DA5C3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4+bed</w:t>
            </w:r>
          </w:p>
        </w:tc>
        <w:tc>
          <w:tcPr>
            <w:tcW w:w="950" w:type="dxa"/>
            <w:hideMark/>
          </w:tcPr>
          <w:p w14:paraId="310F3EC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29%</w:t>
            </w:r>
          </w:p>
        </w:tc>
        <w:tc>
          <w:tcPr>
            <w:tcW w:w="951" w:type="dxa"/>
            <w:hideMark/>
          </w:tcPr>
          <w:p w14:paraId="30E851F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33%</w:t>
            </w:r>
          </w:p>
        </w:tc>
        <w:tc>
          <w:tcPr>
            <w:tcW w:w="951" w:type="dxa"/>
            <w:hideMark/>
          </w:tcPr>
          <w:p w14:paraId="5B9DD41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22%</w:t>
            </w:r>
          </w:p>
        </w:tc>
        <w:tc>
          <w:tcPr>
            <w:tcW w:w="950" w:type="dxa"/>
            <w:hideMark/>
          </w:tcPr>
          <w:p w14:paraId="50DD476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37%</w:t>
            </w:r>
          </w:p>
        </w:tc>
        <w:tc>
          <w:tcPr>
            <w:tcW w:w="951" w:type="dxa"/>
            <w:hideMark/>
          </w:tcPr>
          <w:p w14:paraId="5408E8D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43%</w:t>
            </w:r>
          </w:p>
        </w:tc>
        <w:tc>
          <w:tcPr>
            <w:tcW w:w="951" w:type="dxa"/>
            <w:hideMark/>
          </w:tcPr>
          <w:p w14:paraId="74DAA48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27%</w:t>
            </w:r>
          </w:p>
        </w:tc>
      </w:tr>
      <w:tr w:rsidR="005B02AD" w:rsidRPr="005B02AD" w14:paraId="6A08EE92"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66FACBA3" w14:textId="77777777" w:rsidR="005B02AD" w:rsidRPr="005B02AD" w:rsidRDefault="005B02AD" w:rsidP="00A830B2">
            <w:pPr>
              <w:keepNext/>
              <w:rPr>
                <w:b/>
                <w:bCs/>
                <w:color w:val="auto"/>
                <w:lang w:eastAsia="en-GB"/>
              </w:rPr>
            </w:pPr>
            <w:r w:rsidRPr="005B02AD">
              <w:rPr>
                <w:b/>
                <w:bCs/>
                <w:color w:val="auto"/>
                <w:lang w:eastAsia="en-GB"/>
              </w:rPr>
              <w:t>Owner-occupied</w:t>
            </w:r>
          </w:p>
        </w:tc>
        <w:tc>
          <w:tcPr>
            <w:tcW w:w="865" w:type="dxa"/>
            <w:hideMark/>
          </w:tcPr>
          <w:p w14:paraId="3E630BA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TOTAL</w:t>
            </w:r>
          </w:p>
        </w:tc>
        <w:tc>
          <w:tcPr>
            <w:tcW w:w="950" w:type="dxa"/>
            <w:hideMark/>
          </w:tcPr>
          <w:p w14:paraId="78C3C60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099221F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462DC59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0" w:type="dxa"/>
            <w:hideMark/>
          </w:tcPr>
          <w:p w14:paraId="650208E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1A1D2220"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6AB2D7A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r>
      <w:tr w:rsidR="005B02AD" w:rsidRPr="005B02AD" w14:paraId="73CA0968"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73B5585D" w14:textId="77777777" w:rsidR="005B02AD" w:rsidRPr="005B02AD" w:rsidRDefault="005B02AD" w:rsidP="00A830B2">
            <w:pPr>
              <w:keepNext/>
              <w:rPr>
                <w:color w:val="auto"/>
                <w:lang w:eastAsia="en-GB"/>
              </w:rPr>
            </w:pPr>
            <w:r w:rsidRPr="005B02AD">
              <w:rPr>
                <w:color w:val="auto"/>
                <w:lang w:eastAsia="en-GB"/>
              </w:rPr>
              <w:t>Social rented</w:t>
            </w:r>
          </w:p>
        </w:tc>
        <w:tc>
          <w:tcPr>
            <w:tcW w:w="865" w:type="dxa"/>
            <w:hideMark/>
          </w:tcPr>
          <w:p w14:paraId="0F0BD54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1-bed</w:t>
            </w:r>
          </w:p>
        </w:tc>
        <w:tc>
          <w:tcPr>
            <w:tcW w:w="950" w:type="dxa"/>
            <w:hideMark/>
          </w:tcPr>
          <w:p w14:paraId="540106F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36%</w:t>
            </w:r>
          </w:p>
        </w:tc>
        <w:tc>
          <w:tcPr>
            <w:tcW w:w="951" w:type="dxa"/>
            <w:hideMark/>
          </w:tcPr>
          <w:p w14:paraId="4675F2B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27%</w:t>
            </w:r>
          </w:p>
        </w:tc>
        <w:tc>
          <w:tcPr>
            <w:tcW w:w="951" w:type="dxa"/>
            <w:hideMark/>
          </w:tcPr>
          <w:p w14:paraId="35ED82B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31%</w:t>
            </w:r>
          </w:p>
        </w:tc>
        <w:tc>
          <w:tcPr>
            <w:tcW w:w="950" w:type="dxa"/>
            <w:hideMark/>
          </w:tcPr>
          <w:p w14:paraId="73BD7D3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25%</w:t>
            </w:r>
          </w:p>
        </w:tc>
        <w:tc>
          <w:tcPr>
            <w:tcW w:w="951" w:type="dxa"/>
            <w:hideMark/>
          </w:tcPr>
          <w:p w14:paraId="477906F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20%</w:t>
            </w:r>
          </w:p>
        </w:tc>
        <w:tc>
          <w:tcPr>
            <w:tcW w:w="951" w:type="dxa"/>
            <w:hideMark/>
          </w:tcPr>
          <w:p w14:paraId="090DDC5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28%</w:t>
            </w:r>
          </w:p>
        </w:tc>
      </w:tr>
      <w:tr w:rsidR="005B02AD" w:rsidRPr="005B02AD" w14:paraId="1899DF76"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28D7CFE5" w14:textId="77777777" w:rsidR="005B02AD" w:rsidRPr="005B02AD" w:rsidRDefault="005B02AD" w:rsidP="00A830B2">
            <w:pPr>
              <w:keepNext/>
              <w:rPr>
                <w:color w:val="auto"/>
                <w:lang w:eastAsia="en-GB"/>
              </w:rPr>
            </w:pPr>
            <w:r w:rsidRPr="005B02AD">
              <w:rPr>
                <w:color w:val="auto"/>
                <w:lang w:eastAsia="en-GB"/>
              </w:rPr>
              <w:t>Social rented</w:t>
            </w:r>
          </w:p>
        </w:tc>
        <w:tc>
          <w:tcPr>
            <w:tcW w:w="865" w:type="dxa"/>
            <w:hideMark/>
          </w:tcPr>
          <w:p w14:paraId="7A4F5A6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2-bed</w:t>
            </w:r>
          </w:p>
        </w:tc>
        <w:tc>
          <w:tcPr>
            <w:tcW w:w="950" w:type="dxa"/>
            <w:hideMark/>
          </w:tcPr>
          <w:p w14:paraId="514D30C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30%</w:t>
            </w:r>
          </w:p>
        </w:tc>
        <w:tc>
          <w:tcPr>
            <w:tcW w:w="951" w:type="dxa"/>
            <w:hideMark/>
          </w:tcPr>
          <w:p w14:paraId="19556E8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39%</w:t>
            </w:r>
          </w:p>
        </w:tc>
        <w:tc>
          <w:tcPr>
            <w:tcW w:w="951" w:type="dxa"/>
            <w:hideMark/>
          </w:tcPr>
          <w:p w14:paraId="7D7F07C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37%</w:t>
            </w:r>
          </w:p>
        </w:tc>
        <w:tc>
          <w:tcPr>
            <w:tcW w:w="950" w:type="dxa"/>
            <w:hideMark/>
          </w:tcPr>
          <w:p w14:paraId="0D59BD4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36%</w:t>
            </w:r>
          </w:p>
        </w:tc>
        <w:tc>
          <w:tcPr>
            <w:tcW w:w="951" w:type="dxa"/>
            <w:hideMark/>
          </w:tcPr>
          <w:p w14:paraId="46BFF76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42%</w:t>
            </w:r>
          </w:p>
        </w:tc>
        <w:tc>
          <w:tcPr>
            <w:tcW w:w="951" w:type="dxa"/>
            <w:hideMark/>
          </w:tcPr>
          <w:p w14:paraId="4D823E3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36</w:t>
            </w:r>
            <w:r w:rsidRPr="005B02AD">
              <w:rPr>
                <w:rFonts w:ascii="Times New Roman" w:hAnsi="Times New Roman"/>
                <w:color w:val="auto"/>
                <w:sz w:val="16"/>
                <w:szCs w:val="16"/>
                <w:lang w:eastAsia="en-GB"/>
              </w:rPr>
              <w:t> </w:t>
            </w:r>
            <w:r w:rsidRPr="005B02AD">
              <w:rPr>
                <w:color w:val="000000"/>
                <w:lang w:eastAsia="en-GB"/>
              </w:rPr>
              <w:t>%</w:t>
            </w:r>
          </w:p>
        </w:tc>
      </w:tr>
      <w:tr w:rsidR="005B02AD" w:rsidRPr="005B02AD" w14:paraId="027AC4AE"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621E61AB" w14:textId="77777777" w:rsidR="005B02AD" w:rsidRPr="005B02AD" w:rsidRDefault="005B02AD" w:rsidP="00A830B2">
            <w:pPr>
              <w:keepNext/>
              <w:rPr>
                <w:color w:val="auto"/>
                <w:lang w:eastAsia="en-GB"/>
              </w:rPr>
            </w:pPr>
            <w:r w:rsidRPr="005B02AD">
              <w:rPr>
                <w:color w:val="auto"/>
                <w:lang w:eastAsia="en-GB"/>
              </w:rPr>
              <w:t>Social rented</w:t>
            </w:r>
          </w:p>
        </w:tc>
        <w:tc>
          <w:tcPr>
            <w:tcW w:w="865" w:type="dxa"/>
            <w:hideMark/>
          </w:tcPr>
          <w:p w14:paraId="4295D8F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3-bed</w:t>
            </w:r>
          </w:p>
        </w:tc>
        <w:tc>
          <w:tcPr>
            <w:tcW w:w="950" w:type="dxa"/>
            <w:hideMark/>
          </w:tcPr>
          <w:p w14:paraId="09B1D25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29%</w:t>
            </w:r>
          </w:p>
        </w:tc>
        <w:tc>
          <w:tcPr>
            <w:tcW w:w="951" w:type="dxa"/>
            <w:hideMark/>
          </w:tcPr>
          <w:p w14:paraId="05DE9C6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30%</w:t>
            </w:r>
          </w:p>
        </w:tc>
        <w:tc>
          <w:tcPr>
            <w:tcW w:w="951" w:type="dxa"/>
            <w:hideMark/>
          </w:tcPr>
          <w:p w14:paraId="48223A7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29%</w:t>
            </w:r>
          </w:p>
        </w:tc>
        <w:tc>
          <w:tcPr>
            <w:tcW w:w="950" w:type="dxa"/>
            <w:hideMark/>
          </w:tcPr>
          <w:p w14:paraId="6429990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34%</w:t>
            </w:r>
          </w:p>
        </w:tc>
        <w:tc>
          <w:tcPr>
            <w:tcW w:w="951" w:type="dxa"/>
            <w:hideMark/>
          </w:tcPr>
          <w:p w14:paraId="2AE1A64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34%</w:t>
            </w:r>
          </w:p>
        </w:tc>
        <w:tc>
          <w:tcPr>
            <w:tcW w:w="951" w:type="dxa"/>
            <w:hideMark/>
          </w:tcPr>
          <w:p w14:paraId="2DB48C65"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32%</w:t>
            </w:r>
          </w:p>
        </w:tc>
      </w:tr>
      <w:tr w:rsidR="005B02AD" w:rsidRPr="005B02AD" w14:paraId="4BDE9484"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3AD7ED5A" w14:textId="77777777" w:rsidR="005B02AD" w:rsidRPr="005B02AD" w:rsidRDefault="005B02AD" w:rsidP="00A830B2">
            <w:pPr>
              <w:keepNext/>
              <w:rPr>
                <w:color w:val="auto"/>
                <w:lang w:eastAsia="en-GB"/>
              </w:rPr>
            </w:pPr>
            <w:r w:rsidRPr="005B02AD">
              <w:rPr>
                <w:color w:val="auto"/>
                <w:lang w:eastAsia="en-GB"/>
              </w:rPr>
              <w:t>Social rented</w:t>
            </w:r>
          </w:p>
        </w:tc>
        <w:tc>
          <w:tcPr>
            <w:tcW w:w="865" w:type="dxa"/>
            <w:hideMark/>
          </w:tcPr>
          <w:p w14:paraId="08B95AA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4+bed</w:t>
            </w:r>
          </w:p>
        </w:tc>
        <w:tc>
          <w:tcPr>
            <w:tcW w:w="950" w:type="dxa"/>
            <w:hideMark/>
          </w:tcPr>
          <w:p w14:paraId="49D6C78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w:t>
            </w:r>
          </w:p>
        </w:tc>
        <w:tc>
          <w:tcPr>
            <w:tcW w:w="951" w:type="dxa"/>
            <w:hideMark/>
          </w:tcPr>
          <w:p w14:paraId="4FB1553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w:t>
            </w:r>
          </w:p>
        </w:tc>
        <w:tc>
          <w:tcPr>
            <w:tcW w:w="951" w:type="dxa"/>
            <w:hideMark/>
          </w:tcPr>
          <w:p w14:paraId="6120052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w:t>
            </w:r>
          </w:p>
        </w:tc>
        <w:tc>
          <w:tcPr>
            <w:tcW w:w="950" w:type="dxa"/>
            <w:hideMark/>
          </w:tcPr>
          <w:p w14:paraId="2471F2D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5%</w:t>
            </w:r>
          </w:p>
        </w:tc>
        <w:tc>
          <w:tcPr>
            <w:tcW w:w="951" w:type="dxa"/>
            <w:hideMark/>
          </w:tcPr>
          <w:p w14:paraId="427E2E3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w:t>
            </w:r>
          </w:p>
        </w:tc>
        <w:tc>
          <w:tcPr>
            <w:tcW w:w="951" w:type="dxa"/>
            <w:hideMark/>
          </w:tcPr>
          <w:p w14:paraId="7DC00DC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w:t>
            </w:r>
          </w:p>
        </w:tc>
      </w:tr>
      <w:tr w:rsidR="005B02AD" w:rsidRPr="005B02AD" w14:paraId="18A7F738"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34F46F62" w14:textId="77777777" w:rsidR="005B02AD" w:rsidRPr="005B02AD" w:rsidRDefault="005B02AD" w:rsidP="00A830B2">
            <w:pPr>
              <w:keepNext/>
              <w:rPr>
                <w:b/>
                <w:bCs/>
                <w:color w:val="auto"/>
                <w:lang w:eastAsia="en-GB"/>
              </w:rPr>
            </w:pPr>
            <w:r w:rsidRPr="005B02AD">
              <w:rPr>
                <w:b/>
                <w:bCs/>
                <w:color w:val="auto"/>
                <w:lang w:eastAsia="en-GB"/>
              </w:rPr>
              <w:t>Social rented</w:t>
            </w:r>
          </w:p>
        </w:tc>
        <w:tc>
          <w:tcPr>
            <w:tcW w:w="865" w:type="dxa"/>
            <w:hideMark/>
          </w:tcPr>
          <w:p w14:paraId="2061DDD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TOTAL</w:t>
            </w:r>
          </w:p>
        </w:tc>
        <w:tc>
          <w:tcPr>
            <w:tcW w:w="950" w:type="dxa"/>
            <w:hideMark/>
          </w:tcPr>
          <w:p w14:paraId="65894A4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5EF2EA8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281BC5A9"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0" w:type="dxa"/>
            <w:hideMark/>
          </w:tcPr>
          <w:p w14:paraId="4C7AB9F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1B3CFCD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0DBCA23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r>
      <w:tr w:rsidR="005B02AD" w:rsidRPr="005B02AD" w14:paraId="064841C6"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7EC3CDA5" w14:textId="77777777" w:rsidR="005B02AD" w:rsidRPr="005B02AD" w:rsidRDefault="005B02AD" w:rsidP="00A830B2">
            <w:pPr>
              <w:keepNext/>
              <w:rPr>
                <w:color w:val="auto"/>
                <w:lang w:eastAsia="en-GB"/>
              </w:rPr>
            </w:pPr>
            <w:r w:rsidRPr="005B02AD">
              <w:rPr>
                <w:color w:val="auto"/>
                <w:lang w:eastAsia="en-GB"/>
              </w:rPr>
              <w:t>Private rented</w:t>
            </w:r>
          </w:p>
        </w:tc>
        <w:tc>
          <w:tcPr>
            <w:tcW w:w="865" w:type="dxa"/>
            <w:hideMark/>
          </w:tcPr>
          <w:p w14:paraId="38B53CE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1-bed</w:t>
            </w:r>
          </w:p>
        </w:tc>
        <w:tc>
          <w:tcPr>
            <w:tcW w:w="950" w:type="dxa"/>
            <w:hideMark/>
          </w:tcPr>
          <w:p w14:paraId="1BED936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28%</w:t>
            </w:r>
          </w:p>
        </w:tc>
        <w:tc>
          <w:tcPr>
            <w:tcW w:w="951" w:type="dxa"/>
            <w:hideMark/>
          </w:tcPr>
          <w:p w14:paraId="043BAB9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13%</w:t>
            </w:r>
          </w:p>
        </w:tc>
        <w:tc>
          <w:tcPr>
            <w:tcW w:w="951" w:type="dxa"/>
            <w:hideMark/>
          </w:tcPr>
          <w:p w14:paraId="0032479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18%</w:t>
            </w:r>
          </w:p>
        </w:tc>
        <w:tc>
          <w:tcPr>
            <w:tcW w:w="950" w:type="dxa"/>
            <w:hideMark/>
          </w:tcPr>
          <w:p w14:paraId="23F0A114"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16%</w:t>
            </w:r>
          </w:p>
        </w:tc>
        <w:tc>
          <w:tcPr>
            <w:tcW w:w="951" w:type="dxa"/>
            <w:hideMark/>
          </w:tcPr>
          <w:p w14:paraId="61604B7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15%</w:t>
            </w:r>
          </w:p>
        </w:tc>
        <w:tc>
          <w:tcPr>
            <w:tcW w:w="951" w:type="dxa"/>
            <w:hideMark/>
          </w:tcPr>
          <w:p w14:paraId="463BFC3B"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12%</w:t>
            </w:r>
          </w:p>
        </w:tc>
      </w:tr>
      <w:tr w:rsidR="005B02AD" w:rsidRPr="005B02AD" w14:paraId="3E6F739F"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1D0FF058" w14:textId="77777777" w:rsidR="005B02AD" w:rsidRPr="005B02AD" w:rsidRDefault="005B02AD" w:rsidP="00A830B2">
            <w:pPr>
              <w:keepNext/>
              <w:rPr>
                <w:color w:val="auto"/>
                <w:lang w:eastAsia="en-GB"/>
              </w:rPr>
            </w:pPr>
            <w:r w:rsidRPr="005B02AD">
              <w:rPr>
                <w:color w:val="auto"/>
                <w:lang w:eastAsia="en-GB"/>
              </w:rPr>
              <w:t>Private rented</w:t>
            </w:r>
          </w:p>
        </w:tc>
        <w:tc>
          <w:tcPr>
            <w:tcW w:w="865" w:type="dxa"/>
            <w:hideMark/>
          </w:tcPr>
          <w:p w14:paraId="0784284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2-bed</w:t>
            </w:r>
          </w:p>
        </w:tc>
        <w:tc>
          <w:tcPr>
            <w:tcW w:w="950" w:type="dxa"/>
            <w:hideMark/>
          </w:tcPr>
          <w:p w14:paraId="7409EA2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33%</w:t>
            </w:r>
          </w:p>
        </w:tc>
        <w:tc>
          <w:tcPr>
            <w:tcW w:w="951" w:type="dxa"/>
            <w:hideMark/>
          </w:tcPr>
          <w:p w14:paraId="3B67F8F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37%</w:t>
            </w:r>
          </w:p>
        </w:tc>
        <w:tc>
          <w:tcPr>
            <w:tcW w:w="951" w:type="dxa"/>
            <w:hideMark/>
          </w:tcPr>
          <w:p w14:paraId="1EC7C54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41%</w:t>
            </w:r>
          </w:p>
        </w:tc>
        <w:tc>
          <w:tcPr>
            <w:tcW w:w="950" w:type="dxa"/>
            <w:hideMark/>
          </w:tcPr>
          <w:p w14:paraId="70E7CD3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35%</w:t>
            </w:r>
          </w:p>
        </w:tc>
        <w:tc>
          <w:tcPr>
            <w:tcW w:w="951" w:type="dxa"/>
            <w:hideMark/>
          </w:tcPr>
          <w:p w14:paraId="07B8BF6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36%</w:t>
            </w:r>
          </w:p>
        </w:tc>
        <w:tc>
          <w:tcPr>
            <w:tcW w:w="951" w:type="dxa"/>
            <w:hideMark/>
          </w:tcPr>
          <w:p w14:paraId="5594899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37%</w:t>
            </w:r>
          </w:p>
        </w:tc>
      </w:tr>
      <w:tr w:rsidR="005B02AD" w:rsidRPr="005B02AD" w14:paraId="64895B81"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54B367B6" w14:textId="77777777" w:rsidR="005B02AD" w:rsidRPr="005B02AD" w:rsidRDefault="005B02AD" w:rsidP="00A830B2">
            <w:pPr>
              <w:keepNext/>
              <w:rPr>
                <w:color w:val="auto"/>
                <w:lang w:eastAsia="en-GB"/>
              </w:rPr>
            </w:pPr>
            <w:r w:rsidRPr="005B02AD">
              <w:rPr>
                <w:color w:val="auto"/>
                <w:lang w:eastAsia="en-GB"/>
              </w:rPr>
              <w:t>Private rented</w:t>
            </w:r>
          </w:p>
        </w:tc>
        <w:tc>
          <w:tcPr>
            <w:tcW w:w="865" w:type="dxa"/>
            <w:hideMark/>
          </w:tcPr>
          <w:p w14:paraId="019E9FD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3-bed</w:t>
            </w:r>
          </w:p>
        </w:tc>
        <w:tc>
          <w:tcPr>
            <w:tcW w:w="950" w:type="dxa"/>
            <w:hideMark/>
          </w:tcPr>
          <w:p w14:paraId="3D67A698"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23%</w:t>
            </w:r>
          </w:p>
        </w:tc>
        <w:tc>
          <w:tcPr>
            <w:tcW w:w="951" w:type="dxa"/>
            <w:hideMark/>
          </w:tcPr>
          <w:p w14:paraId="4C6EEFB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35%</w:t>
            </w:r>
          </w:p>
        </w:tc>
        <w:tc>
          <w:tcPr>
            <w:tcW w:w="951" w:type="dxa"/>
            <w:hideMark/>
          </w:tcPr>
          <w:p w14:paraId="56EFCE6C"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33%</w:t>
            </w:r>
          </w:p>
        </w:tc>
        <w:tc>
          <w:tcPr>
            <w:tcW w:w="950" w:type="dxa"/>
            <w:hideMark/>
          </w:tcPr>
          <w:p w14:paraId="48CED7E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34%</w:t>
            </w:r>
          </w:p>
        </w:tc>
        <w:tc>
          <w:tcPr>
            <w:tcW w:w="951" w:type="dxa"/>
            <w:hideMark/>
          </w:tcPr>
          <w:p w14:paraId="423CB9F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33%</w:t>
            </w:r>
          </w:p>
        </w:tc>
        <w:tc>
          <w:tcPr>
            <w:tcW w:w="951" w:type="dxa"/>
            <w:hideMark/>
          </w:tcPr>
          <w:p w14:paraId="2EB8044A"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36%</w:t>
            </w:r>
          </w:p>
        </w:tc>
      </w:tr>
      <w:tr w:rsidR="005B02AD" w:rsidRPr="005B02AD" w14:paraId="64C6C97A"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04884ECA" w14:textId="77777777" w:rsidR="005B02AD" w:rsidRPr="005B02AD" w:rsidRDefault="005B02AD" w:rsidP="00A830B2">
            <w:pPr>
              <w:keepNext/>
              <w:rPr>
                <w:color w:val="auto"/>
                <w:lang w:eastAsia="en-GB"/>
              </w:rPr>
            </w:pPr>
            <w:r w:rsidRPr="005B02AD">
              <w:rPr>
                <w:color w:val="auto"/>
                <w:lang w:eastAsia="en-GB"/>
              </w:rPr>
              <w:t>Private rented</w:t>
            </w:r>
          </w:p>
        </w:tc>
        <w:tc>
          <w:tcPr>
            <w:tcW w:w="865" w:type="dxa"/>
            <w:hideMark/>
          </w:tcPr>
          <w:p w14:paraId="7C43569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4+bed</w:t>
            </w:r>
          </w:p>
        </w:tc>
        <w:tc>
          <w:tcPr>
            <w:tcW w:w="950" w:type="dxa"/>
            <w:hideMark/>
          </w:tcPr>
          <w:p w14:paraId="3E5D324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17%</w:t>
            </w:r>
          </w:p>
        </w:tc>
        <w:tc>
          <w:tcPr>
            <w:tcW w:w="951" w:type="dxa"/>
            <w:hideMark/>
          </w:tcPr>
          <w:p w14:paraId="185E7E6D"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14%</w:t>
            </w:r>
          </w:p>
        </w:tc>
        <w:tc>
          <w:tcPr>
            <w:tcW w:w="951" w:type="dxa"/>
            <w:hideMark/>
          </w:tcPr>
          <w:p w14:paraId="7C24CAA6"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8%</w:t>
            </w:r>
          </w:p>
        </w:tc>
        <w:tc>
          <w:tcPr>
            <w:tcW w:w="950" w:type="dxa"/>
            <w:hideMark/>
          </w:tcPr>
          <w:p w14:paraId="2A7F4535"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15%</w:t>
            </w:r>
          </w:p>
        </w:tc>
        <w:tc>
          <w:tcPr>
            <w:tcW w:w="951" w:type="dxa"/>
            <w:hideMark/>
          </w:tcPr>
          <w:p w14:paraId="6F8EC25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15%</w:t>
            </w:r>
          </w:p>
        </w:tc>
        <w:tc>
          <w:tcPr>
            <w:tcW w:w="951" w:type="dxa"/>
            <w:hideMark/>
          </w:tcPr>
          <w:p w14:paraId="52C182E1"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color w:val="000000"/>
                <w:lang w:eastAsia="en-GB"/>
              </w:rPr>
            </w:pPr>
            <w:r w:rsidRPr="005B02AD">
              <w:rPr>
                <w:color w:val="000000"/>
                <w:lang w:eastAsia="en-GB"/>
              </w:rPr>
              <w:t>15%</w:t>
            </w:r>
          </w:p>
        </w:tc>
      </w:tr>
      <w:tr w:rsidR="005B02AD" w:rsidRPr="005B02AD" w14:paraId="690215FF" w14:textId="77777777" w:rsidTr="00A830B2">
        <w:trPr>
          <w:trHeight w:val="238"/>
        </w:trPr>
        <w:tc>
          <w:tcPr>
            <w:cnfStyle w:val="001000000000" w:firstRow="0" w:lastRow="0" w:firstColumn="1" w:lastColumn="0" w:oddVBand="0" w:evenVBand="0" w:oddHBand="0" w:evenHBand="0" w:firstRowFirstColumn="0" w:firstRowLastColumn="0" w:lastRowFirstColumn="0" w:lastRowLastColumn="0"/>
            <w:tcW w:w="1899" w:type="dxa"/>
            <w:hideMark/>
          </w:tcPr>
          <w:p w14:paraId="392C420F" w14:textId="77777777" w:rsidR="005B02AD" w:rsidRPr="005B02AD" w:rsidRDefault="005B02AD" w:rsidP="00A830B2">
            <w:pPr>
              <w:keepNext/>
              <w:rPr>
                <w:b/>
                <w:bCs/>
                <w:color w:val="auto"/>
                <w:lang w:eastAsia="en-GB"/>
              </w:rPr>
            </w:pPr>
            <w:r w:rsidRPr="005B02AD">
              <w:rPr>
                <w:b/>
                <w:bCs/>
                <w:color w:val="auto"/>
                <w:lang w:eastAsia="en-GB"/>
              </w:rPr>
              <w:t>Private rented</w:t>
            </w:r>
          </w:p>
        </w:tc>
        <w:tc>
          <w:tcPr>
            <w:tcW w:w="865" w:type="dxa"/>
            <w:hideMark/>
          </w:tcPr>
          <w:p w14:paraId="71EF1323"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TOTAL</w:t>
            </w:r>
          </w:p>
        </w:tc>
        <w:tc>
          <w:tcPr>
            <w:tcW w:w="950" w:type="dxa"/>
            <w:hideMark/>
          </w:tcPr>
          <w:p w14:paraId="7BBE0FC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45718032"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2E4FCBB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0" w:type="dxa"/>
            <w:hideMark/>
          </w:tcPr>
          <w:p w14:paraId="4647053F"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2DA10C97"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c>
          <w:tcPr>
            <w:tcW w:w="951" w:type="dxa"/>
            <w:hideMark/>
          </w:tcPr>
          <w:p w14:paraId="166CDA5E" w14:textId="77777777" w:rsidR="005B02AD" w:rsidRPr="005B02AD" w:rsidRDefault="005B02AD" w:rsidP="00A830B2">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B02AD">
              <w:rPr>
                <w:b/>
                <w:bCs/>
                <w:color w:val="000000"/>
                <w:lang w:eastAsia="en-GB"/>
              </w:rPr>
              <w:t>100%</w:t>
            </w:r>
          </w:p>
        </w:tc>
      </w:tr>
    </w:tbl>
    <w:p w14:paraId="782256F4" w14:textId="77777777" w:rsidR="00A6240C" w:rsidRPr="00A830B2" w:rsidRDefault="00A6240C" w:rsidP="00A830B2">
      <w:pPr>
        <w:pStyle w:val="Caption"/>
        <w:keepNext/>
        <w:spacing w:after="0"/>
        <w:ind w:firstLine="794"/>
        <w:rPr>
          <w:rFonts w:ascii="Arial" w:hAnsi="Arial" w:cs="Arial"/>
          <w:i w:val="0"/>
          <w:iCs w:val="0"/>
          <w:color w:val="auto"/>
          <w:sz w:val="24"/>
          <w:szCs w:val="24"/>
        </w:rPr>
      </w:pPr>
      <w:r>
        <w:rPr>
          <w:rFonts w:ascii="Arial" w:hAnsi="Arial" w:cs="Arial"/>
          <w:i w:val="0"/>
          <w:iCs w:val="0"/>
          <w:color w:val="auto"/>
          <w:sz w:val="20"/>
          <w:szCs w:val="20"/>
        </w:rPr>
        <w:t xml:space="preserve"> </w:t>
      </w:r>
      <w:r w:rsidRPr="00A830B2">
        <w:rPr>
          <w:rFonts w:ascii="Arial" w:hAnsi="Arial" w:cs="Arial"/>
          <w:i w:val="0"/>
          <w:iCs w:val="0"/>
          <w:color w:val="auto"/>
          <w:sz w:val="24"/>
          <w:szCs w:val="24"/>
        </w:rPr>
        <w:t xml:space="preserve">Source: ONS, 2011 Census, </w:t>
      </w:r>
      <w:hyperlink r:id="rId51" w:tooltip="Start a query using this dataset" w:history="1">
        <w:r w:rsidRPr="00A830B2">
          <w:rPr>
            <w:rStyle w:val="Hyperlink"/>
            <w:rFonts w:ascii="Arial" w:eastAsiaTheme="majorEastAsia" w:hAnsi="Arial" w:cs="Arial"/>
            <w:i w:val="0"/>
            <w:iCs w:val="0"/>
            <w:color w:val="auto"/>
            <w:sz w:val="24"/>
            <w:szCs w:val="24"/>
          </w:rPr>
          <w:t>DC4405EW</w:t>
        </w:r>
      </w:hyperlink>
    </w:p>
    <w:p w14:paraId="586EC52D" w14:textId="77777777" w:rsidR="00A6240C" w:rsidRDefault="00A6240C" w:rsidP="007D0FBF">
      <w:pPr>
        <w:pStyle w:val="11Bodytext"/>
      </w:pPr>
      <w:r>
        <w:t xml:space="preserve">The social rented sector shows low proportions of 1-bedroom homes in South Cambridgeshire, which conversely has a high proportion of 2-bedroom homes. In the </w:t>
      </w:r>
      <w:proofErr w:type="gramStart"/>
      <w:r>
        <w:t>PRS  ,</w:t>
      </w:r>
      <w:proofErr w:type="gramEnd"/>
      <w:r>
        <w:t xml:space="preserve"> there are again some variations by area – Cambridge stands out as having a high proportion of both 1- and 4+bedroom homes in this sector compared with the other districts.</w:t>
      </w:r>
    </w:p>
    <w:p w14:paraId="2C8F36FA" w14:textId="77777777" w:rsidR="00A6240C" w:rsidRDefault="00A6240C" w:rsidP="00A830B2">
      <w:pPr>
        <w:pStyle w:val="Heading2"/>
      </w:pPr>
      <w:r>
        <w:t>Overview of Methodology</w:t>
      </w:r>
    </w:p>
    <w:p w14:paraId="0D3CD051" w14:textId="77777777" w:rsidR="00A6240C" w:rsidRPr="00526C6E" w:rsidRDefault="00A6240C" w:rsidP="007D0FBF">
      <w:pPr>
        <w:pStyle w:val="11Bodytext"/>
        <w:rPr>
          <w:b/>
        </w:rPr>
      </w:pPr>
      <w:r>
        <w:t>The method to consider future housing mix looks at the ages of the Household Reference Persons</w:t>
      </w:r>
      <w:r>
        <w:rPr>
          <w:rStyle w:val="FootnoteReference"/>
        </w:rPr>
        <w:footnoteReference w:id="27"/>
      </w:r>
      <w:r>
        <w:t xml:space="preserve"> and how these are projected to change over time. The sub-sections to follow describe some of the key analysis.</w:t>
      </w:r>
    </w:p>
    <w:p w14:paraId="71106F71" w14:textId="77777777" w:rsidR="00A6240C" w:rsidRDefault="00A6240C" w:rsidP="00A830B2">
      <w:pPr>
        <w:pStyle w:val="Heading3"/>
      </w:pPr>
      <w:r>
        <w:t>Understanding How Households Occupy Homes</w:t>
      </w:r>
    </w:p>
    <w:p w14:paraId="1F1B55C4" w14:textId="77777777" w:rsidR="004F4BA7" w:rsidRDefault="004F4BA7">
      <w:pPr>
        <w:spacing w:after="200"/>
        <w:rPr>
          <w:bCs/>
          <w:sz w:val="24"/>
          <w:szCs w:val="24"/>
        </w:rPr>
      </w:pPr>
      <w:r>
        <w:br w:type="page"/>
      </w:r>
    </w:p>
    <w:p w14:paraId="1E902ED9" w14:textId="23F8E950" w:rsidR="00A6240C" w:rsidRDefault="00A6240C" w:rsidP="007D0FBF">
      <w:pPr>
        <w:pStyle w:val="11Bodytext"/>
      </w:pPr>
      <w:r>
        <w:lastRenderedPageBreak/>
        <w:t>Whilst the demographic projections provide a good indication of how the population and household structure will develop, it is not a simple task to convert the net increase in the number of households into a suggested profile for additional housing to be provided. The main reason for this is that in the market sector, households can buy or rent any size of property (subject to what they can afford) and therefore knowledge of the profile of households in an area does not directly transfer into the sizes of property to be provided.</w:t>
      </w:r>
    </w:p>
    <w:p w14:paraId="1C620AC8" w14:textId="77777777" w:rsidR="00A6240C" w:rsidRDefault="00A6240C" w:rsidP="007D0FBF">
      <w:pPr>
        <w:pStyle w:val="11Bodytext"/>
      </w:pPr>
      <w:r>
        <w:t>The size of housing which households occupy relates more to their wealth and age than the number of people they contain. For example, there is no reason why a single person cannot buy (or choose to live in) a 4-bedroom home as long as they can afford it, and hence projecting an increase in single-person households does not automatically translate into a need for smaller units.</w:t>
      </w:r>
    </w:p>
    <w:p w14:paraId="78446D39" w14:textId="77777777" w:rsidR="00A6240C" w:rsidRDefault="00A6240C" w:rsidP="007D0FBF">
      <w:pPr>
        <w:pStyle w:val="11Bodytext"/>
      </w:pPr>
      <w:r>
        <w:t>That said, issues of supply can also impact occupancy patterns, for example, it may be that a supply of additional smaller bungalows (say 2-bedrooms) would encourage older people to downsize but in the absence of such accommodation, these households remain living in their larger accommodation.</w:t>
      </w:r>
    </w:p>
    <w:p w14:paraId="741F2A5A" w14:textId="77777777" w:rsidR="00A6240C" w:rsidRDefault="00A6240C" w:rsidP="007D0FBF">
      <w:pPr>
        <w:pStyle w:val="11Bodytext"/>
      </w:pPr>
      <w:r>
        <w:t>The issue of choice is less relevant in the affordable sector. In this sector the size of home a given household is allocated is based on the size of the household. For those of working age on welfare benefits who are subject to the Social Size Criteria</w:t>
      </w:r>
      <w:r>
        <w:rPr>
          <w:rStyle w:val="FootnoteReference"/>
        </w:rPr>
        <w:footnoteReference w:id="28"/>
      </w:r>
      <w:r>
        <w:t xml:space="preserve">, otherwise known as the ‘spare room subsidy’ or ‘bedroom tax’, or for those not on benefits but on relatively low incomes, choice of remaining in an ‘under-occupied’ home may be restricted by ability to pay the higher rents. </w:t>
      </w:r>
    </w:p>
    <w:p w14:paraId="6AA8A844" w14:textId="77777777" w:rsidR="00A6240C" w:rsidRDefault="00A6240C" w:rsidP="007D0FBF">
      <w:pPr>
        <w:pStyle w:val="11Bodytext"/>
      </w:pPr>
      <w:r>
        <w:t xml:space="preserve">The approach used is to interrogate information derived in the projections about the number of household reference persons (HRPs) in each age group and apply this to the profile of housing within these groups. The data for this analysis comes </w:t>
      </w:r>
      <w:r>
        <w:lastRenderedPageBreak/>
        <w:t>from a commissioned table by ONS (Table CT0621 which provides relevant data for all local authorities in England and Wales from the 2011 Census).</w:t>
      </w:r>
    </w:p>
    <w:p w14:paraId="634C365B" w14:textId="77777777" w:rsidR="00A6240C" w:rsidRPr="00526C6E" w:rsidRDefault="00A6240C" w:rsidP="007D0FBF">
      <w:pPr>
        <w:pStyle w:val="11Bodytext"/>
        <w:rPr>
          <w:b/>
        </w:rPr>
      </w:pPr>
      <w:r>
        <w:t xml:space="preserve">The figure below shows an estimate of how the average number of bedrooms varies by different ages of HRP and broad tenure group for Cambridgeshire and West Suffolk. In the owner-occupied sector, the average size of accommodation rises over time to typically reach a peak around the age of 50; a similar pattern (but with smaller dwelling sizes) is seen in both the social and </w:t>
      </w:r>
      <w:proofErr w:type="gramStart"/>
      <w:r>
        <w:t>PRS  .</w:t>
      </w:r>
      <w:proofErr w:type="gramEnd"/>
      <w:r>
        <w:t xml:space="preserve"> After peaking, the average dwelling size decreases – as typically some households downsize as they get older.</w:t>
      </w:r>
    </w:p>
    <w:p w14:paraId="7DCE3259" w14:textId="77777777" w:rsidR="00A6240C" w:rsidRDefault="00A6240C" w:rsidP="003D5E23">
      <w:pPr>
        <w:pStyle w:val="FigureHeading"/>
      </w:pPr>
      <w:r>
        <w:t>Average Bedrooms by Age and Tenure in Cambridgeshire and West Suffolk</w:t>
      </w:r>
    </w:p>
    <w:p w14:paraId="6A6E72BF" w14:textId="77777777" w:rsidR="00A6240C" w:rsidRDefault="00A6240C" w:rsidP="00A6240C">
      <w:pPr>
        <w:ind w:left="794"/>
        <w:rPr>
          <w:rFonts w:ascii="Arial Narrow" w:hAnsi="Arial Narrow"/>
          <w:color w:val="auto"/>
        </w:rPr>
      </w:pPr>
      <w:r>
        <w:rPr>
          <w:noProof/>
        </w:rPr>
        <w:drawing>
          <wp:inline distT="0" distB="0" distL="0" distR="0" wp14:anchorId="6C02564D" wp14:editId="6DDFCF9F">
            <wp:extent cx="5631180" cy="2887980"/>
            <wp:effectExtent l="0" t="0" r="0" b="0"/>
            <wp:docPr id="1075" name="Chart 1075" descr="Line chart that shows average bedrooms by age and tenure in Cambridgeshire and West Suffolk"/>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A34F150" w14:textId="77777777" w:rsidR="00A6240C" w:rsidRPr="00A830B2" w:rsidRDefault="00A6240C" w:rsidP="00A6240C">
      <w:pPr>
        <w:pStyle w:val="Caption"/>
        <w:spacing w:after="120" w:line="360" w:lineRule="auto"/>
        <w:ind w:firstLine="794"/>
        <w:rPr>
          <w:rFonts w:ascii="Arial" w:hAnsi="Arial" w:cs="Arial"/>
          <w:i w:val="0"/>
          <w:iCs w:val="0"/>
          <w:color w:val="auto"/>
          <w:sz w:val="24"/>
          <w:szCs w:val="24"/>
        </w:rPr>
      </w:pPr>
      <w:r w:rsidRPr="00A830B2">
        <w:rPr>
          <w:rFonts w:ascii="Arial" w:hAnsi="Arial" w:cs="Arial"/>
          <w:i w:val="0"/>
          <w:iCs w:val="0"/>
          <w:color w:val="auto"/>
          <w:sz w:val="24"/>
          <w:szCs w:val="24"/>
        </w:rPr>
        <w:t>Source: Derived from ONS Commissioned Table CT0621</w:t>
      </w:r>
    </w:p>
    <w:p w14:paraId="4C1A616E" w14:textId="77777777" w:rsidR="00A6240C" w:rsidRDefault="00A6240C" w:rsidP="007D0FBF">
      <w:pPr>
        <w:pStyle w:val="11Bodytext"/>
      </w:pPr>
      <w:r>
        <w:t>Replicating the existing occupancy patterns at a local level would result in the conclusions being skewed by the existing housing profile. This is particularly the case in the owner-occupied (market) sector. On this basis, we have also applied regional occupancy assumptions for the East of England region. Assumptions are applied to the projected changes in Household Reference Person by age discussed below.</w:t>
      </w:r>
    </w:p>
    <w:p w14:paraId="2B188ADC" w14:textId="77777777" w:rsidR="00A6240C" w:rsidRDefault="00A6240C" w:rsidP="007D0FBF">
      <w:pPr>
        <w:pStyle w:val="11Bodytext"/>
      </w:pPr>
      <w:r>
        <w:lastRenderedPageBreak/>
        <w:t>The analysis has been used to derive outputs for three broad categories. These are:</w:t>
      </w:r>
    </w:p>
    <w:p w14:paraId="6793E1DA" w14:textId="77777777" w:rsidR="00A6240C" w:rsidRDefault="00A6240C" w:rsidP="00097650">
      <w:pPr>
        <w:pStyle w:val="10BulletBodytext"/>
      </w:pPr>
      <w:r>
        <w:rPr>
          <w:b/>
        </w:rPr>
        <w:t>market housing</w:t>
      </w:r>
      <w:r>
        <w:t xml:space="preserve"> – which is taken to follow the occupancy profiles in the owner-occupied sector;</w:t>
      </w:r>
    </w:p>
    <w:p w14:paraId="2F4C506C" w14:textId="77777777" w:rsidR="00A6240C" w:rsidRDefault="00A6240C" w:rsidP="00097650">
      <w:pPr>
        <w:pStyle w:val="10BulletBodytext"/>
      </w:pPr>
      <w:r>
        <w:rPr>
          <w:b/>
        </w:rPr>
        <w:t>affordable home ownership</w:t>
      </w:r>
      <w:r>
        <w:t xml:space="preserve"> – which is taken to follow the occupancy profile in the PRS   (this is seen as reasonable as the Government’s desired growth in home ownership looks to be largely driven by a wish to see households move out of private renting); and </w:t>
      </w:r>
    </w:p>
    <w:p w14:paraId="1DB60C1D" w14:textId="77777777" w:rsidR="00A6240C" w:rsidRDefault="00A6240C" w:rsidP="00097650">
      <w:pPr>
        <w:pStyle w:val="10BulletBodytext"/>
      </w:pPr>
      <w:r>
        <w:rPr>
          <w:b/>
        </w:rPr>
        <w:t>rented affordable housing</w:t>
      </w:r>
      <w:r>
        <w:t xml:space="preserve"> – which is taken to follow the occupancy profile in the social rented sector. The affordable sector in the analysis to follow would include social and affordable rented housing.</w:t>
      </w:r>
    </w:p>
    <w:p w14:paraId="6BFB75F2" w14:textId="6E73EB50" w:rsidR="00A6240C" w:rsidRPr="00477FF3" w:rsidRDefault="00A6240C" w:rsidP="007D0FBF">
      <w:pPr>
        <w:pStyle w:val="11Bodytext"/>
      </w:pPr>
      <w:r w:rsidRPr="00477FF3">
        <w:t xml:space="preserve">As regards the </w:t>
      </w:r>
      <w:r w:rsidR="008F76FB">
        <w:t>PRS,</w:t>
      </w:r>
      <w:r w:rsidRPr="00477FF3">
        <w:t xml:space="preserve"> it is assumed that households in this sector will have the same type and size profile as those seeking affordable home ownership dwellings. This is because </w:t>
      </w:r>
      <w:r>
        <w:t>these tenures</w:t>
      </w:r>
      <w:r w:rsidRPr="00477FF3">
        <w:t xml:space="preserve"> are </w:t>
      </w:r>
      <w:r w:rsidRPr="00BA7B65">
        <w:t xml:space="preserve">targeted at the same group. </w:t>
      </w:r>
    </w:p>
    <w:p w14:paraId="28E8B4B5" w14:textId="77777777" w:rsidR="00A6240C" w:rsidRDefault="00A6240C" w:rsidP="00A6240C">
      <w:pPr>
        <w:pStyle w:val="Subheadingbold"/>
        <w:spacing w:before="240" w:after="120" w:line="360" w:lineRule="auto"/>
      </w:pPr>
      <w:r>
        <w:t>Change to Households by Age</w:t>
      </w:r>
    </w:p>
    <w:p w14:paraId="02695DE6" w14:textId="77777777" w:rsidR="00A6240C" w:rsidRDefault="00A6240C" w:rsidP="007D0FBF">
      <w:pPr>
        <w:pStyle w:val="11Bodytext"/>
      </w:pPr>
      <w:r>
        <w:t>The table below presents the projected change in households by age of household reference person (HRP). The HRP is household member that owns the accommodation or is legally responsible for the rent. Where there are joint householders it is the one with the higher income. If their income is the same, it is the elder</w:t>
      </w:r>
      <w:r>
        <w:rPr>
          <w:rStyle w:val="FootnoteReference"/>
        </w:rPr>
        <w:footnoteReference w:id="29"/>
      </w:r>
      <w:r>
        <w:t>. This clearly shows particularly strong growth as being expected in older age groups. This is a pattern seen across the country and reflects late baby boomers (those born 1946 to 1964) moving into retirement age.</w:t>
      </w:r>
    </w:p>
    <w:p w14:paraId="1F43E160" w14:textId="4CC79147" w:rsidR="00A6240C" w:rsidRDefault="00A6240C" w:rsidP="007D0FBF">
      <w:pPr>
        <w:pStyle w:val="11Bodytext"/>
      </w:pPr>
      <w:r>
        <w:t>There is also projected to be a notable growth in the number of households headed by some younger age groups including those in their 40s. Despite the adjustments to household formation rates in the modelling, the growth in the number of households headed by someone in their 30s is still relatively small compared to other age bands.</w:t>
      </w:r>
    </w:p>
    <w:p w14:paraId="0A29E8C9" w14:textId="77777777" w:rsidR="00A6240C" w:rsidRDefault="00A6240C" w:rsidP="003D5E23">
      <w:pPr>
        <w:pStyle w:val="Tableheading"/>
        <w:numPr>
          <w:ilvl w:val="0"/>
          <w:numId w:val="54"/>
        </w:numPr>
      </w:pPr>
      <w:r>
        <w:lastRenderedPageBreak/>
        <w:t>Projected Change in Households by Age of Household Reference Person in Cambridgeshire/West Suffolk, 2020-40</w:t>
      </w:r>
    </w:p>
    <w:tbl>
      <w:tblPr>
        <w:tblStyle w:val="TableGridLight1"/>
        <w:tblW w:w="0" w:type="auto"/>
        <w:tblInd w:w="846" w:type="dxa"/>
        <w:tblLayout w:type="fixed"/>
        <w:tblLook w:val="04A0" w:firstRow="1" w:lastRow="0" w:firstColumn="1" w:lastColumn="0" w:noHBand="0" w:noVBand="1"/>
      </w:tblPr>
      <w:tblGrid>
        <w:gridCol w:w="1654"/>
        <w:gridCol w:w="1654"/>
        <w:gridCol w:w="1654"/>
        <w:gridCol w:w="1654"/>
        <w:gridCol w:w="1654"/>
      </w:tblGrid>
      <w:tr w:rsidR="00DA49C9" w:rsidRPr="00DA49C9" w14:paraId="7F34B47C" w14:textId="77777777" w:rsidTr="004F4BA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654" w:type="dxa"/>
            <w:hideMark/>
          </w:tcPr>
          <w:p w14:paraId="04D42763" w14:textId="77777777" w:rsidR="00A6240C" w:rsidRPr="00DA49C9" w:rsidRDefault="00A6240C" w:rsidP="00A830B2">
            <w:pPr>
              <w:keepNext/>
              <w:spacing w:line="256" w:lineRule="auto"/>
              <w:rPr>
                <w:lang w:eastAsia="en-GB"/>
              </w:rPr>
            </w:pPr>
            <w:r w:rsidRPr="00DA49C9">
              <w:rPr>
                <w:lang w:eastAsia="en-GB"/>
              </w:rPr>
              <w:t> </w:t>
            </w:r>
          </w:p>
        </w:tc>
        <w:tc>
          <w:tcPr>
            <w:tcW w:w="1654" w:type="dxa"/>
            <w:hideMark/>
          </w:tcPr>
          <w:p w14:paraId="59F7B590" w14:textId="77777777" w:rsidR="00A6240C" w:rsidRPr="00DA49C9" w:rsidRDefault="00A6240C" w:rsidP="00A830B2">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654" w:type="dxa"/>
            <w:hideMark/>
          </w:tcPr>
          <w:p w14:paraId="0EFD42C9" w14:textId="77777777" w:rsidR="00A6240C" w:rsidRPr="00DA49C9" w:rsidRDefault="00A6240C" w:rsidP="00A830B2">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654" w:type="dxa"/>
            <w:hideMark/>
          </w:tcPr>
          <w:p w14:paraId="24F7DAF5" w14:textId="77777777" w:rsidR="00A6240C" w:rsidRPr="00DA49C9" w:rsidRDefault="00A6240C" w:rsidP="00A830B2">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654" w:type="dxa"/>
            <w:hideMark/>
          </w:tcPr>
          <w:p w14:paraId="5397BCD9" w14:textId="77777777" w:rsidR="00A6240C" w:rsidRPr="00DA49C9" w:rsidRDefault="00A6240C" w:rsidP="00A830B2">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203E9EA6"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23FCE937" w14:textId="77777777" w:rsidR="00A6240C" w:rsidRPr="004F4BA7" w:rsidRDefault="00A6240C" w:rsidP="00A830B2">
            <w:pPr>
              <w:keepNext/>
              <w:spacing w:line="256" w:lineRule="auto"/>
              <w:rPr>
                <w:bCs/>
                <w:lang w:eastAsia="en-GB"/>
              </w:rPr>
            </w:pPr>
            <w:r w:rsidRPr="004F4BA7">
              <w:rPr>
                <w:bCs/>
                <w:lang w:eastAsia="en-GB"/>
              </w:rPr>
              <w:t>16-24</w:t>
            </w:r>
          </w:p>
        </w:tc>
        <w:tc>
          <w:tcPr>
            <w:tcW w:w="1654" w:type="dxa"/>
            <w:hideMark/>
          </w:tcPr>
          <w:p w14:paraId="388BB9AC"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9,806</w:t>
            </w:r>
          </w:p>
        </w:tc>
        <w:tc>
          <w:tcPr>
            <w:tcW w:w="1654" w:type="dxa"/>
            <w:hideMark/>
          </w:tcPr>
          <w:p w14:paraId="635EDB64"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11,697</w:t>
            </w:r>
          </w:p>
        </w:tc>
        <w:tc>
          <w:tcPr>
            <w:tcW w:w="1654" w:type="dxa"/>
            <w:hideMark/>
          </w:tcPr>
          <w:p w14:paraId="49137859"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1,891</w:t>
            </w:r>
          </w:p>
        </w:tc>
        <w:tc>
          <w:tcPr>
            <w:tcW w:w="1654" w:type="dxa"/>
            <w:hideMark/>
          </w:tcPr>
          <w:p w14:paraId="0AFCD330"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19.30%</w:t>
            </w:r>
          </w:p>
        </w:tc>
      </w:tr>
      <w:tr w:rsidR="00DA49C9" w:rsidRPr="00DA49C9" w14:paraId="5AFF4CA4"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1D59015A" w14:textId="77777777" w:rsidR="00A6240C" w:rsidRPr="004F4BA7" w:rsidRDefault="00A6240C" w:rsidP="00A830B2">
            <w:pPr>
              <w:keepNext/>
              <w:spacing w:line="256" w:lineRule="auto"/>
              <w:rPr>
                <w:bCs/>
                <w:lang w:eastAsia="en-GB"/>
              </w:rPr>
            </w:pPr>
            <w:r w:rsidRPr="004F4BA7">
              <w:rPr>
                <w:bCs/>
                <w:lang w:eastAsia="en-GB"/>
              </w:rPr>
              <w:t>25-29</w:t>
            </w:r>
          </w:p>
        </w:tc>
        <w:tc>
          <w:tcPr>
            <w:tcW w:w="1654" w:type="dxa"/>
            <w:hideMark/>
          </w:tcPr>
          <w:p w14:paraId="7A959243"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20,696</w:t>
            </w:r>
          </w:p>
        </w:tc>
        <w:tc>
          <w:tcPr>
            <w:tcW w:w="1654" w:type="dxa"/>
            <w:hideMark/>
          </w:tcPr>
          <w:p w14:paraId="571919DC"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24,258</w:t>
            </w:r>
          </w:p>
        </w:tc>
        <w:tc>
          <w:tcPr>
            <w:tcW w:w="1654" w:type="dxa"/>
            <w:hideMark/>
          </w:tcPr>
          <w:p w14:paraId="79020122"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3,562</w:t>
            </w:r>
          </w:p>
        </w:tc>
        <w:tc>
          <w:tcPr>
            <w:tcW w:w="1654" w:type="dxa"/>
            <w:hideMark/>
          </w:tcPr>
          <w:p w14:paraId="5CF26AFD"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17.20%</w:t>
            </w:r>
          </w:p>
        </w:tc>
      </w:tr>
      <w:tr w:rsidR="00DA49C9" w:rsidRPr="00DA49C9" w14:paraId="6FA1E634"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0F2C1C87" w14:textId="77777777" w:rsidR="00A6240C" w:rsidRPr="004F4BA7" w:rsidRDefault="00A6240C" w:rsidP="00A830B2">
            <w:pPr>
              <w:keepNext/>
              <w:spacing w:line="256" w:lineRule="auto"/>
              <w:rPr>
                <w:bCs/>
                <w:lang w:eastAsia="en-GB"/>
              </w:rPr>
            </w:pPr>
            <w:r w:rsidRPr="004F4BA7">
              <w:rPr>
                <w:bCs/>
                <w:lang w:eastAsia="en-GB"/>
              </w:rPr>
              <w:t>30-34</w:t>
            </w:r>
          </w:p>
        </w:tc>
        <w:tc>
          <w:tcPr>
            <w:tcW w:w="1654" w:type="dxa"/>
            <w:hideMark/>
          </w:tcPr>
          <w:p w14:paraId="2A4F1E91"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28,049</w:t>
            </w:r>
          </w:p>
        </w:tc>
        <w:tc>
          <w:tcPr>
            <w:tcW w:w="1654" w:type="dxa"/>
            <w:hideMark/>
          </w:tcPr>
          <w:p w14:paraId="38546B01"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30,021</w:t>
            </w:r>
          </w:p>
        </w:tc>
        <w:tc>
          <w:tcPr>
            <w:tcW w:w="1654" w:type="dxa"/>
            <w:hideMark/>
          </w:tcPr>
          <w:p w14:paraId="1999E66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1,972</w:t>
            </w:r>
          </w:p>
        </w:tc>
        <w:tc>
          <w:tcPr>
            <w:tcW w:w="1654" w:type="dxa"/>
            <w:hideMark/>
          </w:tcPr>
          <w:p w14:paraId="4028932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7.00%</w:t>
            </w:r>
          </w:p>
        </w:tc>
      </w:tr>
      <w:tr w:rsidR="00DA49C9" w:rsidRPr="00DA49C9" w14:paraId="640E30B8"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31094B15" w14:textId="77777777" w:rsidR="00A6240C" w:rsidRPr="004F4BA7" w:rsidRDefault="00A6240C" w:rsidP="00A830B2">
            <w:pPr>
              <w:keepNext/>
              <w:spacing w:line="256" w:lineRule="auto"/>
              <w:rPr>
                <w:bCs/>
                <w:lang w:eastAsia="en-GB"/>
              </w:rPr>
            </w:pPr>
            <w:r w:rsidRPr="004F4BA7">
              <w:rPr>
                <w:bCs/>
                <w:lang w:eastAsia="en-GB"/>
              </w:rPr>
              <w:t>35-39</w:t>
            </w:r>
          </w:p>
        </w:tc>
        <w:tc>
          <w:tcPr>
            <w:tcW w:w="1654" w:type="dxa"/>
            <w:hideMark/>
          </w:tcPr>
          <w:p w14:paraId="4C923793"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30,096</w:t>
            </w:r>
          </w:p>
        </w:tc>
        <w:tc>
          <w:tcPr>
            <w:tcW w:w="1654" w:type="dxa"/>
            <w:hideMark/>
          </w:tcPr>
          <w:p w14:paraId="206ADF2A"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32,243</w:t>
            </w:r>
          </w:p>
        </w:tc>
        <w:tc>
          <w:tcPr>
            <w:tcW w:w="1654" w:type="dxa"/>
            <w:hideMark/>
          </w:tcPr>
          <w:p w14:paraId="3F002327"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2,147</w:t>
            </w:r>
          </w:p>
        </w:tc>
        <w:tc>
          <w:tcPr>
            <w:tcW w:w="1654" w:type="dxa"/>
            <w:hideMark/>
          </w:tcPr>
          <w:p w14:paraId="0351614B"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7.10%</w:t>
            </w:r>
          </w:p>
        </w:tc>
      </w:tr>
      <w:tr w:rsidR="00DA49C9" w:rsidRPr="00DA49C9" w14:paraId="51991BC5"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0F6FDEB6" w14:textId="77777777" w:rsidR="00A6240C" w:rsidRPr="004F4BA7" w:rsidRDefault="00A6240C" w:rsidP="00A830B2">
            <w:pPr>
              <w:keepNext/>
              <w:spacing w:line="256" w:lineRule="auto"/>
              <w:rPr>
                <w:bCs/>
                <w:lang w:eastAsia="en-GB"/>
              </w:rPr>
            </w:pPr>
            <w:r w:rsidRPr="004F4BA7">
              <w:rPr>
                <w:bCs/>
                <w:lang w:eastAsia="en-GB"/>
              </w:rPr>
              <w:t>40-44</w:t>
            </w:r>
          </w:p>
        </w:tc>
        <w:tc>
          <w:tcPr>
            <w:tcW w:w="1654" w:type="dxa"/>
            <w:hideMark/>
          </w:tcPr>
          <w:p w14:paraId="51BFAAC2"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30,463</w:t>
            </w:r>
          </w:p>
        </w:tc>
        <w:tc>
          <w:tcPr>
            <w:tcW w:w="1654" w:type="dxa"/>
            <w:hideMark/>
          </w:tcPr>
          <w:p w14:paraId="4106A89F"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35,371</w:t>
            </w:r>
          </w:p>
        </w:tc>
        <w:tc>
          <w:tcPr>
            <w:tcW w:w="1654" w:type="dxa"/>
            <w:hideMark/>
          </w:tcPr>
          <w:p w14:paraId="377FB4ED"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4,908</w:t>
            </w:r>
          </w:p>
        </w:tc>
        <w:tc>
          <w:tcPr>
            <w:tcW w:w="1654" w:type="dxa"/>
            <w:hideMark/>
          </w:tcPr>
          <w:p w14:paraId="394CC7C8"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16.10%</w:t>
            </w:r>
          </w:p>
        </w:tc>
      </w:tr>
      <w:tr w:rsidR="00DA49C9" w:rsidRPr="00DA49C9" w14:paraId="0A747681"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79CB45C8" w14:textId="77777777" w:rsidR="00A6240C" w:rsidRPr="004F4BA7" w:rsidRDefault="00A6240C" w:rsidP="00A830B2">
            <w:pPr>
              <w:keepNext/>
              <w:spacing w:line="256" w:lineRule="auto"/>
              <w:rPr>
                <w:bCs/>
                <w:lang w:eastAsia="en-GB"/>
              </w:rPr>
            </w:pPr>
            <w:r w:rsidRPr="004F4BA7">
              <w:rPr>
                <w:bCs/>
                <w:lang w:eastAsia="en-GB"/>
              </w:rPr>
              <w:t>45-49</w:t>
            </w:r>
          </w:p>
        </w:tc>
        <w:tc>
          <w:tcPr>
            <w:tcW w:w="1654" w:type="dxa"/>
            <w:hideMark/>
          </w:tcPr>
          <w:p w14:paraId="0640F51B"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32,072</w:t>
            </w:r>
          </w:p>
        </w:tc>
        <w:tc>
          <w:tcPr>
            <w:tcW w:w="1654" w:type="dxa"/>
            <w:hideMark/>
          </w:tcPr>
          <w:p w14:paraId="0507D292"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36,753</w:t>
            </w:r>
          </w:p>
        </w:tc>
        <w:tc>
          <w:tcPr>
            <w:tcW w:w="1654" w:type="dxa"/>
            <w:hideMark/>
          </w:tcPr>
          <w:p w14:paraId="1825E2A3"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4,681</w:t>
            </w:r>
          </w:p>
        </w:tc>
        <w:tc>
          <w:tcPr>
            <w:tcW w:w="1654" w:type="dxa"/>
            <w:hideMark/>
          </w:tcPr>
          <w:p w14:paraId="00745884"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14.60%</w:t>
            </w:r>
          </w:p>
        </w:tc>
      </w:tr>
      <w:tr w:rsidR="00DA49C9" w:rsidRPr="00DA49C9" w14:paraId="444F364C"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30F2EF55" w14:textId="77777777" w:rsidR="00A6240C" w:rsidRPr="004F4BA7" w:rsidRDefault="00A6240C" w:rsidP="00A830B2">
            <w:pPr>
              <w:keepNext/>
              <w:spacing w:line="256" w:lineRule="auto"/>
              <w:rPr>
                <w:bCs/>
                <w:lang w:eastAsia="en-GB"/>
              </w:rPr>
            </w:pPr>
            <w:r w:rsidRPr="004F4BA7">
              <w:rPr>
                <w:bCs/>
                <w:lang w:eastAsia="en-GB"/>
              </w:rPr>
              <w:t>50-54</w:t>
            </w:r>
          </w:p>
        </w:tc>
        <w:tc>
          <w:tcPr>
            <w:tcW w:w="1654" w:type="dxa"/>
            <w:hideMark/>
          </w:tcPr>
          <w:p w14:paraId="72D46542"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34,224</w:t>
            </w:r>
          </w:p>
        </w:tc>
        <w:tc>
          <w:tcPr>
            <w:tcW w:w="1654" w:type="dxa"/>
            <w:hideMark/>
          </w:tcPr>
          <w:p w14:paraId="593D813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38,405</w:t>
            </w:r>
          </w:p>
        </w:tc>
        <w:tc>
          <w:tcPr>
            <w:tcW w:w="1654" w:type="dxa"/>
            <w:hideMark/>
          </w:tcPr>
          <w:p w14:paraId="2792C9F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4,181</w:t>
            </w:r>
          </w:p>
        </w:tc>
        <w:tc>
          <w:tcPr>
            <w:tcW w:w="1654" w:type="dxa"/>
            <w:hideMark/>
          </w:tcPr>
          <w:p w14:paraId="455AB7EF"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12.20%</w:t>
            </w:r>
          </w:p>
        </w:tc>
      </w:tr>
      <w:tr w:rsidR="00DA49C9" w:rsidRPr="00DA49C9" w14:paraId="48054C11"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2DE2DFB9" w14:textId="77777777" w:rsidR="00A6240C" w:rsidRPr="004F4BA7" w:rsidRDefault="00A6240C" w:rsidP="00A830B2">
            <w:pPr>
              <w:keepNext/>
              <w:spacing w:line="256" w:lineRule="auto"/>
              <w:rPr>
                <w:bCs/>
                <w:lang w:eastAsia="en-GB"/>
              </w:rPr>
            </w:pPr>
            <w:r w:rsidRPr="004F4BA7">
              <w:rPr>
                <w:bCs/>
                <w:lang w:eastAsia="en-GB"/>
              </w:rPr>
              <w:t>55-59</w:t>
            </w:r>
          </w:p>
        </w:tc>
        <w:tc>
          <w:tcPr>
            <w:tcW w:w="1654" w:type="dxa"/>
            <w:hideMark/>
          </w:tcPr>
          <w:p w14:paraId="73AD7513"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33,054</w:t>
            </w:r>
          </w:p>
        </w:tc>
        <w:tc>
          <w:tcPr>
            <w:tcW w:w="1654" w:type="dxa"/>
            <w:hideMark/>
          </w:tcPr>
          <w:p w14:paraId="607154EF"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37,594</w:t>
            </w:r>
          </w:p>
        </w:tc>
        <w:tc>
          <w:tcPr>
            <w:tcW w:w="1654" w:type="dxa"/>
            <w:hideMark/>
          </w:tcPr>
          <w:p w14:paraId="76D4388D"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4,540</w:t>
            </w:r>
          </w:p>
        </w:tc>
        <w:tc>
          <w:tcPr>
            <w:tcW w:w="1654" w:type="dxa"/>
            <w:hideMark/>
          </w:tcPr>
          <w:p w14:paraId="468A705C"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13.70%</w:t>
            </w:r>
          </w:p>
        </w:tc>
      </w:tr>
      <w:tr w:rsidR="00DA49C9" w:rsidRPr="00DA49C9" w14:paraId="06086AD6"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0E440F6E" w14:textId="77777777" w:rsidR="00A6240C" w:rsidRPr="004F4BA7" w:rsidRDefault="00A6240C" w:rsidP="00A830B2">
            <w:pPr>
              <w:keepNext/>
              <w:spacing w:line="256" w:lineRule="auto"/>
              <w:rPr>
                <w:bCs/>
                <w:lang w:eastAsia="en-GB"/>
              </w:rPr>
            </w:pPr>
            <w:r w:rsidRPr="004F4BA7">
              <w:rPr>
                <w:bCs/>
                <w:lang w:eastAsia="en-GB"/>
              </w:rPr>
              <w:t>60-64</w:t>
            </w:r>
          </w:p>
        </w:tc>
        <w:tc>
          <w:tcPr>
            <w:tcW w:w="1654" w:type="dxa"/>
            <w:hideMark/>
          </w:tcPr>
          <w:p w14:paraId="6410ADF9"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28,972</w:t>
            </w:r>
          </w:p>
        </w:tc>
        <w:tc>
          <w:tcPr>
            <w:tcW w:w="1654" w:type="dxa"/>
            <w:hideMark/>
          </w:tcPr>
          <w:p w14:paraId="6EEF2071"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35,583</w:t>
            </w:r>
          </w:p>
        </w:tc>
        <w:tc>
          <w:tcPr>
            <w:tcW w:w="1654" w:type="dxa"/>
            <w:hideMark/>
          </w:tcPr>
          <w:p w14:paraId="66BC79F9"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6,611</w:t>
            </w:r>
          </w:p>
        </w:tc>
        <w:tc>
          <w:tcPr>
            <w:tcW w:w="1654" w:type="dxa"/>
            <w:hideMark/>
          </w:tcPr>
          <w:p w14:paraId="67A0271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22.80%</w:t>
            </w:r>
          </w:p>
        </w:tc>
      </w:tr>
      <w:tr w:rsidR="00DA49C9" w:rsidRPr="00DA49C9" w14:paraId="141972A5"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0BF7402E" w14:textId="77777777" w:rsidR="00A6240C" w:rsidRPr="004F4BA7" w:rsidRDefault="00A6240C" w:rsidP="00A830B2">
            <w:pPr>
              <w:keepNext/>
              <w:spacing w:line="256" w:lineRule="auto"/>
              <w:rPr>
                <w:bCs/>
                <w:lang w:eastAsia="en-GB"/>
              </w:rPr>
            </w:pPr>
            <w:r w:rsidRPr="004F4BA7">
              <w:rPr>
                <w:bCs/>
                <w:lang w:eastAsia="en-GB"/>
              </w:rPr>
              <w:t>65-69</w:t>
            </w:r>
          </w:p>
        </w:tc>
        <w:tc>
          <w:tcPr>
            <w:tcW w:w="1654" w:type="dxa"/>
            <w:hideMark/>
          </w:tcPr>
          <w:p w14:paraId="2765CD2D"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26,362</w:t>
            </w:r>
          </w:p>
        </w:tc>
        <w:tc>
          <w:tcPr>
            <w:tcW w:w="1654" w:type="dxa"/>
            <w:hideMark/>
          </w:tcPr>
          <w:p w14:paraId="077CEE20"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36,229</w:t>
            </w:r>
          </w:p>
        </w:tc>
        <w:tc>
          <w:tcPr>
            <w:tcW w:w="1654" w:type="dxa"/>
            <w:hideMark/>
          </w:tcPr>
          <w:p w14:paraId="5EC7ECA2"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9,867</w:t>
            </w:r>
          </w:p>
        </w:tc>
        <w:tc>
          <w:tcPr>
            <w:tcW w:w="1654" w:type="dxa"/>
            <w:hideMark/>
          </w:tcPr>
          <w:p w14:paraId="36CDE6BB"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37.40%</w:t>
            </w:r>
          </w:p>
        </w:tc>
      </w:tr>
      <w:tr w:rsidR="00DA49C9" w:rsidRPr="00DA49C9" w14:paraId="5BA26A9F"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2F4FEE32" w14:textId="77777777" w:rsidR="00A6240C" w:rsidRPr="004F4BA7" w:rsidRDefault="00A6240C" w:rsidP="00A830B2">
            <w:pPr>
              <w:keepNext/>
              <w:spacing w:line="256" w:lineRule="auto"/>
              <w:rPr>
                <w:bCs/>
                <w:lang w:eastAsia="en-GB"/>
              </w:rPr>
            </w:pPr>
            <w:r w:rsidRPr="004F4BA7">
              <w:rPr>
                <w:bCs/>
                <w:lang w:eastAsia="en-GB"/>
              </w:rPr>
              <w:t>70-74</w:t>
            </w:r>
          </w:p>
        </w:tc>
        <w:tc>
          <w:tcPr>
            <w:tcW w:w="1654" w:type="dxa"/>
            <w:hideMark/>
          </w:tcPr>
          <w:p w14:paraId="2871CE3B"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27,569</w:t>
            </w:r>
          </w:p>
        </w:tc>
        <w:tc>
          <w:tcPr>
            <w:tcW w:w="1654" w:type="dxa"/>
            <w:hideMark/>
          </w:tcPr>
          <w:p w14:paraId="31016DA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36,872</w:t>
            </w:r>
          </w:p>
        </w:tc>
        <w:tc>
          <w:tcPr>
            <w:tcW w:w="1654" w:type="dxa"/>
            <w:hideMark/>
          </w:tcPr>
          <w:p w14:paraId="1ED84655"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9,303</w:t>
            </w:r>
          </w:p>
        </w:tc>
        <w:tc>
          <w:tcPr>
            <w:tcW w:w="1654" w:type="dxa"/>
            <w:hideMark/>
          </w:tcPr>
          <w:p w14:paraId="6A0EFA3A"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33.70%</w:t>
            </w:r>
          </w:p>
        </w:tc>
      </w:tr>
      <w:tr w:rsidR="00DA49C9" w:rsidRPr="00DA49C9" w14:paraId="5F231089"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00E130A7" w14:textId="77777777" w:rsidR="00A6240C" w:rsidRPr="004F4BA7" w:rsidRDefault="00A6240C" w:rsidP="00A830B2">
            <w:pPr>
              <w:keepNext/>
              <w:spacing w:line="256" w:lineRule="auto"/>
              <w:rPr>
                <w:bCs/>
                <w:lang w:eastAsia="en-GB"/>
              </w:rPr>
            </w:pPr>
            <w:r w:rsidRPr="004F4BA7">
              <w:rPr>
                <w:bCs/>
                <w:lang w:eastAsia="en-GB"/>
              </w:rPr>
              <w:t>75-79</w:t>
            </w:r>
          </w:p>
        </w:tc>
        <w:tc>
          <w:tcPr>
            <w:tcW w:w="1654" w:type="dxa"/>
            <w:hideMark/>
          </w:tcPr>
          <w:p w14:paraId="5A1436CE"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20,800</w:t>
            </w:r>
          </w:p>
        </w:tc>
        <w:tc>
          <w:tcPr>
            <w:tcW w:w="1654" w:type="dxa"/>
            <w:hideMark/>
          </w:tcPr>
          <w:p w14:paraId="54876942"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32,615</w:t>
            </w:r>
          </w:p>
        </w:tc>
        <w:tc>
          <w:tcPr>
            <w:tcW w:w="1654" w:type="dxa"/>
            <w:hideMark/>
          </w:tcPr>
          <w:p w14:paraId="69DDE7E9"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11,816</w:t>
            </w:r>
          </w:p>
        </w:tc>
        <w:tc>
          <w:tcPr>
            <w:tcW w:w="1654" w:type="dxa"/>
            <w:hideMark/>
          </w:tcPr>
          <w:p w14:paraId="0116B4CF"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56.80%</w:t>
            </w:r>
          </w:p>
        </w:tc>
      </w:tr>
      <w:tr w:rsidR="00DA49C9" w:rsidRPr="00DA49C9" w14:paraId="40B3ED77"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5F3E3F78" w14:textId="77777777" w:rsidR="00A6240C" w:rsidRPr="004F4BA7" w:rsidRDefault="00A6240C" w:rsidP="00A830B2">
            <w:pPr>
              <w:keepNext/>
              <w:spacing w:line="256" w:lineRule="auto"/>
              <w:rPr>
                <w:bCs/>
                <w:lang w:eastAsia="en-GB"/>
              </w:rPr>
            </w:pPr>
            <w:r w:rsidRPr="004F4BA7">
              <w:rPr>
                <w:bCs/>
                <w:lang w:eastAsia="en-GB"/>
              </w:rPr>
              <w:t>80-84</w:t>
            </w:r>
          </w:p>
        </w:tc>
        <w:tc>
          <w:tcPr>
            <w:tcW w:w="1654" w:type="dxa"/>
            <w:hideMark/>
          </w:tcPr>
          <w:p w14:paraId="7215D2E1"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16,315</w:t>
            </w:r>
          </w:p>
        </w:tc>
        <w:tc>
          <w:tcPr>
            <w:tcW w:w="1654" w:type="dxa"/>
            <w:hideMark/>
          </w:tcPr>
          <w:p w14:paraId="4A47FE58"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26,080</w:t>
            </w:r>
          </w:p>
        </w:tc>
        <w:tc>
          <w:tcPr>
            <w:tcW w:w="1654" w:type="dxa"/>
            <w:hideMark/>
          </w:tcPr>
          <w:p w14:paraId="46F55281"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9,764</w:t>
            </w:r>
          </w:p>
        </w:tc>
        <w:tc>
          <w:tcPr>
            <w:tcW w:w="1654" w:type="dxa"/>
            <w:hideMark/>
          </w:tcPr>
          <w:p w14:paraId="4C6B0537"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59.80%</w:t>
            </w:r>
          </w:p>
        </w:tc>
      </w:tr>
      <w:tr w:rsidR="00DA49C9" w:rsidRPr="00DA49C9" w14:paraId="233CC21D"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51A9C9F1" w14:textId="77777777" w:rsidR="00A6240C" w:rsidRPr="004F4BA7" w:rsidRDefault="00A6240C" w:rsidP="00A830B2">
            <w:pPr>
              <w:keepNext/>
              <w:spacing w:line="256" w:lineRule="auto"/>
              <w:rPr>
                <w:bCs/>
                <w:lang w:eastAsia="en-GB"/>
              </w:rPr>
            </w:pPr>
            <w:r w:rsidRPr="004F4BA7">
              <w:rPr>
                <w:bCs/>
                <w:lang w:eastAsia="en-GB"/>
              </w:rPr>
              <w:t>85 &amp; over</w:t>
            </w:r>
          </w:p>
        </w:tc>
        <w:tc>
          <w:tcPr>
            <w:tcW w:w="1654" w:type="dxa"/>
            <w:hideMark/>
          </w:tcPr>
          <w:p w14:paraId="79B508F9"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15,978</w:t>
            </w:r>
          </w:p>
        </w:tc>
        <w:tc>
          <w:tcPr>
            <w:tcW w:w="1654" w:type="dxa"/>
            <w:hideMark/>
          </w:tcPr>
          <w:p w14:paraId="31264446"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31,105</w:t>
            </w:r>
          </w:p>
        </w:tc>
        <w:tc>
          <w:tcPr>
            <w:tcW w:w="1654" w:type="dxa"/>
            <w:hideMark/>
          </w:tcPr>
          <w:p w14:paraId="2416092C"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15,127</w:t>
            </w:r>
          </w:p>
        </w:tc>
        <w:tc>
          <w:tcPr>
            <w:tcW w:w="1654" w:type="dxa"/>
            <w:hideMark/>
          </w:tcPr>
          <w:p w14:paraId="7C6AAB5B" w14:textId="77777777" w:rsidR="00A6240C" w:rsidRPr="00DA49C9"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94.70%</w:t>
            </w:r>
          </w:p>
        </w:tc>
      </w:tr>
      <w:tr w:rsidR="00DA49C9" w:rsidRPr="00DA49C9" w14:paraId="1DA43377" w14:textId="77777777" w:rsidTr="004F4BA7">
        <w:trPr>
          <w:trHeight w:val="288"/>
        </w:trPr>
        <w:tc>
          <w:tcPr>
            <w:cnfStyle w:val="001000000000" w:firstRow="0" w:lastRow="0" w:firstColumn="1" w:lastColumn="0" w:oddVBand="0" w:evenVBand="0" w:oddHBand="0" w:evenHBand="0" w:firstRowFirstColumn="0" w:firstRowLastColumn="0" w:lastRowFirstColumn="0" w:lastRowLastColumn="0"/>
            <w:tcW w:w="1654" w:type="dxa"/>
            <w:hideMark/>
          </w:tcPr>
          <w:p w14:paraId="6CEF9658" w14:textId="77777777" w:rsidR="00A6240C" w:rsidRPr="005B02AD" w:rsidRDefault="00A6240C" w:rsidP="00A830B2">
            <w:pPr>
              <w:keepNext/>
              <w:spacing w:line="256" w:lineRule="auto"/>
              <w:rPr>
                <w:b/>
                <w:lang w:eastAsia="en-GB"/>
              </w:rPr>
            </w:pPr>
            <w:r w:rsidRPr="005B02AD">
              <w:rPr>
                <w:b/>
                <w:lang w:eastAsia="en-GB"/>
              </w:rPr>
              <w:t>Total</w:t>
            </w:r>
          </w:p>
        </w:tc>
        <w:tc>
          <w:tcPr>
            <w:tcW w:w="1654" w:type="dxa"/>
            <w:hideMark/>
          </w:tcPr>
          <w:p w14:paraId="3E679692" w14:textId="77777777" w:rsidR="00A6240C" w:rsidRPr="005B02AD"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5B02AD">
              <w:rPr>
                <w:b/>
                <w:lang w:eastAsia="en-GB"/>
              </w:rPr>
              <w:t>354,457</w:t>
            </w:r>
          </w:p>
        </w:tc>
        <w:tc>
          <w:tcPr>
            <w:tcW w:w="1654" w:type="dxa"/>
            <w:hideMark/>
          </w:tcPr>
          <w:p w14:paraId="27082865" w14:textId="77777777" w:rsidR="00A6240C" w:rsidRPr="005B02AD"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5B02AD">
              <w:rPr>
                <w:b/>
                <w:lang w:eastAsia="en-GB"/>
              </w:rPr>
              <w:t>444,826</w:t>
            </w:r>
          </w:p>
        </w:tc>
        <w:tc>
          <w:tcPr>
            <w:tcW w:w="1654" w:type="dxa"/>
            <w:hideMark/>
          </w:tcPr>
          <w:p w14:paraId="7F027DDC" w14:textId="77777777" w:rsidR="00A6240C" w:rsidRPr="005B02AD"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5B02AD">
              <w:rPr>
                <w:b/>
                <w:lang w:eastAsia="en-GB"/>
              </w:rPr>
              <w:t>90,369</w:t>
            </w:r>
          </w:p>
        </w:tc>
        <w:tc>
          <w:tcPr>
            <w:tcW w:w="1654" w:type="dxa"/>
            <w:hideMark/>
          </w:tcPr>
          <w:p w14:paraId="1DA35297" w14:textId="77777777" w:rsidR="00A6240C" w:rsidRPr="005B02AD" w:rsidRDefault="00A6240C" w:rsidP="00A830B2">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5B02AD">
              <w:rPr>
                <w:b/>
                <w:lang w:eastAsia="en-GB"/>
              </w:rPr>
              <w:t>25.50%</w:t>
            </w:r>
          </w:p>
        </w:tc>
      </w:tr>
    </w:tbl>
    <w:p w14:paraId="3F571015" w14:textId="18EF6547" w:rsidR="00A6240C" w:rsidRDefault="00A6240C" w:rsidP="00A6240C">
      <w:pPr>
        <w:pStyle w:val="Caption"/>
        <w:spacing w:after="120" w:line="360" w:lineRule="auto"/>
        <w:ind w:firstLine="794"/>
        <w:rPr>
          <w:rFonts w:ascii="Arial" w:hAnsi="Arial" w:cs="Arial"/>
          <w:i w:val="0"/>
          <w:iCs w:val="0"/>
          <w:color w:val="auto"/>
          <w:sz w:val="20"/>
          <w:szCs w:val="20"/>
        </w:rPr>
      </w:pPr>
      <w:r>
        <w:rPr>
          <w:rFonts w:ascii="Arial" w:hAnsi="Arial" w:cs="Arial"/>
          <w:i w:val="0"/>
          <w:iCs w:val="0"/>
          <w:color w:val="auto"/>
          <w:sz w:val="20"/>
          <w:szCs w:val="20"/>
        </w:rPr>
        <w:t xml:space="preserve"> </w:t>
      </w:r>
      <w:r w:rsidRPr="00A830B2">
        <w:rPr>
          <w:rFonts w:ascii="Arial" w:hAnsi="Arial" w:cs="Arial"/>
          <w:i w:val="0"/>
          <w:iCs w:val="0"/>
          <w:color w:val="auto"/>
          <w:sz w:val="24"/>
          <w:szCs w:val="24"/>
        </w:rPr>
        <w:t>Source: Demographic Projections based on ONS Data</w:t>
      </w:r>
    </w:p>
    <w:p w14:paraId="0A10C3C8" w14:textId="77777777" w:rsidR="00A6240C" w:rsidRDefault="00A6240C" w:rsidP="007D0FBF">
      <w:pPr>
        <w:pStyle w:val="11Bodytext"/>
      </w:pPr>
      <w:r>
        <w:t xml:space="preserve">Table 63 below presents the projected change in households by age of household reference person for Cambridge, </w:t>
      </w:r>
      <w:proofErr w:type="gramStart"/>
      <w:r>
        <w:t>As</w:t>
      </w:r>
      <w:proofErr w:type="gramEnd"/>
      <w:r>
        <w:t xml:space="preserve"> with the HMA data, this shows particularly strong growth is expected in older age groups. </w:t>
      </w:r>
    </w:p>
    <w:p w14:paraId="40339471" w14:textId="77777777" w:rsidR="00A6240C" w:rsidRDefault="00A6240C" w:rsidP="007D0FBF">
      <w:pPr>
        <w:pStyle w:val="11Bodytext"/>
      </w:pPr>
      <w:r>
        <w:t>There is also projected to be a notable growth in the number of households headed by some age groups including those in their late 40s and 50s. Those headed by someone in their 30s show a decline.</w:t>
      </w:r>
    </w:p>
    <w:p w14:paraId="15D28327" w14:textId="77777777" w:rsidR="00A6240C" w:rsidRDefault="00A6240C" w:rsidP="00A6240C">
      <w:pPr>
        <w:rPr>
          <w:lang w:eastAsia="en-GB"/>
        </w:rPr>
      </w:pPr>
    </w:p>
    <w:p w14:paraId="47FE2950" w14:textId="77777777" w:rsidR="00A6240C" w:rsidRDefault="00A6240C" w:rsidP="003D5E23">
      <w:pPr>
        <w:pStyle w:val="Tableheading"/>
        <w:numPr>
          <w:ilvl w:val="0"/>
          <w:numId w:val="54"/>
        </w:numPr>
      </w:pPr>
      <w:r>
        <w:lastRenderedPageBreak/>
        <w:t>Projected Change in Households by Age of Household Reference Person in Cambridge, 2020-40</w:t>
      </w:r>
    </w:p>
    <w:tbl>
      <w:tblPr>
        <w:tblStyle w:val="TableGridLight1"/>
        <w:tblW w:w="8615" w:type="dxa"/>
        <w:tblInd w:w="846" w:type="dxa"/>
        <w:tblLook w:val="04A0" w:firstRow="1" w:lastRow="0" w:firstColumn="1" w:lastColumn="0" w:noHBand="0" w:noVBand="1"/>
      </w:tblPr>
      <w:tblGrid>
        <w:gridCol w:w="1305"/>
        <w:gridCol w:w="1924"/>
        <w:gridCol w:w="1843"/>
        <w:gridCol w:w="1831"/>
        <w:gridCol w:w="1712"/>
      </w:tblGrid>
      <w:tr w:rsidR="00DA49C9" w:rsidRPr="00DA49C9" w14:paraId="7C52E882" w14:textId="77777777" w:rsidTr="004F4BA7">
        <w:trPr>
          <w:cnfStyle w:val="100000000000" w:firstRow="1" w:lastRow="0" w:firstColumn="0" w:lastColumn="0" w:oddVBand="0" w:evenVBand="0" w:oddHBand="0" w:evenHBand="0" w:firstRowFirstColumn="0" w:firstRowLastColumn="0" w:lastRowFirstColumn="0" w:lastRowLastColumn="0"/>
          <w:cantSplit/>
          <w:trHeight w:val="802"/>
        </w:trPr>
        <w:tc>
          <w:tcPr>
            <w:cnfStyle w:val="001000000000" w:firstRow="0" w:lastRow="0" w:firstColumn="1" w:lastColumn="0" w:oddVBand="0" w:evenVBand="0" w:oddHBand="0" w:evenHBand="0" w:firstRowFirstColumn="0" w:firstRowLastColumn="0" w:lastRowFirstColumn="0" w:lastRowLastColumn="0"/>
            <w:tcW w:w="1305" w:type="dxa"/>
            <w:hideMark/>
          </w:tcPr>
          <w:p w14:paraId="7C83BA1A" w14:textId="77777777" w:rsidR="00A6240C" w:rsidRPr="00DA49C9" w:rsidRDefault="00A6240C" w:rsidP="00C4126C">
            <w:pPr>
              <w:keepNext/>
              <w:rPr>
                <w:lang w:eastAsia="en-GB"/>
              </w:rPr>
            </w:pPr>
            <w:r w:rsidRPr="00DA49C9">
              <w:rPr>
                <w:lang w:eastAsia="en-GB"/>
              </w:rPr>
              <w:t> </w:t>
            </w:r>
          </w:p>
        </w:tc>
        <w:tc>
          <w:tcPr>
            <w:tcW w:w="1924" w:type="dxa"/>
            <w:hideMark/>
          </w:tcPr>
          <w:p w14:paraId="648761B1" w14:textId="77777777" w:rsidR="00A6240C" w:rsidRPr="00DA49C9" w:rsidRDefault="00A6240C"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843" w:type="dxa"/>
            <w:hideMark/>
          </w:tcPr>
          <w:p w14:paraId="38BBB305" w14:textId="77777777" w:rsidR="00A6240C" w:rsidRPr="00DA49C9" w:rsidRDefault="00A6240C"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831" w:type="dxa"/>
            <w:hideMark/>
          </w:tcPr>
          <w:p w14:paraId="13CF99FD" w14:textId="77777777" w:rsidR="00A6240C" w:rsidRPr="00DA49C9" w:rsidRDefault="00A6240C"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712" w:type="dxa"/>
            <w:hideMark/>
          </w:tcPr>
          <w:p w14:paraId="1E534A37" w14:textId="77777777" w:rsidR="00A6240C" w:rsidRPr="00DA49C9" w:rsidRDefault="00A6240C" w:rsidP="00C4126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53E98171"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13AEBCD7" w14:textId="77777777" w:rsidR="00A6240C" w:rsidRPr="004F4BA7" w:rsidRDefault="00A6240C" w:rsidP="001D508A">
            <w:pPr>
              <w:keepNext/>
              <w:rPr>
                <w:bCs/>
                <w:lang w:eastAsia="en-GB"/>
              </w:rPr>
            </w:pPr>
            <w:r w:rsidRPr="004F4BA7">
              <w:rPr>
                <w:bCs/>
                <w:lang w:eastAsia="en-GB"/>
              </w:rPr>
              <w:t>16-24</w:t>
            </w:r>
          </w:p>
        </w:tc>
        <w:tc>
          <w:tcPr>
            <w:tcW w:w="1924" w:type="dxa"/>
            <w:hideMark/>
          </w:tcPr>
          <w:p w14:paraId="318F3017"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2,787</w:t>
            </w:r>
          </w:p>
        </w:tc>
        <w:tc>
          <w:tcPr>
            <w:tcW w:w="1843" w:type="dxa"/>
            <w:hideMark/>
          </w:tcPr>
          <w:p w14:paraId="5D34ADBB"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3,486</w:t>
            </w:r>
          </w:p>
        </w:tc>
        <w:tc>
          <w:tcPr>
            <w:tcW w:w="1831" w:type="dxa"/>
            <w:hideMark/>
          </w:tcPr>
          <w:p w14:paraId="48F9D4CC"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699</w:t>
            </w:r>
          </w:p>
        </w:tc>
        <w:tc>
          <w:tcPr>
            <w:tcW w:w="1712" w:type="dxa"/>
            <w:hideMark/>
          </w:tcPr>
          <w:p w14:paraId="3365653C"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25.10%</w:t>
            </w:r>
          </w:p>
        </w:tc>
      </w:tr>
      <w:tr w:rsidR="00DA49C9" w:rsidRPr="00DA49C9" w14:paraId="558FA135"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4017B34D" w14:textId="77777777" w:rsidR="00A6240C" w:rsidRPr="004F4BA7" w:rsidRDefault="00A6240C" w:rsidP="001D508A">
            <w:pPr>
              <w:keepNext/>
              <w:rPr>
                <w:bCs/>
                <w:lang w:eastAsia="en-GB"/>
              </w:rPr>
            </w:pPr>
            <w:r w:rsidRPr="004F4BA7">
              <w:rPr>
                <w:bCs/>
                <w:lang w:eastAsia="en-GB"/>
              </w:rPr>
              <w:t>25-29</w:t>
            </w:r>
          </w:p>
        </w:tc>
        <w:tc>
          <w:tcPr>
            <w:tcW w:w="1924" w:type="dxa"/>
            <w:hideMark/>
          </w:tcPr>
          <w:p w14:paraId="68467659"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4,895</w:t>
            </w:r>
          </w:p>
        </w:tc>
        <w:tc>
          <w:tcPr>
            <w:tcW w:w="1843" w:type="dxa"/>
            <w:hideMark/>
          </w:tcPr>
          <w:p w14:paraId="72372B51"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4,989</w:t>
            </w:r>
          </w:p>
        </w:tc>
        <w:tc>
          <w:tcPr>
            <w:tcW w:w="1831" w:type="dxa"/>
            <w:hideMark/>
          </w:tcPr>
          <w:p w14:paraId="4985AD59"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94</w:t>
            </w:r>
          </w:p>
        </w:tc>
        <w:tc>
          <w:tcPr>
            <w:tcW w:w="1712" w:type="dxa"/>
            <w:hideMark/>
          </w:tcPr>
          <w:p w14:paraId="285810F7"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1.90%</w:t>
            </w:r>
          </w:p>
        </w:tc>
      </w:tr>
      <w:tr w:rsidR="00DA49C9" w:rsidRPr="00DA49C9" w14:paraId="32CCBE74"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0228410E" w14:textId="77777777" w:rsidR="00A6240C" w:rsidRPr="004F4BA7" w:rsidRDefault="00A6240C" w:rsidP="001D508A">
            <w:pPr>
              <w:keepNext/>
              <w:rPr>
                <w:bCs/>
                <w:lang w:eastAsia="en-GB"/>
              </w:rPr>
            </w:pPr>
            <w:r w:rsidRPr="004F4BA7">
              <w:rPr>
                <w:bCs/>
                <w:lang w:eastAsia="en-GB"/>
              </w:rPr>
              <w:t>30-34</w:t>
            </w:r>
          </w:p>
        </w:tc>
        <w:tc>
          <w:tcPr>
            <w:tcW w:w="1924" w:type="dxa"/>
            <w:hideMark/>
          </w:tcPr>
          <w:p w14:paraId="5D545E8C"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5,598</w:t>
            </w:r>
          </w:p>
        </w:tc>
        <w:tc>
          <w:tcPr>
            <w:tcW w:w="1843" w:type="dxa"/>
            <w:hideMark/>
          </w:tcPr>
          <w:p w14:paraId="08BBFE00"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4,987</w:t>
            </w:r>
          </w:p>
        </w:tc>
        <w:tc>
          <w:tcPr>
            <w:tcW w:w="1831" w:type="dxa"/>
            <w:hideMark/>
          </w:tcPr>
          <w:p w14:paraId="2F0C0803"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-611</w:t>
            </w:r>
          </w:p>
        </w:tc>
        <w:tc>
          <w:tcPr>
            <w:tcW w:w="1712" w:type="dxa"/>
            <w:hideMark/>
          </w:tcPr>
          <w:p w14:paraId="7B9C35E6"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-10.90%</w:t>
            </w:r>
          </w:p>
        </w:tc>
      </w:tr>
      <w:tr w:rsidR="00DA49C9" w:rsidRPr="00DA49C9" w14:paraId="65E0A23D"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73B33264" w14:textId="77777777" w:rsidR="00A6240C" w:rsidRPr="004F4BA7" w:rsidRDefault="00A6240C" w:rsidP="001D508A">
            <w:pPr>
              <w:keepNext/>
              <w:rPr>
                <w:bCs/>
                <w:lang w:eastAsia="en-GB"/>
              </w:rPr>
            </w:pPr>
            <w:r w:rsidRPr="004F4BA7">
              <w:rPr>
                <w:bCs/>
                <w:lang w:eastAsia="en-GB"/>
              </w:rPr>
              <w:t>35-39</w:t>
            </w:r>
          </w:p>
        </w:tc>
        <w:tc>
          <w:tcPr>
            <w:tcW w:w="1924" w:type="dxa"/>
            <w:hideMark/>
          </w:tcPr>
          <w:p w14:paraId="3CA126C1"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5,245</w:t>
            </w:r>
          </w:p>
        </w:tc>
        <w:tc>
          <w:tcPr>
            <w:tcW w:w="1843" w:type="dxa"/>
            <w:hideMark/>
          </w:tcPr>
          <w:p w14:paraId="0D58A0D8"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4,733</w:t>
            </w:r>
          </w:p>
        </w:tc>
        <w:tc>
          <w:tcPr>
            <w:tcW w:w="1831" w:type="dxa"/>
            <w:hideMark/>
          </w:tcPr>
          <w:p w14:paraId="1C1F3312"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-513</w:t>
            </w:r>
          </w:p>
        </w:tc>
        <w:tc>
          <w:tcPr>
            <w:tcW w:w="1712" w:type="dxa"/>
            <w:hideMark/>
          </w:tcPr>
          <w:p w14:paraId="73F700A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-9.80%</w:t>
            </w:r>
          </w:p>
        </w:tc>
      </w:tr>
      <w:tr w:rsidR="00DA49C9" w:rsidRPr="00DA49C9" w14:paraId="7D42BEC0"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75BCF85E" w14:textId="77777777" w:rsidR="00A6240C" w:rsidRPr="004F4BA7" w:rsidRDefault="00A6240C" w:rsidP="001D508A">
            <w:pPr>
              <w:keepNext/>
              <w:rPr>
                <w:bCs/>
                <w:lang w:eastAsia="en-GB"/>
              </w:rPr>
            </w:pPr>
            <w:r w:rsidRPr="004F4BA7">
              <w:rPr>
                <w:bCs/>
                <w:lang w:eastAsia="en-GB"/>
              </w:rPr>
              <w:t>40-44</w:t>
            </w:r>
          </w:p>
        </w:tc>
        <w:tc>
          <w:tcPr>
            <w:tcW w:w="1924" w:type="dxa"/>
            <w:hideMark/>
          </w:tcPr>
          <w:p w14:paraId="6D9111CD"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4,902</w:t>
            </w:r>
          </w:p>
        </w:tc>
        <w:tc>
          <w:tcPr>
            <w:tcW w:w="1843" w:type="dxa"/>
            <w:hideMark/>
          </w:tcPr>
          <w:p w14:paraId="7164D5CA"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5,018</w:t>
            </w:r>
          </w:p>
        </w:tc>
        <w:tc>
          <w:tcPr>
            <w:tcW w:w="1831" w:type="dxa"/>
            <w:hideMark/>
          </w:tcPr>
          <w:p w14:paraId="446A8B03"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116</w:t>
            </w:r>
          </w:p>
        </w:tc>
        <w:tc>
          <w:tcPr>
            <w:tcW w:w="1712" w:type="dxa"/>
            <w:hideMark/>
          </w:tcPr>
          <w:p w14:paraId="4663C9D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2.40%</w:t>
            </w:r>
          </w:p>
        </w:tc>
      </w:tr>
      <w:tr w:rsidR="00DA49C9" w:rsidRPr="00DA49C9" w14:paraId="51F84773"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049CCBCE" w14:textId="77777777" w:rsidR="00A6240C" w:rsidRPr="004F4BA7" w:rsidRDefault="00A6240C" w:rsidP="001D508A">
            <w:pPr>
              <w:keepNext/>
              <w:rPr>
                <w:bCs/>
                <w:lang w:eastAsia="en-GB"/>
              </w:rPr>
            </w:pPr>
            <w:r w:rsidRPr="004F4BA7">
              <w:rPr>
                <w:bCs/>
                <w:lang w:eastAsia="en-GB"/>
              </w:rPr>
              <w:t>45-49</w:t>
            </w:r>
          </w:p>
        </w:tc>
        <w:tc>
          <w:tcPr>
            <w:tcW w:w="1924" w:type="dxa"/>
            <w:hideMark/>
          </w:tcPr>
          <w:p w14:paraId="0E4361A6"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4,513</w:t>
            </w:r>
          </w:p>
        </w:tc>
        <w:tc>
          <w:tcPr>
            <w:tcW w:w="1843" w:type="dxa"/>
            <w:hideMark/>
          </w:tcPr>
          <w:p w14:paraId="4A05DF8A"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5,765</w:t>
            </w:r>
          </w:p>
        </w:tc>
        <w:tc>
          <w:tcPr>
            <w:tcW w:w="1831" w:type="dxa"/>
            <w:hideMark/>
          </w:tcPr>
          <w:p w14:paraId="5E5DA0D9"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1,252</w:t>
            </w:r>
          </w:p>
        </w:tc>
        <w:tc>
          <w:tcPr>
            <w:tcW w:w="1712" w:type="dxa"/>
            <w:hideMark/>
          </w:tcPr>
          <w:p w14:paraId="48F09E5E"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27.70%</w:t>
            </w:r>
          </w:p>
        </w:tc>
      </w:tr>
      <w:tr w:rsidR="00DA49C9" w:rsidRPr="00DA49C9" w14:paraId="75A85FFC"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3CD9F5AC" w14:textId="77777777" w:rsidR="00A6240C" w:rsidRPr="004F4BA7" w:rsidRDefault="00A6240C" w:rsidP="001D508A">
            <w:pPr>
              <w:keepNext/>
              <w:rPr>
                <w:bCs/>
                <w:lang w:eastAsia="en-GB"/>
              </w:rPr>
            </w:pPr>
            <w:r w:rsidRPr="004F4BA7">
              <w:rPr>
                <w:bCs/>
                <w:lang w:eastAsia="en-GB"/>
              </w:rPr>
              <w:t>50-54</w:t>
            </w:r>
          </w:p>
        </w:tc>
        <w:tc>
          <w:tcPr>
            <w:tcW w:w="1924" w:type="dxa"/>
            <w:hideMark/>
          </w:tcPr>
          <w:p w14:paraId="10B29ABC"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4,758</w:t>
            </w:r>
          </w:p>
        </w:tc>
        <w:tc>
          <w:tcPr>
            <w:tcW w:w="1843" w:type="dxa"/>
            <w:hideMark/>
          </w:tcPr>
          <w:p w14:paraId="2EE6CA3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6,736</w:t>
            </w:r>
          </w:p>
        </w:tc>
        <w:tc>
          <w:tcPr>
            <w:tcW w:w="1831" w:type="dxa"/>
            <w:hideMark/>
          </w:tcPr>
          <w:p w14:paraId="66E817A9"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1,978</w:t>
            </w:r>
          </w:p>
        </w:tc>
        <w:tc>
          <w:tcPr>
            <w:tcW w:w="1712" w:type="dxa"/>
            <w:hideMark/>
          </w:tcPr>
          <w:p w14:paraId="70E0A860"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41.60%</w:t>
            </w:r>
          </w:p>
        </w:tc>
      </w:tr>
      <w:tr w:rsidR="00DA49C9" w:rsidRPr="00DA49C9" w14:paraId="38B4A07C"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57774327" w14:textId="77777777" w:rsidR="00A6240C" w:rsidRPr="004F4BA7" w:rsidRDefault="00A6240C" w:rsidP="001D508A">
            <w:pPr>
              <w:keepNext/>
              <w:rPr>
                <w:bCs/>
                <w:lang w:eastAsia="en-GB"/>
              </w:rPr>
            </w:pPr>
            <w:r w:rsidRPr="004F4BA7">
              <w:rPr>
                <w:bCs/>
                <w:lang w:eastAsia="en-GB"/>
              </w:rPr>
              <w:t>55-59</w:t>
            </w:r>
          </w:p>
        </w:tc>
        <w:tc>
          <w:tcPr>
            <w:tcW w:w="1924" w:type="dxa"/>
            <w:hideMark/>
          </w:tcPr>
          <w:p w14:paraId="15580BB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4,404</w:t>
            </w:r>
          </w:p>
        </w:tc>
        <w:tc>
          <w:tcPr>
            <w:tcW w:w="1843" w:type="dxa"/>
            <w:hideMark/>
          </w:tcPr>
          <w:p w14:paraId="6DC5DEBD"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6,209</w:t>
            </w:r>
          </w:p>
        </w:tc>
        <w:tc>
          <w:tcPr>
            <w:tcW w:w="1831" w:type="dxa"/>
            <w:hideMark/>
          </w:tcPr>
          <w:p w14:paraId="5AFEFD82"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1,805</w:t>
            </w:r>
          </w:p>
        </w:tc>
        <w:tc>
          <w:tcPr>
            <w:tcW w:w="1712" w:type="dxa"/>
            <w:hideMark/>
          </w:tcPr>
          <w:p w14:paraId="0350400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41.00%</w:t>
            </w:r>
          </w:p>
        </w:tc>
      </w:tr>
      <w:tr w:rsidR="00DA49C9" w:rsidRPr="00DA49C9" w14:paraId="36A65A3C"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047D9663" w14:textId="77777777" w:rsidR="00A6240C" w:rsidRPr="004F4BA7" w:rsidRDefault="00A6240C" w:rsidP="001D508A">
            <w:pPr>
              <w:keepNext/>
              <w:rPr>
                <w:bCs/>
                <w:lang w:eastAsia="en-GB"/>
              </w:rPr>
            </w:pPr>
            <w:r w:rsidRPr="004F4BA7">
              <w:rPr>
                <w:bCs/>
                <w:lang w:eastAsia="en-GB"/>
              </w:rPr>
              <w:t>60-64</w:t>
            </w:r>
          </w:p>
        </w:tc>
        <w:tc>
          <w:tcPr>
            <w:tcW w:w="1924" w:type="dxa"/>
            <w:hideMark/>
          </w:tcPr>
          <w:p w14:paraId="60FEF63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3,563</w:t>
            </w:r>
          </w:p>
        </w:tc>
        <w:tc>
          <w:tcPr>
            <w:tcW w:w="1843" w:type="dxa"/>
            <w:hideMark/>
          </w:tcPr>
          <w:p w14:paraId="30382978"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5,305</w:t>
            </w:r>
          </w:p>
        </w:tc>
        <w:tc>
          <w:tcPr>
            <w:tcW w:w="1831" w:type="dxa"/>
            <w:hideMark/>
          </w:tcPr>
          <w:p w14:paraId="759BAEBE"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1,742</w:t>
            </w:r>
          </w:p>
        </w:tc>
        <w:tc>
          <w:tcPr>
            <w:tcW w:w="1712" w:type="dxa"/>
            <w:hideMark/>
          </w:tcPr>
          <w:p w14:paraId="708B9A2B"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48.90%</w:t>
            </w:r>
          </w:p>
        </w:tc>
      </w:tr>
      <w:tr w:rsidR="00DA49C9" w:rsidRPr="00DA49C9" w14:paraId="71D366FC"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26E077F4" w14:textId="77777777" w:rsidR="00A6240C" w:rsidRPr="004F4BA7" w:rsidRDefault="00A6240C" w:rsidP="001D508A">
            <w:pPr>
              <w:keepNext/>
              <w:rPr>
                <w:bCs/>
                <w:lang w:eastAsia="en-GB"/>
              </w:rPr>
            </w:pPr>
            <w:r w:rsidRPr="004F4BA7">
              <w:rPr>
                <w:bCs/>
                <w:lang w:eastAsia="en-GB"/>
              </w:rPr>
              <w:t>65-69</w:t>
            </w:r>
          </w:p>
        </w:tc>
        <w:tc>
          <w:tcPr>
            <w:tcW w:w="1924" w:type="dxa"/>
            <w:hideMark/>
          </w:tcPr>
          <w:p w14:paraId="0C66A269"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3,193</w:t>
            </w:r>
          </w:p>
        </w:tc>
        <w:tc>
          <w:tcPr>
            <w:tcW w:w="1843" w:type="dxa"/>
            <w:hideMark/>
          </w:tcPr>
          <w:p w14:paraId="587156A8"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4,641</w:t>
            </w:r>
          </w:p>
        </w:tc>
        <w:tc>
          <w:tcPr>
            <w:tcW w:w="1831" w:type="dxa"/>
            <w:hideMark/>
          </w:tcPr>
          <w:p w14:paraId="0F1653EF"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1,448</w:t>
            </w:r>
          </w:p>
        </w:tc>
        <w:tc>
          <w:tcPr>
            <w:tcW w:w="1712" w:type="dxa"/>
            <w:hideMark/>
          </w:tcPr>
          <w:p w14:paraId="669EB6B0"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45.30%</w:t>
            </w:r>
          </w:p>
        </w:tc>
      </w:tr>
      <w:tr w:rsidR="00DA49C9" w:rsidRPr="00DA49C9" w14:paraId="4F436146"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5622C4B6" w14:textId="77777777" w:rsidR="00A6240C" w:rsidRPr="004F4BA7" w:rsidRDefault="00A6240C" w:rsidP="001D508A">
            <w:pPr>
              <w:keepNext/>
              <w:rPr>
                <w:bCs/>
                <w:lang w:eastAsia="en-GB"/>
              </w:rPr>
            </w:pPr>
            <w:r w:rsidRPr="004F4BA7">
              <w:rPr>
                <w:bCs/>
                <w:lang w:eastAsia="en-GB"/>
              </w:rPr>
              <w:t>70-74</w:t>
            </w:r>
          </w:p>
        </w:tc>
        <w:tc>
          <w:tcPr>
            <w:tcW w:w="1924" w:type="dxa"/>
            <w:hideMark/>
          </w:tcPr>
          <w:p w14:paraId="0EE15B01"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2,751</w:t>
            </w:r>
          </w:p>
        </w:tc>
        <w:tc>
          <w:tcPr>
            <w:tcW w:w="1843" w:type="dxa"/>
            <w:hideMark/>
          </w:tcPr>
          <w:p w14:paraId="766CE384"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4,086</w:t>
            </w:r>
          </w:p>
        </w:tc>
        <w:tc>
          <w:tcPr>
            <w:tcW w:w="1831" w:type="dxa"/>
            <w:hideMark/>
          </w:tcPr>
          <w:p w14:paraId="4A613AF6"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1,335</w:t>
            </w:r>
          </w:p>
        </w:tc>
        <w:tc>
          <w:tcPr>
            <w:tcW w:w="1712" w:type="dxa"/>
            <w:hideMark/>
          </w:tcPr>
          <w:p w14:paraId="0F1FBA86"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48.50%</w:t>
            </w:r>
          </w:p>
        </w:tc>
      </w:tr>
      <w:tr w:rsidR="00DA49C9" w:rsidRPr="00DA49C9" w14:paraId="0622A4E7"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66F795EA" w14:textId="77777777" w:rsidR="00A6240C" w:rsidRPr="004F4BA7" w:rsidRDefault="00A6240C" w:rsidP="001D508A">
            <w:pPr>
              <w:keepNext/>
              <w:rPr>
                <w:bCs/>
                <w:lang w:eastAsia="en-GB"/>
              </w:rPr>
            </w:pPr>
            <w:r w:rsidRPr="004F4BA7">
              <w:rPr>
                <w:bCs/>
                <w:lang w:eastAsia="en-GB"/>
              </w:rPr>
              <w:t>75-79</w:t>
            </w:r>
          </w:p>
        </w:tc>
        <w:tc>
          <w:tcPr>
            <w:tcW w:w="1924" w:type="dxa"/>
            <w:hideMark/>
          </w:tcPr>
          <w:p w14:paraId="433F29E5"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2,164</w:t>
            </w:r>
          </w:p>
        </w:tc>
        <w:tc>
          <w:tcPr>
            <w:tcW w:w="1843" w:type="dxa"/>
            <w:hideMark/>
          </w:tcPr>
          <w:p w14:paraId="693701A4"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3,537</w:t>
            </w:r>
          </w:p>
        </w:tc>
        <w:tc>
          <w:tcPr>
            <w:tcW w:w="1831" w:type="dxa"/>
            <w:hideMark/>
          </w:tcPr>
          <w:p w14:paraId="7E46ED68"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1,373</w:t>
            </w:r>
          </w:p>
        </w:tc>
        <w:tc>
          <w:tcPr>
            <w:tcW w:w="1712" w:type="dxa"/>
            <w:hideMark/>
          </w:tcPr>
          <w:p w14:paraId="020EA027"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63.50%</w:t>
            </w:r>
          </w:p>
        </w:tc>
      </w:tr>
      <w:tr w:rsidR="00DA49C9" w:rsidRPr="00DA49C9" w14:paraId="7B837B25"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7A1CF640" w14:textId="77777777" w:rsidR="00A6240C" w:rsidRPr="004F4BA7" w:rsidRDefault="00A6240C" w:rsidP="001D508A">
            <w:pPr>
              <w:keepNext/>
              <w:rPr>
                <w:bCs/>
                <w:lang w:eastAsia="en-GB"/>
              </w:rPr>
            </w:pPr>
            <w:r w:rsidRPr="004F4BA7">
              <w:rPr>
                <w:bCs/>
                <w:lang w:eastAsia="en-GB"/>
              </w:rPr>
              <w:t>80-84</w:t>
            </w:r>
          </w:p>
        </w:tc>
        <w:tc>
          <w:tcPr>
            <w:tcW w:w="1924" w:type="dxa"/>
            <w:hideMark/>
          </w:tcPr>
          <w:p w14:paraId="441FFF42"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1,703</w:t>
            </w:r>
          </w:p>
        </w:tc>
        <w:tc>
          <w:tcPr>
            <w:tcW w:w="1843" w:type="dxa"/>
            <w:hideMark/>
          </w:tcPr>
          <w:p w14:paraId="1A906803"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2,576</w:t>
            </w:r>
          </w:p>
        </w:tc>
        <w:tc>
          <w:tcPr>
            <w:tcW w:w="1831" w:type="dxa"/>
            <w:hideMark/>
          </w:tcPr>
          <w:p w14:paraId="30F2F72F"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874</w:t>
            </w:r>
          </w:p>
        </w:tc>
        <w:tc>
          <w:tcPr>
            <w:tcW w:w="1712" w:type="dxa"/>
            <w:hideMark/>
          </w:tcPr>
          <w:p w14:paraId="74019379"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51.30%</w:t>
            </w:r>
          </w:p>
        </w:tc>
      </w:tr>
      <w:tr w:rsidR="00DA49C9" w:rsidRPr="00DA49C9" w14:paraId="2CE7C416"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7E1833BF" w14:textId="77777777" w:rsidR="00A6240C" w:rsidRPr="004F4BA7" w:rsidRDefault="00A6240C" w:rsidP="001D508A">
            <w:pPr>
              <w:keepNext/>
              <w:rPr>
                <w:bCs/>
                <w:lang w:eastAsia="en-GB"/>
              </w:rPr>
            </w:pPr>
            <w:r w:rsidRPr="004F4BA7">
              <w:rPr>
                <w:bCs/>
                <w:lang w:eastAsia="en-GB"/>
              </w:rPr>
              <w:t>85 &amp; over</w:t>
            </w:r>
          </w:p>
        </w:tc>
        <w:tc>
          <w:tcPr>
            <w:tcW w:w="1924" w:type="dxa"/>
            <w:hideMark/>
          </w:tcPr>
          <w:p w14:paraId="01862997"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843" w:type="dxa"/>
            <w:hideMark/>
          </w:tcPr>
          <w:p w14:paraId="12F63B6F"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3,224</w:t>
            </w:r>
          </w:p>
        </w:tc>
        <w:tc>
          <w:tcPr>
            <w:tcW w:w="1831" w:type="dxa"/>
            <w:hideMark/>
          </w:tcPr>
          <w:p w14:paraId="0B52BFEF"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1,184</w:t>
            </w:r>
          </w:p>
        </w:tc>
        <w:tc>
          <w:tcPr>
            <w:tcW w:w="1712" w:type="dxa"/>
            <w:hideMark/>
          </w:tcPr>
          <w:p w14:paraId="0099F20E" w14:textId="77777777" w:rsidR="00A6240C" w:rsidRPr="00DA49C9" w:rsidRDefault="00A6240C" w:rsidP="001D508A">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58.10%</w:t>
            </w:r>
          </w:p>
        </w:tc>
      </w:tr>
      <w:tr w:rsidR="00DA49C9" w:rsidRPr="00DA49C9" w14:paraId="09B84F1D" w14:textId="77777777" w:rsidTr="00A830B2">
        <w:trPr>
          <w:trHeight w:val="219"/>
        </w:trPr>
        <w:tc>
          <w:tcPr>
            <w:cnfStyle w:val="001000000000" w:firstRow="0" w:lastRow="0" w:firstColumn="1" w:lastColumn="0" w:oddVBand="0" w:evenVBand="0" w:oddHBand="0" w:evenHBand="0" w:firstRowFirstColumn="0" w:firstRowLastColumn="0" w:lastRowFirstColumn="0" w:lastRowLastColumn="0"/>
            <w:tcW w:w="1305" w:type="dxa"/>
            <w:hideMark/>
          </w:tcPr>
          <w:p w14:paraId="525A5CA4" w14:textId="77777777" w:rsidR="00A6240C" w:rsidRPr="003A75AB" w:rsidRDefault="00A6240C" w:rsidP="001D508A">
            <w:pPr>
              <w:keepNext/>
              <w:rPr>
                <w:b/>
                <w:lang w:eastAsia="en-GB"/>
              </w:rPr>
            </w:pPr>
            <w:r w:rsidRPr="003A75AB">
              <w:rPr>
                <w:b/>
                <w:lang w:eastAsia="en-GB"/>
              </w:rPr>
              <w:t>Total</w:t>
            </w:r>
          </w:p>
        </w:tc>
        <w:tc>
          <w:tcPr>
            <w:tcW w:w="1924" w:type="dxa"/>
            <w:hideMark/>
          </w:tcPr>
          <w:p w14:paraId="6FA0E8B3" w14:textId="77777777" w:rsidR="00A6240C" w:rsidRPr="004F4BA7" w:rsidRDefault="00A6240C" w:rsidP="001D508A">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52,515</w:t>
            </w:r>
          </w:p>
        </w:tc>
        <w:tc>
          <w:tcPr>
            <w:tcW w:w="1843" w:type="dxa"/>
            <w:hideMark/>
          </w:tcPr>
          <w:p w14:paraId="0B0C152A" w14:textId="77777777" w:rsidR="00A6240C" w:rsidRPr="004F4BA7" w:rsidRDefault="00A6240C" w:rsidP="001D508A">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65,292</w:t>
            </w:r>
          </w:p>
        </w:tc>
        <w:tc>
          <w:tcPr>
            <w:tcW w:w="1831" w:type="dxa"/>
            <w:hideMark/>
          </w:tcPr>
          <w:p w14:paraId="6994A2BA" w14:textId="77777777" w:rsidR="00A6240C" w:rsidRPr="004F4BA7" w:rsidRDefault="00A6240C" w:rsidP="001D508A">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12,777</w:t>
            </w:r>
          </w:p>
        </w:tc>
        <w:tc>
          <w:tcPr>
            <w:tcW w:w="1712" w:type="dxa"/>
            <w:hideMark/>
          </w:tcPr>
          <w:p w14:paraId="0633BBCD" w14:textId="77777777" w:rsidR="00A6240C" w:rsidRPr="004F4BA7" w:rsidRDefault="00A6240C" w:rsidP="001D508A">
            <w:pPr>
              <w:keepNext/>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24.30%</w:t>
            </w:r>
          </w:p>
        </w:tc>
      </w:tr>
    </w:tbl>
    <w:p w14:paraId="1D9101F2" w14:textId="76B4E80D" w:rsidR="00A6240C" w:rsidRDefault="00A6240C" w:rsidP="00647ED0">
      <w:pPr>
        <w:keepNext/>
        <w:ind w:firstLine="720"/>
        <w:rPr>
          <w:lang w:eastAsia="en-GB"/>
        </w:rPr>
      </w:pPr>
      <w:r>
        <w:rPr>
          <w:color w:val="auto"/>
        </w:rPr>
        <w:t xml:space="preserve"> </w:t>
      </w:r>
      <w:r w:rsidRPr="00A830B2">
        <w:rPr>
          <w:color w:val="auto"/>
          <w:sz w:val="24"/>
          <w:szCs w:val="24"/>
        </w:rPr>
        <w:t>Source: Demographic Projections based on ONS Data</w:t>
      </w:r>
    </w:p>
    <w:p w14:paraId="5F045A62" w14:textId="77777777" w:rsidR="00A6240C" w:rsidRDefault="00A6240C" w:rsidP="007D0FBF">
      <w:pPr>
        <w:pStyle w:val="11Bodytext"/>
        <w:rPr>
          <w:lang w:eastAsia="en-GB"/>
        </w:rPr>
      </w:pPr>
      <w:r>
        <w:rPr>
          <w:lang w:eastAsia="en-GB"/>
        </w:rPr>
        <w:t xml:space="preserve">The table below presents the projected change in households by age of household reference person for East Cambridgeshire. As with the HMA data, this clearly shows particularly strong growth is expected in older age groups. </w:t>
      </w:r>
    </w:p>
    <w:p w14:paraId="450C47A7" w14:textId="77777777" w:rsidR="00A6240C" w:rsidRDefault="00A6240C" w:rsidP="007D0FBF">
      <w:pPr>
        <w:pStyle w:val="11Bodytext"/>
        <w:rPr>
          <w:lang w:eastAsia="en-GB"/>
        </w:rPr>
      </w:pPr>
      <w:r>
        <w:rPr>
          <w:lang w:eastAsia="en-GB"/>
        </w:rPr>
        <w:t>There is also projected to be a notable growth in the number of households headed by all younger age groups, particularly those in their late teens and early 20s and their late 50s and early 60s.</w:t>
      </w:r>
    </w:p>
    <w:p w14:paraId="0325BAA6" w14:textId="77777777" w:rsidR="00A6240C" w:rsidRDefault="00A6240C" w:rsidP="003D5E23">
      <w:pPr>
        <w:pStyle w:val="Tableheading"/>
        <w:numPr>
          <w:ilvl w:val="0"/>
          <w:numId w:val="54"/>
        </w:numPr>
      </w:pPr>
      <w:r>
        <w:lastRenderedPageBreak/>
        <w:t>Projected Change in Households by Age of Household Reference Person in East Cambs, 2020-40</w:t>
      </w:r>
    </w:p>
    <w:tbl>
      <w:tblPr>
        <w:tblStyle w:val="TableGridLight1"/>
        <w:tblW w:w="8505" w:type="dxa"/>
        <w:tblInd w:w="846" w:type="dxa"/>
        <w:tblLook w:val="04A0" w:firstRow="1" w:lastRow="0" w:firstColumn="1" w:lastColumn="0" w:noHBand="0" w:noVBand="1"/>
      </w:tblPr>
      <w:tblGrid>
        <w:gridCol w:w="1342"/>
        <w:gridCol w:w="1790"/>
        <w:gridCol w:w="1791"/>
        <w:gridCol w:w="1791"/>
        <w:gridCol w:w="1791"/>
      </w:tblGrid>
      <w:tr w:rsidR="00DA49C9" w:rsidRPr="00DA49C9" w14:paraId="5B483577" w14:textId="77777777" w:rsidTr="00DA49C9">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42" w:type="dxa"/>
            <w:hideMark/>
          </w:tcPr>
          <w:p w14:paraId="597611C6" w14:textId="77777777" w:rsidR="00A6240C" w:rsidRPr="00DA49C9" w:rsidRDefault="00A6240C" w:rsidP="001D508A">
            <w:pPr>
              <w:keepNext/>
              <w:spacing w:line="256" w:lineRule="auto"/>
              <w:rPr>
                <w:lang w:eastAsia="en-GB"/>
              </w:rPr>
            </w:pPr>
            <w:r w:rsidRPr="00DA49C9">
              <w:rPr>
                <w:lang w:eastAsia="en-GB"/>
              </w:rPr>
              <w:t> </w:t>
            </w:r>
          </w:p>
        </w:tc>
        <w:tc>
          <w:tcPr>
            <w:tcW w:w="1790" w:type="dxa"/>
            <w:hideMark/>
          </w:tcPr>
          <w:p w14:paraId="2194BDDD"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791" w:type="dxa"/>
            <w:hideMark/>
          </w:tcPr>
          <w:p w14:paraId="62448519"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791" w:type="dxa"/>
            <w:hideMark/>
          </w:tcPr>
          <w:p w14:paraId="79B30AA9"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791" w:type="dxa"/>
            <w:hideMark/>
          </w:tcPr>
          <w:p w14:paraId="64ACFBE4"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68F057DA"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7C37F5B0" w14:textId="77777777" w:rsidR="00A6240C" w:rsidRPr="004F4BA7" w:rsidRDefault="00A6240C" w:rsidP="001D508A">
            <w:pPr>
              <w:keepNext/>
              <w:spacing w:line="256" w:lineRule="auto"/>
              <w:rPr>
                <w:bCs/>
                <w:lang w:eastAsia="en-GB"/>
              </w:rPr>
            </w:pPr>
            <w:r w:rsidRPr="004F4BA7">
              <w:rPr>
                <w:bCs/>
                <w:lang w:eastAsia="en-GB"/>
              </w:rPr>
              <w:t>16-24</w:t>
            </w:r>
          </w:p>
        </w:tc>
        <w:tc>
          <w:tcPr>
            <w:tcW w:w="1790" w:type="dxa"/>
            <w:hideMark/>
          </w:tcPr>
          <w:p w14:paraId="09D94A8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664</w:t>
            </w:r>
          </w:p>
        </w:tc>
        <w:tc>
          <w:tcPr>
            <w:tcW w:w="1791" w:type="dxa"/>
            <w:hideMark/>
          </w:tcPr>
          <w:p w14:paraId="700C5AE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842</w:t>
            </w:r>
          </w:p>
        </w:tc>
        <w:tc>
          <w:tcPr>
            <w:tcW w:w="1791" w:type="dxa"/>
            <w:hideMark/>
          </w:tcPr>
          <w:p w14:paraId="25075B0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178</w:t>
            </w:r>
          </w:p>
        </w:tc>
        <w:tc>
          <w:tcPr>
            <w:tcW w:w="1791" w:type="dxa"/>
            <w:hideMark/>
          </w:tcPr>
          <w:p w14:paraId="263C0DF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26.80%</w:t>
            </w:r>
          </w:p>
        </w:tc>
      </w:tr>
      <w:tr w:rsidR="00DA49C9" w:rsidRPr="00DA49C9" w14:paraId="7AF09C1D"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67673CF4" w14:textId="77777777" w:rsidR="00A6240C" w:rsidRPr="004F4BA7" w:rsidRDefault="00A6240C" w:rsidP="001D508A">
            <w:pPr>
              <w:keepNext/>
              <w:spacing w:line="256" w:lineRule="auto"/>
              <w:rPr>
                <w:bCs/>
                <w:lang w:eastAsia="en-GB"/>
              </w:rPr>
            </w:pPr>
            <w:r w:rsidRPr="004F4BA7">
              <w:rPr>
                <w:bCs/>
                <w:lang w:eastAsia="en-GB"/>
              </w:rPr>
              <w:t>25-29</w:t>
            </w:r>
          </w:p>
        </w:tc>
        <w:tc>
          <w:tcPr>
            <w:tcW w:w="1790" w:type="dxa"/>
            <w:hideMark/>
          </w:tcPr>
          <w:p w14:paraId="7E9A590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1,668</w:t>
            </w:r>
          </w:p>
        </w:tc>
        <w:tc>
          <w:tcPr>
            <w:tcW w:w="1791" w:type="dxa"/>
            <w:hideMark/>
          </w:tcPr>
          <w:p w14:paraId="025602B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2,081</w:t>
            </w:r>
          </w:p>
        </w:tc>
        <w:tc>
          <w:tcPr>
            <w:tcW w:w="1791" w:type="dxa"/>
            <w:hideMark/>
          </w:tcPr>
          <w:p w14:paraId="38B3D21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413</w:t>
            </w:r>
          </w:p>
        </w:tc>
        <w:tc>
          <w:tcPr>
            <w:tcW w:w="1791" w:type="dxa"/>
            <w:hideMark/>
          </w:tcPr>
          <w:p w14:paraId="6590B15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24.80%</w:t>
            </w:r>
          </w:p>
        </w:tc>
      </w:tr>
      <w:tr w:rsidR="00DA49C9" w:rsidRPr="00DA49C9" w14:paraId="454628E8"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7BA1FD3E" w14:textId="77777777" w:rsidR="00A6240C" w:rsidRPr="004F4BA7" w:rsidRDefault="00A6240C" w:rsidP="001D508A">
            <w:pPr>
              <w:keepNext/>
              <w:spacing w:line="256" w:lineRule="auto"/>
              <w:rPr>
                <w:bCs/>
                <w:lang w:eastAsia="en-GB"/>
              </w:rPr>
            </w:pPr>
            <w:r w:rsidRPr="004F4BA7">
              <w:rPr>
                <w:bCs/>
                <w:lang w:eastAsia="en-GB"/>
              </w:rPr>
              <w:t>30-34</w:t>
            </w:r>
          </w:p>
        </w:tc>
        <w:tc>
          <w:tcPr>
            <w:tcW w:w="1790" w:type="dxa"/>
            <w:hideMark/>
          </w:tcPr>
          <w:p w14:paraId="107D255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2,876</w:t>
            </w:r>
          </w:p>
        </w:tc>
        <w:tc>
          <w:tcPr>
            <w:tcW w:w="1791" w:type="dxa"/>
            <w:hideMark/>
          </w:tcPr>
          <w:p w14:paraId="2C0E512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3,370</w:t>
            </w:r>
          </w:p>
        </w:tc>
        <w:tc>
          <w:tcPr>
            <w:tcW w:w="1791" w:type="dxa"/>
            <w:hideMark/>
          </w:tcPr>
          <w:p w14:paraId="3C4BF0C7"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494</w:t>
            </w:r>
          </w:p>
        </w:tc>
        <w:tc>
          <w:tcPr>
            <w:tcW w:w="1791" w:type="dxa"/>
            <w:hideMark/>
          </w:tcPr>
          <w:p w14:paraId="4860D13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17.20%</w:t>
            </w:r>
          </w:p>
        </w:tc>
      </w:tr>
      <w:tr w:rsidR="00DA49C9" w:rsidRPr="00DA49C9" w14:paraId="61E01B7F"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2F9C1989" w14:textId="77777777" w:rsidR="00A6240C" w:rsidRPr="004F4BA7" w:rsidRDefault="00A6240C" w:rsidP="001D508A">
            <w:pPr>
              <w:keepNext/>
              <w:spacing w:line="256" w:lineRule="auto"/>
              <w:rPr>
                <w:bCs/>
                <w:lang w:eastAsia="en-GB"/>
              </w:rPr>
            </w:pPr>
            <w:r w:rsidRPr="004F4BA7">
              <w:rPr>
                <w:bCs/>
                <w:lang w:eastAsia="en-GB"/>
              </w:rPr>
              <w:t>35-39</w:t>
            </w:r>
          </w:p>
        </w:tc>
        <w:tc>
          <w:tcPr>
            <w:tcW w:w="1790" w:type="dxa"/>
            <w:hideMark/>
          </w:tcPr>
          <w:p w14:paraId="128C5AA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3,258</w:t>
            </w:r>
          </w:p>
        </w:tc>
        <w:tc>
          <w:tcPr>
            <w:tcW w:w="1791" w:type="dxa"/>
            <w:hideMark/>
          </w:tcPr>
          <w:p w14:paraId="2D7EE09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3,510</w:t>
            </w:r>
          </w:p>
        </w:tc>
        <w:tc>
          <w:tcPr>
            <w:tcW w:w="1791" w:type="dxa"/>
            <w:hideMark/>
          </w:tcPr>
          <w:p w14:paraId="777A902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253</w:t>
            </w:r>
          </w:p>
        </w:tc>
        <w:tc>
          <w:tcPr>
            <w:tcW w:w="1791" w:type="dxa"/>
            <w:hideMark/>
          </w:tcPr>
          <w:p w14:paraId="33F8910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7.80%</w:t>
            </w:r>
          </w:p>
        </w:tc>
      </w:tr>
      <w:tr w:rsidR="00DA49C9" w:rsidRPr="00DA49C9" w14:paraId="1E0665E4"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6D8BB731" w14:textId="77777777" w:rsidR="00A6240C" w:rsidRPr="004F4BA7" w:rsidRDefault="00A6240C" w:rsidP="001D508A">
            <w:pPr>
              <w:keepNext/>
              <w:spacing w:line="256" w:lineRule="auto"/>
              <w:rPr>
                <w:bCs/>
                <w:lang w:eastAsia="en-GB"/>
              </w:rPr>
            </w:pPr>
            <w:r w:rsidRPr="004F4BA7">
              <w:rPr>
                <w:bCs/>
                <w:lang w:eastAsia="en-GB"/>
              </w:rPr>
              <w:t>40-44</w:t>
            </w:r>
          </w:p>
        </w:tc>
        <w:tc>
          <w:tcPr>
            <w:tcW w:w="1790" w:type="dxa"/>
            <w:hideMark/>
          </w:tcPr>
          <w:p w14:paraId="23FFCDC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3,453</w:t>
            </w:r>
          </w:p>
        </w:tc>
        <w:tc>
          <w:tcPr>
            <w:tcW w:w="1791" w:type="dxa"/>
            <w:hideMark/>
          </w:tcPr>
          <w:p w14:paraId="2785682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3,909</w:t>
            </w:r>
          </w:p>
        </w:tc>
        <w:tc>
          <w:tcPr>
            <w:tcW w:w="1791" w:type="dxa"/>
            <w:hideMark/>
          </w:tcPr>
          <w:p w14:paraId="43F9E12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456</w:t>
            </w:r>
          </w:p>
        </w:tc>
        <w:tc>
          <w:tcPr>
            <w:tcW w:w="1791" w:type="dxa"/>
            <w:hideMark/>
          </w:tcPr>
          <w:p w14:paraId="64409E5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13.20%</w:t>
            </w:r>
          </w:p>
        </w:tc>
      </w:tr>
      <w:tr w:rsidR="00DA49C9" w:rsidRPr="00DA49C9" w14:paraId="61443F4A"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767F94D8" w14:textId="77777777" w:rsidR="00A6240C" w:rsidRPr="004F4BA7" w:rsidRDefault="00A6240C" w:rsidP="001D508A">
            <w:pPr>
              <w:keepNext/>
              <w:spacing w:line="256" w:lineRule="auto"/>
              <w:rPr>
                <w:bCs/>
                <w:lang w:eastAsia="en-GB"/>
              </w:rPr>
            </w:pPr>
            <w:r w:rsidRPr="004F4BA7">
              <w:rPr>
                <w:bCs/>
                <w:lang w:eastAsia="en-GB"/>
              </w:rPr>
              <w:t>45-49</w:t>
            </w:r>
          </w:p>
        </w:tc>
        <w:tc>
          <w:tcPr>
            <w:tcW w:w="1790" w:type="dxa"/>
            <w:hideMark/>
          </w:tcPr>
          <w:p w14:paraId="177E2B7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3,587</w:t>
            </w:r>
          </w:p>
        </w:tc>
        <w:tc>
          <w:tcPr>
            <w:tcW w:w="1791" w:type="dxa"/>
            <w:hideMark/>
          </w:tcPr>
          <w:p w14:paraId="5E55430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4,162</w:t>
            </w:r>
          </w:p>
        </w:tc>
        <w:tc>
          <w:tcPr>
            <w:tcW w:w="1791" w:type="dxa"/>
            <w:hideMark/>
          </w:tcPr>
          <w:p w14:paraId="07F9272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574</w:t>
            </w:r>
          </w:p>
        </w:tc>
        <w:tc>
          <w:tcPr>
            <w:tcW w:w="1791" w:type="dxa"/>
            <w:hideMark/>
          </w:tcPr>
          <w:p w14:paraId="7C5EF0A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16.00%</w:t>
            </w:r>
          </w:p>
        </w:tc>
      </w:tr>
      <w:tr w:rsidR="00DA49C9" w:rsidRPr="00DA49C9" w14:paraId="2EE0751A"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123CF24C" w14:textId="77777777" w:rsidR="00A6240C" w:rsidRPr="004F4BA7" w:rsidRDefault="00A6240C" w:rsidP="001D508A">
            <w:pPr>
              <w:keepNext/>
              <w:spacing w:line="256" w:lineRule="auto"/>
              <w:rPr>
                <w:bCs/>
                <w:lang w:eastAsia="en-GB"/>
              </w:rPr>
            </w:pPr>
            <w:r w:rsidRPr="004F4BA7">
              <w:rPr>
                <w:bCs/>
                <w:lang w:eastAsia="en-GB"/>
              </w:rPr>
              <w:t>50-54</w:t>
            </w:r>
          </w:p>
        </w:tc>
        <w:tc>
          <w:tcPr>
            <w:tcW w:w="1790" w:type="dxa"/>
            <w:hideMark/>
          </w:tcPr>
          <w:p w14:paraId="4727FD1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3,840</w:t>
            </w:r>
          </w:p>
        </w:tc>
        <w:tc>
          <w:tcPr>
            <w:tcW w:w="1791" w:type="dxa"/>
            <w:hideMark/>
          </w:tcPr>
          <w:p w14:paraId="6426218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4,488</w:t>
            </w:r>
          </w:p>
        </w:tc>
        <w:tc>
          <w:tcPr>
            <w:tcW w:w="1791" w:type="dxa"/>
            <w:hideMark/>
          </w:tcPr>
          <w:p w14:paraId="25E0B8F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647</w:t>
            </w:r>
          </w:p>
        </w:tc>
        <w:tc>
          <w:tcPr>
            <w:tcW w:w="1791" w:type="dxa"/>
            <w:hideMark/>
          </w:tcPr>
          <w:p w14:paraId="3923D64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16.90%</w:t>
            </w:r>
          </w:p>
        </w:tc>
      </w:tr>
      <w:tr w:rsidR="00DA49C9" w:rsidRPr="00DA49C9" w14:paraId="4682319C"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73F94454" w14:textId="77777777" w:rsidR="00A6240C" w:rsidRPr="004F4BA7" w:rsidRDefault="00A6240C" w:rsidP="001D508A">
            <w:pPr>
              <w:keepNext/>
              <w:spacing w:line="256" w:lineRule="auto"/>
              <w:rPr>
                <w:bCs/>
                <w:lang w:eastAsia="en-GB"/>
              </w:rPr>
            </w:pPr>
            <w:r w:rsidRPr="004F4BA7">
              <w:rPr>
                <w:bCs/>
                <w:lang w:eastAsia="en-GB"/>
              </w:rPr>
              <w:t>55-59</w:t>
            </w:r>
          </w:p>
        </w:tc>
        <w:tc>
          <w:tcPr>
            <w:tcW w:w="1790" w:type="dxa"/>
            <w:hideMark/>
          </w:tcPr>
          <w:p w14:paraId="3CBF3B3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3,610</w:t>
            </w:r>
          </w:p>
        </w:tc>
        <w:tc>
          <w:tcPr>
            <w:tcW w:w="1791" w:type="dxa"/>
            <w:hideMark/>
          </w:tcPr>
          <w:p w14:paraId="0F4F414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4,416</w:t>
            </w:r>
          </w:p>
        </w:tc>
        <w:tc>
          <w:tcPr>
            <w:tcW w:w="1791" w:type="dxa"/>
            <w:hideMark/>
          </w:tcPr>
          <w:p w14:paraId="6E886FF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806</w:t>
            </w:r>
          </w:p>
        </w:tc>
        <w:tc>
          <w:tcPr>
            <w:tcW w:w="1791" w:type="dxa"/>
            <w:hideMark/>
          </w:tcPr>
          <w:p w14:paraId="033C973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22.30%</w:t>
            </w:r>
          </w:p>
        </w:tc>
      </w:tr>
      <w:tr w:rsidR="00DA49C9" w:rsidRPr="00DA49C9" w14:paraId="7BB7A677"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0BB60797" w14:textId="77777777" w:rsidR="00A6240C" w:rsidRPr="004F4BA7" w:rsidRDefault="00A6240C" w:rsidP="001D508A">
            <w:pPr>
              <w:keepNext/>
              <w:spacing w:line="256" w:lineRule="auto"/>
              <w:rPr>
                <w:bCs/>
                <w:lang w:eastAsia="en-GB"/>
              </w:rPr>
            </w:pPr>
            <w:r w:rsidRPr="004F4BA7">
              <w:rPr>
                <w:bCs/>
                <w:lang w:eastAsia="en-GB"/>
              </w:rPr>
              <w:t>60-64</w:t>
            </w:r>
          </w:p>
        </w:tc>
        <w:tc>
          <w:tcPr>
            <w:tcW w:w="1790" w:type="dxa"/>
            <w:hideMark/>
          </w:tcPr>
          <w:p w14:paraId="614DF52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3,157</w:t>
            </w:r>
          </w:p>
        </w:tc>
        <w:tc>
          <w:tcPr>
            <w:tcW w:w="1791" w:type="dxa"/>
            <w:hideMark/>
          </w:tcPr>
          <w:p w14:paraId="06C20BE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4,002</w:t>
            </w:r>
          </w:p>
        </w:tc>
        <w:tc>
          <w:tcPr>
            <w:tcW w:w="1791" w:type="dxa"/>
            <w:hideMark/>
          </w:tcPr>
          <w:p w14:paraId="5D5005C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846</w:t>
            </w:r>
          </w:p>
        </w:tc>
        <w:tc>
          <w:tcPr>
            <w:tcW w:w="1791" w:type="dxa"/>
            <w:hideMark/>
          </w:tcPr>
          <w:p w14:paraId="61FB2B4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26.80%</w:t>
            </w:r>
          </w:p>
        </w:tc>
      </w:tr>
      <w:tr w:rsidR="00DA49C9" w:rsidRPr="00DA49C9" w14:paraId="240B77BB"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4F7A3078" w14:textId="77777777" w:rsidR="00A6240C" w:rsidRPr="004F4BA7" w:rsidRDefault="00A6240C" w:rsidP="001D508A">
            <w:pPr>
              <w:keepNext/>
              <w:spacing w:line="256" w:lineRule="auto"/>
              <w:rPr>
                <w:bCs/>
                <w:lang w:eastAsia="en-GB"/>
              </w:rPr>
            </w:pPr>
            <w:r w:rsidRPr="004F4BA7">
              <w:rPr>
                <w:bCs/>
                <w:lang w:eastAsia="en-GB"/>
              </w:rPr>
              <w:t>65-69</w:t>
            </w:r>
          </w:p>
        </w:tc>
        <w:tc>
          <w:tcPr>
            <w:tcW w:w="1790" w:type="dxa"/>
            <w:hideMark/>
          </w:tcPr>
          <w:p w14:paraId="1DA2549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2,892</w:t>
            </w:r>
          </w:p>
        </w:tc>
        <w:tc>
          <w:tcPr>
            <w:tcW w:w="1791" w:type="dxa"/>
            <w:hideMark/>
          </w:tcPr>
          <w:p w14:paraId="77932AD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4,178</w:t>
            </w:r>
          </w:p>
        </w:tc>
        <w:tc>
          <w:tcPr>
            <w:tcW w:w="1791" w:type="dxa"/>
            <w:hideMark/>
          </w:tcPr>
          <w:p w14:paraId="63E091F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1,287</w:t>
            </w:r>
          </w:p>
        </w:tc>
        <w:tc>
          <w:tcPr>
            <w:tcW w:w="1791" w:type="dxa"/>
            <w:hideMark/>
          </w:tcPr>
          <w:p w14:paraId="394B97C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44.50%</w:t>
            </w:r>
          </w:p>
        </w:tc>
      </w:tr>
      <w:tr w:rsidR="00DA49C9" w:rsidRPr="00DA49C9" w14:paraId="58960A87"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66FCF5C2" w14:textId="77777777" w:rsidR="00A6240C" w:rsidRPr="004F4BA7" w:rsidRDefault="00A6240C" w:rsidP="001D508A">
            <w:pPr>
              <w:keepNext/>
              <w:spacing w:line="256" w:lineRule="auto"/>
              <w:rPr>
                <w:bCs/>
                <w:lang w:eastAsia="en-GB"/>
              </w:rPr>
            </w:pPr>
            <w:r w:rsidRPr="004F4BA7">
              <w:rPr>
                <w:bCs/>
                <w:lang w:eastAsia="en-GB"/>
              </w:rPr>
              <w:t>70-74</w:t>
            </w:r>
          </w:p>
        </w:tc>
        <w:tc>
          <w:tcPr>
            <w:tcW w:w="1790" w:type="dxa"/>
            <w:hideMark/>
          </w:tcPr>
          <w:p w14:paraId="116CEF7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3,195</w:t>
            </w:r>
          </w:p>
        </w:tc>
        <w:tc>
          <w:tcPr>
            <w:tcW w:w="1791" w:type="dxa"/>
            <w:hideMark/>
          </w:tcPr>
          <w:p w14:paraId="1B2C6A5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4,434</w:t>
            </w:r>
          </w:p>
        </w:tc>
        <w:tc>
          <w:tcPr>
            <w:tcW w:w="1791" w:type="dxa"/>
            <w:hideMark/>
          </w:tcPr>
          <w:p w14:paraId="11F8AD4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1,239</w:t>
            </w:r>
          </w:p>
        </w:tc>
        <w:tc>
          <w:tcPr>
            <w:tcW w:w="1791" w:type="dxa"/>
            <w:hideMark/>
          </w:tcPr>
          <w:p w14:paraId="0C1D3C1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38.80%</w:t>
            </w:r>
          </w:p>
        </w:tc>
      </w:tr>
      <w:tr w:rsidR="00DA49C9" w:rsidRPr="00DA49C9" w14:paraId="277D993D"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0F1EB948" w14:textId="77777777" w:rsidR="00A6240C" w:rsidRPr="004F4BA7" w:rsidRDefault="00A6240C" w:rsidP="001D508A">
            <w:pPr>
              <w:keepNext/>
              <w:spacing w:line="256" w:lineRule="auto"/>
              <w:rPr>
                <w:bCs/>
                <w:lang w:eastAsia="en-GB"/>
              </w:rPr>
            </w:pPr>
            <w:r w:rsidRPr="004F4BA7">
              <w:rPr>
                <w:bCs/>
                <w:lang w:eastAsia="en-GB"/>
              </w:rPr>
              <w:t>75-79</w:t>
            </w:r>
          </w:p>
        </w:tc>
        <w:tc>
          <w:tcPr>
            <w:tcW w:w="1790" w:type="dxa"/>
            <w:hideMark/>
          </w:tcPr>
          <w:p w14:paraId="28B6C9A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2,356</w:t>
            </w:r>
          </w:p>
        </w:tc>
        <w:tc>
          <w:tcPr>
            <w:tcW w:w="1791" w:type="dxa"/>
            <w:hideMark/>
          </w:tcPr>
          <w:p w14:paraId="07623AD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3,894</w:t>
            </w:r>
          </w:p>
        </w:tc>
        <w:tc>
          <w:tcPr>
            <w:tcW w:w="1791" w:type="dxa"/>
            <w:hideMark/>
          </w:tcPr>
          <w:p w14:paraId="5E77648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1,538</w:t>
            </w:r>
          </w:p>
        </w:tc>
        <w:tc>
          <w:tcPr>
            <w:tcW w:w="1791" w:type="dxa"/>
            <w:hideMark/>
          </w:tcPr>
          <w:p w14:paraId="2557770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65.30%</w:t>
            </w:r>
          </w:p>
        </w:tc>
      </w:tr>
      <w:tr w:rsidR="00DA49C9" w:rsidRPr="00DA49C9" w14:paraId="5BE6122A"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186C8943" w14:textId="77777777" w:rsidR="00A6240C" w:rsidRPr="004F4BA7" w:rsidRDefault="00A6240C" w:rsidP="001D508A">
            <w:pPr>
              <w:keepNext/>
              <w:spacing w:line="256" w:lineRule="auto"/>
              <w:rPr>
                <w:bCs/>
                <w:lang w:eastAsia="en-GB"/>
              </w:rPr>
            </w:pPr>
            <w:r w:rsidRPr="004F4BA7">
              <w:rPr>
                <w:bCs/>
                <w:lang w:eastAsia="en-GB"/>
              </w:rPr>
              <w:t>80-84</w:t>
            </w:r>
          </w:p>
        </w:tc>
        <w:tc>
          <w:tcPr>
            <w:tcW w:w="1790" w:type="dxa"/>
            <w:hideMark/>
          </w:tcPr>
          <w:p w14:paraId="16DA897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1,849</w:t>
            </w:r>
          </w:p>
        </w:tc>
        <w:tc>
          <w:tcPr>
            <w:tcW w:w="1791" w:type="dxa"/>
            <w:hideMark/>
          </w:tcPr>
          <w:p w14:paraId="58D9321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3,037</w:t>
            </w:r>
          </w:p>
        </w:tc>
        <w:tc>
          <w:tcPr>
            <w:tcW w:w="1791" w:type="dxa"/>
            <w:hideMark/>
          </w:tcPr>
          <w:p w14:paraId="1F63603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1,189</w:t>
            </w:r>
          </w:p>
        </w:tc>
        <w:tc>
          <w:tcPr>
            <w:tcW w:w="1791" w:type="dxa"/>
            <w:hideMark/>
          </w:tcPr>
          <w:p w14:paraId="426FF3B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64.30%</w:t>
            </w:r>
          </w:p>
        </w:tc>
      </w:tr>
      <w:tr w:rsidR="00DA49C9" w:rsidRPr="00DA49C9" w14:paraId="5A61472E"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2453CF2B" w14:textId="77777777" w:rsidR="00A6240C" w:rsidRPr="004F4BA7" w:rsidRDefault="00A6240C" w:rsidP="001D508A">
            <w:pPr>
              <w:keepNext/>
              <w:spacing w:line="256" w:lineRule="auto"/>
              <w:rPr>
                <w:bCs/>
                <w:lang w:eastAsia="en-GB"/>
              </w:rPr>
            </w:pPr>
            <w:r w:rsidRPr="004F4BA7">
              <w:rPr>
                <w:bCs/>
                <w:lang w:eastAsia="en-GB"/>
              </w:rPr>
              <w:t>85 &amp; over</w:t>
            </w:r>
          </w:p>
        </w:tc>
        <w:tc>
          <w:tcPr>
            <w:tcW w:w="1790" w:type="dxa"/>
            <w:hideMark/>
          </w:tcPr>
          <w:p w14:paraId="3E3F6C67"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1,888</w:t>
            </w:r>
          </w:p>
        </w:tc>
        <w:tc>
          <w:tcPr>
            <w:tcW w:w="1791" w:type="dxa"/>
            <w:hideMark/>
          </w:tcPr>
          <w:p w14:paraId="222E85B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3,560</w:t>
            </w:r>
          </w:p>
        </w:tc>
        <w:tc>
          <w:tcPr>
            <w:tcW w:w="1791" w:type="dxa"/>
            <w:hideMark/>
          </w:tcPr>
          <w:p w14:paraId="6DCC45D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1,672</w:t>
            </w:r>
          </w:p>
        </w:tc>
        <w:tc>
          <w:tcPr>
            <w:tcW w:w="1791" w:type="dxa"/>
            <w:hideMark/>
          </w:tcPr>
          <w:p w14:paraId="50A1630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88.60%</w:t>
            </w:r>
          </w:p>
        </w:tc>
      </w:tr>
      <w:tr w:rsidR="00DA49C9" w:rsidRPr="00DA49C9" w14:paraId="2D862110" w14:textId="77777777" w:rsidTr="00DA49C9">
        <w:trPr>
          <w:trHeight w:val="297"/>
        </w:trPr>
        <w:tc>
          <w:tcPr>
            <w:cnfStyle w:val="001000000000" w:firstRow="0" w:lastRow="0" w:firstColumn="1" w:lastColumn="0" w:oddVBand="0" w:evenVBand="0" w:oddHBand="0" w:evenHBand="0" w:firstRowFirstColumn="0" w:firstRowLastColumn="0" w:lastRowFirstColumn="0" w:lastRowLastColumn="0"/>
            <w:tcW w:w="1342" w:type="dxa"/>
            <w:hideMark/>
          </w:tcPr>
          <w:p w14:paraId="60F493AA" w14:textId="77777777" w:rsidR="00A6240C" w:rsidRPr="003A75AB" w:rsidRDefault="00A6240C" w:rsidP="001D508A">
            <w:pPr>
              <w:keepNext/>
              <w:spacing w:line="256" w:lineRule="auto"/>
              <w:rPr>
                <w:b/>
                <w:lang w:eastAsia="en-GB"/>
              </w:rPr>
            </w:pPr>
            <w:r w:rsidRPr="003A75AB">
              <w:rPr>
                <w:b/>
                <w:lang w:eastAsia="en-GB"/>
              </w:rPr>
              <w:t>Total</w:t>
            </w:r>
          </w:p>
        </w:tc>
        <w:tc>
          <w:tcPr>
            <w:tcW w:w="1790" w:type="dxa"/>
            <w:hideMark/>
          </w:tcPr>
          <w:p w14:paraId="21D1C670"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38,290</w:t>
            </w:r>
          </w:p>
        </w:tc>
        <w:tc>
          <w:tcPr>
            <w:tcW w:w="1791" w:type="dxa"/>
            <w:hideMark/>
          </w:tcPr>
          <w:p w14:paraId="07B67CD3"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49,883</w:t>
            </w:r>
          </w:p>
        </w:tc>
        <w:tc>
          <w:tcPr>
            <w:tcW w:w="1791" w:type="dxa"/>
            <w:hideMark/>
          </w:tcPr>
          <w:p w14:paraId="7EDF5EB9"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11,592</w:t>
            </w:r>
          </w:p>
        </w:tc>
        <w:tc>
          <w:tcPr>
            <w:tcW w:w="1791" w:type="dxa"/>
            <w:hideMark/>
          </w:tcPr>
          <w:p w14:paraId="5A41E8A0"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lang w:eastAsia="en-GB"/>
              </w:rPr>
            </w:pPr>
            <w:r w:rsidRPr="004F4BA7">
              <w:rPr>
                <w:b/>
                <w:lang w:eastAsia="en-GB"/>
              </w:rPr>
              <w:t>30.30%</w:t>
            </w:r>
          </w:p>
        </w:tc>
      </w:tr>
    </w:tbl>
    <w:p w14:paraId="0DAF1B9D" w14:textId="77777777" w:rsidR="00A6240C" w:rsidRPr="00A830B2" w:rsidRDefault="00A6240C" w:rsidP="00A6240C">
      <w:pPr>
        <w:pStyle w:val="Caption"/>
        <w:keepNext/>
        <w:spacing w:after="0"/>
        <w:ind w:firstLine="794"/>
        <w:rPr>
          <w:rFonts w:ascii="Arial" w:hAnsi="Arial" w:cs="Arial"/>
          <w:i w:val="0"/>
          <w:iCs w:val="0"/>
          <w:color w:val="auto"/>
          <w:sz w:val="24"/>
          <w:szCs w:val="24"/>
        </w:rPr>
      </w:pPr>
      <w:r>
        <w:rPr>
          <w:rFonts w:ascii="Arial" w:hAnsi="Arial" w:cs="Arial"/>
          <w:i w:val="0"/>
          <w:iCs w:val="0"/>
          <w:color w:val="auto"/>
          <w:sz w:val="20"/>
          <w:szCs w:val="20"/>
        </w:rPr>
        <w:t xml:space="preserve"> </w:t>
      </w:r>
      <w:r w:rsidRPr="00A830B2">
        <w:rPr>
          <w:rFonts w:ascii="Arial" w:hAnsi="Arial" w:cs="Arial"/>
          <w:i w:val="0"/>
          <w:iCs w:val="0"/>
          <w:color w:val="auto"/>
          <w:sz w:val="24"/>
          <w:szCs w:val="24"/>
        </w:rPr>
        <w:t>Source: Demographic Projections</w:t>
      </w:r>
    </w:p>
    <w:p w14:paraId="252AB972" w14:textId="77777777" w:rsidR="00A6240C" w:rsidRDefault="00A6240C" w:rsidP="007D0FBF">
      <w:pPr>
        <w:pStyle w:val="11Bodytext"/>
        <w:rPr>
          <w:lang w:eastAsia="en-GB"/>
        </w:rPr>
      </w:pPr>
      <w:r>
        <w:rPr>
          <w:lang w:eastAsia="en-GB"/>
        </w:rPr>
        <w:t xml:space="preserve">The table below presents the projected change in households by age of household reference person for Fenland. As </w:t>
      </w:r>
      <w:proofErr w:type="gramStart"/>
      <w:r>
        <w:rPr>
          <w:lang w:eastAsia="en-GB"/>
        </w:rPr>
        <w:t>with  the</w:t>
      </w:r>
      <w:proofErr w:type="gramEnd"/>
      <w:r>
        <w:rPr>
          <w:lang w:eastAsia="en-GB"/>
        </w:rPr>
        <w:t xml:space="preserve"> HMA data, this clearly shows particularly strong growth is expected in older age groups. </w:t>
      </w:r>
    </w:p>
    <w:p w14:paraId="7319024F" w14:textId="77777777" w:rsidR="00A6240C" w:rsidRDefault="00A6240C" w:rsidP="007D0FBF">
      <w:pPr>
        <w:pStyle w:val="11Bodytext"/>
        <w:rPr>
          <w:lang w:eastAsia="en-GB"/>
        </w:rPr>
      </w:pPr>
      <w:r>
        <w:rPr>
          <w:lang w:eastAsia="en-GB"/>
        </w:rPr>
        <w:t>There is also a notable growth projected in the number of households headed by all younger age groups, particularly those in their early 20s and early-40s. Growth is weak among those headed by someone aged 50 to 65 compared to other local authorities.</w:t>
      </w:r>
    </w:p>
    <w:p w14:paraId="217A8960" w14:textId="77777777" w:rsidR="00A6240C" w:rsidRDefault="00A6240C" w:rsidP="003D5E23">
      <w:pPr>
        <w:pStyle w:val="Tableheading"/>
        <w:numPr>
          <w:ilvl w:val="0"/>
          <w:numId w:val="54"/>
        </w:numPr>
      </w:pPr>
      <w:r>
        <w:lastRenderedPageBreak/>
        <w:t>Projected Change in Households by Age of Household Reference Person in Fenland, 2020-40</w:t>
      </w:r>
    </w:p>
    <w:tbl>
      <w:tblPr>
        <w:tblStyle w:val="TableGridLight1"/>
        <w:tblW w:w="8505" w:type="dxa"/>
        <w:tblInd w:w="846" w:type="dxa"/>
        <w:tblLook w:val="04A0" w:firstRow="1" w:lastRow="0" w:firstColumn="1" w:lastColumn="0" w:noHBand="0" w:noVBand="1"/>
      </w:tblPr>
      <w:tblGrid>
        <w:gridCol w:w="1333"/>
        <w:gridCol w:w="1793"/>
        <w:gridCol w:w="1793"/>
        <w:gridCol w:w="1793"/>
        <w:gridCol w:w="1793"/>
      </w:tblGrid>
      <w:tr w:rsidR="00DA49C9" w:rsidRPr="00DA49C9" w14:paraId="6BC43D87" w14:textId="77777777" w:rsidTr="005B02A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3" w:type="dxa"/>
            <w:hideMark/>
          </w:tcPr>
          <w:p w14:paraId="74F4DCB2" w14:textId="77777777" w:rsidR="00A6240C" w:rsidRPr="00DA49C9" w:rsidRDefault="00A6240C" w:rsidP="001D508A">
            <w:pPr>
              <w:keepNext/>
              <w:spacing w:line="256" w:lineRule="auto"/>
              <w:rPr>
                <w:lang w:eastAsia="en-GB"/>
              </w:rPr>
            </w:pPr>
            <w:r w:rsidRPr="00DA49C9">
              <w:rPr>
                <w:lang w:eastAsia="en-GB"/>
              </w:rPr>
              <w:t> </w:t>
            </w:r>
          </w:p>
        </w:tc>
        <w:tc>
          <w:tcPr>
            <w:tcW w:w="1793" w:type="dxa"/>
            <w:hideMark/>
          </w:tcPr>
          <w:p w14:paraId="70C39B09"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793" w:type="dxa"/>
            <w:hideMark/>
          </w:tcPr>
          <w:p w14:paraId="1B1FAA93"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793" w:type="dxa"/>
            <w:hideMark/>
          </w:tcPr>
          <w:p w14:paraId="28DF7816"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793" w:type="dxa"/>
            <w:hideMark/>
          </w:tcPr>
          <w:p w14:paraId="200E9DB0"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45F5B2DE"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62796704" w14:textId="77777777" w:rsidR="00A6240C" w:rsidRPr="004F4BA7" w:rsidRDefault="00A6240C" w:rsidP="001D508A">
            <w:pPr>
              <w:keepNext/>
              <w:spacing w:line="256" w:lineRule="auto"/>
              <w:rPr>
                <w:bCs/>
                <w:lang w:eastAsia="en-GB"/>
              </w:rPr>
            </w:pPr>
            <w:r w:rsidRPr="004F4BA7">
              <w:rPr>
                <w:bCs/>
                <w:lang w:eastAsia="en-GB"/>
              </w:rPr>
              <w:t>16-24</w:t>
            </w:r>
          </w:p>
        </w:tc>
        <w:tc>
          <w:tcPr>
            <w:tcW w:w="1793" w:type="dxa"/>
            <w:hideMark/>
          </w:tcPr>
          <w:p w14:paraId="6671F1C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1,291</w:t>
            </w:r>
          </w:p>
        </w:tc>
        <w:tc>
          <w:tcPr>
            <w:tcW w:w="1793" w:type="dxa"/>
            <w:hideMark/>
          </w:tcPr>
          <w:p w14:paraId="3C55134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1,485</w:t>
            </w:r>
          </w:p>
        </w:tc>
        <w:tc>
          <w:tcPr>
            <w:tcW w:w="1793" w:type="dxa"/>
            <w:hideMark/>
          </w:tcPr>
          <w:p w14:paraId="26D2005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194</w:t>
            </w:r>
          </w:p>
        </w:tc>
        <w:tc>
          <w:tcPr>
            <w:tcW w:w="1793" w:type="dxa"/>
            <w:hideMark/>
          </w:tcPr>
          <w:p w14:paraId="61639FC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15.00%</w:t>
            </w:r>
          </w:p>
        </w:tc>
      </w:tr>
      <w:tr w:rsidR="00DA49C9" w:rsidRPr="00DA49C9" w14:paraId="5299C84A"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7DDBC81C" w14:textId="77777777" w:rsidR="00A6240C" w:rsidRPr="004F4BA7" w:rsidRDefault="00A6240C" w:rsidP="001D508A">
            <w:pPr>
              <w:keepNext/>
              <w:spacing w:line="256" w:lineRule="auto"/>
              <w:rPr>
                <w:bCs/>
                <w:lang w:eastAsia="en-GB"/>
              </w:rPr>
            </w:pPr>
            <w:r w:rsidRPr="004F4BA7">
              <w:rPr>
                <w:bCs/>
                <w:lang w:eastAsia="en-GB"/>
              </w:rPr>
              <w:t>25-29</w:t>
            </w:r>
          </w:p>
        </w:tc>
        <w:tc>
          <w:tcPr>
            <w:tcW w:w="1793" w:type="dxa"/>
            <w:hideMark/>
          </w:tcPr>
          <w:p w14:paraId="7398D5B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2,416</w:t>
            </w:r>
          </w:p>
        </w:tc>
        <w:tc>
          <w:tcPr>
            <w:tcW w:w="1793" w:type="dxa"/>
            <w:hideMark/>
          </w:tcPr>
          <w:p w14:paraId="494C2EA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2,919</w:t>
            </w:r>
          </w:p>
        </w:tc>
        <w:tc>
          <w:tcPr>
            <w:tcW w:w="1793" w:type="dxa"/>
            <w:hideMark/>
          </w:tcPr>
          <w:p w14:paraId="0AA61CF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502</w:t>
            </w:r>
          </w:p>
        </w:tc>
        <w:tc>
          <w:tcPr>
            <w:tcW w:w="1793" w:type="dxa"/>
            <w:hideMark/>
          </w:tcPr>
          <w:p w14:paraId="21B25CA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20.80%</w:t>
            </w:r>
          </w:p>
        </w:tc>
      </w:tr>
      <w:tr w:rsidR="00DA49C9" w:rsidRPr="00DA49C9" w14:paraId="67B3704E"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70A59340" w14:textId="77777777" w:rsidR="00A6240C" w:rsidRPr="004F4BA7" w:rsidRDefault="00A6240C" w:rsidP="001D508A">
            <w:pPr>
              <w:keepNext/>
              <w:spacing w:line="256" w:lineRule="auto"/>
              <w:rPr>
                <w:bCs/>
                <w:lang w:eastAsia="en-GB"/>
              </w:rPr>
            </w:pPr>
            <w:r w:rsidRPr="004F4BA7">
              <w:rPr>
                <w:bCs/>
                <w:lang w:eastAsia="en-GB"/>
              </w:rPr>
              <w:t>30-34</w:t>
            </w:r>
          </w:p>
        </w:tc>
        <w:tc>
          <w:tcPr>
            <w:tcW w:w="1793" w:type="dxa"/>
            <w:hideMark/>
          </w:tcPr>
          <w:p w14:paraId="1B0EEC5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3,376</w:t>
            </w:r>
          </w:p>
        </w:tc>
        <w:tc>
          <w:tcPr>
            <w:tcW w:w="1793" w:type="dxa"/>
            <w:hideMark/>
          </w:tcPr>
          <w:p w14:paraId="268CD93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3,958</w:t>
            </w:r>
          </w:p>
        </w:tc>
        <w:tc>
          <w:tcPr>
            <w:tcW w:w="1793" w:type="dxa"/>
            <w:hideMark/>
          </w:tcPr>
          <w:p w14:paraId="0474C04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582</w:t>
            </w:r>
          </w:p>
        </w:tc>
        <w:tc>
          <w:tcPr>
            <w:tcW w:w="1793" w:type="dxa"/>
            <w:hideMark/>
          </w:tcPr>
          <w:p w14:paraId="0E016CB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17.20%</w:t>
            </w:r>
          </w:p>
        </w:tc>
      </w:tr>
      <w:tr w:rsidR="00DA49C9" w:rsidRPr="00DA49C9" w14:paraId="47836D67"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69E84E67" w14:textId="77777777" w:rsidR="00A6240C" w:rsidRPr="004F4BA7" w:rsidRDefault="00A6240C" w:rsidP="001D508A">
            <w:pPr>
              <w:keepNext/>
              <w:spacing w:line="256" w:lineRule="auto"/>
              <w:rPr>
                <w:bCs/>
                <w:lang w:eastAsia="en-GB"/>
              </w:rPr>
            </w:pPr>
            <w:r w:rsidRPr="004F4BA7">
              <w:rPr>
                <w:bCs/>
                <w:lang w:eastAsia="en-GB"/>
              </w:rPr>
              <w:t>35-39</w:t>
            </w:r>
          </w:p>
        </w:tc>
        <w:tc>
          <w:tcPr>
            <w:tcW w:w="1793" w:type="dxa"/>
            <w:hideMark/>
          </w:tcPr>
          <w:p w14:paraId="1014BF1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3,327</w:t>
            </w:r>
          </w:p>
        </w:tc>
        <w:tc>
          <w:tcPr>
            <w:tcW w:w="1793" w:type="dxa"/>
            <w:hideMark/>
          </w:tcPr>
          <w:p w14:paraId="06F421B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3,668</w:t>
            </w:r>
          </w:p>
        </w:tc>
        <w:tc>
          <w:tcPr>
            <w:tcW w:w="1793" w:type="dxa"/>
            <w:hideMark/>
          </w:tcPr>
          <w:p w14:paraId="5EBD1D3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340</w:t>
            </w:r>
          </w:p>
        </w:tc>
        <w:tc>
          <w:tcPr>
            <w:tcW w:w="1793" w:type="dxa"/>
            <w:hideMark/>
          </w:tcPr>
          <w:p w14:paraId="18170E1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10.20%</w:t>
            </w:r>
          </w:p>
        </w:tc>
      </w:tr>
      <w:tr w:rsidR="00DA49C9" w:rsidRPr="00DA49C9" w14:paraId="59B30684"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1808F059" w14:textId="77777777" w:rsidR="00A6240C" w:rsidRPr="004F4BA7" w:rsidRDefault="00A6240C" w:rsidP="001D508A">
            <w:pPr>
              <w:keepNext/>
              <w:spacing w:line="256" w:lineRule="auto"/>
              <w:rPr>
                <w:bCs/>
                <w:lang w:eastAsia="en-GB"/>
              </w:rPr>
            </w:pPr>
            <w:r w:rsidRPr="004F4BA7">
              <w:rPr>
                <w:bCs/>
                <w:lang w:eastAsia="en-GB"/>
              </w:rPr>
              <w:t>40-44</w:t>
            </w:r>
          </w:p>
        </w:tc>
        <w:tc>
          <w:tcPr>
            <w:tcW w:w="1793" w:type="dxa"/>
            <w:hideMark/>
          </w:tcPr>
          <w:p w14:paraId="29F9375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3,128</w:t>
            </w:r>
          </w:p>
        </w:tc>
        <w:tc>
          <w:tcPr>
            <w:tcW w:w="1793" w:type="dxa"/>
            <w:hideMark/>
          </w:tcPr>
          <w:p w14:paraId="58CCB02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3,697</w:t>
            </w:r>
          </w:p>
        </w:tc>
        <w:tc>
          <w:tcPr>
            <w:tcW w:w="1793" w:type="dxa"/>
            <w:hideMark/>
          </w:tcPr>
          <w:p w14:paraId="3F8E1D0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569</w:t>
            </w:r>
          </w:p>
        </w:tc>
        <w:tc>
          <w:tcPr>
            <w:tcW w:w="1793" w:type="dxa"/>
            <w:hideMark/>
          </w:tcPr>
          <w:p w14:paraId="49FBBDF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18.20%</w:t>
            </w:r>
          </w:p>
        </w:tc>
      </w:tr>
      <w:tr w:rsidR="00DA49C9" w:rsidRPr="00DA49C9" w14:paraId="64050489"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440DDDBB" w14:textId="77777777" w:rsidR="00A6240C" w:rsidRPr="004F4BA7" w:rsidRDefault="00A6240C" w:rsidP="001D508A">
            <w:pPr>
              <w:keepNext/>
              <w:spacing w:line="256" w:lineRule="auto"/>
              <w:rPr>
                <w:bCs/>
                <w:lang w:eastAsia="en-GB"/>
              </w:rPr>
            </w:pPr>
            <w:r w:rsidRPr="004F4BA7">
              <w:rPr>
                <w:bCs/>
                <w:lang w:eastAsia="en-GB"/>
              </w:rPr>
              <w:t>45-49</w:t>
            </w:r>
          </w:p>
        </w:tc>
        <w:tc>
          <w:tcPr>
            <w:tcW w:w="1793" w:type="dxa"/>
            <w:hideMark/>
          </w:tcPr>
          <w:p w14:paraId="6300185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3,587</w:t>
            </w:r>
          </w:p>
        </w:tc>
        <w:tc>
          <w:tcPr>
            <w:tcW w:w="1793" w:type="dxa"/>
            <w:hideMark/>
          </w:tcPr>
          <w:p w14:paraId="15B381E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3,850</w:t>
            </w:r>
          </w:p>
        </w:tc>
        <w:tc>
          <w:tcPr>
            <w:tcW w:w="1793" w:type="dxa"/>
            <w:hideMark/>
          </w:tcPr>
          <w:p w14:paraId="228C284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263</w:t>
            </w:r>
          </w:p>
        </w:tc>
        <w:tc>
          <w:tcPr>
            <w:tcW w:w="1793" w:type="dxa"/>
            <w:hideMark/>
          </w:tcPr>
          <w:p w14:paraId="75F21B0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7.30%</w:t>
            </w:r>
          </w:p>
        </w:tc>
      </w:tr>
      <w:tr w:rsidR="00DA49C9" w:rsidRPr="00DA49C9" w14:paraId="550AD1B4"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2F8BDFCD" w14:textId="77777777" w:rsidR="00A6240C" w:rsidRPr="004F4BA7" w:rsidRDefault="00A6240C" w:rsidP="001D508A">
            <w:pPr>
              <w:keepNext/>
              <w:spacing w:line="256" w:lineRule="auto"/>
              <w:rPr>
                <w:bCs/>
                <w:lang w:eastAsia="en-GB"/>
              </w:rPr>
            </w:pPr>
            <w:r w:rsidRPr="004F4BA7">
              <w:rPr>
                <w:bCs/>
                <w:lang w:eastAsia="en-GB"/>
              </w:rPr>
              <w:t>50-54</w:t>
            </w:r>
          </w:p>
        </w:tc>
        <w:tc>
          <w:tcPr>
            <w:tcW w:w="1793" w:type="dxa"/>
            <w:hideMark/>
          </w:tcPr>
          <w:p w14:paraId="241581C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4,065</w:t>
            </w:r>
          </w:p>
        </w:tc>
        <w:tc>
          <w:tcPr>
            <w:tcW w:w="1793" w:type="dxa"/>
            <w:hideMark/>
          </w:tcPr>
          <w:p w14:paraId="681FB17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4,188</w:t>
            </w:r>
          </w:p>
        </w:tc>
        <w:tc>
          <w:tcPr>
            <w:tcW w:w="1793" w:type="dxa"/>
            <w:hideMark/>
          </w:tcPr>
          <w:p w14:paraId="22E8E33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123</w:t>
            </w:r>
          </w:p>
        </w:tc>
        <w:tc>
          <w:tcPr>
            <w:tcW w:w="1793" w:type="dxa"/>
            <w:hideMark/>
          </w:tcPr>
          <w:p w14:paraId="5B61E13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3.00%</w:t>
            </w:r>
          </w:p>
        </w:tc>
      </w:tr>
      <w:tr w:rsidR="00DA49C9" w:rsidRPr="00DA49C9" w14:paraId="065EBA0D"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1B1BB97D" w14:textId="77777777" w:rsidR="00A6240C" w:rsidRPr="004F4BA7" w:rsidRDefault="00A6240C" w:rsidP="001D508A">
            <w:pPr>
              <w:keepNext/>
              <w:spacing w:line="256" w:lineRule="auto"/>
              <w:rPr>
                <w:bCs/>
                <w:lang w:eastAsia="en-GB"/>
              </w:rPr>
            </w:pPr>
            <w:r w:rsidRPr="004F4BA7">
              <w:rPr>
                <w:bCs/>
                <w:lang w:eastAsia="en-GB"/>
              </w:rPr>
              <w:t>55-59</w:t>
            </w:r>
          </w:p>
        </w:tc>
        <w:tc>
          <w:tcPr>
            <w:tcW w:w="1793" w:type="dxa"/>
            <w:hideMark/>
          </w:tcPr>
          <w:p w14:paraId="11A7B4B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4,259</w:t>
            </w:r>
          </w:p>
        </w:tc>
        <w:tc>
          <w:tcPr>
            <w:tcW w:w="1793" w:type="dxa"/>
            <w:hideMark/>
          </w:tcPr>
          <w:p w14:paraId="69CDD00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4,469</w:t>
            </w:r>
          </w:p>
        </w:tc>
        <w:tc>
          <w:tcPr>
            <w:tcW w:w="1793" w:type="dxa"/>
            <w:hideMark/>
          </w:tcPr>
          <w:p w14:paraId="17B2E28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210</w:t>
            </w:r>
          </w:p>
        </w:tc>
        <w:tc>
          <w:tcPr>
            <w:tcW w:w="1793" w:type="dxa"/>
            <w:hideMark/>
          </w:tcPr>
          <w:p w14:paraId="44A844A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4.90%</w:t>
            </w:r>
          </w:p>
        </w:tc>
      </w:tr>
      <w:tr w:rsidR="00DA49C9" w:rsidRPr="00DA49C9" w14:paraId="4977D6BB"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7B14301A" w14:textId="77777777" w:rsidR="00A6240C" w:rsidRPr="004F4BA7" w:rsidRDefault="00A6240C" w:rsidP="001D508A">
            <w:pPr>
              <w:keepNext/>
              <w:spacing w:line="256" w:lineRule="auto"/>
              <w:rPr>
                <w:bCs/>
                <w:lang w:eastAsia="en-GB"/>
              </w:rPr>
            </w:pPr>
            <w:r w:rsidRPr="004F4BA7">
              <w:rPr>
                <w:bCs/>
                <w:lang w:eastAsia="en-GB"/>
              </w:rPr>
              <w:t>60-64</w:t>
            </w:r>
          </w:p>
        </w:tc>
        <w:tc>
          <w:tcPr>
            <w:tcW w:w="1793" w:type="dxa"/>
            <w:hideMark/>
          </w:tcPr>
          <w:p w14:paraId="50865C2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3,872</w:t>
            </w:r>
          </w:p>
        </w:tc>
        <w:tc>
          <w:tcPr>
            <w:tcW w:w="1793" w:type="dxa"/>
            <w:hideMark/>
          </w:tcPr>
          <w:p w14:paraId="4D8AA7E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4,398</w:t>
            </w:r>
          </w:p>
        </w:tc>
        <w:tc>
          <w:tcPr>
            <w:tcW w:w="1793" w:type="dxa"/>
            <w:hideMark/>
          </w:tcPr>
          <w:p w14:paraId="5B57167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526</w:t>
            </w:r>
          </w:p>
        </w:tc>
        <w:tc>
          <w:tcPr>
            <w:tcW w:w="1793" w:type="dxa"/>
            <w:hideMark/>
          </w:tcPr>
          <w:p w14:paraId="3704AD4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13.60%</w:t>
            </w:r>
          </w:p>
        </w:tc>
      </w:tr>
      <w:tr w:rsidR="00DA49C9" w:rsidRPr="00DA49C9" w14:paraId="05C3D669"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15759349" w14:textId="77777777" w:rsidR="00A6240C" w:rsidRPr="004F4BA7" w:rsidRDefault="00A6240C" w:rsidP="001D508A">
            <w:pPr>
              <w:keepNext/>
              <w:spacing w:line="256" w:lineRule="auto"/>
              <w:rPr>
                <w:bCs/>
                <w:lang w:eastAsia="en-GB"/>
              </w:rPr>
            </w:pPr>
            <w:r w:rsidRPr="004F4BA7">
              <w:rPr>
                <w:bCs/>
                <w:lang w:eastAsia="en-GB"/>
              </w:rPr>
              <w:t>65-69</w:t>
            </w:r>
          </w:p>
        </w:tc>
        <w:tc>
          <w:tcPr>
            <w:tcW w:w="1793" w:type="dxa"/>
            <w:hideMark/>
          </w:tcPr>
          <w:p w14:paraId="5AA018B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3,764</w:t>
            </w:r>
          </w:p>
        </w:tc>
        <w:tc>
          <w:tcPr>
            <w:tcW w:w="1793" w:type="dxa"/>
            <w:hideMark/>
          </w:tcPr>
          <w:p w14:paraId="4AE0B2A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4,900</w:t>
            </w:r>
          </w:p>
        </w:tc>
        <w:tc>
          <w:tcPr>
            <w:tcW w:w="1793" w:type="dxa"/>
            <w:hideMark/>
          </w:tcPr>
          <w:p w14:paraId="2932241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1,135</w:t>
            </w:r>
          </w:p>
        </w:tc>
        <w:tc>
          <w:tcPr>
            <w:tcW w:w="1793" w:type="dxa"/>
            <w:hideMark/>
          </w:tcPr>
          <w:p w14:paraId="039EFFB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30.20%</w:t>
            </w:r>
          </w:p>
        </w:tc>
      </w:tr>
      <w:tr w:rsidR="00DA49C9" w:rsidRPr="00DA49C9" w14:paraId="371AE471"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45053AF5" w14:textId="77777777" w:rsidR="00A6240C" w:rsidRPr="004F4BA7" w:rsidRDefault="00A6240C" w:rsidP="001D508A">
            <w:pPr>
              <w:keepNext/>
              <w:spacing w:line="256" w:lineRule="auto"/>
              <w:rPr>
                <w:bCs/>
                <w:lang w:eastAsia="en-GB"/>
              </w:rPr>
            </w:pPr>
            <w:r w:rsidRPr="004F4BA7">
              <w:rPr>
                <w:bCs/>
                <w:lang w:eastAsia="en-GB"/>
              </w:rPr>
              <w:t>70-74</w:t>
            </w:r>
          </w:p>
        </w:tc>
        <w:tc>
          <w:tcPr>
            <w:tcW w:w="1793" w:type="dxa"/>
            <w:hideMark/>
          </w:tcPr>
          <w:p w14:paraId="74B3A76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3,917</w:t>
            </w:r>
          </w:p>
        </w:tc>
        <w:tc>
          <w:tcPr>
            <w:tcW w:w="1793" w:type="dxa"/>
            <w:hideMark/>
          </w:tcPr>
          <w:p w14:paraId="2B2A624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5,256</w:t>
            </w:r>
          </w:p>
        </w:tc>
        <w:tc>
          <w:tcPr>
            <w:tcW w:w="1793" w:type="dxa"/>
            <w:hideMark/>
          </w:tcPr>
          <w:p w14:paraId="14081BE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1,339</w:t>
            </w:r>
          </w:p>
        </w:tc>
        <w:tc>
          <w:tcPr>
            <w:tcW w:w="1793" w:type="dxa"/>
            <w:hideMark/>
          </w:tcPr>
          <w:p w14:paraId="1622261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34.20%</w:t>
            </w:r>
          </w:p>
        </w:tc>
      </w:tr>
      <w:tr w:rsidR="00DA49C9" w:rsidRPr="00DA49C9" w14:paraId="45BD389A"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1DBA9879" w14:textId="77777777" w:rsidR="00A6240C" w:rsidRPr="004F4BA7" w:rsidRDefault="00A6240C" w:rsidP="001D508A">
            <w:pPr>
              <w:keepNext/>
              <w:spacing w:line="256" w:lineRule="auto"/>
              <w:rPr>
                <w:bCs/>
                <w:lang w:eastAsia="en-GB"/>
              </w:rPr>
            </w:pPr>
            <w:r w:rsidRPr="004F4BA7">
              <w:rPr>
                <w:bCs/>
                <w:lang w:eastAsia="en-GB"/>
              </w:rPr>
              <w:t>75-79</w:t>
            </w:r>
          </w:p>
        </w:tc>
        <w:tc>
          <w:tcPr>
            <w:tcW w:w="1793" w:type="dxa"/>
            <w:hideMark/>
          </w:tcPr>
          <w:p w14:paraId="1A78102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2,971</w:t>
            </w:r>
          </w:p>
        </w:tc>
        <w:tc>
          <w:tcPr>
            <w:tcW w:w="1793" w:type="dxa"/>
            <w:hideMark/>
          </w:tcPr>
          <w:p w14:paraId="0B0FA85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4,575</w:t>
            </w:r>
          </w:p>
        </w:tc>
        <w:tc>
          <w:tcPr>
            <w:tcW w:w="1793" w:type="dxa"/>
            <w:hideMark/>
          </w:tcPr>
          <w:p w14:paraId="72B9F01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1,604</w:t>
            </w:r>
          </w:p>
        </w:tc>
        <w:tc>
          <w:tcPr>
            <w:tcW w:w="1793" w:type="dxa"/>
            <w:hideMark/>
          </w:tcPr>
          <w:p w14:paraId="623C7E1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54.00%</w:t>
            </w:r>
          </w:p>
        </w:tc>
      </w:tr>
      <w:tr w:rsidR="00DA49C9" w:rsidRPr="00DA49C9" w14:paraId="02C1AE97"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07315167" w14:textId="77777777" w:rsidR="00A6240C" w:rsidRPr="004F4BA7" w:rsidRDefault="00A6240C" w:rsidP="001D508A">
            <w:pPr>
              <w:keepNext/>
              <w:spacing w:line="256" w:lineRule="auto"/>
              <w:rPr>
                <w:bCs/>
                <w:lang w:eastAsia="en-GB"/>
              </w:rPr>
            </w:pPr>
            <w:r w:rsidRPr="004F4BA7">
              <w:rPr>
                <w:bCs/>
                <w:lang w:eastAsia="en-GB"/>
              </w:rPr>
              <w:t>80-84</w:t>
            </w:r>
          </w:p>
        </w:tc>
        <w:tc>
          <w:tcPr>
            <w:tcW w:w="1793" w:type="dxa"/>
            <w:hideMark/>
          </w:tcPr>
          <w:p w14:paraId="0A0C8DA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2,378</w:t>
            </w:r>
          </w:p>
        </w:tc>
        <w:tc>
          <w:tcPr>
            <w:tcW w:w="1793" w:type="dxa"/>
            <w:hideMark/>
          </w:tcPr>
          <w:p w14:paraId="1EA2D9B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3,647</w:t>
            </w:r>
          </w:p>
        </w:tc>
        <w:tc>
          <w:tcPr>
            <w:tcW w:w="1793" w:type="dxa"/>
            <w:hideMark/>
          </w:tcPr>
          <w:p w14:paraId="68882FF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1,269</w:t>
            </w:r>
          </w:p>
        </w:tc>
        <w:tc>
          <w:tcPr>
            <w:tcW w:w="1793" w:type="dxa"/>
            <w:hideMark/>
          </w:tcPr>
          <w:p w14:paraId="4BA48CF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53.40%</w:t>
            </w:r>
          </w:p>
        </w:tc>
      </w:tr>
      <w:tr w:rsidR="00DA49C9" w:rsidRPr="00DA49C9" w14:paraId="67D86ED3"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5B5380D0" w14:textId="77777777" w:rsidR="00A6240C" w:rsidRPr="004F4BA7" w:rsidRDefault="00A6240C" w:rsidP="001D508A">
            <w:pPr>
              <w:keepNext/>
              <w:spacing w:line="256" w:lineRule="auto"/>
              <w:rPr>
                <w:bCs/>
                <w:lang w:eastAsia="en-GB"/>
              </w:rPr>
            </w:pPr>
            <w:r w:rsidRPr="004F4BA7">
              <w:rPr>
                <w:bCs/>
                <w:lang w:eastAsia="en-GB"/>
              </w:rPr>
              <w:t>85 &amp; over</w:t>
            </w:r>
          </w:p>
        </w:tc>
        <w:tc>
          <w:tcPr>
            <w:tcW w:w="1793" w:type="dxa"/>
            <w:hideMark/>
          </w:tcPr>
          <w:p w14:paraId="2D81A0F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2,229</w:t>
            </w:r>
          </w:p>
        </w:tc>
        <w:tc>
          <w:tcPr>
            <w:tcW w:w="1793" w:type="dxa"/>
            <w:hideMark/>
          </w:tcPr>
          <w:p w14:paraId="6109798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4,018</w:t>
            </w:r>
          </w:p>
        </w:tc>
        <w:tc>
          <w:tcPr>
            <w:tcW w:w="1793" w:type="dxa"/>
            <w:hideMark/>
          </w:tcPr>
          <w:p w14:paraId="438705C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1,789</w:t>
            </w:r>
          </w:p>
        </w:tc>
        <w:tc>
          <w:tcPr>
            <w:tcW w:w="1793" w:type="dxa"/>
            <w:hideMark/>
          </w:tcPr>
          <w:p w14:paraId="2DF695A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80.20%</w:t>
            </w:r>
          </w:p>
        </w:tc>
      </w:tr>
      <w:tr w:rsidR="00DA49C9" w:rsidRPr="00DA49C9" w14:paraId="17385930" w14:textId="77777777" w:rsidTr="005B02AD">
        <w:trPr>
          <w:trHeight w:val="300"/>
        </w:trPr>
        <w:tc>
          <w:tcPr>
            <w:cnfStyle w:val="001000000000" w:firstRow="0" w:lastRow="0" w:firstColumn="1" w:lastColumn="0" w:oddVBand="0" w:evenVBand="0" w:oddHBand="0" w:evenHBand="0" w:firstRowFirstColumn="0" w:firstRowLastColumn="0" w:lastRowFirstColumn="0" w:lastRowLastColumn="0"/>
            <w:tcW w:w="1333" w:type="dxa"/>
            <w:hideMark/>
          </w:tcPr>
          <w:p w14:paraId="75208D36" w14:textId="77777777" w:rsidR="00A6240C" w:rsidRPr="00DA49C9" w:rsidRDefault="00A6240C" w:rsidP="001D508A">
            <w:pPr>
              <w:keepNext/>
              <w:spacing w:line="256" w:lineRule="auto"/>
              <w:rPr>
                <w:b/>
                <w:lang w:eastAsia="en-GB"/>
              </w:rPr>
            </w:pPr>
            <w:r w:rsidRPr="00DA49C9">
              <w:rPr>
                <w:b/>
                <w:lang w:eastAsia="en-GB"/>
              </w:rPr>
              <w:t>Total</w:t>
            </w:r>
          </w:p>
        </w:tc>
        <w:tc>
          <w:tcPr>
            <w:tcW w:w="1793" w:type="dxa"/>
            <w:hideMark/>
          </w:tcPr>
          <w:p w14:paraId="7CD6346B"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44,581</w:t>
            </w:r>
          </w:p>
        </w:tc>
        <w:tc>
          <w:tcPr>
            <w:tcW w:w="1793" w:type="dxa"/>
            <w:hideMark/>
          </w:tcPr>
          <w:p w14:paraId="40A5EAFA"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55,027</w:t>
            </w:r>
          </w:p>
        </w:tc>
        <w:tc>
          <w:tcPr>
            <w:tcW w:w="1793" w:type="dxa"/>
            <w:hideMark/>
          </w:tcPr>
          <w:p w14:paraId="38344745"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10,446</w:t>
            </w:r>
          </w:p>
        </w:tc>
        <w:tc>
          <w:tcPr>
            <w:tcW w:w="1793" w:type="dxa"/>
            <w:hideMark/>
          </w:tcPr>
          <w:p w14:paraId="489F02B9"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23.40%</w:t>
            </w:r>
          </w:p>
        </w:tc>
      </w:tr>
    </w:tbl>
    <w:p w14:paraId="67C24214" w14:textId="6192B040" w:rsidR="00A6240C" w:rsidRDefault="00A6240C" w:rsidP="00A6240C">
      <w:pPr>
        <w:pStyle w:val="Caption"/>
        <w:keepNext/>
        <w:spacing w:after="0"/>
        <w:ind w:firstLine="794"/>
      </w:pPr>
      <w:r>
        <w:rPr>
          <w:rFonts w:ascii="Arial" w:hAnsi="Arial" w:cs="Arial"/>
          <w:i w:val="0"/>
          <w:iCs w:val="0"/>
          <w:color w:val="auto"/>
          <w:sz w:val="20"/>
          <w:szCs w:val="20"/>
        </w:rPr>
        <w:t xml:space="preserve"> </w:t>
      </w:r>
      <w:r w:rsidRPr="00A830B2">
        <w:rPr>
          <w:rFonts w:ascii="Arial" w:hAnsi="Arial" w:cs="Arial"/>
          <w:i w:val="0"/>
          <w:iCs w:val="0"/>
          <w:color w:val="auto"/>
          <w:sz w:val="24"/>
          <w:szCs w:val="24"/>
        </w:rPr>
        <w:t>Source: Demographic Projections</w:t>
      </w:r>
    </w:p>
    <w:p w14:paraId="226DE996" w14:textId="77777777" w:rsidR="00A6240C" w:rsidRDefault="00A6240C" w:rsidP="007D0FBF">
      <w:pPr>
        <w:pStyle w:val="11Bodytext"/>
        <w:rPr>
          <w:lang w:eastAsia="en-GB"/>
        </w:rPr>
      </w:pPr>
      <w:r>
        <w:rPr>
          <w:lang w:eastAsia="en-GB"/>
        </w:rPr>
        <w:t xml:space="preserve">The table below presents the projected change in households by age of household reference person for Huntingdonshire, as with the HMA data, this clearly shows particularly strong growth is expected in older age groups. </w:t>
      </w:r>
      <w:r w:rsidDel="00245116">
        <w:rPr>
          <w:lang w:eastAsia="en-GB"/>
        </w:rPr>
        <w:t xml:space="preserve"> </w:t>
      </w:r>
    </w:p>
    <w:p w14:paraId="6DA6DDAE" w14:textId="77777777" w:rsidR="00A6240C" w:rsidRDefault="00A6240C" w:rsidP="007D0FBF">
      <w:pPr>
        <w:pStyle w:val="11Bodytext"/>
        <w:rPr>
          <w:lang w:eastAsia="en-GB"/>
        </w:rPr>
      </w:pPr>
      <w:r>
        <w:rPr>
          <w:lang w:eastAsia="en-GB"/>
        </w:rPr>
        <w:t>There is also projected to be a notable growth in the number of households headed by all younger age groups, particularly those in their early 20s and mid-40s. Growth is weaker among those in their 50s.</w:t>
      </w:r>
    </w:p>
    <w:p w14:paraId="35935346" w14:textId="77777777" w:rsidR="00A6240C" w:rsidRDefault="00A6240C" w:rsidP="003D5E23">
      <w:pPr>
        <w:pStyle w:val="Tableheading"/>
        <w:numPr>
          <w:ilvl w:val="0"/>
          <w:numId w:val="54"/>
        </w:numPr>
      </w:pPr>
      <w:r>
        <w:lastRenderedPageBreak/>
        <w:t>Projected Change in Households by Age of Household Reference Person in Huntingdonshire, 2020-40</w:t>
      </w:r>
    </w:p>
    <w:tbl>
      <w:tblPr>
        <w:tblStyle w:val="TableGridLight1"/>
        <w:tblW w:w="8481" w:type="dxa"/>
        <w:tblInd w:w="846" w:type="dxa"/>
        <w:tblLook w:val="04A0" w:firstRow="1" w:lastRow="0" w:firstColumn="1" w:lastColumn="0" w:noHBand="0" w:noVBand="1"/>
      </w:tblPr>
      <w:tblGrid>
        <w:gridCol w:w="1321"/>
        <w:gridCol w:w="1790"/>
        <w:gridCol w:w="1790"/>
        <w:gridCol w:w="1790"/>
        <w:gridCol w:w="1790"/>
      </w:tblGrid>
      <w:tr w:rsidR="00DA49C9" w:rsidRPr="00DA49C9" w14:paraId="3DE1EA29" w14:textId="77777777" w:rsidTr="00A830B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321" w:type="dxa"/>
            <w:hideMark/>
          </w:tcPr>
          <w:p w14:paraId="6FEE7008" w14:textId="77777777" w:rsidR="00A6240C" w:rsidRPr="00DA49C9" w:rsidRDefault="00A6240C" w:rsidP="001D508A">
            <w:pPr>
              <w:keepNext/>
              <w:spacing w:line="256" w:lineRule="auto"/>
              <w:rPr>
                <w:lang w:eastAsia="en-GB"/>
              </w:rPr>
            </w:pPr>
            <w:r w:rsidRPr="00DA49C9">
              <w:rPr>
                <w:lang w:eastAsia="en-GB"/>
              </w:rPr>
              <w:t> </w:t>
            </w:r>
          </w:p>
        </w:tc>
        <w:tc>
          <w:tcPr>
            <w:tcW w:w="1790" w:type="dxa"/>
            <w:hideMark/>
          </w:tcPr>
          <w:p w14:paraId="294CC750"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790" w:type="dxa"/>
            <w:hideMark/>
          </w:tcPr>
          <w:p w14:paraId="01870AD4"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790" w:type="dxa"/>
            <w:hideMark/>
          </w:tcPr>
          <w:p w14:paraId="34B7146C"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790" w:type="dxa"/>
            <w:hideMark/>
          </w:tcPr>
          <w:p w14:paraId="6E974FEB" w14:textId="77777777" w:rsidR="00A6240C" w:rsidRPr="00DA49C9" w:rsidRDefault="00A6240C" w:rsidP="001D508A">
            <w:pPr>
              <w:keepNext/>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471A6134"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1EE10BD3" w14:textId="77777777" w:rsidR="00A6240C" w:rsidRPr="004F4BA7" w:rsidRDefault="00A6240C" w:rsidP="001D508A">
            <w:pPr>
              <w:keepNext/>
              <w:spacing w:line="256" w:lineRule="auto"/>
              <w:rPr>
                <w:bCs/>
                <w:lang w:eastAsia="en-GB"/>
              </w:rPr>
            </w:pPr>
            <w:r w:rsidRPr="004F4BA7">
              <w:rPr>
                <w:bCs/>
                <w:lang w:eastAsia="en-GB"/>
              </w:rPr>
              <w:t>16-24</w:t>
            </w:r>
          </w:p>
        </w:tc>
        <w:tc>
          <w:tcPr>
            <w:tcW w:w="1790" w:type="dxa"/>
            <w:hideMark/>
          </w:tcPr>
          <w:p w14:paraId="3A8F6AD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1,846</w:t>
            </w:r>
          </w:p>
        </w:tc>
        <w:tc>
          <w:tcPr>
            <w:tcW w:w="1790" w:type="dxa"/>
            <w:hideMark/>
          </w:tcPr>
          <w:p w14:paraId="2B02244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1,958</w:t>
            </w:r>
          </w:p>
        </w:tc>
        <w:tc>
          <w:tcPr>
            <w:tcW w:w="1790" w:type="dxa"/>
            <w:hideMark/>
          </w:tcPr>
          <w:p w14:paraId="0C377D4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111</w:t>
            </w:r>
          </w:p>
        </w:tc>
        <w:tc>
          <w:tcPr>
            <w:tcW w:w="1790" w:type="dxa"/>
            <w:hideMark/>
          </w:tcPr>
          <w:p w14:paraId="47CE0EC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6.00%</w:t>
            </w:r>
          </w:p>
        </w:tc>
      </w:tr>
      <w:tr w:rsidR="00DA49C9" w:rsidRPr="00DA49C9" w14:paraId="33D2257B"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5A0FF177" w14:textId="77777777" w:rsidR="00A6240C" w:rsidRPr="004F4BA7" w:rsidRDefault="00A6240C" w:rsidP="001D508A">
            <w:pPr>
              <w:keepNext/>
              <w:spacing w:line="256" w:lineRule="auto"/>
              <w:rPr>
                <w:bCs/>
                <w:lang w:eastAsia="en-GB"/>
              </w:rPr>
            </w:pPr>
            <w:r w:rsidRPr="004F4BA7">
              <w:rPr>
                <w:bCs/>
                <w:lang w:eastAsia="en-GB"/>
              </w:rPr>
              <w:t>25-29</w:t>
            </w:r>
          </w:p>
        </w:tc>
        <w:tc>
          <w:tcPr>
            <w:tcW w:w="1790" w:type="dxa"/>
            <w:hideMark/>
          </w:tcPr>
          <w:p w14:paraId="30AF397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4,200</w:t>
            </w:r>
          </w:p>
        </w:tc>
        <w:tc>
          <w:tcPr>
            <w:tcW w:w="1790" w:type="dxa"/>
            <w:hideMark/>
          </w:tcPr>
          <w:p w14:paraId="4D3BB4B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5,260</w:t>
            </w:r>
          </w:p>
        </w:tc>
        <w:tc>
          <w:tcPr>
            <w:tcW w:w="1790" w:type="dxa"/>
            <w:hideMark/>
          </w:tcPr>
          <w:p w14:paraId="069186D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1,060</w:t>
            </w:r>
          </w:p>
        </w:tc>
        <w:tc>
          <w:tcPr>
            <w:tcW w:w="1790" w:type="dxa"/>
            <w:hideMark/>
          </w:tcPr>
          <w:p w14:paraId="17EE80D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25.20%</w:t>
            </w:r>
          </w:p>
        </w:tc>
      </w:tr>
      <w:tr w:rsidR="00DA49C9" w:rsidRPr="00DA49C9" w14:paraId="5732D901"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1FF4A3F2" w14:textId="77777777" w:rsidR="00A6240C" w:rsidRPr="004F4BA7" w:rsidRDefault="00A6240C" w:rsidP="001D508A">
            <w:pPr>
              <w:keepNext/>
              <w:spacing w:line="256" w:lineRule="auto"/>
              <w:rPr>
                <w:bCs/>
                <w:lang w:eastAsia="en-GB"/>
              </w:rPr>
            </w:pPr>
            <w:r w:rsidRPr="004F4BA7">
              <w:rPr>
                <w:bCs/>
                <w:lang w:eastAsia="en-GB"/>
              </w:rPr>
              <w:t>30-34</w:t>
            </w:r>
          </w:p>
        </w:tc>
        <w:tc>
          <w:tcPr>
            <w:tcW w:w="1790" w:type="dxa"/>
            <w:hideMark/>
          </w:tcPr>
          <w:p w14:paraId="0742409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5,723</w:t>
            </w:r>
          </w:p>
        </w:tc>
        <w:tc>
          <w:tcPr>
            <w:tcW w:w="1790" w:type="dxa"/>
            <w:hideMark/>
          </w:tcPr>
          <w:p w14:paraId="13B5049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6,046</w:t>
            </w:r>
          </w:p>
        </w:tc>
        <w:tc>
          <w:tcPr>
            <w:tcW w:w="1790" w:type="dxa"/>
            <w:hideMark/>
          </w:tcPr>
          <w:p w14:paraId="227D50D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324</w:t>
            </w:r>
          </w:p>
        </w:tc>
        <w:tc>
          <w:tcPr>
            <w:tcW w:w="1790" w:type="dxa"/>
            <w:hideMark/>
          </w:tcPr>
          <w:p w14:paraId="3C9264D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5.70%</w:t>
            </w:r>
          </w:p>
        </w:tc>
      </w:tr>
      <w:tr w:rsidR="00DA49C9" w:rsidRPr="00DA49C9" w14:paraId="65EEBA58"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54BBD9D9" w14:textId="77777777" w:rsidR="00A6240C" w:rsidRPr="004F4BA7" w:rsidRDefault="00A6240C" w:rsidP="001D508A">
            <w:pPr>
              <w:keepNext/>
              <w:spacing w:line="256" w:lineRule="auto"/>
              <w:rPr>
                <w:bCs/>
                <w:lang w:eastAsia="en-GB"/>
              </w:rPr>
            </w:pPr>
            <w:r w:rsidRPr="004F4BA7">
              <w:rPr>
                <w:bCs/>
                <w:lang w:eastAsia="en-GB"/>
              </w:rPr>
              <w:t>35-39</w:t>
            </w:r>
          </w:p>
        </w:tc>
        <w:tc>
          <w:tcPr>
            <w:tcW w:w="1790" w:type="dxa"/>
            <w:hideMark/>
          </w:tcPr>
          <w:p w14:paraId="45A1358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6,357</w:t>
            </w:r>
          </w:p>
        </w:tc>
        <w:tc>
          <w:tcPr>
            <w:tcW w:w="1790" w:type="dxa"/>
            <w:hideMark/>
          </w:tcPr>
          <w:p w14:paraId="548FFBE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7,215</w:t>
            </w:r>
          </w:p>
        </w:tc>
        <w:tc>
          <w:tcPr>
            <w:tcW w:w="1790" w:type="dxa"/>
            <w:hideMark/>
          </w:tcPr>
          <w:p w14:paraId="32C0723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858</w:t>
            </w:r>
          </w:p>
        </w:tc>
        <w:tc>
          <w:tcPr>
            <w:tcW w:w="1790" w:type="dxa"/>
            <w:hideMark/>
          </w:tcPr>
          <w:p w14:paraId="1BE9730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13.50%</w:t>
            </w:r>
          </w:p>
        </w:tc>
      </w:tr>
      <w:tr w:rsidR="00DA49C9" w:rsidRPr="00DA49C9" w14:paraId="65F17189"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126FA3E7" w14:textId="77777777" w:rsidR="00A6240C" w:rsidRPr="004F4BA7" w:rsidRDefault="00A6240C" w:rsidP="001D508A">
            <w:pPr>
              <w:keepNext/>
              <w:spacing w:line="256" w:lineRule="auto"/>
              <w:rPr>
                <w:bCs/>
                <w:lang w:eastAsia="en-GB"/>
              </w:rPr>
            </w:pPr>
            <w:r w:rsidRPr="004F4BA7">
              <w:rPr>
                <w:bCs/>
                <w:lang w:eastAsia="en-GB"/>
              </w:rPr>
              <w:t>40-44</w:t>
            </w:r>
          </w:p>
        </w:tc>
        <w:tc>
          <w:tcPr>
            <w:tcW w:w="1790" w:type="dxa"/>
            <w:hideMark/>
          </w:tcPr>
          <w:p w14:paraId="5FEF97E7"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6,609</w:t>
            </w:r>
          </w:p>
        </w:tc>
        <w:tc>
          <w:tcPr>
            <w:tcW w:w="1790" w:type="dxa"/>
            <w:hideMark/>
          </w:tcPr>
          <w:p w14:paraId="05A3619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8,038</w:t>
            </w:r>
          </w:p>
        </w:tc>
        <w:tc>
          <w:tcPr>
            <w:tcW w:w="1790" w:type="dxa"/>
            <w:hideMark/>
          </w:tcPr>
          <w:p w14:paraId="67E3D48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1,429</w:t>
            </w:r>
          </w:p>
        </w:tc>
        <w:tc>
          <w:tcPr>
            <w:tcW w:w="1790" w:type="dxa"/>
            <w:hideMark/>
          </w:tcPr>
          <w:p w14:paraId="2A5DA78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21.60%</w:t>
            </w:r>
          </w:p>
        </w:tc>
      </w:tr>
      <w:tr w:rsidR="00DA49C9" w:rsidRPr="00DA49C9" w14:paraId="75D71388"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7A9D8023" w14:textId="77777777" w:rsidR="00A6240C" w:rsidRPr="004F4BA7" w:rsidRDefault="00A6240C" w:rsidP="001D508A">
            <w:pPr>
              <w:keepNext/>
              <w:spacing w:line="256" w:lineRule="auto"/>
              <w:rPr>
                <w:bCs/>
                <w:lang w:eastAsia="en-GB"/>
              </w:rPr>
            </w:pPr>
            <w:r w:rsidRPr="004F4BA7">
              <w:rPr>
                <w:bCs/>
                <w:lang w:eastAsia="en-GB"/>
              </w:rPr>
              <w:t>45-49</w:t>
            </w:r>
          </w:p>
        </w:tc>
        <w:tc>
          <w:tcPr>
            <w:tcW w:w="1790" w:type="dxa"/>
            <w:hideMark/>
          </w:tcPr>
          <w:p w14:paraId="0749CA1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7,156</w:t>
            </w:r>
          </w:p>
        </w:tc>
        <w:tc>
          <w:tcPr>
            <w:tcW w:w="1790" w:type="dxa"/>
            <w:hideMark/>
          </w:tcPr>
          <w:p w14:paraId="34DA5BC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7,870</w:t>
            </w:r>
          </w:p>
        </w:tc>
        <w:tc>
          <w:tcPr>
            <w:tcW w:w="1790" w:type="dxa"/>
            <w:hideMark/>
          </w:tcPr>
          <w:p w14:paraId="37FF941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713</w:t>
            </w:r>
          </w:p>
        </w:tc>
        <w:tc>
          <w:tcPr>
            <w:tcW w:w="1790" w:type="dxa"/>
            <w:hideMark/>
          </w:tcPr>
          <w:p w14:paraId="62E13C66"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10.00%</w:t>
            </w:r>
          </w:p>
        </w:tc>
      </w:tr>
      <w:tr w:rsidR="00DA49C9" w:rsidRPr="00DA49C9" w14:paraId="0A2A2F62"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5715399F" w14:textId="77777777" w:rsidR="00A6240C" w:rsidRPr="004F4BA7" w:rsidRDefault="00A6240C" w:rsidP="001D508A">
            <w:pPr>
              <w:keepNext/>
              <w:spacing w:line="256" w:lineRule="auto"/>
              <w:rPr>
                <w:bCs/>
                <w:lang w:eastAsia="en-GB"/>
              </w:rPr>
            </w:pPr>
            <w:r w:rsidRPr="004F4BA7">
              <w:rPr>
                <w:bCs/>
                <w:lang w:eastAsia="en-GB"/>
              </w:rPr>
              <w:t>50-54</w:t>
            </w:r>
          </w:p>
        </w:tc>
        <w:tc>
          <w:tcPr>
            <w:tcW w:w="1790" w:type="dxa"/>
            <w:hideMark/>
          </w:tcPr>
          <w:p w14:paraId="6450744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7,741</w:t>
            </w:r>
          </w:p>
        </w:tc>
        <w:tc>
          <w:tcPr>
            <w:tcW w:w="1790" w:type="dxa"/>
            <w:hideMark/>
          </w:tcPr>
          <w:p w14:paraId="7D89E11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8,094</w:t>
            </w:r>
          </w:p>
        </w:tc>
        <w:tc>
          <w:tcPr>
            <w:tcW w:w="1790" w:type="dxa"/>
            <w:hideMark/>
          </w:tcPr>
          <w:p w14:paraId="2D8D47F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353</w:t>
            </w:r>
          </w:p>
        </w:tc>
        <w:tc>
          <w:tcPr>
            <w:tcW w:w="1790" w:type="dxa"/>
            <w:hideMark/>
          </w:tcPr>
          <w:p w14:paraId="200F688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4.60%</w:t>
            </w:r>
          </w:p>
        </w:tc>
      </w:tr>
      <w:tr w:rsidR="00DA49C9" w:rsidRPr="00DA49C9" w14:paraId="5F09A45F"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0F686D64" w14:textId="77777777" w:rsidR="00A6240C" w:rsidRPr="004F4BA7" w:rsidRDefault="00A6240C" w:rsidP="001D508A">
            <w:pPr>
              <w:keepNext/>
              <w:spacing w:line="256" w:lineRule="auto"/>
              <w:rPr>
                <w:bCs/>
                <w:lang w:eastAsia="en-GB"/>
              </w:rPr>
            </w:pPr>
            <w:r w:rsidRPr="004F4BA7">
              <w:rPr>
                <w:bCs/>
                <w:lang w:eastAsia="en-GB"/>
              </w:rPr>
              <w:t>55-59</w:t>
            </w:r>
          </w:p>
        </w:tc>
        <w:tc>
          <w:tcPr>
            <w:tcW w:w="1790" w:type="dxa"/>
            <w:hideMark/>
          </w:tcPr>
          <w:p w14:paraId="34393DF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7,312</w:t>
            </w:r>
          </w:p>
        </w:tc>
        <w:tc>
          <w:tcPr>
            <w:tcW w:w="1790" w:type="dxa"/>
            <w:hideMark/>
          </w:tcPr>
          <w:p w14:paraId="130A0B4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7,769</w:t>
            </w:r>
          </w:p>
        </w:tc>
        <w:tc>
          <w:tcPr>
            <w:tcW w:w="1790" w:type="dxa"/>
            <w:hideMark/>
          </w:tcPr>
          <w:p w14:paraId="035ED279"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457</w:t>
            </w:r>
          </w:p>
        </w:tc>
        <w:tc>
          <w:tcPr>
            <w:tcW w:w="1790" w:type="dxa"/>
            <w:hideMark/>
          </w:tcPr>
          <w:p w14:paraId="67BD2A3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6.30%</w:t>
            </w:r>
          </w:p>
        </w:tc>
      </w:tr>
      <w:tr w:rsidR="00DA49C9" w:rsidRPr="00DA49C9" w14:paraId="70784770"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0FF3BE49" w14:textId="77777777" w:rsidR="00A6240C" w:rsidRPr="004F4BA7" w:rsidRDefault="00A6240C" w:rsidP="001D508A">
            <w:pPr>
              <w:keepNext/>
              <w:spacing w:line="256" w:lineRule="auto"/>
              <w:rPr>
                <w:bCs/>
                <w:lang w:eastAsia="en-GB"/>
              </w:rPr>
            </w:pPr>
            <w:r w:rsidRPr="004F4BA7">
              <w:rPr>
                <w:bCs/>
                <w:lang w:eastAsia="en-GB"/>
              </w:rPr>
              <w:t>60-64</w:t>
            </w:r>
          </w:p>
        </w:tc>
        <w:tc>
          <w:tcPr>
            <w:tcW w:w="1790" w:type="dxa"/>
            <w:hideMark/>
          </w:tcPr>
          <w:p w14:paraId="14D7ADF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6,523</w:t>
            </w:r>
          </w:p>
        </w:tc>
        <w:tc>
          <w:tcPr>
            <w:tcW w:w="1790" w:type="dxa"/>
            <w:hideMark/>
          </w:tcPr>
          <w:p w14:paraId="3139C675"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7,536</w:t>
            </w:r>
          </w:p>
        </w:tc>
        <w:tc>
          <w:tcPr>
            <w:tcW w:w="1790" w:type="dxa"/>
            <w:hideMark/>
          </w:tcPr>
          <w:p w14:paraId="107F354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1,013</w:t>
            </w:r>
          </w:p>
        </w:tc>
        <w:tc>
          <w:tcPr>
            <w:tcW w:w="1790" w:type="dxa"/>
            <w:hideMark/>
          </w:tcPr>
          <w:p w14:paraId="7B2C6053"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15.50%</w:t>
            </w:r>
          </w:p>
        </w:tc>
      </w:tr>
      <w:tr w:rsidR="00DA49C9" w:rsidRPr="00DA49C9" w14:paraId="58AF09D9"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5159741F" w14:textId="77777777" w:rsidR="00A6240C" w:rsidRPr="004F4BA7" w:rsidRDefault="00A6240C" w:rsidP="001D508A">
            <w:pPr>
              <w:keepNext/>
              <w:spacing w:line="256" w:lineRule="auto"/>
              <w:rPr>
                <w:bCs/>
                <w:lang w:eastAsia="en-GB"/>
              </w:rPr>
            </w:pPr>
            <w:r w:rsidRPr="004F4BA7">
              <w:rPr>
                <w:bCs/>
                <w:lang w:eastAsia="en-GB"/>
              </w:rPr>
              <w:t>65-69</w:t>
            </w:r>
          </w:p>
        </w:tc>
        <w:tc>
          <w:tcPr>
            <w:tcW w:w="1790" w:type="dxa"/>
            <w:hideMark/>
          </w:tcPr>
          <w:p w14:paraId="6FC89A6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5,723</w:t>
            </w:r>
          </w:p>
        </w:tc>
        <w:tc>
          <w:tcPr>
            <w:tcW w:w="1790" w:type="dxa"/>
            <w:hideMark/>
          </w:tcPr>
          <w:p w14:paraId="7DD87D1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7,677</w:t>
            </w:r>
          </w:p>
        </w:tc>
        <w:tc>
          <w:tcPr>
            <w:tcW w:w="1790" w:type="dxa"/>
            <w:hideMark/>
          </w:tcPr>
          <w:p w14:paraId="7544D31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1,954</w:t>
            </w:r>
          </w:p>
        </w:tc>
        <w:tc>
          <w:tcPr>
            <w:tcW w:w="1790" w:type="dxa"/>
            <w:hideMark/>
          </w:tcPr>
          <w:p w14:paraId="6C642367"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34.20%</w:t>
            </w:r>
          </w:p>
        </w:tc>
      </w:tr>
      <w:tr w:rsidR="00DA49C9" w:rsidRPr="00DA49C9" w14:paraId="1230055F"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4E19A52B" w14:textId="77777777" w:rsidR="00A6240C" w:rsidRPr="004F4BA7" w:rsidRDefault="00A6240C" w:rsidP="001D508A">
            <w:pPr>
              <w:keepNext/>
              <w:spacing w:line="256" w:lineRule="auto"/>
              <w:rPr>
                <w:bCs/>
                <w:lang w:eastAsia="en-GB"/>
              </w:rPr>
            </w:pPr>
            <w:r w:rsidRPr="004F4BA7">
              <w:rPr>
                <w:bCs/>
                <w:lang w:eastAsia="en-GB"/>
              </w:rPr>
              <w:t>70-74</w:t>
            </w:r>
          </w:p>
        </w:tc>
        <w:tc>
          <w:tcPr>
            <w:tcW w:w="1790" w:type="dxa"/>
            <w:hideMark/>
          </w:tcPr>
          <w:p w14:paraId="48E24C92"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6,145</w:t>
            </w:r>
          </w:p>
        </w:tc>
        <w:tc>
          <w:tcPr>
            <w:tcW w:w="1790" w:type="dxa"/>
            <w:hideMark/>
          </w:tcPr>
          <w:p w14:paraId="2CA050BC"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8,000</w:t>
            </w:r>
          </w:p>
        </w:tc>
        <w:tc>
          <w:tcPr>
            <w:tcW w:w="1790" w:type="dxa"/>
            <w:hideMark/>
          </w:tcPr>
          <w:p w14:paraId="1D46120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1,855</w:t>
            </w:r>
          </w:p>
        </w:tc>
        <w:tc>
          <w:tcPr>
            <w:tcW w:w="1790" w:type="dxa"/>
            <w:hideMark/>
          </w:tcPr>
          <w:p w14:paraId="242DF58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30.20%</w:t>
            </w:r>
          </w:p>
        </w:tc>
      </w:tr>
      <w:tr w:rsidR="00DA49C9" w:rsidRPr="00DA49C9" w14:paraId="1B484399"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574AC721" w14:textId="77777777" w:rsidR="00A6240C" w:rsidRPr="004F4BA7" w:rsidRDefault="00A6240C" w:rsidP="001D508A">
            <w:pPr>
              <w:keepNext/>
              <w:spacing w:line="256" w:lineRule="auto"/>
              <w:rPr>
                <w:bCs/>
                <w:lang w:eastAsia="en-GB"/>
              </w:rPr>
            </w:pPr>
            <w:r w:rsidRPr="004F4BA7">
              <w:rPr>
                <w:bCs/>
                <w:lang w:eastAsia="en-GB"/>
              </w:rPr>
              <w:t>75-79</w:t>
            </w:r>
          </w:p>
        </w:tc>
        <w:tc>
          <w:tcPr>
            <w:tcW w:w="1790" w:type="dxa"/>
            <w:hideMark/>
          </w:tcPr>
          <w:p w14:paraId="6AC630F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4,520</w:t>
            </w:r>
          </w:p>
        </w:tc>
        <w:tc>
          <w:tcPr>
            <w:tcW w:w="1790" w:type="dxa"/>
            <w:hideMark/>
          </w:tcPr>
          <w:p w14:paraId="5051C78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7,082</w:t>
            </w:r>
          </w:p>
        </w:tc>
        <w:tc>
          <w:tcPr>
            <w:tcW w:w="1790" w:type="dxa"/>
            <w:hideMark/>
          </w:tcPr>
          <w:p w14:paraId="6C61593E"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2,563</w:t>
            </w:r>
          </w:p>
        </w:tc>
        <w:tc>
          <w:tcPr>
            <w:tcW w:w="1790" w:type="dxa"/>
            <w:hideMark/>
          </w:tcPr>
          <w:p w14:paraId="6DA9846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56.70%</w:t>
            </w:r>
          </w:p>
        </w:tc>
      </w:tr>
      <w:tr w:rsidR="00DA49C9" w:rsidRPr="00DA49C9" w14:paraId="115AE3F3"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3E560DA3" w14:textId="77777777" w:rsidR="00A6240C" w:rsidRPr="004F4BA7" w:rsidRDefault="00A6240C" w:rsidP="001D508A">
            <w:pPr>
              <w:keepNext/>
              <w:spacing w:line="256" w:lineRule="auto"/>
              <w:rPr>
                <w:bCs/>
                <w:lang w:eastAsia="en-GB"/>
              </w:rPr>
            </w:pPr>
            <w:r w:rsidRPr="004F4BA7">
              <w:rPr>
                <w:bCs/>
                <w:lang w:eastAsia="en-GB"/>
              </w:rPr>
              <w:t>80-84</w:t>
            </w:r>
          </w:p>
        </w:tc>
        <w:tc>
          <w:tcPr>
            <w:tcW w:w="1790" w:type="dxa"/>
            <w:hideMark/>
          </w:tcPr>
          <w:p w14:paraId="065603E1"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3,321</w:t>
            </w:r>
          </w:p>
        </w:tc>
        <w:tc>
          <w:tcPr>
            <w:tcW w:w="1790" w:type="dxa"/>
            <w:hideMark/>
          </w:tcPr>
          <w:p w14:paraId="2CDF842A"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5,811</w:t>
            </w:r>
          </w:p>
        </w:tc>
        <w:tc>
          <w:tcPr>
            <w:tcW w:w="1790" w:type="dxa"/>
            <w:hideMark/>
          </w:tcPr>
          <w:p w14:paraId="15DE064B"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2,489</w:t>
            </w:r>
          </w:p>
        </w:tc>
        <w:tc>
          <w:tcPr>
            <w:tcW w:w="1790" w:type="dxa"/>
            <w:hideMark/>
          </w:tcPr>
          <w:p w14:paraId="01A42638"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74.90%</w:t>
            </w:r>
          </w:p>
        </w:tc>
      </w:tr>
      <w:tr w:rsidR="00DA49C9" w:rsidRPr="00DA49C9" w14:paraId="294C50EF"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66E79E31" w14:textId="77777777" w:rsidR="00A6240C" w:rsidRPr="004F4BA7" w:rsidRDefault="00A6240C" w:rsidP="001D508A">
            <w:pPr>
              <w:keepNext/>
              <w:spacing w:line="256" w:lineRule="auto"/>
              <w:rPr>
                <w:bCs/>
                <w:lang w:eastAsia="en-GB"/>
              </w:rPr>
            </w:pPr>
            <w:r w:rsidRPr="004F4BA7">
              <w:rPr>
                <w:bCs/>
                <w:lang w:eastAsia="en-GB"/>
              </w:rPr>
              <w:t>85 &amp; over</w:t>
            </w:r>
          </w:p>
        </w:tc>
        <w:tc>
          <w:tcPr>
            <w:tcW w:w="1790" w:type="dxa"/>
            <w:hideMark/>
          </w:tcPr>
          <w:p w14:paraId="5EACBCFD"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2,587</w:t>
            </w:r>
          </w:p>
        </w:tc>
        <w:tc>
          <w:tcPr>
            <w:tcW w:w="1790" w:type="dxa"/>
            <w:hideMark/>
          </w:tcPr>
          <w:p w14:paraId="23DB2FBF"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6,359</w:t>
            </w:r>
          </w:p>
        </w:tc>
        <w:tc>
          <w:tcPr>
            <w:tcW w:w="1790" w:type="dxa"/>
            <w:hideMark/>
          </w:tcPr>
          <w:p w14:paraId="2AC37334"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3,773</w:t>
            </w:r>
          </w:p>
        </w:tc>
        <w:tc>
          <w:tcPr>
            <w:tcW w:w="1790" w:type="dxa"/>
            <w:hideMark/>
          </w:tcPr>
          <w:p w14:paraId="272749F0" w14:textId="77777777" w:rsidR="00A6240C" w:rsidRPr="00DA49C9"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145.80%</w:t>
            </w:r>
          </w:p>
        </w:tc>
      </w:tr>
      <w:tr w:rsidR="00DA49C9" w:rsidRPr="00DA49C9" w14:paraId="519964A1" w14:textId="77777777" w:rsidTr="00A830B2">
        <w:trPr>
          <w:trHeight w:val="255"/>
        </w:trPr>
        <w:tc>
          <w:tcPr>
            <w:cnfStyle w:val="001000000000" w:firstRow="0" w:lastRow="0" w:firstColumn="1" w:lastColumn="0" w:oddVBand="0" w:evenVBand="0" w:oddHBand="0" w:evenHBand="0" w:firstRowFirstColumn="0" w:firstRowLastColumn="0" w:lastRowFirstColumn="0" w:lastRowLastColumn="0"/>
            <w:tcW w:w="1321" w:type="dxa"/>
            <w:hideMark/>
          </w:tcPr>
          <w:p w14:paraId="6FC9A502" w14:textId="77777777" w:rsidR="00A6240C" w:rsidRPr="00DA49C9" w:rsidRDefault="00A6240C" w:rsidP="001D508A">
            <w:pPr>
              <w:keepNext/>
              <w:spacing w:line="256" w:lineRule="auto"/>
              <w:rPr>
                <w:b/>
                <w:lang w:eastAsia="en-GB"/>
              </w:rPr>
            </w:pPr>
            <w:r w:rsidRPr="00DA49C9">
              <w:rPr>
                <w:b/>
                <w:lang w:eastAsia="en-GB"/>
              </w:rPr>
              <w:t>Total</w:t>
            </w:r>
          </w:p>
        </w:tc>
        <w:tc>
          <w:tcPr>
            <w:tcW w:w="1790" w:type="dxa"/>
            <w:hideMark/>
          </w:tcPr>
          <w:p w14:paraId="25CC22CF"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75,763</w:t>
            </w:r>
          </w:p>
        </w:tc>
        <w:tc>
          <w:tcPr>
            <w:tcW w:w="1790" w:type="dxa"/>
            <w:hideMark/>
          </w:tcPr>
          <w:p w14:paraId="23601407"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94,714</w:t>
            </w:r>
          </w:p>
        </w:tc>
        <w:tc>
          <w:tcPr>
            <w:tcW w:w="1790" w:type="dxa"/>
            <w:hideMark/>
          </w:tcPr>
          <w:p w14:paraId="37ED0631"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18,952</w:t>
            </w:r>
          </w:p>
        </w:tc>
        <w:tc>
          <w:tcPr>
            <w:tcW w:w="1790" w:type="dxa"/>
            <w:hideMark/>
          </w:tcPr>
          <w:p w14:paraId="1B1361BE" w14:textId="77777777" w:rsidR="00A6240C" w:rsidRPr="004F4BA7" w:rsidRDefault="00A6240C" w:rsidP="001D508A">
            <w:pPr>
              <w:keepNext/>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25.00%</w:t>
            </w:r>
          </w:p>
        </w:tc>
      </w:tr>
    </w:tbl>
    <w:p w14:paraId="60CAFF7B" w14:textId="1F71F3B6" w:rsidR="00A6240C" w:rsidRDefault="00A6240C" w:rsidP="00647ED0">
      <w:pPr>
        <w:pStyle w:val="Caption"/>
        <w:keepNext/>
        <w:spacing w:after="0"/>
        <w:ind w:firstLine="794"/>
      </w:pPr>
      <w:r w:rsidRPr="00A830B2">
        <w:rPr>
          <w:rFonts w:ascii="Arial" w:hAnsi="Arial" w:cs="Arial"/>
          <w:i w:val="0"/>
          <w:iCs w:val="0"/>
          <w:color w:val="auto"/>
          <w:sz w:val="24"/>
          <w:szCs w:val="24"/>
        </w:rPr>
        <w:t xml:space="preserve"> Source: Demographic Projections based on ONS data</w:t>
      </w:r>
    </w:p>
    <w:p w14:paraId="66B7EDEB" w14:textId="77777777" w:rsidR="00A6240C" w:rsidRDefault="00A6240C" w:rsidP="007D0FBF">
      <w:pPr>
        <w:pStyle w:val="11Bodytext"/>
      </w:pPr>
      <w:r>
        <w:t xml:space="preserve">The table below presents the projected change in households by age of household reference person for South Cambridgeshire, as with the HMA data, this clearly shows particularly strong growth is expected in older age groups. </w:t>
      </w:r>
    </w:p>
    <w:p w14:paraId="64E5A396" w14:textId="7A848149" w:rsidR="00647ED0" w:rsidRDefault="00A6240C" w:rsidP="007D0FBF">
      <w:pPr>
        <w:pStyle w:val="11Bodytext"/>
      </w:pPr>
      <w:r>
        <w:t>There is also projected to be a notable growth in the number of households headed by all younger age groups.</w:t>
      </w:r>
    </w:p>
    <w:p w14:paraId="4860B751" w14:textId="77777777" w:rsidR="00647ED0" w:rsidRDefault="00647ED0">
      <w:pPr>
        <w:spacing w:after="200"/>
        <w:rPr>
          <w:bCs/>
          <w:sz w:val="24"/>
          <w:szCs w:val="24"/>
        </w:rPr>
      </w:pPr>
      <w:r>
        <w:br w:type="page"/>
      </w:r>
    </w:p>
    <w:p w14:paraId="58C18BB4" w14:textId="77777777" w:rsidR="00A6240C" w:rsidRDefault="00A6240C" w:rsidP="003D5E23">
      <w:pPr>
        <w:pStyle w:val="Tableheading"/>
        <w:numPr>
          <w:ilvl w:val="0"/>
          <w:numId w:val="54"/>
        </w:numPr>
      </w:pPr>
      <w:r>
        <w:lastRenderedPageBreak/>
        <w:t>Projected Change in Households by Age of Household Reference Person in South Cambs, 2020-40</w:t>
      </w:r>
    </w:p>
    <w:tbl>
      <w:tblPr>
        <w:tblStyle w:val="TableGridLight1"/>
        <w:tblW w:w="8647" w:type="dxa"/>
        <w:tblInd w:w="846" w:type="dxa"/>
        <w:tblLook w:val="04A0" w:firstRow="1" w:lastRow="0" w:firstColumn="1" w:lastColumn="0" w:noHBand="0" w:noVBand="1"/>
      </w:tblPr>
      <w:tblGrid>
        <w:gridCol w:w="1333"/>
        <w:gridCol w:w="1828"/>
        <w:gridCol w:w="1829"/>
        <w:gridCol w:w="1828"/>
        <w:gridCol w:w="1829"/>
      </w:tblGrid>
      <w:tr w:rsidR="00DA49C9" w:rsidRPr="00DA49C9" w14:paraId="1E7F7452" w14:textId="77777777" w:rsidTr="005B02AD">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333" w:type="dxa"/>
            <w:hideMark/>
          </w:tcPr>
          <w:p w14:paraId="14196CE8" w14:textId="77777777" w:rsidR="00A6240C" w:rsidRPr="00DA49C9" w:rsidRDefault="00A6240C" w:rsidP="001D508A">
            <w:pPr>
              <w:spacing w:line="256" w:lineRule="auto"/>
              <w:rPr>
                <w:lang w:eastAsia="en-GB"/>
              </w:rPr>
            </w:pPr>
            <w:r w:rsidRPr="00DA49C9">
              <w:rPr>
                <w:lang w:eastAsia="en-GB"/>
              </w:rPr>
              <w:t> </w:t>
            </w:r>
          </w:p>
        </w:tc>
        <w:tc>
          <w:tcPr>
            <w:tcW w:w="1828" w:type="dxa"/>
            <w:hideMark/>
          </w:tcPr>
          <w:p w14:paraId="2E73C511"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829" w:type="dxa"/>
            <w:hideMark/>
          </w:tcPr>
          <w:p w14:paraId="2A5BED47"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828" w:type="dxa"/>
            <w:hideMark/>
          </w:tcPr>
          <w:p w14:paraId="23AA76F0"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829" w:type="dxa"/>
            <w:hideMark/>
          </w:tcPr>
          <w:p w14:paraId="5DA1AD3A"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063E7BD4"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1A9E36FF" w14:textId="77777777" w:rsidR="00A6240C" w:rsidRPr="004F4BA7" w:rsidRDefault="00A6240C" w:rsidP="001D508A">
            <w:pPr>
              <w:spacing w:line="256" w:lineRule="auto"/>
              <w:rPr>
                <w:bCs/>
                <w:lang w:eastAsia="en-GB"/>
              </w:rPr>
            </w:pPr>
            <w:r w:rsidRPr="004F4BA7">
              <w:rPr>
                <w:bCs/>
                <w:lang w:eastAsia="en-GB"/>
              </w:rPr>
              <w:t>16-24</w:t>
            </w:r>
          </w:p>
        </w:tc>
        <w:tc>
          <w:tcPr>
            <w:tcW w:w="1828" w:type="dxa"/>
            <w:hideMark/>
          </w:tcPr>
          <w:p w14:paraId="42B099D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884</w:t>
            </w:r>
          </w:p>
        </w:tc>
        <w:tc>
          <w:tcPr>
            <w:tcW w:w="1829" w:type="dxa"/>
            <w:hideMark/>
          </w:tcPr>
          <w:p w14:paraId="0C0BD38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1,069</w:t>
            </w:r>
          </w:p>
        </w:tc>
        <w:tc>
          <w:tcPr>
            <w:tcW w:w="1828" w:type="dxa"/>
            <w:hideMark/>
          </w:tcPr>
          <w:p w14:paraId="3CBFDCB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185</w:t>
            </w:r>
          </w:p>
        </w:tc>
        <w:tc>
          <w:tcPr>
            <w:tcW w:w="1829" w:type="dxa"/>
            <w:hideMark/>
          </w:tcPr>
          <w:p w14:paraId="2783CC3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20.90%</w:t>
            </w:r>
          </w:p>
        </w:tc>
      </w:tr>
      <w:tr w:rsidR="00DA49C9" w:rsidRPr="00DA49C9" w14:paraId="1F000C30"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262134AE" w14:textId="77777777" w:rsidR="00A6240C" w:rsidRPr="004F4BA7" w:rsidRDefault="00A6240C" w:rsidP="001D508A">
            <w:pPr>
              <w:spacing w:line="256" w:lineRule="auto"/>
              <w:rPr>
                <w:bCs/>
                <w:lang w:eastAsia="en-GB"/>
              </w:rPr>
            </w:pPr>
            <w:r w:rsidRPr="004F4BA7">
              <w:rPr>
                <w:bCs/>
                <w:lang w:eastAsia="en-GB"/>
              </w:rPr>
              <w:t>25-29</w:t>
            </w:r>
          </w:p>
        </w:tc>
        <w:tc>
          <w:tcPr>
            <w:tcW w:w="1828" w:type="dxa"/>
            <w:hideMark/>
          </w:tcPr>
          <w:p w14:paraId="62EEC7A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2,741</w:t>
            </w:r>
          </w:p>
        </w:tc>
        <w:tc>
          <w:tcPr>
            <w:tcW w:w="1829" w:type="dxa"/>
            <w:hideMark/>
          </w:tcPr>
          <w:p w14:paraId="7D6F618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3,829</w:t>
            </w:r>
          </w:p>
        </w:tc>
        <w:tc>
          <w:tcPr>
            <w:tcW w:w="1828" w:type="dxa"/>
            <w:hideMark/>
          </w:tcPr>
          <w:p w14:paraId="34FE94C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1,088</w:t>
            </w:r>
          </w:p>
        </w:tc>
        <w:tc>
          <w:tcPr>
            <w:tcW w:w="1829" w:type="dxa"/>
            <w:hideMark/>
          </w:tcPr>
          <w:p w14:paraId="259D4F8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39.70%</w:t>
            </w:r>
          </w:p>
        </w:tc>
      </w:tr>
      <w:tr w:rsidR="00DA49C9" w:rsidRPr="00DA49C9" w14:paraId="67ABEA67"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5FE05EBC" w14:textId="77777777" w:rsidR="00A6240C" w:rsidRPr="004F4BA7" w:rsidRDefault="00A6240C" w:rsidP="001D508A">
            <w:pPr>
              <w:spacing w:line="256" w:lineRule="auto"/>
              <w:rPr>
                <w:bCs/>
                <w:lang w:eastAsia="en-GB"/>
              </w:rPr>
            </w:pPr>
            <w:r w:rsidRPr="004F4BA7">
              <w:rPr>
                <w:bCs/>
                <w:lang w:eastAsia="en-GB"/>
              </w:rPr>
              <w:t>30-34</w:t>
            </w:r>
          </w:p>
        </w:tc>
        <w:tc>
          <w:tcPr>
            <w:tcW w:w="1828" w:type="dxa"/>
            <w:hideMark/>
          </w:tcPr>
          <w:p w14:paraId="3D9F2F3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4,474</w:t>
            </w:r>
          </w:p>
        </w:tc>
        <w:tc>
          <w:tcPr>
            <w:tcW w:w="1829" w:type="dxa"/>
            <w:hideMark/>
          </w:tcPr>
          <w:p w14:paraId="1EE2E716"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5,607</w:t>
            </w:r>
          </w:p>
        </w:tc>
        <w:tc>
          <w:tcPr>
            <w:tcW w:w="1828" w:type="dxa"/>
            <w:hideMark/>
          </w:tcPr>
          <w:p w14:paraId="01C800E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1,133</w:t>
            </w:r>
          </w:p>
        </w:tc>
        <w:tc>
          <w:tcPr>
            <w:tcW w:w="1829" w:type="dxa"/>
            <w:hideMark/>
          </w:tcPr>
          <w:p w14:paraId="70D6489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25.30%</w:t>
            </w:r>
          </w:p>
        </w:tc>
      </w:tr>
      <w:tr w:rsidR="00DA49C9" w:rsidRPr="00DA49C9" w14:paraId="55DB5EB4"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494C53A6" w14:textId="77777777" w:rsidR="00A6240C" w:rsidRPr="004F4BA7" w:rsidRDefault="00A6240C" w:rsidP="001D508A">
            <w:pPr>
              <w:spacing w:line="256" w:lineRule="auto"/>
              <w:rPr>
                <w:bCs/>
                <w:lang w:eastAsia="en-GB"/>
              </w:rPr>
            </w:pPr>
            <w:r w:rsidRPr="004F4BA7">
              <w:rPr>
                <w:bCs/>
                <w:lang w:eastAsia="en-GB"/>
              </w:rPr>
              <w:t>35-39</w:t>
            </w:r>
          </w:p>
        </w:tc>
        <w:tc>
          <w:tcPr>
            <w:tcW w:w="1828" w:type="dxa"/>
            <w:hideMark/>
          </w:tcPr>
          <w:p w14:paraId="1031E62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5,659</w:t>
            </w:r>
          </w:p>
        </w:tc>
        <w:tc>
          <w:tcPr>
            <w:tcW w:w="1829" w:type="dxa"/>
            <w:hideMark/>
          </w:tcPr>
          <w:p w14:paraId="6557B17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6,607</w:t>
            </w:r>
          </w:p>
        </w:tc>
        <w:tc>
          <w:tcPr>
            <w:tcW w:w="1828" w:type="dxa"/>
            <w:hideMark/>
          </w:tcPr>
          <w:p w14:paraId="703F5A9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948</w:t>
            </w:r>
          </w:p>
        </w:tc>
        <w:tc>
          <w:tcPr>
            <w:tcW w:w="1829" w:type="dxa"/>
            <w:hideMark/>
          </w:tcPr>
          <w:p w14:paraId="498386E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16.80%</w:t>
            </w:r>
          </w:p>
        </w:tc>
      </w:tr>
      <w:tr w:rsidR="00DA49C9" w:rsidRPr="00DA49C9" w14:paraId="384BCD94"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5BCCF2DC" w14:textId="77777777" w:rsidR="00A6240C" w:rsidRPr="004F4BA7" w:rsidRDefault="00A6240C" w:rsidP="001D508A">
            <w:pPr>
              <w:spacing w:line="256" w:lineRule="auto"/>
              <w:rPr>
                <w:bCs/>
                <w:lang w:eastAsia="en-GB"/>
              </w:rPr>
            </w:pPr>
            <w:r w:rsidRPr="004F4BA7">
              <w:rPr>
                <w:bCs/>
                <w:lang w:eastAsia="en-GB"/>
              </w:rPr>
              <w:t>40-44</w:t>
            </w:r>
          </w:p>
        </w:tc>
        <w:tc>
          <w:tcPr>
            <w:tcW w:w="1828" w:type="dxa"/>
            <w:hideMark/>
          </w:tcPr>
          <w:p w14:paraId="608DC91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6,468</w:t>
            </w:r>
          </w:p>
        </w:tc>
        <w:tc>
          <w:tcPr>
            <w:tcW w:w="1829" w:type="dxa"/>
            <w:hideMark/>
          </w:tcPr>
          <w:p w14:paraId="3A68A27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8,094</w:t>
            </w:r>
          </w:p>
        </w:tc>
        <w:tc>
          <w:tcPr>
            <w:tcW w:w="1828" w:type="dxa"/>
            <w:hideMark/>
          </w:tcPr>
          <w:p w14:paraId="5B2E908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1,626</w:t>
            </w:r>
          </w:p>
        </w:tc>
        <w:tc>
          <w:tcPr>
            <w:tcW w:w="1829" w:type="dxa"/>
            <w:hideMark/>
          </w:tcPr>
          <w:p w14:paraId="246B028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25.10%</w:t>
            </w:r>
          </w:p>
        </w:tc>
      </w:tr>
      <w:tr w:rsidR="00DA49C9" w:rsidRPr="00DA49C9" w14:paraId="227B49EA"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4F1A81E1" w14:textId="77777777" w:rsidR="00A6240C" w:rsidRPr="004F4BA7" w:rsidRDefault="00A6240C" w:rsidP="001D508A">
            <w:pPr>
              <w:spacing w:line="256" w:lineRule="auto"/>
              <w:rPr>
                <w:bCs/>
                <w:lang w:eastAsia="en-GB"/>
              </w:rPr>
            </w:pPr>
            <w:r w:rsidRPr="004F4BA7">
              <w:rPr>
                <w:bCs/>
                <w:lang w:eastAsia="en-GB"/>
              </w:rPr>
              <w:t>45-49</w:t>
            </w:r>
          </w:p>
        </w:tc>
        <w:tc>
          <w:tcPr>
            <w:tcW w:w="1828" w:type="dxa"/>
            <w:hideMark/>
          </w:tcPr>
          <w:p w14:paraId="46F569C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6,831</w:t>
            </w:r>
          </w:p>
        </w:tc>
        <w:tc>
          <w:tcPr>
            <w:tcW w:w="1829" w:type="dxa"/>
            <w:hideMark/>
          </w:tcPr>
          <w:p w14:paraId="4FE7FDB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8,184</w:t>
            </w:r>
          </w:p>
        </w:tc>
        <w:tc>
          <w:tcPr>
            <w:tcW w:w="1828" w:type="dxa"/>
            <w:hideMark/>
          </w:tcPr>
          <w:p w14:paraId="11FD2A1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1,353</w:t>
            </w:r>
          </w:p>
        </w:tc>
        <w:tc>
          <w:tcPr>
            <w:tcW w:w="1829" w:type="dxa"/>
            <w:hideMark/>
          </w:tcPr>
          <w:p w14:paraId="3843F78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19.80%</w:t>
            </w:r>
          </w:p>
        </w:tc>
      </w:tr>
      <w:tr w:rsidR="00DA49C9" w:rsidRPr="00DA49C9" w14:paraId="199A315A"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6ECF4A01" w14:textId="77777777" w:rsidR="00A6240C" w:rsidRPr="004F4BA7" w:rsidRDefault="00A6240C" w:rsidP="001D508A">
            <w:pPr>
              <w:spacing w:line="256" w:lineRule="auto"/>
              <w:rPr>
                <w:bCs/>
                <w:lang w:eastAsia="en-GB"/>
              </w:rPr>
            </w:pPr>
            <w:r w:rsidRPr="004F4BA7">
              <w:rPr>
                <w:bCs/>
                <w:lang w:eastAsia="en-GB"/>
              </w:rPr>
              <w:t>50-54</w:t>
            </w:r>
          </w:p>
        </w:tc>
        <w:tc>
          <w:tcPr>
            <w:tcW w:w="1828" w:type="dxa"/>
            <w:hideMark/>
          </w:tcPr>
          <w:p w14:paraId="21570AD1"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6,798</w:t>
            </w:r>
          </w:p>
        </w:tc>
        <w:tc>
          <w:tcPr>
            <w:tcW w:w="1829" w:type="dxa"/>
            <w:hideMark/>
          </w:tcPr>
          <w:p w14:paraId="2346B08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8,161</w:t>
            </w:r>
          </w:p>
        </w:tc>
        <w:tc>
          <w:tcPr>
            <w:tcW w:w="1828" w:type="dxa"/>
            <w:hideMark/>
          </w:tcPr>
          <w:p w14:paraId="69EF9C4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1,362</w:t>
            </w:r>
          </w:p>
        </w:tc>
        <w:tc>
          <w:tcPr>
            <w:tcW w:w="1829" w:type="dxa"/>
            <w:hideMark/>
          </w:tcPr>
          <w:p w14:paraId="284C7E6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20.00%</w:t>
            </w:r>
          </w:p>
        </w:tc>
      </w:tr>
      <w:tr w:rsidR="00DA49C9" w:rsidRPr="00DA49C9" w14:paraId="1F6FABF9"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4B640DCE" w14:textId="77777777" w:rsidR="00A6240C" w:rsidRPr="004F4BA7" w:rsidRDefault="00A6240C" w:rsidP="001D508A">
            <w:pPr>
              <w:spacing w:line="256" w:lineRule="auto"/>
              <w:rPr>
                <w:bCs/>
                <w:lang w:eastAsia="en-GB"/>
              </w:rPr>
            </w:pPr>
            <w:r w:rsidRPr="004F4BA7">
              <w:rPr>
                <w:bCs/>
                <w:lang w:eastAsia="en-GB"/>
              </w:rPr>
              <w:t>55-59</w:t>
            </w:r>
          </w:p>
        </w:tc>
        <w:tc>
          <w:tcPr>
            <w:tcW w:w="1828" w:type="dxa"/>
            <w:hideMark/>
          </w:tcPr>
          <w:p w14:paraId="587275F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6,488</w:t>
            </w:r>
          </w:p>
        </w:tc>
        <w:tc>
          <w:tcPr>
            <w:tcW w:w="1829" w:type="dxa"/>
            <w:hideMark/>
          </w:tcPr>
          <w:p w14:paraId="3A23A426"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7,637</w:t>
            </w:r>
          </w:p>
        </w:tc>
        <w:tc>
          <w:tcPr>
            <w:tcW w:w="1828" w:type="dxa"/>
            <w:hideMark/>
          </w:tcPr>
          <w:p w14:paraId="045D1A7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1,149</w:t>
            </w:r>
          </w:p>
        </w:tc>
        <w:tc>
          <w:tcPr>
            <w:tcW w:w="1829" w:type="dxa"/>
            <w:hideMark/>
          </w:tcPr>
          <w:p w14:paraId="02CD778A"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17.70%</w:t>
            </w:r>
          </w:p>
        </w:tc>
      </w:tr>
      <w:tr w:rsidR="00DA49C9" w:rsidRPr="00DA49C9" w14:paraId="1C84396E"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1A2523D6" w14:textId="77777777" w:rsidR="00A6240C" w:rsidRPr="004F4BA7" w:rsidRDefault="00A6240C" w:rsidP="001D508A">
            <w:pPr>
              <w:spacing w:line="256" w:lineRule="auto"/>
              <w:rPr>
                <w:bCs/>
                <w:lang w:eastAsia="en-GB"/>
              </w:rPr>
            </w:pPr>
            <w:r w:rsidRPr="004F4BA7">
              <w:rPr>
                <w:bCs/>
                <w:lang w:eastAsia="en-GB"/>
              </w:rPr>
              <w:t>60-64</w:t>
            </w:r>
          </w:p>
        </w:tc>
        <w:tc>
          <w:tcPr>
            <w:tcW w:w="1828" w:type="dxa"/>
            <w:hideMark/>
          </w:tcPr>
          <w:p w14:paraId="1DDC91F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5,678</w:t>
            </w:r>
          </w:p>
        </w:tc>
        <w:tc>
          <w:tcPr>
            <w:tcW w:w="1829" w:type="dxa"/>
            <w:hideMark/>
          </w:tcPr>
          <w:p w14:paraId="31D7DC8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7,266</w:t>
            </w:r>
          </w:p>
        </w:tc>
        <w:tc>
          <w:tcPr>
            <w:tcW w:w="1828" w:type="dxa"/>
            <w:hideMark/>
          </w:tcPr>
          <w:p w14:paraId="4133612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1,588</w:t>
            </w:r>
          </w:p>
        </w:tc>
        <w:tc>
          <w:tcPr>
            <w:tcW w:w="1829" w:type="dxa"/>
            <w:hideMark/>
          </w:tcPr>
          <w:p w14:paraId="6B22437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28.00%</w:t>
            </w:r>
          </w:p>
        </w:tc>
      </w:tr>
      <w:tr w:rsidR="00DA49C9" w:rsidRPr="00DA49C9" w14:paraId="5FCC7C7E"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179BDFCB" w14:textId="77777777" w:rsidR="00A6240C" w:rsidRPr="004F4BA7" w:rsidRDefault="00A6240C" w:rsidP="001D508A">
            <w:pPr>
              <w:spacing w:line="256" w:lineRule="auto"/>
              <w:rPr>
                <w:bCs/>
                <w:lang w:eastAsia="en-GB"/>
              </w:rPr>
            </w:pPr>
            <w:r w:rsidRPr="004F4BA7">
              <w:rPr>
                <w:bCs/>
                <w:lang w:eastAsia="en-GB"/>
              </w:rPr>
              <w:t>65-69</w:t>
            </w:r>
          </w:p>
        </w:tc>
        <w:tc>
          <w:tcPr>
            <w:tcW w:w="1828" w:type="dxa"/>
            <w:hideMark/>
          </w:tcPr>
          <w:p w14:paraId="51E5366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4,943</w:t>
            </w:r>
          </w:p>
        </w:tc>
        <w:tc>
          <w:tcPr>
            <w:tcW w:w="1829" w:type="dxa"/>
            <w:hideMark/>
          </w:tcPr>
          <w:p w14:paraId="6163F39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7,090</w:t>
            </w:r>
          </w:p>
        </w:tc>
        <w:tc>
          <w:tcPr>
            <w:tcW w:w="1828" w:type="dxa"/>
            <w:hideMark/>
          </w:tcPr>
          <w:p w14:paraId="5284C53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2,147</w:t>
            </w:r>
          </w:p>
        </w:tc>
        <w:tc>
          <w:tcPr>
            <w:tcW w:w="1829" w:type="dxa"/>
            <w:hideMark/>
          </w:tcPr>
          <w:p w14:paraId="4A8EB54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43.40%</w:t>
            </w:r>
          </w:p>
        </w:tc>
      </w:tr>
      <w:tr w:rsidR="00DA49C9" w:rsidRPr="00DA49C9" w14:paraId="34E6F5DE"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42D0CD9B" w14:textId="77777777" w:rsidR="00A6240C" w:rsidRPr="004F4BA7" w:rsidRDefault="00A6240C" w:rsidP="001D508A">
            <w:pPr>
              <w:spacing w:line="256" w:lineRule="auto"/>
              <w:rPr>
                <w:bCs/>
                <w:lang w:eastAsia="en-GB"/>
              </w:rPr>
            </w:pPr>
            <w:r w:rsidRPr="004F4BA7">
              <w:rPr>
                <w:bCs/>
                <w:lang w:eastAsia="en-GB"/>
              </w:rPr>
              <w:t>70-74</w:t>
            </w:r>
          </w:p>
        </w:tc>
        <w:tc>
          <w:tcPr>
            <w:tcW w:w="1828" w:type="dxa"/>
            <w:hideMark/>
          </w:tcPr>
          <w:p w14:paraId="5F6C995C"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5,175</w:t>
            </w:r>
          </w:p>
        </w:tc>
        <w:tc>
          <w:tcPr>
            <w:tcW w:w="1829" w:type="dxa"/>
            <w:hideMark/>
          </w:tcPr>
          <w:p w14:paraId="6444476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6,816</w:t>
            </w:r>
          </w:p>
        </w:tc>
        <w:tc>
          <w:tcPr>
            <w:tcW w:w="1828" w:type="dxa"/>
            <w:hideMark/>
          </w:tcPr>
          <w:p w14:paraId="2A73D9E4"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1,641</w:t>
            </w:r>
          </w:p>
        </w:tc>
        <w:tc>
          <w:tcPr>
            <w:tcW w:w="1829" w:type="dxa"/>
            <w:hideMark/>
          </w:tcPr>
          <w:p w14:paraId="397ABE6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31.70%</w:t>
            </w:r>
          </w:p>
        </w:tc>
      </w:tr>
      <w:tr w:rsidR="00DA49C9" w:rsidRPr="00DA49C9" w14:paraId="7865ED6C"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1B7322F0" w14:textId="77777777" w:rsidR="00A6240C" w:rsidRPr="004F4BA7" w:rsidRDefault="00A6240C" w:rsidP="001D508A">
            <w:pPr>
              <w:spacing w:line="256" w:lineRule="auto"/>
              <w:rPr>
                <w:bCs/>
                <w:lang w:eastAsia="en-GB"/>
              </w:rPr>
            </w:pPr>
            <w:r w:rsidRPr="004F4BA7">
              <w:rPr>
                <w:bCs/>
                <w:lang w:eastAsia="en-GB"/>
              </w:rPr>
              <w:t>75-79</w:t>
            </w:r>
          </w:p>
        </w:tc>
        <w:tc>
          <w:tcPr>
            <w:tcW w:w="1828" w:type="dxa"/>
            <w:hideMark/>
          </w:tcPr>
          <w:p w14:paraId="2B100A2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3,936</w:t>
            </w:r>
          </w:p>
        </w:tc>
        <w:tc>
          <w:tcPr>
            <w:tcW w:w="1829" w:type="dxa"/>
            <w:hideMark/>
          </w:tcPr>
          <w:p w14:paraId="216195F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6,076</w:t>
            </w:r>
          </w:p>
        </w:tc>
        <w:tc>
          <w:tcPr>
            <w:tcW w:w="1828" w:type="dxa"/>
            <w:hideMark/>
          </w:tcPr>
          <w:p w14:paraId="37C3EA5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2,140</w:t>
            </w:r>
          </w:p>
        </w:tc>
        <w:tc>
          <w:tcPr>
            <w:tcW w:w="1829" w:type="dxa"/>
            <w:hideMark/>
          </w:tcPr>
          <w:p w14:paraId="720301B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54.40%</w:t>
            </w:r>
          </w:p>
        </w:tc>
      </w:tr>
      <w:tr w:rsidR="00DA49C9" w:rsidRPr="00DA49C9" w14:paraId="3D241B95"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7952328E" w14:textId="77777777" w:rsidR="00A6240C" w:rsidRPr="004F4BA7" w:rsidRDefault="00A6240C" w:rsidP="001D508A">
            <w:pPr>
              <w:spacing w:line="256" w:lineRule="auto"/>
              <w:rPr>
                <w:bCs/>
                <w:lang w:eastAsia="en-GB"/>
              </w:rPr>
            </w:pPr>
            <w:r w:rsidRPr="004F4BA7">
              <w:rPr>
                <w:bCs/>
                <w:lang w:eastAsia="en-GB"/>
              </w:rPr>
              <w:t>80-84</w:t>
            </w:r>
          </w:p>
        </w:tc>
        <w:tc>
          <w:tcPr>
            <w:tcW w:w="1828" w:type="dxa"/>
            <w:hideMark/>
          </w:tcPr>
          <w:p w14:paraId="616A6832"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3,144</w:t>
            </w:r>
          </w:p>
        </w:tc>
        <w:tc>
          <w:tcPr>
            <w:tcW w:w="1829" w:type="dxa"/>
            <w:hideMark/>
          </w:tcPr>
          <w:p w14:paraId="4A2C34A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5,042</w:t>
            </w:r>
          </w:p>
        </w:tc>
        <w:tc>
          <w:tcPr>
            <w:tcW w:w="1828" w:type="dxa"/>
            <w:hideMark/>
          </w:tcPr>
          <w:p w14:paraId="1CEDF45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1,898</w:t>
            </w:r>
          </w:p>
        </w:tc>
        <w:tc>
          <w:tcPr>
            <w:tcW w:w="1829" w:type="dxa"/>
            <w:hideMark/>
          </w:tcPr>
          <w:p w14:paraId="6FC3947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60.40%</w:t>
            </w:r>
          </w:p>
        </w:tc>
      </w:tr>
      <w:tr w:rsidR="00DA49C9" w:rsidRPr="00DA49C9" w14:paraId="49B46A45"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2D43085C" w14:textId="77777777" w:rsidR="00A6240C" w:rsidRPr="004F4BA7" w:rsidRDefault="00A6240C" w:rsidP="001D508A">
            <w:pPr>
              <w:spacing w:line="256" w:lineRule="auto"/>
              <w:rPr>
                <w:bCs/>
                <w:lang w:eastAsia="en-GB"/>
              </w:rPr>
            </w:pPr>
            <w:r w:rsidRPr="004F4BA7">
              <w:rPr>
                <w:bCs/>
                <w:lang w:eastAsia="en-GB"/>
              </w:rPr>
              <w:t>85 &amp; over</w:t>
            </w:r>
          </w:p>
        </w:tc>
        <w:tc>
          <w:tcPr>
            <w:tcW w:w="1828" w:type="dxa"/>
            <w:hideMark/>
          </w:tcPr>
          <w:p w14:paraId="7FA4741B"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3,296</w:t>
            </w:r>
          </w:p>
        </w:tc>
        <w:tc>
          <w:tcPr>
            <w:tcW w:w="1829" w:type="dxa"/>
            <w:hideMark/>
          </w:tcPr>
          <w:p w14:paraId="630722F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6,106</w:t>
            </w:r>
          </w:p>
        </w:tc>
        <w:tc>
          <w:tcPr>
            <w:tcW w:w="1828" w:type="dxa"/>
            <w:hideMark/>
          </w:tcPr>
          <w:p w14:paraId="23D58B57"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2,810</w:t>
            </w:r>
          </w:p>
        </w:tc>
        <w:tc>
          <w:tcPr>
            <w:tcW w:w="1829" w:type="dxa"/>
            <w:hideMark/>
          </w:tcPr>
          <w:p w14:paraId="524F5D2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85.30%</w:t>
            </w:r>
          </w:p>
        </w:tc>
      </w:tr>
      <w:tr w:rsidR="00DA49C9" w:rsidRPr="00DA49C9" w14:paraId="437B7938" w14:textId="77777777" w:rsidTr="005B02AD">
        <w:trPr>
          <w:trHeight w:val="290"/>
        </w:trPr>
        <w:tc>
          <w:tcPr>
            <w:cnfStyle w:val="001000000000" w:firstRow="0" w:lastRow="0" w:firstColumn="1" w:lastColumn="0" w:oddVBand="0" w:evenVBand="0" w:oddHBand="0" w:evenHBand="0" w:firstRowFirstColumn="0" w:firstRowLastColumn="0" w:lastRowFirstColumn="0" w:lastRowLastColumn="0"/>
            <w:tcW w:w="1333" w:type="dxa"/>
            <w:hideMark/>
          </w:tcPr>
          <w:p w14:paraId="295DA425" w14:textId="77777777" w:rsidR="00A6240C" w:rsidRPr="00DA49C9" w:rsidRDefault="00A6240C" w:rsidP="001D508A">
            <w:pPr>
              <w:spacing w:line="256" w:lineRule="auto"/>
              <w:rPr>
                <w:b/>
                <w:lang w:eastAsia="en-GB"/>
              </w:rPr>
            </w:pPr>
            <w:r w:rsidRPr="00DA49C9">
              <w:rPr>
                <w:b/>
                <w:lang w:eastAsia="en-GB"/>
              </w:rPr>
              <w:t>Total</w:t>
            </w:r>
          </w:p>
        </w:tc>
        <w:tc>
          <w:tcPr>
            <w:tcW w:w="1828" w:type="dxa"/>
            <w:hideMark/>
          </w:tcPr>
          <w:p w14:paraId="086EF96F"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66,514</w:t>
            </w:r>
          </w:p>
        </w:tc>
        <w:tc>
          <w:tcPr>
            <w:tcW w:w="1829" w:type="dxa"/>
            <w:hideMark/>
          </w:tcPr>
          <w:p w14:paraId="2463D092"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87,582</w:t>
            </w:r>
          </w:p>
        </w:tc>
        <w:tc>
          <w:tcPr>
            <w:tcW w:w="1828" w:type="dxa"/>
            <w:hideMark/>
          </w:tcPr>
          <w:p w14:paraId="24454230"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21,068</w:t>
            </w:r>
          </w:p>
        </w:tc>
        <w:tc>
          <w:tcPr>
            <w:tcW w:w="1829" w:type="dxa"/>
            <w:hideMark/>
          </w:tcPr>
          <w:p w14:paraId="1008FA6A"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31.70%</w:t>
            </w:r>
          </w:p>
        </w:tc>
      </w:tr>
    </w:tbl>
    <w:p w14:paraId="01C56097" w14:textId="3385207C" w:rsidR="00A6240C" w:rsidRPr="008E6E40" w:rsidRDefault="00A6240C" w:rsidP="008E6E40">
      <w:pPr>
        <w:pStyle w:val="Caption"/>
        <w:spacing w:after="120" w:line="360" w:lineRule="auto"/>
        <w:ind w:firstLine="794"/>
        <w:rPr>
          <w:color w:val="auto"/>
        </w:rPr>
      </w:pPr>
      <w:r>
        <w:rPr>
          <w:rFonts w:ascii="Arial" w:hAnsi="Arial" w:cs="Arial"/>
          <w:i w:val="0"/>
          <w:iCs w:val="0"/>
          <w:color w:val="auto"/>
          <w:sz w:val="20"/>
          <w:szCs w:val="20"/>
        </w:rPr>
        <w:t xml:space="preserve"> </w:t>
      </w:r>
      <w:r w:rsidRPr="00A830B2">
        <w:rPr>
          <w:rFonts w:ascii="Arial" w:hAnsi="Arial" w:cs="Arial"/>
          <w:i w:val="0"/>
          <w:iCs w:val="0"/>
          <w:color w:val="auto"/>
          <w:sz w:val="24"/>
          <w:szCs w:val="24"/>
        </w:rPr>
        <w:t>Source: Demographic Projections</w:t>
      </w:r>
    </w:p>
    <w:p w14:paraId="0C17323D" w14:textId="77777777" w:rsidR="00A6240C" w:rsidRDefault="00A6240C" w:rsidP="007D0FBF">
      <w:pPr>
        <w:pStyle w:val="11Bodytext"/>
        <w:rPr>
          <w:lang w:eastAsia="en-GB"/>
        </w:rPr>
      </w:pPr>
      <w:r>
        <w:rPr>
          <w:lang w:eastAsia="en-GB"/>
        </w:rPr>
        <w:t xml:space="preserve">The table below presents the projected change in households by age of household reference person for West Suffolk. As with the HMA data, this clearly shows particularly strong growth is expected in older age groups. </w:t>
      </w:r>
    </w:p>
    <w:p w14:paraId="70EEF62C" w14:textId="77777777" w:rsidR="00A6240C" w:rsidRDefault="00A6240C" w:rsidP="007D0FBF">
      <w:pPr>
        <w:pStyle w:val="11Bodytext"/>
        <w:rPr>
          <w:lang w:eastAsia="en-GB"/>
        </w:rPr>
      </w:pPr>
      <w:r>
        <w:rPr>
          <w:lang w:eastAsia="en-GB"/>
        </w:rPr>
        <w:t>With the exception of those households headed by someone aged 16-24 growth in the number of households headed by all younger age groups is weak.</w:t>
      </w:r>
    </w:p>
    <w:p w14:paraId="1A66E6AB" w14:textId="77777777" w:rsidR="00A6240C" w:rsidRDefault="00A6240C" w:rsidP="00A6240C">
      <w:pPr>
        <w:spacing w:after="200"/>
        <w:rPr>
          <w:b/>
        </w:rPr>
      </w:pPr>
    </w:p>
    <w:p w14:paraId="78AC0004" w14:textId="77777777" w:rsidR="00A6240C" w:rsidRDefault="00A6240C" w:rsidP="003D5E23">
      <w:pPr>
        <w:pStyle w:val="Tableheading"/>
        <w:numPr>
          <w:ilvl w:val="0"/>
          <w:numId w:val="54"/>
        </w:numPr>
      </w:pPr>
      <w:r>
        <w:lastRenderedPageBreak/>
        <w:t>Projected Change in Households by Age of Household Reference Person in West Suffolk, 2020-40</w:t>
      </w:r>
    </w:p>
    <w:tbl>
      <w:tblPr>
        <w:tblStyle w:val="TableGridLight1"/>
        <w:tblW w:w="8505" w:type="dxa"/>
        <w:tblInd w:w="846" w:type="dxa"/>
        <w:tblLook w:val="04A0" w:firstRow="1" w:lastRow="0" w:firstColumn="1" w:lastColumn="0" w:noHBand="0" w:noVBand="1"/>
      </w:tblPr>
      <w:tblGrid>
        <w:gridCol w:w="1804"/>
        <w:gridCol w:w="1675"/>
        <w:gridCol w:w="1675"/>
        <w:gridCol w:w="1675"/>
        <w:gridCol w:w="1676"/>
      </w:tblGrid>
      <w:tr w:rsidR="00DA49C9" w:rsidRPr="00DA49C9" w14:paraId="729A6F19" w14:textId="77777777" w:rsidTr="00DA49C9">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804" w:type="dxa"/>
            <w:hideMark/>
          </w:tcPr>
          <w:p w14:paraId="798987BF" w14:textId="77777777" w:rsidR="00A6240C" w:rsidRPr="00DA49C9" w:rsidRDefault="00A6240C" w:rsidP="008E6E40">
            <w:pPr>
              <w:keepNext/>
              <w:rPr>
                <w:lang w:eastAsia="en-GB"/>
              </w:rPr>
            </w:pPr>
            <w:r w:rsidRPr="00DA49C9">
              <w:rPr>
                <w:lang w:eastAsia="en-GB"/>
              </w:rPr>
              <w:t> </w:t>
            </w:r>
          </w:p>
        </w:tc>
        <w:tc>
          <w:tcPr>
            <w:tcW w:w="1675" w:type="dxa"/>
            <w:hideMark/>
          </w:tcPr>
          <w:p w14:paraId="2C29929D"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2020</w:t>
            </w:r>
          </w:p>
        </w:tc>
        <w:tc>
          <w:tcPr>
            <w:tcW w:w="1675" w:type="dxa"/>
            <w:hideMark/>
          </w:tcPr>
          <w:p w14:paraId="51EA5DFC"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2040</w:t>
            </w:r>
          </w:p>
        </w:tc>
        <w:tc>
          <w:tcPr>
            <w:tcW w:w="1675" w:type="dxa"/>
            <w:hideMark/>
          </w:tcPr>
          <w:p w14:paraId="27247B4B"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Change in households</w:t>
            </w:r>
          </w:p>
        </w:tc>
        <w:tc>
          <w:tcPr>
            <w:tcW w:w="1676" w:type="dxa"/>
            <w:hideMark/>
          </w:tcPr>
          <w:p w14:paraId="3D9AB18E"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 Change</w:t>
            </w:r>
          </w:p>
        </w:tc>
      </w:tr>
      <w:tr w:rsidR="00DA49C9" w:rsidRPr="00DA49C9" w14:paraId="6B9FD984"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29A4FC1B" w14:textId="77777777" w:rsidR="00A6240C" w:rsidRPr="004F4BA7" w:rsidRDefault="00A6240C" w:rsidP="008E6E40">
            <w:pPr>
              <w:keepNext/>
              <w:rPr>
                <w:bCs/>
                <w:lang w:eastAsia="en-GB"/>
              </w:rPr>
            </w:pPr>
            <w:r w:rsidRPr="004F4BA7">
              <w:rPr>
                <w:bCs/>
                <w:lang w:eastAsia="en-GB"/>
              </w:rPr>
              <w:t>16-24</w:t>
            </w:r>
          </w:p>
        </w:tc>
        <w:tc>
          <w:tcPr>
            <w:tcW w:w="1675" w:type="dxa"/>
            <w:hideMark/>
          </w:tcPr>
          <w:p w14:paraId="3968728C"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2,334</w:t>
            </w:r>
          </w:p>
        </w:tc>
        <w:tc>
          <w:tcPr>
            <w:tcW w:w="1675" w:type="dxa"/>
            <w:hideMark/>
          </w:tcPr>
          <w:p w14:paraId="76FF3D6C"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2,859</w:t>
            </w:r>
          </w:p>
        </w:tc>
        <w:tc>
          <w:tcPr>
            <w:tcW w:w="1675" w:type="dxa"/>
            <w:hideMark/>
          </w:tcPr>
          <w:p w14:paraId="38E44CE6"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524</w:t>
            </w:r>
          </w:p>
        </w:tc>
        <w:tc>
          <w:tcPr>
            <w:tcW w:w="1676" w:type="dxa"/>
            <w:hideMark/>
          </w:tcPr>
          <w:p w14:paraId="2966E65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22.50%</w:t>
            </w:r>
          </w:p>
        </w:tc>
      </w:tr>
      <w:tr w:rsidR="00DA49C9" w:rsidRPr="00DA49C9" w14:paraId="5C4F7A7D"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6E68A073" w14:textId="77777777" w:rsidR="00A6240C" w:rsidRPr="004F4BA7" w:rsidRDefault="00A6240C" w:rsidP="008E6E40">
            <w:pPr>
              <w:keepNext/>
              <w:rPr>
                <w:bCs/>
                <w:lang w:eastAsia="en-GB"/>
              </w:rPr>
            </w:pPr>
            <w:r w:rsidRPr="004F4BA7">
              <w:rPr>
                <w:bCs/>
                <w:lang w:eastAsia="en-GB"/>
              </w:rPr>
              <w:t>25-29</w:t>
            </w:r>
          </w:p>
        </w:tc>
        <w:tc>
          <w:tcPr>
            <w:tcW w:w="1675" w:type="dxa"/>
            <w:hideMark/>
          </w:tcPr>
          <w:p w14:paraId="3EE05397"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4,776</w:t>
            </w:r>
          </w:p>
        </w:tc>
        <w:tc>
          <w:tcPr>
            <w:tcW w:w="1675" w:type="dxa"/>
            <w:hideMark/>
          </w:tcPr>
          <w:p w14:paraId="3EF38C6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5,179</w:t>
            </w:r>
          </w:p>
        </w:tc>
        <w:tc>
          <w:tcPr>
            <w:tcW w:w="1675" w:type="dxa"/>
            <w:hideMark/>
          </w:tcPr>
          <w:p w14:paraId="205EA01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403</w:t>
            </w:r>
          </w:p>
        </w:tc>
        <w:tc>
          <w:tcPr>
            <w:tcW w:w="1676" w:type="dxa"/>
            <w:hideMark/>
          </w:tcPr>
          <w:p w14:paraId="692F72AE"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8.40%</w:t>
            </w:r>
          </w:p>
        </w:tc>
      </w:tr>
      <w:tr w:rsidR="00DA49C9" w:rsidRPr="00DA49C9" w14:paraId="2BFDC1FB"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701B0239" w14:textId="77777777" w:rsidR="00A6240C" w:rsidRPr="004F4BA7" w:rsidRDefault="00A6240C" w:rsidP="008E6E40">
            <w:pPr>
              <w:keepNext/>
              <w:rPr>
                <w:bCs/>
                <w:lang w:eastAsia="en-GB"/>
              </w:rPr>
            </w:pPr>
            <w:r w:rsidRPr="004F4BA7">
              <w:rPr>
                <w:bCs/>
                <w:lang w:eastAsia="en-GB"/>
              </w:rPr>
              <w:t>30-34</w:t>
            </w:r>
          </w:p>
        </w:tc>
        <w:tc>
          <w:tcPr>
            <w:tcW w:w="1675" w:type="dxa"/>
            <w:hideMark/>
          </w:tcPr>
          <w:p w14:paraId="5731255D"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6,002</w:t>
            </w:r>
          </w:p>
        </w:tc>
        <w:tc>
          <w:tcPr>
            <w:tcW w:w="1675" w:type="dxa"/>
            <w:hideMark/>
          </w:tcPr>
          <w:p w14:paraId="137346E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6,052</w:t>
            </w:r>
          </w:p>
        </w:tc>
        <w:tc>
          <w:tcPr>
            <w:tcW w:w="1675" w:type="dxa"/>
            <w:hideMark/>
          </w:tcPr>
          <w:p w14:paraId="48744896"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50</w:t>
            </w:r>
          </w:p>
        </w:tc>
        <w:tc>
          <w:tcPr>
            <w:tcW w:w="1676" w:type="dxa"/>
            <w:hideMark/>
          </w:tcPr>
          <w:p w14:paraId="30118A92"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0.80%</w:t>
            </w:r>
          </w:p>
        </w:tc>
      </w:tr>
      <w:tr w:rsidR="00DA49C9" w:rsidRPr="00DA49C9" w14:paraId="2DE00125"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410783D7" w14:textId="77777777" w:rsidR="00A6240C" w:rsidRPr="004F4BA7" w:rsidRDefault="00A6240C" w:rsidP="008E6E40">
            <w:pPr>
              <w:keepNext/>
              <w:rPr>
                <w:bCs/>
                <w:lang w:eastAsia="en-GB"/>
              </w:rPr>
            </w:pPr>
            <w:r w:rsidRPr="004F4BA7">
              <w:rPr>
                <w:bCs/>
                <w:lang w:eastAsia="en-GB"/>
              </w:rPr>
              <w:t>35-39</w:t>
            </w:r>
          </w:p>
        </w:tc>
        <w:tc>
          <w:tcPr>
            <w:tcW w:w="1675" w:type="dxa"/>
            <w:hideMark/>
          </w:tcPr>
          <w:p w14:paraId="585997C9"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6,250</w:t>
            </w:r>
          </w:p>
        </w:tc>
        <w:tc>
          <w:tcPr>
            <w:tcW w:w="1675" w:type="dxa"/>
            <w:hideMark/>
          </w:tcPr>
          <w:p w14:paraId="0020DB35"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6,510</w:t>
            </w:r>
          </w:p>
        </w:tc>
        <w:tc>
          <w:tcPr>
            <w:tcW w:w="1675" w:type="dxa"/>
            <w:hideMark/>
          </w:tcPr>
          <w:p w14:paraId="078623EC"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260</w:t>
            </w:r>
          </w:p>
        </w:tc>
        <w:tc>
          <w:tcPr>
            <w:tcW w:w="1676" w:type="dxa"/>
            <w:hideMark/>
          </w:tcPr>
          <w:p w14:paraId="401CD9E5"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4.20%</w:t>
            </w:r>
          </w:p>
        </w:tc>
      </w:tr>
      <w:tr w:rsidR="00DA49C9" w:rsidRPr="00DA49C9" w14:paraId="768FDA3B"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0598C6A1" w14:textId="77777777" w:rsidR="00A6240C" w:rsidRPr="004F4BA7" w:rsidRDefault="00A6240C" w:rsidP="008E6E40">
            <w:pPr>
              <w:keepNext/>
              <w:rPr>
                <w:bCs/>
                <w:lang w:eastAsia="en-GB"/>
              </w:rPr>
            </w:pPr>
            <w:r w:rsidRPr="004F4BA7">
              <w:rPr>
                <w:bCs/>
                <w:lang w:eastAsia="en-GB"/>
              </w:rPr>
              <w:t>40-44</w:t>
            </w:r>
          </w:p>
        </w:tc>
        <w:tc>
          <w:tcPr>
            <w:tcW w:w="1675" w:type="dxa"/>
            <w:hideMark/>
          </w:tcPr>
          <w:p w14:paraId="5108CE54"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5,904</w:t>
            </w:r>
          </w:p>
        </w:tc>
        <w:tc>
          <w:tcPr>
            <w:tcW w:w="1675" w:type="dxa"/>
            <w:hideMark/>
          </w:tcPr>
          <w:p w14:paraId="59E03D10"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6,616</w:t>
            </w:r>
          </w:p>
        </w:tc>
        <w:tc>
          <w:tcPr>
            <w:tcW w:w="1675" w:type="dxa"/>
            <w:hideMark/>
          </w:tcPr>
          <w:p w14:paraId="0A9372C5"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711</w:t>
            </w:r>
          </w:p>
        </w:tc>
        <w:tc>
          <w:tcPr>
            <w:tcW w:w="1676" w:type="dxa"/>
            <w:hideMark/>
          </w:tcPr>
          <w:p w14:paraId="55A6AEE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12.00%</w:t>
            </w:r>
          </w:p>
        </w:tc>
      </w:tr>
      <w:tr w:rsidR="00DA49C9" w:rsidRPr="00DA49C9" w14:paraId="6FB98386"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07B40A3D" w14:textId="77777777" w:rsidR="00A6240C" w:rsidRPr="004F4BA7" w:rsidRDefault="00A6240C" w:rsidP="008E6E40">
            <w:pPr>
              <w:keepNext/>
              <w:rPr>
                <w:bCs/>
                <w:lang w:eastAsia="en-GB"/>
              </w:rPr>
            </w:pPr>
            <w:r w:rsidRPr="004F4BA7">
              <w:rPr>
                <w:bCs/>
                <w:lang w:eastAsia="en-GB"/>
              </w:rPr>
              <w:t>45-49</w:t>
            </w:r>
          </w:p>
        </w:tc>
        <w:tc>
          <w:tcPr>
            <w:tcW w:w="1675" w:type="dxa"/>
            <w:hideMark/>
          </w:tcPr>
          <w:p w14:paraId="20F982EE"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6,397</w:t>
            </w:r>
          </w:p>
        </w:tc>
        <w:tc>
          <w:tcPr>
            <w:tcW w:w="1675" w:type="dxa"/>
            <w:hideMark/>
          </w:tcPr>
          <w:p w14:paraId="1F20A3D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6,923</w:t>
            </w:r>
          </w:p>
        </w:tc>
        <w:tc>
          <w:tcPr>
            <w:tcW w:w="1675" w:type="dxa"/>
            <w:hideMark/>
          </w:tcPr>
          <w:p w14:paraId="423AAF4C"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526</w:t>
            </w:r>
          </w:p>
        </w:tc>
        <w:tc>
          <w:tcPr>
            <w:tcW w:w="1676" w:type="dxa"/>
            <w:hideMark/>
          </w:tcPr>
          <w:p w14:paraId="6063CCED"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8.20%</w:t>
            </w:r>
          </w:p>
        </w:tc>
      </w:tr>
      <w:tr w:rsidR="00DA49C9" w:rsidRPr="00DA49C9" w14:paraId="7954B330"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3AF7AD4E" w14:textId="77777777" w:rsidR="00A6240C" w:rsidRPr="004F4BA7" w:rsidRDefault="00A6240C" w:rsidP="008E6E40">
            <w:pPr>
              <w:keepNext/>
              <w:rPr>
                <w:bCs/>
                <w:lang w:eastAsia="en-GB"/>
              </w:rPr>
            </w:pPr>
            <w:r w:rsidRPr="004F4BA7">
              <w:rPr>
                <w:bCs/>
                <w:lang w:eastAsia="en-GB"/>
              </w:rPr>
              <w:t>50-54</w:t>
            </w:r>
          </w:p>
        </w:tc>
        <w:tc>
          <w:tcPr>
            <w:tcW w:w="1675" w:type="dxa"/>
            <w:hideMark/>
          </w:tcPr>
          <w:p w14:paraId="4AC06C77"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7,022</w:t>
            </w:r>
          </w:p>
        </w:tc>
        <w:tc>
          <w:tcPr>
            <w:tcW w:w="1675" w:type="dxa"/>
            <w:hideMark/>
          </w:tcPr>
          <w:p w14:paraId="530DF6FB"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6,738</w:t>
            </w:r>
          </w:p>
        </w:tc>
        <w:tc>
          <w:tcPr>
            <w:tcW w:w="1675" w:type="dxa"/>
            <w:hideMark/>
          </w:tcPr>
          <w:p w14:paraId="59C8EEA6"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-283</w:t>
            </w:r>
          </w:p>
        </w:tc>
        <w:tc>
          <w:tcPr>
            <w:tcW w:w="1676" w:type="dxa"/>
            <w:hideMark/>
          </w:tcPr>
          <w:p w14:paraId="0C782CA0"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-4.00%</w:t>
            </w:r>
          </w:p>
        </w:tc>
      </w:tr>
      <w:tr w:rsidR="00DA49C9" w:rsidRPr="00DA49C9" w14:paraId="3B888642"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416B3A10" w14:textId="77777777" w:rsidR="00A6240C" w:rsidRPr="004F4BA7" w:rsidRDefault="00A6240C" w:rsidP="008E6E40">
            <w:pPr>
              <w:keepNext/>
              <w:rPr>
                <w:bCs/>
                <w:lang w:eastAsia="en-GB"/>
              </w:rPr>
            </w:pPr>
            <w:r w:rsidRPr="004F4BA7">
              <w:rPr>
                <w:bCs/>
                <w:lang w:eastAsia="en-GB"/>
              </w:rPr>
              <w:t>55-59</w:t>
            </w:r>
          </w:p>
        </w:tc>
        <w:tc>
          <w:tcPr>
            <w:tcW w:w="1675" w:type="dxa"/>
            <w:hideMark/>
          </w:tcPr>
          <w:p w14:paraId="499F5AF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6,981</w:t>
            </w:r>
          </w:p>
        </w:tc>
        <w:tc>
          <w:tcPr>
            <w:tcW w:w="1675" w:type="dxa"/>
            <w:hideMark/>
          </w:tcPr>
          <w:p w14:paraId="0170B54F"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7,094</w:t>
            </w:r>
          </w:p>
        </w:tc>
        <w:tc>
          <w:tcPr>
            <w:tcW w:w="1675" w:type="dxa"/>
            <w:hideMark/>
          </w:tcPr>
          <w:p w14:paraId="5BE83E70"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113</w:t>
            </w:r>
          </w:p>
        </w:tc>
        <w:tc>
          <w:tcPr>
            <w:tcW w:w="1676" w:type="dxa"/>
            <w:hideMark/>
          </w:tcPr>
          <w:p w14:paraId="77B0250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1.60%</w:t>
            </w:r>
          </w:p>
        </w:tc>
      </w:tr>
      <w:tr w:rsidR="00DA49C9" w:rsidRPr="00DA49C9" w14:paraId="3889A1E0"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7F936538" w14:textId="77777777" w:rsidR="00A6240C" w:rsidRPr="004F4BA7" w:rsidRDefault="00A6240C" w:rsidP="008E6E40">
            <w:pPr>
              <w:keepNext/>
              <w:rPr>
                <w:bCs/>
                <w:lang w:eastAsia="en-GB"/>
              </w:rPr>
            </w:pPr>
            <w:r w:rsidRPr="004F4BA7">
              <w:rPr>
                <w:bCs/>
                <w:lang w:eastAsia="en-GB"/>
              </w:rPr>
              <w:t>60-64</w:t>
            </w:r>
          </w:p>
        </w:tc>
        <w:tc>
          <w:tcPr>
            <w:tcW w:w="1675" w:type="dxa"/>
            <w:hideMark/>
          </w:tcPr>
          <w:p w14:paraId="549F0DF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6,180</w:t>
            </w:r>
          </w:p>
        </w:tc>
        <w:tc>
          <w:tcPr>
            <w:tcW w:w="1675" w:type="dxa"/>
            <w:hideMark/>
          </w:tcPr>
          <w:p w14:paraId="74E81ABD"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7,077</w:t>
            </w:r>
          </w:p>
        </w:tc>
        <w:tc>
          <w:tcPr>
            <w:tcW w:w="1675" w:type="dxa"/>
            <w:hideMark/>
          </w:tcPr>
          <w:p w14:paraId="0756CC95"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897</w:t>
            </w:r>
          </w:p>
        </w:tc>
        <w:tc>
          <w:tcPr>
            <w:tcW w:w="1676" w:type="dxa"/>
            <w:hideMark/>
          </w:tcPr>
          <w:p w14:paraId="27F336C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14.50%</w:t>
            </w:r>
          </w:p>
        </w:tc>
      </w:tr>
      <w:tr w:rsidR="00DA49C9" w:rsidRPr="00DA49C9" w14:paraId="47552432"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1313D496" w14:textId="77777777" w:rsidR="00A6240C" w:rsidRPr="004F4BA7" w:rsidRDefault="00A6240C" w:rsidP="008E6E40">
            <w:pPr>
              <w:keepNext/>
              <w:rPr>
                <w:bCs/>
                <w:lang w:eastAsia="en-GB"/>
              </w:rPr>
            </w:pPr>
            <w:r w:rsidRPr="004F4BA7">
              <w:rPr>
                <w:bCs/>
                <w:lang w:eastAsia="en-GB"/>
              </w:rPr>
              <w:t>65-69</w:t>
            </w:r>
          </w:p>
        </w:tc>
        <w:tc>
          <w:tcPr>
            <w:tcW w:w="1675" w:type="dxa"/>
            <w:hideMark/>
          </w:tcPr>
          <w:p w14:paraId="7ACF3988"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5,847</w:t>
            </w:r>
          </w:p>
        </w:tc>
        <w:tc>
          <w:tcPr>
            <w:tcW w:w="1675" w:type="dxa"/>
            <w:hideMark/>
          </w:tcPr>
          <w:p w14:paraId="7ADF1BB3"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7,743</w:t>
            </w:r>
          </w:p>
        </w:tc>
        <w:tc>
          <w:tcPr>
            <w:tcW w:w="1675" w:type="dxa"/>
            <w:hideMark/>
          </w:tcPr>
          <w:p w14:paraId="5C36A7A0"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1,896</w:t>
            </w:r>
          </w:p>
        </w:tc>
        <w:tc>
          <w:tcPr>
            <w:tcW w:w="1676" w:type="dxa"/>
            <w:hideMark/>
          </w:tcPr>
          <w:p w14:paraId="37C979DF"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32.40%</w:t>
            </w:r>
          </w:p>
        </w:tc>
      </w:tr>
      <w:tr w:rsidR="00DA49C9" w:rsidRPr="00DA49C9" w14:paraId="3601A1A4"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285A773E" w14:textId="77777777" w:rsidR="00A6240C" w:rsidRPr="004F4BA7" w:rsidRDefault="00A6240C" w:rsidP="008E6E40">
            <w:pPr>
              <w:keepNext/>
              <w:rPr>
                <w:bCs/>
                <w:lang w:eastAsia="en-GB"/>
              </w:rPr>
            </w:pPr>
            <w:r w:rsidRPr="004F4BA7">
              <w:rPr>
                <w:bCs/>
                <w:lang w:eastAsia="en-GB"/>
              </w:rPr>
              <w:t>70-74</w:t>
            </w:r>
          </w:p>
        </w:tc>
        <w:tc>
          <w:tcPr>
            <w:tcW w:w="1675" w:type="dxa"/>
            <w:hideMark/>
          </w:tcPr>
          <w:p w14:paraId="319D60A3"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6,387</w:t>
            </w:r>
          </w:p>
        </w:tc>
        <w:tc>
          <w:tcPr>
            <w:tcW w:w="1675" w:type="dxa"/>
            <w:hideMark/>
          </w:tcPr>
          <w:p w14:paraId="7D91224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8,281</w:t>
            </w:r>
          </w:p>
        </w:tc>
        <w:tc>
          <w:tcPr>
            <w:tcW w:w="1675" w:type="dxa"/>
            <w:hideMark/>
          </w:tcPr>
          <w:p w14:paraId="43DC1E09"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1,895</w:t>
            </w:r>
          </w:p>
        </w:tc>
        <w:tc>
          <w:tcPr>
            <w:tcW w:w="1676" w:type="dxa"/>
            <w:hideMark/>
          </w:tcPr>
          <w:p w14:paraId="6E791403"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29.70%</w:t>
            </w:r>
          </w:p>
        </w:tc>
      </w:tr>
      <w:tr w:rsidR="00DA49C9" w:rsidRPr="00DA49C9" w14:paraId="79DFD7E3"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77A2CF71" w14:textId="77777777" w:rsidR="00A6240C" w:rsidRPr="004F4BA7" w:rsidRDefault="00A6240C" w:rsidP="008E6E40">
            <w:pPr>
              <w:keepNext/>
              <w:rPr>
                <w:bCs/>
                <w:lang w:eastAsia="en-GB"/>
              </w:rPr>
            </w:pPr>
            <w:r w:rsidRPr="004F4BA7">
              <w:rPr>
                <w:bCs/>
                <w:lang w:eastAsia="en-GB"/>
              </w:rPr>
              <w:t>75-79</w:t>
            </w:r>
          </w:p>
        </w:tc>
        <w:tc>
          <w:tcPr>
            <w:tcW w:w="1675" w:type="dxa"/>
            <w:hideMark/>
          </w:tcPr>
          <w:p w14:paraId="3BFD0B1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4,854</w:t>
            </w:r>
          </w:p>
        </w:tc>
        <w:tc>
          <w:tcPr>
            <w:tcW w:w="1675" w:type="dxa"/>
            <w:hideMark/>
          </w:tcPr>
          <w:p w14:paraId="759FB165"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7,452</w:t>
            </w:r>
          </w:p>
        </w:tc>
        <w:tc>
          <w:tcPr>
            <w:tcW w:w="1675" w:type="dxa"/>
            <w:hideMark/>
          </w:tcPr>
          <w:p w14:paraId="0A655E70"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2,598</w:t>
            </w:r>
          </w:p>
        </w:tc>
        <w:tc>
          <w:tcPr>
            <w:tcW w:w="1676" w:type="dxa"/>
            <w:hideMark/>
          </w:tcPr>
          <w:p w14:paraId="6DE4B425"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53.50%</w:t>
            </w:r>
          </w:p>
        </w:tc>
      </w:tr>
      <w:tr w:rsidR="00DA49C9" w:rsidRPr="00DA49C9" w14:paraId="30DBEB94"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1B6A27C3" w14:textId="77777777" w:rsidR="00A6240C" w:rsidRPr="004F4BA7" w:rsidRDefault="00A6240C" w:rsidP="008E6E40">
            <w:pPr>
              <w:keepNext/>
              <w:rPr>
                <w:bCs/>
                <w:lang w:eastAsia="en-GB"/>
              </w:rPr>
            </w:pPr>
            <w:r w:rsidRPr="004F4BA7">
              <w:rPr>
                <w:bCs/>
                <w:lang w:eastAsia="en-GB"/>
              </w:rPr>
              <w:t>80-84</w:t>
            </w:r>
          </w:p>
        </w:tc>
        <w:tc>
          <w:tcPr>
            <w:tcW w:w="1675" w:type="dxa"/>
            <w:hideMark/>
          </w:tcPr>
          <w:p w14:paraId="528426E6"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3,921</w:t>
            </w:r>
          </w:p>
        </w:tc>
        <w:tc>
          <w:tcPr>
            <w:tcW w:w="1675" w:type="dxa"/>
            <w:hideMark/>
          </w:tcPr>
          <w:p w14:paraId="32D53533"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5,967</w:t>
            </w:r>
          </w:p>
        </w:tc>
        <w:tc>
          <w:tcPr>
            <w:tcW w:w="1675" w:type="dxa"/>
            <w:hideMark/>
          </w:tcPr>
          <w:p w14:paraId="3866B1BB"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2,046</w:t>
            </w:r>
          </w:p>
        </w:tc>
        <w:tc>
          <w:tcPr>
            <w:tcW w:w="1676" w:type="dxa"/>
            <w:hideMark/>
          </w:tcPr>
          <w:p w14:paraId="56BD225B"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52.20%</w:t>
            </w:r>
          </w:p>
        </w:tc>
      </w:tr>
      <w:tr w:rsidR="00DA49C9" w:rsidRPr="00DA49C9" w14:paraId="330F6E00"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7FE96387" w14:textId="77777777" w:rsidR="00A6240C" w:rsidRPr="004F4BA7" w:rsidRDefault="00A6240C" w:rsidP="008E6E40">
            <w:pPr>
              <w:keepNext/>
              <w:rPr>
                <w:bCs/>
                <w:lang w:eastAsia="en-GB"/>
              </w:rPr>
            </w:pPr>
            <w:r w:rsidRPr="004F4BA7">
              <w:rPr>
                <w:bCs/>
                <w:lang w:eastAsia="en-GB"/>
              </w:rPr>
              <w:t>85 &amp; over</w:t>
            </w:r>
          </w:p>
        </w:tc>
        <w:tc>
          <w:tcPr>
            <w:tcW w:w="1675" w:type="dxa"/>
            <w:hideMark/>
          </w:tcPr>
          <w:p w14:paraId="379C3F49"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3,939</w:t>
            </w:r>
          </w:p>
        </w:tc>
        <w:tc>
          <w:tcPr>
            <w:tcW w:w="1675" w:type="dxa"/>
            <w:hideMark/>
          </w:tcPr>
          <w:p w14:paraId="00349623"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7,838</w:t>
            </w:r>
          </w:p>
        </w:tc>
        <w:tc>
          <w:tcPr>
            <w:tcW w:w="1675" w:type="dxa"/>
            <w:hideMark/>
          </w:tcPr>
          <w:p w14:paraId="7C705C2E"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3,900</w:t>
            </w:r>
          </w:p>
        </w:tc>
        <w:tc>
          <w:tcPr>
            <w:tcW w:w="1676" w:type="dxa"/>
            <w:hideMark/>
          </w:tcPr>
          <w:p w14:paraId="7D8D5C00"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99.00%</w:t>
            </w:r>
          </w:p>
        </w:tc>
      </w:tr>
      <w:tr w:rsidR="00DA49C9" w:rsidRPr="00DA49C9" w14:paraId="3033C058" w14:textId="77777777" w:rsidTr="00DA49C9">
        <w:trPr>
          <w:trHeight w:val="298"/>
        </w:trPr>
        <w:tc>
          <w:tcPr>
            <w:cnfStyle w:val="001000000000" w:firstRow="0" w:lastRow="0" w:firstColumn="1" w:lastColumn="0" w:oddVBand="0" w:evenVBand="0" w:oddHBand="0" w:evenHBand="0" w:firstRowFirstColumn="0" w:firstRowLastColumn="0" w:lastRowFirstColumn="0" w:lastRowLastColumn="0"/>
            <w:tcW w:w="1804" w:type="dxa"/>
            <w:hideMark/>
          </w:tcPr>
          <w:p w14:paraId="71FBD588" w14:textId="77777777" w:rsidR="00A6240C" w:rsidRPr="00DA49C9" w:rsidRDefault="00A6240C" w:rsidP="008E6E40">
            <w:pPr>
              <w:keepNext/>
              <w:rPr>
                <w:b/>
                <w:lang w:eastAsia="en-GB"/>
              </w:rPr>
            </w:pPr>
            <w:r w:rsidRPr="00DA49C9">
              <w:rPr>
                <w:b/>
                <w:lang w:eastAsia="en-GB"/>
              </w:rPr>
              <w:t>Total</w:t>
            </w:r>
          </w:p>
        </w:tc>
        <w:tc>
          <w:tcPr>
            <w:tcW w:w="1675" w:type="dxa"/>
            <w:hideMark/>
          </w:tcPr>
          <w:p w14:paraId="653BB2F2" w14:textId="77777777" w:rsidR="00A6240C" w:rsidRPr="004F4BA7" w:rsidRDefault="00A6240C"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76,794</w:t>
            </w:r>
          </w:p>
        </w:tc>
        <w:tc>
          <w:tcPr>
            <w:tcW w:w="1675" w:type="dxa"/>
            <w:hideMark/>
          </w:tcPr>
          <w:p w14:paraId="3E4CE786" w14:textId="77777777" w:rsidR="00A6240C" w:rsidRPr="004F4BA7" w:rsidRDefault="00A6240C"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92,328</w:t>
            </w:r>
          </w:p>
        </w:tc>
        <w:tc>
          <w:tcPr>
            <w:tcW w:w="1675" w:type="dxa"/>
            <w:hideMark/>
          </w:tcPr>
          <w:p w14:paraId="275AD1F4" w14:textId="77777777" w:rsidR="00A6240C" w:rsidRPr="004F4BA7" w:rsidRDefault="00A6240C"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15,534</w:t>
            </w:r>
          </w:p>
        </w:tc>
        <w:tc>
          <w:tcPr>
            <w:tcW w:w="1676" w:type="dxa"/>
            <w:hideMark/>
          </w:tcPr>
          <w:p w14:paraId="6235420C" w14:textId="77777777" w:rsidR="00A6240C" w:rsidRPr="004F4BA7" w:rsidRDefault="00A6240C" w:rsidP="008E6E40">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20.20%</w:t>
            </w:r>
          </w:p>
        </w:tc>
      </w:tr>
    </w:tbl>
    <w:p w14:paraId="4C66BEB8" w14:textId="77777777" w:rsidR="00A6240C" w:rsidRDefault="00A6240C" w:rsidP="008E6E40">
      <w:pPr>
        <w:pStyle w:val="Caption"/>
        <w:keepNext/>
        <w:spacing w:after="0"/>
        <w:ind w:firstLine="794"/>
        <w:rPr>
          <w:rFonts w:ascii="Arial" w:hAnsi="Arial" w:cs="Arial"/>
          <w:i w:val="0"/>
          <w:iCs w:val="0"/>
          <w:color w:val="auto"/>
          <w:sz w:val="20"/>
          <w:szCs w:val="20"/>
        </w:rPr>
      </w:pPr>
      <w:r>
        <w:rPr>
          <w:rFonts w:ascii="Arial" w:hAnsi="Arial" w:cs="Arial"/>
          <w:i w:val="0"/>
          <w:iCs w:val="0"/>
          <w:color w:val="auto"/>
          <w:sz w:val="20"/>
          <w:szCs w:val="20"/>
        </w:rPr>
        <w:t xml:space="preserve"> </w:t>
      </w:r>
      <w:r w:rsidRPr="00A830B2">
        <w:rPr>
          <w:rFonts w:ascii="Arial" w:hAnsi="Arial" w:cs="Arial"/>
          <w:i w:val="0"/>
          <w:iCs w:val="0"/>
          <w:color w:val="auto"/>
          <w:sz w:val="24"/>
          <w:szCs w:val="24"/>
        </w:rPr>
        <w:t>Source: Demographic Projections</w:t>
      </w:r>
    </w:p>
    <w:p w14:paraId="1CAF6F04" w14:textId="77777777" w:rsidR="00A6240C" w:rsidRDefault="00A6240C" w:rsidP="007D0FBF">
      <w:pPr>
        <w:pStyle w:val="Heading2"/>
      </w:pPr>
      <w:r>
        <w:t>Modelled Outputs</w:t>
      </w:r>
    </w:p>
    <w:p w14:paraId="11429B96" w14:textId="77777777" w:rsidR="00A6240C" w:rsidRDefault="00A6240C" w:rsidP="007D0FBF">
      <w:pPr>
        <w:pStyle w:val="11Bodytext"/>
      </w:pPr>
      <w:r>
        <w:t>By following the methodology set out above and drawing on the sources shown including the tables outlining the growth in the number of households by age of HRP and Average Bedrooms by Age and Tenure, a series of outputs have been derived to consider the likely size requirement of housing within each of the three broad tenures. The first table below shows the profile of need applying the local occupancy patterns and the second if instead the regional occupancy patterns are applied.</w:t>
      </w:r>
    </w:p>
    <w:p w14:paraId="435786A2" w14:textId="77777777" w:rsidR="00A6240C" w:rsidRDefault="00A6240C" w:rsidP="007D0FBF">
      <w:pPr>
        <w:pStyle w:val="11Bodytext"/>
      </w:pPr>
      <w:r>
        <w:t xml:space="preserve">Overall, the analysis clearly shows the different profiles in the three broad tenures with rented affordable housing being more heavily skewed towards smaller dwellings, and affordable home ownership sitting somewhere in between the market and rented affordable housing.  </w:t>
      </w:r>
    </w:p>
    <w:p w14:paraId="6555A9FC" w14:textId="77777777" w:rsidR="00647ED0" w:rsidRDefault="00647ED0">
      <w:pPr>
        <w:spacing w:after="200"/>
        <w:rPr>
          <w:bCs/>
          <w:sz w:val="24"/>
          <w:szCs w:val="24"/>
        </w:rPr>
      </w:pPr>
      <w:r>
        <w:br w:type="page"/>
      </w:r>
    </w:p>
    <w:p w14:paraId="0FD4D716" w14:textId="62B56E4F" w:rsidR="00A6240C" w:rsidRDefault="00A6240C" w:rsidP="007D0FBF">
      <w:pPr>
        <w:pStyle w:val="11Bodytext"/>
      </w:pPr>
      <w:r>
        <w:lastRenderedPageBreak/>
        <w:t>The data does show some difference between the outputs depending on whether local or regional occupancy patterns are used. The most notable difference (as might be expected) is in terms of the modelled need for 4+-bedroom homes in the market sector where the local occupancy pattern shows a higher figure. There are also some modest differences with regard to affordable home ownership and also some small differences for social/affordable rent housing.</w:t>
      </w:r>
    </w:p>
    <w:p w14:paraId="734C1F7C" w14:textId="77777777" w:rsidR="00A6240C" w:rsidRDefault="00A6240C" w:rsidP="003D5E23">
      <w:pPr>
        <w:pStyle w:val="Tableheading"/>
        <w:numPr>
          <w:ilvl w:val="0"/>
          <w:numId w:val="54"/>
        </w:numPr>
      </w:pPr>
      <w:r>
        <w:t>Modelled Mix of Housing by Size and Tenure in Cambridgeshire/West Suffolk (Local Occupancy pattern)</w:t>
      </w:r>
    </w:p>
    <w:tbl>
      <w:tblPr>
        <w:tblStyle w:val="TableGridLight1"/>
        <w:tblW w:w="8691" w:type="dxa"/>
        <w:tblInd w:w="846" w:type="dxa"/>
        <w:tblLook w:val="04A0" w:firstRow="1" w:lastRow="0" w:firstColumn="1" w:lastColumn="0" w:noHBand="0" w:noVBand="1"/>
      </w:tblPr>
      <w:tblGrid>
        <w:gridCol w:w="2707"/>
        <w:gridCol w:w="1282"/>
        <w:gridCol w:w="1567"/>
        <w:gridCol w:w="1567"/>
        <w:gridCol w:w="1568"/>
      </w:tblGrid>
      <w:tr w:rsidR="00A6240C" w14:paraId="63356825" w14:textId="77777777" w:rsidTr="00A830B2">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7" w:type="dxa"/>
            <w:hideMark/>
          </w:tcPr>
          <w:p w14:paraId="4A60D69A" w14:textId="77777777" w:rsidR="00A6240C" w:rsidRPr="00DA49C9" w:rsidRDefault="00A6240C" w:rsidP="008E6E40">
            <w:pPr>
              <w:keepNext/>
              <w:rPr>
                <w:lang w:eastAsia="en-GB"/>
              </w:rPr>
            </w:pPr>
            <w:r w:rsidRPr="00DA49C9">
              <w:rPr>
                <w:lang w:eastAsia="en-GB"/>
              </w:rPr>
              <w:t> </w:t>
            </w:r>
          </w:p>
        </w:tc>
        <w:tc>
          <w:tcPr>
            <w:tcW w:w="1282" w:type="dxa"/>
            <w:hideMark/>
          </w:tcPr>
          <w:p w14:paraId="0015A3D9"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1-bedroom</w:t>
            </w:r>
          </w:p>
        </w:tc>
        <w:tc>
          <w:tcPr>
            <w:tcW w:w="1567" w:type="dxa"/>
            <w:hideMark/>
          </w:tcPr>
          <w:p w14:paraId="593B5D66"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2-bedrooms</w:t>
            </w:r>
          </w:p>
        </w:tc>
        <w:tc>
          <w:tcPr>
            <w:tcW w:w="1567" w:type="dxa"/>
            <w:hideMark/>
          </w:tcPr>
          <w:p w14:paraId="557AFA48"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3-bedrooms</w:t>
            </w:r>
          </w:p>
        </w:tc>
        <w:tc>
          <w:tcPr>
            <w:tcW w:w="1568" w:type="dxa"/>
            <w:hideMark/>
          </w:tcPr>
          <w:p w14:paraId="69E076AB"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spacing w:val="-6"/>
                <w:lang w:eastAsia="en-GB"/>
              </w:rPr>
              <w:t>4+-bedrooms</w:t>
            </w:r>
          </w:p>
        </w:tc>
      </w:tr>
      <w:tr w:rsidR="00A6240C" w14:paraId="47D0A0A2" w14:textId="77777777" w:rsidTr="00A830B2">
        <w:trPr>
          <w:trHeight w:val="169"/>
        </w:trPr>
        <w:tc>
          <w:tcPr>
            <w:cnfStyle w:val="001000000000" w:firstRow="0" w:lastRow="0" w:firstColumn="1" w:lastColumn="0" w:oddVBand="0" w:evenVBand="0" w:oddHBand="0" w:evenHBand="0" w:firstRowFirstColumn="0" w:firstRowLastColumn="0" w:lastRowFirstColumn="0" w:lastRowLastColumn="0"/>
            <w:tcW w:w="2707" w:type="dxa"/>
            <w:hideMark/>
          </w:tcPr>
          <w:p w14:paraId="12E92E1C" w14:textId="77777777" w:rsidR="00A6240C" w:rsidRPr="004F4BA7" w:rsidRDefault="00A6240C" w:rsidP="008E6E40">
            <w:pPr>
              <w:keepNext/>
              <w:rPr>
                <w:bCs/>
                <w:lang w:eastAsia="en-GB"/>
              </w:rPr>
            </w:pPr>
            <w:r w:rsidRPr="004F4BA7">
              <w:rPr>
                <w:bCs/>
                <w:lang w:eastAsia="en-GB"/>
              </w:rPr>
              <w:t>Market</w:t>
            </w:r>
          </w:p>
        </w:tc>
        <w:tc>
          <w:tcPr>
            <w:tcW w:w="1282" w:type="dxa"/>
            <w:hideMark/>
          </w:tcPr>
          <w:p w14:paraId="169A9369"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w:t>
            </w:r>
          </w:p>
        </w:tc>
        <w:tc>
          <w:tcPr>
            <w:tcW w:w="1567" w:type="dxa"/>
            <w:hideMark/>
          </w:tcPr>
          <w:p w14:paraId="4315CF34"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25%</w:t>
            </w:r>
          </w:p>
        </w:tc>
        <w:tc>
          <w:tcPr>
            <w:tcW w:w="1567" w:type="dxa"/>
            <w:hideMark/>
          </w:tcPr>
          <w:p w14:paraId="36BAD03D"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45%</w:t>
            </w:r>
          </w:p>
        </w:tc>
        <w:tc>
          <w:tcPr>
            <w:tcW w:w="1568" w:type="dxa"/>
            <w:hideMark/>
          </w:tcPr>
          <w:p w14:paraId="37D37F8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27%</w:t>
            </w:r>
          </w:p>
        </w:tc>
      </w:tr>
      <w:tr w:rsidR="00A6240C" w14:paraId="204B7540" w14:textId="77777777" w:rsidTr="00A830B2">
        <w:trPr>
          <w:trHeight w:val="287"/>
        </w:trPr>
        <w:tc>
          <w:tcPr>
            <w:cnfStyle w:val="001000000000" w:firstRow="0" w:lastRow="0" w:firstColumn="1" w:lastColumn="0" w:oddVBand="0" w:evenVBand="0" w:oddHBand="0" w:evenHBand="0" w:firstRowFirstColumn="0" w:firstRowLastColumn="0" w:lastRowFirstColumn="0" w:lastRowLastColumn="0"/>
            <w:tcW w:w="2707" w:type="dxa"/>
            <w:hideMark/>
          </w:tcPr>
          <w:p w14:paraId="29AF35FA" w14:textId="77777777" w:rsidR="00A6240C" w:rsidRPr="004F4BA7" w:rsidRDefault="00A6240C" w:rsidP="008E6E40">
            <w:pPr>
              <w:keepNext/>
              <w:rPr>
                <w:bCs/>
                <w:lang w:eastAsia="en-GB"/>
              </w:rPr>
            </w:pPr>
            <w:r w:rsidRPr="004F4BA7">
              <w:rPr>
                <w:bCs/>
                <w:lang w:eastAsia="en-GB"/>
              </w:rPr>
              <w:t>Affordable home ownership</w:t>
            </w:r>
          </w:p>
        </w:tc>
        <w:tc>
          <w:tcPr>
            <w:tcW w:w="1282" w:type="dxa"/>
            <w:hideMark/>
          </w:tcPr>
          <w:p w14:paraId="41B68A77"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19%</w:t>
            </w:r>
          </w:p>
        </w:tc>
        <w:tc>
          <w:tcPr>
            <w:tcW w:w="1567" w:type="dxa"/>
            <w:hideMark/>
          </w:tcPr>
          <w:p w14:paraId="12EADE7C"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38%</w:t>
            </w:r>
          </w:p>
        </w:tc>
        <w:tc>
          <w:tcPr>
            <w:tcW w:w="1567" w:type="dxa"/>
            <w:hideMark/>
          </w:tcPr>
          <w:p w14:paraId="5765FA0F"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31%</w:t>
            </w:r>
          </w:p>
        </w:tc>
        <w:tc>
          <w:tcPr>
            <w:tcW w:w="1568" w:type="dxa"/>
            <w:hideMark/>
          </w:tcPr>
          <w:p w14:paraId="7E37086F"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12%</w:t>
            </w:r>
          </w:p>
        </w:tc>
      </w:tr>
      <w:tr w:rsidR="00A6240C" w14:paraId="7D455677" w14:textId="77777777" w:rsidTr="00A830B2">
        <w:trPr>
          <w:trHeight w:val="287"/>
        </w:trPr>
        <w:tc>
          <w:tcPr>
            <w:cnfStyle w:val="001000000000" w:firstRow="0" w:lastRow="0" w:firstColumn="1" w:lastColumn="0" w:oddVBand="0" w:evenVBand="0" w:oddHBand="0" w:evenHBand="0" w:firstRowFirstColumn="0" w:firstRowLastColumn="0" w:lastRowFirstColumn="0" w:lastRowLastColumn="0"/>
            <w:tcW w:w="2707" w:type="dxa"/>
            <w:hideMark/>
          </w:tcPr>
          <w:p w14:paraId="09DDD386" w14:textId="77777777" w:rsidR="00A6240C" w:rsidRPr="004F4BA7" w:rsidRDefault="00A6240C" w:rsidP="008E6E40">
            <w:pPr>
              <w:keepNext/>
              <w:rPr>
                <w:bCs/>
                <w:lang w:eastAsia="en-GB"/>
              </w:rPr>
            </w:pPr>
            <w:r w:rsidRPr="004F4BA7">
              <w:rPr>
                <w:bCs/>
                <w:lang w:eastAsia="en-GB"/>
              </w:rPr>
              <w:t>Affordable housing (rented)</w:t>
            </w:r>
          </w:p>
        </w:tc>
        <w:tc>
          <w:tcPr>
            <w:tcW w:w="1282" w:type="dxa"/>
            <w:hideMark/>
          </w:tcPr>
          <w:p w14:paraId="1E0862CB"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33%</w:t>
            </w:r>
          </w:p>
        </w:tc>
        <w:tc>
          <w:tcPr>
            <w:tcW w:w="1567" w:type="dxa"/>
            <w:hideMark/>
          </w:tcPr>
          <w:p w14:paraId="42C2D88B"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37%</w:t>
            </w:r>
          </w:p>
        </w:tc>
        <w:tc>
          <w:tcPr>
            <w:tcW w:w="1567" w:type="dxa"/>
            <w:hideMark/>
          </w:tcPr>
          <w:p w14:paraId="47FA1B52"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27%</w:t>
            </w:r>
          </w:p>
        </w:tc>
        <w:tc>
          <w:tcPr>
            <w:tcW w:w="1568" w:type="dxa"/>
            <w:hideMark/>
          </w:tcPr>
          <w:p w14:paraId="60F6F5EC"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w:t>
            </w:r>
          </w:p>
        </w:tc>
      </w:tr>
    </w:tbl>
    <w:p w14:paraId="68131D79" w14:textId="2B78F0EE" w:rsidR="00A6240C" w:rsidRDefault="00A6240C" w:rsidP="008F76FB">
      <w:pPr>
        <w:pStyle w:val="BodyText"/>
        <w:keepNext/>
        <w:tabs>
          <w:tab w:val="clear" w:pos="0"/>
          <w:tab w:val="left" w:pos="720"/>
        </w:tabs>
        <w:spacing w:after="0" w:line="240" w:lineRule="auto"/>
        <w:ind w:left="794" w:firstLine="0"/>
        <w:rPr>
          <w:rFonts w:ascii="Arial" w:hAnsi="Arial" w:cs="Arial"/>
        </w:rPr>
      </w:pPr>
      <w:r>
        <w:rPr>
          <w:rFonts w:ascii="Arial" w:hAnsi="Arial" w:cs="Arial"/>
        </w:rPr>
        <w:t xml:space="preserve"> </w:t>
      </w:r>
      <w:r w:rsidRPr="00A830B2">
        <w:rPr>
          <w:rFonts w:ascii="Arial" w:hAnsi="Arial" w:cs="Arial"/>
          <w:sz w:val="24"/>
          <w:szCs w:val="24"/>
        </w:rPr>
        <w:t>Source: Housing Market Model</w:t>
      </w:r>
    </w:p>
    <w:p w14:paraId="59BF9C06" w14:textId="77777777" w:rsidR="008F76FB" w:rsidRDefault="008F76FB" w:rsidP="008E6E40">
      <w:pPr>
        <w:pStyle w:val="BodyText"/>
        <w:keepNext/>
        <w:tabs>
          <w:tab w:val="clear" w:pos="0"/>
          <w:tab w:val="left" w:pos="720"/>
        </w:tabs>
        <w:spacing w:after="0" w:line="240" w:lineRule="auto"/>
        <w:ind w:left="794" w:firstLine="0"/>
        <w:rPr>
          <w:rFonts w:ascii="Arial" w:hAnsi="Arial" w:cs="Arial"/>
        </w:rPr>
      </w:pPr>
    </w:p>
    <w:p w14:paraId="405E89BE" w14:textId="77777777" w:rsidR="00A6240C" w:rsidRDefault="00A6240C" w:rsidP="003D5E23">
      <w:pPr>
        <w:pStyle w:val="Tableheading"/>
        <w:numPr>
          <w:ilvl w:val="0"/>
          <w:numId w:val="54"/>
        </w:numPr>
      </w:pPr>
      <w:r>
        <w:t>Modelled Mix of Housing by Size and Tenure in Cambridgeshire/West Suffolk (Regional Occupancy pattern)</w:t>
      </w:r>
    </w:p>
    <w:tbl>
      <w:tblPr>
        <w:tblStyle w:val="TableGridLight1"/>
        <w:tblW w:w="8698" w:type="dxa"/>
        <w:tblInd w:w="846" w:type="dxa"/>
        <w:tblLook w:val="04A0" w:firstRow="1" w:lastRow="0" w:firstColumn="1" w:lastColumn="0" w:noHBand="0" w:noVBand="1"/>
      </w:tblPr>
      <w:tblGrid>
        <w:gridCol w:w="2674"/>
        <w:gridCol w:w="1506"/>
        <w:gridCol w:w="1506"/>
        <w:gridCol w:w="1506"/>
        <w:gridCol w:w="1506"/>
      </w:tblGrid>
      <w:tr w:rsidR="00DA49C9" w:rsidRPr="00DA49C9" w14:paraId="0A494A5D" w14:textId="77777777" w:rsidTr="00A830B2">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674" w:type="dxa"/>
            <w:hideMark/>
          </w:tcPr>
          <w:p w14:paraId="05D70F40" w14:textId="77777777" w:rsidR="00A6240C" w:rsidRPr="00DA49C9" w:rsidRDefault="00A6240C" w:rsidP="008E6E40">
            <w:pPr>
              <w:keepNext/>
              <w:rPr>
                <w:lang w:eastAsia="en-GB"/>
              </w:rPr>
            </w:pPr>
            <w:r w:rsidRPr="00DA49C9">
              <w:rPr>
                <w:lang w:eastAsia="en-GB"/>
              </w:rPr>
              <w:t> </w:t>
            </w:r>
          </w:p>
        </w:tc>
        <w:tc>
          <w:tcPr>
            <w:tcW w:w="1506" w:type="dxa"/>
            <w:hideMark/>
          </w:tcPr>
          <w:p w14:paraId="2670B9D5"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1-bedroom</w:t>
            </w:r>
          </w:p>
        </w:tc>
        <w:tc>
          <w:tcPr>
            <w:tcW w:w="1506" w:type="dxa"/>
            <w:hideMark/>
          </w:tcPr>
          <w:p w14:paraId="4D95E0F7"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2-bedrooms</w:t>
            </w:r>
          </w:p>
        </w:tc>
        <w:tc>
          <w:tcPr>
            <w:tcW w:w="1506" w:type="dxa"/>
            <w:hideMark/>
          </w:tcPr>
          <w:p w14:paraId="09E4539A"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3-bedrooms</w:t>
            </w:r>
          </w:p>
        </w:tc>
        <w:tc>
          <w:tcPr>
            <w:tcW w:w="1506" w:type="dxa"/>
            <w:hideMark/>
          </w:tcPr>
          <w:p w14:paraId="1767F5B1" w14:textId="77777777" w:rsidR="00A6240C" w:rsidRPr="00DA49C9" w:rsidRDefault="00A6240C" w:rsidP="008E6E40">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spacing w:val="-6"/>
                <w:lang w:eastAsia="en-GB"/>
              </w:rPr>
              <w:t>4+-bedrooms</w:t>
            </w:r>
          </w:p>
        </w:tc>
      </w:tr>
      <w:tr w:rsidR="00DA49C9" w:rsidRPr="00DA49C9" w14:paraId="4AFA95CE" w14:textId="77777777" w:rsidTr="00A830B2">
        <w:trPr>
          <w:trHeight w:val="157"/>
        </w:trPr>
        <w:tc>
          <w:tcPr>
            <w:cnfStyle w:val="001000000000" w:firstRow="0" w:lastRow="0" w:firstColumn="1" w:lastColumn="0" w:oddVBand="0" w:evenVBand="0" w:oddHBand="0" w:evenHBand="0" w:firstRowFirstColumn="0" w:firstRowLastColumn="0" w:lastRowFirstColumn="0" w:lastRowLastColumn="0"/>
            <w:tcW w:w="2674" w:type="dxa"/>
            <w:hideMark/>
          </w:tcPr>
          <w:p w14:paraId="38B69B11" w14:textId="77777777" w:rsidR="00A6240C" w:rsidRPr="004F4BA7" w:rsidRDefault="00A6240C" w:rsidP="008E6E40">
            <w:pPr>
              <w:keepNext/>
              <w:rPr>
                <w:lang w:eastAsia="en-GB"/>
              </w:rPr>
            </w:pPr>
            <w:r w:rsidRPr="004F4BA7">
              <w:rPr>
                <w:lang w:eastAsia="en-GB"/>
              </w:rPr>
              <w:t>Market</w:t>
            </w:r>
          </w:p>
        </w:tc>
        <w:tc>
          <w:tcPr>
            <w:tcW w:w="1506" w:type="dxa"/>
            <w:hideMark/>
          </w:tcPr>
          <w:p w14:paraId="5067A76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4%</w:t>
            </w:r>
          </w:p>
        </w:tc>
        <w:tc>
          <w:tcPr>
            <w:tcW w:w="1506" w:type="dxa"/>
            <w:hideMark/>
          </w:tcPr>
          <w:p w14:paraId="338D03A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26%</w:t>
            </w:r>
          </w:p>
        </w:tc>
        <w:tc>
          <w:tcPr>
            <w:tcW w:w="1506" w:type="dxa"/>
            <w:hideMark/>
          </w:tcPr>
          <w:p w14:paraId="43D258EA"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46%</w:t>
            </w:r>
          </w:p>
        </w:tc>
        <w:tc>
          <w:tcPr>
            <w:tcW w:w="1506" w:type="dxa"/>
            <w:hideMark/>
          </w:tcPr>
          <w:p w14:paraId="77A9DFC6"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24%</w:t>
            </w:r>
          </w:p>
        </w:tc>
      </w:tr>
      <w:tr w:rsidR="00DA49C9" w:rsidRPr="00DA49C9" w14:paraId="08445145" w14:textId="77777777" w:rsidTr="00A830B2">
        <w:trPr>
          <w:trHeight w:val="283"/>
        </w:trPr>
        <w:tc>
          <w:tcPr>
            <w:cnfStyle w:val="001000000000" w:firstRow="0" w:lastRow="0" w:firstColumn="1" w:lastColumn="0" w:oddVBand="0" w:evenVBand="0" w:oddHBand="0" w:evenHBand="0" w:firstRowFirstColumn="0" w:firstRowLastColumn="0" w:lastRowFirstColumn="0" w:lastRowLastColumn="0"/>
            <w:tcW w:w="2674" w:type="dxa"/>
            <w:hideMark/>
          </w:tcPr>
          <w:p w14:paraId="0A51E8D0" w14:textId="77777777" w:rsidR="00A6240C" w:rsidRPr="004F4BA7" w:rsidRDefault="00A6240C" w:rsidP="008E6E40">
            <w:pPr>
              <w:keepNext/>
              <w:rPr>
                <w:lang w:eastAsia="en-GB"/>
              </w:rPr>
            </w:pPr>
            <w:r w:rsidRPr="004F4BA7">
              <w:rPr>
                <w:lang w:eastAsia="en-GB"/>
              </w:rPr>
              <w:t>Affordable home ownership</w:t>
            </w:r>
          </w:p>
        </w:tc>
        <w:tc>
          <w:tcPr>
            <w:tcW w:w="1506" w:type="dxa"/>
            <w:hideMark/>
          </w:tcPr>
          <w:p w14:paraId="035D3966"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22%</w:t>
            </w:r>
          </w:p>
        </w:tc>
        <w:tc>
          <w:tcPr>
            <w:tcW w:w="1506" w:type="dxa"/>
            <w:hideMark/>
          </w:tcPr>
          <w:p w14:paraId="2A6FBC9F"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39%</w:t>
            </w:r>
          </w:p>
        </w:tc>
        <w:tc>
          <w:tcPr>
            <w:tcW w:w="1506" w:type="dxa"/>
            <w:hideMark/>
          </w:tcPr>
          <w:p w14:paraId="1BA3ECF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30%</w:t>
            </w:r>
          </w:p>
        </w:tc>
        <w:tc>
          <w:tcPr>
            <w:tcW w:w="1506" w:type="dxa"/>
            <w:hideMark/>
          </w:tcPr>
          <w:p w14:paraId="7AC59078"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9%</w:t>
            </w:r>
          </w:p>
        </w:tc>
      </w:tr>
      <w:tr w:rsidR="00DA49C9" w:rsidRPr="00DA49C9" w14:paraId="01FAFA72" w14:textId="77777777" w:rsidTr="00A830B2">
        <w:trPr>
          <w:trHeight w:val="283"/>
        </w:trPr>
        <w:tc>
          <w:tcPr>
            <w:cnfStyle w:val="001000000000" w:firstRow="0" w:lastRow="0" w:firstColumn="1" w:lastColumn="0" w:oddVBand="0" w:evenVBand="0" w:oddHBand="0" w:evenHBand="0" w:firstRowFirstColumn="0" w:firstRowLastColumn="0" w:lastRowFirstColumn="0" w:lastRowLastColumn="0"/>
            <w:tcW w:w="2674" w:type="dxa"/>
            <w:hideMark/>
          </w:tcPr>
          <w:p w14:paraId="3FEE7957" w14:textId="77777777" w:rsidR="00A6240C" w:rsidRPr="004F4BA7" w:rsidRDefault="00A6240C" w:rsidP="008E6E40">
            <w:pPr>
              <w:keepNext/>
              <w:rPr>
                <w:lang w:eastAsia="en-GB"/>
              </w:rPr>
            </w:pPr>
            <w:r w:rsidRPr="004F4BA7">
              <w:rPr>
                <w:lang w:eastAsia="en-GB"/>
              </w:rPr>
              <w:t>Affordable housing (rented)</w:t>
            </w:r>
          </w:p>
        </w:tc>
        <w:tc>
          <w:tcPr>
            <w:tcW w:w="1506" w:type="dxa"/>
            <w:hideMark/>
          </w:tcPr>
          <w:p w14:paraId="3AB1DE11"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35%</w:t>
            </w:r>
          </w:p>
        </w:tc>
        <w:tc>
          <w:tcPr>
            <w:tcW w:w="1506" w:type="dxa"/>
            <w:hideMark/>
          </w:tcPr>
          <w:p w14:paraId="54A0F563"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32%</w:t>
            </w:r>
          </w:p>
        </w:tc>
        <w:tc>
          <w:tcPr>
            <w:tcW w:w="1506" w:type="dxa"/>
            <w:hideMark/>
          </w:tcPr>
          <w:p w14:paraId="3DF2AE2F"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29%</w:t>
            </w:r>
          </w:p>
        </w:tc>
        <w:tc>
          <w:tcPr>
            <w:tcW w:w="1506" w:type="dxa"/>
            <w:hideMark/>
          </w:tcPr>
          <w:p w14:paraId="22110509" w14:textId="77777777" w:rsidR="00A6240C" w:rsidRPr="00DA49C9" w:rsidRDefault="00A6240C" w:rsidP="008E6E40">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rFonts w:cs="Calibri"/>
                <w:lang w:eastAsia="en-GB"/>
              </w:rPr>
              <w:t>3%</w:t>
            </w:r>
          </w:p>
        </w:tc>
      </w:tr>
    </w:tbl>
    <w:p w14:paraId="1466A888" w14:textId="77777777" w:rsidR="00A6240C" w:rsidRPr="00A830B2" w:rsidRDefault="00A6240C" w:rsidP="008E6E40">
      <w:pPr>
        <w:pStyle w:val="BodyText"/>
        <w:keepNext/>
        <w:tabs>
          <w:tab w:val="clear" w:pos="0"/>
          <w:tab w:val="left" w:pos="720"/>
        </w:tabs>
        <w:spacing w:after="0" w:line="240" w:lineRule="auto"/>
        <w:ind w:left="794" w:firstLine="0"/>
        <w:rPr>
          <w:rFonts w:ascii="Arial" w:hAnsi="Arial" w:cs="Arial"/>
          <w:sz w:val="24"/>
          <w:szCs w:val="24"/>
        </w:rPr>
      </w:pPr>
      <w:r w:rsidRPr="00A830B2">
        <w:rPr>
          <w:rFonts w:ascii="Arial" w:hAnsi="Arial" w:cs="Arial"/>
          <w:sz w:val="24"/>
          <w:szCs w:val="24"/>
        </w:rPr>
        <w:t xml:space="preserve"> Source: Housing Market Model</w:t>
      </w:r>
    </w:p>
    <w:p w14:paraId="415C16F7" w14:textId="77777777" w:rsidR="00A6240C" w:rsidRDefault="00A6240C" w:rsidP="007D0FBF">
      <w:pPr>
        <w:pStyle w:val="11Bodytext"/>
      </w:pPr>
      <w:r>
        <w:rPr>
          <w:rStyle w:val="11BodytextChar"/>
        </w:rPr>
        <w:t>It is also possible to contrast this data with information from the council’s Housing Registers on the profile of need for social rented housing</w:t>
      </w:r>
      <w:r>
        <w:rPr>
          <w:rStyle w:val="11BodytextChar"/>
          <w:vertAlign w:val="superscript"/>
        </w:rPr>
        <w:footnoteReference w:id="30"/>
      </w:r>
      <w:r>
        <w:rPr>
          <w:rStyle w:val="11BodytextChar"/>
        </w:rPr>
        <w:t>. This shows the following pattern of need which again is focussed on 1- and 2-bedroom homes</w:t>
      </w:r>
      <w:r>
        <w:t>.</w:t>
      </w:r>
    </w:p>
    <w:p w14:paraId="04E9DCFF" w14:textId="77777777" w:rsidR="00A6240C" w:rsidRPr="00526C6E" w:rsidRDefault="00A6240C" w:rsidP="007D0FBF">
      <w:pPr>
        <w:pStyle w:val="11Bodytext"/>
        <w:rPr>
          <w:b/>
        </w:rPr>
      </w:pPr>
      <w:r>
        <w:t xml:space="preserve">It has been noted that Housing Registers may be a poor indicator of need for larger affordable homes given that if households feel they have little chance of securing such a property, they may not apply. Taking this into account, the findings as regards type and size of affordable homes reflect the modelled approach set out in the previous table, only </w:t>
      </w:r>
      <w:proofErr w:type="gramStart"/>
      <w:r>
        <w:t>making reference</w:t>
      </w:r>
      <w:proofErr w:type="gramEnd"/>
      <w:r>
        <w:t xml:space="preserve"> to the housing register as shown in the following table. </w:t>
      </w:r>
    </w:p>
    <w:p w14:paraId="1ACFDF42" w14:textId="77777777" w:rsidR="00A6240C" w:rsidRDefault="00A6240C" w:rsidP="003D5E23">
      <w:pPr>
        <w:pStyle w:val="Tableheading"/>
        <w:numPr>
          <w:ilvl w:val="0"/>
          <w:numId w:val="54"/>
        </w:numPr>
      </w:pPr>
      <w:r>
        <w:lastRenderedPageBreak/>
        <w:t>Estimated Size of Social/Affordable Rent Housing needed, based on Housing Register Information</w:t>
      </w:r>
    </w:p>
    <w:tbl>
      <w:tblPr>
        <w:tblStyle w:val="TableGridLight1"/>
        <w:tblW w:w="8657" w:type="dxa"/>
        <w:tblInd w:w="846" w:type="dxa"/>
        <w:tblLayout w:type="fixed"/>
        <w:tblLook w:val="04A0" w:firstRow="1" w:lastRow="0" w:firstColumn="1" w:lastColumn="0" w:noHBand="0" w:noVBand="1"/>
      </w:tblPr>
      <w:tblGrid>
        <w:gridCol w:w="1656"/>
        <w:gridCol w:w="1321"/>
        <w:gridCol w:w="1012"/>
        <w:gridCol w:w="1167"/>
        <w:gridCol w:w="1167"/>
        <w:gridCol w:w="1167"/>
        <w:gridCol w:w="1167"/>
      </w:tblGrid>
      <w:tr w:rsidR="00DA49C9" w:rsidRPr="00DA49C9" w14:paraId="36C36800" w14:textId="77777777" w:rsidTr="00DA49C9">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656" w:type="dxa"/>
            <w:hideMark/>
          </w:tcPr>
          <w:p w14:paraId="33B4986E" w14:textId="77777777" w:rsidR="00A6240C" w:rsidRPr="00DA49C9" w:rsidRDefault="00A6240C">
            <w:pPr>
              <w:keepNext/>
              <w:rPr>
                <w:lang w:eastAsia="en-GB"/>
              </w:rPr>
            </w:pPr>
            <w:r w:rsidRPr="00DA49C9">
              <w:rPr>
                <w:lang w:eastAsia="en-GB"/>
              </w:rPr>
              <w:t> </w:t>
            </w:r>
          </w:p>
        </w:tc>
        <w:tc>
          <w:tcPr>
            <w:tcW w:w="1321" w:type="dxa"/>
            <w:hideMark/>
          </w:tcPr>
          <w:p w14:paraId="3248894E" w14:textId="77777777" w:rsidR="00A6240C" w:rsidRPr="00DA49C9" w:rsidRDefault="00A6240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Cambridge</w:t>
            </w:r>
          </w:p>
        </w:tc>
        <w:tc>
          <w:tcPr>
            <w:tcW w:w="1012" w:type="dxa"/>
            <w:hideMark/>
          </w:tcPr>
          <w:p w14:paraId="23C84AE8" w14:textId="77777777" w:rsidR="00A6240C" w:rsidRPr="00DA49C9" w:rsidRDefault="00A6240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East Cambs</w:t>
            </w:r>
          </w:p>
        </w:tc>
        <w:tc>
          <w:tcPr>
            <w:tcW w:w="1167" w:type="dxa"/>
            <w:hideMark/>
          </w:tcPr>
          <w:p w14:paraId="55EE6A64" w14:textId="77777777" w:rsidR="00A6240C" w:rsidRPr="00DA49C9" w:rsidRDefault="00A6240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Fenland</w:t>
            </w:r>
          </w:p>
        </w:tc>
        <w:tc>
          <w:tcPr>
            <w:tcW w:w="1167" w:type="dxa"/>
            <w:hideMark/>
          </w:tcPr>
          <w:p w14:paraId="36745C70" w14:textId="77777777" w:rsidR="00A6240C" w:rsidRPr="00DA49C9" w:rsidRDefault="00A6240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Hunts.</w:t>
            </w:r>
          </w:p>
        </w:tc>
        <w:tc>
          <w:tcPr>
            <w:tcW w:w="1167" w:type="dxa"/>
            <w:hideMark/>
          </w:tcPr>
          <w:p w14:paraId="290B13EC" w14:textId="77777777" w:rsidR="00A6240C" w:rsidRPr="00DA49C9" w:rsidRDefault="00A6240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South Cambs</w:t>
            </w:r>
          </w:p>
        </w:tc>
        <w:tc>
          <w:tcPr>
            <w:tcW w:w="1167" w:type="dxa"/>
            <w:hideMark/>
          </w:tcPr>
          <w:p w14:paraId="29081968" w14:textId="77777777" w:rsidR="00A6240C" w:rsidRPr="00DA49C9" w:rsidRDefault="00A6240C">
            <w:pPr>
              <w:keepNext/>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West Suffolk</w:t>
            </w:r>
          </w:p>
        </w:tc>
      </w:tr>
      <w:tr w:rsidR="00DA49C9" w:rsidRPr="00DA49C9" w14:paraId="16F3092C" w14:textId="77777777" w:rsidTr="00DA49C9">
        <w:trPr>
          <w:trHeight w:val="332"/>
        </w:trPr>
        <w:tc>
          <w:tcPr>
            <w:cnfStyle w:val="001000000000" w:firstRow="0" w:lastRow="0" w:firstColumn="1" w:lastColumn="0" w:oddVBand="0" w:evenVBand="0" w:oddHBand="0" w:evenHBand="0" w:firstRowFirstColumn="0" w:firstRowLastColumn="0" w:lastRowFirstColumn="0" w:lastRowLastColumn="0"/>
            <w:tcW w:w="1656" w:type="dxa"/>
            <w:hideMark/>
          </w:tcPr>
          <w:p w14:paraId="01798AD7" w14:textId="77777777" w:rsidR="00A6240C" w:rsidRPr="004F4BA7" w:rsidRDefault="00A6240C">
            <w:pPr>
              <w:keepNext/>
              <w:rPr>
                <w:bCs/>
                <w:lang w:eastAsia="en-GB"/>
              </w:rPr>
            </w:pPr>
            <w:r w:rsidRPr="004F4BA7">
              <w:rPr>
                <w:bCs/>
                <w:lang w:eastAsia="en-GB"/>
              </w:rPr>
              <w:t>1-bedroom</w:t>
            </w:r>
          </w:p>
        </w:tc>
        <w:tc>
          <w:tcPr>
            <w:tcW w:w="1321" w:type="dxa"/>
            <w:hideMark/>
          </w:tcPr>
          <w:p w14:paraId="2ED00E7B"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66%</w:t>
            </w:r>
          </w:p>
        </w:tc>
        <w:tc>
          <w:tcPr>
            <w:tcW w:w="1012" w:type="dxa"/>
            <w:hideMark/>
          </w:tcPr>
          <w:p w14:paraId="7EC85D3F"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46%</w:t>
            </w:r>
          </w:p>
        </w:tc>
        <w:tc>
          <w:tcPr>
            <w:tcW w:w="1167" w:type="dxa"/>
            <w:hideMark/>
          </w:tcPr>
          <w:p w14:paraId="67AE3A0D"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43%</w:t>
            </w:r>
          </w:p>
        </w:tc>
        <w:tc>
          <w:tcPr>
            <w:tcW w:w="1167" w:type="dxa"/>
            <w:hideMark/>
          </w:tcPr>
          <w:p w14:paraId="21F5E635"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52%</w:t>
            </w:r>
          </w:p>
        </w:tc>
        <w:tc>
          <w:tcPr>
            <w:tcW w:w="1167" w:type="dxa"/>
            <w:hideMark/>
          </w:tcPr>
          <w:p w14:paraId="718D3ECA"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50%</w:t>
            </w:r>
          </w:p>
        </w:tc>
        <w:tc>
          <w:tcPr>
            <w:tcW w:w="1167" w:type="dxa"/>
            <w:hideMark/>
          </w:tcPr>
          <w:p w14:paraId="52AECCC8"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53%</w:t>
            </w:r>
          </w:p>
        </w:tc>
      </w:tr>
      <w:tr w:rsidR="00DA49C9" w:rsidRPr="00DA49C9" w14:paraId="02647A54" w14:textId="77777777" w:rsidTr="00DA49C9">
        <w:trPr>
          <w:trHeight w:val="332"/>
        </w:trPr>
        <w:tc>
          <w:tcPr>
            <w:cnfStyle w:val="001000000000" w:firstRow="0" w:lastRow="0" w:firstColumn="1" w:lastColumn="0" w:oddVBand="0" w:evenVBand="0" w:oddHBand="0" w:evenHBand="0" w:firstRowFirstColumn="0" w:firstRowLastColumn="0" w:lastRowFirstColumn="0" w:lastRowLastColumn="0"/>
            <w:tcW w:w="1656" w:type="dxa"/>
            <w:hideMark/>
          </w:tcPr>
          <w:p w14:paraId="04B3A1C6" w14:textId="77777777" w:rsidR="00A6240C" w:rsidRPr="004F4BA7" w:rsidRDefault="00A6240C">
            <w:pPr>
              <w:keepNext/>
              <w:rPr>
                <w:bCs/>
                <w:lang w:eastAsia="en-GB"/>
              </w:rPr>
            </w:pPr>
            <w:r w:rsidRPr="004F4BA7">
              <w:rPr>
                <w:bCs/>
                <w:lang w:eastAsia="en-GB"/>
              </w:rPr>
              <w:t>2-bedrooms</w:t>
            </w:r>
          </w:p>
        </w:tc>
        <w:tc>
          <w:tcPr>
            <w:tcW w:w="1321" w:type="dxa"/>
            <w:hideMark/>
          </w:tcPr>
          <w:p w14:paraId="7A51D2A9"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24%</w:t>
            </w:r>
          </w:p>
        </w:tc>
        <w:tc>
          <w:tcPr>
            <w:tcW w:w="1012" w:type="dxa"/>
            <w:hideMark/>
          </w:tcPr>
          <w:p w14:paraId="300BA444"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33%</w:t>
            </w:r>
          </w:p>
        </w:tc>
        <w:tc>
          <w:tcPr>
            <w:tcW w:w="1167" w:type="dxa"/>
            <w:hideMark/>
          </w:tcPr>
          <w:p w14:paraId="49A99CBE"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w:t>
            </w:r>
          </w:p>
        </w:tc>
        <w:tc>
          <w:tcPr>
            <w:tcW w:w="1167" w:type="dxa"/>
            <w:hideMark/>
          </w:tcPr>
          <w:p w14:paraId="0AEF0F46"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31%</w:t>
            </w:r>
          </w:p>
        </w:tc>
        <w:tc>
          <w:tcPr>
            <w:tcW w:w="1167" w:type="dxa"/>
            <w:hideMark/>
          </w:tcPr>
          <w:p w14:paraId="1029B9A3"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34%</w:t>
            </w:r>
          </w:p>
        </w:tc>
        <w:tc>
          <w:tcPr>
            <w:tcW w:w="1167" w:type="dxa"/>
            <w:hideMark/>
          </w:tcPr>
          <w:p w14:paraId="2BC36773"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32%</w:t>
            </w:r>
          </w:p>
        </w:tc>
      </w:tr>
      <w:tr w:rsidR="00DA49C9" w:rsidRPr="00DA49C9" w14:paraId="68D9CD0D" w14:textId="77777777" w:rsidTr="00DA49C9">
        <w:trPr>
          <w:trHeight w:val="332"/>
        </w:trPr>
        <w:tc>
          <w:tcPr>
            <w:cnfStyle w:val="001000000000" w:firstRow="0" w:lastRow="0" w:firstColumn="1" w:lastColumn="0" w:oddVBand="0" w:evenVBand="0" w:oddHBand="0" w:evenHBand="0" w:firstRowFirstColumn="0" w:firstRowLastColumn="0" w:lastRowFirstColumn="0" w:lastRowLastColumn="0"/>
            <w:tcW w:w="1656" w:type="dxa"/>
            <w:hideMark/>
          </w:tcPr>
          <w:p w14:paraId="63B589EF" w14:textId="77777777" w:rsidR="00A6240C" w:rsidRPr="004F4BA7" w:rsidRDefault="00A6240C">
            <w:pPr>
              <w:keepNext/>
              <w:rPr>
                <w:bCs/>
                <w:lang w:eastAsia="en-GB"/>
              </w:rPr>
            </w:pPr>
            <w:r w:rsidRPr="004F4BA7">
              <w:rPr>
                <w:bCs/>
                <w:lang w:eastAsia="en-GB"/>
              </w:rPr>
              <w:t>3-bedrooms</w:t>
            </w:r>
          </w:p>
        </w:tc>
        <w:tc>
          <w:tcPr>
            <w:tcW w:w="1321" w:type="dxa"/>
            <w:hideMark/>
          </w:tcPr>
          <w:p w14:paraId="4679701D"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8%</w:t>
            </w:r>
          </w:p>
        </w:tc>
        <w:tc>
          <w:tcPr>
            <w:tcW w:w="1012" w:type="dxa"/>
            <w:hideMark/>
          </w:tcPr>
          <w:p w14:paraId="3BCEF4A8"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16%</w:t>
            </w:r>
          </w:p>
        </w:tc>
        <w:tc>
          <w:tcPr>
            <w:tcW w:w="1167" w:type="dxa"/>
            <w:hideMark/>
          </w:tcPr>
          <w:p w14:paraId="0D8CAEFF"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17%</w:t>
            </w:r>
          </w:p>
        </w:tc>
        <w:tc>
          <w:tcPr>
            <w:tcW w:w="1167" w:type="dxa"/>
            <w:hideMark/>
          </w:tcPr>
          <w:p w14:paraId="69221792"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w:t>
            </w:r>
          </w:p>
        </w:tc>
        <w:tc>
          <w:tcPr>
            <w:tcW w:w="1167" w:type="dxa"/>
            <w:hideMark/>
          </w:tcPr>
          <w:p w14:paraId="5BEF18F3"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13%</w:t>
            </w:r>
          </w:p>
        </w:tc>
        <w:tc>
          <w:tcPr>
            <w:tcW w:w="1167" w:type="dxa"/>
            <w:hideMark/>
          </w:tcPr>
          <w:p w14:paraId="7E9D051B"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12%</w:t>
            </w:r>
          </w:p>
        </w:tc>
      </w:tr>
      <w:tr w:rsidR="00DA49C9" w:rsidRPr="00DA49C9" w14:paraId="73D96EA7" w14:textId="77777777" w:rsidTr="00DA49C9">
        <w:trPr>
          <w:trHeight w:val="332"/>
        </w:trPr>
        <w:tc>
          <w:tcPr>
            <w:cnfStyle w:val="001000000000" w:firstRow="0" w:lastRow="0" w:firstColumn="1" w:lastColumn="0" w:oddVBand="0" w:evenVBand="0" w:oddHBand="0" w:evenHBand="0" w:firstRowFirstColumn="0" w:firstRowLastColumn="0" w:lastRowFirstColumn="0" w:lastRowLastColumn="0"/>
            <w:tcW w:w="1656" w:type="dxa"/>
            <w:hideMark/>
          </w:tcPr>
          <w:p w14:paraId="069C4976" w14:textId="77777777" w:rsidR="00A6240C" w:rsidRPr="004F4BA7" w:rsidRDefault="00A6240C">
            <w:pPr>
              <w:keepNext/>
              <w:rPr>
                <w:bCs/>
                <w:lang w:eastAsia="en-GB"/>
              </w:rPr>
            </w:pPr>
            <w:r w:rsidRPr="004F4BA7">
              <w:rPr>
                <w:bCs/>
                <w:lang w:eastAsia="en-GB"/>
              </w:rPr>
              <w:t>4+-bedrooms</w:t>
            </w:r>
          </w:p>
        </w:tc>
        <w:tc>
          <w:tcPr>
            <w:tcW w:w="1321" w:type="dxa"/>
            <w:hideMark/>
          </w:tcPr>
          <w:p w14:paraId="34BAF043"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w:t>
            </w:r>
          </w:p>
        </w:tc>
        <w:tc>
          <w:tcPr>
            <w:tcW w:w="1012" w:type="dxa"/>
            <w:hideMark/>
          </w:tcPr>
          <w:p w14:paraId="029FFD41"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w:t>
            </w:r>
          </w:p>
        </w:tc>
        <w:tc>
          <w:tcPr>
            <w:tcW w:w="1167" w:type="dxa"/>
            <w:hideMark/>
          </w:tcPr>
          <w:p w14:paraId="4EC361F5"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w:t>
            </w:r>
          </w:p>
        </w:tc>
        <w:tc>
          <w:tcPr>
            <w:tcW w:w="1167" w:type="dxa"/>
            <w:hideMark/>
          </w:tcPr>
          <w:p w14:paraId="3891C874"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w:t>
            </w:r>
          </w:p>
        </w:tc>
        <w:tc>
          <w:tcPr>
            <w:tcW w:w="1167" w:type="dxa"/>
            <w:hideMark/>
          </w:tcPr>
          <w:p w14:paraId="4BC3C974"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w:t>
            </w:r>
          </w:p>
        </w:tc>
        <w:tc>
          <w:tcPr>
            <w:tcW w:w="1167" w:type="dxa"/>
            <w:hideMark/>
          </w:tcPr>
          <w:p w14:paraId="311453A3" w14:textId="77777777" w:rsidR="00A6240C" w:rsidRPr="00DA49C9" w:rsidRDefault="00A6240C">
            <w:pPr>
              <w:keepNext/>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w:t>
            </w:r>
          </w:p>
        </w:tc>
      </w:tr>
      <w:tr w:rsidR="00DA49C9" w:rsidRPr="00DA49C9" w14:paraId="3B925D3C" w14:textId="77777777" w:rsidTr="00DA49C9">
        <w:trPr>
          <w:trHeight w:val="332"/>
        </w:trPr>
        <w:tc>
          <w:tcPr>
            <w:cnfStyle w:val="001000000000" w:firstRow="0" w:lastRow="0" w:firstColumn="1" w:lastColumn="0" w:oddVBand="0" w:evenVBand="0" w:oddHBand="0" w:evenHBand="0" w:firstRowFirstColumn="0" w:firstRowLastColumn="0" w:lastRowFirstColumn="0" w:lastRowLastColumn="0"/>
            <w:tcW w:w="1656" w:type="dxa"/>
            <w:hideMark/>
          </w:tcPr>
          <w:p w14:paraId="7776DFB8" w14:textId="77777777" w:rsidR="00A6240C" w:rsidRPr="00DA49C9" w:rsidRDefault="00A6240C">
            <w:pPr>
              <w:keepNext/>
              <w:rPr>
                <w:b/>
                <w:lang w:eastAsia="en-GB"/>
              </w:rPr>
            </w:pPr>
            <w:r w:rsidRPr="00DA49C9">
              <w:rPr>
                <w:b/>
                <w:lang w:eastAsia="en-GB"/>
              </w:rPr>
              <w:t xml:space="preserve">Total </w:t>
            </w:r>
          </w:p>
        </w:tc>
        <w:tc>
          <w:tcPr>
            <w:tcW w:w="1321" w:type="dxa"/>
            <w:hideMark/>
          </w:tcPr>
          <w:p w14:paraId="26719B25" w14:textId="77777777" w:rsidR="00A6240C" w:rsidRPr="004F4BA7" w:rsidRDefault="00A6240C">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c>
          <w:tcPr>
            <w:tcW w:w="1012" w:type="dxa"/>
            <w:hideMark/>
          </w:tcPr>
          <w:p w14:paraId="6F59934F" w14:textId="77777777" w:rsidR="00A6240C" w:rsidRPr="004F4BA7" w:rsidRDefault="00A6240C">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c>
          <w:tcPr>
            <w:tcW w:w="1167" w:type="dxa"/>
            <w:hideMark/>
          </w:tcPr>
          <w:p w14:paraId="5A7538BB" w14:textId="77777777" w:rsidR="00A6240C" w:rsidRPr="004F4BA7" w:rsidRDefault="00A6240C">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c>
          <w:tcPr>
            <w:tcW w:w="1167" w:type="dxa"/>
            <w:hideMark/>
          </w:tcPr>
          <w:p w14:paraId="5E0E41A9" w14:textId="77777777" w:rsidR="00A6240C" w:rsidRPr="004F4BA7" w:rsidRDefault="00A6240C">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c>
          <w:tcPr>
            <w:tcW w:w="1167" w:type="dxa"/>
            <w:hideMark/>
          </w:tcPr>
          <w:p w14:paraId="63F9E787" w14:textId="77777777" w:rsidR="00A6240C" w:rsidRPr="004F4BA7" w:rsidRDefault="00A6240C">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c>
          <w:tcPr>
            <w:tcW w:w="1167" w:type="dxa"/>
            <w:hideMark/>
          </w:tcPr>
          <w:p w14:paraId="05341EE8" w14:textId="77777777" w:rsidR="00A6240C" w:rsidRPr="004F4BA7" w:rsidRDefault="00A6240C">
            <w:pPr>
              <w:keepNext/>
              <w:cnfStyle w:val="000000000000" w:firstRow="0" w:lastRow="0" w:firstColumn="0" w:lastColumn="0" w:oddVBand="0" w:evenVBand="0" w:oddHBand="0" w:evenHBand="0" w:firstRowFirstColumn="0" w:firstRowLastColumn="0" w:lastRowFirstColumn="0" w:lastRowLastColumn="0"/>
              <w:rPr>
                <w:b/>
                <w:bCs/>
                <w:lang w:eastAsia="en-GB"/>
              </w:rPr>
            </w:pPr>
            <w:r w:rsidRPr="004F4BA7">
              <w:rPr>
                <w:b/>
                <w:bCs/>
                <w:lang w:eastAsia="en-GB"/>
              </w:rPr>
              <w:t>100%</w:t>
            </w:r>
          </w:p>
        </w:tc>
      </w:tr>
    </w:tbl>
    <w:p w14:paraId="790F8E0D" w14:textId="4C09A6B6" w:rsidR="00A6240C" w:rsidRDefault="00A6240C" w:rsidP="008E6E40">
      <w:pPr>
        <w:pStyle w:val="BodyText"/>
        <w:keepNext/>
        <w:tabs>
          <w:tab w:val="left" w:pos="720"/>
        </w:tabs>
        <w:spacing w:after="0" w:line="240" w:lineRule="auto"/>
        <w:ind w:left="794"/>
        <w:rPr>
          <w:rFonts w:ascii="Arial" w:hAnsi="Arial" w:cs="Arial"/>
        </w:rPr>
      </w:pPr>
      <w:r>
        <w:rPr>
          <w:rFonts w:ascii="Arial" w:hAnsi="Arial" w:cs="Arial"/>
        </w:rPr>
        <w:t xml:space="preserve"> </w:t>
      </w:r>
      <w:r w:rsidR="008F76FB" w:rsidRPr="00A830B2">
        <w:rPr>
          <w:rFonts w:ascii="Arial" w:hAnsi="Arial" w:cs="Arial"/>
          <w:sz w:val="24"/>
          <w:szCs w:val="24"/>
        </w:rPr>
        <w:tab/>
      </w:r>
      <w:r w:rsidRPr="00A830B2">
        <w:rPr>
          <w:rFonts w:ascii="Arial" w:hAnsi="Arial" w:cs="Arial"/>
          <w:sz w:val="24"/>
          <w:szCs w:val="24"/>
        </w:rPr>
        <w:t>Source: Local Authority Housing Statistics – 2019</w:t>
      </w:r>
    </w:p>
    <w:p w14:paraId="64C97EF5" w14:textId="77777777" w:rsidR="00A6240C" w:rsidRDefault="00A6240C" w:rsidP="007D0FBF">
      <w:pPr>
        <w:pStyle w:val="Heading2"/>
      </w:pPr>
      <w:r>
        <w:t>Recommended Mix</w:t>
      </w:r>
    </w:p>
    <w:p w14:paraId="21186F1F" w14:textId="77777777" w:rsidR="00A6240C" w:rsidRDefault="00A6240C" w:rsidP="007D0FBF">
      <w:pPr>
        <w:pStyle w:val="11Bodytext"/>
      </w:pPr>
      <w:r>
        <w:t xml:space="preserve">The modelled analysis is based on current occupancy patterns, which might be subject to change in the future. This is particularly likely to be the case for market housing where households historically and currently have an element of choice but with worsening affordability may seek smaller homes than they might traditionally have been expected to do. </w:t>
      </w:r>
    </w:p>
    <w:p w14:paraId="416BC43D" w14:textId="77777777" w:rsidR="00A6240C" w:rsidRDefault="00A6240C" w:rsidP="007D0FBF">
      <w:pPr>
        <w:pStyle w:val="11Bodytext"/>
      </w:pPr>
      <w:r>
        <w:t xml:space="preserve">To give an example, a middle-income household might previously have sought a 3-bedroom semi-detached home. However, worsening affordability and stricter lending practice might now mean that such households will only be in the market for say a 2-bedroom flat. </w:t>
      </w:r>
    </w:p>
    <w:p w14:paraId="5E54390A" w14:textId="77777777" w:rsidR="00A6240C" w:rsidRDefault="00A6240C" w:rsidP="007D0FBF">
      <w:pPr>
        <w:pStyle w:val="11Bodytext"/>
      </w:pPr>
      <w:r>
        <w:t>In addition, provision of certain types of accommodation may influence the mix needed; for example, if many high-quality units were provided specifically for older persons (</w:t>
      </w:r>
      <w:proofErr w:type="gramStart"/>
      <w:r>
        <w:t>e.g.</w:t>
      </w:r>
      <w:proofErr w:type="gramEnd"/>
      <w:r>
        <w:t xml:space="preserve"> specialist housing or bungalow accommodation) then this might encourage an increased level of downsizing and release additional larger homes into the market. This would have the intended consequence of potentially reducing the need for larger homes.</w:t>
      </w:r>
    </w:p>
    <w:p w14:paraId="601D2F83" w14:textId="77777777" w:rsidR="00A6240C" w:rsidRDefault="00A6240C" w:rsidP="007D0FBF">
      <w:pPr>
        <w:pStyle w:val="11Bodytext"/>
      </w:pPr>
      <w:r>
        <w:t>It is difficult to say to what extent the mix might move away from the modelled data but in developing policy the Councils could make further adjustments to the recommended mix below to reflect any local issues.</w:t>
      </w:r>
    </w:p>
    <w:p w14:paraId="5AB4B098" w14:textId="77777777" w:rsidR="00A6240C" w:rsidRDefault="00A6240C" w:rsidP="00285BE8">
      <w:pPr>
        <w:pStyle w:val="Heading3"/>
        <w:rPr>
          <w:rStyle w:val="Strong"/>
          <w:b/>
          <w:bCs/>
          <w:szCs w:val="20"/>
        </w:rPr>
      </w:pPr>
      <w:r>
        <w:rPr>
          <w:rStyle w:val="Strong"/>
          <w:b/>
          <w:bCs/>
        </w:rPr>
        <w:lastRenderedPageBreak/>
        <w:t xml:space="preserve">Social/Affordable Rent Housing </w:t>
      </w:r>
    </w:p>
    <w:p w14:paraId="60E7A8A9" w14:textId="36F5BF31" w:rsidR="00A6240C" w:rsidRDefault="00A6240C" w:rsidP="007D0FBF">
      <w:pPr>
        <w:pStyle w:val="11Bodytext"/>
      </w:pPr>
      <w:r>
        <w:t xml:space="preserve">It should be recognised that given the scale of need it is unlikely that all affordable housing needs will be met. Households with a need for larger homes may have greater priority (as they are more likely to contain </w:t>
      </w:r>
      <w:r w:rsidR="008F76FB">
        <w:t>children)</w:t>
      </w:r>
      <w:r>
        <w:t xml:space="preserve">. </w:t>
      </w:r>
    </w:p>
    <w:p w14:paraId="323E3562" w14:textId="77777777" w:rsidR="00A6240C" w:rsidRDefault="00A6240C" w:rsidP="007D0FBF">
      <w:pPr>
        <w:pStyle w:val="11Bodytext"/>
      </w:pPr>
      <w:r>
        <w:t>Furthermore, the Housing Register data is based on a strict determination of need based on a bedroom standard and there will be some households able to afford a slightly larger home or who can claim benefits for a larger home than they strictly need (</w:t>
      </w:r>
      <w:proofErr w:type="gramStart"/>
      <w:r>
        <w:t>i.e.</w:t>
      </w:r>
      <w:proofErr w:type="gramEnd"/>
      <w:r>
        <w:t xml:space="preserve"> are not caught by the spare room subsidy – this will include older person households). There may also be some situations where under-occupation against the bedroom standard is permitted.</w:t>
      </w:r>
    </w:p>
    <w:p w14:paraId="1792D036" w14:textId="77777777" w:rsidR="00A6240C" w:rsidRDefault="00A6240C" w:rsidP="007D0FBF">
      <w:pPr>
        <w:pStyle w:val="11Bodytext"/>
      </w:pPr>
      <w:r>
        <w:t xml:space="preserve">In taking account of the modelled outputs, the Housing </w:t>
      </w:r>
      <w:proofErr w:type="gramStart"/>
      <w:r>
        <w:t>Registers</w:t>
      </w:r>
      <w:proofErr w:type="gramEnd"/>
      <w:r>
        <w:t xml:space="preserve"> and the discussion above, it is suggested that the following mix of social/affordable rent housing would be appropriate for the HMA:</w:t>
      </w:r>
    </w:p>
    <w:p w14:paraId="764A78C3" w14:textId="77777777" w:rsidR="00A6240C" w:rsidRPr="00477FF3" w:rsidRDefault="00A6240C" w:rsidP="00097650">
      <w:pPr>
        <w:pStyle w:val="10BulletBodytext"/>
      </w:pPr>
      <w:r w:rsidRPr="00477FF3">
        <w:t>1-bedroom: 30-40%</w:t>
      </w:r>
    </w:p>
    <w:p w14:paraId="2207C62E" w14:textId="77777777" w:rsidR="00A6240C" w:rsidRPr="00477FF3" w:rsidRDefault="00A6240C" w:rsidP="00097650">
      <w:pPr>
        <w:pStyle w:val="10BulletBodytext"/>
      </w:pPr>
      <w:r w:rsidRPr="00477FF3">
        <w:t>2-bedrooms: 35-45%</w:t>
      </w:r>
    </w:p>
    <w:p w14:paraId="1F4A9793" w14:textId="77777777" w:rsidR="00A6240C" w:rsidRPr="00477FF3" w:rsidRDefault="00A6240C" w:rsidP="00097650">
      <w:pPr>
        <w:pStyle w:val="10BulletBodytext"/>
      </w:pPr>
      <w:r w:rsidRPr="00477FF3">
        <w:t>3-bedrooms: 15-25%</w:t>
      </w:r>
    </w:p>
    <w:p w14:paraId="0BA5931C" w14:textId="77777777" w:rsidR="00A6240C" w:rsidRDefault="00A6240C" w:rsidP="00097650">
      <w:pPr>
        <w:pStyle w:val="10BulletBodytext"/>
      </w:pPr>
      <w:r w:rsidRPr="00477FF3">
        <w:t>4+-bedrooms: 0-10%</w:t>
      </w:r>
    </w:p>
    <w:p w14:paraId="6A094F31" w14:textId="77777777" w:rsidR="00A6240C" w:rsidRDefault="00A6240C" w:rsidP="007D0FBF">
      <w:pPr>
        <w:pStyle w:val="11Bodytext"/>
      </w:pPr>
      <w:r>
        <w:t xml:space="preserve">The Councils should take account of any feedback from Registered Providers through consultation processes such as Local Plans in informing planning policies relating to housing mix. </w:t>
      </w:r>
    </w:p>
    <w:p w14:paraId="02300995" w14:textId="77777777" w:rsidR="00A6240C" w:rsidRDefault="00A6240C" w:rsidP="00285BE8">
      <w:pPr>
        <w:pStyle w:val="Heading3"/>
        <w:rPr>
          <w:rStyle w:val="Strong"/>
          <w:b/>
          <w:bCs/>
          <w:szCs w:val="20"/>
        </w:rPr>
      </w:pPr>
      <w:r>
        <w:rPr>
          <w:rStyle w:val="Strong"/>
          <w:b/>
          <w:bCs/>
        </w:rPr>
        <w:t>Affordable Home Ownership</w:t>
      </w:r>
    </w:p>
    <w:p w14:paraId="07EC597F" w14:textId="3058BEF4" w:rsidR="00A6240C" w:rsidRDefault="00A6240C" w:rsidP="007D0FBF">
      <w:pPr>
        <w:pStyle w:val="11Bodytext"/>
      </w:pPr>
      <w:r>
        <w:t xml:space="preserve">In the affordable home ownership </w:t>
      </w:r>
      <w:proofErr w:type="gramStart"/>
      <w:r>
        <w:t>sector</w:t>
      </w:r>
      <w:proofErr w:type="gramEnd"/>
      <w:r>
        <w:t xml:space="preserve"> a profile of housing that more closely matches the outputs of the modelling is suggested, although some consideration is made to reflect student-only homes in Cambridge (which are typically privately rented but not likely to be occupied by households who would be a target for affordable home ownership – and certainly not with a shared house composition). </w:t>
      </w:r>
    </w:p>
    <w:p w14:paraId="113211BE" w14:textId="77777777" w:rsidR="00A6240C" w:rsidRDefault="00A6240C" w:rsidP="007D0FBF">
      <w:pPr>
        <w:pStyle w:val="11Bodytext"/>
      </w:pPr>
      <w:r>
        <w:t>Based on these factors it is considered that the provision of affordable home ownership should be more explicitly focused on delivering smaller housing for younger family households. Based on this analysis, it is suggested that the following mix of affordable home ownership would be appropriate:</w:t>
      </w:r>
    </w:p>
    <w:p w14:paraId="48DF5DC3" w14:textId="77777777" w:rsidR="00A6240C" w:rsidRPr="00477FF3" w:rsidRDefault="00A6240C" w:rsidP="00097650">
      <w:pPr>
        <w:pStyle w:val="10BulletBodytext"/>
      </w:pPr>
      <w:r w:rsidRPr="00477FF3">
        <w:lastRenderedPageBreak/>
        <w:t>1-bedroom: 15-25%</w:t>
      </w:r>
    </w:p>
    <w:p w14:paraId="3C1CD1D4" w14:textId="77777777" w:rsidR="00A6240C" w:rsidRPr="00477FF3" w:rsidRDefault="00A6240C" w:rsidP="00097650">
      <w:pPr>
        <w:pStyle w:val="10BulletBodytext"/>
      </w:pPr>
      <w:r w:rsidRPr="00477FF3">
        <w:t>2-bedrooms: 35-45%</w:t>
      </w:r>
    </w:p>
    <w:p w14:paraId="38AA74DA" w14:textId="77777777" w:rsidR="00A6240C" w:rsidRPr="00477FF3" w:rsidRDefault="00A6240C" w:rsidP="00097650">
      <w:pPr>
        <w:pStyle w:val="10BulletBodytext"/>
      </w:pPr>
      <w:r w:rsidRPr="00477FF3">
        <w:t>3-bedrooms: 25-35%</w:t>
      </w:r>
    </w:p>
    <w:p w14:paraId="7E51A9EE" w14:textId="77777777" w:rsidR="00A6240C" w:rsidRPr="00477FF3" w:rsidRDefault="00A6240C" w:rsidP="00097650">
      <w:pPr>
        <w:pStyle w:val="10BulletBodytext"/>
      </w:pPr>
      <w:r w:rsidRPr="00477FF3">
        <w:t>4+-bedrooms: 5-15%</w:t>
      </w:r>
    </w:p>
    <w:p w14:paraId="1DF10E64" w14:textId="77777777" w:rsidR="00A6240C" w:rsidRDefault="00A6240C" w:rsidP="007D0FBF">
      <w:pPr>
        <w:pStyle w:val="11Bodytext"/>
      </w:pPr>
      <w:r>
        <w:t>Whilst the need for affordable home ownership properties is focused on younger households, the conclusions also recognise the particular affordability challenges for family housing. This mix should also reflect any local issues about need and demand (which may also be impacted by affordability). In Cambridge for example, it is understood that much of the affordable home ownership demand is for 1- and 2-bedroom homes and this is in part due to larger homes being less affordable.</w:t>
      </w:r>
    </w:p>
    <w:p w14:paraId="43C1E0C7" w14:textId="77777777" w:rsidR="00A6240C" w:rsidRDefault="00A6240C" w:rsidP="00285BE8">
      <w:pPr>
        <w:pStyle w:val="Heading3"/>
        <w:rPr>
          <w:rStyle w:val="Strong"/>
          <w:b/>
          <w:bCs/>
          <w:szCs w:val="20"/>
        </w:rPr>
      </w:pPr>
      <w:r>
        <w:rPr>
          <w:rStyle w:val="Strong"/>
          <w:b/>
          <w:bCs/>
        </w:rPr>
        <w:t xml:space="preserve">Market Housing </w:t>
      </w:r>
    </w:p>
    <w:p w14:paraId="7FD912F2" w14:textId="4F8CE627" w:rsidR="00A6240C" w:rsidRDefault="00A6240C" w:rsidP="007D0FBF">
      <w:pPr>
        <w:pStyle w:val="11Bodytext"/>
      </w:pPr>
      <w:r>
        <w:t xml:space="preserve">Finally, in the market sector, a balance of dwellings is suggested that takes account of both the demand for homes and the changing demographic profile (as well as observations about the current mix when compared with other locations). This sees a slightly larger recommended profile compared with other tenure groups. </w:t>
      </w:r>
    </w:p>
    <w:p w14:paraId="45B8DA41" w14:textId="77777777" w:rsidR="00A6240C" w:rsidRDefault="00A6240C" w:rsidP="007D0FBF">
      <w:pPr>
        <w:pStyle w:val="11Bodytext"/>
      </w:pPr>
      <w:r>
        <w:t>The following mix of market housing is suggested:</w:t>
      </w:r>
    </w:p>
    <w:p w14:paraId="5F99D1B1" w14:textId="77777777" w:rsidR="00A6240C" w:rsidRDefault="00A6240C" w:rsidP="00097650">
      <w:pPr>
        <w:pStyle w:val="10BulletBodytext"/>
      </w:pPr>
      <w:r>
        <w:t>1-bedroom: 0-10%</w:t>
      </w:r>
    </w:p>
    <w:p w14:paraId="2B0E6A97" w14:textId="77777777" w:rsidR="00A6240C" w:rsidRDefault="00A6240C" w:rsidP="00097650">
      <w:pPr>
        <w:pStyle w:val="10BulletBodytext"/>
      </w:pPr>
      <w:r>
        <w:t>2-bedrooms: 20-30%</w:t>
      </w:r>
    </w:p>
    <w:p w14:paraId="631BDCEC" w14:textId="77777777" w:rsidR="00A6240C" w:rsidRDefault="00A6240C" w:rsidP="00097650">
      <w:pPr>
        <w:pStyle w:val="10BulletBodytext"/>
      </w:pPr>
      <w:r>
        <w:t>3-bedrooms: 40-50%</w:t>
      </w:r>
    </w:p>
    <w:p w14:paraId="3EF7412C" w14:textId="77777777" w:rsidR="00A6240C" w:rsidRDefault="00A6240C" w:rsidP="00097650">
      <w:pPr>
        <w:pStyle w:val="10BulletBodytext"/>
      </w:pPr>
      <w:r>
        <w:t>4+-bedrooms: 20-30%</w:t>
      </w:r>
    </w:p>
    <w:p w14:paraId="2E8BFCFE" w14:textId="77777777" w:rsidR="00A6240C" w:rsidRDefault="00A6240C" w:rsidP="007D0FBF">
      <w:pPr>
        <w:pStyle w:val="11Bodytext"/>
      </w:pPr>
      <w:r>
        <w:t xml:space="preserve">Although the analysis that has quantified this is based on the market modelling and an understanding of the current housing market, it does not necessarily follow that highly prescriptive figures should be included in the plan-making process (hence the use of quite large ranges). </w:t>
      </w:r>
    </w:p>
    <w:p w14:paraId="4B75651A" w14:textId="77777777" w:rsidR="00A6240C" w:rsidRDefault="00A6240C" w:rsidP="007D0FBF">
      <w:pPr>
        <w:pStyle w:val="11Bodytext"/>
      </w:pPr>
      <w:r>
        <w:t>The ranges shown above can be used as a monitoring tool to ensure that future delivery is balanced when compared with the likely requirements as driven by demographic change in the area. The recommendations can also be used as a set of guidelines to consider the appropriate mix on larger development sites. While site location and area character are also relevant considerations for the appropriate mix of market housing on individual development sites, Councils must require developers to justify a housing mix on sites which differs significantly from that modelled herein.</w:t>
      </w:r>
    </w:p>
    <w:p w14:paraId="71B48590" w14:textId="77777777" w:rsidR="00A6240C" w:rsidRDefault="00A6240C" w:rsidP="007D0FBF">
      <w:pPr>
        <w:pStyle w:val="Heading2"/>
      </w:pPr>
      <w:r>
        <w:lastRenderedPageBreak/>
        <w:t>Recommendations by Local Authority</w:t>
      </w:r>
    </w:p>
    <w:p w14:paraId="3574CD77" w14:textId="77777777" w:rsidR="00A6240C" w:rsidRDefault="00A6240C" w:rsidP="007D0FBF">
      <w:pPr>
        <w:pStyle w:val="11Bodytext"/>
      </w:pPr>
      <w:r>
        <w:t xml:space="preserve">The six tables below show estimates of the mix of housing by tenure for each of the six local authorities. This follows the same methodology as for the whole Cambridgeshire/West Suffolk area and takes account of consideration of both local occupancy patterns and those across the region. </w:t>
      </w:r>
    </w:p>
    <w:p w14:paraId="5CFB1449" w14:textId="77777777" w:rsidR="00A6240C" w:rsidRDefault="00A6240C" w:rsidP="007D0FBF">
      <w:pPr>
        <w:pStyle w:val="11Bodytext"/>
      </w:pPr>
      <w:r>
        <w:t>Similar to those applied in the previous section across the HMA the analysis includes specific adjustments to take account of the stock profile (and occupancy of the stock) at a local level, although this only has a modest impact on the conclusions.</w:t>
      </w:r>
    </w:p>
    <w:p w14:paraId="27462E5B" w14:textId="77777777" w:rsidR="00A6240C" w:rsidRDefault="00A6240C" w:rsidP="007D0FBF">
      <w:pPr>
        <w:pStyle w:val="11Bodytext"/>
      </w:pPr>
      <w:r>
        <w:t>In interpreting the findings, it needs to be noted that to some degree the outputs will reinforce the current stock profile. However, it may be the case that moving away from this mix could be prudent in some areas. For example, the analysis shows a high need for 4+-bedroom market homes in Cambridge due to projected changes to the population and household structures (which seem to focus less on older person age groups and more towards some groups who typically live in larger homes (</w:t>
      </w:r>
      <w:proofErr w:type="gramStart"/>
      <w:r>
        <w:t>e.g.</w:t>
      </w:r>
      <w:proofErr w:type="gramEnd"/>
      <w:r>
        <w:t xml:space="preserve"> those aged 45-59)). </w:t>
      </w:r>
    </w:p>
    <w:p w14:paraId="4A6D19DF" w14:textId="77777777" w:rsidR="00A6240C" w:rsidRDefault="00A6240C" w:rsidP="007D0FBF">
      <w:pPr>
        <w:pStyle w:val="11Bodytext"/>
      </w:pPr>
      <w:r>
        <w:t xml:space="preserve">However, it may be that Cambridge is better suited to providing smaller dwellings (due to the type of sites) and therefore some adjustment could be made to specific recommendations. This will also reflect that dwellings are more expensive in the city and a higher proportion of smaller homes than for other districts would be more closely aligned with </w:t>
      </w:r>
      <w:proofErr w:type="gramStart"/>
      <w:r>
        <w:t>households</w:t>
      </w:r>
      <w:proofErr w:type="gramEnd"/>
      <w:r>
        <w:t xml:space="preserve"> affordability constraints. Overall, the data is indicative and will need to be reflected on when developing policy. </w:t>
      </w:r>
    </w:p>
    <w:p w14:paraId="56865E6C" w14:textId="77777777" w:rsidR="00A6240C" w:rsidRDefault="00A6240C" w:rsidP="007D0FBF">
      <w:pPr>
        <w:pStyle w:val="11Bodytext"/>
      </w:pPr>
      <w:r>
        <w:t xml:space="preserve">The suggested mix for Affordable Home Ownership in the tables below can be applied to Affordable Private Rented dwellings in BTR developments, as the suggested mix is based on PRS occupancy rates. However, it is worth noting that BTR is a highly specialised form of development often serving a particular market segment </w:t>
      </w:r>
      <w:proofErr w:type="gramStart"/>
      <w:r>
        <w:t>e.g.</w:t>
      </w:r>
      <w:proofErr w:type="gramEnd"/>
      <w:r>
        <w:t xml:space="preserve"> young professionals. District-wide type and size policies are unlikely to be applicable without being adjusted to reflect the type of development being proposed. </w:t>
      </w:r>
    </w:p>
    <w:p w14:paraId="7BE129FA" w14:textId="77777777" w:rsidR="00A6240C" w:rsidRDefault="00A6240C" w:rsidP="003D5E23">
      <w:pPr>
        <w:pStyle w:val="Tableheading"/>
        <w:numPr>
          <w:ilvl w:val="0"/>
          <w:numId w:val="54"/>
        </w:numPr>
      </w:pPr>
      <w:r>
        <w:lastRenderedPageBreak/>
        <w:t>Suggested Mix of Housing by Size and Tenure in Cambridge</w:t>
      </w:r>
    </w:p>
    <w:tbl>
      <w:tblPr>
        <w:tblStyle w:val="TableGridLight1"/>
        <w:tblW w:w="8647" w:type="dxa"/>
        <w:tblInd w:w="846" w:type="dxa"/>
        <w:tblLook w:val="04A0" w:firstRow="1" w:lastRow="0" w:firstColumn="1" w:lastColumn="0" w:noHBand="0" w:noVBand="1"/>
      </w:tblPr>
      <w:tblGrid>
        <w:gridCol w:w="2693"/>
        <w:gridCol w:w="1488"/>
        <w:gridCol w:w="1489"/>
        <w:gridCol w:w="1488"/>
        <w:gridCol w:w="1489"/>
      </w:tblGrid>
      <w:tr w:rsidR="00DA49C9" w:rsidRPr="00DA49C9" w14:paraId="2FB09535" w14:textId="77777777" w:rsidTr="00285BE8">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93" w:type="dxa"/>
            <w:hideMark/>
          </w:tcPr>
          <w:p w14:paraId="0814465F" w14:textId="77777777" w:rsidR="00A6240C" w:rsidRPr="00DA49C9" w:rsidRDefault="00A6240C" w:rsidP="001D508A">
            <w:pPr>
              <w:spacing w:line="256" w:lineRule="auto"/>
              <w:rPr>
                <w:lang w:eastAsia="en-GB"/>
              </w:rPr>
            </w:pPr>
            <w:r w:rsidRPr="00DA49C9">
              <w:rPr>
                <w:lang w:eastAsia="en-GB"/>
              </w:rPr>
              <w:t> </w:t>
            </w:r>
          </w:p>
        </w:tc>
        <w:tc>
          <w:tcPr>
            <w:tcW w:w="1488" w:type="dxa"/>
            <w:hideMark/>
          </w:tcPr>
          <w:p w14:paraId="0CDC6961"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1-bedroom</w:t>
            </w:r>
          </w:p>
        </w:tc>
        <w:tc>
          <w:tcPr>
            <w:tcW w:w="1489" w:type="dxa"/>
            <w:hideMark/>
          </w:tcPr>
          <w:p w14:paraId="7EC370EC"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2-bedrooms</w:t>
            </w:r>
          </w:p>
        </w:tc>
        <w:tc>
          <w:tcPr>
            <w:tcW w:w="1488" w:type="dxa"/>
            <w:hideMark/>
          </w:tcPr>
          <w:p w14:paraId="2AD000E7"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lang w:eastAsia="en-GB"/>
              </w:rPr>
              <w:t>3-bedrooms</w:t>
            </w:r>
          </w:p>
        </w:tc>
        <w:tc>
          <w:tcPr>
            <w:tcW w:w="1489" w:type="dxa"/>
            <w:hideMark/>
          </w:tcPr>
          <w:p w14:paraId="08BF5871" w14:textId="77777777" w:rsidR="00A6240C" w:rsidRPr="00DA49C9"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DA49C9">
              <w:rPr>
                <w:spacing w:val="-6"/>
                <w:lang w:eastAsia="en-GB"/>
              </w:rPr>
              <w:t>4+-bedrooms</w:t>
            </w:r>
          </w:p>
        </w:tc>
      </w:tr>
      <w:tr w:rsidR="00DA49C9" w:rsidRPr="00DA49C9" w14:paraId="0E73A0C7" w14:textId="77777777" w:rsidTr="00285BE8">
        <w:trPr>
          <w:trHeight w:val="312"/>
        </w:trPr>
        <w:tc>
          <w:tcPr>
            <w:cnfStyle w:val="001000000000" w:firstRow="0" w:lastRow="0" w:firstColumn="1" w:lastColumn="0" w:oddVBand="0" w:evenVBand="0" w:oddHBand="0" w:evenHBand="0" w:firstRowFirstColumn="0" w:firstRowLastColumn="0" w:lastRowFirstColumn="0" w:lastRowLastColumn="0"/>
            <w:tcW w:w="2693" w:type="dxa"/>
            <w:hideMark/>
          </w:tcPr>
          <w:p w14:paraId="2458E7E6" w14:textId="77777777" w:rsidR="00A6240C" w:rsidRPr="004F4BA7" w:rsidRDefault="00A6240C" w:rsidP="001D508A">
            <w:pPr>
              <w:spacing w:line="256" w:lineRule="auto"/>
              <w:rPr>
                <w:bCs/>
                <w:lang w:eastAsia="en-GB"/>
              </w:rPr>
            </w:pPr>
            <w:r w:rsidRPr="004F4BA7">
              <w:rPr>
                <w:bCs/>
                <w:lang w:eastAsia="en-GB"/>
              </w:rPr>
              <w:t>Market</w:t>
            </w:r>
          </w:p>
        </w:tc>
        <w:tc>
          <w:tcPr>
            <w:tcW w:w="1488" w:type="dxa"/>
            <w:hideMark/>
          </w:tcPr>
          <w:p w14:paraId="01C52DA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0-10%</w:t>
            </w:r>
          </w:p>
        </w:tc>
        <w:tc>
          <w:tcPr>
            <w:tcW w:w="1489" w:type="dxa"/>
            <w:hideMark/>
          </w:tcPr>
          <w:p w14:paraId="047479D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15-25%</w:t>
            </w:r>
          </w:p>
        </w:tc>
        <w:tc>
          <w:tcPr>
            <w:tcW w:w="1488" w:type="dxa"/>
            <w:hideMark/>
          </w:tcPr>
          <w:p w14:paraId="03730CB8"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40-50%</w:t>
            </w:r>
          </w:p>
        </w:tc>
        <w:tc>
          <w:tcPr>
            <w:tcW w:w="1489" w:type="dxa"/>
            <w:hideMark/>
          </w:tcPr>
          <w:p w14:paraId="6FBBB09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25-35%</w:t>
            </w:r>
          </w:p>
        </w:tc>
      </w:tr>
      <w:tr w:rsidR="00DA49C9" w:rsidRPr="00DA49C9" w14:paraId="66C8A331" w14:textId="77777777" w:rsidTr="00B92D2D">
        <w:trPr>
          <w:trHeight w:val="59"/>
        </w:trPr>
        <w:tc>
          <w:tcPr>
            <w:cnfStyle w:val="001000000000" w:firstRow="0" w:lastRow="0" w:firstColumn="1" w:lastColumn="0" w:oddVBand="0" w:evenVBand="0" w:oddHBand="0" w:evenHBand="0" w:firstRowFirstColumn="0" w:firstRowLastColumn="0" w:lastRowFirstColumn="0" w:lastRowLastColumn="0"/>
            <w:tcW w:w="2693" w:type="dxa"/>
            <w:hideMark/>
          </w:tcPr>
          <w:p w14:paraId="04EBBD26" w14:textId="77777777" w:rsidR="00A6240C" w:rsidRPr="004F4BA7" w:rsidRDefault="00A6240C" w:rsidP="001D508A">
            <w:pPr>
              <w:spacing w:line="256" w:lineRule="auto"/>
              <w:rPr>
                <w:bCs/>
                <w:lang w:eastAsia="en-GB"/>
              </w:rPr>
            </w:pPr>
            <w:r w:rsidRPr="004F4BA7">
              <w:rPr>
                <w:bCs/>
                <w:lang w:eastAsia="en-GB"/>
              </w:rPr>
              <w:t>Affordable home ownership</w:t>
            </w:r>
          </w:p>
        </w:tc>
        <w:tc>
          <w:tcPr>
            <w:tcW w:w="1488" w:type="dxa"/>
            <w:hideMark/>
          </w:tcPr>
          <w:p w14:paraId="62C41FE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15-25%</w:t>
            </w:r>
          </w:p>
        </w:tc>
        <w:tc>
          <w:tcPr>
            <w:tcW w:w="1489" w:type="dxa"/>
            <w:hideMark/>
          </w:tcPr>
          <w:p w14:paraId="19083370"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35-45%</w:t>
            </w:r>
          </w:p>
        </w:tc>
        <w:tc>
          <w:tcPr>
            <w:tcW w:w="1488" w:type="dxa"/>
            <w:hideMark/>
          </w:tcPr>
          <w:p w14:paraId="6AAA1FB5"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25-35%</w:t>
            </w:r>
          </w:p>
        </w:tc>
        <w:tc>
          <w:tcPr>
            <w:tcW w:w="1489" w:type="dxa"/>
            <w:hideMark/>
          </w:tcPr>
          <w:p w14:paraId="1B8F62A9"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5-15%</w:t>
            </w:r>
          </w:p>
        </w:tc>
      </w:tr>
      <w:tr w:rsidR="00DA49C9" w:rsidRPr="00DA49C9" w14:paraId="677E32CF" w14:textId="77777777" w:rsidTr="00B92D2D">
        <w:trPr>
          <w:trHeight w:val="56"/>
        </w:trPr>
        <w:tc>
          <w:tcPr>
            <w:cnfStyle w:val="001000000000" w:firstRow="0" w:lastRow="0" w:firstColumn="1" w:lastColumn="0" w:oddVBand="0" w:evenVBand="0" w:oddHBand="0" w:evenHBand="0" w:firstRowFirstColumn="0" w:firstRowLastColumn="0" w:lastRowFirstColumn="0" w:lastRowLastColumn="0"/>
            <w:tcW w:w="2693" w:type="dxa"/>
            <w:hideMark/>
          </w:tcPr>
          <w:p w14:paraId="3A2978AD" w14:textId="77777777" w:rsidR="00A6240C" w:rsidRPr="004F4BA7" w:rsidRDefault="00A6240C" w:rsidP="001D508A">
            <w:pPr>
              <w:spacing w:line="256" w:lineRule="auto"/>
              <w:rPr>
                <w:bCs/>
                <w:lang w:eastAsia="en-GB"/>
              </w:rPr>
            </w:pPr>
            <w:r w:rsidRPr="004F4BA7">
              <w:rPr>
                <w:bCs/>
                <w:lang w:eastAsia="en-GB"/>
              </w:rPr>
              <w:t>Affordable housing (rented)</w:t>
            </w:r>
          </w:p>
        </w:tc>
        <w:tc>
          <w:tcPr>
            <w:tcW w:w="1488" w:type="dxa"/>
            <w:hideMark/>
          </w:tcPr>
          <w:p w14:paraId="6407519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35-45%</w:t>
            </w:r>
          </w:p>
        </w:tc>
        <w:tc>
          <w:tcPr>
            <w:tcW w:w="1489" w:type="dxa"/>
            <w:hideMark/>
          </w:tcPr>
          <w:p w14:paraId="07D14E3F"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30-40%</w:t>
            </w:r>
          </w:p>
        </w:tc>
        <w:tc>
          <w:tcPr>
            <w:tcW w:w="1488" w:type="dxa"/>
            <w:hideMark/>
          </w:tcPr>
          <w:p w14:paraId="03B37233"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15-25%</w:t>
            </w:r>
          </w:p>
        </w:tc>
        <w:tc>
          <w:tcPr>
            <w:tcW w:w="1489" w:type="dxa"/>
            <w:hideMark/>
          </w:tcPr>
          <w:p w14:paraId="1630C18E" w14:textId="77777777" w:rsidR="00A6240C" w:rsidRPr="00DA49C9"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DA49C9">
              <w:rPr>
                <w:lang w:eastAsia="en-GB"/>
              </w:rPr>
              <w:t>0-10%</w:t>
            </w:r>
          </w:p>
        </w:tc>
      </w:tr>
    </w:tbl>
    <w:p w14:paraId="6F702150" w14:textId="77777777" w:rsidR="00A6240C" w:rsidRPr="00285BE8" w:rsidRDefault="00A6240C" w:rsidP="00A6240C">
      <w:pPr>
        <w:pStyle w:val="BodyText"/>
        <w:tabs>
          <w:tab w:val="clear" w:pos="0"/>
          <w:tab w:val="left" w:pos="720"/>
        </w:tabs>
        <w:spacing w:after="120"/>
        <w:ind w:left="1843" w:hanging="1049"/>
        <w:rPr>
          <w:rFonts w:ascii="Arial" w:hAnsi="Arial" w:cs="Arial"/>
          <w:sz w:val="24"/>
          <w:szCs w:val="24"/>
        </w:rPr>
      </w:pPr>
      <w:r>
        <w:rPr>
          <w:rFonts w:ascii="Arial" w:hAnsi="Arial" w:cs="Arial"/>
        </w:rPr>
        <w:t xml:space="preserve"> </w:t>
      </w:r>
      <w:r w:rsidRPr="00285BE8">
        <w:rPr>
          <w:rFonts w:ascii="Arial" w:hAnsi="Arial" w:cs="Arial"/>
          <w:sz w:val="24"/>
          <w:szCs w:val="24"/>
        </w:rPr>
        <w:t>Source: Housing Market Model based on ONS Data</w:t>
      </w:r>
    </w:p>
    <w:p w14:paraId="3BBAEC67" w14:textId="77777777" w:rsidR="00A6240C" w:rsidRDefault="00A6240C" w:rsidP="003D5E23">
      <w:pPr>
        <w:pStyle w:val="Tableheading"/>
        <w:numPr>
          <w:ilvl w:val="0"/>
          <w:numId w:val="54"/>
        </w:numPr>
      </w:pPr>
      <w:r>
        <w:t>Suggested Mix of Housing by Size and Tenure in East Cambridgeshire</w:t>
      </w:r>
    </w:p>
    <w:tbl>
      <w:tblPr>
        <w:tblStyle w:val="TableGridLight1"/>
        <w:tblW w:w="8627" w:type="dxa"/>
        <w:tblInd w:w="846" w:type="dxa"/>
        <w:tblLook w:val="04A0" w:firstRow="1" w:lastRow="0" w:firstColumn="1" w:lastColumn="0" w:noHBand="0" w:noVBand="1"/>
      </w:tblPr>
      <w:tblGrid>
        <w:gridCol w:w="2693"/>
        <w:gridCol w:w="1483"/>
        <w:gridCol w:w="1484"/>
        <w:gridCol w:w="1483"/>
        <w:gridCol w:w="1484"/>
      </w:tblGrid>
      <w:tr w:rsidR="00320BF8" w:rsidRPr="00320BF8" w14:paraId="408E6220" w14:textId="77777777" w:rsidTr="00285BE8">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93" w:type="dxa"/>
            <w:hideMark/>
          </w:tcPr>
          <w:p w14:paraId="0D0C0C74" w14:textId="77777777" w:rsidR="00A6240C" w:rsidRPr="00320BF8" w:rsidRDefault="00A6240C" w:rsidP="001D508A">
            <w:pPr>
              <w:spacing w:line="256" w:lineRule="auto"/>
              <w:rPr>
                <w:lang w:eastAsia="en-GB"/>
              </w:rPr>
            </w:pPr>
            <w:r w:rsidRPr="00320BF8">
              <w:rPr>
                <w:lang w:eastAsia="en-GB"/>
              </w:rPr>
              <w:t> </w:t>
            </w:r>
          </w:p>
        </w:tc>
        <w:tc>
          <w:tcPr>
            <w:tcW w:w="1483" w:type="dxa"/>
            <w:hideMark/>
          </w:tcPr>
          <w:p w14:paraId="22467A3C"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1-bedroom</w:t>
            </w:r>
          </w:p>
        </w:tc>
        <w:tc>
          <w:tcPr>
            <w:tcW w:w="1484" w:type="dxa"/>
            <w:hideMark/>
          </w:tcPr>
          <w:p w14:paraId="04CC1D34"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2-bedrooms</w:t>
            </w:r>
          </w:p>
        </w:tc>
        <w:tc>
          <w:tcPr>
            <w:tcW w:w="1483" w:type="dxa"/>
            <w:hideMark/>
          </w:tcPr>
          <w:p w14:paraId="2588F95B"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3-bedrooms</w:t>
            </w:r>
          </w:p>
        </w:tc>
        <w:tc>
          <w:tcPr>
            <w:tcW w:w="1484" w:type="dxa"/>
            <w:hideMark/>
          </w:tcPr>
          <w:p w14:paraId="12D2EB02"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spacing w:val="-6"/>
                <w:lang w:eastAsia="en-GB"/>
              </w:rPr>
              <w:t>4+-bedrooms</w:t>
            </w:r>
          </w:p>
        </w:tc>
      </w:tr>
      <w:tr w:rsidR="00320BF8" w:rsidRPr="00320BF8" w14:paraId="3B884463" w14:textId="77777777" w:rsidTr="00285BE8">
        <w:trPr>
          <w:trHeight w:val="322"/>
        </w:trPr>
        <w:tc>
          <w:tcPr>
            <w:cnfStyle w:val="001000000000" w:firstRow="0" w:lastRow="0" w:firstColumn="1" w:lastColumn="0" w:oddVBand="0" w:evenVBand="0" w:oddHBand="0" w:evenHBand="0" w:firstRowFirstColumn="0" w:firstRowLastColumn="0" w:lastRowFirstColumn="0" w:lastRowLastColumn="0"/>
            <w:tcW w:w="2693" w:type="dxa"/>
            <w:hideMark/>
          </w:tcPr>
          <w:p w14:paraId="31573A85" w14:textId="77777777" w:rsidR="00A6240C" w:rsidRPr="004F4BA7" w:rsidRDefault="00A6240C" w:rsidP="001D508A">
            <w:pPr>
              <w:spacing w:line="256" w:lineRule="auto"/>
              <w:rPr>
                <w:bCs/>
                <w:lang w:eastAsia="en-GB"/>
              </w:rPr>
            </w:pPr>
            <w:r w:rsidRPr="004F4BA7">
              <w:rPr>
                <w:bCs/>
                <w:lang w:eastAsia="en-GB"/>
              </w:rPr>
              <w:t>Market</w:t>
            </w:r>
          </w:p>
        </w:tc>
        <w:tc>
          <w:tcPr>
            <w:tcW w:w="1483" w:type="dxa"/>
            <w:hideMark/>
          </w:tcPr>
          <w:p w14:paraId="7A6CD26F"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c>
          <w:tcPr>
            <w:tcW w:w="1484" w:type="dxa"/>
            <w:hideMark/>
          </w:tcPr>
          <w:p w14:paraId="3BD1EF86"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483" w:type="dxa"/>
            <w:hideMark/>
          </w:tcPr>
          <w:p w14:paraId="7FDEC39D"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40-50%</w:t>
            </w:r>
          </w:p>
        </w:tc>
        <w:tc>
          <w:tcPr>
            <w:tcW w:w="1484" w:type="dxa"/>
            <w:hideMark/>
          </w:tcPr>
          <w:p w14:paraId="2003595F"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r>
      <w:tr w:rsidR="00320BF8" w:rsidRPr="00320BF8" w14:paraId="5246A3EB" w14:textId="77777777" w:rsidTr="00B92D2D">
        <w:trPr>
          <w:trHeight w:val="201"/>
        </w:trPr>
        <w:tc>
          <w:tcPr>
            <w:cnfStyle w:val="001000000000" w:firstRow="0" w:lastRow="0" w:firstColumn="1" w:lastColumn="0" w:oddVBand="0" w:evenVBand="0" w:oddHBand="0" w:evenHBand="0" w:firstRowFirstColumn="0" w:firstRowLastColumn="0" w:lastRowFirstColumn="0" w:lastRowLastColumn="0"/>
            <w:tcW w:w="2693" w:type="dxa"/>
            <w:hideMark/>
          </w:tcPr>
          <w:p w14:paraId="75B4709D" w14:textId="77777777" w:rsidR="00A6240C" w:rsidRPr="004F4BA7" w:rsidRDefault="00A6240C" w:rsidP="001D508A">
            <w:pPr>
              <w:spacing w:line="256" w:lineRule="auto"/>
              <w:rPr>
                <w:bCs/>
                <w:lang w:eastAsia="en-GB"/>
              </w:rPr>
            </w:pPr>
            <w:r w:rsidRPr="004F4BA7">
              <w:rPr>
                <w:bCs/>
                <w:lang w:eastAsia="en-GB"/>
              </w:rPr>
              <w:t>Affordable home ownership</w:t>
            </w:r>
          </w:p>
        </w:tc>
        <w:tc>
          <w:tcPr>
            <w:tcW w:w="1483" w:type="dxa"/>
            <w:hideMark/>
          </w:tcPr>
          <w:p w14:paraId="26513165"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c>
          <w:tcPr>
            <w:tcW w:w="1484" w:type="dxa"/>
            <w:hideMark/>
          </w:tcPr>
          <w:p w14:paraId="13E0BAFF"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483" w:type="dxa"/>
            <w:hideMark/>
          </w:tcPr>
          <w:p w14:paraId="2F72912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484" w:type="dxa"/>
            <w:hideMark/>
          </w:tcPr>
          <w:p w14:paraId="5937F1DD"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5-15%</w:t>
            </w:r>
          </w:p>
        </w:tc>
      </w:tr>
      <w:tr w:rsidR="00320BF8" w:rsidRPr="00320BF8" w14:paraId="3316F1BF" w14:textId="77777777" w:rsidTr="00B92D2D">
        <w:trPr>
          <w:trHeight w:val="192"/>
        </w:trPr>
        <w:tc>
          <w:tcPr>
            <w:cnfStyle w:val="001000000000" w:firstRow="0" w:lastRow="0" w:firstColumn="1" w:lastColumn="0" w:oddVBand="0" w:evenVBand="0" w:oddHBand="0" w:evenHBand="0" w:firstRowFirstColumn="0" w:firstRowLastColumn="0" w:lastRowFirstColumn="0" w:lastRowLastColumn="0"/>
            <w:tcW w:w="2693" w:type="dxa"/>
            <w:hideMark/>
          </w:tcPr>
          <w:p w14:paraId="7B0B5924" w14:textId="77777777" w:rsidR="00A6240C" w:rsidRPr="004F4BA7" w:rsidRDefault="00A6240C" w:rsidP="001D508A">
            <w:pPr>
              <w:spacing w:line="256" w:lineRule="auto"/>
              <w:rPr>
                <w:bCs/>
                <w:lang w:eastAsia="en-GB"/>
              </w:rPr>
            </w:pPr>
            <w:r w:rsidRPr="004F4BA7">
              <w:rPr>
                <w:bCs/>
                <w:lang w:eastAsia="en-GB"/>
              </w:rPr>
              <w:t>Affordable housing (rented)</w:t>
            </w:r>
          </w:p>
        </w:tc>
        <w:tc>
          <w:tcPr>
            <w:tcW w:w="1483" w:type="dxa"/>
            <w:hideMark/>
          </w:tcPr>
          <w:p w14:paraId="7D67B40F"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30-40%</w:t>
            </w:r>
          </w:p>
        </w:tc>
        <w:tc>
          <w:tcPr>
            <w:tcW w:w="1484" w:type="dxa"/>
            <w:hideMark/>
          </w:tcPr>
          <w:p w14:paraId="0E739891"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483" w:type="dxa"/>
            <w:hideMark/>
          </w:tcPr>
          <w:p w14:paraId="03B0A28F"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c>
          <w:tcPr>
            <w:tcW w:w="1484" w:type="dxa"/>
            <w:hideMark/>
          </w:tcPr>
          <w:p w14:paraId="2A58FE0D"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bl>
    <w:p w14:paraId="1244E8A2" w14:textId="77777777" w:rsidR="00A6240C" w:rsidRPr="00285BE8" w:rsidRDefault="00A6240C" w:rsidP="00A6240C">
      <w:pPr>
        <w:pStyle w:val="BodyText"/>
        <w:tabs>
          <w:tab w:val="clear" w:pos="0"/>
          <w:tab w:val="left" w:pos="720"/>
        </w:tabs>
        <w:spacing w:after="120"/>
        <w:ind w:left="1843" w:hanging="1049"/>
        <w:rPr>
          <w:rFonts w:ascii="Arial" w:hAnsi="Arial" w:cs="Arial"/>
          <w:sz w:val="24"/>
          <w:szCs w:val="24"/>
        </w:rPr>
      </w:pPr>
      <w:r w:rsidRPr="00285BE8">
        <w:rPr>
          <w:rFonts w:ascii="Arial" w:hAnsi="Arial" w:cs="Arial"/>
          <w:sz w:val="24"/>
          <w:szCs w:val="24"/>
        </w:rPr>
        <w:t xml:space="preserve"> Source: Housing Market Model based on ONS Data</w:t>
      </w:r>
    </w:p>
    <w:p w14:paraId="789D43D3" w14:textId="77777777" w:rsidR="00A6240C" w:rsidRDefault="00A6240C" w:rsidP="003D5E23">
      <w:pPr>
        <w:pStyle w:val="Tableheading"/>
        <w:numPr>
          <w:ilvl w:val="0"/>
          <w:numId w:val="54"/>
        </w:numPr>
      </w:pPr>
      <w:r>
        <w:t>Suggested Mix of Housing by Size and Tenure in Fenland</w:t>
      </w:r>
    </w:p>
    <w:tbl>
      <w:tblPr>
        <w:tblStyle w:val="TableGridLight1"/>
        <w:tblW w:w="8688" w:type="dxa"/>
        <w:tblInd w:w="846" w:type="dxa"/>
        <w:tblLook w:val="04A0" w:firstRow="1" w:lastRow="0" w:firstColumn="1" w:lastColumn="0" w:noHBand="0" w:noVBand="1"/>
      </w:tblPr>
      <w:tblGrid>
        <w:gridCol w:w="2693"/>
        <w:gridCol w:w="1498"/>
        <w:gridCol w:w="1499"/>
        <w:gridCol w:w="1499"/>
        <w:gridCol w:w="1499"/>
      </w:tblGrid>
      <w:tr w:rsidR="00320BF8" w:rsidRPr="00320BF8" w14:paraId="49977447" w14:textId="77777777" w:rsidTr="00285BE8">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693" w:type="dxa"/>
            <w:hideMark/>
          </w:tcPr>
          <w:p w14:paraId="443FDF9A" w14:textId="77777777" w:rsidR="00A6240C" w:rsidRPr="00320BF8" w:rsidRDefault="00A6240C" w:rsidP="001D508A">
            <w:pPr>
              <w:spacing w:line="256" w:lineRule="auto"/>
              <w:rPr>
                <w:lang w:eastAsia="en-GB"/>
              </w:rPr>
            </w:pPr>
            <w:r w:rsidRPr="00320BF8">
              <w:rPr>
                <w:lang w:eastAsia="en-GB"/>
              </w:rPr>
              <w:t> </w:t>
            </w:r>
          </w:p>
        </w:tc>
        <w:tc>
          <w:tcPr>
            <w:tcW w:w="1498" w:type="dxa"/>
            <w:hideMark/>
          </w:tcPr>
          <w:p w14:paraId="6171EACA"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1-bedroom</w:t>
            </w:r>
          </w:p>
        </w:tc>
        <w:tc>
          <w:tcPr>
            <w:tcW w:w="1499" w:type="dxa"/>
            <w:hideMark/>
          </w:tcPr>
          <w:p w14:paraId="6A492B09"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2-bedrooms</w:t>
            </w:r>
          </w:p>
        </w:tc>
        <w:tc>
          <w:tcPr>
            <w:tcW w:w="1499" w:type="dxa"/>
            <w:hideMark/>
          </w:tcPr>
          <w:p w14:paraId="1404E871"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3-bedrooms</w:t>
            </w:r>
          </w:p>
        </w:tc>
        <w:tc>
          <w:tcPr>
            <w:tcW w:w="1499" w:type="dxa"/>
            <w:hideMark/>
          </w:tcPr>
          <w:p w14:paraId="1B55E74F"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spacing w:val="-6"/>
                <w:lang w:eastAsia="en-GB"/>
              </w:rPr>
              <w:t>4+-bedrooms</w:t>
            </w:r>
          </w:p>
        </w:tc>
      </w:tr>
      <w:tr w:rsidR="00320BF8" w:rsidRPr="00320BF8" w14:paraId="623A07C9" w14:textId="77777777" w:rsidTr="00285BE8">
        <w:trPr>
          <w:trHeight w:val="306"/>
        </w:trPr>
        <w:tc>
          <w:tcPr>
            <w:cnfStyle w:val="001000000000" w:firstRow="0" w:lastRow="0" w:firstColumn="1" w:lastColumn="0" w:oddVBand="0" w:evenVBand="0" w:oddHBand="0" w:evenHBand="0" w:firstRowFirstColumn="0" w:firstRowLastColumn="0" w:lastRowFirstColumn="0" w:lastRowLastColumn="0"/>
            <w:tcW w:w="2693" w:type="dxa"/>
            <w:hideMark/>
          </w:tcPr>
          <w:p w14:paraId="52549292" w14:textId="77777777" w:rsidR="00A6240C" w:rsidRPr="004F4BA7" w:rsidRDefault="00A6240C" w:rsidP="001D508A">
            <w:pPr>
              <w:spacing w:line="256" w:lineRule="auto"/>
              <w:rPr>
                <w:bCs/>
                <w:lang w:eastAsia="en-GB"/>
              </w:rPr>
            </w:pPr>
            <w:r w:rsidRPr="004F4BA7">
              <w:rPr>
                <w:bCs/>
                <w:lang w:eastAsia="en-GB"/>
              </w:rPr>
              <w:t>Market</w:t>
            </w:r>
          </w:p>
        </w:tc>
        <w:tc>
          <w:tcPr>
            <w:tcW w:w="1498" w:type="dxa"/>
            <w:hideMark/>
          </w:tcPr>
          <w:p w14:paraId="1187CF85"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c>
          <w:tcPr>
            <w:tcW w:w="1499" w:type="dxa"/>
            <w:hideMark/>
          </w:tcPr>
          <w:p w14:paraId="2230EB0C"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499" w:type="dxa"/>
            <w:hideMark/>
          </w:tcPr>
          <w:p w14:paraId="49B5FB02"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40-50%</w:t>
            </w:r>
          </w:p>
        </w:tc>
        <w:tc>
          <w:tcPr>
            <w:tcW w:w="1499" w:type="dxa"/>
            <w:hideMark/>
          </w:tcPr>
          <w:p w14:paraId="656B58C9"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r>
      <w:tr w:rsidR="00320BF8" w:rsidRPr="00320BF8" w14:paraId="6847FCFE" w14:textId="77777777" w:rsidTr="00B92D2D">
        <w:trPr>
          <w:trHeight w:val="56"/>
        </w:trPr>
        <w:tc>
          <w:tcPr>
            <w:cnfStyle w:val="001000000000" w:firstRow="0" w:lastRow="0" w:firstColumn="1" w:lastColumn="0" w:oddVBand="0" w:evenVBand="0" w:oddHBand="0" w:evenHBand="0" w:firstRowFirstColumn="0" w:firstRowLastColumn="0" w:lastRowFirstColumn="0" w:lastRowLastColumn="0"/>
            <w:tcW w:w="2693" w:type="dxa"/>
            <w:hideMark/>
          </w:tcPr>
          <w:p w14:paraId="67499205" w14:textId="77777777" w:rsidR="00A6240C" w:rsidRPr="004F4BA7" w:rsidRDefault="00A6240C" w:rsidP="001D508A">
            <w:pPr>
              <w:spacing w:line="256" w:lineRule="auto"/>
              <w:rPr>
                <w:bCs/>
                <w:lang w:eastAsia="en-GB"/>
              </w:rPr>
            </w:pPr>
            <w:r w:rsidRPr="004F4BA7">
              <w:rPr>
                <w:bCs/>
                <w:lang w:eastAsia="en-GB"/>
              </w:rPr>
              <w:t>Affordable home ownership</w:t>
            </w:r>
          </w:p>
        </w:tc>
        <w:tc>
          <w:tcPr>
            <w:tcW w:w="1498" w:type="dxa"/>
            <w:hideMark/>
          </w:tcPr>
          <w:p w14:paraId="0C73A828"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499" w:type="dxa"/>
            <w:hideMark/>
          </w:tcPr>
          <w:p w14:paraId="4C06ADF1"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499" w:type="dxa"/>
            <w:hideMark/>
          </w:tcPr>
          <w:p w14:paraId="374BE539"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499" w:type="dxa"/>
            <w:hideMark/>
          </w:tcPr>
          <w:p w14:paraId="75A57A0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r w:rsidR="00320BF8" w:rsidRPr="00320BF8" w14:paraId="78990204" w14:textId="77777777" w:rsidTr="00B92D2D">
        <w:trPr>
          <w:trHeight w:val="56"/>
        </w:trPr>
        <w:tc>
          <w:tcPr>
            <w:cnfStyle w:val="001000000000" w:firstRow="0" w:lastRow="0" w:firstColumn="1" w:lastColumn="0" w:oddVBand="0" w:evenVBand="0" w:oddHBand="0" w:evenHBand="0" w:firstRowFirstColumn="0" w:firstRowLastColumn="0" w:lastRowFirstColumn="0" w:lastRowLastColumn="0"/>
            <w:tcW w:w="2693" w:type="dxa"/>
            <w:hideMark/>
          </w:tcPr>
          <w:p w14:paraId="2CC18600" w14:textId="77777777" w:rsidR="00A6240C" w:rsidRPr="004F4BA7" w:rsidRDefault="00A6240C" w:rsidP="001D508A">
            <w:pPr>
              <w:spacing w:line="256" w:lineRule="auto"/>
              <w:rPr>
                <w:bCs/>
                <w:lang w:eastAsia="en-GB"/>
              </w:rPr>
            </w:pPr>
            <w:r w:rsidRPr="004F4BA7">
              <w:rPr>
                <w:bCs/>
                <w:lang w:eastAsia="en-GB"/>
              </w:rPr>
              <w:t>Affordable housing (rented)</w:t>
            </w:r>
          </w:p>
        </w:tc>
        <w:tc>
          <w:tcPr>
            <w:tcW w:w="1498" w:type="dxa"/>
            <w:hideMark/>
          </w:tcPr>
          <w:p w14:paraId="173E6CC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499" w:type="dxa"/>
            <w:hideMark/>
          </w:tcPr>
          <w:p w14:paraId="50E06377"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499" w:type="dxa"/>
            <w:hideMark/>
          </w:tcPr>
          <w:p w14:paraId="4B549D27"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c>
          <w:tcPr>
            <w:tcW w:w="1499" w:type="dxa"/>
            <w:hideMark/>
          </w:tcPr>
          <w:p w14:paraId="081DC19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bl>
    <w:p w14:paraId="20EF41D3" w14:textId="47ACA134" w:rsidR="00A6240C" w:rsidRPr="00285BE8" w:rsidRDefault="00A6240C" w:rsidP="00A6240C">
      <w:pPr>
        <w:pStyle w:val="BodyText"/>
        <w:tabs>
          <w:tab w:val="clear" w:pos="0"/>
          <w:tab w:val="left" w:pos="720"/>
        </w:tabs>
        <w:spacing w:after="120"/>
        <w:ind w:left="1843" w:hanging="1049"/>
        <w:rPr>
          <w:rFonts w:ascii="Arial" w:hAnsi="Arial" w:cs="Arial"/>
          <w:sz w:val="24"/>
          <w:szCs w:val="24"/>
        </w:rPr>
      </w:pPr>
      <w:r w:rsidRPr="00285BE8">
        <w:rPr>
          <w:rFonts w:ascii="Arial" w:hAnsi="Arial" w:cs="Arial"/>
          <w:sz w:val="24"/>
          <w:szCs w:val="24"/>
        </w:rPr>
        <w:t xml:space="preserve"> Source: Housing Market Model based on ONS Data</w:t>
      </w:r>
    </w:p>
    <w:p w14:paraId="15BD048F" w14:textId="77777777" w:rsidR="00A6240C" w:rsidRDefault="00A6240C" w:rsidP="003D5E23">
      <w:pPr>
        <w:pStyle w:val="Tableheading"/>
        <w:numPr>
          <w:ilvl w:val="0"/>
          <w:numId w:val="54"/>
        </w:numPr>
      </w:pPr>
      <w:r>
        <w:t>Suggested Mix of Housing by Size and Tenure in Huntingdonshire</w:t>
      </w:r>
    </w:p>
    <w:tbl>
      <w:tblPr>
        <w:tblStyle w:val="TableGridLight1"/>
        <w:tblW w:w="8703" w:type="dxa"/>
        <w:tblInd w:w="846" w:type="dxa"/>
        <w:tblLook w:val="04A0" w:firstRow="1" w:lastRow="0" w:firstColumn="1" w:lastColumn="0" w:noHBand="0" w:noVBand="1"/>
      </w:tblPr>
      <w:tblGrid>
        <w:gridCol w:w="2693"/>
        <w:gridCol w:w="1502"/>
        <w:gridCol w:w="1503"/>
        <w:gridCol w:w="1502"/>
        <w:gridCol w:w="1503"/>
      </w:tblGrid>
      <w:tr w:rsidR="00320BF8" w:rsidRPr="00320BF8" w14:paraId="56E4DEA4" w14:textId="77777777" w:rsidTr="00B92D2D">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693" w:type="dxa"/>
            <w:hideMark/>
          </w:tcPr>
          <w:p w14:paraId="0F64B1AD" w14:textId="77777777" w:rsidR="00A6240C" w:rsidRPr="00320BF8" w:rsidRDefault="00A6240C" w:rsidP="001D508A">
            <w:pPr>
              <w:spacing w:line="256" w:lineRule="auto"/>
              <w:rPr>
                <w:lang w:eastAsia="en-GB"/>
              </w:rPr>
            </w:pPr>
            <w:r w:rsidRPr="00320BF8">
              <w:rPr>
                <w:lang w:eastAsia="en-GB"/>
              </w:rPr>
              <w:t> </w:t>
            </w:r>
          </w:p>
        </w:tc>
        <w:tc>
          <w:tcPr>
            <w:tcW w:w="1502" w:type="dxa"/>
            <w:hideMark/>
          </w:tcPr>
          <w:p w14:paraId="2500F784"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1-bedroom</w:t>
            </w:r>
          </w:p>
        </w:tc>
        <w:tc>
          <w:tcPr>
            <w:tcW w:w="1503" w:type="dxa"/>
            <w:hideMark/>
          </w:tcPr>
          <w:p w14:paraId="3124493D"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2-bedrooms</w:t>
            </w:r>
          </w:p>
        </w:tc>
        <w:tc>
          <w:tcPr>
            <w:tcW w:w="1502" w:type="dxa"/>
            <w:hideMark/>
          </w:tcPr>
          <w:p w14:paraId="581A6B2C"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3-bedrooms</w:t>
            </w:r>
          </w:p>
        </w:tc>
        <w:tc>
          <w:tcPr>
            <w:tcW w:w="1503" w:type="dxa"/>
            <w:hideMark/>
          </w:tcPr>
          <w:p w14:paraId="088E51CD"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spacing w:val="-6"/>
                <w:lang w:eastAsia="en-GB"/>
              </w:rPr>
              <w:t>4+-bedrooms</w:t>
            </w:r>
          </w:p>
        </w:tc>
      </w:tr>
      <w:tr w:rsidR="00320BF8" w:rsidRPr="00320BF8" w14:paraId="7CD9BF40" w14:textId="77777777" w:rsidTr="00B92D2D">
        <w:trPr>
          <w:trHeight w:val="297"/>
        </w:trPr>
        <w:tc>
          <w:tcPr>
            <w:cnfStyle w:val="001000000000" w:firstRow="0" w:lastRow="0" w:firstColumn="1" w:lastColumn="0" w:oddVBand="0" w:evenVBand="0" w:oddHBand="0" w:evenHBand="0" w:firstRowFirstColumn="0" w:firstRowLastColumn="0" w:lastRowFirstColumn="0" w:lastRowLastColumn="0"/>
            <w:tcW w:w="2693" w:type="dxa"/>
            <w:hideMark/>
          </w:tcPr>
          <w:p w14:paraId="253E2A1F" w14:textId="77777777" w:rsidR="00A6240C" w:rsidRPr="004F4BA7" w:rsidRDefault="00A6240C" w:rsidP="001D508A">
            <w:pPr>
              <w:spacing w:line="256" w:lineRule="auto"/>
              <w:rPr>
                <w:lang w:eastAsia="en-GB"/>
              </w:rPr>
            </w:pPr>
            <w:r w:rsidRPr="004F4BA7">
              <w:rPr>
                <w:lang w:eastAsia="en-GB"/>
              </w:rPr>
              <w:t>Market</w:t>
            </w:r>
          </w:p>
        </w:tc>
        <w:tc>
          <w:tcPr>
            <w:tcW w:w="1502" w:type="dxa"/>
            <w:hideMark/>
          </w:tcPr>
          <w:p w14:paraId="5CE2BA5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c>
          <w:tcPr>
            <w:tcW w:w="1503" w:type="dxa"/>
            <w:hideMark/>
          </w:tcPr>
          <w:p w14:paraId="01141FC3"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502" w:type="dxa"/>
            <w:hideMark/>
          </w:tcPr>
          <w:p w14:paraId="7C132220"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40-45%</w:t>
            </w:r>
          </w:p>
        </w:tc>
        <w:tc>
          <w:tcPr>
            <w:tcW w:w="1503" w:type="dxa"/>
            <w:hideMark/>
          </w:tcPr>
          <w:p w14:paraId="05111EDD"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r>
      <w:tr w:rsidR="00320BF8" w:rsidRPr="00320BF8" w14:paraId="40102879" w14:textId="77777777" w:rsidTr="00B92D2D">
        <w:trPr>
          <w:trHeight w:val="193"/>
        </w:trPr>
        <w:tc>
          <w:tcPr>
            <w:cnfStyle w:val="001000000000" w:firstRow="0" w:lastRow="0" w:firstColumn="1" w:lastColumn="0" w:oddVBand="0" w:evenVBand="0" w:oddHBand="0" w:evenHBand="0" w:firstRowFirstColumn="0" w:firstRowLastColumn="0" w:lastRowFirstColumn="0" w:lastRowLastColumn="0"/>
            <w:tcW w:w="2693" w:type="dxa"/>
            <w:hideMark/>
          </w:tcPr>
          <w:p w14:paraId="488AF894" w14:textId="77777777" w:rsidR="00A6240C" w:rsidRPr="004F4BA7" w:rsidRDefault="00A6240C" w:rsidP="001D508A">
            <w:pPr>
              <w:spacing w:line="256" w:lineRule="auto"/>
              <w:rPr>
                <w:lang w:eastAsia="en-GB"/>
              </w:rPr>
            </w:pPr>
            <w:r w:rsidRPr="004F4BA7">
              <w:rPr>
                <w:lang w:eastAsia="en-GB"/>
              </w:rPr>
              <w:t>Affordable home ownership</w:t>
            </w:r>
          </w:p>
        </w:tc>
        <w:tc>
          <w:tcPr>
            <w:tcW w:w="1502" w:type="dxa"/>
            <w:hideMark/>
          </w:tcPr>
          <w:p w14:paraId="166F2933"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c>
          <w:tcPr>
            <w:tcW w:w="1503" w:type="dxa"/>
            <w:hideMark/>
          </w:tcPr>
          <w:p w14:paraId="418C3E6D"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502" w:type="dxa"/>
            <w:hideMark/>
          </w:tcPr>
          <w:p w14:paraId="3C43BE94"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503" w:type="dxa"/>
            <w:hideMark/>
          </w:tcPr>
          <w:p w14:paraId="0DF30B96"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5-15%</w:t>
            </w:r>
          </w:p>
        </w:tc>
      </w:tr>
      <w:tr w:rsidR="00320BF8" w:rsidRPr="00320BF8" w14:paraId="35EBE333" w14:textId="77777777" w:rsidTr="00B92D2D">
        <w:trPr>
          <w:trHeight w:val="56"/>
        </w:trPr>
        <w:tc>
          <w:tcPr>
            <w:cnfStyle w:val="001000000000" w:firstRow="0" w:lastRow="0" w:firstColumn="1" w:lastColumn="0" w:oddVBand="0" w:evenVBand="0" w:oddHBand="0" w:evenHBand="0" w:firstRowFirstColumn="0" w:firstRowLastColumn="0" w:lastRowFirstColumn="0" w:lastRowLastColumn="0"/>
            <w:tcW w:w="2693" w:type="dxa"/>
            <w:hideMark/>
          </w:tcPr>
          <w:p w14:paraId="46ED7F86" w14:textId="77777777" w:rsidR="00A6240C" w:rsidRPr="004F4BA7" w:rsidRDefault="00A6240C" w:rsidP="001D508A">
            <w:pPr>
              <w:spacing w:line="256" w:lineRule="auto"/>
              <w:rPr>
                <w:lang w:eastAsia="en-GB"/>
              </w:rPr>
            </w:pPr>
            <w:r w:rsidRPr="004F4BA7">
              <w:rPr>
                <w:lang w:eastAsia="en-GB"/>
              </w:rPr>
              <w:t>Affordable housing (rented)</w:t>
            </w:r>
          </w:p>
        </w:tc>
        <w:tc>
          <w:tcPr>
            <w:tcW w:w="1502" w:type="dxa"/>
            <w:hideMark/>
          </w:tcPr>
          <w:p w14:paraId="20422228"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30-40%</w:t>
            </w:r>
          </w:p>
        </w:tc>
        <w:tc>
          <w:tcPr>
            <w:tcW w:w="1503" w:type="dxa"/>
            <w:hideMark/>
          </w:tcPr>
          <w:p w14:paraId="24251048"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30-40%</w:t>
            </w:r>
          </w:p>
        </w:tc>
        <w:tc>
          <w:tcPr>
            <w:tcW w:w="1502" w:type="dxa"/>
            <w:hideMark/>
          </w:tcPr>
          <w:p w14:paraId="3CEE5307"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503" w:type="dxa"/>
            <w:hideMark/>
          </w:tcPr>
          <w:p w14:paraId="1DF40837"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bl>
    <w:p w14:paraId="3577DE5D" w14:textId="77777777" w:rsidR="00A6240C" w:rsidRPr="00B92D2D" w:rsidRDefault="00A6240C" w:rsidP="00A6240C">
      <w:pPr>
        <w:pStyle w:val="BodyText"/>
        <w:tabs>
          <w:tab w:val="clear" w:pos="0"/>
          <w:tab w:val="left" w:pos="720"/>
        </w:tabs>
        <w:spacing w:after="120"/>
        <w:ind w:left="1843" w:hanging="1049"/>
        <w:rPr>
          <w:rFonts w:ascii="Arial" w:hAnsi="Arial" w:cs="Arial"/>
          <w:sz w:val="24"/>
          <w:szCs w:val="24"/>
        </w:rPr>
      </w:pPr>
      <w:r>
        <w:rPr>
          <w:rFonts w:ascii="Arial" w:hAnsi="Arial" w:cs="Arial"/>
        </w:rPr>
        <w:t xml:space="preserve"> </w:t>
      </w:r>
      <w:r w:rsidRPr="00B92D2D">
        <w:rPr>
          <w:rFonts w:ascii="Arial" w:hAnsi="Arial" w:cs="Arial"/>
          <w:sz w:val="24"/>
          <w:szCs w:val="24"/>
        </w:rPr>
        <w:t>Source: Housing Market Model based on ONS Data</w:t>
      </w:r>
    </w:p>
    <w:p w14:paraId="529A7086" w14:textId="77777777" w:rsidR="00A6240C" w:rsidRDefault="00A6240C" w:rsidP="003D5E23">
      <w:pPr>
        <w:pStyle w:val="Tableheading"/>
        <w:numPr>
          <w:ilvl w:val="0"/>
          <w:numId w:val="54"/>
        </w:numPr>
      </w:pPr>
      <w:r>
        <w:t>Suggested Mix of Housing by Size and Tenure in South Cambridgeshire</w:t>
      </w:r>
    </w:p>
    <w:tbl>
      <w:tblPr>
        <w:tblStyle w:val="TableGridLight1"/>
        <w:tblW w:w="8703" w:type="dxa"/>
        <w:tblInd w:w="846" w:type="dxa"/>
        <w:tblLook w:val="04A0" w:firstRow="1" w:lastRow="0" w:firstColumn="1" w:lastColumn="0" w:noHBand="0" w:noVBand="1"/>
      </w:tblPr>
      <w:tblGrid>
        <w:gridCol w:w="2693"/>
        <w:gridCol w:w="1418"/>
        <w:gridCol w:w="1212"/>
        <w:gridCol w:w="1690"/>
        <w:gridCol w:w="1690"/>
      </w:tblGrid>
      <w:tr w:rsidR="00320BF8" w:rsidRPr="00320BF8" w14:paraId="7AB2F0B9" w14:textId="77777777" w:rsidTr="00B92D2D">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93" w:type="dxa"/>
            <w:hideMark/>
          </w:tcPr>
          <w:p w14:paraId="09DB9D40" w14:textId="77777777" w:rsidR="00A6240C" w:rsidRPr="00320BF8" w:rsidRDefault="00A6240C" w:rsidP="001D508A">
            <w:pPr>
              <w:spacing w:line="256" w:lineRule="auto"/>
              <w:rPr>
                <w:lang w:eastAsia="en-GB"/>
              </w:rPr>
            </w:pPr>
            <w:r w:rsidRPr="00320BF8">
              <w:rPr>
                <w:lang w:eastAsia="en-GB"/>
              </w:rPr>
              <w:t> </w:t>
            </w:r>
          </w:p>
        </w:tc>
        <w:tc>
          <w:tcPr>
            <w:tcW w:w="1418" w:type="dxa"/>
            <w:hideMark/>
          </w:tcPr>
          <w:p w14:paraId="492C4830"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1-bedroom</w:t>
            </w:r>
          </w:p>
        </w:tc>
        <w:tc>
          <w:tcPr>
            <w:tcW w:w="1212" w:type="dxa"/>
            <w:hideMark/>
          </w:tcPr>
          <w:p w14:paraId="42DA2C29"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2-bedrooms</w:t>
            </w:r>
          </w:p>
        </w:tc>
        <w:tc>
          <w:tcPr>
            <w:tcW w:w="1690" w:type="dxa"/>
            <w:hideMark/>
          </w:tcPr>
          <w:p w14:paraId="46DCE8C0"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3-bedrooms</w:t>
            </w:r>
          </w:p>
        </w:tc>
        <w:tc>
          <w:tcPr>
            <w:tcW w:w="1690" w:type="dxa"/>
            <w:hideMark/>
          </w:tcPr>
          <w:p w14:paraId="23D9EF02" w14:textId="77777777" w:rsidR="00A6240C" w:rsidRPr="00320BF8"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spacing w:val="-6"/>
                <w:lang w:eastAsia="en-GB"/>
              </w:rPr>
              <w:t>4+-bedrooms</w:t>
            </w:r>
          </w:p>
        </w:tc>
      </w:tr>
      <w:tr w:rsidR="00320BF8" w:rsidRPr="00320BF8" w14:paraId="0E49C178" w14:textId="77777777" w:rsidTr="00B92D2D">
        <w:trPr>
          <w:trHeight w:val="324"/>
        </w:trPr>
        <w:tc>
          <w:tcPr>
            <w:cnfStyle w:val="001000000000" w:firstRow="0" w:lastRow="0" w:firstColumn="1" w:lastColumn="0" w:oddVBand="0" w:evenVBand="0" w:oddHBand="0" w:evenHBand="0" w:firstRowFirstColumn="0" w:firstRowLastColumn="0" w:lastRowFirstColumn="0" w:lastRowLastColumn="0"/>
            <w:tcW w:w="2693" w:type="dxa"/>
            <w:hideMark/>
          </w:tcPr>
          <w:p w14:paraId="3DC9D09C" w14:textId="77777777" w:rsidR="00A6240C" w:rsidRPr="004F4BA7" w:rsidRDefault="00A6240C" w:rsidP="001D508A">
            <w:pPr>
              <w:spacing w:line="256" w:lineRule="auto"/>
              <w:rPr>
                <w:bCs/>
                <w:lang w:eastAsia="en-GB"/>
              </w:rPr>
            </w:pPr>
            <w:r w:rsidRPr="004F4BA7">
              <w:rPr>
                <w:bCs/>
                <w:lang w:eastAsia="en-GB"/>
              </w:rPr>
              <w:t>Market</w:t>
            </w:r>
          </w:p>
        </w:tc>
        <w:tc>
          <w:tcPr>
            <w:tcW w:w="1418" w:type="dxa"/>
            <w:hideMark/>
          </w:tcPr>
          <w:p w14:paraId="0254BDA1"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c>
          <w:tcPr>
            <w:tcW w:w="1212" w:type="dxa"/>
            <w:hideMark/>
          </w:tcPr>
          <w:p w14:paraId="07FB6B82"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690" w:type="dxa"/>
            <w:hideMark/>
          </w:tcPr>
          <w:p w14:paraId="53581F89"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690" w:type="dxa"/>
            <w:hideMark/>
          </w:tcPr>
          <w:p w14:paraId="76BEBC46"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r>
      <w:tr w:rsidR="00320BF8" w:rsidRPr="00320BF8" w14:paraId="06FC1983" w14:textId="77777777" w:rsidTr="00B92D2D">
        <w:trPr>
          <w:trHeight w:val="63"/>
        </w:trPr>
        <w:tc>
          <w:tcPr>
            <w:cnfStyle w:val="001000000000" w:firstRow="0" w:lastRow="0" w:firstColumn="1" w:lastColumn="0" w:oddVBand="0" w:evenVBand="0" w:oddHBand="0" w:evenHBand="0" w:firstRowFirstColumn="0" w:firstRowLastColumn="0" w:lastRowFirstColumn="0" w:lastRowLastColumn="0"/>
            <w:tcW w:w="2693" w:type="dxa"/>
            <w:hideMark/>
          </w:tcPr>
          <w:p w14:paraId="3E8FCBC5" w14:textId="77777777" w:rsidR="00A6240C" w:rsidRPr="004F4BA7" w:rsidRDefault="00A6240C" w:rsidP="001D508A">
            <w:pPr>
              <w:spacing w:line="256" w:lineRule="auto"/>
              <w:rPr>
                <w:bCs/>
                <w:lang w:eastAsia="en-GB"/>
              </w:rPr>
            </w:pPr>
            <w:r w:rsidRPr="004F4BA7">
              <w:rPr>
                <w:bCs/>
                <w:lang w:eastAsia="en-GB"/>
              </w:rPr>
              <w:t>Affordable home ownership</w:t>
            </w:r>
          </w:p>
        </w:tc>
        <w:tc>
          <w:tcPr>
            <w:tcW w:w="1418" w:type="dxa"/>
            <w:hideMark/>
          </w:tcPr>
          <w:p w14:paraId="2D8920B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c>
          <w:tcPr>
            <w:tcW w:w="1212" w:type="dxa"/>
            <w:hideMark/>
          </w:tcPr>
          <w:p w14:paraId="00B96973"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690" w:type="dxa"/>
            <w:hideMark/>
          </w:tcPr>
          <w:p w14:paraId="640F0724"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690" w:type="dxa"/>
            <w:hideMark/>
          </w:tcPr>
          <w:p w14:paraId="2F91C9EB"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5-15%</w:t>
            </w:r>
          </w:p>
        </w:tc>
      </w:tr>
      <w:tr w:rsidR="00320BF8" w:rsidRPr="00320BF8" w14:paraId="698E929C" w14:textId="77777777" w:rsidTr="00B92D2D">
        <w:trPr>
          <w:trHeight w:val="56"/>
        </w:trPr>
        <w:tc>
          <w:tcPr>
            <w:cnfStyle w:val="001000000000" w:firstRow="0" w:lastRow="0" w:firstColumn="1" w:lastColumn="0" w:oddVBand="0" w:evenVBand="0" w:oddHBand="0" w:evenHBand="0" w:firstRowFirstColumn="0" w:firstRowLastColumn="0" w:lastRowFirstColumn="0" w:lastRowLastColumn="0"/>
            <w:tcW w:w="2693" w:type="dxa"/>
            <w:hideMark/>
          </w:tcPr>
          <w:p w14:paraId="106B619A" w14:textId="77777777" w:rsidR="00A6240C" w:rsidRPr="004F4BA7" w:rsidRDefault="00A6240C" w:rsidP="001D508A">
            <w:pPr>
              <w:spacing w:line="256" w:lineRule="auto"/>
              <w:rPr>
                <w:bCs/>
                <w:lang w:eastAsia="en-GB"/>
              </w:rPr>
            </w:pPr>
            <w:r w:rsidRPr="004F4BA7">
              <w:rPr>
                <w:bCs/>
                <w:lang w:eastAsia="en-GB"/>
              </w:rPr>
              <w:t>Affordable housing (rented)</w:t>
            </w:r>
          </w:p>
        </w:tc>
        <w:tc>
          <w:tcPr>
            <w:tcW w:w="1418" w:type="dxa"/>
            <w:hideMark/>
          </w:tcPr>
          <w:p w14:paraId="028C0E77"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212" w:type="dxa"/>
            <w:hideMark/>
          </w:tcPr>
          <w:p w14:paraId="5213A393"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35-45%</w:t>
            </w:r>
          </w:p>
        </w:tc>
        <w:tc>
          <w:tcPr>
            <w:tcW w:w="1690" w:type="dxa"/>
            <w:hideMark/>
          </w:tcPr>
          <w:p w14:paraId="56772F05"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690" w:type="dxa"/>
            <w:hideMark/>
          </w:tcPr>
          <w:p w14:paraId="3553C3E2" w14:textId="77777777" w:rsidR="00A6240C" w:rsidRPr="00320BF8"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bl>
    <w:p w14:paraId="1D9B5EE3" w14:textId="77777777" w:rsidR="00A6240C" w:rsidRPr="00B92D2D" w:rsidRDefault="00A6240C" w:rsidP="00A6240C">
      <w:pPr>
        <w:pStyle w:val="BodyText"/>
        <w:tabs>
          <w:tab w:val="clear" w:pos="0"/>
          <w:tab w:val="left" w:pos="720"/>
        </w:tabs>
        <w:spacing w:after="120"/>
        <w:ind w:left="1843" w:hanging="1049"/>
        <w:rPr>
          <w:rFonts w:ascii="Arial" w:hAnsi="Arial" w:cs="Arial"/>
          <w:sz w:val="24"/>
          <w:szCs w:val="24"/>
        </w:rPr>
      </w:pPr>
      <w:r>
        <w:rPr>
          <w:rFonts w:ascii="Arial" w:hAnsi="Arial" w:cs="Arial"/>
        </w:rPr>
        <w:t xml:space="preserve"> </w:t>
      </w:r>
      <w:r w:rsidRPr="00B92D2D">
        <w:rPr>
          <w:rFonts w:ascii="Arial" w:hAnsi="Arial" w:cs="Arial"/>
          <w:sz w:val="24"/>
          <w:szCs w:val="24"/>
        </w:rPr>
        <w:t>Source: Housing Market Model based on ONS Data</w:t>
      </w:r>
    </w:p>
    <w:p w14:paraId="6C93F9BD" w14:textId="77777777" w:rsidR="00A6240C" w:rsidRDefault="00A6240C" w:rsidP="003D5E23">
      <w:pPr>
        <w:pStyle w:val="Tableheading"/>
        <w:numPr>
          <w:ilvl w:val="0"/>
          <w:numId w:val="54"/>
        </w:numPr>
      </w:pPr>
      <w:r>
        <w:lastRenderedPageBreak/>
        <w:t>Suggested Mix of Housing by Size and Tenure in West Suffolk</w:t>
      </w:r>
    </w:p>
    <w:tbl>
      <w:tblPr>
        <w:tblStyle w:val="TableGridLight1"/>
        <w:tblW w:w="8761" w:type="dxa"/>
        <w:tblInd w:w="846" w:type="dxa"/>
        <w:tblLook w:val="04A0" w:firstRow="1" w:lastRow="0" w:firstColumn="1" w:lastColumn="0" w:noHBand="0" w:noVBand="1"/>
      </w:tblPr>
      <w:tblGrid>
        <w:gridCol w:w="2693"/>
        <w:gridCol w:w="1418"/>
        <w:gridCol w:w="1248"/>
        <w:gridCol w:w="1701"/>
        <w:gridCol w:w="1701"/>
      </w:tblGrid>
      <w:tr w:rsidR="00320BF8" w:rsidRPr="00320BF8" w14:paraId="2A82B553" w14:textId="77777777" w:rsidTr="00B92D2D">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693" w:type="dxa"/>
            <w:hideMark/>
          </w:tcPr>
          <w:p w14:paraId="03E0A83F" w14:textId="77777777" w:rsidR="00A6240C" w:rsidRPr="00320BF8" w:rsidRDefault="00A6240C" w:rsidP="001D508A">
            <w:pPr>
              <w:keepNext/>
              <w:widowControl w:val="0"/>
              <w:spacing w:line="256" w:lineRule="auto"/>
              <w:rPr>
                <w:lang w:eastAsia="en-GB"/>
              </w:rPr>
            </w:pPr>
            <w:r w:rsidRPr="00320BF8">
              <w:rPr>
                <w:lang w:eastAsia="en-GB"/>
              </w:rPr>
              <w:t> </w:t>
            </w:r>
          </w:p>
        </w:tc>
        <w:tc>
          <w:tcPr>
            <w:tcW w:w="1418" w:type="dxa"/>
            <w:hideMark/>
          </w:tcPr>
          <w:p w14:paraId="5CA3319B" w14:textId="77777777" w:rsidR="00A6240C" w:rsidRPr="00320BF8" w:rsidRDefault="00A6240C" w:rsidP="001D508A">
            <w:pPr>
              <w:keepNext/>
              <w:widowControl w:val="0"/>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1-bedroom</w:t>
            </w:r>
          </w:p>
        </w:tc>
        <w:tc>
          <w:tcPr>
            <w:tcW w:w="1248" w:type="dxa"/>
            <w:hideMark/>
          </w:tcPr>
          <w:p w14:paraId="7BB2F467" w14:textId="77777777" w:rsidR="00A6240C" w:rsidRPr="00320BF8" w:rsidRDefault="00A6240C" w:rsidP="001D508A">
            <w:pPr>
              <w:keepNext/>
              <w:widowControl w:val="0"/>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2-bedrooms</w:t>
            </w:r>
          </w:p>
        </w:tc>
        <w:tc>
          <w:tcPr>
            <w:tcW w:w="1701" w:type="dxa"/>
            <w:hideMark/>
          </w:tcPr>
          <w:p w14:paraId="1B56FF3E" w14:textId="77777777" w:rsidR="00A6240C" w:rsidRPr="00320BF8" w:rsidRDefault="00A6240C" w:rsidP="001D508A">
            <w:pPr>
              <w:keepNext/>
              <w:widowControl w:val="0"/>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lang w:eastAsia="en-GB"/>
              </w:rPr>
              <w:t>3-bedrooms</w:t>
            </w:r>
          </w:p>
        </w:tc>
        <w:tc>
          <w:tcPr>
            <w:tcW w:w="1701" w:type="dxa"/>
            <w:hideMark/>
          </w:tcPr>
          <w:p w14:paraId="738AAFAF" w14:textId="77777777" w:rsidR="00A6240C" w:rsidRPr="00320BF8" w:rsidRDefault="00A6240C" w:rsidP="001D508A">
            <w:pPr>
              <w:keepNext/>
              <w:widowControl w:val="0"/>
              <w:spacing w:line="256" w:lineRule="auto"/>
              <w:cnfStyle w:val="100000000000" w:firstRow="1" w:lastRow="0" w:firstColumn="0" w:lastColumn="0" w:oddVBand="0" w:evenVBand="0" w:oddHBand="0" w:evenHBand="0" w:firstRowFirstColumn="0" w:firstRowLastColumn="0" w:lastRowFirstColumn="0" w:lastRowLastColumn="0"/>
              <w:rPr>
                <w:lang w:eastAsia="en-GB"/>
              </w:rPr>
            </w:pPr>
            <w:r w:rsidRPr="00320BF8">
              <w:rPr>
                <w:spacing w:val="-6"/>
                <w:lang w:eastAsia="en-GB"/>
              </w:rPr>
              <w:t>4+-bedrooms</w:t>
            </w:r>
          </w:p>
        </w:tc>
      </w:tr>
      <w:tr w:rsidR="00320BF8" w:rsidRPr="00320BF8" w14:paraId="2B63ED8E" w14:textId="77777777" w:rsidTr="00B92D2D">
        <w:trPr>
          <w:trHeight w:val="328"/>
        </w:trPr>
        <w:tc>
          <w:tcPr>
            <w:cnfStyle w:val="001000000000" w:firstRow="0" w:lastRow="0" w:firstColumn="1" w:lastColumn="0" w:oddVBand="0" w:evenVBand="0" w:oddHBand="0" w:evenHBand="0" w:firstRowFirstColumn="0" w:firstRowLastColumn="0" w:lastRowFirstColumn="0" w:lastRowLastColumn="0"/>
            <w:tcW w:w="2693" w:type="dxa"/>
            <w:hideMark/>
          </w:tcPr>
          <w:p w14:paraId="73730897" w14:textId="77777777" w:rsidR="00A6240C" w:rsidRPr="004F4BA7" w:rsidRDefault="00A6240C" w:rsidP="001D508A">
            <w:pPr>
              <w:keepNext/>
              <w:widowControl w:val="0"/>
              <w:spacing w:line="256" w:lineRule="auto"/>
              <w:rPr>
                <w:bCs/>
                <w:lang w:eastAsia="en-GB"/>
              </w:rPr>
            </w:pPr>
            <w:r w:rsidRPr="004F4BA7">
              <w:rPr>
                <w:bCs/>
                <w:lang w:eastAsia="en-GB"/>
              </w:rPr>
              <w:t>Market</w:t>
            </w:r>
          </w:p>
        </w:tc>
        <w:tc>
          <w:tcPr>
            <w:tcW w:w="1418" w:type="dxa"/>
            <w:hideMark/>
          </w:tcPr>
          <w:p w14:paraId="1F1D8816"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c>
          <w:tcPr>
            <w:tcW w:w="1248" w:type="dxa"/>
            <w:hideMark/>
          </w:tcPr>
          <w:p w14:paraId="4AFA77F4"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701" w:type="dxa"/>
            <w:hideMark/>
          </w:tcPr>
          <w:p w14:paraId="05D89BD1"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40-50%</w:t>
            </w:r>
          </w:p>
        </w:tc>
        <w:tc>
          <w:tcPr>
            <w:tcW w:w="1701" w:type="dxa"/>
            <w:hideMark/>
          </w:tcPr>
          <w:p w14:paraId="61DE6209"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r>
      <w:tr w:rsidR="00320BF8" w:rsidRPr="00320BF8" w14:paraId="0CDDD2DD" w14:textId="77777777" w:rsidTr="00B92D2D">
        <w:trPr>
          <w:trHeight w:val="109"/>
        </w:trPr>
        <w:tc>
          <w:tcPr>
            <w:cnfStyle w:val="001000000000" w:firstRow="0" w:lastRow="0" w:firstColumn="1" w:lastColumn="0" w:oddVBand="0" w:evenVBand="0" w:oddHBand="0" w:evenHBand="0" w:firstRowFirstColumn="0" w:firstRowLastColumn="0" w:lastRowFirstColumn="0" w:lastRowLastColumn="0"/>
            <w:tcW w:w="2693" w:type="dxa"/>
            <w:hideMark/>
          </w:tcPr>
          <w:p w14:paraId="339D24D9" w14:textId="77777777" w:rsidR="00A6240C" w:rsidRPr="004F4BA7" w:rsidRDefault="00A6240C" w:rsidP="001D508A">
            <w:pPr>
              <w:keepNext/>
              <w:widowControl w:val="0"/>
              <w:spacing w:line="256" w:lineRule="auto"/>
              <w:rPr>
                <w:bCs/>
                <w:lang w:eastAsia="en-GB"/>
              </w:rPr>
            </w:pPr>
            <w:r w:rsidRPr="004F4BA7">
              <w:rPr>
                <w:bCs/>
                <w:lang w:eastAsia="en-GB"/>
              </w:rPr>
              <w:t>Affordable home ownership</w:t>
            </w:r>
          </w:p>
        </w:tc>
        <w:tc>
          <w:tcPr>
            <w:tcW w:w="1418" w:type="dxa"/>
            <w:hideMark/>
          </w:tcPr>
          <w:p w14:paraId="2E9B5E84"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15-25%</w:t>
            </w:r>
          </w:p>
        </w:tc>
        <w:tc>
          <w:tcPr>
            <w:tcW w:w="1248" w:type="dxa"/>
            <w:hideMark/>
          </w:tcPr>
          <w:p w14:paraId="1985C4F3"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40-50%</w:t>
            </w:r>
          </w:p>
        </w:tc>
        <w:tc>
          <w:tcPr>
            <w:tcW w:w="1701" w:type="dxa"/>
            <w:hideMark/>
          </w:tcPr>
          <w:p w14:paraId="3BE14D55"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25-35%</w:t>
            </w:r>
          </w:p>
        </w:tc>
        <w:tc>
          <w:tcPr>
            <w:tcW w:w="1701" w:type="dxa"/>
            <w:hideMark/>
          </w:tcPr>
          <w:p w14:paraId="4D60926A"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r w:rsidR="00320BF8" w:rsidRPr="00320BF8" w14:paraId="616A10CE" w14:textId="77777777" w:rsidTr="00B92D2D">
        <w:trPr>
          <w:trHeight w:val="56"/>
        </w:trPr>
        <w:tc>
          <w:tcPr>
            <w:cnfStyle w:val="001000000000" w:firstRow="0" w:lastRow="0" w:firstColumn="1" w:lastColumn="0" w:oddVBand="0" w:evenVBand="0" w:oddHBand="0" w:evenHBand="0" w:firstRowFirstColumn="0" w:firstRowLastColumn="0" w:lastRowFirstColumn="0" w:lastRowLastColumn="0"/>
            <w:tcW w:w="2693" w:type="dxa"/>
            <w:hideMark/>
          </w:tcPr>
          <w:p w14:paraId="34EF2068" w14:textId="77777777" w:rsidR="00A6240C" w:rsidRPr="004F4BA7" w:rsidRDefault="00A6240C" w:rsidP="001D508A">
            <w:pPr>
              <w:keepNext/>
              <w:widowControl w:val="0"/>
              <w:spacing w:line="256" w:lineRule="auto"/>
              <w:rPr>
                <w:bCs/>
                <w:lang w:eastAsia="en-GB"/>
              </w:rPr>
            </w:pPr>
            <w:r w:rsidRPr="004F4BA7">
              <w:rPr>
                <w:bCs/>
                <w:lang w:eastAsia="en-GB"/>
              </w:rPr>
              <w:t>Affordable housing (rented)</w:t>
            </w:r>
          </w:p>
        </w:tc>
        <w:tc>
          <w:tcPr>
            <w:tcW w:w="1418" w:type="dxa"/>
            <w:hideMark/>
          </w:tcPr>
          <w:p w14:paraId="54BB117E"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30-40%</w:t>
            </w:r>
          </w:p>
        </w:tc>
        <w:tc>
          <w:tcPr>
            <w:tcW w:w="1248" w:type="dxa"/>
            <w:hideMark/>
          </w:tcPr>
          <w:p w14:paraId="279AF534"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30-40%</w:t>
            </w:r>
          </w:p>
        </w:tc>
        <w:tc>
          <w:tcPr>
            <w:tcW w:w="1701" w:type="dxa"/>
            <w:hideMark/>
          </w:tcPr>
          <w:p w14:paraId="7EBD8AFA"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20-30%</w:t>
            </w:r>
          </w:p>
        </w:tc>
        <w:tc>
          <w:tcPr>
            <w:tcW w:w="1701" w:type="dxa"/>
            <w:hideMark/>
          </w:tcPr>
          <w:p w14:paraId="488996C6" w14:textId="77777777" w:rsidR="00A6240C" w:rsidRPr="00320BF8" w:rsidRDefault="00A6240C" w:rsidP="001D508A">
            <w:pPr>
              <w:keepNext/>
              <w:widowControl w:val="0"/>
              <w:spacing w:line="256" w:lineRule="auto"/>
              <w:cnfStyle w:val="000000000000" w:firstRow="0" w:lastRow="0" w:firstColumn="0" w:lastColumn="0" w:oddVBand="0" w:evenVBand="0" w:oddHBand="0" w:evenHBand="0" w:firstRowFirstColumn="0" w:firstRowLastColumn="0" w:lastRowFirstColumn="0" w:lastRowLastColumn="0"/>
              <w:rPr>
                <w:lang w:eastAsia="en-GB"/>
              </w:rPr>
            </w:pPr>
            <w:r w:rsidRPr="00320BF8">
              <w:rPr>
                <w:lang w:eastAsia="en-GB"/>
              </w:rPr>
              <w:t>0-10%</w:t>
            </w:r>
          </w:p>
        </w:tc>
      </w:tr>
    </w:tbl>
    <w:p w14:paraId="3D1397BC" w14:textId="77777777" w:rsidR="00A6240C" w:rsidRDefault="00A6240C" w:rsidP="00A6240C">
      <w:pPr>
        <w:pStyle w:val="BodyText"/>
        <w:keepNext/>
        <w:widowControl w:val="0"/>
        <w:tabs>
          <w:tab w:val="clear" w:pos="0"/>
          <w:tab w:val="left" w:pos="720"/>
        </w:tabs>
        <w:spacing w:after="0" w:line="240" w:lineRule="auto"/>
        <w:ind w:left="1843" w:hanging="1049"/>
        <w:rPr>
          <w:rFonts w:ascii="Arial" w:hAnsi="Arial" w:cs="Arial"/>
        </w:rPr>
      </w:pPr>
      <w:r>
        <w:rPr>
          <w:rFonts w:ascii="Arial" w:hAnsi="Arial" w:cs="Arial"/>
        </w:rPr>
        <w:t xml:space="preserve"> </w:t>
      </w:r>
      <w:r w:rsidRPr="00B92D2D">
        <w:rPr>
          <w:rFonts w:ascii="Arial" w:hAnsi="Arial" w:cs="Arial"/>
          <w:sz w:val="24"/>
          <w:szCs w:val="24"/>
        </w:rPr>
        <w:t>Source: Housing Market Model based on ONS Data</w:t>
      </w:r>
    </w:p>
    <w:p w14:paraId="3F4BE8FA" w14:textId="7CE62352" w:rsidR="00B01124" w:rsidRDefault="00A6240C" w:rsidP="007D0FBF">
      <w:pPr>
        <w:pStyle w:val="11Bodytext"/>
      </w:pPr>
      <w:r>
        <w:t>Overall, the analysis does not suggest that a substantially different mix should be proposed for different local authorities although there may be a case for some variation on a site-by-</w:t>
      </w:r>
      <w:proofErr w:type="gramStart"/>
      <w:r>
        <w:t>site  basis</w:t>
      </w:r>
      <w:proofErr w:type="gramEnd"/>
      <w:r>
        <w:t xml:space="preserve">, or at a specific point in time for some minor adjustments. </w:t>
      </w:r>
      <w:r w:rsidR="00B01124">
        <w:t xml:space="preserve">It should be emphasised however that the evidence does support variations in approach at the district level should the Councils feel the HMA level recommendations are unsuitable. </w:t>
      </w:r>
    </w:p>
    <w:p w14:paraId="23E5FB73" w14:textId="5FA5667E" w:rsidR="002A64F7" w:rsidRDefault="002A64F7" w:rsidP="007D0FBF">
      <w:pPr>
        <w:pStyle w:val="11Bodytext"/>
      </w:pPr>
      <w:r>
        <w:t xml:space="preserve">It is acknowledged that the eligibility criteria for AHO products such as Shared Ownership is household income </w:t>
      </w:r>
      <w:proofErr w:type="spellStart"/>
      <w:r>
        <w:t>upto</w:t>
      </w:r>
      <w:proofErr w:type="spellEnd"/>
      <w:r>
        <w:t xml:space="preserve"> £80,000. This report however concludes that those earning between £42,000 and £80,000 can afford for-sale properties and the majority are likely to opt for this tenure. </w:t>
      </w:r>
    </w:p>
    <w:p w14:paraId="6759E7E2" w14:textId="40AB91F8" w:rsidR="002A64F7" w:rsidRDefault="002A64F7" w:rsidP="007D0FBF">
      <w:pPr>
        <w:pStyle w:val="11Bodytext"/>
      </w:pPr>
      <w:r>
        <w:t xml:space="preserve">That said, policy relating to First Homes requires 25% of affordable housing t </w:t>
      </w:r>
    </w:p>
    <w:p w14:paraId="33B0EC87" w14:textId="330D2531" w:rsidR="00A6240C" w:rsidRDefault="00B01124" w:rsidP="007D0FBF">
      <w:pPr>
        <w:pStyle w:val="11Bodytext"/>
      </w:pPr>
      <w:r>
        <w:t xml:space="preserve">Suggested adjustments are </w:t>
      </w:r>
      <w:r w:rsidR="00A6240C">
        <w:t>summarised below:</w:t>
      </w:r>
    </w:p>
    <w:p w14:paraId="256EB9BB" w14:textId="77777777" w:rsidR="00A6240C" w:rsidRDefault="00A6240C" w:rsidP="00097650">
      <w:pPr>
        <w:pStyle w:val="10BulletBodytext"/>
      </w:pPr>
      <w:r>
        <w:t>Whilst there are differences in the stock profile in different locations this should not necessarily be seen as indicating surpluses or shortfalls of particular types and sizes of homes;</w:t>
      </w:r>
    </w:p>
    <w:p w14:paraId="23D807BD" w14:textId="77777777" w:rsidR="00A6240C" w:rsidRDefault="00A6240C" w:rsidP="00097650">
      <w:pPr>
        <w:pStyle w:val="10BulletBodytext"/>
      </w:pPr>
      <w:r>
        <w:t>As well as looking at the stock, an understanding of the role and function of areas is important. For example, higher priced rural areas are typically sought by wealthier families and therefore such areas would be expected to provide a greater proportion of larger homes;</w:t>
      </w:r>
    </w:p>
    <w:p w14:paraId="31AD981B" w14:textId="77777777" w:rsidR="00A6240C" w:rsidRDefault="00A6240C" w:rsidP="00097650">
      <w:pPr>
        <w:pStyle w:val="10BulletBodytext"/>
      </w:pPr>
      <w:r>
        <w:t>That said, some of these areas will have very few small/cheaper stock and so consideration needs to be given to diversifying the stock;</w:t>
      </w:r>
    </w:p>
    <w:p w14:paraId="6BB1115B" w14:textId="77777777" w:rsidR="00A6240C" w:rsidRDefault="00A6240C" w:rsidP="00097650">
      <w:pPr>
        <w:pStyle w:val="10BulletBodytext"/>
      </w:pPr>
      <w:r>
        <w:t>The location/quality of sites will also have an impact on the mix of housing. For example, brownfield sites in the centre of towns may be more suited to flatted development (as well as recognising the point above about role and function) whereas a rural site on the edge of an existing village may be more appropriate for family housing. Other considerations (such as proximity to public transport) may impact on a reasonable mix at a local level;</w:t>
      </w:r>
    </w:p>
    <w:p w14:paraId="02F3D031" w14:textId="6A56D386" w:rsidR="00A6240C" w:rsidRDefault="00A6240C" w:rsidP="00097650">
      <w:pPr>
        <w:pStyle w:val="10BulletBodytext"/>
      </w:pPr>
      <w:r>
        <w:t xml:space="preserve">Overall, it is suggested that Councils should broadly seek the same mix of housing in all locations (as shown in the tables above) but should be flexible to a different mix where specific local characteristics suggest. The Councils should also monitor what is being built to ensure that a reasonable mix is provided in the District (or individual settlements). For example, if a recent </w:t>
      </w:r>
      <w:r>
        <w:lastRenderedPageBreak/>
        <w:t>housing site has provided nothing but 4+-bedroom ‘executive’ homes, then it could be expected that the next site to come along might provide a mix which includes more homes for younger/smaller family households and childless couples</w:t>
      </w:r>
      <w:r w:rsidR="002E1AC9">
        <w:t>;</w:t>
      </w:r>
    </w:p>
    <w:p w14:paraId="5E868C4A" w14:textId="77777777" w:rsidR="00A6240C" w:rsidRDefault="00A6240C" w:rsidP="00097650">
      <w:pPr>
        <w:pStyle w:val="10BulletBodytext"/>
      </w:pPr>
      <w:r>
        <w:t xml:space="preserve">Where applications differ from the policy mix then the application should be supported by evidence to justify divergence from Policy.  This will include examining local characteristics and the recent housing supply; </w:t>
      </w:r>
    </w:p>
    <w:p w14:paraId="6AC0DE54" w14:textId="77777777" w:rsidR="00A6240C" w:rsidRDefault="00A6240C" w:rsidP="00097650">
      <w:pPr>
        <w:pStyle w:val="10BulletBodytext"/>
      </w:pPr>
      <w:r>
        <w:t>Additionally, in the affordable sector it may be the case that Housing Register data for a smaller area identifies a shortage of housing of a particular size/type which could lead to the mix of housing being altered from the overall suggested requirement on that site</w:t>
      </w:r>
    </w:p>
    <w:p w14:paraId="041E3F7F" w14:textId="77777777" w:rsidR="00A6240C" w:rsidRDefault="00A6240C" w:rsidP="007D0FBF">
      <w:pPr>
        <w:pStyle w:val="Heading2"/>
      </w:pPr>
      <w:r>
        <w:t>Built-Form</w:t>
      </w:r>
    </w:p>
    <w:p w14:paraId="17768BBC" w14:textId="77777777" w:rsidR="00A6240C" w:rsidRDefault="00A6240C" w:rsidP="007D0FBF">
      <w:pPr>
        <w:pStyle w:val="11Bodytext"/>
      </w:pPr>
      <w:r>
        <w:t>A final issue is a discussion of the need/demand for different built-forms of homes. In particular, this discussion focusses on bungalows and the need for flats vs. houses.</w:t>
      </w:r>
    </w:p>
    <w:p w14:paraId="39DB5F4C" w14:textId="77777777" w:rsidR="00A6240C" w:rsidRDefault="00A6240C" w:rsidP="00B92D2D">
      <w:pPr>
        <w:pStyle w:val="Heading3"/>
      </w:pPr>
      <w:r>
        <w:t>Bungalows</w:t>
      </w:r>
    </w:p>
    <w:p w14:paraId="2FE3C2B3" w14:textId="77777777" w:rsidR="00A6240C" w:rsidRDefault="00A6240C" w:rsidP="007D0FBF">
      <w:pPr>
        <w:pStyle w:val="11Bodytext"/>
      </w:pPr>
      <w:r>
        <w:t xml:space="preserve">The sources used for analysis in this report make it difficult to quantify the need/demand for bungalows as Census data (which is used to look at occupancy profiles) does not separately identify this type of accommodation. </w:t>
      </w:r>
    </w:p>
    <w:p w14:paraId="4FB10992" w14:textId="77777777" w:rsidR="00A6240C" w:rsidRDefault="00A6240C" w:rsidP="007D0FBF">
      <w:pPr>
        <w:pStyle w:val="11Bodytext"/>
      </w:pPr>
      <w:r>
        <w:t xml:space="preserve">However, it is typical (where discussions are undertaken with local estate agents anywhere in the country) to find that there is a demand for this type of accommodation. Bungalows are often the first choice for older people seeking suitable accommodation in later life and there is generally a high demand for such accommodation when it becomes available. </w:t>
      </w:r>
    </w:p>
    <w:p w14:paraId="55C8F6E3" w14:textId="77777777" w:rsidR="00A6240C" w:rsidRDefault="00A6240C" w:rsidP="007D0FBF">
      <w:pPr>
        <w:pStyle w:val="11Bodytext"/>
      </w:pPr>
      <w:r>
        <w:t xml:space="preserve">As a new build option, it is the case that bungalow accommodation is often not supported by either house builders or planners (due to potential plot sizes and their generally low densities, as well as affordability issues where land values are high). There may still be instances where bungalows are the most suitable house type for a particular site; for example, to overcome objections about dwellings overlooking existing dwellings or preserving sightlines. </w:t>
      </w:r>
    </w:p>
    <w:p w14:paraId="19B43BEF" w14:textId="77777777" w:rsidR="00A6240C" w:rsidRDefault="00A6240C" w:rsidP="007D0FBF">
      <w:pPr>
        <w:pStyle w:val="11Bodytext"/>
      </w:pPr>
      <w:r>
        <w:t>There is also the wider need/demand for retirement accommodation. Retirement apartments can prove very popular if they are well located in terms of access to facilities and services, and environmentally attractive (</w:t>
      </w:r>
      <w:proofErr w:type="gramStart"/>
      <w:r>
        <w:t>e.g.</w:t>
      </w:r>
      <w:proofErr w:type="gramEnd"/>
      <w:r>
        <w:t xml:space="preserve"> have a good view). </w:t>
      </w:r>
      <w:r>
        <w:lastRenderedPageBreak/>
        <w:t>However, some potential purchasers may find high service charges unacceptable or unaffordable and new build units may not retain their value on re-sale.</w:t>
      </w:r>
    </w:p>
    <w:p w14:paraId="326BEEA8" w14:textId="77777777" w:rsidR="00A6240C" w:rsidRDefault="00A6240C" w:rsidP="007D0FBF">
      <w:pPr>
        <w:pStyle w:val="11Bodytext"/>
      </w:pPr>
      <w:r>
        <w:t xml:space="preserve">Overall, the Councils should consider the potential role of bungalows as part of the future mix of housing. Such housing may be particularly attractive to older owner-occupiers (many of whom are equity-rich) which may assist in encouraging households to downsize. The downside to providing bungalows is that they are land-intensive for the amount of floorspace created. </w:t>
      </w:r>
    </w:p>
    <w:p w14:paraId="71AF6AA9" w14:textId="77777777" w:rsidR="00A6240C" w:rsidRDefault="00A6240C" w:rsidP="00B92D2D">
      <w:pPr>
        <w:pStyle w:val="Heading3"/>
      </w:pPr>
      <w:r>
        <w:t>Flats vs. Houses</w:t>
      </w:r>
    </w:p>
    <w:p w14:paraId="719BC81B" w14:textId="77777777" w:rsidR="00A6240C" w:rsidRDefault="00A6240C" w:rsidP="007D0FBF">
      <w:pPr>
        <w:pStyle w:val="11Bodytext"/>
      </w:pPr>
      <w:r>
        <w:t>Although there are some 1-bedroom houses and 3-bedroom flats, it is considered that the key discussion on built-form will be around 2-bedroom accommodation, where it might be expected that there would be a combination of both flats and houses. At a national level, 81% of all 1-bedroom homes, 35% of 2-bedroom homes and just 4% of homes with 3-bedrooms are flats.</w:t>
      </w:r>
    </w:p>
    <w:p w14:paraId="0058B79D" w14:textId="543C881A" w:rsidR="00647ED0" w:rsidRDefault="00A6240C" w:rsidP="007D0FBF">
      <w:pPr>
        <w:pStyle w:val="11Bodytext"/>
      </w:pPr>
      <w:r>
        <w:t>The table below shows (for 2-bedroom accommodation) the proportion of homes by tenure that are classified as a flat, maisonette or apartment in each local authority in the HMA and England. This shows (with the exception of Cambridge) a low proportion of flats in the HMA (between 11% and 21% of all 2-bedroom homes) and this would point to the majority of 2-bedroom homes in the future also being houses. The analysis does show a higher proportion of flats in the social sector (up to a third of 2-bedroom homes in this sector are flats (with an even higher proportion in Cambridge)).</w:t>
      </w:r>
    </w:p>
    <w:p w14:paraId="313E3DFD" w14:textId="77777777" w:rsidR="00647ED0" w:rsidRDefault="00647ED0">
      <w:pPr>
        <w:spacing w:after="200"/>
        <w:rPr>
          <w:bCs/>
          <w:sz w:val="24"/>
          <w:szCs w:val="24"/>
        </w:rPr>
      </w:pPr>
      <w:r>
        <w:br w:type="page"/>
      </w:r>
    </w:p>
    <w:p w14:paraId="6688A2A0" w14:textId="77777777" w:rsidR="00A6240C" w:rsidRDefault="00A6240C" w:rsidP="003D5E23">
      <w:pPr>
        <w:pStyle w:val="Tableheading"/>
        <w:numPr>
          <w:ilvl w:val="0"/>
          <w:numId w:val="54"/>
        </w:numPr>
      </w:pPr>
      <w:r>
        <w:lastRenderedPageBreak/>
        <w:t>Proportion of 2-bedroom units that are a flat, maisonette or apartment (by tenure)</w:t>
      </w:r>
    </w:p>
    <w:tbl>
      <w:tblPr>
        <w:tblStyle w:val="TableGridLight1"/>
        <w:tblW w:w="8647" w:type="dxa"/>
        <w:tblInd w:w="846" w:type="dxa"/>
        <w:tblLook w:val="04A0" w:firstRow="1" w:lastRow="0" w:firstColumn="1" w:lastColumn="0" w:noHBand="0" w:noVBand="1"/>
      </w:tblPr>
      <w:tblGrid>
        <w:gridCol w:w="1843"/>
        <w:gridCol w:w="1701"/>
        <w:gridCol w:w="1701"/>
        <w:gridCol w:w="1701"/>
        <w:gridCol w:w="1701"/>
      </w:tblGrid>
      <w:tr w:rsidR="003A75AB" w:rsidRPr="003A75AB" w14:paraId="43EA91F6" w14:textId="77777777" w:rsidTr="004F4BA7">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43" w:type="dxa"/>
            <w:hideMark/>
          </w:tcPr>
          <w:p w14:paraId="22D3D4DB" w14:textId="77777777" w:rsidR="00A6240C" w:rsidRPr="004F4BA7" w:rsidRDefault="00A6240C" w:rsidP="001D508A">
            <w:pPr>
              <w:spacing w:line="256" w:lineRule="auto"/>
              <w:rPr>
                <w:color w:val="auto"/>
                <w:lang w:eastAsia="en-GB"/>
              </w:rPr>
            </w:pPr>
            <w:r w:rsidRPr="004F4BA7">
              <w:rPr>
                <w:color w:val="auto"/>
                <w:lang w:eastAsia="en-GB"/>
              </w:rPr>
              <w:t> </w:t>
            </w:r>
          </w:p>
        </w:tc>
        <w:tc>
          <w:tcPr>
            <w:tcW w:w="1701" w:type="dxa"/>
            <w:hideMark/>
          </w:tcPr>
          <w:p w14:paraId="339999AB" w14:textId="77777777" w:rsidR="00A6240C" w:rsidRPr="004F4BA7"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Owner-occupied</w:t>
            </w:r>
          </w:p>
        </w:tc>
        <w:tc>
          <w:tcPr>
            <w:tcW w:w="1701" w:type="dxa"/>
            <w:hideMark/>
          </w:tcPr>
          <w:p w14:paraId="26A9133C" w14:textId="77777777" w:rsidR="00A6240C" w:rsidRPr="004F4BA7"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Social rented</w:t>
            </w:r>
          </w:p>
        </w:tc>
        <w:tc>
          <w:tcPr>
            <w:tcW w:w="1701" w:type="dxa"/>
            <w:hideMark/>
          </w:tcPr>
          <w:p w14:paraId="3F539DAB" w14:textId="77777777" w:rsidR="00A6240C" w:rsidRPr="004F4BA7"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Private rented</w:t>
            </w:r>
          </w:p>
        </w:tc>
        <w:tc>
          <w:tcPr>
            <w:tcW w:w="1701" w:type="dxa"/>
            <w:hideMark/>
          </w:tcPr>
          <w:p w14:paraId="05D47DCB" w14:textId="77777777" w:rsidR="00A6240C" w:rsidRPr="004F4BA7" w:rsidRDefault="00A6240C" w:rsidP="001D508A">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All (2-bedroom)</w:t>
            </w:r>
          </w:p>
        </w:tc>
      </w:tr>
      <w:tr w:rsidR="003A75AB" w:rsidRPr="003A75AB" w14:paraId="0E8F39E5"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18EE7392" w14:textId="77777777" w:rsidR="00A6240C" w:rsidRPr="004F4BA7" w:rsidRDefault="00A6240C" w:rsidP="001D508A">
            <w:pPr>
              <w:spacing w:line="256" w:lineRule="auto"/>
              <w:rPr>
                <w:color w:val="auto"/>
                <w:lang w:eastAsia="en-GB"/>
              </w:rPr>
            </w:pPr>
            <w:r w:rsidRPr="004F4BA7">
              <w:rPr>
                <w:color w:val="auto"/>
                <w:lang w:eastAsia="en-GB"/>
              </w:rPr>
              <w:t>Cambridge</w:t>
            </w:r>
          </w:p>
        </w:tc>
        <w:tc>
          <w:tcPr>
            <w:tcW w:w="1701" w:type="dxa"/>
            <w:hideMark/>
          </w:tcPr>
          <w:p w14:paraId="0ED45C6B"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w:t>
            </w:r>
          </w:p>
        </w:tc>
        <w:tc>
          <w:tcPr>
            <w:tcW w:w="1701" w:type="dxa"/>
            <w:hideMark/>
          </w:tcPr>
          <w:p w14:paraId="03EA2714"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54%</w:t>
            </w:r>
          </w:p>
        </w:tc>
        <w:tc>
          <w:tcPr>
            <w:tcW w:w="1701" w:type="dxa"/>
            <w:hideMark/>
          </w:tcPr>
          <w:p w14:paraId="48E9D234"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w:t>
            </w:r>
          </w:p>
        </w:tc>
        <w:tc>
          <w:tcPr>
            <w:tcW w:w="1701" w:type="dxa"/>
            <w:hideMark/>
          </w:tcPr>
          <w:p w14:paraId="4D31E79C"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47%</w:t>
            </w:r>
          </w:p>
        </w:tc>
      </w:tr>
      <w:tr w:rsidR="003A75AB" w:rsidRPr="003A75AB" w14:paraId="0D634C0E"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27ACC116" w14:textId="77777777" w:rsidR="00A6240C" w:rsidRPr="004F4BA7" w:rsidRDefault="00A6240C" w:rsidP="001D508A">
            <w:pPr>
              <w:spacing w:line="256" w:lineRule="auto"/>
              <w:rPr>
                <w:color w:val="auto"/>
                <w:lang w:eastAsia="en-GB"/>
              </w:rPr>
            </w:pPr>
            <w:r w:rsidRPr="004F4BA7">
              <w:rPr>
                <w:color w:val="auto"/>
                <w:lang w:eastAsia="en-GB"/>
              </w:rPr>
              <w:t>East Cambs</w:t>
            </w:r>
          </w:p>
        </w:tc>
        <w:tc>
          <w:tcPr>
            <w:tcW w:w="1701" w:type="dxa"/>
            <w:hideMark/>
          </w:tcPr>
          <w:p w14:paraId="297839FE"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w:t>
            </w:r>
          </w:p>
        </w:tc>
        <w:tc>
          <w:tcPr>
            <w:tcW w:w="1701" w:type="dxa"/>
            <w:hideMark/>
          </w:tcPr>
          <w:p w14:paraId="04558651"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w:t>
            </w:r>
          </w:p>
        </w:tc>
        <w:tc>
          <w:tcPr>
            <w:tcW w:w="1701" w:type="dxa"/>
            <w:hideMark/>
          </w:tcPr>
          <w:p w14:paraId="600E7803"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w:t>
            </w:r>
          </w:p>
        </w:tc>
        <w:tc>
          <w:tcPr>
            <w:tcW w:w="1701" w:type="dxa"/>
            <w:hideMark/>
          </w:tcPr>
          <w:p w14:paraId="261EF9D6"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w:t>
            </w:r>
          </w:p>
        </w:tc>
      </w:tr>
      <w:tr w:rsidR="003A75AB" w:rsidRPr="003A75AB" w14:paraId="6633DC79"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3569693D" w14:textId="77777777" w:rsidR="00A6240C" w:rsidRPr="004F4BA7" w:rsidRDefault="00A6240C" w:rsidP="001D508A">
            <w:pPr>
              <w:spacing w:line="256" w:lineRule="auto"/>
              <w:rPr>
                <w:color w:val="auto"/>
                <w:lang w:eastAsia="en-GB"/>
              </w:rPr>
            </w:pPr>
            <w:r w:rsidRPr="004F4BA7">
              <w:rPr>
                <w:color w:val="auto"/>
                <w:lang w:eastAsia="en-GB"/>
              </w:rPr>
              <w:t>Fenland</w:t>
            </w:r>
          </w:p>
        </w:tc>
        <w:tc>
          <w:tcPr>
            <w:tcW w:w="1701" w:type="dxa"/>
            <w:hideMark/>
          </w:tcPr>
          <w:p w14:paraId="27F70CD2"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w:t>
            </w:r>
          </w:p>
        </w:tc>
        <w:tc>
          <w:tcPr>
            <w:tcW w:w="1701" w:type="dxa"/>
            <w:hideMark/>
          </w:tcPr>
          <w:p w14:paraId="4BB3AEF4"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29%</w:t>
            </w:r>
          </w:p>
        </w:tc>
        <w:tc>
          <w:tcPr>
            <w:tcW w:w="1701" w:type="dxa"/>
            <w:hideMark/>
          </w:tcPr>
          <w:p w14:paraId="474B983D"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w:t>
            </w:r>
          </w:p>
        </w:tc>
        <w:tc>
          <w:tcPr>
            <w:tcW w:w="1701" w:type="dxa"/>
            <w:hideMark/>
          </w:tcPr>
          <w:p w14:paraId="3A1C2E95"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w:t>
            </w:r>
          </w:p>
        </w:tc>
      </w:tr>
      <w:tr w:rsidR="003A75AB" w:rsidRPr="003A75AB" w14:paraId="4F270C39"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6E9DFFB2" w14:textId="77777777" w:rsidR="00A6240C" w:rsidRPr="004F4BA7" w:rsidRDefault="00A6240C" w:rsidP="001D508A">
            <w:pPr>
              <w:spacing w:line="256" w:lineRule="auto"/>
              <w:rPr>
                <w:color w:val="auto"/>
                <w:lang w:eastAsia="en-GB"/>
              </w:rPr>
            </w:pPr>
            <w:r w:rsidRPr="004F4BA7">
              <w:rPr>
                <w:color w:val="auto"/>
                <w:lang w:eastAsia="en-GB"/>
              </w:rPr>
              <w:t>Huntingdonshire</w:t>
            </w:r>
          </w:p>
        </w:tc>
        <w:tc>
          <w:tcPr>
            <w:tcW w:w="1701" w:type="dxa"/>
            <w:hideMark/>
          </w:tcPr>
          <w:p w14:paraId="3E674587"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w:t>
            </w:r>
          </w:p>
        </w:tc>
        <w:tc>
          <w:tcPr>
            <w:tcW w:w="1701" w:type="dxa"/>
            <w:hideMark/>
          </w:tcPr>
          <w:p w14:paraId="1AE31B3F"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w:t>
            </w:r>
          </w:p>
        </w:tc>
        <w:tc>
          <w:tcPr>
            <w:tcW w:w="1701" w:type="dxa"/>
            <w:hideMark/>
          </w:tcPr>
          <w:p w14:paraId="1598F324"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31%</w:t>
            </w:r>
          </w:p>
        </w:tc>
        <w:tc>
          <w:tcPr>
            <w:tcW w:w="1701" w:type="dxa"/>
            <w:hideMark/>
          </w:tcPr>
          <w:p w14:paraId="27B468D9"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w:t>
            </w:r>
          </w:p>
        </w:tc>
      </w:tr>
      <w:tr w:rsidR="003A75AB" w:rsidRPr="003A75AB" w14:paraId="25D09885"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280CB3CF" w14:textId="77777777" w:rsidR="00A6240C" w:rsidRPr="004F4BA7" w:rsidRDefault="00A6240C" w:rsidP="001D508A">
            <w:pPr>
              <w:spacing w:line="256" w:lineRule="auto"/>
              <w:rPr>
                <w:color w:val="auto"/>
                <w:lang w:eastAsia="en-GB"/>
              </w:rPr>
            </w:pPr>
            <w:r w:rsidRPr="004F4BA7">
              <w:rPr>
                <w:color w:val="auto"/>
                <w:lang w:eastAsia="en-GB"/>
              </w:rPr>
              <w:t>South Cambs</w:t>
            </w:r>
          </w:p>
        </w:tc>
        <w:tc>
          <w:tcPr>
            <w:tcW w:w="1701" w:type="dxa"/>
            <w:hideMark/>
          </w:tcPr>
          <w:p w14:paraId="0A5AE285"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w:t>
            </w:r>
          </w:p>
        </w:tc>
        <w:tc>
          <w:tcPr>
            <w:tcW w:w="1701" w:type="dxa"/>
            <w:hideMark/>
          </w:tcPr>
          <w:p w14:paraId="5BB0C562"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w:t>
            </w:r>
          </w:p>
        </w:tc>
        <w:tc>
          <w:tcPr>
            <w:tcW w:w="1701" w:type="dxa"/>
            <w:hideMark/>
          </w:tcPr>
          <w:p w14:paraId="27911BDE"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w:t>
            </w:r>
          </w:p>
        </w:tc>
        <w:tc>
          <w:tcPr>
            <w:tcW w:w="1701" w:type="dxa"/>
            <w:hideMark/>
          </w:tcPr>
          <w:p w14:paraId="04E6D045"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w:t>
            </w:r>
          </w:p>
        </w:tc>
      </w:tr>
      <w:tr w:rsidR="003A75AB" w:rsidRPr="003A75AB" w14:paraId="5C10358A"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4E77FBA9" w14:textId="77777777" w:rsidR="00A6240C" w:rsidRPr="004F4BA7" w:rsidRDefault="00A6240C" w:rsidP="001D508A">
            <w:pPr>
              <w:spacing w:line="256" w:lineRule="auto"/>
              <w:rPr>
                <w:color w:val="auto"/>
                <w:lang w:eastAsia="en-GB"/>
              </w:rPr>
            </w:pPr>
            <w:r w:rsidRPr="004F4BA7">
              <w:rPr>
                <w:color w:val="auto"/>
                <w:lang w:eastAsia="en-GB"/>
              </w:rPr>
              <w:t>West Suffolk</w:t>
            </w:r>
          </w:p>
        </w:tc>
        <w:tc>
          <w:tcPr>
            <w:tcW w:w="1701" w:type="dxa"/>
            <w:hideMark/>
          </w:tcPr>
          <w:p w14:paraId="6BFE57F6"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w:t>
            </w:r>
          </w:p>
        </w:tc>
        <w:tc>
          <w:tcPr>
            <w:tcW w:w="1701" w:type="dxa"/>
            <w:hideMark/>
          </w:tcPr>
          <w:p w14:paraId="178162D8"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w:t>
            </w:r>
          </w:p>
        </w:tc>
        <w:tc>
          <w:tcPr>
            <w:tcW w:w="1701" w:type="dxa"/>
            <w:hideMark/>
          </w:tcPr>
          <w:p w14:paraId="59B9B04A"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w:t>
            </w:r>
          </w:p>
        </w:tc>
        <w:tc>
          <w:tcPr>
            <w:tcW w:w="1701" w:type="dxa"/>
            <w:hideMark/>
          </w:tcPr>
          <w:p w14:paraId="43ACED16"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17%</w:t>
            </w:r>
          </w:p>
        </w:tc>
      </w:tr>
      <w:tr w:rsidR="003A75AB" w:rsidRPr="003A75AB" w14:paraId="225E867C" w14:textId="77777777" w:rsidTr="004F4BA7">
        <w:trPr>
          <w:trHeight w:val="311"/>
        </w:trPr>
        <w:tc>
          <w:tcPr>
            <w:cnfStyle w:val="001000000000" w:firstRow="0" w:lastRow="0" w:firstColumn="1" w:lastColumn="0" w:oddVBand="0" w:evenVBand="0" w:oddHBand="0" w:evenHBand="0" w:firstRowFirstColumn="0" w:firstRowLastColumn="0" w:lastRowFirstColumn="0" w:lastRowLastColumn="0"/>
            <w:tcW w:w="1843" w:type="dxa"/>
            <w:hideMark/>
          </w:tcPr>
          <w:p w14:paraId="74E2D316" w14:textId="77777777" w:rsidR="00A6240C" w:rsidRPr="004F4BA7" w:rsidRDefault="00A6240C" w:rsidP="001D508A">
            <w:pPr>
              <w:spacing w:line="256" w:lineRule="auto"/>
              <w:rPr>
                <w:color w:val="auto"/>
                <w:lang w:eastAsia="en-GB"/>
              </w:rPr>
            </w:pPr>
            <w:r w:rsidRPr="004F4BA7">
              <w:rPr>
                <w:color w:val="auto"/>
                <w:lang w:eastAsia="en-GB"/>
              </w:rPr>
              <w:t>England</w:t>
            </w:r>
          </w:p>
        </w:tc>
        <w:tc>
          <w:tcPr>
            <w:tcW w:w="1701" w:type="dxa"/>
            <w:hideMark/>
          </w:tcPr>
          <w:p w14:paraId="3CC8D8AC"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w:t>
            </w:r>
          </w:p>
        </w:tc>
        <w:tc>
          <w:tcPr>
            <w:tcW w:w="1701" w:type="dxa"/>
            <w:hideMark/>
          </w:tcPr>
          <w:p w14:paraId="002D04B2"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48%</w:t>
            </w:r>
          </w:p>
        </w:tc>
        <w:tc>
          <w:tcPr>
            <w:tcW w:w="1701" w:type="dxa"/>
            <w:hideMark/>
          </w:tcPr>
          <w:p w14:paraId="5A19DBB5"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50%</w:t>
            </w:r>
          </w:p>
        </w:tc>
        <w:tc>
          <w:tcPr>
            <w:tcW w:w="1701" w:type="dxa"/>
            <w:hideMark/>
          </w:tcPr>
          <w:p w14:paraId="2D0E8DB1" w14:textId="77777777" w:rsidR="00A6240C" w:rsidRPr="004F4BA7" w:rsidRDefault="00A6240C" w:rsidP="001D508A">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w:t>
            </w:r>
          </w:p>
        </w:tc>
      </w:tr>
    </w:tbl>
    <w:p w14:paraId="1F5A0BF4" w14:textId="77777777" w:rsidR="00A6240C" w:rsidRDefault="00A6240C" w:rsidP="00A6240C">
      <w:pPr>
        <w:pStyle w:val="BodyText"/>
        <w:ind w:firstLine="794"/>
        <w:rPr>
          <w:rFonts w:ascii="Arial" w:hAnsi="Arial" w:cs="Arial"/>
        </w:rPr>
      </w:pPr>
      <w:r>
        <w:rPr>
          <w:rFonts w:ascii="Arial" w:hAnsi="Arial" w:cs="Arial"/>
        </w:rPr>
        <w:t xml:space="preserve"> </w:t>
      </w:r>
      <w:r w:rsidRPr="00B92D2D">
        <w:rPr>
          <w:rFonts w:ascii="Arial" w:hAnsi="Arial" w:cs="Arial"/>
          <w:sz w:val="24"/>
          <w:szCs w:val="24"/>
        </w:rPr>
        <w:t>Source: 2011 Census</w:t>
      </w:r>
    </w:p>
    <w:p w14:paraId="5C895F5D" w14:textId="77777777" w:rsidR="00A6240C" w:rsidRDefault="00A6240C" w:rsidP="007D0FBF">
      <w:pPr>
        <w:pStyle w:val="11Bodytext"/>
      </w:pPr>
      <w:r>
        <w:t xml:space="preserve">As noted, this analysis would suggest across most of the HMA that most 2-bedroom </w:t>
      </w:r>
      <w:proofErr w:type="gramStart"/>
      <w:r>
        <w:t>homes  have</w:t>
      </w:r>
      <w:proofErr w:type="gramEnd"/>
      <w:r>
        <w:t xml:space="preserve"> been built as houses (or bungalows) rather than flats. However, any decisions will still have to take account of site characteristics, which in some cases might point towards flatted development as being most appropriate. The analysis would suggest that the affordable sector might be expected to see a higher proportion of flats than for market housing, although it is still the case that houses are likely to be the majority need in this sector. </w:t>
      </w:r>
    </w:p>
    <w:p w14:paraId="1D1C56D1" w14:textId="77777777" w:rsidR="00A6240C" w:rsidRDefault="00A6240C" w:rsidP="007D0FBF">
      <w:pPr>
        <w:pStyle w:val="11Bodytext"/>
      </w:pPr>
      <w:r>
        <w:t xml:space="preserve">In Cambridge, the analysis does identify a much higher proportion of flats across all tenure groups. It would therefore be expected that Cambridge would continue to see a higher proportion of flatted development when compared with other authorities in the HMA. </w:t>
      </w:r>
    </w:p>
    <w:p w14:paraId="060956A3" w14:textId="26332C9A" w:rsidR="000E6CD7" w:rsidRDefault="000E6CD7" w:rsidP="007D0FBF">
      <w:pPr>
        <w:pStyle w:val="11Bodytext"/>
        <w:numPr>
          <w:ilvl w:val="0"/>
          <w:numId w:val="0"/>
        </w:numPr>
        <w:ind w:left="483"/>
      </w:pPr>
    </w:p>
    <w:tbl>
      <w:tblPr>
        <w:tblW w:w="9781" w:type="dxa"/>
        <w:tblInd w:w="-15" w:type="dxa"/>
        <w:tblBorders>
          <w:top w:val="single" w:sz="12" w:space="0" w:color="0093D5" w:themeColor="accent2"/>
          <w:left w:val="single" w:sz="12" w:space="0" w:color="0093D5" w:themeColor="accent2"/>
          <w:bottom w:val="single" w:sz="12" w:space="0" w:color="0093D5" w:themeColor="accent2"/>
          <w:right w:val="single" w:sz="12" w:space="0" w:color="0093D5" w:themeColor="accent2"/>
          <w:insideH w:val="single" w:sz="12" w:space="0" w:color="0093D5" w:themeColor="accent2"/>
          <w:insideV w:val="single" w:sz="12" w:space="0" w:color="0093D5" w:themeColor="accent2"/>
        </w:tblBorders>
        <w:tblLayout w:type="fixed"/>
        <w:tblLook w:val="04A0" w:firstRow="1" w:lastRow="0" w:firstColumn="1" w:lastColumn="0" w:noHBand="0" w:noVBand="1"/>
      </w:tblPr>
      <w:tblGrid>
        <w:gridCol w:w="9781"/>
      </w:tblGrid>
      <w:tr w:rsidR="000E6CD7" w:rsidRPr="00271794" w14:paraId="1B462737" w14:textId="77777777" w:rsidTr="004F4BA7">
        <w:tc>
          <w:tcPr>
            <w:tcW w:w="9781" w:type="dxa"/>
          </w:tcPr>
          <w:p w14:paraId="2F4D6104" w14:textId="77777777" w:rsidR="000E6CD7" w:rsidRPr="00271794" w:rsidRDefault="000E6CD7" w:rsidP="000E6CD7">
            <w:pPr>
              <w:keepNext/>
              <w:ind w:left="720" w:hanging="720"/>
            </w:pPr>
          </w:p>
          <w:p w14:paraId="468F99F7" w14:textId="246D8642" w:rsidR="000E6CD7" w:rsidRDefault="000E6CD7" w:rsidP="000E6CD7">
            <w:pPr>
              <w:keepNext/>
              <w:rPr>
                <w:b/>
                <w:color w:val="auto"/>
              </w:rPr>
            </w:pPr>
            <w:r w:rsidRPr="00B92D2D">
              <w:rPr>
                <w:b/>
                <w:sz w:val="24"/>
                <w:szCs w:val="24"/>
              </w:rPr>
              <w:t xml:space="preserve">Housing Mix: </w:t>
            </w:r>
            <w:r w:rsidRPr="00B92D2D">
              <w:rPr>
                <w:b/>
                <w:color w:val="auto"/>
                <w:sz w:val="24"/>
                <w:szCs w:val="24"/>
              </w:rPr>
              <w:t>Key messages and recommendations</w:t>
            </w:r>
          </w:p>
          <w:p w14:paraId="06254BBE" w14:textId="05F5EAFF" w:rsidR="00A6240C" w:rsidRDefault="00A6240C" w:rsidP="00B126BB">
            <w:pPr>
              <w:pStyle w:val="10BulletBodytext"/>
            </w:pPr>
            <w:r>
              <w:t xml:space="preserve">Our approach to housing mix starts with the current profile of housing in terms of size and tenure and how the age of a household influences the typical size of homes they occupy in different tenures. These occupancy patterns are then applied to the demographic projections on the assumption that occupancy patterns for each age group (within each tenure) remain the same. </w:t>
            </w:r>
          </w:p>
          <w:p w14:paraId="65526A09" w14:textId="6A819DE6" w:rsidR="00A6240C" w:rsidRPr="00B126BB" w:rsidRDefault="00A6240C" w:rsidP="00B126BB">
            <w:pPr>
              <w:pStyle w:val="10BulletBodytext"/>
            </w:pPr>
            <w:r>
              <w:t xml:space="preserve">Whilst the output of the modelling provides estimates of the proportion of homes of different sizes that are needed, other factors should be taken into account in </w:t>
            </w:r>
            <w:r w:rsidRPr="00B126BB">
              <w:t xml:space="preserve">setting policies. Two, in particular, are worth highlighting, </w:t>
            </w:r>
          </w:p>
          <w:p w14:paraId="06D40412" w14:textId="5C57C1DE" w:rsidR="00A6240C" w:rsidRPr="00B126BB" w:rsidRDefault="00A6240C" w:rsidP="00B126BB">
            <w:pPr>
              <w:pStyle w:val="10BulletBodytext"/>
            </w:pPr>
            <w:r w:rsidRPr="00B126BB">
              <w:t xml:space="preserve">Firstly, the demand for and high levels of turnover of 1-bedroom homes in the affordable rented sector and the high number of households on the housing register seeking 1-bedroom homes; and </w:t>
            </w:r>
          </w:p>
          <w:p w14:paraId="1A2E865E" w14:textId="00E2175D" w:rsidR="00A6240C" w:rsidRPr="00B126BB" w:rsidRDefault="00A6240C" w:rsidP="00B126BB">
            <w:pPr>
              <w:pStyle w:val="10BulletBodytext"/>
            </w:pPr>
            <w:r w:rsidRPr="00B126BB">
              <w:t>Secondly, the stock of 4-bedroom affordable homes is very limited and tends to have a very low turnover.  The strategic conclusions recognise the role which delivery of larger family homes can play in releasing a supply of smaller properties for other households.</w:t>
            </w:r>
          </w:p>
          <w:p w14:paraId="4FA3C15D" w14:textId="2345354A" w:rsidR="00A6240C" w:rsidRDefault="00A6240C" w:rsidP="00B126BB">
            <w:pPr>
              <w:pStyle w:val="10BulletBodytext"/>
            </w:pPr>
            <w:r w:rsidRPr="00B126BB">
              <w:t>In the affordable home ownership</w:t>
            </w:r>
            <w:r>
              <w:t xml:space="preserve"> and market sectors, a profile of housing that more closely matches the outputs of the modelling is suggested. However, in the market sector, a modest adjustment is made to further support downsizing and better use of the existing stock.</w:t>
            </w:r>
          </w:p>
          <w:p w14:paraId="583DF8E8" w14:textId="77777777" w:rsidR="00A6240C" w:rsidRPr="00972A9E" w:rsidRDefault="00A6240C" w:rsidP="00097650">
            <w:pPr>
              <w:pStyle w:val="10BulletBodytext"/>
              <w:rPr>
                <w:b/>
                <w:bCs w:val="0"/>
              </w:rPr>
            </w:pPr>
            <w:r w:rsidRPr="00972A9E">
              <w:rPr>
                <w:b/>
                <w:bCs w:val="0"/>
              </w:rPr>
              <w:t>Recommendation: The following mix of homes size by tenure is suggested as a strategic mix across the 2020-2040 period for the HMA.</w:t>
            </w:r>
          </w:p>
          <w:p w14:paraId="5C82BA3D" w14:textId="77777777" w:rsidR="00A6240C" w:rsidRDefault="00A6240C" w:rsidP="00B92D2D">
            <w:pPr>
              <w:pStyle w:val="ListParagraph"/>
              <w:numPr>
                <w:ilvl w:val="0"/>
                <w:numId w:val="0"/>
              </w:numPr>
              <w:ind w:left="426"/>
            </w:pPr>
          </w:p>
          <w:tbl>
            <w:tblPr>
              <w:tblStyle w:val="TableGridLight1"/>
              <w:tblW w:w="0" w:type="auto"/>
              <w:tblInd w:w="1304" w:type="dxa"/>
              <w:tblLayout w:type="fixed"/>
              <w:tblLook w:val="04A0" w:firstRow="1" w:lastRow="0" w:firstColumn="1" w:lastColumn="0" w:noHBand="0" w:noVBand="1"/>
            </w:tblPr>
            <w:tblGrid>
              <w:gridCol w:w="1382"/>
              <w:gridCol w:w="2281"/>
              <w:gridCol w:w="2281"/>
              <w:gridCol w:w="2281"/>
            </w:tblGrid>
            <w:tr w:rsidR="003A75AB" w:rsidRPr="003A75AB" w14:paraId="3627B38F" w14:textId="77777777" w:rsidTr="004F4BA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382" w:type="dxa"/>
                  <w:hideMark/>
                </w:tcPr>
                <w:p w14:paraId="1E2FADD3" w14:textId="77777777" w:rsidR="00A6240C" w:rsidRPr="004F4BA7" w:rsidRDefault="00A6240C" w:rsidP="00A6240C">
                  <w:pPr>
                    <w:spacing w:line="256" w:lineRule="auto"/>
                    <w:rPr>
                      <w:color w:val="auto"/>
                      <w:lang w:eastAsia="en-GB"/>
                    </w:rPr>
                  </w:pPr>
                  <w:r w:rsidRPr="004F4BA7">
                    <w:rPr>
                      <w:color w:val="auto"/>
                      <w:lang w:eastAsia="en-GB"/>
                    </w:rPr>
                    <w:t>Size</w:t>
                  </w:r>
                </w:p>
              </w:tc>
              <w:tc>
                <w:tcPr>
                  <w:tcW w:w="2281" w:type="dxa"/>
                  <w:hideMark/>
                </w:tcPr>
                <w:p w14:paraId="262C2E34" w14:textId="77777777" w:rsidR="00A6240C" w:rsidRPr="004F4BA7" w:rsidRDefault="00A6240C" w:rsidP="00A6240C">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281" w:type="dxa"/>
                  <w:hideMark/>
                </w:tcPr>
                <w:p w14:paraId="07F53D5D" w14:textId="77777777" w:rsidR="00A6240C" w:rsidRPr="004F4BA7" w:rsidRDefault="00A6240C" w:rsidP="00A6240C">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281" w:type="dxa"/>
                  <w:hideMark/>
                </w:tcPr>
                <w:p w14:paraId="663FBC4D" w14:textId="77777777" w:rsidR="00A6240C" w:rsidRPr="004F4BA7" w:rsidRDefault="00A6240C" w:rsidP="00A6240C">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3A75AB" w:rsidRPr="003A75AB" w14:paraId="189549A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82" w:type="dxa"/>
                  <w:hideMark/>
                </w:tcPr>
                <w:p w14:paraId="2C2049C5" w14:textId="77777777" w:rsidR="00A6240C" w:rsidRPr="004F4BA7" w:rsidRDefault="00A6240C" w:rsidP="00A6240C">
                  <w:pPr>
                    <w:spacing w:line="256" w:lineRule="auto"/>
                    <w:rPr>
                      <w:color w:val="auto"/>
                      <w:lang w:eastAsia="en-GB"/>
                    </w:rPr>
                  </w:pPr>
                  <w:r w:rsidRPr="004F4BA7">
                    <w:rPr>
                      <w:color w:val="auto"/>
                      <w:lang w:eastAsia="en-GB"/>
                    </w:rPr>
                    <w:t>1-bedroom</w:t>
                  </w:r>
                </w:p>
              </w:tc>
              <w:tc>
                <w:tcPr>
                  <w:tcW w:w="2281" w:type="dxa"/>
                  <w:hideMark/>
                </w:tcPr>
                <w:p w14:paraId="6DBAD5B8"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281" w:type="dxa"/>
                  <w:hideMark/>
                </w:tcPr>
                <w:p w14:paraId="33A5D4CD"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c>
                <w:tcPr>
                  <w:tcW w:w="2281" w:type="dxa"/>
                  <w:hideMark/>
                </w:tcPr>
                <w:p w14:paraId="7BE1981B"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r>
            <w:tr w:rsidR="003A75AB" w:rsidRPr="003A75AB" w14:paraId="7DC24872"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82" w:type="dxa"/>
                  <w:hideMark/>
                </w:tcPr>
                <w:p w14:paraId="32368F37" w14:textId="77777777" w:rsidR="00A6240C" w:rsidRPr="004F4BA7" w:rsidRDefault="00A6240C" w:rsidP="00A6240C">
                  <w:pPr>
                    <w:spacing w:line="256" w:lineRule="auto"/>
                    <w:rPr>
                      <w:color w:val="auto"/>
                      <w:lang w:eastAsia="en-GB"/>
                    </w:rPr>
                  </w:pPr>
                  <w:r w:rsidRPr="004F4BA7">
                    <w:rPr>
                      <w:color w:val="auto"/>
                      <w:lang w:eastAsia="en-GB"/>
                    </w:rPr>
                    <w:t>2-bedrooms</w:t>
                  </w:r>
                </w:p>
              </w:tc>
              <w:tc>
                <w:tcPr>
                  <w:tcW w:w="2281" w:type="dxa"/>
                  <w:hideMark/>
                </w:tcPr>
                <w:p w14:paraId="7220EFC5"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281" w:type="dxa"/>
                  <w:hideMark/>
                </w:tcPr>
                <w:p w14:paraId="749B3AA5"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c>
                <w:tcPr>
                  <w:tcW w:w="2281" w:type="dxa"/>
                  <w:hideMark/>
                </w:tcPr>
                <w:p w14:paraId="0225C34E"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3A75AB" w:rsidRPr="003A75AB" w14:paraId="274136FE"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82" w:type="dxa"/>
                  <w:hideMark/>
                </w:tcPr>
                <w:p w14:paraId="216237B4" w14:textId="77777777" w:rsidR="00A6240C" w:rsidRPr="004F4BA7" w:rsidRDefault="00A6240C" w:rsidP="00A6240C">
                  <w:pPr>
                    <w:spacing w:line="256" w:lineRule="auto"/>
                    <w:rPr>
                      <w:color w:val="auto"/>
                      <w:lang w:eastAsia="en-GB"/>
                    </w:rPr>
                  </w:pPr>
                  <w:r w:rsidRPr="004F4BA7">
                    <w:rPr>
                      <w:color w:val="auto"/>
                      <w:lang w:eastAsia="en-GB"/>
                    </w:rPr>
                    <w:t>3-bedrooms</w:t>
                  </w:r>
                </w:p>
              </w:tc>
              <w:tc>
                <w:tcPr>
                  <w:tcW w:w="2281" w:type="dxa"/>
                  <w:hideMark/>
                </w:tcPr>
                <w:p w14:paraId="4FFFA95D"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281" w:type="dxa"/>
                  <w:hideMark/>
                </w:tcPr>
                <w:p w14:paraId="1E113EBC"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281" w:type="dxa"/>
                  <w:hideMark/>
                </w:tcPr>
                <w:p w14:paraId="16A085FF"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r>
            <w:tr w:rsidR="003A75AB" w:rsidRPr="003A75AB" w14:paraId="18E69B00"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1382" w:type="dxa"/>
                  <w:hideMark/>
                </w:tcPr>
                <w:p w14:paraId="0BE78053" w14:textId="77777777" w:rsidR="00A6240C" w:rsidRPr="004F4BA7" w:rsidRDefault="00A6240C" w:rsidP="00A6240C">
                  <w:pPr>
                    <w:spacing w:line="256" w:lineRule="auto"/>
                    <w:rPr>
                      <w:color w:val="auto"/>
                      <w:lang w:eastAsia="en-GB"/>
                    </w:rPr>
                  </w:pPr>
                  <w:r w:rsidRPr="004F4BA7">
                    <w:rPr>
                      <w:color w:val="auto"/>
                      <w:lang w:eastAsia="en-GB"/>
                    </w:rPr>
                    <w:t>4+-bedrooms</w:t>
                  </w:r>
                </w:p>
              </w:tc>
              <w:tc>
                <w:tcPr>
                  <w:tcW w:w="2281" w:type="dxa"/>
                  <w:hideMark/>
                </w:tcPr>
                <w:p w14:paraId="4B329FA8"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281" w:type="dxa"/>
                  <w:hideMark/>
                </w:tcPr>
                <w:p w14:paraId="7023D003"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5-15%</w:t>
                  </w:r>
                </w:p>
              </w:tc>
              <w:tc>
                <w:tcPr>
                  <w:tcW w:w="2281" w:type="dxa"/>
                  <w:hideMark/>
                </w:tcPr>
                <w:p w14:paraId="28EFF715" w14:textId="77777777" w:rsidR="00A6240C" w:rsidRPr="004F4BA7" w:rsidRDefault="00A6240C" w:rsidP="00A6240C">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61D51595" w14:textId="77777777" w:rsidR="00A6240C" w:rsidRDefault="00A6240C" w:rsidP="00A6240C">
            <w:pPr>
              <w:pStyle w:val="Bulletblackplain"/>
              <w:numPr>
                <w:ilvl w:val="0"/>
                <w:numId w:val="0"/>
              </w:numPr>
              <w:tabs>
                <w:tab w:val="left" w:pos="720"/>
              </w:tabs>
              <w:spacing w:before="0" w:after="0" w:line="240" w:lineRule="auto"/>
              <w:ind w:left="714" w:right="227"/>
            </w:pPr>
          </w:p>
          <w:p w14:paraId="7C110AC7" w14:textId="2BB3ED51" w:rsidR="00A6240C" w:rsidRPr="00B126BB" w:rsidRDefault="00A6240C" w:rsidP="00B126BB">
            <w:pPr>
              <w:pStyle w:val="10BulletBodytext"/>
            </w:pPr>
            <w:r w:rsidRPr="00B126BB">
              <w:t xml:space="preserve">At a local authority level, this mix may be adjusted to reflect local demand patterns and other local circumstances, for example, the higher demand in South Cambridgeshire than elsewhere in the HMA for family homes and the need in Fenland for more smaller affordable homes. </w:t>
            </w:r>
          </w:p>
          <w:p w14:paraId="49B0F178" w14:textId="736B9EC1" w:rsidR="00A6240C" w:rsidRPr="00B126BB" w:rsidRDefault="00A6240C" w:rsidP="00B126BB">
            <w:pPr>
              <w:pStyle w:val="10BulletBodytext"/>
            </w:pPr>
            <w:r w:rsidRPr="00B126BB">
              <w:t>It will ultimately be for the Council(s) to write into policy the approach which best meets their local circumstance. This could be, for example, a desire for further downsizing or a pragmatic approach to a constrained housing supply both of which would see more smaller homes being built.</w:t>
            </w:r>
          </w:p>
          <w:p w14:paraId="242C5CF7" w14:textId="77777777" w:rsidR="00A6240C" w:rsidRPr="00B126BB" w:rsidRDefault="00A6240C" w:rsidP="00B126BB">
            <w:pPr>
              <w:pStyle w:val="10BulletBodytext"/>
            </w:pPr>
            <w:r w:rsidRPr="00B126BB">
              <w:t>The strategic mix identified above should still inform policies. But in applying the mix to individual development sites regard should also be had to the nature of the site and character of the area, and up-to-date evidence of need (such as the housing register or a local housing needs assessment) as well as the existing mix and turnover of properties at the local level. The Councils should also monitor the mix of housing delivered and respond accordingly.</w:t>
            </w:r>
          </w:p>
          <w:p w14:paraId="18C444DB" w14:textId="77777777" w:rsidR="00A6240C" w:rsidRPr="00271794" w:rsidRDefault="00A6240C" w:rsidP="000E6CD7">
            <w:pPr>
              <w:keepNext/>
              <w:rPr>
                <w:b/>
                <w:color w:val="auto"/>
              </w:rPr>
            </w:pPr>
          </w:p>
          <w:p w14:paraId="0E126576" w14:textId="77777777" w:rsidR="000E6CD7" w:rsidRPr="00271794" w:rsidRDefault="000E6CD7" w:rsidP="000E6CD7">
            <w:pPr>
              <w:pStyle w:val="Bulletblackplain"/>
              <w:numPr>
                <w:ilvl w:val="0"/>
                <w:numId w:val="0"/>
              </w:numPr>
              <w:spacing w:before="0" w:after="0" w:line="240" w:lineRule="auto"/>
              <w:ind w:right="227"/>
            </w:pPr>
          </w:p>
          <w:p w14:paraId="01A46869" w14:textId="77777777" w:rsidR="000E6CD7" w:rsidRPr="00271794" w:rsidRDefault="000E6CD7" w:rsidP="008E6E40">
            <w:pPr>
              <w:ind w:left="599" w:hanging="283"/>
            </w:pPr>
          </w:p>
        </w:tc>
      </w:tr>
      <w:bookmarkEnd w:id="25"/>
    </w:tbl>
    <w:p w14:paraId="3319BD34" w14:textId="77777777" w:rsidR="000E6CD7" w:rsidRDefault="000E6CD7">
      <w:pPr>
        <w:spacing w:after="200"/>
        <w:rPr>
          <w:b/>
          <w:bCs/>
          <w:caps/>
          <w:sz w:val="24"/>
        </w:rPr>
      </w:pPr>
      <w:r>
        <w:br w:type="page"/>
      </w:r>
    </w:p>
    <w:p w14:paraId="05CFBD97" w14:textId="352D09C5" w:rsidR="0087703B" w:rsidRDefault="007D0FBF" w:rsidP="007D0FBF">
      <w:pPr>
        <w:pStyle w:val="Heading1"/>
      </w:pPr>
      <w:bookmarkStart w:id="27" w:name="_Toc79590825"/>
      <w:r>
        <w:lastRenderedPageBreak/>
        <w:t>O</w:t>
      </w:r>
      <w:r w:rsidR="0087703B">
        <w:t>lder and disabled pe</w:t>
      </w:r>
      <w:r w:rsidR="007F2447">
        <w:t>r</w:t>
      </w:r>
      <w:r w:rsidR="006E0E37">
        <w:t>son</w:t>
      </w:r>
      <w:r w:rsidR="007F2447">
        <w:t>s</w:t>
      </w:r>
      <w:bookmarkEnd w:id="27"/>
    </w:p>
    <w:p w14:paraId="37411ED2" w14:textId="104CED85" w:rsidR="00970D21" w:rsidRDefault="00970D21" w:rsidP="007D0FBF">
      <w:pPr>
        <w:pStyle w:val="11Bodytext"/>
      </w:pPr>
      <w:r>
        <w:t xml:space="preserve">This section of the report examines the housing need for older persons and linked to this but not exclusive to it, the housing need for those with a long term health problem or disability (LTHPD) including wheelchair users’ needs. This is in part a response to paragraph 61 of the National Planning Policy Framework which states: </w:t>
      </w:r>
    </w:p>
    <w:p w14:paraId="5848397A" w14:textId="77777777" w:rsidR="00970D21" w:rsidRPr="00B126BB" w:rsidRDefault="00970D21" w:rsidP="00B126BB">
      <w:pPr>
        <w:pStyle w:val="Quotetext"/>
      </w:pPr>
      <w:r w:rsidRPr="00B126BB">
        <w:t>“The size, type and tenure of housing needed for different groups in the community should be assessed and reflected in planning policies (including, but not limited to, those who require affordable housing, families with children, older people, students, people with disabilities, service families, travellers, people who rent their homes and people wishing to commission or build their own homes)”.</w:t>
      </w:r>
    </w:p>
    <w:p w14:paraId="65D1D955" w14:textId="77777777" w:rsidR="00970D21" w:rsidRDefault="00970D21" w:rsidP="007D0FBF">
      <w:pPr>
        <w:pStyle w:val="11Bodytext"/>
      </w:pPr>
      <w:r>
        <w:t>The Planning Practice Guidance (PPG) provides separate guidance on identifying the housing needs of different groups</w:t>
      </w:r>
      <w:r>
        <w:rPr>
          <w:rStyle w:val="FootnoteReference"/>
        </w:rPr>
        <w:footnoteReference w:id="31"/>
      </w:r>
      <w:r>
        <w:t xml:space="preserve"> and housing needs of older and disabled people</w:t>
      </w:r>
      <w:r>
        <w:rPr>
          <w:rStyle w:val="FootnoteReference"/>
        </w:rPr>
        <w:footnoteReference w:id="32"/>
      </w:r>
      <w:r>
        <w:t xml:space="preserve"> which are reflected in the following chapters. </w:t>
      </w:r>
    </w:p>
    <w:p w14:paraId="3E8B6DD1" w14:textId="77777777" w:rsidR="00970D21" w:rsidRDefault="00970D21" w:rsidP="007D0FBF">
      <w:pPr>
        <w:pStyle w:val="Heading2"/>
      </w:pPr>
      <w:r>
        <w:t>Older Persons Guidance</w:t>
      </w:r>
    </w:p>
    <w:p w14:paraId="0600BFE6" w14:textId="77777777" w:rsidR="00970D21" w:rsidRDefault="00970D21" w:rsidP="007D0FBF">
      <w:pPr>
        <w:pStyle w:val="11Bodytext"/>
      </w:pPr>
      <w:r>
        <w:t>Paragraph 1 of the PPG (reference ID: 63-001-20190626) concerning housing for older and disabled people explains why it is important to plan for the needs of older persons</w:t>
      </w:r>
    </w:p>
    <w:p w14:paraId="65CE8D47" w14:textId="77777777" w:rsidR="00970D21" w:rsidRPr="00B126BB" w:rsidRDefault="00970D21" w:rsidP="00B126BB">
      <w:pPr>
        <w:pStyle w:val="Quotetext"/>
      </w:pPr>
      <w:r w:rsidRPr="00B126BB">
        <w:t>“The need to provide housing for older people is critical. People are living longer lives and the proportion of older people in the population is increasing...Offering older people a better choice of accommodation to suit their changing needs can help them live independently for longer, feel more connected to their communities and help reduce costs to the social care and health systems.”</w:t>
      </w:r>
    </w:p>
    <w:p w14:paraId="400EDBDF" w14:textId="77777777" w:rsidR="00970D21" w:rsidRDefault="00970D21" w:rsidP="007D0FBF">
      <w:pPr>
        <w:pStyle w:val="11Bodytext"/>
      </w:pPr>
      <w:r>
        <w:t>Regarding assessing the need for housing specifically for older people, Paragraph 4 of the PPG (Reference ID: 63-004-20190626) states:</w:t>
      </w:r>
    </w:p>
    <w:p w14:paraId="1515D640" w14:textId="77777777" w:rsidR="00970D21" w:rsidRDefault="00970D21" w:rsidP="00B126BB">
      <w:pPr>
        <w:pStyle w:val="Quotetext"/>
      </w:pPr>
      <w:r>
        <w:t>“The age profile of the population can be drawn from Census data. Projections of population and households by age group can also be used. The future need for specialist accommodation for older people broken down by tenure and type (</w:t>
      </w:r>
      <w:proofErr w:type="gramStart"/>
      <w:r>
        <w:t>e.g.</w:t>
      </w:r>
      <w:proofErr w:type="gramEnd"/>
      <w:r>
        <w:t xml:space="preserve"> sheltered housing, extra care) may need to be assessed and can be obtained from a number of online tool kits provided by the sector, for example, SHOP@ (Strategic Housing for Older People </w:t>
      </w:r>
      <w:r>
        <w:lastRenderedPageBreak/>
        <w:t>Analysis Tool), which is a tool for forecasting the housing and care needs of older people. Evidence from Joint Strategic Needs Assessments prepared by Health and Wellbeing Boards can also be useful. The assessment of need can also set out the level of need for residential care homes.”</w:t>
      </w:r>
    </w:p>
    <w:p w14:paraId="01C91FBC" w14:textId="77777777" w:rsidR="00970D21" w:rsidRDefault="00970D21" w:rsidP="007D0FBF">
      <w:pPr>
        <w:pStyle w:val="Heading2"/>
      </w:pPr>
      <w:r>
        <w:t>Current Population of Older People</w:t>
      </w:r>
    </w:p>
    <w:p w14:paraId="1BD3118B" w14:textId="77777777" w:rsidR="00970D21" w:rsidRDefault="00970D21" w:rsidP="007D0FBF">
      <w:pPr>
        <w:pStyle w:val="11Bodytext"/>
      </w:pPr>
      <w:r>
        <w:t xml:space="preserve">The table below provides baseline population data about older persons and compares this with the wider comparators. This data has been taken from the published ONS mid-year population estimates and not the estimates developed for this report. The data is provided for age groups from 65 and upwards; the data is for 2019 to reflect the latest published data. </w:t>
      </w:r>
    </w:p>
    <w:p w14:paraId="0B54B55A" w14:textId="77777777" w:rsidR="00970D21" w:rsidRDefault="00970D21" w:rsidP="007D0FBF">
      <w:pPr>
        <w:pStyle w:val="11Bodytext"/>
      </w:pPr>
      <w:r>
        <w:t>The data shows that in 2019, around 163,000 people were aged 65 and over in the HMA. This equated to around 20% of the population and compares with a figure of 18% nationally and 20% across the East of England region.</w:t>
      </w:r>
    </w:p>
    <w:p w14:paraId="4BBDFC7C" w14:textId="77777777" w:rsidR="00970D21" w:rsidRDefault="00970D21" w:rsidP="003D5E23">
      <w:pPr>
        <w:pStyle w:val="Tableheading"/>
        <w:numPr>
          <w:ilvl w:val="0"/>
          <w:numId w:val="54"/>
        </w:numPr>
      </w:pPr>
      <w:r>
        <w:t>Older Person Population (2019)</w:t>
      </w:r>
    </w:p>
    <w:tbl>
      <w:tblPr>
        <w:tblStyle w:val="TableGridLight1"/>
        <w:tblW w:w="8955" w:type="dxa"/>
        <w:tblInd w:w="792" w:type="dxa"/>
        <w:tblLook w:val="04A0" w:firstRow="1" w:lastRow="0" w:firstColumn="1" w:lastColumn="0" w:noHBand="0" w:noVBand="1"/>
      </w:tblPr>
      <w:tblGrid>
        <w:gridCol w:w="1574"/>
        <w:gridCol w:w="1249"/>
        <w:gridCol w:w="1092"/>
        <w:gridCol w:w="1092"/>
        <w:gridCol w:w="1443"/>
        <w:gridCol w:w="1202"/>
        <w:gridCol w:w="1456"/>
      </w:tblGrid>
      <w:tr w:rsidR="003A75AB" w:rsidRPr="003A75AB" w14:paraId="65ACBCF9" w14:textId="77777777" w:rsidTr="00B92D2D">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574" w:type="dxa"/>
            <w:noWrap/>
            <w:hideMark/>
          </w:tcPr>
          <w:p w14:paraId="528C0321" w14:textId="77777777" w:rsidR="00970D21" w:rsidRPr="004F4BA7" w:rsidRDefault="00970D21" w:rsidP="00970D21">
            <w:pPr>
              <w:rPr>
                <w:color w:val="auto"/>
                <w:szCs w:val="24"/>
              </w:rPr>
            </w:pPr>
          </w:p>
        </w:tc>
        <w:tc>
          <w:tcPr>
            <w:tcW w:w="1249" w:type="dxa"/>
            <w:noWrap/>
            <w:hideMark/>
          </w:tcPr>
          <w:p w14:paraId="6060D9E9" w14:textId="77777777" w:rsidR="00970D21" w:rsidRPr="004F4BA7" w:rsidRDefault="00970D21" w:rsidP="00970D21">
            <w:pPr>
              <w:cnfStyle w:val="100000000000" w:firstRow="1"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rFonts w:ascii="Arial" w:hAnsi="Arial" w:cstheme="minorHAnsi"/>
                <w:color w:val="auto"/>
                <w:szCs w:val="24"/>
                <w:lang w:val="en-US" w:eastAsia="en-GB"/>
              </w:rPr>
              <w:t>Age 65-74</w:t>
            </w:r>
          </w:p>
        </w:tc>
        <w:tc>
          <w:tcPr>
            <w:tcW w:w="1065" w:type="dxa"/>
            <w:noWrap/>
            <w:hideMark/>
          </w:tcPr>
          <w:p w14:paraId="7E94A013" w14:textId="77777777" w:rsidR="00970D21" w:rsidRPr="004F4BA7" w:rsidRDefault="00970D21" w:rsidP="00970D21">
            <w:pPr>
              <w:cnfStyle w:val="100000000000" w:firstRow="1"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rFonts w:ascii="Arial" w:hAnsi="Arial" w:cstheme="minorHAnsi"/>
                <w:color w:val="auto"/>
                <w:szCs w:val="24"/>
                <w:lang w:val="en-US" w:eastAsia="en-GB"/>
              </w:rPr>
              <w:t>Age 75-84</w:t>
            </w:r>
          </w:p>
        </w:tc>
        <w:tc>
          <w:tcPr>
            <w:tcW w:w="1065" w:type="dxa"/>
            <w:noWrap/>
            <w:hideMark/>
          </w:tcPr>
          <w:p w14:paraId="26CDF057" w14:textId="77777777" w:rsidR="00970D21" w:rsidRPr="004F4BA7" w:rsidRDefault="00970D21" w:rsidP="00970D21">
            <w:pPr>
              <w:cnfStyle w:val="100000000000" w:firstRow="1"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rFonts w:ascii="Arial" w:hAnsi="Arial" w:cstheme="minorHAnsi"/>
                <w:color w:val="auto"/>
                <w:szCs w:val="24"/>
                <w:lang w:val="en-US" w:eastAsia="en-GB"/>
              </w:rPr>
              <w:t>Age 85+</w:t>
            </w:r>
          </w:p>
        </w:tc>
        <w:tc>
          <w:tcPr>
            <w:tcW w:w="1408" w:type="dxa"/>
            <w:noWrap/>
            <w:hideMark/>
          </w:tcPr>
          <w:p w14:paraId="458A01C3" w14:textId="77777777" w:rsidR="00970D21" w:rsidRPr="004F4BA7" w:rsidRDefault="00970D21" w:rsidP="00970D21">
            <w:pPr>
              <w:cnfStyle w:val="100000000000" w:firstRow="1"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rFonts w:ascii="Arial" w:hAnsi="Arial" w:cstheme="minorHAnsi"/>
                <w:color w:val="auto"/>
                <w:szCs w:val="24"/>
                <w:lang w:val="en-US" w:eastAsia="en-GB"/>
              </w:rPr>
              <w:t>Total population all ages</w:t>
            </w:r>
          </w:p>
        </w:tc>
        <w:tc>
          <w:tcPr>
            <w:tcW w:w="1173" w:type="dxa"/>
            <w:noWrap/>
            <w:hideMark/>
          </w:tcPr>
          <w:p w14:paraId="5A726C9B" w14:textId="77777777" w:rsidR="00970D21" w:rsidRPr="004F4BA7" w:rsidRDefault="00970D21" w:rsidP="00970D21">
            <w:pPr>
              <w:cnfStyle w:val="100000000000" w:firstRow="1"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rFonts w:ascii="Arial" w:hAnsi="Arial" w:cstheme="minorHAnsi"/>
                <w:color w:val="auto"/>
                <w:szCs w:val="24"/>
                <w:lang w:val="en-US" w:eastAsia="en-GB"/>
              </w:rPr>
              <w:t>Total Age 65+</w:t>
            </w:r>
          </w:p>
        </w:tc>
        <w:tc>
          <w:tcPr>
            <w:tcW w:w="1421" w:type="dxa"/>
            <w:noWrap/>
            <w:hideMark/>
          </w:tcPr>
          <w:p w14:paraId="72BD5D2F" w14:textId="77777777" w:rsidR="00970D21" w:rsidRPr="004F4BA7" w:rsidRDefault="00970D21" w:rsidP="00970D21">
            <w:pPr>
              <w:cnfStyle w:val="100000000000" w:firstRow="1"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rFonts w:ascii="Arial" w:hAnsi="Arial" w:cstheme="minorHAnsi"/>
                <w:color w:val="auto"/>
                <w:szCs w:val="24"/>
                <w:lang w:val="en-US" w:eastAsia="en-GB"/>
              </w:rPr>
              <w:t xml:space="preserve">% of </w:t>
            </w:r>
            <w:proofErr w:type="gramStart"/>
            <w:r w:rsidRPr="004F4BA7">
              <w:rPr>
                <w:rFonts w:ascii="Arial" w:hAnsi="Arial" w:cstheme="minorHAnsi"/>
                <w:color w:val="auto"/>
                <w:szCs w:val="24"/>
                <w:lang w:val="en-US" w:eastAsia="en-GB"/>
              </w:rPr>
              <w:t>Population  65</w:t>
            </w:r>
            <w:proofErr w:type="gramEnd"/>
            <w:r w:rsidRPr="004F4BA7">
              <w:rPr>
                <w:rFonts w:ascii="Arial" w:hAnsi="Arial" w:cstheme="minorHAnsi"/>
                <w:color w:val="auto"/>
                <w:szCs w:val="24"/>
                <w:lang w:val="en-US" w:eastAsia="en-GB"/>
              </w:rPr>
              <w:t>+</w:t>
            </w:r>
          </w:p>
        </w:tc>
      </w:tr>
      <w:tr w:rsidR="003A75AB" w:rsidRPr="003A75AB" w14:paraId="6DF26BD7"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2EDA81B0" w14:textId="77777777" w:rsidR="00970D21" w:rsidRPr="004F4BA7" w:rsidRDefault="00970D21" w:rsidP="00970D21">
            <w:pPr>
              <w:rPr>
                <w:rFonts w:cstheme="minorHAnsi"/>
                <w:b/>
                <w:bCs/>
                <w:color w:val="auto"/>
                <w:szCs w:val="24"/>
                <w:lang w:val="en-US" w:eastAsia="en-GB"/>
              </w:rPr>
            </w:pPr>
            <w:r w:rsidRPr="004F4BA7">
              <w:rPr>
                <w:rFonts w:ascii="Arial" w:hAnsi="Arial" w:cstheme="minorHAnsi"/>
                <w:bCs/>
                <w:color w:val="auto"/>
                <w:szCs w:val="24"/>
                <w:lang w:val="en-US" w:eastAsia="en-GB"/>
              </w:rPr>
              <w:t>Cambridge</w:t>
            </w:r>
          </w:p>
        </w:tc>
        <w:tc>
          <w:tcPr>
            <w:tcW w:w="1249" w:type="dxa"/>
            <w:noWrap/>
            <w:hideMark/>
          </w:tcPr>
          <w:p w14:paraId="0FADFFA1"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8,407</w:t>
            </w:r>
          </w:p>
        </w:tc>
        <w:tc>
          <w:tcPr>
            <w:tcW w:w="1065" w:type="dxa"/>
            <w:noWrap/>
            <w:hideMark/>
          </w:tcPr>
          <w:p w14:paraId="213469EE"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5,167</w:t>
            </w:r>
          </w:p>
        </w:tc>
        <w:tc>
          <w:tcPr>
            <w:tcW w:w="1065" w:type="dxa"/>
            <w:noWrap/>
            <w:hideMark/>
          </w:tcPr>
          <w:p w14:paraId="72D089E7"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2,790</w:t>
            </w:r>
          </w:p>
        </w:tc>
        <w:tc>
          <w:tcPr>
            <w:tcW w:w="1408" w:type="dxa"/>
            <w:noWrap/>
            <w:hideMark/>
          </w:tcPr>
          <w:p w14:paraId="454756D5"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124,798</w:t>
            </w:r>
          </w:p>
        </w:tc>
        <w:tc>
          <w:tcPr>
            <w:tcW w:w="1173" w:type="dxa"/>
            <w:noWrap/>
            <w:hideMark/>
          </w:tcPr>
          <w:p w14:paraId="5CDB0337"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16,364</w:t>
            </w:r>
          </w:p>
        </w:tc>
        <w:tc>
          <w:tcPr>
            <w:tcW w:w="1421" w:type="dxa"/>
            <w:noWrap/>
            <w:hideMark/>
          </w:tcPr>
          <w:p w14:paraId="59174D04"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13.1%</w:t>
            </w:r>
          </w:p>
        </w:tc>
      </w:tr>
      <w:tr w:rsidR="003A75AB" w:rsidRPr="003A75AB" w14:paraId="47C5C4CE"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08200BB3" w14:textId="77777777" w:rsidR="00970D21" w:rsidRPr="004F4BA7" w:rsidRDefault="00970D21" w:rsidP="00970D21">
            <w:pPr>
              <w:rPr>
                <w:rFonts w:cstheme="minorHAnsi"/>
                <w:b/>
                <w:bCs/>
                <w:color w:val="auto"/>
                <w:szCs w:val="24"/>
                <w:lang w:val="en-US" w:eastAsia="en-GB"/>
              </w:rPr>
            </w:pPr>
            <w:r w:rsidRPr="003A75AB">
              <w:rPr>
                <w:bCs/>
                <w:color w:val="auto"/>
                <w:szCs w:val="24"/>
                <w:lang w:val="en-US" w:eastAsia="en-GB"/>
              </w:rPr>
              <w:t>East Cambs</w:t>
            </w:r>
          </w:p>
        </w:tc>
        <w:tc>
          <w:tcPr>
            <w:tcW w:w="1249" w:type="dxa"/>
            <w:noWrap/>
            <w:hideMark/>
          </w:tcPr>
          <w:p w14:paraId="506D776A"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10,011</w:t>
            </w:r>
          </w:p>
        </w:tc>
        <w:tc>
          <w:tcPr>
            <w:tcW w:w="1065" w:type="dxa"/>
            <w:noWrap/>
            <w:hideMark/>
          </w:tcPr>
          <w:p w14:paraId="128B0FDA"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5,887</w:t>
            </w:r>
          </w:p>
        </w:tc>
        <w:tc>
          <w:tcPr>
            <w:tcW w:w="1065" w:type="dxa"/>
            <w:noWrap/>
            <w:hideMark/>
          </w:tcPr>
          <w:p w14:paraId="7BEBD8B6"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2,442</w:t>
            </w:r>
          </w:p>
        </w:tc>
        <w:tc>
          <w:tcPr>
            <w:tcW w:w="1408" w:type="dxa"/>
            <w:noWrap/>
            <w:hideMark/>
          </w:tcPr>
          <w:p w14:paraId="21E5B900"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89,840</w:t>
            </w:r>
          </w:p>
        </w:tc>
        <w:tc>
          <w:tcPr>
            <w:tcW w:w="1173" w:type="dxa"/>
            <w:noWrap/>
            <w:hideMark/>
          </w:tcPr>
          <w:p w14:paraId="04F70AA6"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18,340</w:t>
            </w:r>
          </w:p>
        </w:tc>
        <w:tc>
          <w:tcPr>
            <w:tcW w:w="1421" w:type="dxa"/>
            <w:noWrap/>
            <w:hideMark/>
          </w:tcPr>
          <w:p w14:paraId="14602706"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20.4%</w:t>
            </w:r>
          </w:p>
        </w:tc>
      </w:tr>
      <w:tr w:rsidR="003A75AB" w:rsidRPr="003A75AB" w14:paraId="583889A1"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091BF273" w14:textId="77777777" w:rsidR="00970D21" w:rsidRPr="004F4BA7" w:rsidRDefault="00970D21" w:rsidP="00970D21">
            <w:pPr>
              <w:rPr>
                <w:rFonts w:cstheme="minorHAnsi"/>
                <w:b/>
                <w:bCs/>
                <w:color w:val="auto"/>
                <w:szCs w:val="24"/>
                <w:lang w:val="en-US" w:eastAsia="en-GB"/>
              </w:rPr>
            </w:pPr>
            <w:r w:rsidRPr="004F4BA7">
              <w:rPr>
                <w:rFonts w:ascii="Arial" w:hAnsi="Arial" w:cstheme="minorHAnsi"/>
                <w:bCs/>
                <w:color w:val="auto"/>
                <w:szCs w:val="24"/>
                <w:lang w:val="en-US" w:eastAsia="en-GB"/>
              </w:rPr>
              <w:t>Fenland</w:t>
            </w:r>
          </w:p>
        </w:tc>
        <w:tc>
          <w:tcPr>
            <w:tcW w:w="1249" w:type="dxa"/>
            <w:noWrap/>
            <w:hideMark/>
          </w:tcPr>
          <w:p w14:paraId="1030D091"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12,612</w:t>
            </w:r>
          </w:p>
        </w:tc>
        <w:tc>
          <w:tcPr>
            <w:tcW w:w="1065" w:type="dxa"/>
            <w:noWrap/>
            <w:hideMark/>
          </w:tcPr>
          <w:p w14:paraId="3BBDF34A"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7,567</w:t>
            </w:r>
          </w:p>
        </w:tc>
        <w:tc>
          <w:tcPr>
            <w:tcW w:w="1065" w:type="dxa"/>
            <w:noWrap/>
            <w:hideMark/>
          </w:tcPr>
          <w:p w14:paraId="012B229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3,267</w:t>
            </w:r>
          </w:p>
        </w:tc>
        <w:tc>
          <w:tcPr>
            <w:tcW w:w="1408" w:type="dxa"/>
            <w:noWrap/>
            <w:hideMark/>
          </w:tcPr>
          <w:p w14:paraId="6EDAEA5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101,850</w:t>
            </w:r>
          </w:p>
        </w:tc>
        <w:tc>
          <w:tcPr>
            <w:tcW w:w="1173" w:type="dxa"/>
            <w:noWrap/>
            <w:hideMark/>
          </w:tcPr>
          <w:p w14:paraId="5F5D3CF6"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23,446</w:t>
            </w:r>
          </w:p>
        </w:tc>
        <w:tc>
          <w:tcPr>
            <w:tcW w:w="1421" w:type="dxa"/>
            <w:noWrap/>
            <w:hideMark/>
          </w:tcPr>
          <w:p w14:paraId="16F88CA6"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23.0%</w:t>
            </w:r>
          </w:p>
        </w:tc>
      </w:tr>
      <w:tr w:rsidR="003A75AB" w:rsidRPr="003A75AB" w14:paraId="71938187"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0C04D0B7" w14:textId="77777777" w:rsidR="00970D21" w:rsidRPr="004F4BA7" w:rsidRDefault="00970D21" w:rsidP="00970D21">
            <w:pPr>
              <w:rPr>
                <w:rFonts w:cstheme="minorHAnsi"/>
                <w:b/>
                <w:bCs/>
                <w:color w:val="auto"/>
                <w:szCs w:val="24"/>
                <w:lang w:val="en-US" w:eastAsia="en-GB"/>
              </w:rPr>
            </w:pPr>
            <w:r w:rsidRPr="004F4BA7">
              <w:rPr>
                <w:color w:val="auto"/>
                <w:szCs w:val="24"/>
                <w:lang w:val="en-US"/>
              </w:rPr>
              <w:t>Hunts</w:t>
            </w:r>
          </w:p>
        </w:tc>
        <w:tc>
          <w:tcPr>
            <w:tcW w:w="1249" w:type="dxa"/>
            <w:noWrap/>
            <w:hideMark/>
          </w:tcPr>
          <w:p w14:paraId="2FC7AD2F"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19,953</w:t>
            </w:r>
          </w:p>
        </w:tc>
        <w:tc>
          <w:tcPr>
            <w:tcW w:w="1065" w:type="dxa"/>
            <w:noWrap/>
            <w:hideMark/>
          </w:tcPr>
          <w:p w14:paraId="1A4BC077"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11,521</w:t>
            </w:r>
          </w:p>
        </w:tc>
        <w:tc>
          <w:tcPr>
            <w:tcW w:w="1065" w:type="dxa"/>
            <w:noWrap/>
            <w:hideMark/>
          </w:tcPr>
          <w:p w14:paraId="67234748"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4,467</w:t>
            </w:r>
          </w:p>
        </w:tc>
        <w:tc>
          <w:tcPr>
            <w:tcW w:w="1408" w:type="dxa"/>
            <w:noWrap/>
            <w:hideMark/>
          </w:tcPr>
          <w:p w14:paraId="4F727BE2"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177,963</w:t>
            </w:r>
          </w:p>
        </w:tc>
        <w:tc>
          <w:tcPr>
            <w:tcW w:w="1173" w:type="dxa"/>
            <w:noWrap/>
            <w:hideMark/>
          </w:tcPr>
          <w:p w14:paraId="76076810"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35,941</w:t>
            </w:r>
          </w:p>
        </w:tc>
        <w:tc>
          <w:tcPr>
            <w:tcW w:w="1421" w:type="dxa"/>
            <w:noWrap/>
            <w:hideMark/>
          </w:tcPr>
          <w:p w14:paraId="15301B4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20.2%</w:t>
            </w:r>
          </w:p>
        </w:tc>
      </w:tr>
      <w:tr w:rsidR="003A75AB" w:rsidRPr="003A75AB" w14:paraId="086D1DAC"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42DD1938" w14:textId="77777777" w:rsidR="00970D21" w:rsidRPr="004F4BA7" w:rsidRDefault="00970D21" w:rsidP="00970D21">
            <w:pPr>
              <w:rPr>
                <w:rFonts w:cstheme="minorHAnsi"/>
                <w:b/>
                <w:bCs/>
                <w:color w:val="auto"/>
                <w:szCs w:val="24"/>
                <w:lang w:val="en-US" w:eastAsia="en-GB"/>
              </w:rPr>
            </w:pPr>
            <w:r w:rsidRPr="004F4BA7">
              <w:rPr>
                <w:bCs/>
                <w:color w:val="auto"/>
                <w:szCs w:val="24"/>
                <w:lang w:val="en-US"/>
              </w:rPr>
              <w:t>South Cambs</w:t>
            </w:r>
          </w:p>
        </w:tc>
        <w:tc>
          <w:tcPr>
            <w:tcW w:w="1249" w:type="dxa"/>
            <w:noWrap/>
            <w:hideMark/>
          </w:tcPr>
          <w:p w14:paraId="371D58E1"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16,764</w:t>
            </w:r>
          </w:p>
        </w:tc>
        <w:tc>
          <w:tcPr>
            <w:tcW w:w="1065" w:type="dxa"/>
            <w:noWrap/>
            <w:hideMark/>
          </w:tcPr>
          <w:p w14:paraId="7BE779EA"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10,082</w:t>
            </w:r>
          </w:p>
        </w:tc>
        <w:tc>
          <w:tcPr>
            <w:tcW w:w="1065" w:type="dxa"/>
            <w:noWrap/>
            <w:hideMark/>
          </w:tcPr>
          <w:p w14:paraId="7A3CFF77"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4,338</w:t>
            </w:r>
          </w:p>
        </w:tc>
        <w:tc>
          <w:tcPr>
            <w:tcW w:w="1408" w:type="dxa"/>
            <w:noWrap/>
            <w:hideMark/>
          </w:tcPr>
          <w:p w14:paraId="11216302"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159,086</w:t>
            </w:r>
          </w:p>
        </w:tc>
        <w:tc>
          <w:tcPr>
            <w:tcW w:w="1173" w:type="dxa"/>
            <w:noWrap/>
            <w:hideMark/>
          </w:tcPr>
          <w:p w14:paraId="48DFF10F"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31,184</w:t>
            </w:r>
          </w:p>
        </w:tc>
        <w:tc>
          <w:tcPr>
            <w:tcW w:w="1421" w:type="dxa"/>
            <w:noWrap/>
            <w:hideMark/>
          </w:tcPr>
          <w:p w14:paraId="522FA22B"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19.6%</w:t>
            </w:r>
          </w:p>
        </w:tc>
      </w:tr>
      <w:tr w:rsidR="003A75AB" w:rsidRPr="003A75AB" w14:paraId="3C9388A9"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5D17FEFD" w14:textId="77777777" w:rsidR="00970D21" w:rsidRPr="004F4BA7" w:rsidRDefault="00970D21" w:rsidP="00970D21">
            <w:pPr>
              <w:rPr>
                <w:rFonts w:cstheme="minorHAnsi"/>
                <w:b/>
                <w:bCs/>
                <w:color w:val="auto"/>
                <w:szCs w:val="24"/>
                <w:lang w:val="en-US" w:eastAsia="en-GB"/>
              </w:rPr>
            </w:pPr>
            <w:r w:rsidRPr="004F4BA7">
              <w:rPr>
                <w:rFonts w:ascii="Arial" w:hAnsi="Arial" w:cstheme="minorHAnsi"/>
                <w:bCs/>
                <w:color w:val="auto"/>
                <w:szCs w:val="24"/>
                <w:lang w:val="en-US" w:eastAsia="en-GB"/>
              </w:rPr>
              <w:t>West Suffolk</w:t>
            </w:r>
          </w:p>
        </w:tc>
        <w:tc>
          <w:tcPr>
            <w:tcW w:w="1249" w:type="dxa"/>
            <w:noWrap/>
            <w:hideMark/>
          </w:tcPr>
          <w:p w14:paraId="7C9E0FE4"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20,004</w:t>
            </w:r>
          </w:p>
        </w:tc>
        <w:tc>
          <w:tcPr>
            <w:tcW w:w="1065" w:type="dxa"/>
            <w:noWrap/>
            <w:hideMark/>
          </w:tcPr>
          <w:p w14:paraId="56D491D1"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12,554</w:t>
            </w:r>
          </w:p>
        </w:tc>
        <w:tc>
          <w:tcPr>
            <w:tcW w:w="1065" w:type="dxa"/>
            <w:noWrap/>
            <w:hideMark/>
          </w:tcPr>
          <w:p w14:paraId="33EADFA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5,460</w:t>
            </w:r>
          </w:p>
        </w:tc>
        <w:tc>
          <w:tcPr>
            <w:tcW w:w="1408" w:type="dxa"/>
            <w:noWrap/>
            <w:hideMark/>
          </w:tcPr>
          <w:p w14:paraId="54931CFA"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179,045</w:t>
            </w:r>
          </w:p>
        </w:tc>
        <w:tc>
          <w:tcPr>
            <w:tcW w:w="1173" w:type="dxa"/>
            <w:noWrap/>
            <w:hideMark/>
          </w:tcPr>
          <w:p w14:paraId="2ACB80B5"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38,018</w:t>
            </w:r>
          </w:p>
        </w:tc>
        <w:tc>
          <w:tcPr>
            <w:tcW w:w="1421" w:type="dxa"/>
            <w:noWrap/>
            <w:hideMark/>
          </w:tcPr>
          <w:p w14:paraId="5C156A15"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21.2%</w:t>
            </w:r>
          </w:p>
        </w:tc>
      </w:tr>
      <w:tr w:rsidR="003A75AB" w:rsidRPr="003A75AB" w14:paraId="1C7CE3C5"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02EE9DDB" w14:textId="77777777" w:rsidR="00970D21" w:rsidRPr="004F4BA7" w:rsidRDefault="00970D21" w:rsidP="00970D21">
            <w:pPr>
              <w:rPr>
                <w:rFonts w:cstheme="minorHAnsi"/>
                <w:b/>
                <w:bCs/>
                <w:color w:val="auto"/>
                <w:szCs w:val="24"/>
                <w:lang w:val="en-US" w:eastAsia="en-GB"/>
              </w:rPr>
            </w:pPr>
            <w:r w:rsidRPr="004F4BA7">
              <w:rPr>
                <w:rFonts w:ascii="Arial" w:hAnsi="Arial" w:cstheme="minorHAnsi"/>
                <w:b/>
                <w:bCs/>
                <w:color w:val="auto"/>
                <w:szCs w:val="24"/>
                <w:lang w:val="en-US" w:eastAsia="en-GB"/>
              </w:rPr>
              <w:t>HMA</w:t>
            </w:r>
          </w:p>
        </w:tc>
        <w:tc>
          <w:tcPr>
            <w:tcW w:w="1249" w:type="dxa"/>
            <w:noWrap/>
            <w:hideMark/>
          </w:tcPr>
          <w:p w14:paraId="172A819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b/>
                <w:bCs/>
                <w:color w:val="auto"/>
                <w:szCs w:val="24"/>
                <w:lang w:val="en-US" w:eastAsia="en-GB"/>
              </w:rPr>
            </w:pPr>
            <w:r w:rsidRPr="004F4BA7">
              <w:rPr>
                <w:b/>
                <w:bCs/>
                <w:color w:val="auto"/>
                <w:szCs w:val="24"/>
                <w:lang w:val="en-US" w:eastAsia="en-GB"/>
              </w:rPr>
              <w:t>87,751</w:t>
            </w:r>
          </w:p>
        </w:tc>
        <w:tc>
          <w:tcPr>
            <w:tcW w:w="1065" w:type="dxa"/>
            <w:noWrap/>
            <w:hideMark/>
          </w:tcPr>
          <w:p w14:paraId="54BA966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b/>
                <w:bCs/>
                <w:color w:val="auto"/>
                <w:szCs w:val="24"/>
                <w:lang w:val="en-US" w:eastAsia="en-GB"/>
              </w:rPr>
            </w:pPr>
            <w:r w:rsidRPr="004F4BA7">
              <w:rPr>
                <w:b/>
                <w:bCs/>
                <w:color w:val="auto"/>
                <w:szCs w:val="24"/>
                <w:lang w:val="en-US" w:eastAsia="en-GB"/>
              </w:rPr>
              <w:t>52,778</w:t>
            </w:r>
          </w:p>
        </w:tc>
        <w:tc>
          <w:tcPr>
            <w:tcW w:w="1065" w:type="dxa"/>
            <w:noWrap/>
            <w:hideMark/>
          </w:tcPr>
          <w:p w14:paraId="1529241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b/>
                <w:bCs/>
                <w:color w:val="auto"/>
                <w:szCs w:val="24"/>
                <w:lang w:val="en-US" w:eastAsia="en-GB"/>
              </w:rPr>
            </w:pPr>
            <w:r w:rsidRPr="004F4BA7">
              <w:rPr>
                <w:b/>
                <w:bCs/>
                <w:color w:val="auto"/>
                <w:szCs w:val="24"/>
                <w:lang w:val="en-US" w:eastAsia="en-GB"/>
              </w:rPr>
              <w:t>22,764</w:t>
            </w:r>
          </w:p>
        </w:tc>
        <w:tc>
          <w:tcPr>
            <w:tcW w:w="1408" w:type="dxa"/>
            <w:noWrap/>
            <w:hideMark/>
          </w:tcPr>
          <w:p w14:paraId="665A806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b/>
                <w:bCs/>
                <w:color w:val="auto"/>
                <w:szCs w:val="24"/>
                <w:lang w:val="en-US" w:eastAsia="en-GB"/>
              </w:rPr>
            </w:pPr>
            <w:r w:rsidRPr="004F4BA7">
              <w:rPr>
                <w:b/>
                <w:bCs/>
                <w:color w:val="auto"/>
                <w:szCs w:val="24"/>
                <w:lang w:val="en-US" w:eastAsia="en-GB"/>
              </w:rPr>
              <w:t>832,582</w:t>
            </w:r>
          </w:p>
        </w:tc>
        <w:tc>
          <w:tcPr>
            <w:tcW w:w="1173" w:type="dxa"/>
            <w:noWrap/>
            <w:hideMark/>
          </w:tcPr>
          <w:p w14:paraId="38FD383A"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b/>
                <w:bCs/>
                <w:color w:val="auto"/>
                <w:szCs w:val="24"/>
                <w:lang w:val="en-US" w:eastAsia="en-GB"/>
              </w:rPr>
            </w:pPr>
            <w:r w:rsidRPr="004F4BA7">
              <w:rPr>
                <w:b/>
                <w:bCs/>
                <w:color w:val="auto"/>
                <w:szCs w:val="24"/>
                <w:lang w:val="en-US" w:eastAsia="en-GB"/>
              </w:rPr>
              <w:t>163,293</w:t>
            </w:r>
          </w:p>
        </w:tc>
        <w:tc>
          <w:tcPr>
            <w:tcW w:w="1421" w:type="dxa"/>
            <w:noWrap/>
            <w:hideMark/>
          </w:tcPr>
          <w:p w14:paraId="6562DB1D"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b/>
                <w:bCs/>
                <w:color w:val="auto"/>
                <w:szCs w:val="24"/>
                <w:lang w:val="en-US" w:eastAsia="en-GB"/>
              </w:rPr>
            </w:pPr>
            <w:r w:rsidRPr="004F4BA7">
              <w:rPr>
                <w:b/>
                <w:bCs/>
                <w:color w:val="auto"/>
                <w:szCs w:val="24"/>
                <w:lang w:val="en-US" w:eastAsia="en-GB"/>
              </w:rPr>
              <w:t>19.6%</w:t>
            </w:r>
          </w:p>
        </w:tc>
      </w:tr>
      <w:tr w:rsidR="003A75AB" w:rsidRPr="003A75AB" w14:paraId="24996714"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7E3AB62F" w14:textId="77777777" w:rsidR="00970D21" w:rsidRPr="004F4BA7" w:rsidRDefault="00970D21" w:rsidP="00970D21">
            <w:pPr>
              <w:rPr>
                <w:rFonts w:cstheme="minorHAnsi"/>
                <w:b/>
                <w:bCs/>
                <w:color w:val="auto"/>
                <w:szCs w:val="24"/>
                <w:lang w:val="en-US" w:eastAsia="en-GB"/>
              </w:rPr>
            </w:pPr>
            <w:r w:rsidRPr="004F4BA7">
              <w:rPr>
                <w:rFonts w:ascii="Arial" w:hAnsi="Arial" w:cstheme="minorHAnsi"/>
                <w:bCs/>
                <w:color w:val="auto"/>
                <w:szCs w:val="24"/>
                <w:lang w:val="en-US" w:eastAsia="en-GB"/>
              </w:rPr>
              <w:t>Greater Cambridge</w:t>
            </w:r>
          </w:p>
        </w:tc>
        <w:tc>
          <w:tcPr>
            <w:tcW w:w="1249" w:type="dxa"/>
            <w:noWrap/>
            <w:hideMark/>
          </w:tcPr>
          <w:p w14:paraId="2D6C1D11"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25,171</w:t>
            </w:r>
          </w:p>
        </w:tc>
        <w:tc>
          <w:tcPr>
            <w:tcW w:w="1065" w:type="dxa"/>
            <w:noWrap/>
            <w:hideMark/>
          </w:tcPr>
          <w:p w14:paraId="27A3CF8C"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15,249</w:t>
            </w:r>
          </w:p>
        </w:tc>
        <w:tc>
          <w:tcPr>
            <w:tcW w:w="1065" w:type="dxa"/>
            <w:noWrap/>
            <w:hideMark/>
          </w:tcPr>
          <w:p w14:paraId="525DF471"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7,128</w:t>
            </w:r>
          </w:p>
        </w:tc>
        <w:tc>
          <w:tcPr>
            <w:tcW w:w="1408" w:type="dxa"/>
            <w:noWrap/>
            <w:hideMark/>
          </w:tcPr>
          <w:p w14:paraId="797770EF"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283,884</w:t>
            </w:r>
          </w:p>
        </w:tc>
        <w:tc>
          <w:tcPr>
            <w:tcW w:w="1173" w:type="dxa"/>
            <w:noWrap/>
            <w:hideMark/>
          </w:tcPr>
          <w:p w14:paraId="76347183"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47,548</w:t>
            </w:r>
          </w:p>
        </w:tc>
        <w:tc>
          <w:tcPr>
            <w:tcW w:w="1421" w:type="dxa"/>
            <w:noWrap/>
            <w:hideMark/>
          </w:tcPr>
          <w:p w14:paraId="54F3B5FC"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16.7%</w:t>
            </w:r>
          </w:p>
        </w:tc>
      </w:tr>
      <w:tr w:rsidR="003A75AB" w:rsidRPr="003A75AB" w14:paraId="0E357CE4"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2C143EA3" w14:textId="77777777" w:rsidR="00970D21" w:rsidRPr="004F4BA7" w:rsidRDefault="00970D21" w:rsidP="00970D21">
            <w:pPr>
              <w:rPr>
                <w:rFonts w:cstheme="minorHAnsi"/>
                <w:b/>
                <w:bCs/>
                <w:color w:val="auto"/>
                <w:szCs w:val="24"/>
                <w:lang w:val="en-US" w:eastAsia="en-GB"/>
              </w:rPr>
            </w:pPr>
            <w:r w:rsidRPr="004F4BA7">
              <w:rPr>
                <w:rFonts w:ascii="Arial" w:hAnsi="Arial" w:cstheme="minorHAnsi"/>
                <w:bCs/>
                <w:color w:val="auto"/>
                <w:szCs w:val="24"/>
                <w:lang w:val="en-US" w:eastAsia="en-GB"/>
              </w:rPr>
              <w:t>East</w:t>
            </w:r>
          </w:p>
        </w:tc>
        <w:tc>
          <w:tcPr>
            <w:tcW w:w="1249" w:type="dxa"/>
            <w:noWrap/>
            <w:hideMark/>
          </w:tcPr>
          <w:p w14:paraId="1FB3BAEC"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660,187</w:t>
            </w:r>
          </w:p>
        </w:tc>
        <w:tc>
          <w:tcPr>
            <w:tcW w:w="1065" w:type="dxa"/>
            <w:noWrap/>
            <w:hideMark/>
          </w:tcPr>
          <w:p w14:paraId="4D16C30E"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404,545</w:t>
            </w:r>
          </w:p>
        </w:tc>
        <w:tc>
          <w:tcPr>
            <w:tcW w:w="1065" w:type="dxa"/>
            <w:noWrap/>
            <w:hideMark/>
          </w:tcPr>
          <w:p w14:paraId="7D45C952"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173,774</w:t>
            </w:r>
          </w:p>
        </w:tc>
        <w:tc>
          <w:tcPr>
            <w:tcW w:w="1408" w:type="dxa"/>
            <w:noWrap/>
            <w:hideMark/>
          </w:tcPr>
          <w:p w14:paraId="79495BCD"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6,236,072</w:t>
            </w:r>
          </w:p>
        </w:tc>
        <w:tc>
          <w:tcPr>
            <w:tcW w:w="1173" w:type="dxa"/>
            <w:noWrap/>
            <w:hideMark/>
          </w:tcPr>
          <w:p w14:paraId="0E53C1FC"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1,238,506</w:t>
            </w:r>
          </w:p>
        </w:tc>
        <w:tc>
          <w:tcPr>
            <w:tcW w:w="1421" w:type="dxa"/>
            <w:noWrap/>
            <w:hideMark/>
          </w:tcPr>
          <w:p w14:paraId="3E45936C"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19.9%</w:t>
            </w:r>
          </w:p>
        </w:tc>
      </w:tr>
      <w:tr w:rsidR="003A75AB" w:rsidRPr="003A75AB" w14:paraId="6C2531B1" w14:textId="77777777" w:rsidTr="00B92D2D">
        <w:trPr>
          <w:trHeight w:val="210"/>
        </w:trPr>
        <w:tc>
          <w:tcPr>
            <w:cnfStyle w:val="001000000000" w:firstRow="0" w:lastRow="0" w:firstColumn="1" w:lastColumn="0" w:oddVBand="0" w:evenVBand="0" w:oddHBand="0" w:evenHBand="0" w:firstRowFirstColumn="0" w:firstRowLastColumn="0" w:lastRowFirstColumn="0" w:lastRowLastColumn="0"/>
            <w:tcW w:w="1574" w:type="dxa"/>
            <w:noWrap/>
            <w:hideMark/>
          </w:tcPr>
          <w:p w14:paraId="3504E476" w14:textId="77777777" w:rsidR="00970D21" w:rsidRPr="004F4BA7" w:rsidRDefault="00970D21" w:rsidP="00970D21">
            <w:pPr>
              <w:rPr>
                <w:rFonts w:cstheme="minorHAnsi"/>
                <w:b/>
                <w:bCs/>
                <w:color w:val="auto"/>
                <w:szCs w:val="24"/>
                <w:lang w:val="en-US" w:eastAsia="en-GB"/>
              </w:rPr>
            </w:pPr>
            <w:r w:rsidRPr="004F4BA7">
              <w:rPr>
                <w:rFonts w:ascii="Arial" w:hAnsi="Arial" w:cstheme="minorHAnsi"/>
                <w:bCs/>
                <w:color w:val="auto"/>
                <w:szCs w:val="24"/>
                <w:lang w:val="en-US" w:eastAsia="en-GB"/>
              </w:rPr>
              <w:t>England</w:t>
            </w:r>
          </w:p>
        </w:tc>
        <w:tc>
          <w:tcPr>
            <w:tcW w:w="1249" w:type="dxa"/>
            <w:noWrap/>
            <w:hideMark/>
          </w:tcPr>
          <w:p w14:paraId="17BD4E1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5,576,066</w:t>
            </w:r>
          </w:p>
        </w:tc>
        <w:tc>
          <w:tcPr>
            <w:tcW w:w="1065" w:type="dxa"/>
            <w:noWrap/>
            <w:hideMark/>
          </w:tcPr>
          <w:p w14:paraId="5469D6A5"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3,380,599</w:t>
            </w:r>
          </w:p>
        </w:tc>
        <w:tc>
          <w:tcPr>
            <w:tcW w:w="1065" w:type="dxa"/>
            <w:noWrap/>
            <w:hideMark/>
          </w:tcPr>
          <w:p w14:paraId="7B5C4F4E"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1,397,051</w:t>
            </w:r>
          </w:p>
        </w:tc>
        <w:tc>
          <w:tcPr>
            <w:tcW w:w="1408" w:type="dxa"/>
            <w:noWrap/>
            <w:hideMark/>
          </w:tcPr>
          <w:p w14:paraId="1F5B5B99"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56,286,961</w:t>
            </w:r>
          </w:p>
        </w:tc>
        <w:tc>
          <w:tcPr>
            <w:tcW w:w="1173" w:type="dxa"/>
            <w:noWrap/>
            <w:hideMark/>
          </w:tcPr>
          <w:p w14:paraId="0ED5C497"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10,353,716</w:t>
            </w:r>
          </w:p>
        </w:tc>
        <w:tc>
          <w:tcPr>
            <w:tcW w:w="1421" w:type="dxa"/>
            <w:noWrap/>
            <w:hideMark/>
          </w:tcPr>
          <w:p w14:paraId="39E39DB0" w14:textId="77777777" w:rsidR="00970D21" w:rsidRPr="004F4BA7" w:rsidRDefault="00970D21" w:rsidP="00970D21">
            <w:pPr>
              <w:cnfStyle w:val="000000000000" w:firstRow="0" w:lastRow="0" w:firstColumn="0" w:lastColumn="0" w:oddVBand="0" w:evenVBand="0" w:oddHBand="0" w:evenHBand="0" w:firstRowFirstColumn="0" w:firstRowLastColumn="0" w:lastRowFirstColumn="0" w:lastRowLastColumn="0"/>
              <w:rPr>
                <w:rFonts w:cstheme="minorHAnsi"/>
                <w:color w:val="auto"/>
                <w:szCs w:val="24"/>
                <w:lang w:val="en-US" w:eastAsia="en-GB"/>
              </w:rPr>
            </w:pPr>
            <w:r w:rsidRPr="004F4BA7">
              <w:rPr>
                <w:color w:val="auto"/>
                <w:szCs w:val="24"/>
                <w:lang w:val="en-US" w:eastAsia="en-GB"/>
              </w:rPr>
              <w:t>18.4%</w:t>
            </w:r>
          </w:p>
        </w:tc>
      </w:tr>
    </w:tbl>
    <w:p w14:paraId="69F03B73" w14:textId="77777777" w:rsidR="00970D21" w:rsidRDefault="00970D21" w:rsidP="00B92D2D">
      <w:pPr>
        <w:pStyle w:val="11Bodytext"/>
        <w:numPr>
          <w:ilvl w:val="0"/>
          <w:numId w:val="0"/>
        </w:numPr>
        <w:spacing w:before="0"/>
        <w:ind w:left="794"/>
      </w:pPr>
      <w:r>
        <w:t>Source: ONS mid-year population estimates 2019</w:t>
      </w:r>
    </w:p>
    <w:p w14:paraId="40259733" w14:textId="7121CF71" w:rsidR="00970D21" w:rsidRDefault="00970D21" w:rsidP="007D0FBF">
      <w:pPr>
        <w:pStyle w:val="11Bodytext"/>
      </w:pPr>
      <w:r>
        <w:t xml:space="preserve">There is a notable distinction between the proportion of older people in Cambridge and the other HMA authorities. Cambridge, as explained in the demographic chapter (see Chapter </w:t>
      </w:r>
      <w:r w:rsidR="00EA54B1">
        <w:t>3</w:t>
      </w:r>
      <w:r>
        <w:t xml:space="preserve">), has a much larger concentration of younger population compared to the rest of the HMA. As a result, those over 65 years old represent only 13% of the total population, this compares to 20% to 23% elsewhere. Fenland </w:t>
      </w:r>
      <w:r>
        <w:lastRenderedPageBreak/>
        <w:t xml:space="preserve">(23%) followed by West Suffolk (21%) have the highest percentage population aged 65 and over. </w:t>
      </w:r>
    </w:p>
    <w:p w14:paraId="7D2652FE" w14:textId="77777777" w:rsidR="00970D21" w:rsidRDefault="00970D21" w:rsidP="004D5A5B">
      <w:pPr>
        <w:pStyle w:val="Heading2"/>
      </w:pPr>
      <w:r>
        <w:t>Future Change in the Population of Older People</w:t>
      </w:r>
    </w:p>
    <w:p w14:paraId="424AE7D0" w14:textId="2AF57625" w:rsidR="00970D21" w:rsidRDefault="00970D21" w:rsidP="007D0FBF">
      <w:pPr>
        <w:pStyle w:val="11Bodytext"/>
      </w:pPr>
      <w:r>
        <w:t xml:space="preserve">As well as providing a baseline position for the percentage of older persons in the area, the population projections developed earlier in this report (Chapter </w:t>
      </w:r>
      <w:r w:rsidR="00EA54B1">
        <w:t>5</w:t>
      </w:r>
      <w:r>
        <w:t xml:space="preserve">) can be used to indicate how the number might change in future compared with other areas. </w:t>
      </w:r>
    </w:p>
    <w:p w14:paraId="4EABF50C" w14:textId="77777777" w:rsidR="00970D21" w:rsidRDefault="00970D21" w:rsidP="007D0FBF">
      <w:pPr>
        <w:pStyle w:val="11Bodytext"/>
      </w:pPr>
      <w:r>
        <w:t xml:space="preserve">The table below shows the older population growth linked to the Standard Method (4,654 </w:t>
      </w:r>
      <w:proofErr w:type="spellStart"/>
      <w:r>
        <w:t>dpa</w:t>
      </w:r>
      <w:proofErr w:type="spellEnd"/>
      <w:r>
        <w:t xml:space="preserve">) for the HMA. Appendix C presents this information for each local authority. As shown, there is significant ageing of the population, with those aged 65 and over projected to increase by around 52%. This compares to the total population growth of just 21%. </w:t>
      </w:r>
    </w:p>
    <w:p w14:paraId="35E4A913" w14:textId="77777777" w:rsidR="00970D21" w:rsidRDefault="00970D21" w:rsidP="003D5E23">
      <w:pPr>
        <w:pStyle w:val="Tableheading"/>
        <w:numPr>
          <w:ilvl w:val="0"/>
          <w:numId w:val="54"/>
        </w:numPr>
      </w:pPr>
      <w:r>
        <w:t>Change in older person population 2020-40 (HMA)</w:t>
      </w:r>
    </w:p>
    <w:tbl>
      <w:tblPr>
        <w:tblStyle w:val="TableGridLight1"/>
        <w:tblW w:w="8845" w:type="dxa"/>
        <w:tblInd w:w="794" w:type="dxa"/>
        <w:tblLook w:val="04A0" w:firstRow="1" w:lastRow="0" w:firstColumn="1" w:lastColumn="0" w:noHBand="0" w:noVBand="1"/>
      </w:tblPr>
      <w:tblGrid>
        <w:gridCol w:w="1431"/>
        <w:gridCol w:w="1766"/>
        <w:gridCol w:w="2078"/>
        <w:gridCol w:w="1785"/>
        <w:gridCol w:w="1785"/>
      </w:tblGrid>
      <w:tr w:rsidR="003A75AB" w:rsidRPr="003A75AB" w14:paraId="2BCCF9FB" w14:textId="77777777" w:rsidTr="003A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tcPr>
          <w:p w14:paraId="2036FDF8" w14:textId="77777777" w:rsidR="00970D21" w:rsidRPr="004F4BA7" w:rsidRDefault="00970D21" w:rsidP="00970D21">
            <w:pPr>
              <w:keepNext/>
              <w:rPr>
                <w:color w:val="auto"/>
                <w:lang w:val="en-US"/>
              </w:rPr>
            </w:pPr>
          </w:p>
        </w:tc>
        <w:tc>
          <w:tcPr>
            <w:tcW w:w="6" w:type="dxa"/>
            <w:hideMark/>
          </w:tcPr>
          <w:p w14:paraId="78B9D22E" w14:textId="77777777" w:rsidR="00970D21" w:rsidRPr="004F4BA7" w:rsidRDefault="00970D21" w:rsidP="00970D21">
            <w:pPr>
              <w:keepNext/>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2020</w:t>
            </w:r>
          </w:p>
        </w:tc>
        <w:tc>
          <w:tcPr>
            <w:tcW w:w="6" w:type="dxa"/>
            <w:hideMark/>
          </w:tcPr>
          <w:p w14:paraId="0BC12CAB" w14:textId="77777777" w:rsidR="00970D21" w:rsidRPr="004F4BA7" w:rsidRDefault="00970D21" w:rsidP="00970D21">
            <w:pPr>
              <w:keepNext/>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2040</w:t>
            </w:r>
          </w:p>
        </w:tc>
        <w:tc>
          <w:tcPr>
            <w:tcW w:w="6" w:type="dxa"/>
            <w:hideMark/>
          </w:tcPr>
          <w:p w14:paraId="0CDB5CA3" w14:textId="77777777" w:rsidR="00970D21" w:rsidRPr="004F4BA7" w:rsidRDefault="00970D21" w:rsidP="00970D21">
            <w:pPr>
              <w:keepNext/>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Change</w:t>
            </w:r>
          </w:p>
        </w:tc>
        <w:tc>
          <w:tcPr>
            <w:tcW w:w="6" w:type="dxa"/>
            <w:hideMark/>
          </w:tcPr>
          <w:p w14:paraId="567D9BC0" w14:textId="77777777" w:rsidR="00970D21" w:rsidRPr="004F4BA7" w:rsidRDefault="00970D21" w:rsidP="00970D21">
            <w:pPr>
              <w:keepNext/>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 Change</w:t>
            </w:r>
          </w:p>
        </w:tc>
      </w:tr>
      <w:tr w:rsidR="003A75AB" w:rsidRPr="003A75AB" w14:paraId="430BB66F" w14:textId="77777777" w:rsidTr="003A75AB">
        <w:tc>
          <w:tcPr>
            <w:cnfStyle w:val="001000000000" w:firstRow="0" w:lastRow="0" w:firstColumn="1" w:lastColumn="0" w:oddVBand="0" w:evenVBand="0" w:oddHBand="0" w:evenHBand="0" w:firstRowFirstColumn="0" w:firstRowLastColumn="0" w:lastRowFirstColumn="0" w:lastRowLastColumn="0"/>
            <w:tcW w:w="6" w:type="dxa"/>
            <w:hideMark/>
          </w:tcPr>
          <w:p w14:paraId="719ED4DE" w14:textId="77777777" w:rsidR="00970D21" w:rsidRPr="004F4BA7" w:rsidRDefault="00970D21" w:rsidP="00970D21">
            <w:pPr>
              <w:keepNext/>
              <w:rPr>
                <w:color w:val="auto"/>
                <w:lang w:val="en-US"/>
              </w:rPr>
            </w:pPr>
            <w:r w:rsidRPr="004F4BA7">
              <w:rPr>
                <w:color w:val="auto"/>
                <w:lang w:val="en-US"/>
              </w:rPr>
              <w:t>Under 65</w:t>
            </w:r>
          </w:p>
        </w:tc>
        <w:tc>
          <w:tcPr>
            <w:tcW w:w="6" w:type="dxa"/>
            <w:hideMark/>
          </w:tcPr>
          <w:p w14:paraId="75593BCF"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698,392</w:t>
            </w:r>
          </w:p>
        </w:tc>
        <w:tc>
          <w:tcPr>
            <w:tcW w:w="6" w:type="dxa"/>
            <w:hideMark/>
          </w:tcPr>
          <w:p w14:paraId="7B587B71"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796,719</w:t>
            </w:r>
          </w:p>
        </w:tc>
        <w:tc>
          <w:tcPr>
            <w:tcW w:w="6" w:type="dxa"/>
            <w:hideMark/>
          </w:tcPr>
          <w:p w14:paraId="0C849903"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98,327</w:t>
            </w:r>
          </w:p>
        </w:tc>
        <w:tc>
          <w:tcPr>
            <w:tcW w:w="6" w:type="dxa"/>
            <w:hideMark/>
          </w:tcPr>
          <w:p w14:paraId="55EEBE69"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14.1%</w:t>
            </w:r>
          </w:p>
        </w:tc>
      </w:tr>
      <w:tr w:rsidR="003A75AB" w:rsidRPr="003A75AB" w14:paraId="383AFA61" w14:textId="77777777" w:rsidTr="003A75AB">
        <w:tc>
          <w:tcPr>
            <w:cnfStyle w:val="001000000000" w:firstRow="0" w:lastRow="0" w:firstColumn="1" w:lastColumn="0" w:oddVBand="0" w:evenVBand="0" w:oddHBand="0" w:evenHBand="0" w:firstRowFirstColumn="0" w:firstRowLastColumn="0" w:lastRowFirstColumn="0" w:lastRowLastColumn="0"/>
            <w:tcW w:w="6" w:type="dxa"/>
            <w:hideMark/>
          </w:tcPr>
          <w:p w14:paraId="33629691" w14:textId="77777777" w:rsidR="00970D21" w:rsidRPr="004F4BA7" w:rsidRDefault="00970D21" w:rsidP="00970D21">
            <w:pPr>
              <w:keepNext/>
              <w:rPr>
                <w:color w:val="auto"/>
                <w:lang w:val="en-US"/>
              </w:rPr>
            </w:pPr>
            <w:r w:rsidRPr="004F4BA7">
              <w:rPr>
                <w:color w:val="auto"/>
                <w:lang w:val="en-US"/>
              </w:rPr>
              <w:t>65-74</w:t>
            </w:r>
          </w:p>
        </w:tc>
        <w:tc>
          <w:tcPr>
            <w:tcW w:w="6" w:type="dxa"/>
            <w:hideMark/>
          </w:tcPr>
          <w:p w14:paraId="68371523"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85,472</w:t>
            </w:r>
          </w:p>
        </w:tc>
        <w:tc>
          <w:tcPr>
            <w:tcW w:w="6" w:type="dxa"/>
            <w:hideMark/>
          </w:tcPr>
          <w:p w14:paraId="2432BF1A"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113,531</w:t>
            </w:r>
          </w:p>
        </w:tc>
        <w:tc>
          <w:tcPr>
            <w:tcW w:w="6" w:type="dxa"/>
            <w:hideMark/>
          </w:tcPr>
          <w:p w14:paraId="49DA04B0"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28,060</w:t>
            </w:r>
          </w:p>
        </w:tc>
        <w:tc>
          <w:tcPr>
            <w:tcW w:w="6" w:type="dxa"/>
            <w:hideMark/>
          </w:tcPr>
          <w:p w14:paraId="4BF2AF46"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32.8%</w:t>
            </w:r>
          </w:p>
        </w:tc>
      </w:tr>
      <w:tr w:rsidR="003A75AB" w:rsidRPr="003A75AB" w14:paraId="18325A32" w14:textId="77777777" w:rsidTr="003A75AB">
        <w:tc>
          <w:tcPr>
            <w:cnfStyle w:val="001000000000" w:firstRow="0" w:lastRow="0" w:firstColumn="1" w:lastColumn="0" w:oddVBand="0" w:evenVBand="0" w:oddHBand="0" w:evenHBand="0" w:firstRowFirstColumn="0" w:firstRowLastColumn="0" w:lastRowFirstColumn="0" w:lastRowLastColumn="0"/>
            <w:tcW w:w="6" w:type="dxa"/>
            <w:hideMark/>
          </w:tcPr>
          <w:p w14:paraId="49A42EEF" w14:textId="77777777" w:rsidR="00970D21" w:rsidRPr="004F4BA7" w:rsidRDefault="00970D21" w:rsidP="00970D21">
            <w:pPr>
              <w:keepNext/>
              <w:rPr>
                <w:color w:val="auto"/>
                <w:lang w:val="en-US"/>
              </w:rPr>
            </w:pPr>
            <w:r w:rsidRPr="004F4BA7">
              <w:rPr>
                <w:color w:val="auto"/>
                <w:lang w:val="en-US"/>
              </w:rPr>
              <w:t>75-84</w:t>
            </w:r>
          </w:p>
        </w:tc>
        <w:tc>
          <w:tcPr>
            <w:tcW w:w="6" w:type="dxa"/>
            <w:hideMark/>
          </w:tcPr>
          <w:p w14:paraId="3AA95C8B"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52,859</w:t>
            </w:r>
          </w:p>
        </w:tc>
        <w:tc>
          <w:tcPr>
            <w:tcW w:w="6" w:type="dxa"/>
            <w:hideMark/>
          </w:tcPr>
          <w:p w14:paraId="0E50128C"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85,549</w:t>
            </w:r>
          </w:p>
        </w:tc>
        <w:tc>
          <w:tcPr>
            <w:tcW w:w="6" w:type="dxa"/>
            <w:hideMark/>
          </w:tcPr>
          <w:p w14:paraId="30E4345D"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32,690</w:t>
            </w:r>
          </w:p>
        </w:tc>
        <w:tc>
          <w:tcPr>
            <w:tcW w:w="6" w:type="dxa"/>
            <w:hideMark/>
          </w:tcPr>
          <w:p w14:paraId="3DB9B3C5"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61.8%</w:t>
            </w:r>
          </w:p>
        </w:tc>
      </w:tr>
      <w:tr w:rsidR="003A75AB" w:rsidRPr="003A75AB" w14:paraId="31C52F3A" w14:textId="77777777" w:rsidTr="003A75AB">
        <w:tc>
          <w:tcPr>
            <w:cnfStyle w:val="001000000000" w:firstRow="0" w:lastRow="0" w:firstColumn="1" w:lastColumn="0" w:oddVBand="0" w:evenVBand="0" w:oddHBand="0" w:evenHBand="0" w:firstRowFirstColumn="0" w:firstRowLastColumn="0" w:lastRowFirstColumn="0" w:lastRowLastColumn="0"/>
            <w:tcW w:w="6" w:type="dxa"/>
            <w:hideMark/>
          </w:tcPr>
          <w:p w14:paraId="5EBAEA88" w14:textId="77777777" w:rsidR="00970D21" w:rsidRPr="004F4BA7" w:rsidRDefault="00970D21" w:rsidP="00970D21">
            <w:pPr>
              <w:keepNext/>
              <w:rPr>
                <w:color w:val="auto"/>
                <w:lang w:val="en-US"/>
              </w:rPr>
            </w:pPr>
            <w:r w:rsidRPr="004F4BA7">
              <w:rPr>
                <w:color w:val="auto"/>
                <w:lang w:val="en-US"/>
              </w:rPr>
              <w:t>85+</w:t>
            </w:r>
          </w:p>
        </w:tc>
        <w:tc>
          <w:tcPr>
            <w:tcW w:w="6" w:type="dxa"/>
            <w:hideMark/>
          </w:tcPr>
          <w:p w14:paraId="43C4505A"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21,644</w:t>
            </w:r>
          </w:p>
        </w:tc>
        <w:tc>
          <w:tcPr>
            <w:tcW w:w="6" w:type="dxa"/>
            <w:hideMark/>
          </w:tcPr>
          <w:p w14:paraId="5D4B6A94"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44,027</w:t>
            </w:r>
          </w:p>
        </w:tc>
        <w:tc>
          <w:tcPr>
            <w:tcW w:w="6" w:type="dxa"/>
            <w:hideMark/>
          </w:tcPr>
          <w:p w14:paraId="3144A076"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22,383</w:t>
            </w:r>
          </w:p>
        </w:tc>
        <w:tc>
          <w:tcPr>
            <w:tcW w:w="6" w:type="dxa"/>
            <w:hideMark/>
          </w:tcPr>
          <w:p w14:paraId="30CC898A"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103.4%</w:t>
            </w:r>
          </w:p>
        </w:tc>
      </w:tr>
      <w:tr w:rsidR="003A75AB" w:rsidRPr="003A75AB" w14:paraId="60D69EFB" w14:textId="77777777" w:rsidTr="003A75AB">
        <w:tc>
          <w:tcPr>
            <w:cnfStyle w:val="001000000000" w:firstRow="0" w:lastRow="0" w:firstColumn="1" w:lastColumn="0" w:oddVBand="0" w:evenVBand="0" w:oddHBand="0" w:evenHBand="0" w:firstRowFirstColumn="0" w:firstRowLastColumn="0" w:lastRowFirstColumn="0" w:lastRowLastColumn="0"/>
            <w:tcW w:w="6" w:type="dxa"/>
            <w:hideMark/>
          </w:tcPr>
          <w:p w14:paraId="74B19178" w14:textId="77777777" w:rsidR="00970D21" w:rsidRPr="004F4BA7" w:rsidRDefault="00970D21" w:rsidP="00970D21">
            <w:pPr>
              <w:keepNext/>
              <w:rPr>
                <w:color w:val="auto"/>
                <w:lang w:val="en-US"/>
              </w:rPr>
            </w:pPr>
            <w:r w:rsidRPr="004F4BA7">
              <w:rPr>
                <w:color w:val="auto"/>
                <w:lang w:val="en-US"/>
              </w:rPr>
              <w:t>Total</w:t>
            </w:r>
          </w:p>
        </w:tc>
        <w:tc>
          <w:tcPr>
            <w:tcW w:w="6" w:type="dxa"/>
            <w:hideMark/>
          </w:tcPr>
          <w:p w14:paraId="5B269AC8"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858,367</w:t>
            </w:r>
          </w:p>
        </w:tc>
        <w:tc>
          <w:tcPr>
            <w:tcW w:w="6" w:type="dxa"/>
            <w:hideMark/>
          </w:tcPr>
          <w:p w14:paraId="730CE3F6"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1,039,826</w:t>
            </w:r>
          </w:p>
        </w:tc>
        <w:tc>
          <w:tcPr>
            <w:tcW w:w="6" w:type="dxa"/>
            <w:hideMark/>
          </w:tcPr>
          <w:p w14:paraId="5092577E"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181,459</w:t>
            </w:r>
          </w:p>
        </w:tc>
        <w:tc>
          <w:tcPr>
            <w:tcW w:w="6" w:type="dxa"/>
            <w:hideMark/>
          </w:tcPr>
          <w:p w14:paraId="193351D2"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21.1%</w:t>
            </w:r>
          </w:p>
        </w:tc>
      </w:tr>
      <w:tr w:rsidR="003A75AB" w:rsidRPr="003A75AB" w14:paraId="72758034" w14:textId="77777777" w:rsidTr="003A75AB">
        <w:tc>
          <w:tcPr>
            <w:cnfStyle w:val="001000000000" w:firstRow="0" w:lastRow="0" w:firstColumn="1" w:lastColumn="0" w:oddVBand="0" w:evenVBand="0" w:oddHBand="0" w:evenHBand="0" w:firstRowFirstColumn="0" w:firstRowLastColumn="0" w:lastRowFirstColumn="0" w:lastRowLastColumn="0"/>
            <w:tcW w:w="6" w:type="dxa"/>
            <w:hideMark/>
          </w:tcPr>
          <w:p w14:paraId="249DFE25" w14:textId="77777777" w:rsidR="00970D21" w:rsidRPr="004F4BA7" w:rsidRDefault="00970D21" w:rsidP="00970D21">
            <w:pPr>
              <w:keepNext/>
              <w:rPr>
                <w:color w:val="auto"/>
                <w:lang w:val="en-US"/>
              </w:rPr>
            </w:pPr>
            <w:r w:rsidRPr="004F4BA7">
              <w:rPr>
                <w:color w:val="auto"/>
                <w:lang w:val="en-US"/>
              </w:rPr>
              <w:t>65+</w:t>
            </w:r>
          </w:p>
        </w:tc>
        <w:tc>
          <w:tcPr>
            <w:tcW w:w="6" w:type="dxa"/>
            <w:hideMark/>
          </w:tcPr>
          <w:p w14:paraId="5C2B87B0"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159,975</w:t>
            </w:r>
          </w:p>
        </w:tc>
        <w:tc>
          <w:tcPr>
            <w:tcW w:w="6" w:type="dxa"/>
            <w:hideMark/>
          </w:tcPr>
          <w:p w14:paraId="0D015843"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243,107</w:t>
            </w:r>
          </w:p>
        </w:tc>
        <w:tc>
          <w:tcPr>
            <w:tcW w:w="6" w:type="dxa"/>
            <w:hideMark/>
          </w:tcPr>
          <w:p w14:paraId="07A3B658"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83,132</w:t>
            </w:r>
          </w:p>
        </w:tc>
        <w:tc>
          <w:tcPr>
            <w:tcW w:w="6" w:type="dxa"/>
            <w:hideMark/>
          </w:tcPr>
          <w:p w14:paraId="2E9703B2" w14:textId="77777777" w:rsidR="00970D21" w:rsidRPr="004F4BA7" w:rsidRDefault="00970D21" w:rsidP="00970D21">
            <w:pPr>
              <w:keepNext/>
              <w:cnfStyle w:val="000000000000" w:firstRow="0" w:lastRow="0" w:firstColumn="0" w:lastColumn="0" w:oddVBand="0" w:evenVBand="0" w:oddHBand="0" w:evenHBand="0" w:firstRowFirstColumn="0" w:firstRowLastColumn="0" w:lastRowFirstColumn="0" w:lastRowLastColumn="0"/>
              <w:rPr>
                <w:color w:val="auto"/>
                <w:lang w:val="en-US"/>
              </w:rPr>
            </w:pPr>
            <w:r w:rsidRPr="004F4BA7">
              <w:rPr>
                <w:color w:val="auto"/>
                <w:lang w:val="en-US"/>
              </w:rPr>
              <w:t>52.0%</w:t>
            </w:r>
          </w:p>
        </w:tc>
      </w:tr>
    </w:tbl>
    <w:p w14:paraId="20C4421B" w14:textId="77777777" w:rsidR="00970D21" w:rsidRPr="00B92D2D" w:rsidRDefault="00970D21" w:rsidP="00970D21">
      <w:pPr>
        <w:keepNext/>
        <w:widowControl w:val="0"/>
        <w:tabs>
          <w:tab w:val="left" w:pos="851"/>
        </w:tabs>
        <w:spacing w:after="120" w:line="360" w:lineRule="auto"/>
        <w:ind w:left="794"/>
        <w:rPr>
          <w:sz w:val="24"/>
          <w:szCs w:val="24"/>
        </w:rPr>
      </w:pPr>
      <w:r w:rsidRPr="00B92D2D">
        <w:rPr>
          <w:sz w:val="24"/>
          <w:szCs w:val="24"/>
        </w:rPr>
        <w:t>Source: Demographic Projections based on ONS data</w:t>
      </w:r>
    </w:p>
    <w:p w14:paraId="2428B8FD" w14:textId="77777777" w:rsidR="00970D21" w:rsidRDefault="00970D21" w:rsidP="007D0FBF">
      <w:pPr>
        <w:pStyle w:val="11Bodytext"/>
      </w:pPr>
      <w:r>
        <w:t>When looking at individual local authorities a broadly similar pattern emerges across most of the local authorities with the exception of Cambridge (see Appendix C). All other locations are projected to see notable increases in the population aged 65 and over, with modest rises for the younger population.</w:t>
      </w:r>
    </w:p>
    <w:p w14:paraId="494D77B5" w14:textId="77777777" w:rsidR="00970D21" w:rsidRDefault="00970D21" w:rsidP="007D0FBF">
      <w:pPr>
        <w:pStyle w:val="Heading2"/>
      </w:pPr>
      <w:r>
        <w:t>Characteristics of Older Person Households</w:t>
      </w:r>
    </w:p>
    <w:p w14:paraId="3BF644A1" w14:textId="77777777" w:rsidR="00970D21" w:rsidRDefault="00970D21" w:rsidP="007D0FBF">
      <w:pPr>
        <w:pStyle w:val="11Bodytext"/>
      </w:pPr>
      <w:r>
        <w:t xml:space="preserve">The figure below shows the tenure of older person households in 2011. The data has been split between single older person households and those in a single-family household comprised of only older people (which will largely be the couples). </w:t>
      </w:r>
    </w:p>
    <w:p w14:paraId="71B3A136" w14:textId="77777777" w:rsidR="00970D21" w:rsidRDefault="00970D21" w:rsidP="003D5E23">
      <w:pPr>
        <w:pStyle w:val="FigureHeading"/>
      </w:pPr>
      <w:r>
        <w:lastRenderedPageBreak/>
        <w:t>Tenure of older person households – HMA</w:t>
      </w:r>
    </w:p>
    <w:p w14:paraId="133C94D3" w14:textId="77777777" w:rsidR="00970D21" w:rsidRDefault="00970D21" w:rsidP="003D5E23">
      <w:pPr>
        <w:pStyle w:val="FigureHeading"/>
        <w:numPr>
          <w:ilvl w:val="0"/>
          <w:numId w:val="0"/>
        </w:numPr>
        <w:ind w:left="851"/>
      </w:pPr>
      <w:r>
        <w:rPr>
          <w:noProof/>
          <w:lang w:eastAsia="en-GB"/>
        </w:rPr>
        <w:drawing>
          <wp:inline distT="0" distB="0" distL="0" distR="0" wp14:anchorId="02A7C1A6" wp14:editId="7E486233">
            <wp:extent cx="5509260" cy="2590800"/>
            <wp:effectExtent l="0" t="0" r="15240" b="0"/>
            <wp:docPr id="1057" name="Chart 1057" descr="Bar chart showing the tenure of older person households - HMA">
              <a:extLst xmlns:a="http://schemas.openxmlformats.org/drawingml/2006/main">
                <a:ext uri="{FF2B5EF4-FFF2-40B4-BE49-F238E27FC236}">
                  <a16:creationId xmlns:a16="http://schemas.microsoft.com/office/drawing/2014/main" id="{2C75F839-562A-41F1-A398-4A6A06588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B92D2D">
        <w:t>Source: Census 2011, LC4101EW</w:t>
      </w:r>
    </w:p>
    <w:p w14:paraId="16260E0A" w14:textId="4BFA6783" w:rsidR="00970D21" w:rsidRDefault="00970D21" w:rsidP="007D0FBF">
      <w:pPr>
        <w:pStyle w:val="11Bodytext"/>
      </w:pPr>
      <w:r>
        <w:t xml:space="preserve">The table above shows that older person households are more likely to live in outright owned accommodation than other household types. This is generally because they have purchased homes at a relatively lower cost (as demonstrated by increase in affordability ratio (see Chapter </w:t>
      </w:r>
      <w:r w:rsidR="00EA54B1">
        <w:t>4</w:t>
      </w:r>
      <w:r>
        <w:t>) and paid this over time.</w:t>
      </w:r>
    </w:p>
    <w:p w14:paraId="4CF54FA0" w14:textId="77777777" w:rsidR="00970D21" w:rsidRDefault="00970D21" w:rsidP="007D0FBF">
      <w:pPr>
        <w:pStyle w:val="11Bodytext"/>
      </w:pPr>
      <w:r>
        <w:t>An above average number of single older persons are also more likely to live in the social rented sector. The proportion of older person households living in the PRS   is relatively low compared with all other household types in the study area.</w:t>
      </w:r>
    </w:p>
    <w:p w14:paraId="79FC9D97" w14:textId="77777777" w:rsidR="00970D21" w:rsidRDefault="00970D21" w:rsidP="007D0FBF">
      <w:pPr>
        <w:pStyle w:val="11Bodytext"/>
      </w:pPr>
      <w:r>
        <w:t xml:space="preserve">There are also notable differences for different types of older person households, with single older people having a much lower level of owner-occupation than larger older person households. </w:t>
      </w:r>
    </w:p>
    <w:p w14:paraId="6B369C58" w14:textId="761AC3EE" w:rsidR="00970D21" w:rsidRDefault="00970D21" w:rsidP="007D0FBF">
      <w:pPr>
        <w:pStyle w:val="11Bodytext"/>
      </w:pPr>
      <w:r>
        <w:t>Given that the number of older people is expected to increase in the future and that the number of single-person households is also expected to increase this would suggest (if occupancy patterns remain the same) that there will be a notable increase in demand for affordable housing from the ageing population. Although more restrictive access to social rented accommodation makes meeting this demand unlikely.</w:t>
      </w:r>
    </w:p>
    <w:p w14:paraId="2918CACA" w14:textId="77777777" w:rsidR="00970D21" w:rsidRDefault="00970D21" w:rsidP="007D0FBF">
      <w:pPr>
        <w:pStyle w:val="11Bodytext"/>
      </w:pPr>
      <w:r>
        <w:lastRenderedPageBreak/>
        <w:t>That said, the proportion of older person households who are outright owners (with significant equity) may mean that a market solution will also be required to meet their needs. This is considered later in this section.</w:t>
      </w:r>
    </w:p>
    <w:p w14:paraId="372873BC" w14:textId="77777777" w:rsidR="00970D21" w:rsidRPr="00526C6E" w:rsidRDefault="00970D21" w:rsidP="007D0FBF">
      <w:pPr>
        <w:pStyle w:val="11Bodytext"/>
        <w:rPr>
          <w:b/>
        </w:rPr>
      </w:pPr>
      <w:r>
        <w:t xml:space="preserve">With the exception of Cambridge, the general pattern of tenures does not vary significantly across the HMA. As shown in the figure below, Cambridge has a lower proportion of older people owning their homes (63%) and a higher percentage of those social renting (24%) compared to the HMA (70% and 15% respectively).  East Cambridgeshire has the second-lowest proportion of the older population owning their properties (67%). </w:t>
      </w:r>
    </w:p>
    <w:p w14:paraId="25ECD0A9" w14:textId="77777777" w:rsidR="00970D21" w:rsidRDefault="00970D21" w:rsidP="003D5E23">
      <w:pPr>
        <w:pStyle w:val="FigureHeading"/>
      </w:pPr>
      <w:r>
        <w:t>Tenure of older person households – selected areas</w:t>
      </w:r>
    </w:p>
    <w:p w14:paraId="090DA350" w14:textId="77777777" w:rsidR="00970D21" w:rsidRDefault="00970D21" w:rsidP="00B92D2D">
      <w:pPr>
        <w:pStyle w:val="11Bodytext"/>
        <w:numPr>
          <w:ilvl w:val="0"/>
          <w:numId w:val="0"/>
        </w:numPr>
        <w:spacing w:before="0" w:after="0" w:line="240" w:lineRule="auto"/>
        <w:ind w:left="794"/>
      </w:pPr>
      <w:r>
        <w:rPr>
          <w:noProof/>
          <w:lang w:eastAsia="en-GB"/>
        </w:rPr>
        <w:drawing>
          <wp:inline distT="0" distB="0" distL="0" distR="0" wp14:anchorId="774A37AF" wp14:editId="10A1DABA">
            <wp:extent cx="5631180" cy="2887980"/>
            <wp:effectExtent l="0" t="0" r="7620" b="7620"/>
            <wp:docPr id="1061" name="Chart 1061" descr="Bar chart showing the tenure of older person households - selected areas">
              <a:extLst xmlns:a="http://schemas.openxmlformats.org/drawingml/2006/main">
                <a:ext uri="{FF2B5EF4-FFF2-40B4-BE49-F238E27FC236}">
                  <a16:creationId xmlns:a16="http://schemas.microsoft.com/office/drawing/2014/main" id="{CF6412D8-6C8A-4E11-AB69-4BB2AADE1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t xml:space="preserve"> </w:t>
      </w:r>
    </w:p>
    <w:p w14:paraId="6B3EE537" w14:textId="77777777" w:rsidR="00970D21" w:rsidRDefault="00970D21" w:rsidP="00B92D2D">
      <w:pPr>
        <w:pStyle w:val="11Bodytext"/>
        <w:numPr>
          <w:ilvl w:val="0"/>
          <w:numId w:val="0"/>
        </w:numPr>
        <w:spacing w:before="0" w:after="0" w:line="240" w:lineRule="auto"/>
        <w:ind w:left="794"/>
      </w:pPr>
      <w:r>
        <w:t>Source: Census 2011, LC3409EW</w:t>
      </w:r>
    </w:p>
    <w:p w14:paraId="66EC4ED0" w14:textId="77777777" w:rsidR="00970D21" w:rsidRDefault="00970D21" w:rsidP="007D0FBF">
      <w:pPr>
        <w:pStyle w:val="11Bodytext"/>
      </w:pPr>
      <w:r>
        <w:t>Older households are also more likely to be “under-occupying” property compared to other age groups. As the figure below demonstrates 85% of those aged over 65 in the HMA are in an under-occupied property. This compares to 72% in all age groups across the HMA and 70% across England. This is partly due to older people not downsizing from their family homes as they get older.</w:t>
      </w:r>
    </w:p>
    <w:p w14:paraId="129867B1" w14:textId="77777777" w:rsidR="00970D21" w:rsidRDefault="00970D21" w:rsidP="003D5E23">
      <w:pPr>
        <w:pStyle w:val="FigureHeading"/>
      </w:pPr>
      <w:r>
        <w:lastRenderedPageBreak/>
        <w:t xml:space="preserve">Percentage of the age group in under-occupied homes </w:t>
      </w:r>
    </w:p>
    <w:p w14:paraId="7BCEBAE1" w14:textId="77777777" w:rsidR="00970D21" w:rsidRDefault="00970D21" w:rsidP="00B92D2D">
      <w:pPr>
        <w:pStyle w:val="11Bodytext"/>
        <w:numPr>
          <w:ilvl w:val="0"/>
          <w:numId w:val="0"/>
        </w:numPr>
        <w:spacing w:before="0" w:after="0" w:line="240" w:lineRule="auto"/>
        <w:ind w:left="794"/>
      </w:pPr>
      <w:r>
        <w:rPr>
          <w:noProof/>
          <w:lang w:eastAsia="en-GB"/>
        </w:rPr>
        <w:drawing>
          <wp:inline distT="0" distB="0" distL="0" distR="0" wp14:anchorId="479849DA" wp14:editId="1B736AE0">
            <wp:extent cx="5631180" cy="2575560"/>
            <wp:effectExtent l="0" t="0" r="7620" b="15240"/>
            <wp:docPr id="1062" name="Chart 1062" descr="Chart showing under occupied homes by age group across comparator areas">
              <a:extLst xmlns:a="http://schemas.openxmlformats.org/drawingml/2006/main">
                <a:ext uri="{FF2B5EF4-FFF2-40B4-BE49-F238E27FC236}">
                  <a16:creationId xmlns:a16="http://schemas.microsoft.com/office/drawing/2014/main" id="{12513F3B-F7DD-436A-A296-EE4FB233F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4E431D0" w14:textId="77777777" w:rsidR="00970D21" w:rsidRDefault="00970D21" w:rsidP="00B92D2D">
      <w:pPr>
        <w:pStyle w:val="11Bodytext"/>
        <w:numPr>
          <w:ilvl w:val="0"/>
          <w:numId w:val="0"/>
        </w:numPr>
        <w:spacing w:before="0" w:line="240" w:lineRule="auto"/>
        <w:ind w:left="794"/>
      </w:pPr>
      <w:r>
        <w:t>Source: Census 2011, DC3404EW</w:t>
      </w:r>
    </w:p>
    <w:p w14:paraId="0157DDF2" w14:textId="77777777" w:rsidR="00970D21" w:rsidRDefault="00970D21" w:rsidP="007D0FBF">
      <w:pPr>
        <w:pStyle w:val="11Bodytext"/>
        <w:rPr>
          <w:lang w:eastAsia="en-GB"/>
        </w:rPr>
      </w:pPr>
      <w:r>
        <w:rPr>
          <w:lang w:eastAsia="en-GB"/>
        </w:rPr>
        <w:t xml:space="preserve">South Cambridgeshire and Huntingdonshire have the highest percentage of older persons in under-occupied homes (90% and 89% respectively) with this number falling to 80% in Cambridge. These patterns </w:t>
      </w:r>
      <w:proofErr w:type="gramStart"/>
      <w:r>
        <w:rPr>
          <w:lang w:eastAsia="en-GB"/>
        </w:rPr>
        <w:t>emerge  for</w:t>
      </w:r>
      <w:proofErr w:type="gramEnd"/>
      <w:r>
        <w:rPr>
          <w:lang w:eastAsia="en-GB"/>
        </w:rPr>
        <w:t xml:space="preserve"> all age groups reflecting  the age of the population and the size of the stock in these areas.</w:t>
      </w:r>
    </w:p>
    <w:p w14:paraId="22EA372D" w14:textId="77777777" w:rsidR="00970D21" w:rsidRDefault="00970D21" w:rsidP="007D0FBF">
      <w:pPr>
        <w:pStyle w:val="11Bodytext"/>
        <w:rPr>
          <w:lang w:eastAsia="en-GB"/>
        </w:rPr>
      </w:pPr>
      <w:r>
        <w:rPr>
          <w:lang w:eastAsia="en-GB"/>
        </w:rPr>
        <w:t xml:space="preserve">If this stock could be used more efficiently, then the amount of land required for additional housing would be reduced. This is because smaller properties would be provided, into which older persons could downsize, thus releasing their larger homes for larger households. Efforts to achieve this could be made through the delivery of a range of house sizes and types and by encouraging downsizing. </w:t>
      </w:r>
    </w:p>
    <w:p w14:paraId="0E537DE9" w14:textId="77777777" w:rsidR="00970D21" w:rsidRDefault="00970D21" w:rsidP="007D0FBF">
      <w:pPr>
        <w:pStyle w:val="11Bodytext"/>
        <w:rPr>
          <w:lang w:eastAsia="en-GB"/>
        </w:rPr>
      </w:pPr>
      <w:r>
        <w:rPr>
          <w:lang w:eastAsia="en-GB"/>
        </w:rPr>
        <w:t>This has been considered in our recommended mix in the previous chapter. However, there would need to be a further consideration of the location of the homes for people to downsize to, to enable people to remain in their communities. The smaller homes should also be of a high enough quality to attract someone to move out of their larger long-term homes.</w:t>
      </w:r>
    </w:p>
    <w:p w14:paraId="79010995" w14:textId="77777777" w:rsidR="00647ED0" w:rsidRDefault="00647ED0">
      <w:pPr>
        <w:spacing w:after="200"/>
        <w:rPr>
          <w:bCs/>
          <w:sz w:val="24"/>
          <w:szCs w:val="24"/>
        </w:rPr>
      </w:pPr>
      <w:r>
        <w:br w:type="page"/>
      </w:r>
    </w:p>
    <w:p w14:paraId="34121A57" w14:textId="6C0E3B2C" w:rsidR="00970D21" w:rsidRDefault="00970D21" w:rsidP="007D0FBF">
      <w:pPr>
        <w:pStyle w:val="11Bodytext"/>
      </w:pPr>
      <w:r>
        <w:lastRenderedPageBreak/>
        <w:t>One further solution would be to develop retirement villages (the Elderly Accommodation Council describes these as developments of 100 units or more</w:t>
      </w:r>
      <w:r>
        <w:rPr>
          <w:rStyle w:val="FootnoteReference"/>
        </w:rPr>
        <w:footnoteReference w:id="33"/>
      </w:r>
      <w:r>
        <w:t>) which could encourage downsizing and reduce the need for additional large accommodation.  There is an argument for prioritising these in areas with high rates of under-</w:t>
      </w:r>
      <w:proofErr w:type="gramStart"/>
      <w:r>
        <w:t>occupation  in</w:t>
      </w:r>
      <w:proofErr w:type="gramEnd"/>
      <w:r>
        <w:t xml:space="preserve"> locations with good access to services. This would help to ensure the greatest level of take-up and impact in releasing larger homes. </w:t>
      </w:r>
    </w:p>
    <w:p w14:paraId="358950C3" w14:textId="77777777" w:rsidR="00970D21" w:rsidRDefault="00970D21" w:rsidP="007D0FBF">
      <w:pPr>
        <w:pStyle w:val="11Bodytext"/>
      </w:pPr>
      <w:r>
        <w:t xml:space="preserve">Within a sector that is service intensive (reflected in high service charges) provision should also be made within these schemes for households at different income levels. In achieving this aim, a range of different tenures is recommended, including for rent. Such schemes, as far as possible, should provide for people with dementia and other significant care needs. </w:t>
      </w:r>
    </w:p>
    <w:p w14:paraId="6FEC202B" w14:textId="77777777" w:rsidR="00970D21" w:rsidRDefault="00970D21" w:rsidP="007D0FBF">
      <w:pPr>
        <w:pStyle w:val="11Bodytext"/>
      </w:pPr>
      <w:r>
        <w:t xml:space="preserve">Ideally, any such retirement villages should provide a range of different house typologies (mainly one- and two-bedroom units) and tenures and a level of care which would allow individual occupants to have an increased level of care as their needs dictate. </w:t>
      </w:r>
    </w:p>
    <w:p w14:paraId="636FF25E" w14:textId="1BF85E5E" w:rsidR="00970D21" w:rsidRPr="00D06481" w:rsidRDefault="00970D21" w:rsidP="00B92D2D">
      <w:pPr>
        <w:pStyle w:val="Heading3"/>
      </w:pPr>
      <w:r w:rsidRPr="00D06481">
        <w:t>Older Persons’ Housing and Planning Use Classes</w:t>
      </w:r>
    </w:p>
    <w:p w14:paraId="58B1E500" w14:textId="77777777" w:rsidR="00970D21" w:rsidRDefault="00970D21" w:rsidP="007D0FBF">
      <w:pPr>
        <w:pStyle w:val="11Bodytext"/>
      </w:pPr>
      <w:r>
        <w:t>It is worth briefly discussing the Use Classes that older persons’ housing would fall into as there is some lack of clarity (particularly when it comes to extra-care housing and retirement villages). The Use Classes Order sets out different categories of residential use and makes a distinction between communal accommodation (Class C2) and dwelling-houses (Class C3) – the C2/C3 distinction is important as it can impact on the ability of a local authority to seek an affordable housing contribution from a development.</w:t>
      </w:r>
    </w:p>
    <w:p w14:paraId="3BAB1D92" w14:textId="77777777" w:rsidR="00970D21" w:rsidRDefault="00970D21" w:rsidP="007D0FBF">
      <w:pPr>
        <w:pStyle w:val="11Bodytext"/>
      </w:pPr>
      <w:r>
        <w:t xml:space="preserve">As per the recently updated PPG (Paragraph: 014 Reference ID: 63-014-20190626), it will be for the local planning authorities “to consider into which use class a particular development may fall. When determining whether a development for specialist housing for older people falls within C2 (communal accommodation) </w:t>
      </w:r>
      <w:r>
        <w:lastRenderedPageBreak/>
        <w:t>or C3 (Dwelling house) of the Use Classes Order, consideration could, for example, be given to the level of care and scale of communal facilities provided”.</w:t>
      </w:r>
    </w:p>
    <w:p w14:paraId="2E9A4B72" w14:textId="77777777" w:rsidR="00970D21" w:rsidRDefault="00970D21" w:rsidP="007D0FBF">
      <w:pPr>
        <w:pStyle w:val="11Bodytext"/>
      </w:pPr>
      <w:r>
        <w:t>Typically, accommodation providing high levels of care (nursing and residential care) would be termed as C2 accommodation whereas sheltered and enhanced sheltered/extra care accommodation would typically be classed as C3.</w:t>
      </w:r>
    </w:p>
    <w:p w14:paraId="704D3358" w14:textId="77777777" w:rsidR="00970D21" w:rsidRDefault="00970D21" w:rsidP="007D0FBF">
      <w:pPr>
        <w:pStyle w:val="11Bodytext"/>
      </w:pPr>
      <w:r>
        <w:t xml:space="preserve">This can get quite complex as typically newer forms of accommodation such as retirement villages contain a mix of both C2 and C3 accommodation. It is also entirely possible that the use class of these units effectively changes over time, given changes to the level of care given. </w:t>
      </w:r>
    </w:p>
    <w:p w14:paraId="5CB7BC7D" w14:textId="77777777" w:rsidR="00970D21" w:rsidRDefault="00970D21" w:rsidP="007D0FBF">
      <w:pPr>
        <w:pStyle w:val="11Bodytext"/>
      </w:pPr>
      <w:r>
        <w:t xml:space="preserve">As housing with support and housing with care are self-contained dwellings (C3), these typologies are included within the overall housing need using the Government’s standard method. They can also be included within an authority’s housing land supply calculation. However, the inclusion of </w:t>
      </w:r>
      <w:r w:rsidRPr="00ED4343">
        <w:t>communal accommodation</w:t>
      </w:r>
      <w:r>
        <w:t xml:space="preserve"> within the supply calculation is not straightforward as 1 unit of communal accommodation does not equate to 1 unit of supply. </w:t>
      </w:r>
    </w:p>
    <w:p w14:paraId="0FC6FBA1" w14:textId="77777777" w:rsidR="00970D21" w:rsidRDefault="00970D21" w:rsidP="007D0FBF">
      <w:pPr>
        <w:pStyle w:val="11Bodytext"/>
      </w:pPr>
      <w:r>
        <w:t>The Housing Delivery Test rulebook</w:t>
      </w:r>
      <w:r>
        <w:rPr>
          <w:rStyle w:val="FootnoteReference"/>
        </w:rPr>
        <w:footnoteReference w:id="34"/>
      </w:r>
      <w:r>
        <w:t xml:space="preserve"> allows for communal accommodation to be counted as part of the supply based on the average number of adults per households using the 2011 census (and any subsequent updates)</w:t>
      </w:r>
      <w:r>
        <w:rPr>
          <w:rStyle w:val="FootnoteReference"/>
        </w:rPr>
        <w:footnoteReference w:id="35"/>
      </w:r>
      <w:r>
        <w:t xml:space="preserve">. </w:t>
      </w:r>
    </w:p>
    <w:p w14:paraId="5FAFF866" w14:textId="6CCF2443" w:rsidR="00647ED0" w:rsidRDefault="00970D21" w:rsidP="007D0FBF">
      <w:pPr>
        <w:pStyle w:val="11Bodytext"/>
      </w:pPr>
      <w:r>
        <w:t xml:space="preserve">For example, if there are 2 adults on average in each household in a given authority then the delivery of 2 bed-spaces of communal accommodation units would equate to 1 unit of non-communal supply. </w:t>
      </w:r>
      <w:r w:rsidRPr="00B14999">
        <w:t xml:space="preserve">Given that there are a different number of adults per household in each local authority the following rates therefore apply in </w:t>
      </w:r>
      <w:r>
        <w:t xml:space="preserve">the areas below: </w:t>
      </w:r>
    </w:p>
    <w:p w14:paraId="61AF085D" w14:textId="77777777" w:rsidR="00647ED0" w:rsidRDefault="00647ED0">
      <w:pPr>
        <w:spacing w:after="200"/>
        <w:rPr>
          <w:bCs/>
          <w:sz w:val="24"/>
          <w:szCs w:val="24"/>
        </w:rPr>
      </w:pPr>
      <w:r>
        <w:br w:type="page"/>
      </w:r>
    </w:p>
    <w:p w14:paraId="7CD941A2" w14:textId="77777777" w:rsidR="00970D21" w:rsidRDefault="00970D21" w:rsidP="00B126BB">
      <w:pPr>
        <w:pStyle w:val="10BulletBodytext"/>
      </w:pPr>
      <w:r>
        <w:lastRenderedPageBreak/>
        <w:t>Cambridge – 1.87 communal bed-spaces per dwelling</w:t>
      </w:r>
    </w:p>
    <w:p w14:paraId="35B7E93A" w14:textId="77777777" w:rsidR="00970D21" w:rsidRDefault="00970D21" w:rsidP="00B126BB">
      <w:pPr>
        <w:pStyle w:val="10BulletBodytext"/>
      </w:pPr>
      <w:r>
        <w:t>East Cambridgeshire – 1.87 communal bed-spaces per dwelling</w:t>
      </w:r>
    </w:p>
    <w:p w14:paraId="6B7B15D5" w14:textId="77777777" w:rsidR="00970D21" w:rsidRDefault="00970D21" w:rsidP="00B126BB">
      <w:pPr>
        <w:pStyle w:val="10BulletBodytext"/>
      </w:pPr>
      <w:r>
        <w:t>Fenland – 1.84 communal bed-spaces per dwelling</w:t>
      </w:r>
    </w:p>
    <w:p w14:paraId="6C017C52" w14:textId="77777777" w:rsidR="00970D21" w:rsidRDefault="00970D21" w:rsidP="00B126BB">
      <w:pPr>
        <w:pStyle w:val="10BulletBodytext"/>
      </w:pPr>
      <w:r>
        <w:t>Huntingdonshire – 1.87 communal bed-spaces per dwelling</w:t>
      </w:r>
    </w:p>
    <w:p w14:paraId="100B3E04" w14:textId="77777777" w:rsidR="00970D21" w:rsidRDefault="00970D21" w:rsidP="00B126BB">
      <w:pPr>
        <w:pStyle w:val="10BulletBodytext"/>
      </w:pPr>
      <w:r>
        <w:t>South Cambridgeshire - 1.89 communal bed-spaces per dwelling</w:t>
      </w:r>
    </w:p>
    <w:p w14:paraId="1A56EC68" w14:textId="77777777" w:rsidR="00970D21" w:rsidRDefault="00970D21" w:rsidP="00B126BB">
      <w:pPr>
        <w:pStyle w:val="10BulletBodytext"/>
      </w:pPr>
      <w:r>
        <w:t>West Suffolk - 1.84 communal bed-spaces per dwelling</w:t>
      </w:r>
    </w:p>
    <w:p w14:paraId="13B81A2A" w14:textId="77777777" w:rsidR="00970D21" w:rsidRDefault="00970D21" w:rsidP="00B126BB">
      <w:pPr>
        <w:pStyle w:val="10BulletBodytext"/>
      </w:pPr>
      <w:r>
        <w:t>East – 1.85 communal bed-spaces per dwelling</w:t>
      </w:r>
    </w:p>
    <w:p w14:paraId="18D08292" w14:textId="77777777" w:rsidR="00970D21" w:rsidRDefault="00970D21" w:rsidP="00B126BB">
      <w:pPr>
        <w:pStyle w:val="10BulletBodytext"/>
      </w:pPr>
      <w:r>
        <w:t xml:space="preserve">England – 1.84 communal bed-spaces per dwelling </w:t>
      </w:r>
    </w:p>
    <w:p w14:paraId="122DCF31" w14:textId="77777777" w:rsidR="00970D21" w:rsidRDefault="00970D21" w:rsidP="007D0FBF">
      <w:pPr>
        <w:pStyle w:val="11Bodytext"/>
      </w:pPr>
      <w:r>
        <w:t>In addition to contributing to overall housing delivery, there is no reason why local authorities should not seek affordable housing contributions from specialist accommodation as long as this is set out in the policy.   This would also have to be justified by viability evidence.</w:t>
      </w:r>
    </w:p>
    <w:p w14:paraId="7638DF87" w14:textId="3FABC7D9" w:rsidR="00970D21" w:rsidRDefault="00970D21" w:rsidP="007D0FBF">
      <w:pPr>
        <w:pStyle w:val="11Bodytext"/>
      </w:pPr>
      <w:r>
        <w:t>In doing so it should be recognised that providing affordable housing on specialist schemes will be less viable than in general housing, and as a result, a lower contribution than from general housing will likely be achievable and the policy may have to be worded accordingly.   High service charges may also impact on the provision of affordable housing within such schemes.</w:t>
      </w:r>
    </w:p>
    <w:p w14:paraId="7EE43601" w14:textId="77777777" w:rsidR="00970D21" w:rsidRDefault="00970D21" w:rsidP="00B92D2D">
      <w:pPr>
        <w:pStyle w:val="Heading3"/>
      </w:pPr>
      <w:r>
        <w:t xml:space="preserve">Older Persons Housing Needs – Age-Restricted Housing </w:t>
      </w:r>
    </w:p>
    <w:p w14:paraId="13F8ADCA" w14:textId="77777777" w:rsidR="00970D21" w:rsidRDefault="00970D21" w:rsidP="007D0FBF">
      <w:pPr>
        <w:pStyle w:val="11Bodytext"/>
      </w:pPr>
      <w:r>
        <w:t>Local authorities are also required to address the needs of those reaching retirement age over the plan period. This would include meeting the needs of those seeking age-restricted accommodation. According to the PPG (Reference ID: 63-010-20190626) this type of housing is generally for people aged 55 and over and the ‘active elderly’. However, the likelihood of anyone under retirement age accessing such products is rare. Indeed, the instances of those younger than 75 entering specialist accommodation of any form is unusual, unless the accommodation is in low demand. For that reason, the analysis for specialist accommodation uses prevalence rates linked to the over 75 age bracket.</w:t>
      </w:r>
    </w:p>
    <w:p w14:paraId="462FE7BD" w14:textId="77777777" w:rsidR="00970D21" w:rsidRDefault="00970D21" w:rsidP="007D0FBF">
      <w:pPr>
        <w:pStyle w:val="11Bodytext"/>
      </w:pPr>
      <w:r>
        <w:t xml:space="preserve">To understand the needs of those households falling into the 65-74 age bracket and by proxy age-restricted accommodation, we start with a consideration of the change in the older person population to 2040. </w:t>
      </w:r>
    </w:p>
    <w:p w14:paraId="36DA10D5" w14:textId="77777777" w:rsidR="00970D21" w:rsidRDefault="00970D21" w:rsidP="007D0FBF">
      <w:pPr>
        <w:pStyle w:val="11Bodytext"/>
      </w:pPr>
      <w:r>
        <w:lastRenderedPageBreak/>
        <w:t xml:space="preserve">As shown in the table below, the number of households headed by someone aged between 65 and 74 years is projected to increase by around 35.5% to 2040 across the HMA. This will vary between 31.0% in West Suffolk and 46.8% in the City. </w:t>
      </w:r>
    </w:p>
    <w:p w14:paraId="66C486AE" w14:textId="77777777" w:rsidR="00970D21" w:rsidRDefault="00970D21" w:rsidP="003D5E23">
      <w:pPr>
        <w:pStyle w:val="Tableheading"/>
        <w:numPr>
          <w:ilvl w:val="0"/>
          <w:numId w:val="54"/>
        </w:numPr>
      </w:pPr>
      <w:r>
        <w:t>Change in households headed by someone in 65-74 age cohort 2020-2040</w:t>
      </w:r>
    </w:p>
    <w:tbl>
      <w:tblPr>
        <w:tblStyle w:val="TableGridLight1"/>
        <w:tblW w:w="8850" w:type="dxa"/>
        <w:tblInd w:w="794" w:type="dxa"/>
        <w:tblLayout w:type="fixed"/>
        <w:tblLook w:val="04A0" w:firstRow="1" w:lastRow="0" w:firstColumn="1" w:lastColumn="0" w:noHBand="0" w:noVBand="1"/>
      </w:tblPr>
      <w:tblGrid>
        <w:gridCol w:w="1685"/>
        <w:gridCol w:w="1791"/>
        <w:gridCol w:w="1791"/>
        <w:gridCol w:w="1791"/>
        <w:gridCol w:w="1792"/>
      </w:tblGrid>
      <w:tr w:rsidR="003A75AB" w:rsidRPr="003A75AB" w14:paraId="4EA17CC0" w14:textId="77777777" w:rsidTr="003A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hideMark/>
          </w:tcPr>
          <w:p w14:paraId="1C6FB01B" w14:textId="77777777" w:rsidR="00970D21" w:rsidRPr="004F4BA7" w:rsidRDefault="00970D21" w:rsidP="00970D21">
            <w:pPr>
              <w:rPr>
                <w:color w:val="auto"/>
              </w:rPr>
            </w:pPr>
          </w:p>
        </w:tc>
        <w:tc>
          <w:tcPr>
            <w:tcW w:w="1790" w:type="dxa"/>
            <w:hideMark/>
          </w:tcPr>
          <w:p w14:paraId="03C3CF0F" w14:textId="77777777" w:rsidR="00970D21" w:rsidRPr="004F4BA7" w:rsidRDefault="00970D21" w:rsidP="00970D21">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val="en-US" w:eastAsia="en-GB"/>
              </w:rPr>
            </w:pPr>
            <w:r w:rsidRPr="004F4BA7">
              <w:rPr>
                <w:color w:val="auto"/>
                <w:lang w:val="en-US" w:eastAsia="en-GB"/>
              </w:rPr>
              <w:t>Households 2020</w:t>
            </w:r>
          </w:p>
        </w:tc>
        <w:tc>
          <w:tcPr>
            <w:tcW w:w="1790" w:type="dxa"/>
            <w:hideMark/>
          </w:tcPr>
          <w:p w14:paraId="09EB1E5C" w14:textId="77777777" w:rsidR="00970D21" w:rsidRPr="004F4BA7" w:rsidRDefault="00970D21" w:rsidP="00970D21">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val="en-US" w:eastAsia="en-GB"/>
              </w:rPr>
            </w:pPr>
            <w:r w:rsidRPr="004F4BA7">
              <w:rPr>
                <w:color w:val="auto"/>
                <w:lang w:val="en-US" w:eastAsia="en-GB"/>
              </w:rPr>
              <w:t>Households 2040</w:t>
            </w:r>
          </w:p>
        </w:tc>
        <w:tc>
          <w:tcPr>
            <w:tcW w:w="1790" w:type="dxa"/>
            <w:hideMark/>
          </w:tcPr>
          <w:p w14:paraId="1BF873D5" w14:textId="77777777" w:rsidR="00970D21" w:rsidRPr="004F4BA7" w:rsidRDefault="00970D21" w:rsidP="00970D21">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val="en-US" w:eastAsia="en-GB"/>
              </w:rPr>
            </w:pPr>
            <w:r w:rsidRPr="004F4BA7">
              <w:rPr>
                <w:color w:val="auto"/>
                <w:lang w:val="en-US" w:eastAsia="en-GB"/>
              </w:rPr>
              <w:t xml:space="preserve">Change </w:t>
            </w:r>
          </w:p>
        </w:tc>
        <w:tc>
          <w:tcPr>
            <w:tcW w:w="1791" w:type="dxa"/>
            <w:hideMark/>
          </w:tcPr>
          <w:p w14:paraId="25808600" w14:textId="77777777" w:rsidR="00970D21" w:rsidRPr="004F4BA7" w:rsidRDefault="00970D21" w:rsidP="00970D21">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val="en-US" w:eastAsia="en-GB"/>
              </w:rPr>
            </w:pPr>
            <w:r w:rsidRPr="004F4BA7">
              <w:rPr>
                <w:color w:val="auto"/>
                <w:lang w:val="en-US" w:eastAsia="en-GB"/>
              </w:rPr>
              <w:t>% Change</w:t>
            </w:r>
          </w:p>
        </w:tc>
      </w:tr>
      <w:tr w:rsidR="003A75AB" w:rsidRPr="003A75AB" w14:paraId="56ABE562" w14:textId="77777777" w:rsidTr="003A75AB">
        <w:tc>
          <w:tcPr>
            <w:cnfStyle w:val="001000000000" w:firstRow="0" w:lastRow="0" w:firstColumn="1" w:lastColumn="0" w:oddVBand="0" w:evenVBand="0" w:oddHBand="0" w:evenHBand="0" w:firstRowFirstColumn="0" w:firstRowLastColumn="0" w:lastRowFirstColumn="0" w:lastRowLastColumn="0"/>
            <w:tcW w:w="1684" w:type="dxa"/>
            <w:hideMark/>
          </w:tcPr>
          <w:p w14:paraId="243BA7EB" w14:textId="77777777" w:rsidR="00970D21" w:rsidRPr="004F4BA7" w:rsidRDefault="00970D21" w:rsidP="00970D21">
            <w:pPr>
              <w:keepNext/>
              <w:spacing w:line="300" w:lineRule="auto"/>
              <w:rPr>
                <w:color w:val="auto"/>
              </w:rPr>
            </w:pPr>
            <w:r w:rsidRPr="004F4BA7">
              <w:rPr>
                <w:color w:val="auto"/>
              </w:rPr>
              <w:t>Cambridge</w:t>
            </w:r>
          </w:p>
        </w:tc>
        <w:tc>
          <w:tcPr>
            <w:tcW w:w="1790" w:type="dxa"/>
            <w:noWrap/>
            <w:hideMark/>
          </w:tcPr>
          <w:p w14:paraId="1FA5B7DE"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5,944</w:t>
            </w:r>
          </w:p>
        </w:tc>
        <w:tc>
          <w:tcPr>
            <w:tcW w:w="1790" w:type="dxa"/>
            <w:noWrap/>
            <w:hideMark/>
          </w:tcPr>
          <w:p w14:paraId="338B7CCA"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8,727</w:t>
            </w:r>
          </w:p>
        </w:tc>
        <w:tc>
          <w:tcPr>
            <w:tcW w:w="1790" w:type="dxa"/>
            <w:noWrap/>
            <w:hideMark/>
          </w:tcPr>
          <w:p w14:paraId="093F339E"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2,783</w:t>
            </w:r>
          </w:p>
        </w:tc>
        <w:tc>
          <w:tcPr>
            <w:tcW w:w="1791" w:type="dxa"/>
            <w:noWrap/>
            <w:hideMark/>
          </w:tcPr>
          <w:p w14:paraId="58ABECE5"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46.8%</w:t>
            </w:r>
          </w:p>
        </w:tc>
      </w:tr>
      <w:tr w:rsidR="003A75AB" w:rsidRPr="003A75AB" w14:paraId="21B294A2" w14:textId="77777777" w:rsidTr="003A75AB">
        <w:tc>
          <w:tcPr>
            <w:cnfStyle w:val="001000000000" w:firstRow="0" w:lastRow="0" w:firstColumn="1" w:lastColumn="0" w:oddVBand="0" w:evenVBand="0" w:oddHBand="0" w:evenHBand="0" w:firstRowFirstColumn="0" w:firstRowLastColumn="0" w:lastRowFirstColumn="0" w:lastRowLastColumn="0"/>
            <w:tcW w:w="1684" w:type="dxa"/>
            <w:noWrap/>
            <w:hideMark/>
          </w:tcPr>
          <w:p w14:paraId="1B8BB26D" w14:textId="77777777" w:rsidR="00970D21" w:rsidRPr="004F4BA7" w:rsidRDefault="00970D21" w:rsidP="00970D21">
            <w:pPr>
              <w:keepNext/>
              <w:spacing w:line="300" w:lineRule="auto"/>
              <w:rPr>
                <w:color w:val="auto"/>
              </w:rPr>
            </w:pPr>
            <w:r w:rsidRPr="003A75AB">
              <w:rPr>
                <w:bCs/>
                <w:color w:val="auto"/>
                <w:lang w:eastAsia="en-GB"/>
              </w:rPr>
              <w:t>East Cambs</w:t>
            </w:r>
          </w:p>
        </w:tc>
        <w:tc>
          <w:tcPr>
            <w:tcW w:w="1790" w:type="dxa"/>
            <w:noWrap/>
            <w:hideMark/>
          </w:tcPr>
          <w:p w14:paraId="5948C08F"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6,086</w:t>
            </w:r>
          </w:p>
        </w:tc>
        <w:tc>
          <w:tcPr>
            <w:tcW w:w="1790" w:type="dxa"/>
            <w:noWrap/>
            <w:hideMark/>
          </w:tcPr>
          <w:p w14:paraId="57101A4B"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8,612</w:t>
            </w:r>
          </w:p>
        </w:tc>
        <w:tc>
          <w:tcPr>
            <w:tcW w:w="1790" w:type="dxa"/>
            <w:noWrap/>
            <w:hideMark/>
          </w:tcPr>
          <w:p w14:paraId="1FCDA21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2,526</w:t>
            </w:r>
          </w:p>
        </w:tc>
        <w:tc>
          <w:tcPr>
            <w:tcW w:w="1791" w:type="dxa"/>
            <w:noWrap/>
            <w:hideMark/>
          </w:tcPr>
          <w:p w14:paraId="2ED0F77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41.5%</w:t>
            </w:r>
          </w:p>
        </w:tc>
      </w:tr>
      <w:tr w:rsidR="003A75AB" w:rsidRPr="003A75AB" w14:paraId="75D53B9A" w14:textId="77777777" w:rsidTr="003A75AB">
        <w:tc>
          <w:tcPr>
            <w:cnfStyle w:val="001000000000" w:firstRow="0" w:lastRow="0" w:firstColumn="1" w:lastColumn="0" w:oddVBand="0" w:evenVBand="0" w:oddHBand="0" w:evenHBand="0" w:firstRowFirstColumn="0" w:firstRowLastColumn="0" w:lastRowFirstColumn="0" w:lastRowLastColumn="0"/>
            <w:tcW w:w="1684" w:type="dxa"/>
            <w:noWrap/>
            <w:hideMark/>
          </w:tcPr>
          <w:p w14:paraId="5AFCBCC1" w14:textId="77777777" w:rsidR="00970D21" w:rsidRPr="004F4BA7" w:rsidRDefault="00970D21" w:rsidP="00970D21">
            <w:pPr>
              <w:keepNext/>
              <w:spacing w:line="300" w:lineRule="auto"/>
              <w:rPr>
                <w:color w:val="auto"/>
              </w:rPr>
            </w:pPr>
            <w:r w:rsidRPr="004F4BA7">
              <w:rPr>
                <w:color w:val="auto"/>
              </w:rPr>
              <w:t>Fenland</w:t>
            </w:r>
          </w:p>
        </w:tc>
        <w:tc>
          <w:tcPr>
            <w:tcW w:w="1790" w:type="dxa"/>
            <w:noWrap/>
            <w:hideMark/>
          </w:tcPr>
          <w:p w14:paraId="2CE210E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7,681</w:t>
            </w:r>
          </w:p>
        </w:tc>
        <w:tc>
          <w:tcPr>
            <w:tcW w:w="1790" w:type="dxa"/>
            <w:noWrap/>
            <w:hideMark/>
          </w:tcPr>
          <w:p w14:paraId="77AF511F"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10,156</w:t>
            </w:r>
          </w:p>
        </w:tc>
        <w:tc>
          <w:tcPr>
            <w:tcW w:w="1790" w:type="dxa"/>
            <w:noWrap/>
            <w:hideMark/>
          </w:tcPr>
          <w:p w14:paraId="1BC7FEFC"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2,474</w:t>
            </w:r>
          </w:p>
        </w:tc>
        <w:tc>
          <w:tcPr>
            <w:tcW w:w="1791" w:type="dxa"/>
            <w:noWrap/>
            <w:hideMark/>
          </w:tcPr>
          <w:p w14:paraId="628DD29A"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32.2%</w:t>
            </w:r>
          </w:p>
        </w:tc>
      </w:tr>
      <w:tr w:rsidR="003A75AB" w:rsidRPr="003A75AB" w14:paraId="1E28EA20" w14:textId="77777777" w:rsidTr="003A75AB">
        <w:tc>
          <w:tcPr>
            <w:cnfStyle w:val="001000000000" w:firstRow="0" w:lastRow="0" w:firstColumn="1" w:lastColumn="0" w:oddVBand="0" w:evenVBand="0" w:oddHBand="0" w:evenHBand="0" w:firstRowFirstColumn="0" w:firstRowLastColumn="0" w:lastRowFirstColumn="0" w:lastRowLastColumn="0"/>
            <w:tcW w:w="1684" w:type="dxa"/>
            <w:noWrap/>
            <w:hideMark/>
          </w:tcPr>
          <w:p w14:paraId="105C8519" w14:textId="77777777" w:rsidR="00970D21" w:rsidRPr="004F4BA7" w:rsidRDefault="00970D21" w:rsidP="00970D21">
            <w:pPr>
              <w:keepNext/>
              <w:spacing w:line="300" w:lineRule="auto"/>
              <w:rPr>
                <w:color w:val="auto"/>
              </w:rPr>
            </w:pPr>
            <w:r w:rsidRPr="004F4BA7">
              <w:rPr>
                <w:color w:val="auto"/>
              </w:rPr>
              <w:t>Huntingdonshire</w:t>
            </w:r>
          </w:p>
        </w:tc>
        <w:tc>
          <w:tcPr>
            <w:tcW w:w="1790" w:type="dxa"/>
            <w:noWrap/>
            <w:hideMark/>
          </w:tcPr>
          <w:p w14:paraId="486AD730"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11,867</w:t>
            </w:r>
          </w:p>
        </w:tc>
        <w:tc>
          <w:tcPr>
            <w:tcW w:w="1790" w:type="dxa"/>
            <w:noWrap/>
            <w:hideMark/>
          </w:tcPr>
          <w:p w14:paraId="45CE34B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15,677</w:t>
            </w:r>
          </w:p>
        </w:tc>
        <w:tc>
          <w:tcPr>
            <w:tcW w:w="1790" w:type="dxa"/>
            <w:noWrap/>
            <w:hideMark/>
          </w:tcPr>
          <w:p w14:paraId="12CA0A82"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3,809</w:t>
            </w:r>
          </w:p>
        </w:tc>
        <w:tc>
          <w:tcPr>
            <w:tcW w:w="1791" w:type="dxa"/>
            <w:noWrap/>
            <w:hideMark/>
          </w:tcPr>
          <w:p w14:paraId="6C01DA84"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32.1%</w:t>
            </w:r>
          </w:p>
        </w:tc>
      </w:tr>
      <w:tr w:rsidR="003A75AB" w:rsidRPr="003A75AB" w14:paraId="285C104E" w14:textId="77777777" w:rsidTr="003A75AB">
        <w:tc>
          <w:tcPr>
            <w:cnfStyle w:val="001000000000" w:firstRow="0" w:lastRow="0" w:firstColumn="1" w:lastColumn="0" w:oddVBand="0" w:evenVBand="0" w:oddHBand="0" w:evenHBand="0" w:firstRowFirstColumn="0" w:firstRowLastColumn="0" w:lastRowFirstColumn="0" w:lastRowLastColumn="0"/>
            <w:tcW w:w="1684" w:type="dxa"/>
            <w:noWrap/>
            <w:hideMark/>
          </w:tcPr>
          <w:p w14:paraId="22AA7DF5" w14:textId="77777777" w:rsidR="00970D21" w:rsidRPr="004F4BA7" w:rsidRDefault="00970D21" w:rsidP="00970D21">
            <w:pPr>
              <w:keepNext/>
              <w:spacing w:line="300" w:lineRule="auto"/>
              <w:rPr>
                <w:color w:val="auto"/>
              </w:rPr>
            </w:pPr>
            <w:r w:rsidRPr="004F4BA7">
              <w:rPr>
                <w:bCs/>
                <w:color w:val="auto"/>
              </w:rPr>
              <w:t>South Cambs</w:t>
            </w:r>
          </w:p>
        </w:tc>
        <w:tc>
          <w:tcPr>
            <w:tcW w:w="1790" w:type="dxa"/>
            <w:noWrap/>
            <w:hideMark/>
          </w:tcPr>
          <w:p w14:paraId="01AED98E"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10,118</w:t>
            </w:r>
          </w:p>
        </w:tc>
        <w:tc>
          <w:tcPr>
            <w:tcW w:w="1790" w:type="dxa"/>
            <w:noWrap/>
            <w:hideMark/>
          </w:tcPr>
          <w:p w14:paraId="2BDCBCE2"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13,906</w:t>
            </w:r>
          </w:p>
        </w:tc>
        <w:tc>
          <w:tcPr>
            <w:tcW w:w="1790" w:type="dxa"/>
            <w:noWrap/>
            <w:hideMark/>
          </w:tcPr>
          <w:p w14:paraId="4E46E89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3,788</w:t>
            </w:r>
          </w:p>
        </w:tc>
        <w:tc>
          <w:tcPr>
            <w:tcW w:w="1791" w:type="dxa"/>
            <w:noWrap/>
            <w:hideMark/>
          </w:tcPr>
          <w:p w14:paraId="1155EC6F"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37.4%</w:t>
            </w:r>
          </w:p>
        </w:tc>
      </w:tr>
      <w:tr w:rsidR="003A75AB" w:rsidRPr="003A75AB" w14:paraId="6C75A274" w14:textId="77777777" w:rsidTr="003A75AB">
        <w:tc>
          <w:tcPr>
            <w:cnfStyle w:val="001000000000" w:firstRow="0" w:lastRow="0" w:firstColumn="1" w:lastColumn="0" w:oddVBand="0" w:evenVBand="0" w:oddHBand="0" w:evenHBand="0" w:firstRowFirstColumn="0" w:firstRowLastColumn="0" w:lastRowFirstColumn="0" w:lastRowLastColumn="0"/>
            <w:tcW w:w="1684" w:type="dxa"/>
            <w:noWrap/>
            <w:hideMark/>
          </w:tcPr>
          <w:p w14:paraId="6EEA39BA" w14:textId="77777777" w:rsidR="00970D21" w:rsidRPr="004F4BA7" w:rsidRDefault="00970D21" w:rsidP="00970D21">
            <w:pPr>
              <w:keepNext/>
              <w:spacing w:line="300" w:lineRule="auto"/>
              <w:rPr>
                <w:color w:val="auto"/>
              </w:rPr>
            </w:pPr>
            <w:r w:rsidRPr="004F4BA7">
              <w:rPr>
                <w:color w:val="auto"/>
              </w:rPr>
              <w:t>West Suffolk</w:t>
            </w:r>
          </w:p>
        </w:tc>
        <w:tc>
          <w:tcPr>
            <w:tcW w:w="1790" w:type="dxa"/>
            <w:noWrap/>
            <w:hideMark/>
          </w:tcPr>
          <w:p w14:paraId="2AB59A05"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12,234</w:t>
            </w:r>
          </w:p>
        </w:tc>
        <w:tc>
          <w:tcPr>
            <w:tcW w:w="1790" w:type="dxa"/>
            <w:noWrap/>
            <w:hideMark/>
          </w:tcPr>
          <w:p w14:paraId="13E278A0"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16,025</w:t>
            </w:r>
          </w:p>
        </w:tc>
        <w:tc>
          <w:tcPr>
            <w:tcW w:w="1790" w:type="dxa"/>
            <w:noWrap/>
            <w:hideMark/>
          </w:tcPr>
          <w:p w14:paraId="723A5E8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3,791</w:t>
            </w:r>
          </w:p>
        </w:tc>
        <w:tc>
          <w:tcPr>
            <w:tcW w:w="1791" w:type="dxa"/>
            <w:noWrap/>
            <w:hideMark/>
          </w:tcPr>
          <w:p w14:paraId="444A2B8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31.0%</w:t>
            </w:r>
          </w:p>
        </w:tc>
      </w:tr>
      <w:tr w:rsidR="003A75AB" w:rsidRPr="003A75AB" w14:paraId="046E2F8E" w14:textId="77777777" w:rsidTr="003A75AB">
        <w:tc>
          <w:tcPr>
            <w:cnfStyle w:val="001000000000" w:firstRow="0" w:lastRow="0" w:firstColumn="1" w:lastColumn="0" w:oddVBand="0" w:evenVBand="0" w:oddHBand="0" w:evenHBand="0" w:firstRowFirstColumn="0" w:firstRowLastColumn="0" w:lastRowFirstColumn="0" w:lastRowLastColumn="0"/>
            <w:tcW w:w="1684" w:type="dxa"/>
            <w:noWrap/>
            <w:hideMark/>
          </w:tcPr>
          <w:p w14:paraId="77E61AFF" w14:textId="77777777" w:rsidR="00970D21" w:rsidRPr="004F4BA7" w:rsidRDefault="00970D21" w:rsidP="00970D21">
            <w:pPr>
              <w:keepNext/>
              <w:spacing w:line="300" w:lineRule="auto"/>
              <w:rPr>
                <w:b/>
                <w:bCs/>
                <w:color w:val="auto"/>
              </w:rPr>
            </w:pPr>
            <w:r w:rsidRPr="004F4BA7">
              <w:rPr>
                <w:b/>
                <w:bCs/>
                <w:color w:val="auto"/>
              </w:rPr>
              <w:t>HMA</w:t>
            </w:r>
          </w:p>
        </w:tc>
        <w:tc>
          <w:tcPr>
            <w:tcW w:w="1790" w:type="dxa"/>
            <w:noWrap/>
            <w:hideMark/>
          </w:tcPr>
          <w:p w14:paraId="51A6A757"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53,931</w:t>
            </w:r>
          </w:p>
        </w:tc>
        <w:tc>
          <w:tcPr>
            <w:tcW w:w="1790" w:type="dxa"/>
            <w:noWrap/>
            <w:hideMark/>
          </w:tcPr>
          <w:p w14:paraId="016E9471"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73,101</w:t>
            </w:r>
          </w:p>
        </w:tc>
        <w:tc>
          <w:tcPr>
            <w:tcW w:w="1790" w:type="dxa"/>
            <w:noWrap/>
            <w:hideMark/>
          </w:tcPr>
          <w:p w14:paraId="0A4172BE"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19,170</w:t>
            </w:r>
          </w:p>
        </w:tc>
        <w:tc>
          <w:tcPr>
            <w:tcW w:w="1791" w:type="dxa"/>
            <w:noWrap/>
            <w:hideMark/>
          </w:tcPr>
          <w:p w14:paraId="0BDBA5A4"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35.5%</w:t>
            </w:r>
          </w:p>
        </w:tc>
      </w:tr>
    </w:tbl>
    <w:p w14:paraId="12230170" w14:textId="77777777" w:rsidR="00970D21" w:rsidRDefault="00970D21" w:rsidP="00B92D2D">
      <w:pPr>
        <w:pStyle w:val="11Bodytext"/>
        <w:numPr>
          <w:ilvl w:val="0"/>
          <w:numId w:val="0"/>
        </w:numPr>
        <w:spacing w:before="0"/>
        <w:ind w:left="794"/>
      </w:pPr>
      <w:r>
        <w:t>Source: 2011 Census and demographic projections based on ONS data</w:t>
      </w:r>
    </w:p>
    <w:p w14:paraId="63FAF346" w14:textId="77777777" w:rsidR="00970D21" w:rsidRPr="00526C6E" w:rsidRDefault="00970D21" w:rsidP="007D0FBF">
      <w:pPr>
        <w:pStyle w:val="11Bodytext"/>
        <w:rPr>
          <w:b/>
          <w14:scene3d>
            <w14:camera w14:prst="orthographicFront"/>
            <w14:lightRig w14:rig="threePt" w14:dir="t">
              <w14:rot w14:lat="0" w14:lon="0" w14:rev="0"/>
            </w14:lightRig>
          </w14:scene3d>
        </w:rPr>
      </w:pPr>
      <w:r>
        <w:t xml:space="preserve">Next, we consider how those in this age bracket occupy their dwellings. The table shows the tenure split by age group illustrating that around 69.9% of households in this age group in the HMA own their house outright and a further 9.8% own with a mortgage or are in shared ownership. </w:t>
      </w:r>
    </w:p>
    <w:p w14:paraId="2D53B4DC" w14:textId="77777777" w:rsidR="00970D21" w:rsidRDefault="00970D21" w:rsidP="003D5E23">
      <w:pPr>
        <w:pStyle w:val="Tableheading"/>
        <w:numPr>
          <w:ilvl w:val="0"/>
          <w:numId w:val="54"/>
        </w:numPr>
      </w:pPr>
      <w:r>
        <w:t>Tenure of households with Household Reference Person aged 65-74 (2011)</w:t>
      </w:r>
    </w:p>
    <w:tbl>
      <w:tblPr>
        <w:tblStyle w:val="TableGridLight1"/>
        <w:tblW w:w="8930" w:type="dxa"/>
        <w:tblInd w:w="704" w:type="dxa"/>
        <w:tblLayout w:type="fixed"/>
        <w:tblLook w:val="04A0" w:firstRow="1" w:lastRow="0" w:firstColumn="1" w:lastColumn="0" w:noHBand="0" w:noVBand="1"/>
      </w:tblPr>
      <w:tblGrid>
        <w:gridCol w:w="2552"/>
        <w:gridCol w:w="911"/>
        <w:gridCol w:w="911"/>
        <w:gridCol w:w="911"/>
        <w:gridCol w:w="911"/>
        <w:gridCol w:w="911"/>
        <w:gridCol w:w="911"/>
        <w:gridCol w:w="912"/>
      </w:tblGrid>
      <w:tr w:rsidR="003A75AB" w:rsidRPr="003A75AB" w14:paraId="1EA95BBE" w14:textId="77777777" w:rsidTr="00B92D2D">
        <w:trPr>
          <w:cnfStyle w:val="100000000000" w:firstRow="1" w:lastRow="0" w:firstColumn="0" w:lastColumn="0" w:oddVBand="0" w:evenVBand="0" w:oddHBand="0" w:evenHBand="0" w:firstRowFirstColumn="0" w:firstRowLastColumn="0" w:lastRowFirstColumn="0" w:lastRowLastColumn="0"/>
          <w:cantSplit/>
          <w:trHeight w:val="1565"/>
        </w:trPr>
        <w:tc>
          <w:tcPr>
            <w:cnfStyle w:val="001000000000" w:firstRow="0" w:lastRow="0" w:firstColumn="1" w:lastColumn="0" w:oddVBand="0" w:evenVBand="0" w:oddHBand="0" w:evenHBand="0" w:firstRowFirstColumn="0" w:firstRowLastColumn="0" w:lastRowFirstColumn="0" w:lastRowLastColumn="0"/>
            <w:tcW w:w="2552" w:type="dxa"/>
            <w:hideMark/>
          </w:tcPr>
          <w:p w14:paraId="7F4E37C8" w14:textId="77777777" w:rsidR="00970D21" w:rsidRPr="004F4BA7" w:rsidRDefault="00970D21" w:rsidP="00970D21">
            <w:pPr>
              <w:rPr>
                <w:color w:val="auto"/>
              </w:rPr>
            </w:pPr>
          </w:p>
        </w:tc>
        <w:tc>
          <w:tcPr>
            <w:tcW w:w="911" w:type="dxa"/>
            <w:textDirection w:val="btLr"/>
            <w:hideMark/>
          </w:tcPr>
          <w:p w14:paraId="76BEE804"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Cambridge</w:t>
            </w:r>
          </w:p>
        </w:tc>
        <w:tc>
          <w:tcPr>
            <w:tcW w:w="911" w:type="dxa"/>
            <w:textDirection w:val="btLr"/>
            <w:hideMark/>
          </w:tcPr>
          <w:p w14:paraId="14D7E51B"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East Cambs</w:t>
            </w:r>
          </w:p>
        </w:tc>
        <w:tc>
          <w:tcPr>
            <w:tcW w:w="911" w:type="dxa"/>
            <w:textDirection w:val="btLr"/>
            <w:hideMark/>
          </w:tcPr>
          <w:p w14:paraId="397CF5D4"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Fenland</w:t>
            </w:r>
          </w:p>
        </w:tc>
        <w:tc>
          <w:tcPr>
            <w:tcW w:w="911" w:type="dxa"/>
            <w:textDirection w:val="btLr"/>
            <w:hideMark/>
          </w:tcPr>
          <w:p w14:paraId="09EFA8A0"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Hunts</w:t>
            </w:r>
          </w:p>
        </w:tc>
        <w:tc>
          <w:tcPr>
            <w:tcW w:w="911" w:type="dxa"/>
            <w:textDirection w:val="btLr"/>
            <w:hideMark/>
          </w:tcPr>
          <w:p w14:paraId="4A24B719"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South Cambs</w:t>
            </w:r>
          </w:p>
        </w:tc>
        <w:tc>
          <w:tcPr>
            <w:tcW w:w="911" w:type="dxa"/>
            <w:textDirection w:val="btLr"/>
            <w:hideMark/>
          </w:tcPr>
          <w:p w14:paraId="7D912407"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rPr>
            </w:pPr>
            <w:r w:rsidRPr="004F4BA7">
              <w:rPr>
                <w:color w:val="auto"/>
              </w:rPr>
              <w:t>West Suffolk</w:t>
            </w:r>
          </w:p>
        </w:tc>
        <w:tc>
          <w:tcPr>
            <w:tcW w:w="912" w:type="dxa"/>
            <w:textDirection w:val="btLr"/>
            <w:hideMark/>
          </w:tcPr>
          <w:p w14:paraId="44201A9A" w14:textId="77777777" w:rsidR="00970D21" w:rsidRPr="004F4BA7" w:rsidRDefault="00970D21" w:rsidP="005B02AD">
            <w:pPr>
              <w:keepNext/>
              <w:spacing w:line="300" w:lineRule="auto"/>
              <w:ind w:left="113" w:right="113"/>
              <w:cnfStyle w:val="100000000000" w:firstRow="1" w:lastRow="0" w:firstColumn="0" w:lastColumn="0" w:oddVBand="0" w:evenVBand="0" w:oddHBand="0" w:evenHBand="0" w:firstRowFirstColumn="0" w:firstRowLastColumn="0" w:lastRowFirstColumn="0" w:lastRowLastColumn="0"/>
              <w:rPr>
                <w:color w:val="auto"/>
              </w:rPr>
            </w:pPr>
            <w:r w:rsidRPr="004F4BA7">
              <w:rPr>
                <w:color w:val="auto"/>
              </w:rPr>
              <w:t>HMA</w:t>
            </w:r>
          </w:p>
        </w:tc>
      </w:tr>
      <w:tr w:rsidR="003A75AB" w:rsidRPr="003A75AB" w14:paraId="650FF3BA" w14:textId="77777777" w:rsidTr="005B02AD">
        <w:trPr>
          <w:trHeight w:val="362"/>
        </w:trPr>
        <w:tc>
          <w:tcPr>
            <w:cnfStyle w:val="001000000000" w:firstRow="0" w:lastRow="0" w:firstColumn="1" w:lastColumn="0" w:oddVBand="0" w:evenVBand="0" w:oddHBand="0" w:evenHBand="0" w:firstRowFirstColumn="0" w:firstRowLastColumn="0" w:lastRowFirstColumn="0" w:lastRowLastColumn="0"/>
            <w:tcW w:w="2552" w:type="dxa"/>
            <w:hideMark/>
          </w:tcPr>
          <w:p w14:paraId="62313AAC" w14:textId="77777777" w:rsidR="00970D21" w:rsidRPr="004F4BA7" w:rsidRDefault="00970D21" w:rsidP="00970D21">
            <w:pPr>
              <w:keepNext/>
              <w:spacing w:line="300" w:lineRule="auto"/>
              <w:jc w:val="both"/>
              <w:rPr>
                <w:color w:val="auto"/>
                <w:lang w:eastAsia="en-GB"/>
              </w:rPr>
            </w:pPr>
            <w:r w:rsidRPr="004F4BA7">
              <w:rPr>
                <w:color w:val="auto"/>
                <w:lang w:eastAsia="en-GB"/>
              </w:rPr>
              <w:t>Own outright</w:t>
            </w:r>
          </w:p>
        </w:tc>
        <w:tc>
          <w:tcPr>
            <w:tcW w:w="911" w:type="dxa"/>
            <w:hideMark/>
          </w:tcPr>
          <w:p w14:paraId="15A4D099"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60.1%</w:t>
            </w:r>
          </w:p>
        </w:tc>
        <w:tc>
          <w:tcPr>
            <w:tcW w:w="911" w:type="dxa"/>
            <w:hideMark/>
          </w:tcPr>
          <w:p w14:paraId="6EE33793"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70.7%</w:t>
            </w:r>
          </w:p>
        </w:tc>
        <w:tc>
          <w:tcPr>
            <w:tcW w:w="911" w:type="dxa"/>
            <w:hideMark/>
          </w:tcPr>
          <w:p w14:paraId="1DD7F2DF"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71.7%</w:t>
            </w:r>
          </w:p>
        </w:tc>
        <w:tc>
          <w:tcPr>
            <w:tcW w:w="911" w:type="dxa"/>
            <w:hideMark/>
          </w:tcPr>
          <w:p w14:paraId="008D213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72.8%</w:t>
            </w:r>
          </w:p>
        </w:tc>
        <w:tc>
          <w:tcPr>
            <w:tcW w:w="911" w:type="dxa"/>
            <w:hideMark/>
          </w:tcPr>
          <w:p w14:paraId="41400A6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72.1%</w:t>
            </w:r>
          </w:p>
        </w:tc>
        <w:tc>
          <w:tcPr>
            <w:tcW w:w="911" w:type="dxa"/>
            <w:hideMark/>
          </w:tcPr>
          <w:p w14:paraId="50DBFFF0"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68.5%</w:t>
            </w:r>
          </w:p>
        </w:tc>
        <w:tc>
          <w:tcPr>
            <w:tcW w:w="912" w:type="dxa"/>
            <w:hideMark/>
          </w:tcPr>
          <w:p w14:paraId="22F67C6C"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69.9%</w:t>
            </w:r>
          </w:p>
        </w:tc>
      </w:tr>
      <w:tr w:rsidR="003A75AB" w:rsidRPr="003A75AB" w14:paraId="0358010E" w14:textId="77777777" w:rsidTr="005B02AD">
        <w:trPr>
          <w:trHeight w:val="758"/>
        </w:trPr>
        <w:tc>
          <w:tcPr>
            <w:cnfStyle w:val="001000000000" w:firstRow="0" w:lastRow="0" w:firstColumn="1" w:lastColumn="0" w:oddVBand="0" w:evenVBand="0" w:oddHBand="0" w:evenHBand="0" w:firstRowFirstColumn="0" w:firstRowLastColumn="0" w:lastRowFirstColumn="0" w:lastRowLastColumn="0"/>
            <w:tcW w:w="2552" w:type="dxa"/>
            <w:hideMark/>
          </w:tcPr>
          <w:p w14:paraId="30062520" w14:textId="77777777" w:rsidR="00970D21" w:rsidRPr="004F4BA7" w:rsidRDefault="00970D21" w:rsidP="00970D21">
            <w:pPr>
              <w:keepNext/>
              <w:spacing w:line="300" w:lineRule="auto"/>
              <w:rPr>
                <w:color w:val="auto"/>
                <w:lang w:eastAsia="en-GB"/>
              </w:rPr>
            </w:pPr>
            <w:r w:rsidRPr="004F4BA7">
              <w:rPr>
                <w:color w:val="auto"/>
                <w:lang w:eastAsia="en-GB"/>
              </w:rPr>
              <w:t>Owned with Mortgage or</w:t>
            </w:r>
          </w:p>
          <w:p w14:paraId="76CB0E72" w14:textId="77777777" w:rsidR="00970D21" w:rsidRPr="004F4BA7" w:rsidRDefault="00970D21" w:rsidP="00970D21">
            <w:pPr>
              <w:keepNext/>
              <w:spacing w:line="300" w:lineRule="auto"/>
              <w:rPr>
                <w:color w:val="auto"/>
                <w:lang w:eastAsia="en-GB"/>
              </w:rPr>
            </w:pPr>
            <w:r w:rsidRPr="004F4BA7">
              <w:rPr>
                <w:color w:val="auto"/>
                <w:lang w:eastAsia="en-GB"/>
              </w:rPr>
              <w:t>shared ownership</w:t>
            </w:r>
          </w:p>
        </w:tc>
        <w:tc>
          <w:tcPr>
            <w:tcW w:w="911" w:type="dxa"/>
            <w:hideMark/>
          </w:tcPr>
          <w:p w14:paraId="66F612B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8.8%</w:t>
            </w:r>
          </w:p>
        </w:tc>
        <w:tc>
          <w:tcPr>
            <w:tcW w:w="911" w:type="dxa"/>
            <w:hideMark/>
          </w:tcPr>
          <w:p w14:paraId="0939C916"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9.1%</w:t>
            </w:r>
          </w:p>
        </w:tc>
        <w:tc>
          <w:tcPr>
            <w:tcW w:w="911" w:type="dxa"/>
            <w:hideMark/>
          </w:tcPr>
          <w:p w14:paraId="08E3FE1A"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9.7%</w:t>
            </w:r>
          </w:p>
        </w:tc>
        <w:tc>
          <w:tcPr>
            <w:tcW w:w="911" w:type="dxa"/>
            <w:hideMark/>
          </w:tcPr>
          <w:p w14:paraId="2D97EC42"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10.5%</w:t>
            </w:r>
          </w:p>
        </w:tc>
        <w:tc>
          <w:tcPr>
            <w:tcW w:w="911" w:type="dxa"/>
            <w:hideMark/>
          </w:tcPr>
          <w:p w14:paraId="384F7E63"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10.0%</w:t>
            </w:r>
          </w:p>
        </w:tc>
        <w:tc>
          <w:tcPr>
            <w:tcW w:w="911" w:type="dxa"/>
            <w:hideMark/>
          </w:tcPr>
          <w:p w14:paraId="5CB070B5"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10.0%</w:t>
            </w:r>
          </w:p>
        </w:tc>
        <w:tc>
          <w:tcPr>
            <w:tcW w:w="912" w:type="dxa"/>
            <w:hideMark/>
          </w:tcPr>
          <w:p w14:paraId="77E0BA4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9.8%</w:t>
            </w:r>
          </w:p>
        </w:tc>
      </w:tr>
      <w:tr w:rsidR="003A75AB" w:rsidRPr="003A75AB" w14:paraId="2981D355" w14:textId="77777777" w:rsidTr="005B02AD">
        <w:trPr>
          <w:trHeight w:val="362"/>
        </w:trPr>
        <w:tc>
          <w:tcPr>
            <w:cnfStyle w:val="001000000000" w:firstRow="0" w:lastRow="0" w:firstColumn="1" w:lastColumn="0" w:oddVBand="0" w:evenVBand="0" w:oddHBand="0" w:evenHBand="0" w:firstRowFirstColumn="0" w:firstRowLastColumn="0" w:lastRowFirstColumn="0" w:lastRowLastColumn="0"/>
            <w:tcW w:w="2552" w:type="dxa"/>
            <w:hideMark/>
          </w:tcPr>
          <w:p w14:paraId="622D2AE9" w14:textId="77777777" w:rsidR="00970D21" w:rsidRPr="004F4BA7" w:rsidRDefault="00970D21" w:rsidP="00970D21">
            <w:pPr>
              <w:keepNext/>
              <w:spacing w:line="300" w:lineRule="auto"/>
              <w:jc w:val="both"/>
              <w:rPr>
                <w:color w:val="auto"/>
                <w:lang w:eastAsia="en-GB"/>
              </w:rPr>
            </w:pPr>
            <w:r w:rsidRPr="004F4BA7">
              <w:rPr>
                <w:color w:val="auto"/>
                <w:lang w:eastAsia="en-GB"/>
              </w:rPr>
              <w:t>Social rented</w:t>
            </w:r>
          </w:p>
        </w:tc>
        <w:tc>
          <w:tcPr>
            <w:tcW w:w="911" w:type="dxa"/>
            <w:hideMark/>
          </w:tcPr>
          <w:p w14:paraId="79D408A7"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26.0%</w:t>
            </w:r>
          </w:p>
        </w:tc>
        <w:tc>
          <w:tcPr>
            <w:tcW w:w="911" w:type="dxa"/>
            <w:hideMark/>
          </w:tcPr>
          <w:p w14:paraId="565CF0F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13.7%</w:t>
            </w:r>
          </w:p>
        </w:tc>
        <w:tc>
          <w:tcPr>
            <w:tcW w:w="911" w:type="dxa"/>
            <w:hideMark/>
          </w:tcPr>
          <w:p w14:paraId="46952F23"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11.1%</w:t>
            </w:r>
          </w:p>
        </w:tc>
        <w:tc>
          <w:tcPr>
            <w:tcW w:w="911" w:type="dxa"/>
            <w:hideMark/>
          </w:tcPr>
          <w:p w14:paraId="643E31C5"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11.5%</w:t>
            </w:r>
          </w:p>
        </w:tc>
        <w:tc>
          <w:tcPr>
            <w:tcW w:w="911" w:type="dxa"/>
            <w:hideMark/>
          </w:tcPr>
          <w:p w14:paraId="41084D86"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13.9%</w:t>
            </w:r>
          </w:p>
        </w:tc>
        <w:tc>
          <w:tcPr>
            <w:tcW w:w="911" w:type="dxa"/>
            <w:hideMark/>
          </w:tcPr>
          <w:p w14:paraId="7692EA4A"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14.4%</w:t>
            </w:r>
          </w:p>
        </w:tc>
        <w:tc>
          <w:tcPr>
            <w:tcW w:w="912" w:type="dxa"/>
            <w:hideMark/>
          </w:tcPr>
          <w:p w14:paraId="7D330633"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14.3%</w:t>
            </w:r>
          </w:p>
        </w:tc>
      </w:tr>
      <w:tr w:rsidR="003A75AB" w:rsidRPr="003A75AB" w14:paraId="724F0BE5" w14:textId="77777777" w:rsidTr="005B02AD">
        <w:trPr>
          <w:trHeight w:val="379"/>
        </w:trPr>
        <w:tc>
          <w:tcPr>
            <w:cnfStyle w:val="001000000000" w:firstRow="0" w:lastRow="0" w:firstColumn="1" w:lastColumn="0" w:oddVBand="0" w:evenVBand="0" w:oddHBand="0" w:evenHBand="0" w:firstRowFirstColumn="0" w:firstRowLastColumn="0" w:lastRowFirstColumn="0" w:lastRowLastColumn="0"/>
            <w:tcW w:w="2552" w:type="dxa"/>
            <w:hideMark/>
          </w:tcPr>
          <w:p w14:paraId="749520A5" w14:textId="77777777" w:rsidR="00970D21" w:rsidRPr="004F4BA7" w:rsidRDefault="00970D21" w:rsidP="00970D21">
            <w:pPr>
              <w:keepNext/>
              <w:spacing w:line="300" w:lineRule="auto"/>
              <w:jc w:val="both"/>
              <w:rPr>
                <w:color w:val="auto"/>
                <w:lang w:eastAsia="en-GB"/>
              </w:rPr>
            </w:pPr>
            <w:r w:rsidRPr="004F4BA7">
              <w:rPr>
                <w:color w:val="auto"/>
                <w:lang w:eastAsia="en-GB"/>
              </w:rPr>
              <w:t>Private rented</w:t>
            </w:r>
          </w:p>
        </w:tc>
        <w:tc>
          <w:tcPr>
            <w:tcW w:w="911" w:type="dxa"/>
            <w:hideMark/>
          </w:tcPr>
          <w:p w14:paraId="18123FB2"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2.8%</w:t>
            </w:r>
          </w:p>
        </w:tc>
        <w:tc>
          <w:tcPr>
            <w:tcW w:w="911" w:type="dxa"/>
            <w:hideMark/>
          </w:tcPr>
          <w:p w14:paraId="0F225CEB"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4.0%</w:t>
            </w:r>
          </w:p>
        </w:tc>
        <w:tc>
          <w:tcPr>
            <w:tcW w:w="911" w:type="dxa"/>
            <w:hideMark/>
          </w:tcPr>
          <w:p w14:paraId="34536143"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4.9%</w:t>
            </w:r>
          </w:p>
        </w:tc>
        <w:tc>
          <w:tcPr>
            <w:tcW w:w="911" w:type="dxa"/>
            <w:hideMark/>
          </w:tcPr>
          <w:p w14:paraId="7DC72286"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3.6%</w:t>
            </w:r>
          </w:p>
        </w:tc>
        <w:tc>
          <w:tcPr>
            <w:tcW w:w="911" w:type="dxa"/>
            <w:hideMark/>
          </w:tcPr>
          <w:p w14:paraId="5B84710E"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2.4%</w:t>
            </w:r>
          </w:p>
        </w:tc>
        <w:tc>
          <w:tcPr>
            <w:tcW w:w="911" w:type="dxa"/>
            <w:hideMark/>
          </w:tcPr>
          <w:p w14:paraId="02F20207"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5.0%</w:t>
            </w:r>
          </w:p>
        </w:tc>
        <w:tc>
          <w:tcPr>
            <w:tcW w:w="912" w:type="dxa"/>
            <w:hideMark/>
          </w:tcPr>
          <w:p w14:paraId="19447527"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3.9%</w:t>
            </w:r>
          </w:p>
        </w:tc>
      </w:tr>
      <w:tr w:rsidR="003A75AB" w:rsidRPr="003A75AB" w14:paraId="4DF1BD58" w14:textId="77777777" w:rsidTr="005B02AD">
        <w:trPr>
          <w:trHeight w:val="379"/>
        </w:trPr>
        <w:tc>
          <w:tcPr>
            <w:cnfStyle w:val="001000000000" w:firstRow="0" w:lastRow="0" w:firstColumn="1" w:lastColumn="0" w:oddVBand="0" w:evenVBand="0" w:oddHBand="0" w:evenHBand="0" w:firstRowFirstColumn="0" w:firstRowLastColumn="0" w:lastRowFirstColumn="0" w:lastRowLastColumn="0"/>
            <w:tcW w:w="2552" w:type="dxa"/>
            <w:hideMark/>
          </w:tcPr>
          <w:p w14:paraId="5D883FE8" w14:textId="77777777" w:rsidR="00970D21" w:rsidRPr="004F4BA7" w:rsidRDefault="00970D21" w:rsidP="00970D21">
            <w:pPr>
              <w:keepNext/>
              <w:spacing w:line="300" w:lineRule="auto"/>
              <w:jc w:val="both"/>
              <w:rPr>
                <w:color w:val="auto"/>
                <w:lang w:eastAsia="en-GB"/>
              </w:rPr>
            </w:pPr>
            <w:r w:rsidRPr="004F4BA7">
              <w:rPr>
                <w:color w:val="auto"/>
                <w:lang w:eastAsia="en-GB"/>
              </w:rPr>
              <w:t>Living rent free</w:t>
            </w:r>
          </w:p>
        </w:tc>
        <w:tc>
          <w:tcPr>
            <w:tcW w:w="911" w:type="dxa"/>
            <w:hideMark/>
          </w:tcPr>
          <w:p w14:paraId="4F08A0E4"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2.3%</w:t>
            </w:r>
          </w:p>
        </w:tc>
        <w:tc>
          <w:tcPr>
            <w:tcW w:w="911" w:type="dxa"/>
            <w:hideMark/>
          </w:tcPr>
          <w:p w14:paraId="19111D1A"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2.5%</w:t>
            </w:r>
          </w:p>
        </w:tc>
        <w:tc>
          <w:tcPr>
            <w:tcW w:w="911" w:type="dxa"/>
            <w:hideMark/>
          </w:tcPr>
          <w:p w14:paraId="409632DB"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2.6%</w:t>
            </w:r>
          </w:p>
        </w:tc>
        <w:tc>
          <w:tcPr>
            <w:tcW w:w="911" w:type="dxa"/>
            <w:hideMark/>
          </w:tcPr>
          <w:p w14:paraId="5D29CF2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1.6%</w:t>
            </w:r>
          </w:p>
        </w:tc>
        <w:tc>
          <w:tcPr>
            <w:tcW w:w="911" w:type="dxa"/>
            <w:hideMark/>
          </w:tcPr>
          <w:p w14:paraId="27FDE676"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1.7%</w:t>
            </w:r>
          </w:p>
        </w:tc>
        <w:tc>
          <w:tcPr>
            <w:tcW w:w="911" w:type="dxa"/>
            <w:hideMark/>
          </w:tcPr>
          <w:p w14:paraId="527F1309"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2.1%</w:t>
            </w:r>
          </w:p>
        </w:tc>
        <w:tc>
          <w:tcPr>
            <w:tcW w:w="912" w:type="dxa"/>
            <w:hideMark/>
          </w:tcPr>
          <w:p w14:paraId="700A15C3"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2.1%</w:t>
            </w:r>
          </w:p>
        </w:tc>
      </w:tr>
      <w:tr w:rsidR="003A75AB" w:rsidRPr="003A75AB" w14:paraId="48F2057C" w14:textId="77777777" w:rsidTr="005B02AD">
        <w:trPr>
          <w:trHeight w:val="362"/>
        </w:trPr>
        <w:tc>
          <w:tcPr>
            <w:cnfStyle w:val="001000000000" w:firstRow="0" w:lastRow="0" w:firstColumn="1" w:lastColumn="0" w:oddVBand="0" w:evenVBand="0" w:oddHBand="0" w:evenHBand="0" w:firstRowFirstColumn="0" w:firstRowLastColumn="0" w:lastRowFirstColumn="0" w:lastRowLastColumn="0"/>
            <w:tcW w:w="2552" w:type="dxa"/>
            <w:hideMark/>
          </w:tcPr>
          <w:p w14:paraId="4DF9BB33" w14:textId="77777777" w:rsidR="00970D21" w:rsidRPr="004F4BA7" w:rsidRDefault="00970D21" w:rsidP="00970D21">
            <w:pPr>
              <w:keepNext/>
              <w:spacing w:line="300" w:lineRule="auto"/>
              <w:jc w:val="both"/>
              <w:rPr>
                <w:color w:val="auto"/>
                <w:lang w:eastAsia="en-GB"/>
              </w:rPr>
            </w:pPr>
            <w:r w:rsidRPr="004F4BA7">
              <w:rPr>
                <w:color w:val="auto"/>
                <w:lang w:eastAsia="en-GB"/>
              </w:rPr>
              <w:t>Total households</w:t>
            </w:r>
          </w:p>
        </w:tc>
        <w:tc>
          <w:tcPr>
            <w:tcW w:w="911" w:type="dxa"/>
            <w:hideMark/>
          </w:tcPr>
          <w:p w14:paraId="008F7264"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4,321</w:t>
            </w:r>
          </w:p>
        </w:tc>
        <w:tc>
          <w:tcPr>
            <w:tcW w:w="911" w:type="dxa"/>
            <w:hideMark/>
          </w:tcPr>
          <w:p w14:paraId="1A241828"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4,458</w:t>
            </w:r>
          </w:p>
        </w:tc>
        <w:tc>
          <w:tcPr>
            <w:tcW w:w="911" w:type="dxa"/>
            <w:hideMark/>
          </w:tcPr>
          <w:p w14:paraId="75BF885A"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5,979</w:t>
            </w:r>
          </w:p>
        </w:tc>
        <w:tc>
          <w:tcPr>
            <w:tcW w:w="911" w:type="dxa"/>
            <w:hideMark/>
          </w:tcPr>
          <w:p w14:paraId="4FDED786"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9,093</w:t>
            </w:r>
          </w:p>
        </w:tc>
        <w:tc>
          <w:tcPr>
            <w:tcW w:w="911" w:type="dxa"/>
            <w:hideMark/>
          </w:tcPr>
          <w:p w14:paraId="32FF046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7,664</w:t>
            </w:r>
          </w:p>
        </w:tc>
        <w:tc>
          <w:tcPr>
            <w:tcW w:w="911" w:type="dxa"/>
            <w:hideMark/>
          </w:tcPr>
          <w:p w14:paraId="7C598DC7"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9,643</w:t>
            </w:r>
          </w:p>
        </w:tc>
        <w:tc>
          <w:tcPr>
            <w:tcW w:w="912" w:type="dxa"/>
            <w:hideMark/>
          </w:tcPr>
          <w:p w14:paraId="12A116BD" w14:textId="77777777" w:rsidR="00970D21" w:rsidRPr="004F4BA7" w:rsidRDefault="00970D21" w:rsidP="00970D21">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rPr>
              <w:t>41,158</w:t>
            </w:r>
          </w:p>
        </w:tc>
      </w:tr>
    </w:tbl>
    <w:p w14:paraId="07C94210" w14:textId="77777777" w:rsidR="00970D21" w:rsidRPr="00B92D2D" w:rsidRDefault="00970D21" w:rsidP="00970D21">
      <w:pPr>
        <w:pStyle w:val="Bodytextwithindent"/>
        <w:spacing w:before="0" w:after="120"/>
        <w:ind w:left="0" w:firstLine="794"/>
        <w:rPr>
          <w:sz w:val="24"/>
          <w:szCs w:val="22"/>
        </w:rPr>
      </w:pPr>
      <w:r w:rsidRPr="00B92D2D">
        <w:rPr>
          <w:sz w:val="24"/>
          <w:szCs w:val="22"/>
        </w:rPr>
        <w:t xml:space="preserve">Source: 2011 Census </w:t>
      </w:r>
    </w:p>
    <w:p w14:paraId="4EF81563" w14:textId="5C9F5582" w:rsidR="00970D21" w:rsidRDefault="00970D21" w:rsidP="007D0FBF">
      <w:pPr>
        <w:pStyle w:val="11Bodytext"/>
      </w:pPr>
      <w:r>
        <w:lastRenderedPageBreak/>
        <w:t xml:space="preserve">Only a small proportion are in the </w:t>
      </w:r>
      <w:proofErr w:type="gramStart"/>
      <w:r>
        <w:t>PRS  (</w:t>
      </w:r>
      <w:proofErr w:type="gramEnd"/>
      <w:r>
        <w:t>3.9%) although 14.3% are renting socially. This would, therefore, suggest that the market is likely to address most demand for age-restricted dwellings for this age bracket should that demand exist. This would also be included within the wider housing need number.</w:t>
      </w:r>
    </w:p>
    <w:p w14:paraId="1E594BF0" w14:textId="12C6D51F" w:rsidR="00970D21" w:rsidRDefault="00970D21" w:rsidP="007D0FBF">
      <w:pPr>
        <w:pStyle w:val="11Bodytext"/>
      </w:pPr>
      <w:r>
        <w:t>There is also the potential for Councils to encourage downsizing, especially in the social rent sector by providing high-quality accommodation that older residents can move into. This accommodation should have built-in adaptions or be capable of accommodating them.  This would reduce the demand for specialist accommodation and at the same time release some much-needed family sized accommodation.</w:t>
      </w:r>
    </w:p>
    <w:p w14:paraId="62C2E8EA" w14:textId="77777777" w:rsidR="00970D21" w:rsidRDefault="00970D21" w:rsidP="00B92D2D">
      <w:pPr>
        <w:pStyle w:val="Heading3"/>
      </w:pPr>
      <w:r>
        <w:t xml:space="preserve">Need for Specialist Accommodation for older people </w:t>
      </w:r>
    </w:p>
    <w:p w14:paraId="6A6E31B8" w14:textId="77777777" w:rsidR="00970D21" w:rsidRDefault="00970D21" w:rsidP="007D0FBF">
      <w:pPr>
        <w:pStyle w:val="11Bodytext"/>
      </w:pPr>
      <w:r>
        <w:t xml:space="preserve">Given the ageing population and higher levels of health problems and disability amongst older people, there is likely to be an increased requirement for specialist housing options moving forward. We present below the different accommodation types of the older population. </w:t>
      </w:r>
    </w:p>
    <w:tbl>
      <w:tblPr>
        <w:tblStyle w:val="TableGrid"/>
        <w:tblW w:w="8845" w:type="dxa"/>
        <w:tblInd w:w="794" w:type="dxa"/>
        <w:tblLook w:val="04A0" w:firstRow="1" w:lastRow="0" w:firstColumn="1" w:lastColumn="0" w:noHBand="0" w:noVBand="1"/>
      </w:tblPr>
      <w:tblGrid>
        <w:gridCol w:w="8845"/>
      </w:tblGrid>
      <w:tr w:rsidR="00970D21" w14:paraId="3D3B582C" w14:textId="77777777" w:rsidTr="00970D21">
        <w:tc>
          <w:tcPr>
            <w:tcW w:w="5000" w:type="pct"/>
            <w:tcBorders>
              <w:top w:val="single" w:sz="4" w:space="0" w:color="auto"/>
              <w:left w:val="single" w:sz="4" w:space="0" w:color="auto"/>
              <w:bottom w:val="single" w:sz="4" w:space="0" w:color="auto"/>
              <w:right w:val="single" w:sz="4" w:space="0" w:color="auto"/>
            </w:tcBorders>
            <w:hideMark/>
          </w:tcPr>
          <w:p w14:paraId="20766272" w14:textId="77777777" w:rsidR="00970D21" w:rsidRPr="008E6E40" w:rsidRDefault="00970D21" w:rsidP="007D0FBF">
            <w:pPr>
              <w:pStyle w:val="11Bodytext"/>
              <w:numPr>
                <w:ilvl w:val="0"/>
                <w:numId w:val="0"/>
              </w:numPr>
            </w:pPr>
            <w:r w:rsidRPr="008E6E40">
              <w:t>Definitions of Different Types of Older Persons’ Accommodation</w:t>
            </w:r>
          </w:p>
          <w:p w14:paraId="78AB79E4" w14:textId="77777777" w:rsidR="00970D21" w:rsidRPr="008E6E40" w:rsidRDefault="00970D21" w:rsidP="007D0FBF">
            <w:pPr>
              <w:pStyle w:val="11Bodytext"/>
              <w:numPr>
                <w:ilvl w:val="0"/>
                <w:numId w:val="0"/>
              </w:numPr>
            </w:pPr>
            <w:r w:rsidRPr="008E6E40">
              <w:rPr>
                <w:b/>
              </w:rPr>
              <w:t xml:space="preserve">Retirement living or sheltered housing (housing with support): </w:t>
            </w:r>
            <w:r w:rsidRPr="008E6E40">
              <w:t>This usually consists of purpose-built flats or bungalows with limited communal facilities such as a lounge, laundry room, and guest room. It does not generally provide care services but provides some support to enable residents to live independently. This can include 24-hour on-site assistance (alarm) and a warden or house manager.</w:t>
            </w:r>
          </w:p>
          <w:p w14:paraId="65700ECC" w14:textId="77777777" w:rsidR="00970D21" w:rsidRPr="008E6E40" w:rsidRDefault="00970D21" w:rsidP="007D0FBF">
            <w:pPr>
              <w:pStyle w:val="11Bodytext"/>
              <w:numPr>
                <w:ilvl w:val="0"/>
                <w:numId w:val="0"/>
              </w:numPr>
            </w:pPr>
            <w:r w:rsidRPr="008E6E40">
              <w:rPr>
                <w:b/>
              </w:rPr>
              <w:t xml:space="preserve">Extra care housing or housing-with-care (housing with care): </w:t>
            </w:r>
            <w:r w:rsidRPr="008E6E40">
              <w:t xml:space="preserve">This usually consists of purpose-built or adapted flats or bungalows with a medium to a high level of care available if required, through an onsite care agency registered through the Care Quality Commission (CQC). Residents can live independently with 24-hour access to support services and staff, and meals are also available. There are often extensive communal areas, such as space to socialise or a wellbeing centre. In some cases, these developments are known as retirement communities or </w:t>
            </w:r>
            <w:r w:rsidRPr="008E6E40">
              <w:lastRenderedPageBreak/>
              <w:t>villages - the intention is for residents to benefit from varying levels of care as time progresses.</w:t>
            </w:r>
          </w:p>
          <w:p w14:paraId="16F48267" w14:textId="77777777" w:rsidR="00970D21" w:rsidRDefault="00970D21" w:rsidP="007D0FBF">
            <w:pPr>
              <w:pStyle w:val="11Bodytext"/>
              <w:numPr>
                <w:ilvl w:val="0"/>
                <w:numId w:val="0"/>
              </w:numPr>
              <w:rPr>
                <w:sz w:val="16"/>
                <w:szCs w:val="16"/>
                <w:highlight w:val="yellow"/>
              </w:rPr>
            </w:pPr>
            <w:r w:rsidRPr="008E6E40">
              <w:rPr>
                <w:b/>
              </w:rPr>
              <w:t xml:space="preserve">Residential care homes and nursing homes (care bed-spaces): </w:t>
            </w:r>
            <w:r w:rsidRPr="008E6E40">
              <w:t>These have individual rooms within a residential building and provide a high level of care to meet all activities of daily living. They do not usually include support services for independent living. This type of housing can also include dementia care homes.</w:t>
            </w:r>
          </w:p>
        </w:tc>
      </w:tr>
    </w:tbl>
    <w:p w14:paraId="28B27703" w14:textId="77777777" w:rsidR="00970D21" w:rsidRPr="00B92D2D" w:rsidRDefault="00970D21" w:rsidP="00970D21">
      <w:pPr>
        <w:pStyle w:val="BodyText"/>
        <w:tabs>
          <w:tab w:val="clear" w:pos="0"/>
          <w:tab w:val="left" w:pos="720"/>
        </w:tabs>
        <w:spacing w:after="120"/>
        <w:ind w:left="794" w:firstLine="0"/>
        <w:rPr>
          <w:rFonts w:ascii="Arial" w:hAnsi="Arial" w:cs="Arial"/>
          <w:sz w:val="24"/>
          <w:szCs w:val="24"/>
        </w:rPr>
      </w:pPr>
      <w:r w:rsidRPr="00B92D2D">
        <w:rPr>
          <w:rFonts w:ascii="Arial" w:hAnsi="Arial" w:cs="Arial"/>
          <w:sz w:val="24"/>
          <w:szCs w:val="24"/>
        </w:rPr>
        <w:lastRenderedPageBreak/>
        <w:t xml:space="preserve">Source: </w:t>
      </w:r>
      <w:r w:rsidRPr="00B92D2D">
        <w:rPr>
          <w:rFonts w:ascii="Arial" w:eastAsiaTheme="minorHAnsi" w:hAnsi="Arial" w:cs="Arial"/>
          <w:iCs/>
          <w:sz w:val="24"/>
          <w:szCs w:val="24"/>
          <w:lang w:eastAsia="en-US"/>
        </w:rPr>
        <w:t>Planning Practice Guidance [63-010]</w:t>
      </w:r>
    </w:p>
    <w:p w14:paraId="618C7E90" w14:textId="77777777" w:rsidR="00970D21" w:rsidRDefault="00970D21" w:rsidP="007D0FBF">
      <w:pPr>
        <w:pStyle w:val="11Bodytext"/>
      </w:pPr>
      <w:r>
        <w:rPr>
          <w:lang w:eastAsia="en-US"/>
        </w:rPr>
        <w:t>In addition to those categories set out in the PPG, the Elderly Accommodation Council</w:t>
      </w:r>
      <w:r>
        <w:rPr>
          <w:rStyle w:val="FootnoteReference"/>
          <w:iCs/>
          <w:lang w:eastAsia="en-US"/>
        </w:rPr>
        <w:footnoteReference w:id="36"/>
      </w:r>
      <w:r>
        <w:rPr>
          <w:lang w:eastAsia="en-US"/>
        </w:rPr>
        <w:t xml:space="preserve"> also included a category called Enhanced sheltered housing which would fall under the </w:t>
      </w:r>
      <w:r>
        <w:t xml:space="preserve">housing with care category. Enhanced Sheltered Housing is defined as: </w:t>
      </w:r>
    </w:p>
    <w:p w14:paraId="65E0374C" w14:textId="77777777" w:rsidR="00970D21" w:rsidRDefault="00970D21" w:rsidP="00B126BB">
      <w:pPr>
        <w:pStyle w:val="Quotetext"/>
      </w:pPr>
      <w:r>
        <w:t>“S</w:t>
      </w:r>
      <w:r>
        <w:rPr>
          <w:lang w:eastAsia="en-US"/>
        </w:rPr>
        <w:t>heltered housing with additional services to enable older people to retain their independence in their own home for as long as possible. Typically, there may be 24/7 (non-registered) staffing cover, at least one daily meal will be provided and there will be additional shared facilities. Also called assisted living and very sheltered housing.”</w:t>
      </w:r>
    </w:p>
    <w:p w14:paraId="65B64868" w14:textId="77777777" w:rsidR="00970D21" w:rsidRDefault="00970D21" w:rsidP="007D0FBF">
      <w:pPr>
        <w:pStyle w:val="11Bodytext"/>
      </w:pPr>
      <w:r>
        <w:t xml:space="preserve">The need for specialist housing for older persons is typically modelled by applying prevalence rates to current and projected population changes and considering the level of existing supply. There are several ‘models’ for doing this, but they all essentially work in the same way. </w:t>
      </w:r>
    </w:p>
    <w:p w14:paraId="1D04A9E8" w14:textId="77777777" w:rsidR="00970D21" w:rsidRDefault="00970D21" w:rsidP="007D0FBF">
      <w:pPr>
        <w:pStyle w:val="11Bodytext"/>
      </w:pPr>
      <w:r>
        <w:t xml:space="preserve">The model results are particularly sensitive to the prevalence rates applied, which typically describe the proportion of people aged over 75 who could be expected to live in different forms of specialist housing. </w:t>
      </w:r>
    </w:p>
    <w:p w14:paraId="56F6E0E1" w14:textId="77777777" w:rsidR="00970D21" w:rsidRDefault="00970D21" w:rsidP="007D0FBF">
      <w:pPr>
        <w:pStyle w:val="11Bodytext"/>
      </w:pPr>
      <w:r>
        <w:t>It should be noted that the prevalence rates used in the following sections while based on those aged over 75 do not automatically mean that housing with care and housing with support is only occupied by those aged over 75. Rather they are using this age group as a way of estimating demand. Therefore, the need for those under 75 will also be picked up in these calculations.</w:t>
      </w:r>
    </w:p>
    <w:p w14:paraId="581DE909" w14:textId="77777777" w:rsidR="00970D21" w:rsidRPr="00B92D2D" w:rsidRDefault="00970D21" w:rsidP="007D0FBF">
      <w:pPr>
        <w:pStyle w:val="11Bodytext"/>
        <w:rPr>
          <w:color w:val="auto"/>
        </w:rPr>
      </w:pPr>
      <w:r>
        <w:lastRenderedPageBreak/>
        <w:t xml:space="preserve">We have drawn on some data </w:t>
      </w:r>
      <w:r w:rsidRPr="00B92D2D">
        <w:rPr>
          <w:color w:val="auto"/>
        </w:rPr>
        <w:t>from the Housing Learning and Information Network (Housing LIN) Shop@ online toolkit (</w:t>
      </w:r>
      <w:hyperlink r:id="rId56" w:history="1">
        <w:r w:rsidRPr="00B92D2D">
          <w:rPr>
            <w:rStyle w:val="Hyperlink"/>
            <w:color w:val="auto"/>
          </w:rPr>
          <w:t>SHOP@ toolkit</w:t>
        </w:r>
      </w:hyperlink>
      <w:r w:rsidRPr="00B92D2D">
        <w:rPr>
          <w:color w:val="auto"/>
        </w:rPr>
        <w:t>). This data is considered alongside demographic projections to indicate the potential level of additional specialist housing that might be required for older people in the future. Through discussions with Housing LIN, it is clear that:</w:t>
      </w:r>
    </w:p>
    <w:p w14:paraId="0E81DB2F" w14:textId="77777777" w:rsidR="00970D21" w:rsidRPr="00B92D2D" w:rsidRDefault="00970D21" w:rsidP="00097650">
      <w:pPr>
        <w:pStyle w:val="10BulletBodytext"/>
        <w:rPr>
          <w:color w:val="auto"/>
        </w:rPr>
      </w:pPr>
      <w:r w:rsidRPr="00B92D2D">
        <w:rPr>
          <w:color w:val="auto"/>
        </w:rPr>
        <w:t>Housing LIN considers that the prevalence rates used should be assessed taking account of an authority’s strategy for delivering specialist housing for older people. The degree for instance which the Council want to require extra care housing as an alternative to residential care provision would influence the balance of need.</w:t>
      </w:r>
    </w:p>
    <w:p w14:paraId="087EDC61" w14:textId="0DD09EF4" w:rsidR="00970D21" w:rsidRPr="00B92D2D" w:rsidRDefault="00970D21" w:rsidP="00097650">
      <w:pPr>
        <w:pStyle w:val="10BulletBodytext"/>
        <w:rPr>
          <w:color w:val="auto"/>
        </w:rPr>
      </w:pPr>
      <w:r w:rsidRPr="00B92D2D">
        <w:rPr>
          <w:color w:val="auto"/>
        </w:rPr>
        <w:t xml:space="preserve">The Housing LIN model has been influenced by existing levels of provision and their view on what future level of provision might be reasonable taking account of how the market is developing, funding availability, etc. There is a degree to which the model and assumptions within it do not fully capture the growing recent private sector interest and involvement in the sector. </w:t>
      </w:r>
    </w:p>
    <w:p w14:paraId="05D92C77" w14:textId="77777777" w:rsidR="00970D21" w:rsidRDefault="00970D21" w:rsidP="007D0FBF">
      <w:pPr>
        <w:pStyle w:val="11Bodytext"/>
      </w:pPr>
      <w:r w:rsidRPr="00B92D2D">
        <w:rPr>
          <w:color w:val="auto"/>
        </w:rPr>
        <w:t xml:space="preserve">It is also worth noting that that in November 2017, the Centre for Regional Economic and Social Research (CRESR) produced an </w:t>
      </w:r>
      <w:hyperlink r:id="rId57" w:history="1">
        <w:r w:rsidRPr="00B92D2D">
          <w:rPr>
            <w:rStyle w:val="Hyperlink"/>
            <w:color w:val="auto"/>
          </w:rPr>
          <w:t>assessment of need</w:t>
        </w:r>
      </w:hyperlink>
      <w:r w:rsidRPr="00B92D2D">
        <w:rPr>
          <w:color w:val="auto"/>
        </w:rPr>
        <w:t xml:space="preserve"> for </w:t>
      </w:r>
      <w:r>
        <w:t xml:space="preserve">specialist housing for older people in Greater Cambridge over the period 2017-2036. </w:t>
      </w:r>
    </w:p>
    <w:p w14:paraId="778B7FAF" w14:textId="77777777" w:rsidR="00970D21" w:rsidRDefault="00970D21" w:rsidP="007D0FBF">
      <w:pPr>
        <w:pStyle w:val="11Bodytext"/>
      </w:pPr>
      <w:r>
        <w:t>The method developed sought to qualify methods (such as SHOP@) that use pre-set prevalence rates for demand among older people by developing a recommended level of provision based on the performance of local authorities in delivering such dwellings.</w:t>
      </w:r>
      <w:r>
        <w:rPr>
          <w:rStyle w:val="FootnoteReference"/>
        </w:rPr>
        <w:footnoteReference w:id="37"/>
      </w:r>
      <w:r>
        <w:t xml:space="preserve"> </w:t>
      </w:r>
    </w:p>
    <w:p w14:paraId="3DAE4E17" w14:textId="6260AFCF" w:rsidR="00970D21" w:rsidRDefault="00970D21" w:rsidP="007D0FBF">
      <w:pPr>
        <w:pStyle w:val="11Bodytext"/>
      </w:pPr>
      <w:r>
        <w:t xml:space="preserve">While the CRESR approach arrives at similar recommendations regards future </w:t>
      </w:r>
      <w:proofErr w:type="spellStart"/>
      <w:r>
        <w:t>provsion</w:t>
      </w:r>
      <w:proofErr w:type="spellEnd"/>
      <w:r>
        <w:t xml:space="preserve"> (the CRESR model recommends that by 2035, the supply of specialist housing will need to be 80 per cent higher than present, at 6,163 units; this compares with the figure from the SHOP@ tool of 6,632) a different balance is put forward as regards tenure of homes. CRESR suggests nearly 3,000 additional rental units will be required by 2035</w:t>
      </w:r>
      <w:r>
        <w:rPr>
          <w:rStyle w:val="FootnoteReference"/>
        </w:rPr>
        <w:footnoteReference w:id="38"/>
      </w:r>
      <w:r>
        <w:t>.</w:t>
      </w:r>
    </w:p>
    <w:p w14:paraId="62F6A963" w14:textId="77777777" w:rsidR="00970D21" w:rsidRDefault="00970D21" w:rsidP="007D0FBF">
      <w:pPr>
        <w:pStyle w:val="11Bodytext"/>
      </w:pPr>
      <w:r>
        <w:lastRenderedPageBreak/>
        <w:t>Housing LIN’s SHOP@ toolkit sets out a series of baseline rates that form a starting point for deciding what level of supply is appropriate. These baseline rates are:</w:t>
      </w:r>
    </w:p>
    <w:p w14:paraId="2BCD1D6C" w14:textId="77777777" w:rsidR="00970D21" w:rsidRDefault="00970D21" w:rsidP="00097650">
      <w:pPr>
        <w:pStyle w:val="10BulletBodytext"/>
      </w:pPr>
      <w:r>
        <w:t xml:space="preserve">Housing with Support (retirement/sheltered housing) – 125 units per 1,000 population aged 75 and over; </w:t>
      </w:r>
    </w:p>
    <w:p w14:paraId="76EE85A2" w14:textId="77777777" w:rsidR="00970D21" w:rsidRDefault="00970D21" w:rsidP="00097650">
      <w:pPr>
        <w:pStyle w:val="10BulletBodytext"/>
      </w:pPr>
      <w:r>
        <w:t xml:space="preserve">Housing with Care (enhanced sheltered and extra-care housing) – 45 units per 1,000 population aged 75 and over; and </w:t>
      </w:r>
    </w:p>
    <w:p w14:paraId="37898A0B" w14:textId="77777777" w:rsidR="00970D21" w:rsidRDefault="00970D21" w:rsidP="00097650">
      <w:pPr>
        <w:pStyle w:val="10BulletBodytext"/>
      </w:pPr>
      <w:r>
        <w:t>Residential care bedspaces (residential and nursing care) – 110 units (bedspaces) per 1,000 population aged 75 and over.</w:t>
      </w:r>
    </w:p>
    <w:p w14:paraId="32819AF1" w14:textId="77777777" w:rsidR="00970D21" w:rsidRDefault="00970D21" w:rsidP="007D0FBF">
      <w:pPr>
        <w:pStyle w:val="11Bodytext"/>
      </w:pPr>
      <w:r>
        <w:t xml:space="preserve">Following the Housing LIN methodology, an initial adjustment has then been made to these rates to reflect the relative health of the local older person population in comparison to the national average. This has been based on Census data </w:t>
      </w:r>
      <w:r w:rsidRPr="00B92D2D">
        <w:rPr>
          <w:color w:val="auto"/>
        </w:rPr>
        <w:t>(</w:t>
      </w:r>
      <w:hyperlink r:id="rId58" w:tooltip="Start a query using this dataset" w:history="1">
        <w:r w:rsidRPr="00B92D2D">
          <w:rPr>
            <w:rStyle w:val="Hyperlink"/>
            <w:rFonts w:ascii="Verdana" w:hAnsi="Verdana"/>
            <w:color w:val="auto"/>
          </w:rPr>
          <w:t>DC3201EW</w:t>
        </w:r>
      </w:hyperlink>
      <w:r w:rsidRPr="00B92D2D">
        <w:rPr>
          <w:color w:val="auto"/>
        </w:rPr>
        <w:t xml:space="preserve">) about </w:t>
      </w:r>
      <w:r>
        <w:t xml:space="preserve">the proportion of people aged 65 and over who have a long-term health problem or disability compared with the England average. </w:t>
      </w:r>
    </w:p>
    <w:p w14:paraId="3121EC50" w14:textId="77777777" w:rsidR="00970D21" w:rsidRDefault="00970D21" w:rsidP="007D0FBF">
      <w:pPr>
        <w:pStyle w:val="11Bodytext"/>
      </w:pPr>
      <w:r>
        <w:t>In the HMA, the data shows slightly better health in the older person population and so the prevalence rates used have been decreased slightly (by an average of around 8%) – this figure is based on comparing the proportion of people aged 65 and over with a long term health problems or disability</w:t>
      </w:r>
      <w:r>
        <w:rPr>
          <w:rStyle w:val="FootnoteReference"/>
        </w:rPr>
        <w:footnoteReference w:id="39"/>
      </w:r>
      <w:r>
        <w:t xml:space="preserve"> (LTHPD) in the HMA (49%) with the equivalent figure for England (53%). Specific adjustments have been made for each local authority.</w:t>
      </w:r>
    </w:p>
    <w:p w14:paraId="7D738DF4" w14:textId="4AEC1760" w:rsidR="00970D21" w:rsidRDefault="00970D21" w:rsidP="007D0FBF">
      <w:pPr>
        <w:pStyle w:val="11Bodytext"/>
      </w:pPr>
      <w:r>
        <w:t xml:space="preserve">A second local adjustment has been to estimate a tenure split for the housing with support and housing with care categories. This again draws on the Shop@ toolkit which suggests that more affluent local authorities could expect a higher proportion of their specialist housing to be in the market sector. The table below sets out the estimated tenure split within the housing with support and housing with care typologies within each of the Council areas. </w:t>
      </w:r>
    </w:p>
    <w:p w14:paraId="5E4994DD" w14:textId="153EEC7C" w:rsidR="005B02AD" w:rsidRDefault="005B02AD" w:rsidP="007D0FBF">
      <w:pPr>
        <w:pStyle w:val="11Bodytext"/>
        <w:numPr>
          <w:ilvl w:val="0"/>
          <w:numId w:val="0"/>
        </w:numPr>
        <w:ind w:left="794"/>
      </w:pPr>
    </w:p>
    <w:p w14:paraId="2A0306C6" w14:textId="51B11E53" w:rsidR="005B02AD" w:rsidRDefault="005B02AD" w:rsidP="007D0FBF">
      <w:pPr>
        <w:pStyle w:val="11Bodytext"/>
        <w:numPr>
          <w:ilvl w:val="0"/>
          <w:numId w:val="0"/>
        </w:numPr>
        <w:ind w:left="794"/>
      </w:pPr>
    </w:p>
    <w:p w14:paraId="5519C220" w14:textId="51D2B312" w:rsidR="00970D21" w:rsidRDefault="00970D21" w:rsidP="003D5E23">
      <w:pPr>
        <w:pStyle w:val="Tableheading"/>
        <w:numPr>
          <w:ilvl w:val="0"/>
          <w:numId w:val="54"/>
        </w:numPr>
      </w:pPr>
      <w:r>
        <w:lastRenderedPageBreak/>
        <w:t xml:space="preserve"> Tenure split of current requirement within the housing with support and housing with care typologies</w:t>
      </w:r>
    </w:p>
    <w:tbl>
      <w:tblPr>
        <w:tblStyle w:val="TableGridLight1"/>
        <w:tblW w:w="8042" w:type="dxa"/>
        <w:tblInd w:w="846" w:type="dxa"/>
        <w:tblLook w:val="04A0" w:firstRow="1" w:lastRow="0" w:firstColumn="1" w:lastColumn="0" w:noHBand="0" w:noVBand="1"/>
      </w:tblPr>
      <w:tblGrid>
        <w:gridCol w:w="2034"/>
        <w:gridCol w:w="1502"/>
        <w:gridCol w:w="1502"/>
        <w:gridCol w:w="1502"/>
        <w:gridCol w:w="1502"/>
      </w:tblGrid>
      <w:tr w:rsidR="00B92D2D" w:rsidRPr="00B92D2D" w14:paraId="7B10FEDD" w14:textId="77777777" w:rsidTr="00B92D2D">
        <w:trPr>
          <w:cnfStyle w:val="100000000000" w:firstRow="1" w:lastRow="0" w:firstColumn="0" w:lastColumn="0" w:oddVBand="0" w:evenVBand="0" w:oddHBand="0"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2034" w:type="dxa"/>
            <w:noWrap/>
            <w:hideMark/>
          </w:tcPr>
          <w:p w14:paraId="459A74D4" w14:textId="77777777" w:rsidR="00B92D2D" w:rsidRPr="00B92D2D" w:rsidRDefault="00B92D2D" w:rsidP="00B92D2D">
            <w:pPr>
              <w:rPr>
                <w:rFonts w:ascii="Times New Roman" w:hAnsi="Times New Roman"/>
                <w:color w:val="auto"/>
                <w:szCs w:val="24"/>
                <w:lang w:eastAsia="en-GB"/>
              </w:rPr>
            </w:pPr>
          </w:p>
        </w:tc>
        <w:tc>
          <w:tcPr>
            <w:tcW w:w="1502" w:type="dxa"/>
            <w:textDirection w:val="btLr"/>
            <w:hideMark/>
          </w:tcPr>
          <w:p w14:paraId="5180CAA5" w14:textId="77777777" w:rsidR="00B92D2D" w:rsidRPr="00B92D2D" w:rsidRDefault="00B92D2D" w:rsidP="00B92D2D">
            <w:pPr>
              <w:jc w:val="left"/>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Housing with support (Market)</w:t>
            </w:r>
          </w:p>
        </w:tc>
        <w:tc>
          <w:tcPr>
            <w:tcW w:w="1502" w:type="dxa"/>
            <w:textDirection w:val="btLr"/>
            <w:hideMark/>
          </w:tcPr>
          <w:p w14:paraId="54EB0FC8" w14:textId="77777777" w:rsidR="00B92D2D" w:rsidRPr="00B92D2D" w:rsidRDefault="00B92D2D" w:rsidP="00B92D2D">
            <w:pPr>
              <w:jc w:val="left"/>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Housing with support (Affordable)</w:t>
            </w:r>
          </w:p>
        </w:tc>
        <w:tc>
          <w:tcPr>
            <w:tcW w:w="1502" w:type="dxa"/>
            <w:textDirection w:val="btLr"/>
            <w:hideMark/>
          </w:tcPr>
          <w:p w14:paraId="58C93E73" w14:textId="77777777" w:rsidR="00B92D2D" w:rsidRPr="00B92D2D" w:rsidRDefault="00B92D2D" w:rsidP="00B92D2D">
            <w:pPr>
              <w:jc w:val="left"/>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Housing with care (Market)</w:t>
            </w:r>
          </w:p>
        </w:tc>
        <w:tc>
          <w:tcPr>
            <w:tcW w:w="1502" w:type="dxa"/>
            <w:textDirection w:val="btLr"/>
            <w:hideMark/>
          </w:tcPr>
          <w:p w14:paraId="3B6DB6F7" w14:textId="77777777" w:rsidR="00B92D2D" w:rsidRPr="00B92D2D" w:rsidRDefault="00B92D2D" w:rsidP="00B92D2D">
            <w:pPr>
              <w:jc w:val="left"/>
              <w:cnfStyle w:val="100000000000" w:firstRow="1"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Housing with care (Affordable)</w:t>
            </w:r>
          </w:p>
        </w:tc>
      </w:tr>
      <w:tr w:rsidR="00B92D2D" w:rsidRPr="00B92D2D" w14:paraId="191BC2D2"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560E5C05" w14:textId="77777777" w:rsidR="00B92D2D" w:rsidRPr="00B92D2D" w:rsidRDefault="00B92D2D" w:rsidP="00B92D2D">
            <w:pPr>
              <w:rPr>
                <w:color w:val="000000"/>
                <w:szCs w:val="24"/>
                <w:lang w:eastAsia="en-GB"/>
              </w:rPr>
            </w:pPr>
            <w:r w:rsidRPr="00B92D2D">
              <w:rPr>
                <w:color w:val="000000"/>
                <w:szCs w:val="24"/>
                <w:lang w:eastAsia="en-GB"/>
              </w:rPr>
              <w:t>Cambridge</w:t>
            </w:r>
          </w:p>
        </w:tc>
        <w:tc>
          <w:tcPr>
            <w:tcW w:w="1502" w:type="dxa"/>
            <w:noWrap/>
            <w:hideMark/>
          </w:tcPr>
          <w:p w14:paraId="7FED0FD8"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62%</w:t>
            </w:r>
          </w:p>
        </w:tc>
        <w:tc>
          <w:tcPr>
            <w:tcW w:w="1502" w:type="dxa"/>
            <w:noWrap/>
            <w:hideMark/>
          </w:tcPr>
          <w:p w14:paraId="4485BE1D"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38%</w:t>
            </w:r>
          </w:p>
        </w:tc>
        <w:tc>
          <w:tcPr>
            <w:tcW w:w="1502" w:type="dxa"/>
            <w:noWrap/>
            <w:hideMark/>
          </w:tcPr>
          <w:p w14:paraId="59DB470F"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54%</w:t>
            </w:r>
          </w:p>
        </w:tc>
        <w:tc>
          <w:tcPr>
            <w:tcW w:w="1502" w:type="dxa"/>
            <w:noWrap/>
            <w:hideMark/>
          </w:tcPr>
          <w:p w14:paraId="4C41F333"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46%</w:t>
            </w:r>
          </w:p>
        </w:tc>
      </w:tr>
      <w:tr w:rsidR="00B92D2D" w:rsidRPr="00B92D2D" w14:paraId="2586FCF5"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590DBD37" w14:textId="77777777" w:rsidR="00B92D2D" w:rsidRPr="00B92D2D" w:rsidRDefault="00B92D2D" w:rsidP="00B92D2D">
            <w:pPr>
              <w:rPr>
                <w:color w:val="000000"/>
                <w:szCs w:val="24"/>
                <w:lang w:eastAsia="en-GB"/>
              </w:rPr>
            </w:pPr>
            <w:r w:rsidRPr="00B92D2D">
              <w:rPr>
                <w:color w:val="000000"/>
                <w:szCs w:val="24"/>
                <w:lang w:eastAsia="en-GB"/>
              </w:rPr>
              <w:t>East Cambs</w:t>
            </w:r>
          </w:p>
        </w:tc>
        <w:tc>
          <w:tcPr>
            <w:tcW w:w="1502" w:type="dxa"/>
            <w:noWrap/>
            <w:hideMark/>
          </w:tcPr>
          <w:p w14:paraId="7F20D964"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63%</w:t>
            </w:r>
          </w:p>
        </w:tc>
        <w:tc>
          <w:tcPr>
            <w:tcW w:w="1502" w:type="dxa"/>
            <w:noWrap/>
            <w:hideMark/>
          </w:tcPr>
          <w:p w14:paraId="2A40DF8B"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37%</w:t>
            </w:r>
          </w:p>
        </w:tc>
        <w:tc>
          <w:tcPr>
            <w:tcW w:w="1502" w:type="dxa"/>
            <w:noWrap/>
            <w:hideMark/>
          </w:tcPr>
          <w:p w14:paraId="15CCA80C"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56%</w:t>
            </w:r>
          </w:p>
        </w:tc>
        <w:tc>
          <w:tcPr>
            <w:tcW w:w="1502" w:type="dxa"/>
            <w:noWrap/>
            <w:hideMark/>
          </w:tcPr>
          <w:p w14:paraId="675791F3"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44%</w:t>
            </w:r>
          </w:p>
        </w:tc>
      </w:tr>
      <w:tr w:rsidR="00B92D2D" w:rsidRPr="00B92D2D" w14:paraId="79DA605C"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46A30923" w14:textId="77777777" w:rsidR="00B92D2D" w:rsidRPr="00B92D2D" w:rsidRDefault="00B92D2D" w:rsidP="00B92D2D">
            <w:pPr>
              <w:rPr>
                <w:color w:val="000000"/>
                <w:szCs w:val="24"/>
                <w:lang w:eastAsia="en-GB"/>
              </w:rPr>
            </w:pPr>
            <w:r w:rsidRPr="00B92D2D">
              <w:rPr>
                <w:color w:val="000000"/>
                <w:szCs w:val="24"/>
                <w:lang w:eastAsia="en-GB"/>
              </w:rPr>
              <w:t>Fenland</w:t>
            </w:r>
          </w:p>
        </w:tc>
        <w:tc>
          <w:tcPr>
            <w:tcW w:w="1502" w:type="dxa"/>
            <w:noWrap/>
            <w:hideMark/>
          </w:tcPr>
          <w:p w14:paraId="77A25E26"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53%</w:t>
            </w:r>
          </w:p>
        </w:tc>
        <w:tc>
          <w:tcPr>
            <w:tcW w:w="1502" w:type="dxa"/>
            <w:noWrap/>
            <w:hideMark/>
          </w:tcPr>
          <w:p w14:paraId="2B02E13A"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47%</w:t>
            </w:r>
          </w:p>
        </w:tc>
        <w:tc>
          <w:tcPr>
            <w:tcW w:w="1502" w:type="dxa"/>
            <w:noWrap/>
            <w:hideMark/>
          </w:tcPr>
          <w:p w14:paraId="288726A5"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45%</w:t>
            </w:r>
          </w:p>
        </w:tc>
        <w:tc>
          <w:tcPr>
            <w:tcW w:w="1502" w:type="dxa"/>
            <w:noWrap/>
            <w:hideMark/>
          </w:tcPr>
          <w:p w14:paraId="63E240BC"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55%</w:t>
            </w:r>
          </w:p>
        </w:tc>
      </w:tr>
      <w:tr w:rsidR="00B92D2D" w:rsidRPr="00B92D2D" w14:paraId="623ADB81"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49AF911F" w14:textId="77777777" w:rsidR="00B92D2D" w:rsidRPr="00B92D2D" w:rsidRDefault="00B92D2D" w:rsidP="00B92D2D">
            <w:pPr>
              <w:rPr>
                <w:color w:val="000000"/>
                <w:szCs w:val="24"/>
                <w:lang w:eastAsia="en-GB"/>
              </w:rPr>
            </w:pPr>
            <w:r w:rsidRPr="00B92D2D">
              <w:rPr>
                <w:color w:val="000000"/>
                <w:szCs w:val="24"/>
                <w:lang w:eastAsia="en-GB"/>
              </w:rPr>
              <w:t>Hunts</w:t>
            </w:r>
          </w:p>
        </w:tc>
        <w:tc>
          <w:tcPr>
            <w:tcW w:w="1502" w:type="dxa"/>
            <w:noWrap/>
            <w:hideMark/>
          </w:tcPr>
          <w:p w14:paraId="6F5F3B15"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64%</w:t>
            </w:r>
          </w:p>
        </w:tc>
        <w:tc>
          <w:tcPr>
            <w:tcW w:w="1502" w:type="dxa"/>
            <w:noWrap/>
            <w:hideMark/>
          </w:tcPr>
          <w:p w14:paraId="336A9941"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36%</w:t>
            </w:r>
          </w:p>
        </w:tc>
        <w:tc>
          <w:tcPr>
            <w:tcW w:w="1502" w:type="dxa"/>
            <w:noWrap/>
            <w:hideMark/>
          </w:tcPr>
          <w:p w14:paraId="1B861993"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56%</w:t>
            </w:r>
          </w:p>
        </w:tc>
        <w:tc>
          <w:tcPr>
            <w:tcW w:w="1502" w:type="dxa"/>
            <w:noWrap/>
            <w:hideMark/>
          </w:tcPr>
          <w:p w14:paraId="028FD068"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44%</w:t>
            </w:r>
          </w:p>
        </w:tc>
      </w:tr>
      <w:tr w:rsidR="00B92D2D" w:rsidRPr="00B92D2D" w14:paraId="6AB2AAAE"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0703C6C6" w14:textId="77777777" w:rsidR="00B92D2D" w:rsidRPr="00B92D2D" w:rsidRDefault="00B92D2D" w:rsidP="00B92D2D">
            <w:pPr>
              <w:rPr>
                <w:color w:val="000000"/>
                <w:szCs w:val="24"/>
                <w:lang w:eastAsia="en-GB"/>
              </w:rPr>
            </w:pPr>
            <w:r w:rsidRPr="00B92D2D">
              <w:rPr>
                <w:color w:val="000000"/>
                <w:szCs w:val="24"/>
                <w:lang w:eastAsia="en-GB"/>
              </w:rPr>
              <w:t>South Cambs</w:t>
            </w:r>
          </w:p>
        </w:tc>
        <w:tc>
          <w:tcPr>
            <w:tcW w:w="1502" w:type="dxa"/>
            <w:noWrap/>
            <w:hideMark/>
          </w:tcPr>
          <w:p w14:paraId="36ED5B6B"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66%</w:t>
            </w:r>
          </w:p>
        </w:tc>
        <w:tc>
          <w:tcPr>
            <w:tcW w:w="1502" w:type="dxa"/>
            <w:noWrap/>
            <w:hideMark/>
          </w:tcPr>
          <w:p w14:paraId="4AD8E845"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34%</w:t>
            </w:r>
          </w:p>
        </w:tc>
        <w:tc>
          <w:tcPr>
            <w:tcW w:w="1502" w:type="dxa"/>
            <w:noWrap/>
            <w:hideMark/>
          </w:tcPr>
          <w:p w14:paraId="7E537515"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59%</w:t>
            </w:r>
          </w:p>
        </w:tc>
        <w:tc>
          <w:tcPr>
            <w:tcW w:w="1502" w:type="dxa"/>
            <w:noWrap/>
            <w:hideMark/>
          </w:tcPr>
          <w:p w14:paraId="62BF948C"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41%</w:t>
            </w:r>
          </w:p>
        </w:tc>
      </w:tr>
      <w:tr w:rsidR="00B92D2D" w:rsidRPr="00B92D2D" w14:paraId="0FC886CD"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634ABDA9" w14:textId="77777777" w:rsidR="00B92D2D" w:rsidRPr="00B92D2D" w:rsidRDefault="00B92D2D" w:rsidP="00B92D2D">
            <w:pPr>
              <w:rPr>
                <w:color w:val="000000"/>
                <w:szCs w:val="24"/>
                <w:lang w:eastAsia="en-GB"/>
              </w:rPr>
            </w:pPr>
            <w:r w:rsidRPr="00B92D2D">
              <w:rPr>
                <w:color w:val="000000"/>
                <w:szCs w:val="24"/>
                <w:lang w:eastAsia="en-GB"/>
              </w:rPr>
              <w:t>West Suffolk</w:t>
            </w:r>
          </w:p>
        </w:tc>
        <w:tc>
          <w:tcPr>
            <w:tcW w:w="1502" w:type="dxa"/>
            <w:noWrap/>
            <w:hideMark/>
          </w:tcPr>
          <w:p w14:paraId="455ADE2D"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59%</w:t>
            </w:r>
          </w:p>
        </w:tc>
        <w:tc>
          <w:tcPr>
            <w:tcW w:w="1502" w:type="dxa"/>
            <w:noWrap/>
            <w:hideMark/>
          </w:tcPr>
          <w:p w14:paraId="4A0A3FC3"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41%</w:t>
            </w:r>
          </w:p>
        </w:tc>
        <w:tc>
          <w:tcPr>
            <w:tcW w:w="1502" w:type="dxa"/>
            <w:noWrap/>
            <w:hideMark/>
          </w:tcPr>
          <w:p w14:paraId="063CE666"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52%</w:t>
            </w:r>
          </w:p>
        </w:tc>
        <w:tc>
          <w:tcPr>
            <w:tcW w:w="1502" w:type="dxa"/>
            <w:noWrap/>
            <w:hideMark/>
          </w:tcPr>
          <w:p w14:paraId="695F8043"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48%</w:t>
            </w:r>
          </w:p>
        </w:tc>
      </w:tr>
      <w:tr w:rsidR="00B92D2D" w:rsidRPr="00B92D2D" w14:paraId="5B22F818" w14:textId="77777777" w:rsidTr="00B92D2D">
        <w:trPr>
          <w:trHeight w:val="285"/>
        </w:trPr>
        <w:tc>
          <w:tcPr>
            <w:cnfStyle w:val="001000000000" w:firstRow="0" w:lastRow="0" w:firstColumn="1" w:lastColumn="0" w:oddVBand="0" w:evenVBand="0" w:oddHBand="0" w:evenHBand="0" w:firstRowFirstColumn="0" w:firstRowLastColumn="0" w:lastRowFirstColumn="0" w:lastRowLastColumn="0"/>
            <w:tcW w:w="2034" w:type="dxa"/>
            <w:noWrap/>
            <w:hideMark/>
          </w:tcPr>
          <w:p w14:paraId="1AE80EA3" w14:textId="77777777" w:rsidR="00B92D2D" w:rsidRPr="00B92D2D" w:rsidRDefault="00B92D2D" w:rsidP="00B92D2D">
            <w:pPr>
              <w:rPr>
                <w:color w:val="000000"/>
                <w:szCs w:val="24"/>
                <w:lang w:eastAsia="en-GB"/>
              </w:rPr>
            </w:pPr>
            <w:r w:rsidRPr="00B92D2D">
              <w:rPr>
                <w:color w:val="000000"/>
                <w:szCs w:val="24"/>
                <w:lang w:eastAsia="en-GB"/>
              </w:rPr>
              <w:t>HMA</w:t>
            </w:r>
          </w:p>
        </w:tc>
        <w:tc>
          <w:tcPr>
            <w:tcW w:w="1502" w:type="dxa"/>
            <w:noWrap/>
            <w:hideMark/>
          </w:tcPr>
          <w:p w14:paraId="5386447A"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61%</w:t>
            </w:r>
          </w:p>
        </w:tc>
        <w:tc>
          <w:tcPr>
            <w:tcW w:w="1502" w:type="dxa"/>
            <w:noWrap/>
            <w:hideMark/>
          </w:tcPr>
          <w:p w14:paraId="60FDDE2D"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39%</w:t>
            </w:r>
          </w:p>
        </w:tc>
        <w:tc>
          <w:tcPr>
            <w:tcW w:w="1502" w:type="dxa"/>
            <w:noWrap/>
            <w:hideMark/>
          </w:tcPr>
          <w:p w14:paraId="064146BB"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54%</w:t>
            </w:r>
          </w:p>
        </w:tc>
        <w:tc>
          <w:tcPr>
            <w:tcW w:w="1502" w:type="dxa"/>
            <w:noWrap/>
            <w:hideMark/>
          </w:tcPr>
          <w:p w14:paraId="11433A5F" w14:textId="77777777" w:rsidR="00B92D2D" w:rsidRPr="00B92D2D" w:rsidRDefault="00B92D2D" w:rsidP="00B92D2D">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B92D2D">
              <w:rPr>
                <w:color w:val="000000"/>
                <w:szCs w:val="24"/>
                <w:lang w:eastAsia="en-GB"/>
              </w:rPr>
              <w:t>46%</w:t>
            </w:r>
          </w:p>
        </w:tc>
      </w:tr>
    </w:tbl>
    <w:p w14:paraId="239DF597" w14:textId="77777777" w:rsidR="00970D21" w:rsidRDefault="00970D21" w:rsidP="00B92D2D">
      <w:pPr>
        <w:pStyle w:val="11Bodytext"/>
        <w:numPr>
          <w:ilvl w:val="0"/>
          <w:numId w:val="0"/>
        </w:numPr>
        <w:spacing w:before="0"/>
        <w:ind w:left="794"/>
      </w:pPr>
      <w:r>
        <w:t>Source: GLH calculations</w:t>
      </w:r>
    </w:p>
    <w:p w14:paraId="7DE378B2" w14:textId="77777777" w:rsidR="00970D21" w:rsidRDefault="00970D21" w:rsidP="007D0FBF">
      <w:pPr>
        <w:pStyle w:val="11Bodytext"/>
      </w:pPr>
      <w:r>
        <w:t xml:space="preserve">Using the </w:t>
      </w:r>
      <w:r w:rsidRPr="00B92D2D">
        <w:rPr>
          <w:color w:val="auto"/>
        </w:rPr>
        <w:t xml:space="preserve">2019 </w:t>
      </w:r>
      <w:hyperlink r:id="rId59" w:history="1">
        <w:r w:rsidRPr="00B92D2D">
          <w:rPr>
            <w:rStyle w:val="Hyperlink"/>
            <w:color w:val="auto"/>
          </w:rPr>
          <w:t>Index of Multiple Deprivation</w:t>
        </w:r>
      </w:hyperlink>
      <w:r w:rsidRPr="00B92D2D">
        <w:rPr>
          <w:color w:val="auto"/>
        </w:rPr>
        <w:t xml:space="preserve"> (IMD) </w:t>
      </w:r>
      <w:r>
        <w:t>data, the analysis suggests a wide range of levels of deprivation across the study area, with Fenland being the 51</w:t>
      </w:r>
      <w:r w:rsidRPr="00526C6E">
        <w:rPr>
          <w:vertAlign w:val="superscript"/>
        </w:rPr>
        <w:t>st</w:t>
      </w:r>
      <w:r>
        <w:t xml:space="preserve"> most deprived local authority in England (out of 317) and South Cambridgeshire the 300</w:t>
      </w:r>
      <w:r w:rsidRPr="00526C6E">
        <w:rPr>
          <w:vertAlign w:val="superscript"/>
        </w:rPr>
        <w:t>th</w:t>
      </w:r>
      <w:r>
        <w:t xml:space="preserve"> least deprived. This suggests a higher need for market homes for older people in South Cambridgeshire and a higher need for rental housing in Fenland (the other authorities fit somewhere in this range). </w:t>
      </w:r>
    </w:p>
    <w:p w14:paraId="1A9A3283" w14:textId="77777777" w:rsidR="00970D21" w:rsidRPr="00B92D2D" w:rsidRDefault="00970D21" w:rsidP="007D0FBF">
      <w:pPr>
        <w:pStyle w:val="11Bodytext"/>
        <w:rPr>
          <w:color w:val="auto"/>
        </w:rPr>
      </w:pPr>
      <w:r>
        <w:t xml:space="preserve">This analysis suggests a need for 157 units of specialist accommodation per 1,000 population aged 75 and over across the HMA, and of these 93 (59%) are for market </w:t>
      </w:r>
      <w:r w:rsidRPr="00B92D2D">
        <w:rPr>
          <w:color w:val="auto"/>
        </w:rPr>
        <w:t xml:space="preserve">housing. This is before any consideration of the current supply of specialist housing is made. Data about supply draws on a database from the </w:t>
      </w:r>
      <w:hyperlink r:id="rId60" w:history="1">
        <w:r w:rsidRPr="00B92D2D">
          <w:rPr>
            <w:rStyle w:val="Hyperlink"/>
            <w:color w:val="auto"/>
          </w:rPr>
          <w:t>Elderly</w:t>
        </w:r>
      </w:hyperlink>
      <w:r w:rsidRPr="00B92D2D">
        <w:rPr>
          <w:rStyle w:val="Hyperlink"/>
          <w:color w:val="auto"/>
        </w:rPr>
        <w:t xml:space="preserve"> Accommodation Counsel</w:t>
      </w:r>
      <w:r w:rsidRPr="00B92D2D">
        <w:rPr>
          <w:color w:val="auto"/>
        </w:rPr>
        <w:t xml:space="preserve"> (EAC).</w:t>
      </w:r>
    </w:p>
    <w:p w14:paraId="28908A28" w14:textId="519A46A8" w:rsidR="00647ED0" w:rsidRDefault="00970D21" w:rsidP="007D0FBF">
      <w:pPr>
        <w:pStyle w:val="11Bodytext"/>
      </w:pPr>
      <w:r w:rsidRPr="00B92D2D">
        <w:rPr>
          <w:color w:val="auto"/>
        </w:rPr>
        <w:t xml:space="preserve">The table below shows the estimated </w:t>
      </w:r>
      <w:r>
        <w:t>needs for different types of housing linked to the standard method population projections and age profile. The analysis shows a current surplus of rental housing with support (although a shortfall in all other types of property).</w:t>
      </w:r>
    </w:p>
    <w:p w14:paraId="2695710D" w14:textId="77777777" w:rsidR="00647ED0" w:rsidRDefault="00647ED0">
      <w:pPr>
        <w:spacing w:after="200"/>
        <w:rPr>
          <w:bCs/>
          <w:sz w:val="24"/>
          <w:szCs w:val="24"/>
        </w:rPr>
      </w:pPr>
      <w:r>
        <w:br w:type="page"/>
      </w:r>
    </w:p>
    <w:p w14:paraId="4C10EDB5" w14:textId="77777777" w:rsidR="00970D21" w:rsidRPr="00526C6E" w:rsidRDefault="00970D21" w:rsidP="007D0FBF">
      <w:pPr>
        <w:pStyle w:val="11Bodytext"/>
        <w:rPr>
          <w:b/>
        </w:rPr>
      </w:pPr>
      <w:r>
        <w:lastRenderedPageBreak/>
        <w:t>By 2040 there is a potentially high need for leasehold (market) accommodation. Overall, the analysis suggests a need for 11,805 additional units by 2040 (equivalent to 590 per annum – or 13% of the overall need shown by the Standard Method).</w:t>
      </w:r>
    </w:p>
    <w:p w14:paraId="407C160A" w14:textId="1C5E63F9" w:rsidR="00970D21" w:rsidRDefault="00970D21" w:rsidP="003D5E23">
      <w:pPr>
        <w:pStyle w:val="Tableheading"/>
        <w:numPr>
          <w:ilvl w:val="0"/>
          <w:numId w:val="54"/>
        </w:numPr>
      </w:pPr>
      <w:r>
        <w:t>Specialist Housing Need using SHOP@ Assumptions, 2020-40 – HMA (Units)</w:t>
      </w:r>
    </w:p>
    <w:tbl>
      <w:tblPr>
        <w:tblStyle w:val="TableGridLight1"/>
        <w:tblW w:w="8544" w:type="dxa"/>
        <w:tblInd w:w="846" w:type="dxa"/>
        <w:tblLook w:val="04A0" w:firstRow="1" w:lastRow="0" w:firstColumn="1" w:lastColumn="0" w:noHBand="0" w:noVBand="1"/>
      </w:tblPr>
      <w:tblGrid>
        <w:gridCol w:w="3118"/>
        <w:gridCol w:w="759"/>
        <w:gridCol w:w="709"/>
        <w:gridCol w:w="992"/>
        <w:gridCol w:w="987"/>
        <w:gridCol w:w="987"/>
        <w:gridCol w:w="992"/>
      </w:tblGrid>
      <w:tr w:rsidR="005E518A" w:rsidRPr="005E518A" w14:paraId="70F8CB51" w14:textId="77777777" w:rsidTr="00B92D2D">
        <w:trPr>
          <w:cnfStyle w:val="100000000000" w:firstRow="1" w:lastRow="0" w:firstColumn="0" w:lastColumn="0" w:oddVBand="0" w:evenVBand="0" w:oddHBand="0" w:evenHBand="0" w:firstRowFirstColumn="0" w:firstRowLastColumn="0" w:lastRowFirstColumn="0" w:lastRowLastColumn="0"/>
          <w:cantSplit/>
          <w:trHeight w:val="2226"/>
        </w:trPr>
        <w:tc>
          <w:tcPr>
            <w:cnfStyle w:val="001000000000" w:firstRow="0" w:lastRow="0" w:firstColumn="1" w:lastColumn="0" w:oddVBand="0" w:evenVBand="0" w:oddHBand="0" w:evenHBand="0" w:firstRowFirstColumn="0" w:firstRowLastColumn="0" w:lastRowFirstColumn="0" w:lastRowLastColumn="0"/>
            <w:tcW w:w="3118" w:type="dxa"/>
            <w:hideMark/>
          </w:tcPr>
          <w:p w14:paraId="5709E398" w14:textId="77777777" w:rsidR="005E518A" w:rsidRPr="005E518A" w:rsidRDefault="005E518A" w:rsidP="005E518A">
            <w:pPr>
              <w:rPr>
                <w:color w:val="auto"/>
                <w:lang w:eastAsia="en-GB"/>
              </w:rPr>
            </w:pPr>
            <w:r w:rsidRPr="005E518A">
              <w:rPr>
                <w:color w:val="auto"/>
                <w:lang w:val="en-US" w:eastAsia="en-GB"/>
              </w:rPr>
              <w:t> </w:t>
            </w:r>
          </w:p>
        </w:tc>
        <w:tc>
          <w:tcPr>
            <w:tcW w:w="759" w:type="dxa"/>
            <w:textDirection w:val="btLr"/>
            <w:hideMark/>
          </w:tcPr>
          <w:p w14:paraId="316D33EF" w14:textId="77777777" w:rsidR="005E518A" w:rsidRPr="005E518A" w:rsidRDefault="005E518A" w:rsidP="00B92D2D">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Housing demand per 1,000 75+</w:t>
            </w:r>
          </w:p>
        </w:tc>
        <w:tc>
          <w:tcPr>
            <w:tcW w:w="709" w:type="dxa"/>
            <w:textDirection w:val="btLr"/>
            <w:hideMark/>
          </w:tcPr>
          <w:p w14:paraId="456E1903" w14:textId="77777777" w:rsidR="005E518A" w:rsidRPr="005E518A" w:rsidRDefault="005E518A" w:rsidP="00B92D2D">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Supply</w:t>
            </w:r>
          </w:p>
        </w:tc>
        <w:tc>
          <w:tcPr>
            <w:tcW w:w="992" w:type="dxa"/>
            <w:textDirection w:val="btLr"/>
            <w:hideMark/>
          </w:tcPr>
          <w:p w14:paraId="2BC262FB" w14:textId="77777777" w:rsidR="005E518A" w:rsidRPr="005E518A" w:rsidRDefault="005E518A" w:rsidP="00B92D2D">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2020 Demand</w:t>
            </w:r>
          </w:p>
        </w:tc>
        <w:tc>
          <w:tcPr>
            <w:tcW w:w="987" w:type="dxa"/>
            <w:textDirection w:val="btLr"/>
            <w:hideMark/>
          </w:tcPr>
          <w:p w14:paraId="5B5BF752" w14:textId="77777777" w:rsidR="005E518A" w:rsidRPr="005E518A" w:rsidRDefault="005E518A" w:rsidP="00B92D2D">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Shortfall/ Surplus</w:t>
            </w:r>
          </w:p>
        </w:tc>
        <w:tc>
          <w:tcPr>
            <w:tcW w:w="987" w:type="dxa"/>
            <w:textDirection w:val="btLr"/>
            <w:hideMark/>
          </w:tcPr>
          <w:p w14:paraId="722BF135" w14:textId="77777777" w:rsidR="005E518A" w:rsidRPr="005E518A" w:rsidRDefault="005E518A" w:rsidP="00B92D2D">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Additional Demand to 2040</w:t>
            </w:r>
          </w:p>
        </w:tc>
        <w:tc>
          <w:tcPr>
            <w:tcW w:w="992" w:type="dxa"/>
            <w:textDirection w:val="btLr"/>
            <w:hideMark/>
          </w:tcPr>
          <w:p w14:paraId="1AD17817" w14:textId="77777777" w:rsidR="005E518A" w:rsidRPr="005E518A" w:rsidRDefault="005E518A" w:rsidP="00B92D2D">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Shortfall/ Surplus by 2040</w:t>
            </w:r>
          </w:p>
        </w:tc>
      </w:tr>
      <w:tr w:rsidR="005E518A" w:rsidRPr="005E518A" w14:paraId="30B2218D" w14:textId="77777777" w:rsidTr="00B92D2D">
        <w:trPr>
          <w:trHeight w:val="247"/>
        </w:trPr>
        <w:tc>
          <w:tcPr>
            <w:cnfStyle w:val="001000000000" w:firstRow="0" w:lastRow="0" w:firstColumn="1" w:lastColumn="0" w:oddVBand="0" w:evenVBand="0" w:oddHBand="0" w:evenHBand="0" w:firstRowFirstColumn="0" w:firstRowLastColumn="0" w:lastRowFirstColumn="0" w:lastRowLastColumn="0"/>
            <w:tcW w:w="3118" w:type="dxa"/>
            <w:hideMark/>
          </w:tcPr>
          <w:p w14:paraId="139CCEC6" w14:textId="77777777" w:rsidR="005E518A" w:rsidRPr="005E518A" w:rsidRDefault="005E518A" w:rsidP="005E518A">
            <w:pPr>
              <w:rPr>
                <w:color w:val="auto"/>
                <w:lang w:eastAsia="en-GB"/>
              </w:rPr>
            </w:pPr>
            <w:r w:rsidRPr="005E518A">
              <w:rPr>
                <w:color w:val="auto"/>
                <w:lang w:val="en-US" w:eastAsia="en-GB"/>
              </w:rPr>
              <w:t>Rented Housing with Support</w:t>
            </w:r>
          </w:p>
        </w:tc>
        <w:tc>
          <w:tcPr>
            <w:tcW w:w="759" w:type="dxa"/>
            <w:hideMark/>
          </w:tcPr>
          <w:p w14:paraId="01B54E96"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45</w:t>
            </w:r>
          </w:p>
        </w:tc>
        <w:tc>
          <w:tcPr>
            <w:tcW w:w="709" w:type="dxa"/>
            <w:hideMark/>
          </w:tcPr>
          <w:p w14:paraId="23947D00"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5,549</w:t>
            </w:r>
          </w:p>
        </w:tc>
        <w:tc>
          <w:tcPr>
            <w:tcW w:w="992" w:type="dxa"/>
            <w:hideMark/>
          </w:tcPr>
          <w:p w14:paraId="128C3EC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3,343</w:t>
            </w:r>
          </w:p>
        </w:tc>
        <w:tc>
          <w:tcPr>
            <w:tcW w:w="987" w:type="dxa"/>
            <w:hideMark/>
          </w:tcPr>
          <w:p w14:paraId="2951E1C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-2,206</w:t>
            </w:r>
          </w:p>
        </w:tc>
        <w:tc>
          <w:tcPr>
            <w:tcW w:w="987" w:type="dxa"/>
            <w:hideMark/>
          </w:tcPr>
          <w:p w14:paraId="454EE4E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2,445</w:t>
            </w:r>
          </w:p>
        </w:tc>
        <w:tc>
          <w:tcPr>
            <w:tcW w:w="992" w:type="dxa"/>
            <w:hideMark/>
          </w:tcPr>
          <w:p w14:paraId="7EAF9348"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239</w:t>
            </w:r>
          </w:p>
        </w:tc>
      </w:tr>
      <w:tr w:rsidR="005E518A" w:rsidRPr="005E518A" w14:paraId="202C07F2" w14:textId="77777777" w:rsidTr="00B92D2D">
        <w:trPr>
          <w:trHeight w:val="96"/>
        </w:trPr>
        <w:tc>
          <w:tcPr>
            <w:cnfStyle w:val="001000000000" w:firstRow="0" w:lastRow="0" w:firstColumn="1" w:lastColumn="0" w:oddVBand="0" w:evenVBand="0" w:oddHBand="0" w:evenHBand="0" w:firstRowFirstColumn="0" w:firstRowLastColumn="0" w:lastRowFirstColumn="0" w:lastRowLastColumn="0"/>
            <w:tcW w:w="3118" w:type="dxa"/>
            <w:hideMark/>
          </w:tcPr>
          <w:p w14:paraId="3CBDE362" w14:textId="77777777" w:rsidR="005E518A" w:rsidRPr="005E518A" w:rsidRDefault="005E518A" w:rsidP="005E518A">
            <w:pPr>
              <w:rPr>
                <w:color w:val="auto"/>
                <w:lang w:eastAsia="en-GB"/>
              </w:rPr>
            </w:pPr>
            <w:r w:rsidRPr="005E518A">
              <w:rPr>
                <w:color w:val="auto"/>
                <w:lang w:val="en-US" w:eastAsia="en-GB"/>
              </w:rPr>
              <w:t>Leasehold Housing with Support</w:t>
            </w:r>
          </w:p>
        </w:tc>
        <w:tc>
          <w:tcPr>
            <w:tcW w:w="759" w:type="dxa"/>
            <w:hideMark/>
          </w:tcPr>
          <w:p w14:paraId="5BC8F32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71</w:t>
            </w:r>
          </w:p>
        </w:tc>
        <w:tc>
          <w:tcPr>
            <w:tcW w:w="709" w:type="dxa"/>
            <w:hideMark/>
          </w:tcPr>
          <w:p w14:paraId="4725F79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1,730</w:t>
            </w:r>
          </w:p>
        </w:tc>
        <w:tc>
          <w:tcPr>
            <w:tcW w:w="992" w:type="dxa"/>
            <w:hideMark/>
          </w:tcPr>
          <w:p w14:paraId="16991BF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5,254</w:t>
            </w:r>
          </w:p>
        </w:tc>
        <w:tc>
          <w:tcPr>
            <w:tcW w:w="987" w:type="dxa"/>
            <w:hideMark/>
          </w:tcPr>
          <w:p w14:paraId="0AD211E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3,524</w:t>
            </w:r>
          </w:p>
        </w:tc>
        <w:tc>
          <w:tcPr>
            <w:tcW w:w="987" w:type="dxa"/>
            <w:hideMark/>
          </w:tcPr>
          <w:p w14:paraId="380639A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3,881</w:t>
            </w:r>
          </w:p>
        </w:tc>
        <w:tc>
          <w:tcPr>
            <w:tcW w:w="992" w:type="dxa"/>
            <w:hideMark/>
          </w:tcPr>
          <w:p w14:paraId="61DE172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7,405</w:t>
            </w:r>
          </w:p>
        </w:tc>
      </w:tr>
      <w:tr w:rsidR="005E518A" w:rsidRPr="005E518A" w14:paraId="7713DB9B" w14:textId="77777777" w:rsidTr="00B92D2D">
        <w:trPr>
          <w:trHeight w:val="241"/>
        </w:trPr>
        <w:tc>
          <w:tcPr>
            <w:cnfStyle w:val="001000000000" w:firstRow="0" w:lastRow="0" w:firstColumn="1" w:lastColumn="0" w:oddVBand="0" w:evenVBand="0" w:oddHBand="0" w:evenHBand="0" w:firstRowFirstColumn="0" w:firstRowLastColumn="0" w:lastRowFirstColumn="0" w:lastRowLastColumn="0"/>
            <w:tcW w:w="3118" w:type="dxa"/>
            <w:hideMark/>
          </w:tcPr>
          <w:p w14:paraId="54398649" w14:textId="77777777" w:rsidR="005E518A" w:rsidRPr="005E518A" w:rsidRDefault="005E518A" w:rsidP="005E518A">
            <w:pPr>
              <w:rPr>
                <w:color w:val="auto"/>
                <w:lang w:eastAsia="en-GB"/>
              </w:rPr>
            </w:pPr>
            <w:r w:rsidRPr="005E518A">
              <w:rPr>
                <w:color w:val="auto"/>
                <w:lang w:val="en-US" w:eastAsia="en-GB"/>
              </w:rPr>
              <w:t>Rented Housing with Care</w:t>
            </w:r>
          </w:p>
        </w:tc>
        <w:tc>
          <w:tcPr>
            <w:tcW w:w="759" w:type="dxa"/>
            <w:hideMark/>
          </w:tcPr>
          <w:p w14:paraId="3DE1814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w:t>
            </w:r>
          </w:p>
        </w:tc>
        <w:tc>
          <w:tcPr>
            <w:tcW w:w="709" w:type="dxa"/>
            <w:hideMark/>
          </w:tcPr>
          <w:p w14:paraId="0F2943B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946</w:t>
            </w:r>
          </w:p>
        </w:tc>
        <w:tc>
          <w:tcPr>
            <w:tcW w:w="992" w:type="dxa"/>
            <w:hideMark/>
          </w:tcPr>
          <w:p w14:paraId="3D17321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1,437</w:t>
            </w:r>
          </w:p>
        </w:tc>
        <w:tc>
          <w:tcPr>
            <w:tcW w:w="987" w:type="dxa"/>
            <w:hideMark/>
          </w:tcPr>
          <w:p w14:paraId="3DE9BD8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491</w:t>
            </w:r>
          </w:p>
        </w:tc>
        <w:tc>
          <w:tcPr>
            <w:tcW w:w="987" w:type="dxa"/>
            <w:hideMark/>
          </w:tcPr>
          <w:p w14:paraId="4B18B2B8"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1,052</w:t>
            </w:r>
          </w:p>
        </w:tc>
        <w:tc>
          <w:tcPr>
            <w:tcW w:w="992" w:type="dxa"/>
            <w:hideMark/>
          </w:tcPr>
          <w:p w14:paraId="0D8D0C0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1,544</w:t>
            </w:r>
          </w:p>
        </w:tc>
      </w:tr>
      <w:tr w:rsidR="005E518A" w:rsidRPr="005E518A" w14:paraId="1C68A4C6" w14:textId="77777777" w:rsidTr="00B92D2D">
        <w:trPr>
          <w:trHeight w:val="246"/>
        </w:trPr>
        <w:tc>
          <w:tcPr>
            <w:cnfStyle w:val="001000000000" w:firstRow="0" w:lastRow="0" w:firstColumn="1" w:lastColumn="0" w:oddVBand="0" w:evenVBand="0" w:oddHBand="0" w:evenHBand="0" w:firstRowFirstColumn="0" w:firstRowLastColumn="0" w:lastRowFirstColumn="0" w:lastRowLastColumn="0"/>
            <w:tcW w:w="3118" w:type="dxa"/>
            <w:hideMark/>
          </w:tcPr>
          <w:p w14:paraId="4FDCD2CD" w14:textId="77777777" w:rsidR="005E518A" w:rsidRPr="005E518A" w:rsidRDefault="005E518A" w:rsidP="005E518A">
            <w:pPr>
              <w:rPr>
                <w:color w:val="auto"/>
                <w:lang w:eastAsia="en-GB"/>
              </w:rPr>
            </w:pPr>
            <w:r w:rsidRPr="005E518A">
              <w:rPr>
                <w:color w:val="auto"/>
                <w:lang w:val="en-US" w:eastAsia="en-GB"/>
              </w:rPr>
              <w:t>Leasehold Housing with Care</w:t>
            </w:r>
          </w:p>
        </w:tc>
        <w:tc>
          <w:tcPr>
            <w:tcW w:w="759" w:type="dxa"/>
            <w:hideMark/>
          </w:tcPr>
          <w:p w14:paraId="658FE84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22</w:t>
            </w:r>
          </w:p>
        </w:tc>
        <w:tc>
          <w:tcPr>
            <w:tcW w:w="709" w:type="dxa"/>
            <w:hideMark/>
          </w:tcPr>
          <w:p w14:paraId="5CCFA60A"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266</w:t>
            </w:r>
          </w:p>
        </w:tc>
        <w:tc>
          <w:tcPr>
            <w:tcW w:w="992" w:type="dxa"/>
            <w:hideMark/>
          </w:tcPr>
          <w:p w14:paraId="2521C63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1,658</w:t>
            </w:r>
          </w:p>
        </w:tc>
        <w:tc>
          <w:tcPr>
            <w:tcW w:w="987" w:type="dxa"/>
            <w:hideMark/>
          </w:tcPr>
          <w:p w14:paraId="1BBD299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1,392</w:t>
            </w:r>
          </w:p>
        </w:tc>
        <w:tc>
          <w:tcPr>
            <w:tcW w:w="987" w:type="dxa"/>
            <w:hideMark/>
          </w:tcPr>
          <w:p w14:paraId="42F1F70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1,225</w:t>
            </w:r>
          </w:p>
        </w:tc>
        <w:tc>
          <w:tcPr>
            <w:tcW w:w="992" w:type="dxa"/>
            <w:hideMark/>
          </w:tcPr>
          <w:p w14:paraId="579F7C1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2,617</w:t>
            </w:r>
          </w:p>
        </w:tc>
      </w:tr>
      <w:tr w:rsidR="005E518A" w:rsidRPr="005E518A" w14:paraId="18BA1429" w14:textId="77777777" w:rsidTr="00B92D2D">
        <w:trPr>
          <w:trHeight w:val="93"/>
        </w:trPr>
        <w:tc>
          <w:tcPr>
            <w:cnfStyle w:val="001000000000" w:firstRow="0" w:lastRow="0" w:firstColumn="1" w:lastColumn="0" w:oddVBand="0" w:evenVBand="0" w:oddHBand="0" w:evenHBand="0" w:firstRowFirstColumn="0" w:firstRowLastColumn="0" w:lastRowFirstColumn="0" w:lastRowLastColumn="0"/>
            <w:tcW w:w="3118" w:type="dxa"/>
            <w:hideMark/>
          </w:tcPr>
          <w:p w14:paraId="758603A9" w14:textId="77777777" w:rsidR="005E518A" w:rsidRPr="005E518A" w:rsidRDefault="005E518A" w:rsidP="005E518A">
            <w:pPr>
              <w:rPr>
                <w:b/>
                <w:bCs/>
                <w:color w:val="auto"/>
                <w:lang w:eastAsia="en-GB"/>
              </w:rPr>
            </w:pPr>
            <w:r w:rsidRPr="005E518A">
              <w:rPr>
                <w:b/>
                <w:bCs/>
                <w:color w:val="auto"/>
                <w:lang w:val="en-US" w:eastAsia="en-GB"/>
              </w:rPr>
              <w:t>Total</w:t>
            </w:r>
          </w:p>
        </w:tc>
        <w:tc>
          <w:tcPr>
            <w:tcW w:w="759" w:type="dxa"/>
            <w:hideMark/>
          </w:tcPr>
          <w:p w14:paraId="3147726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157</w:t>
            </w:r>
          </w:p>
        </w:tc>
        <w:tc>
          <w:tcPr>
            <w:tcW w:w="709" w:type="dxa"/>
            <w:hideMark/>
          </w:tcPr>
          <w:p w14:paraId="1CFC33E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8,491</w:t>
            </w:r>
          </w:p>
        </w:tc>
        <w:tc>
          <w:tcPr>
            <w:tcW w:w="992" w:type="dxa"/>
            <w:hideMark/>
          </w:tcPr>
          <w:p w14:paraId="125F188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11,692</w:t>
            </w:r>
          </w:p>
        </w:tc>
        <w:tc>
          <w:tcPr>
            <w:tcW w:w="987" w:type="dxa"/>
            <w:hideMark/>
          </w:tcPr>
          <w:p w14:paraId="653BD79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3,201</w:t>
            </w:r>
          </w:p>
        </w:tc>
        <w:tc>
          <w:tcPr>
            <w:tcW w:w="987" w:type="dxa"/>
            <w:hideMark/>
          </w:tcPr>
          <w:p w14:paraId="43C9B330"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8,604</w:t>
            </w:r>
          </w:p>
        </w:tc>
        <w:tc>
          <w:tcPr>
            <w:tcW w:w="992" w:type="dxa"/>
            <w:hideMark/>
          </w:tcPr>
          <w:p w14:paraId="2BEC064A"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11,805</w:t>
            </w:r>
          </w:p>
        </w:tc>
      </w:tr>
    </w:tbl>
    <w:p w14:paraId="2F0F18C7" w14:textId="77777777" w:rsidR="00970D21" w:rsidRPr="00B92D2D" w:rsidRDefault="00970D21" w:rsidP="00970D21">
      <w:pPr>
        <w:pStyle w:val="Bodytextwithindent"/>
        <w:spacing w:before="0" w:after="120"/>
        <w:ind w:left="0" w:firstLine="794"/>
        <w:rPr>
          <w:sz w:val="24"/>
          <w:szCs w:val="22"/>
        </w:rPr>
      </w:pPr>
      <w:r w:rsidRPr="00B92D2D">
        <w:rPr>
          <w:sz w:val="24"/>
          <w:szCs w:val="22"/>
        </w:rPr>
        <w:t xml:space="preserve">Source: Derived from Demographic Projections and Housing LIN/HOPSR/EAC </w:t>
      </w:r>
    </w:p>
    <w:p w14:paraId="08187094" w14:textId="77777777" w:rsidR="00970D21" w:rsidRDefault="00970D21" w:rsidP="007D0FBF">
      <w:pPr>
        <w:pStyle w:val="11Bodytext"/>
      </w:pPr>
      <w:r>
        <w:t>The analysis indicates that the tenure profile of the need for housing with support (such as sheltered and retirement housing) is principally for leasehold. For housing with care (such as extra care schemes), 62% of the need is for leasehold (</w:t>
      </w:r>
      <w:proofErr w:type="gramStart"/>
      <w:r>
        <w:t>i.e.</w:t>
      </w:r>
      <w:proofErr w:type="gramEnd"/>
      <w:r>
        <w:t xml:space="preserve"> private ownership) provision. However, there is limited provision of such schemes within the study area. </w:t>
      </w:r>
    </w:p>
    <w:p w14:paraId="4C5658EC" w14:textId="03EA0BF9" w:rsidR="00970D21" w:rsidRDefault="00970D21" w:rsidP="007D0FBF">
      <w:pPr>
        <w:pStyle w:val="11Bodytext"/>
      </w:pPr>
      <w:r>
        <w:t xml:space="preserve">To indicate the scale of the need shown by the modelling, the figures below show the proportion of the Standard Method housing need (see Chapter </w:t>
      </w:r>
      <w:r w:rsidR="00EA54B1">
        <w:t>5</w:t>
      </w:r>
      <w:r>
        <w:t xml:space="preserve">) that would be for some form of specialist housing for older people. It should be noted that these figures are heavily influenced by estimates of current supply. </w:t>
      </w:r>
    </w:p>
    <w:p w14:paraId="279E3C76" w14:textId="77777777" w:rsidR="00970D21" w:rsidRDefault="00970D21" w:rsidP="007D0FBF">
      <w:pPr>
        <w:pStyle w:val="11Bodytext"/>
        <w:numPr>
          <w:ilvl w:val="0"/>
          <w:numId w:val="0"/>
        </w:numPr>
        <w:ind w:left="794"/>
      </w:pPr>
    </w:p>
    <w:p w14:paraId="7C8255D4" w14:textId="77777777" w:rsidR="00970D21" w:rsidRDefault="00970D21" w:rsidP="003D5E23">
      <w:pPr>
        <w:pStyle w:val="Tableheading"/>
        <w:numPr>
          <w:ilvl w:val="0"/>
          <w:numId w:val="54"/>
        </w:numPr>
      </w:pPr>
      <w:r>
        <w:lastRenderedPageBreak/>
        <w:t>Specialist housing for older people as a percentage of total need for housing</w:t>
      </w:r>
    </w:p>
    <w:tbl>
      <w:tblPr>
        <w:tblStyle w:val="TableGridLight1"/>
        <w:tblW w:w="8647" w:type="dxa"/>
        <w:tblInd w:w="846" w:type="dxa"/>
        <w:tblLook w:val="04A0" w:firstRow="1" w:lastRow="0" w:firstColumn="1" w:lastColumn="0" w:noHBand="0" w:noVBand="1"/>
      </w:tblPr>
      <w:tblGrid>
        <w:gridCol w:w="2410"/>
        <w:gridCol w:w="1275"/>
        <w:gridCol w:w="1843"/>
        <w:gridCol w:w="1559"/>
        <w:gridCol w:w="1560"/>
      </w:tblGrid>
      <w:tr w:rsidR="003A75AB" w:rsidRPr="003A75AB" w14:paraId="37B3EFFB" w14:textId="77777777" w:rsidTr="00B92D2D">
        <w:trPr>
          <w:cnfStyle w:val="100000000000" w:firstRow="1" w:lastRow="0" w:firstColumn="0" w:lastColumn="0" w:oddVBand="0" w:evenVBand="0" w:oddHBand="0" w:evenHBand="0" w:firstRowFirstColumn="0" w:firstRowLastColumn="0" w:lastRowFirstColumn="0" w:lastRowLastColumn="0"/>
          <w:cantSplit/>
          <w:trHeight w:val="2171"/>
        </w:trPr>
        <w:tc>
          <w:tcPr>
            <w:cnfStyle w:val="001000000000" w:firstRow="0" w:lastRow="0" w:firstColumn="1" w:lastColumn="0" w:oddVBand="0" w:evenVBand="0" w:oddHBand="0" w:evenHBand="0" w:firstRowFirstColumn="0" w:firstRowLastColumn="0" w:lastRowFirstColumn="0" w:lastRowLastColumn="0"/>
            <w:tcW w:w="2410" w:type="dxa"/>
            <w:noWrap/>
            <w:textDirection w:val="btLr"/>
            <w:hideMark/>
          </w:tcPr>
          <w:p w14:paraId="2F23937D" w14:textId="77777777" w:rsidR="00970D21" w:rsidRPr="004F4BA7" w:rsidRDefault="00970D21" w:rsidP="00B92D2D">
            <w:pPr>
              <w:keepNext/>
              <w:ind w:left="113" w:right="113"/>
              <w:jc w:val="left"/>
              <w:rPr>
                <w:color w:val="auto"/>
                <w:lang w:eastAsia="en-GB"/>
              </w:rPr>
            </w:pPr>
            <w:r w:rsidRPr="004F4BA7">
              <w:rPr>
                <w:color w:val="auto"/>
                <w:lang w:eastAsia="en-GB"/>
              </w:rPr>
              <w:t>Local Authority</w:t>
            </w:r>
          </w:p>
        </w:tc>
        <w:tc>
          <w:tcPr>
            <w:tcW w:w="1275" w:type="dxa"/>
            <w:textDirection w:val="btLr"/>
            <w:hideMark/>
          </w:tcPr>
          <w:p w14:paraId="02DDE46D" w14:textId="77777777" w:rsidR="00970D21" w:rsidRPr="004F4BA7" w:rsidRDefault="00970D21" w:rsidP="00B92D2D">
            <w:pPr>
              <w:keepNext/>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Total Housing Need (pa)</w:t>
            </w:r>
          </w:p>
        </w:tc>
        <w:tc>
          <w:tcPr>
            <w:tcW w:w="1843" w:type="dxa"/>
            <w:textDirection w:val="btLr"/>
            <w:hideMark/>
          </w:tcPr>
          <w:p w14:paraId="1590DE0D" w14:textId="77777777" w:rsidR="00970D21" w:rsidRPr="004F4BA7" w:rsidRDefault="00970D21" w:rsidP="00B92D2D">
            <w:pPr>
              <w:keepNext/>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Total specialist housing for older people (total need by 2040)</w:t>
            </w:r>
          </w:p>
        </w:tc>
        <w:tc>
          <w:tcPr>
            <w:tcW w:w="1559" w:type="dxa"/>
            <w:textDirection w:val="btLr"/>
            <w:hideMark/>
          </w:tcPr>
          <w:p w14:paraId="71A351E5" w14:textId="77777777" w:rsidR="00970D21" w:rsidRPr="004F4BA7" w:rsidRDefault="00970D21" w:rsidP="00B92D2D">
            <w:pPr>
              <w:keepNext/>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Specialist housing for older people (pa)</w:t>
            </w:r>
          </w:p>
        </w:tc>
        <w:tc>
          <w:tcPr>
            <w:tcW w:w="1560" w:type="dxa"/>
            <w:textDirection w:val="btLr"/>
            <w:hideMark/>
          </w:tcPr>
          <w:p w14:paraId="21899F60" w14:textId="77777777" w:rsidR="00970D21" w:rsidRPr="004F4BA7" w:rsidRDefault="00970D21" w:rsidP="00B92D2D">
            <w:pPr>
              <w:keepNext/>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Specialist housing for older people as a % of total district need</w:t>
            </w:r>
          </w:p>
        </w:tc>
      </w:tr>
      <w:tr w:rsidR="003A75AB" w:rsidRPr="003A75AB" w14:paraId="133910AF" w14:textId="77777777" w:rsidTr="00B92D2D">
        <w:trPr>
          <w:trHeight w:val="93"/>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D0A3C50" w14:textId="77777777" w:rsidR="00970D21" w:rsidRPr="004F4BA7" w:rsidRDefault="00970D21" w:rsidP="008E6E40">
            <w:pPr>
              <w:keepNext/>
              <w:rPr>
                <w:color w:val="auto"/>
                <w:lang w:eastAsia="en-GB"/>
              </w:rPr>
            </w:pPr>
            <w:r w:rsidRPr="004F4BA7">
              <w:rPr>
                <w:color w:val="auto"/>
                <w:lang w:eastAsia="en-GB"/>
              </w:rPr>
              <w:t>Cambridge</w:t>
            </w:r>
          </w:p>
        </w:tc>
        <w:tc>
          <w:tcPr>
            <w:tcW w:w="1275" w:type="dxa"/>
            <w:noWrap/>
            <w:hideMark/>
          </w:tcPr>
          <w:p w14:paraId="5CB89184"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658</w:t>
            </w:r>
          </w:p>
        </w:tc>
        <w:tc>
          <w:tcPr>
            <w:tcW w:w="1843" w:type="dxa"/>
            <w:noWrap/>
            <w:hideMark/>
          </w:tcPr>
          <w:p w14:paraId="2FB36798"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776</w:t>
            </w:r>
          </w:p>
        </w:tc>
        <w:tc>
          <w:tcPr>
            <w:tcW w:w="1559" w:type="dxa"/>
            <w:noWrap/>
            <w:hideMark/>
          </w:tcPr>
          <w:p w14:paraId="109A089D"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39</w:t>
            </w:r>
          </w:p>
        </w:tc>
        <w:tc>
          <w:tcPr>
            <w:tcW w:w="1560" w:type="dxa"/>
            <w:noWrap/>
            <w:hideMark/>
          </w:tcPr>
          <w:p w14:paraId="00493313"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w:t>
            </w:r>
          </w:p>
        </w:tc>
      </w:tr>
      <w:tr w:rsidR="003A75AB" w:rsidRPr="003A75AB" w14:paraId="4D29A2A3" w14:textId="77777777" w:rsidTr="00B92D2D">
        <w:trPr>
          <w:trHeight w:val="84"/>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F41C692" w14:textId="77777777" w:rsidR="00970D21" w:rsidRPr="004F4BA7" w:rsidRDefault="00970D21" w:rsidP="008E6E40">
            <w:pPr>
              <w:keepNext/>
              <w:rPr>
                <w:color w:val="auto"/>
                <w:lang w:eastAsia="en-GB"/>
              </w:rPr>
            </w:pPr>
            <w:r w:rsidRPr="004F4BA7">
              <w:rPr>
                <w:color w:val="auto"/>
                <w:lang w:eastAsia="en-GB"/>
              </w:rPr>
              <w:t>East Cambridgeshire</w:t>
            </w:r>
          </w:p>
        </w:tc>
        <w:tc>
          <w:tcPr>
            <w:tcW w:w="1275" w:type="dxa"/>
            <w:noWrap/>
            <w:hideMark/>
          </w:tcPr>
          <w:p w14:paraId="696B8B5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597</w:t>
            </w:r>
          </w:p>
        </w:tc>
        <w:tc>
          <w:tcPr>
            <w:tcW w:w="1843" w:type="dxa"/>
            <w:noWrap/>
            <w:hideMark/>
          </w:tcPr>
          <w:p w14:paraId="5DCD4C65"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1,274</w:t>
            </w:r>
          </w:p>
        </w:tc>
        <w:tc>
          <w:tcPr>
            <w:tcW w:w="1559" w:type="dxa"/>
            <w:noWrap/>
            <w:hideMark/>
          </w:tcPr>
          <w:p w14:paraId="27F8AF29"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64</w:t>
            </w:r>
          </w:p>
        </w:tc>
        <w:tc>
          <w:tcPr>
            <w:tcW w:w="1560" w:type="dxa"/>
            <w:noWrap/>
            <w:hideMark/>
          </w:tcPr>
          <w:p w14:paraId="0A64840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w:t>
            </w:r>
          </w:p>
        </w:tc>
      </w:tr>
      <w:tr w:rsidR="003A75AB" w:rsidRPr="003A75AB" w14:paraId="0EF488E7" w14:textId="77777777" w:rsidTr="00B92D2D">
        <w:trPr>
          <w:trHeight w:val="87"/>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151137E" w14:textId="77777777" w:rsidR="00970D21" w:rsidRPr="004F4BA7" w:rsidRDefault="00970D21" w:rsidP="008E6E40">
            <w:pPr>
              <w:keepNext/>
              <w:rPr>
                <w:color w:val="auto"/>
                <w:lang w:eastAsia="en-GB"/>
              </w:rPr>
            </w:pPr>
            <w:r w:rsidRPr="004F4BA7">
              <w:rPr>
                <w:color w:val="auto"/>
                <w:lang w:eastAsia="en-GB"/>
              </w:rPr>
              <w:t>Fenland</w:t>
            </w:r>
          </w:p>
        </w:tc>
        <w:tc>
          <w:tcPr>
            <w:tcW w:w="1275" w:type="dxa"/>
            <w:noWrap/>
            <w:hideMark/>
          </w:tcPr>
          <w:p w14:paraId="2E659F2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538</w:t>
            </w:r>
          </w:p>
        </w:tc>
        <w:tc>
          <w:tcPr>
            <w:tcW w:w="1843" w:type="dxa"/>
            <w:noWrap/>
            <w:hideMark/>
          </w:tcPr>
          <w:p w14:paraId="0B97F8A9"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2,237</w:t>
            </w:r>
          </w:p>
        </w:tc>
        <w:tc>
          <w:tcPr>
            <w:tcW w:w="1559" w:type="dxa"/>
            <w:noWrap/>
            <w:hideMark/>
          </w:tcPr>
          <w:p w14:paraId="602B1C2C"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112</w:t>
            </w:r>
          </w:p>
        </w:tc>
        <w:tc>
          <w:tcPr>
            <w:tcW w:w="1560" w:type="dxa"/>
            <w:noWrap/>
            <w:hideMark/>
          </w:tcPr>
          <w:p w14:paraId="70E4A75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w:t>
            </w:r>
          </w:p>
        </w:tc>
      </w:tr>
      <w:tr w:rsidR="003A75AB" w:rsidRPr="003A75AB" w14:paraId="631248DA" w14:textId="77777777" w:rsidTr="00B92D2D">
        <w:trPr>
          <w:trHeight w:val="78"/>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634C6BB" w14:textId="77777777" w:rsidR="00970D21" w:rsidRPr="004F4BA7" w:rsidRDefault="00970D21" w:rsidP="008E6E40">
            <w:pPr>
              <w:keepNext/>
              <w:rPr>
                <w:color w:val="auto"/>
                <w:lang w:eastAsia="en-GB"/>
              </w:rPr>
            </w:pPr>
            <w:r w:rsidRPr="004F4BA7">
              <w:rPr>
                <w:color w:val="auto"/>
                <w:lang w:eastAsia="en-GB"/>
              </w:rPr>
              <w:t>Huntingdonshire</w:t>
            </w:r>
          </w:p>
        </w:tc>
        <w:tc>
          <w:tcPr>
            <w:tcW w:w="1275" w:type="dxa"/>
            <w:noWrap/>
            <w:hideMark/>
          </w:tcPr>
          <w:p w14:paraId="41B8D258"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976</w:t>
            </w:r>
          </w:p>
        </w:tc>
        <w:tc>
          <w:tcPr>
            <w:tcW w:w="1843" w:type="dxa"/>
            <w:noWrap/>
            <w:hideMark/>
          </w:tcPr>
          <w:p w14:paraId="6A6A4EB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2,733</w:t>
            </w:r>
          </w:p>
        </w:tc>
        <w:tc>
          <w:tcPr>
            <w:tcW w:w="1559" w:type="dxa"/>
            <w:noWrap/>
            <w:hideMark/>
          </w:tcPr>
          <w:p w14:paraId="0B5A86A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137</w:t>
            </w:r>
          </w:p>
        </w:tc>
        <w:tc>
          <w:tcPr>
            <w:tcW w:w="1560" w:type="dxa"/>
            <w:noWrap/>
            <w:hideMark/>
          </w:tcPr>
          <w:p w14:paraId="2AED0CD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w:t>
            </w:r>
          </w:p>
        </w:tc>
      </w:tr>
      <w:tr w:rsidR="003A75AB" w:rsidRPr="003A75AB" w14:paraId="4B8ED86D" w14:textId="77777777" w:rsidTr="00B92D2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F81CE9A" w14:textId="77777777" w:rsidR="00970D21" w:rsidRPr="004F4BA7" w:rsidRDefault="00970D21" w:rsidP="008E6E40">
            <w:pPr>
              <w:keepNext/>
              <w:rPr>
                <w:color w:val="auto"/>
                <w:lang w:eastAsia="en-GB"/>
              </w:rPr>
            </w:pPr>
            <w:r w:rsidRPr="004F4BA7">
              <w:rPr>
                <w:color w:val="auto"/>
                <w:lang w:eastAsia="en-GB"/>
              </w:rPr>
              <w:t>South Cambridgeshire</w:t>
            </w:r>
          </w:p>
        </w:tc>
        <w:tc>
          <w:tcPr>
            <w:tcW w:w="1275" w:type="dxa"/>
            <w:noWrap/>
            <w:hideMark/>
          </w:tcPr>
          <w:p w14:paraId="41DFCA01"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1,085</w:t>
            </w:r>
          </w:p>
        </w:tc>
        <w:tc>
          <w:tcPr>
            <w:tcW w:w="1843" w:type="dxa"/>
            <w:noWrap/>
            <w:hideMark/>
          </w:tcPr>
          <w:p w14:paraId="41555CF5"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1,610</w:t>
            </w:r>
          </w:p>
        </w:tc>
        <w:tc>
          <w:tcPr>
            <w:tcW w:w="1559" w:type="dxa"/>
            <w:noWrap/>
            <w:hideMark/>
          </w:tcPr>
          <w:p w14:paraId="02DBFF9F"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81</w:t>
            </w:r>
          </w:p>
        </w:tc>
        <w:tc>
          <w:tcPr>
            <w:tcW w:w="1560" w:type="dxa"/>
            <w:noWrap/>
            <w:hideMark/>
          </w:tcPr>
          <w:p w14:paraId="4CEA175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w:t>
            </w:r>
          </w:p>
        </w:tc>
      </w:tr>
      <w:tr w:rsidR="003A75AB" w:rsidRPr="003A75AB" w14:paraId="3EE55B03" w14:textId="77777777" w:rsidTr="00B92D2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2119A53" w14:textId="77777777" w:rsidR="00970D21" w:rsidRPr="004F4BA7" w:rsidRDefault="00970D21" w:rsidP="008E6E40">
            <w:pPr>
              <w:keepNext/>
              <w:rPr>
                <w:color w:val="auto"/>
                <w:lang w:eastAsia="en-GB"/>
              </w:rPr>
            </w:pPr>
            <w:r w:rsidRPr="004F4BA7">
              <w:rPr>
                <w:color w:val="auto"/>
                <w:lang w:eastAsia="en-GB"/>
              </w:rPr>
              <w:t>West Suffolk</w:t>
            </w:r>
          </w:p>
        </w:tc>
        <w:tc>
          <w:tcPr>
            <w:tcW w:w="1275" w:type="dxa"/>
            <w:noWrap/>
            <w:hideMark/>
          </w:tcPr>
          <w:p w14:paraId="385A3BFE"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800</w:t>
            </w:r>
          </w:p>
        </w:tc>
        <w:tc>
          <w:tcPr>
            <w:tcW w:w="1843" w:type="dxa"/>
            <w:noWrap/>
            <w:hideMark/>
          </w:tcPr>
          <w:p w14:paraId="78BC50F1"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3,176</w:t>
            </w:r>
          </w:p>
        </w:tc>
        <w:tc>
          <w:tcPr>
            <w:tcW w:w="1559" w:type="dxa"/>
            <w:noWrap/>
            <w:hideMark/>
          </w:tcPr>
          <w:p w14:paraId="6B7A2D4D"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159</w:t>
            </w:r>
          </w:p>
        </w:tc>
        <w:tc>
          <w:tcPr>
            <w:tcW w:w="1560" w:type="dxa"/>
            <w:noWrap/>
            <w:hideMark/>
          </w:tcPr>
          <w:p w14:paraId="4928D7A3"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w:t>
            </w:r>
          </w:p>
        </w:tc>
      </w:tr>
    </w:tbl>
    <w:p w14:paraId="7FE150E9" w14:textId="77777777" w:rsidR="00970D21" w:rsidRDefault="00970D21" w:rsidP="00B92D2D">
      <w:pPr>
        <w:pStyle w:val="11Bodytext"/>
        <w:numPr>
          <w:ilvl w:val="0"/>
          <w:numId w:val="0"/>
        </w:numPr>
        <w:spacing w:before="0"/>
        <w:ind w:left="794"/>
      </w:pPr>
      <w:r>
        <w:t xml:space="preserve"> Source: GL Hearn calculations </w:t>
      </w:r>
    </w:p>
    <w:p w14:paraId="01E9FE26" w14:textId="77777777" w:rsidR="00970D21" w:rsidRDefault="00970D21" w:rsidP="007D0FBF">
      <w:pPr>
        <w:pStyle w:val="11Bodytext"/>
      </w:pPr>
      <w:r>
        <w:t>Tables 86 to 91 below provide the same information for each local authority in the HMA. All areas, except for Fenland, currently show a surplus of rented housing with support (</w:t>
      </w:r>
      <w:proofErr w:type="gramStart"/>
      <w:r>
        <w:t>e.g.</w:t>
      </w:r>
      <w:proofErr w:type="gramEnd"/>
      <w:r>
        <w:t xml:space="preserve"> sheltered housing). A surplus is also shown by 2040 in Cambridge, East Cambridgeshire, and South Cambridgeshire.   </w:t>
      </w:r>
    </w:p>
    <w:p w14:paraId="08C7A2E4" w14:textId="77777777" w:rsidR="00970D21" w:rsidRDefault="00970D21" w:rsidP="007D0FBF">
      <w:pPr>
        <w:pStyle w:val="11Bodytext"/>
      </w:pPr>
      <w:r>
        <w:t xml:space="preserve">These surpluses are based on a calculated level of demand against a known supply position.  They do not </w:t>
      </w:r>
      <w:proofErr w:type="gramStart"/>
      <w:r>
        <w:t>take into account</w:t>
      </w:r>
      <w:proofErr w:type="gramEnd"/>
      <w:r>
        <w:t xml:space="preserve"> occupation levels or aspirations of potential residents.  It should also be noted that numbers may not sum due to rounding.</w:t>
      </w:r>
    </w:p>
    <w:p w14:paraId="6DC0C950" w14:textId="77777777" w:rsidR="00970D21" w:rsidRDefault="00970D21" w:rsidP="007D0FBF">
      <w:pPr>
        <w:pStyle w:val="11Bodytext"/>
      </w:pPr>
      <w:r>
        <w:t>However, all areas show a significant shortfall of leasehold housing with support (retirement housing) and also shortfalls of housing with care (</w:t>
      </w:r>
      <w:proofErr w:type="gramStart"/>
      <w:r>
        <w:t>i.e.</w:t>
      </w:r>
      <w:proofErr w:type="gramEnd"/>
      <w:r>
        <w:t xml:space="preserve"> extra-care and enhanced sheltered) in both the leasehold and rental tenures. </w:t>
      </w:r>
    </w:p>
    <w:p w14:paraId="17F7F3A6" w14:textId="070D8F8F" w:rsidR="00970D21" w:rsidRDefault="00970D21" w:rsidP="003D5E23">
      <w:pPr>
        <w:pStyle w:val="Tableheading"/>
        <w:numPr>
          <w:ilvl w:val="0"/>
          <w:numId w:val="54"/>
        </w:numPr>
      </w:pPr>
      <w:r>
        <w:lastRenderedPageBreak/>
        <w:t>Specialist Housing Need using SHOP@ Assumptions, 2020-40 – Cambridge (Units)</w:t>
      </w:r>
    </w:p>
    <w:tbl>
      <w:tblPr>
        <w:tblStyle w:val="TableGridLight1"/>
        <w:tblW w:w="8741" w:type="dxa"/>
        <w:tblInd w:w="846" w:type="dxa"/>
        <w:tblLook w:val="04A0" w:firstRow="1" w:lastRow="0" w:firstColumn="1" w:lastColumn="0" w:noHBand="0" w:noVBand="1"/>
      </w:tblPr>
      <w:tblGrid>
        <w:gridCol w:w="3303"/>
        <w:gridCol w:w="906"/>
        <w:gridCol w:w="906"/>
        <w:gridCol w:w="907"/>
        <w:gridCol w:w="906"/>
        <w:gridCol w:w="906"/>
        <w:gridCol w:w="907"/>
      </w:tblGrid>
      <w:tr w:rsidR="005E518A" w:rsidRPr="005E518A" w14:paraId="4FE96373" w14:textId="77777777" w:rsidTr="0034275C">
        <w:trPr>
          <w:cnfStyle w:val="100000000000" w:firstRow="1" w:lastRow="0" w:firstColumn="0" w:lastColumn="0" w:oddVBand="0" w:evenVBand="0" w:oddHBand="0" w:evenHBand="0" w:firstRowFirstColumn="0" w:firstRowLastColumn="0" w:lastRowFirstColumn="0" w:lastRowLastColumn="0"/>
          <w:cantSplit/>
          <w:trHeight w:val="1940"/>
        </w:trPr>
        <w:tc>
          <w:tcPr>
            <w:cnfStyle w:val="001000000000" w:firstRow="0" w:lastRow="0" w:firstColumn="1" w:lastColumn="0" w:oddVBand="0" w:evenVBand="0" w:oddHBand="0" w:evenHBand="0" w:firstRowFirstColumn="0" w:firstRowLastColumn="0" w:lastRowFirstColumn="0" w:lastRowLastColumn="0"/>
            <w:tcW w:w="3303" w:type="dxa"/>
            <w:hideMark/>
          </w:tcPr>
          <w:p w14:paraId="4EE883CB" w14:textId="77777777" w:rsidR="005E518A" w:rsidRPr="005E518A" w:rsidRDefault="005E518A" w:rsidP="0034275C">
            <w:pPr>
              <w:keepNext/>
              <w:rPr>
                <w:color w:val="auto"/>
                <w:lang w:eastAsia="en-GB"/>
              </w:rPr>
            </w:pPr>
            <w:r w:rsidRPr="005E518A">
              <w:rPr>
                <w:color w:val="auto"/>
                <w:lang w:val="en-US" w:eastAsia="en-GB"/>
              </w:rPr>
              <w:t> </w:t>
            </w:r>
          </w:p>
        </w:tc>
        <w:tc>
          <w:tcPr>
            <w:tcW w:w="906" w:type="dxa"/>
            <w:textDirection w:val="btLr"/>
            <w:hideMark/>
          </w:tcPr>
          <w:p w14:paraId="4914D518"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Housing demand per 1,000 75+</w:t>
            </w:r>
          </w:p>
        </w:tc>
        <w:tc>
          <w:tcPr>
            <w:tcW w:w="906" w:type="dxa"/>
            <w:textDirection w:val="btLr"/>
            <w:hideMark/>
          </w:tcPr>
          <w:p w14:paraId="3F3FC519"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Supply</w:t>
            </w:r>
          </w:p>
        </w:tc>
        <w:tc>
          <w:tcPr>
            <w:tcW w:w="907" w:type="dxa"/>
            <w:textDirection w:val="btLr"/>
            <w:hideMark/>
          </w:tcPr>
          <w:p w14:paraId="0C791F96"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2020 Demand</w:t>
            </w:r>
          </w:p>
        </w:tc>
        <w:tc>
          <w:tcPr>
            <w:tcW w:w="906" w:type="dxa"/>
            <w:textDirection w:val="btLr"/>
            <w:hideMark/>
          </w:tcPr>
          <w:p w14:paraId="1DBD6641"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Shortfall/ Surplus</w:t>
            </w:r>
          </w:p>
        </w:tc>
        <w:tc>
          <w:tcPr>
            <w:tcW w:w="906" w:type="dxa"/>
            <w:textDirection w:val="btLr"/>
            <w:hideMark/>
          </w:tcPr>
          <w:p w14:paraId="06089E43"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Additional Demand to 2040</w:t>
            </w:r>
          </w:p>
        </w:tc>
        <w:tc>
          <w:tcPr>
            <w:tcW w:w="907" w:type="dxa"/>
            <w:textDirection w:val="btLr"/>
            <w:hideMark/>
          </w:tcPr>
          <w:p w14:paraId="13AC313B"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Shortfall/ Surplus by 2040</w:t>
            </w:r>
          </w:p>
        </w:tc>
      </w:tr>
      <w:tr w:rsidR="005E518A" w:rsidRPr="005E518A" w14:paraId="00DAE2FB" w14:textId="77777777" w:rsidTr="0034275C">
        <w:trPr>
          <w:trHeight w:val="314"/>
        </w:trPr>
        <w:tc>
          <w:tcPr>
            <w:cnfStyle w:val="001000000000" w:firstRow="0" w:lastRow="0" w:firstColumn="1" w:lastColumn="0" w:oddVBand="0" w:evenVBand="0" w:oddHBand="0" w:evenHBand="0" w:firstRowFirstColumn="0" w:firstRowLastColumn="0" w:lastRowFirstColumn="0" w:lastRowLastColumn="0"/>
            <w:tcW w:w="3303" w:type="dxa"/>
            <w:hideMark/>
          </w:tcPr>
          <w:p w14:paraId="47990366" w14:textId="77777777" w:rsidR="005E518A" w:rsidRPr="005E518A" w:rsidRDefault="005E518A" w:rsidP="0034275C">
            <w:pPr>
              <w:keepNext/>
              <w:rPr>
                <w:color w:val="auto"/>
                <w:lang w:eastAsia="en-GB"/>
              </w:rPr>
            </w:pPr>
            <w:r w:rsidRPr="005E518A">
              <w:rPr>
                <w:color w:val="auto"/>
                <w:lang w:val="en-US" w:eastAsia="en-GB"/>
              </w:rPr>
              <w:t>Rented Housing with Support</w:t>
            </w:r>
          </w:p>
        </w:tc>
        <w:tc>
          <w:tcPr>
            <w:tcW w:w="906" w:type="dxa"/>
            <w:hideMark/>
          </w:tcPr>
          <w:p w14:paraId="54244AF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46</w:t>
            </w:r>
          </w:p>
        </w:tc>
        <w:tc>
          <w:tcPr>
            <w:tcW w:w="906" w:type="dxa"/>
            <w:hideMark/>
          </w:tcPr>
          <w:p w14:paraId="0F5D3A61"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874</w:t>
            </w:r>
          </w:p>
        </w:tc>
        <w:tc>
          <w:tcPr>
            <w:tcW w:w="907" w:type="dxa"/>
            <w:hideMark/>
          </w:tcPr>
          <w:p w14:paraId="069561C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371</w:t>
            </w:r>
          </w:p>
        </w:tc>
        <w:tc>
          <w:tcPr>
            <w:tcW w:w="906" w:type="dxa"/>
            <w:hideMark/>
          </w:tcPr>
          <w:p w14:paraId="2BD3B34E"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-503</w:t>
            </w:r>
          </w:p>
        </w:tc>
        <w:tc>
          <w:tcPr>
            <w:tcW w:w="906" w:type="dxa"/>
            <w:hideMark/>
          </w:tcPr>
          <w:p w14:paraId="739285C8"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214</w:t>
            </w:r>
          </w:p>
        </w:tc>
        <w:tc>
          <w:tcPr>
            <w:tcW w:w="907" w:type="dxa"/>
            <w:hideMark/>
          </w:tcPr>
          <w:p w14:paraId="572350AD"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-289</w:t>
            </w:r>
          </w:p>
        </w:tc>
      </w:tr>
      <w:tr w:rsidR="005E518A" w:rsidRPr="005E518A" w14:paraId="70A17CA3" w14:textId="77777777" w:rsidTr="0034275C">
        <w:trPr>
          <w:trHeight w:val="314"/>
        </w:trPr>
        <w:tc>
          <w:tcPr>
            <w:cnfStyle w:val="001000000000" w:firstRow="0" w:lastRow="0" w:firstColumn="1" w:lastColumn="0" w:oddVBand="0" w:evenVBand="0" w:oddHBand="0" w:evenHBand="0" w:firstRowFirstColumn="0" w:firstRowLastColumn="0" w:lastRowFirstColumn="0" w:lastRowLastColumn="0"/>
            <w:tcW w:w="3303" w:type="dxa"/>
            <w:hideMark/>
          </w:tcPr>
          <w:p w14:paraId="68425A66" w14:textId="77777777" w:rsidR="005E518A" w:rsidRPr="005E518A" w:rsidRDefault="005E518A" w:rsidP="0034275C">
            <w:pPr>
              <w:keepNext/>
              <w:rPr>
                <w:color w:val="auto"/>
                <w:lang w:eastAsia="en-GB"/>
              </w:rPr>
            </w:pPr>
            <w:r w:rsidRPr="005E518A">
              <w:rPr>
                <w:color w:val="auto"/>
                <w:lang w:val="en-US" w:eastAsia="en-GB"/>
              </w:rPr>
              <w:t>Leasehold Housing with Support</w:t>
            </w:r>
          </w:p>
        </w:tc>
        <w:tc>
          <w:tcPr>
            <w:tcW w:w="906" w:type="dxa"/>
            <w:hideMark/>
          </w:tcPr>
          <w:p w14:paraId="5492E321"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74</w:t>
            </w:r>
          </w:p>
        </w:tc>
        <w:tc>
          <w:tcPr>
            <w:tcW w:w="906" w:type="dxa"/>
            <w:hideMark/>
          </w:tcPr>
          <w:p w14:paraId="222059C2"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305</w:t>
            </w:r>
          </w:p>
        </w:tc>
        <w:tc>
          <w:tcPr>
            <w:tcW w:w="907" w:type="dxa"/>
            <w:hideMark/>
          </w:tcPr>
          <w:p w14:paraId="4E20291D"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601</w:t>
            </w:r>
          </w:p>
        </w:tc>
        <w:tc>
          <w:tcPr>
            <w:tcW w:w="906" w:type="dxa"/>
            <w:hideMark/>
          </w:tcPr>
          <w:p w14:paraId="42D61BDF"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296</w:t>
            </w:r>
          </w:p>
        </w:tc>
        <w:tc>
          <w:tcPr>
            <w:tcW w:w="906" w:type="dxa"/>
            <w:hideMark/>
          </w:tcPr>
          <w:p w14:paraId="2AF807C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347</w:t>
            </w:r>
          </w:p>
        </w:tc>
        <w:tc>
          <w:tcPr>
            <w:tcW w:w="907" w:type="dxa"/>
            <w:hideMark/>
          </w:tcPr>
          <w:p w14:paraId="084F98B1"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643</w:t>
            </w:r>
          </w:p>
        </w:tc>
      </w:tr>
      <w:tr w:rsidR="005E518A" w:rsidRPr="005E518A" w14:paraId="2121E738" w14:textId="77777777" w:rsidTr="0034275C">
        <w:trPr>
          <w:trHeight w:val="314"/>
        </w:trPr>
        <w:tc>
          <w:tcPr>
            <w:cnfStyle w:val="001000000000" w:firstRow="0" w:lastRow="0" w:firstColumn="1" w:lastColumn="0" w:oddVBand="0" w:evenVBand="0" w:oddHBand="0" w:evenHBand="0" w:firstRowFirstColumn="0" w:firstRowLastColumn="0" w:lastRowFirstColumn="0" w:lastRowLastColumn="0"/>
            <w:tcW w:w="3303" w:type="dxa"/>
            <w:hideMark/>
          </w:tcPr>
          <w:p w14:paraId="7E377E36" w14:textId="77777777" w:rsidR="005E518A" w:rsidRPr="005E518A" w:rsidRDefault="005E518A" w:rsidP="0034275C">
            <w:pPr>
              <w:keepNext/>
              <w:rPr>
                <w:color w:val="auto"/>
                <w:lang w:eastAsia="en-GB"/>
              </w:rPr>
            </w:pPr>
            <w:r w:rsidRPr="005E518A">
              <w:rPr>
                <w:color w:val="auto"/>
                <w:lang w:val="en-US" w:eastAsia="en-GB"/>
              </w:rPr>
              <w:t>Rented Housing with Care</w:t>
            </w:r>
          </w:p>
        </w:tc>
        <w:tc>
          <w:tcPr>
            <w:tcW w:w="906" w:type="dxa"/>
            <w:hideMark/>
          </w:tcPr>
          <w:p w14:paraId="31F1C758"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20</w:t>
            </w:r>
          </w:p>
        </w:tc>
        <w:tc>
          <w:tcPr>
            <w:tcW w:w="906" w:type="dxa"/>
            <w:hideMark/>
          </w:tcPr>
          <w:p w14:paraId="237939D6"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131</w:t>
            </w:r>
          </w:p>
        </w:tc>
        <w:tc>
          <w:tcPr>
            <w:tcW w:w="907" w:type="dxa"/>
            <w:hideMark/>
          </w:tcPr>
          <w:p w14:paraId="7CAC896D"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160</w:t>
            </w:r>
          </w:p>
        </w:tc>
        <w:tc>
          <w:tcPr>
            <w:tcW w:w="906" w:type="dxa"/>
            <w:hideMark/>
          </w:tcPr>
          <w:p w14:paraId="02210DC4"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29</w:t>
            </w:r>
          </w:p>
        </w:tc>
        <w:tc>
          <w:tcPr>
            <w:tcW w:w="906" w:type="dxa"/>
            <w:hideMark/>
          </w:tcPr>
          <w:p w14:paraId="4919D2B9"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92</w:t>
            </w:r>
          </w:p>
        </w:tc>
        <w:tc>
          <w:tcPr>
            <w:tcW w:w="907" w:type="dxa"/>
            <w:hideMark/>
          </w:tcPr>
          <w:p w14:paraId="7EB5D7B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121</w:t>
            </w:r>
          </w:p>
        </w:tc>
      </w:tr>
      <w:tr w:rsidR="005E518A" w:rsidRPr="005E518A" w14:paraId="46F5BC33" w14:textId="77777777" w:rsidTr="0034275C">
        <w:trPr>
          <w:trHeight w:val="314"/>
        </w:trPr>
        <w:tc>
          <w:tcPr>
            <w:cnfStyle w:val="001000000000" w:firstRow="0" w:lastRow="0" w:firstColumn="1" w:lastColumn="0" w:oddVBand="0" w:evenVBand="0" w:oddHBand="0" w:evenHBand="0" w:firstRowFirstColumn="0" w:firstRowLastColumn="0" w:lastRowFirstColumn="0" w:lastRowLastColumn="0"/>
            <w:tcW w:w="3303" w:type="dxa"/>
            <w:hideMark/>
          </w:tcPr>
          <w:p w14:paraId="2CB01182" w14:textId="77777777" w:rsidR="005E518A" w:rsidRPr="005E518A" w:rsidRDefault="005E518A" w:rsidP="0034275C">
            <w:pPr>
              <w:keepNext/>
              <w:rPr>
                <w:color w:val="auto"/>
                <w:lang w:eastAsia="en-GB"/>
              </w:rPr>
            </w:pPr>
            <w:r w:rsidRPr="005E518A">
              <w:rPr>
                <w:color w:val="auto"/>
                <w:lang w:val="en-US" w:eastAsia="en-GB"/>
              </w:rPr>
              <w:t>Leasehold Housing with Care</w:t>
            </w:r>
          </w:p>
        </w:tc>
        <w:tc>
          <w:tcPr>
            <w:tcW w:w="906" w:type="dxa"/>
            <w:hideMark/>
          </w:tcPr>
          <w:p w14:paraId="799C6A9C"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w:t>
            </w:r>
          </w:p>
        </w:tc>
        <w:tc>
          <w:tcPr>
            <w:tcW w:w="906" w:type="dxa"/>
            <w:hideMark/>
          </w:tcPr>
          <w:p w14:paraId="00B2E055"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0</w:t>
            </w:r>
          </w:p>
        </w:tc>
        <w:tc>
          <w:tcPr>
            <w:tcW w:w="907" w:type="dxa"/>
            <w:hideMark/>
          </w:tcPr>
          <w:p w14:paraId="6954C184"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190</w:t>
            </w:r>
          </w:p>
        </w:tc>
        <w:tc>
          <w:tcPr>
            <w:tcW w:w="906" w:type="dxa"/>
            <w:hideMark/>
          </w:tcPr>
          <w:p w14:paraId="7390DE56"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190</w:t>
            </w:r>
          </w:p>
        </w:tc>
        <w:tc>
          <w:tcPr>
            <w:tcW w:w="906" w:type="dxa"/>
            <w:hideMark/>
          </w:tcPr>
          <w:p w14:paraId="17AE787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110</w:t>
            </w:r>
          </w:p>
        </w:tc>
        <w:tc>
          <w:tcPr>
            <w:tcW w:w="907" w:type="dxa"/>
            <w:hideMark/>
          </w:tcPr>
          <w:p w14:paraId="1B4F2972"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300</w:t>
            </w:r>
          </w:p>
        </w:tc>
      </w:tr>
      <w:tr w:rsidR="005E518A" w:rsidRPr="005E518A" w14:paraId="16D8F434" w14:textId="77777777" w:rsidTr="0034275C">
        <w:trPr>
          <w:trHeight w:val="204"/>
        </w:trPr>
        <w:tc>
          <w:tcPr>
            <w:cnfStyle w:val="001000000000" w:firstRow="0" w:lastRow="0" w:firstColumn="1" w:lastColumn="0" w:oddVBand="0" w:evenVBand="0" w:oddHBand="0" w:evenHBand="0" w:firstRowFirstColumn="0" w:firstRowLastColumn="0" w:lastRowFirstColumn="0" w:lastRowLastColumn="0"/>
            <w:tcW w:w="3303" w:type="dxa"/>
            <w:hideMark/>
          </w:tcPr>
          <w:p w14:paraId="5C41DCCC" w14:textId="77777777" w:rsidR="005E518A" w:rsidRPr="005E518A" w:rsidRDefault="005E518A" w:rsidP="0034275C">
            <w:pPr>
              <w:keepNext/>
              <w:rPr>
                <w:b/>
                <w:bCs/>
                <w:color w:val="auto"/>
                <w:lang w:eastAsia="en-GB"/>
              </w:rPr>
            </w:pPr>
            <w:r w:rsidRPr="005E518A">
              <w:rPr>
                <w:b/>
                <w:bCs/>
                <w:color w:val="auto"/>
                <w:lang w:eastAsia="en-GB"/>
              </w:rPr>
              <w:t>Total</w:t>
            </w:r>
          </w:p>
        </w:tc>
        <w:tc>
          <w:tcPr>
            <w:tcW w:w="906" w:type="dxa"/>
            <w:hideMark/>
          </w:tcPr>
          <w:p w14:paraId="65C06A01"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163</w:t>
            </w:r>
          </w:p>
        </w:tc>
        <w:tc>
          <w:tcPr>
            <w:tcW w:w="906" w:type="dxa"/>
            <w:hideMark/>
          </w:tcPr>
          <w:p w14:paraId="21AF97C9"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1,310</w:t>
            </w:r>
          </w:p>
        </w:tc>
        <w:tc>
          <w:tcPr>
            <w:tcW w:w="907" w:type="dxa"/>
            <w:hideMark/>
          </w:tcPr>
          <w:p w14:paraId="685EB151"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1,322</w:t>
            </w:r>
          </w:p>
        </w:tc>
        <w:tc>
          <w:tcPr>
            <w:tcW w:w="906" w:type="dxa"/>
            <w:hideMark/>
          </w:tcPr>
          <w:p w14:paraId="13C54C37"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12</w:t>
            </w:r>
          </w:p>
        </w:tc>
        <w:tc>
          <w:tcPr>
            <w:tcW w:w="906" w:type="dxa"/>
            <w:hideMark/>
          </w:tcPr>
          <w:p w14:paraId="1309A104"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763</w:t>
            </w:r>
          </w:p>
        </w:tc>
        <w:tc>
          <w:tcPr>
            <w:tcW w:w="907" w:type="dxa"/>
            <w:hideMark/>
          </w:tcPr>
          <w:p w14:paraId="7372D16B"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776</w:t>
            </w:r>
          </w:p>
        </w:tc>
      </w:tr>
    </w:tbl>
    <w:p w14:paraId="14C4E00F" w14:textId="23597B93" w:rsidR="00970D21" w:rsidRPr="0034275C" w:rsidRDefault="00970D21" w:rsidP="00D06481">
      <w:pPr>
        <w:pStyle w:val="BodyText"/>
        <w:keepNext/>
        <w:tabs>
          <w:tab w:val="clear" w:pos="0"/>
          <w:tab w:val="left" w:pos="720"/>
        </w:tabs>
        <w:spacing w:after="0" w:line="240" w:lineRule="auto"/>
        <w:ind w:left="794" w:firstLine="0"/>
        <w:rPr>
          <w:rFonts w:ascii="Arial" w:hAnsi="Arial" w:cs="Arial"/>
          <w:sz w:val="24"/>
          <w:szCs w:val="24"/>
        </w:rPr>
      </w:pPr>
      <w:r w:rsidRPr="0034275C">
        <w:rPr>
          <w:rFonts w:ascii="Arial" w:hAnsi="Arial" w:cs="Arial"/>
          <w:sz w:val="24"/>
          <w:szCs w:val="24"/>
        </w:rPr>
        <w:t>Source: Derived from Demographic Projections and Housing LIN/HOPSR/EAC</w:t>
      </w:r>
    </w:p>
    <w:p w14:paraId="3AE68B8A" w14:textId="77777777" w:rsidR="00D06481" w:rsidRDefault="00D06481" w:rsidP="008E6E40">
      <w:pPr>
        <w:pStyle w:val="BodyText"/>
        <w:keepNext/>
        <w:tabs>
          <w:tab w:val="clear" w:pos="0"/>
          <w:tab w:val="left" w:pos="720"/>
        </w:tabs>
        <w:spacing w:after="0" w:line="240" w:lineRule="auto"/>
        <w:ind w:left="794" w:firstLine="0"/>
        <w:rPr>
          <w:rFonts w:ascii="Arial" w:hAnsi="Arial" w:cs="Arial"/>
        </w:rPr>
      </w:pPr>
    </w:p>
    <w:p w14:paraId="5FD45519" w14:textId="1A4A85AA" w:rsidR="00970D21" w:rsidRDefault="00970D21" w:rsidP="003D5E23">
      <w:pPr>
        <w:pStyle w:val="Tableheading"/>
        <w:numPr>
          <w:ilvl w:val="0"/>
          <w:numId w:val="54"/>
        </w:numPr>
      </w:pPr>
      <w:r>
        <w:t>Specialist Housing Need using SHOP@ Assumptions, 2020-40 – East Cambridgeshire (Units)</w:t>
      </w:r>
    </w:p>
    <w:tbl>
      <w:tblPr>
        <w:tblStyle w:val="TableGridLight1"/>
        <w:tblW w:w="8789" w:type="dxa"/>
        <w:tblInd w:w="704" w:type="dxa"/>
        <w:tblLook w:val="04A0" w:firstRow="1" w:lastRow="0" w:firstColumn="1" w:lastColumn="0" w:noHBand="0" w:noVBand="1"/>
      </w:tblPr>
      <w:tblGrid>
        <w:gridCol w:w="3260"/>
        <w:gridCol w:w="921"/>
        <w:gridCol w:w="922"/>
        <w:gridCol w:w="921"/>
        <w:gridCol w:w="922"/>
        <w:gridCol w:w="921"/>
        <w:gridCol w:w="922"/>
      </w:tblGrid>
      <w:tr w:rsidR="005E518A" w:rsidRPr="005E518A" w14:paraId="4C2129A1" w14:textId="77777777" w:rsidTr="0034275C">
        <w:trPr>
          <w:cnfStyle w:val="100000000000" w:firstRow="1" w:lastRow="0" w:firstColumn="0" w:lastColumn="0" w:oddVBand="0" w:evenVBand="0" w:oddHBand="0" w:evenHBand="0" w:firstRowFirstColumn="0" w:firstRowLastColumn="0" w:lastRowFirstColumn="0" w:lastRowLastColumn="0"/>
          <w:cantSplit/>
          <w:trHeight w:val="1786"/>
        </w:trPr>
        <w:tc>
          <w:tcPr>
            <w:cnfStyle w:val="001000000000" w:firstRow="0" w:lastRow="0" w:firstColumn="1" w:lastColumn="0" w:oddVBand="0" w:evenVBand="0" w:oddHBand="0" w:evenHBand="0" w:firstRowFirstColumn="0" w:firstRowLastColumn="0" w:lastRowFirstColumn="0" w:lastRowLastColumn="0"/>
            <w:tcW w:w="3260" w:type="dxa"/>
            <w:hideMark/>
          </w:tcPr>
          <w:p w14:paraId="46BCB657" w14:textId="77777777" w:rsidR="005E518A" w:rsidRPr="005E518A" w:rsidRDefault="005E518A" w:rsidP="005E518A">
            <w:pPr>
              <w:rPr>
                <w:color w:val="auto"/>
                <w:lang w:eastAsia="en-GB"/>
              </w:rPr>
            </w:pPr>
            <w:r w:rsidRPr="005E518A">
              <w:rPr>
                <w:color w:val="auto"/>
                <w:lang w:val="en-US" w:eastAsia="en-GB"/>
              </w:rPr>
              <w:t> </w:t>
            </w:r>
          </w:p>
        </w:tc>
        <w:tc>
          <w:tcPr>
            <w:tcW w:w="921" w:type="dxa"/>
            <w:textDirection w:val="btLr"/>
            <w:hideMark/>
          </w:tcPr>
          <w:p w14:paraId="50AC07BD"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Housing demand per 1,000 75+</w:t>
            </w:r>
          </w:p>
        </w:tc>
        <w:tc>
          <w:tcPr>
            <w:tcW w:w="922" w:type="dxa"/>
            <w:textDirection w:val="btLr"/>
            <w:hideMark/>
          </w:tcPr>
          <w:p w14:paraId="72B1B938"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Supply</w:t>
            </w:r>
          </w:p>
        </w:tc>
        <w:tc>
          <w:tcPr>
            <w:tcW w:w="921" w:type="dxa"/>
            <w:textDirection w:val="btLr"/>
            <w:hideMark/>
          </w:tcPr>
          <w:p w14:paraId="271B9833"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2020 Demand</w:t>
            </w:r>
          </w:p>
        </w:tc>
        <w:tc>
          <w:tcPr>
            <w:tcW w:w="922" w:type="dxa"/>
            <w:textDirection w:val="btLr"/>
            <w:hideMark/>
          </w:tcPr>
          <w:p w14:paraId="68AAA3EF"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Shortfall/ Surplus</w:t>
            </w:r>
          </w:p>
        </w:tc>
        <w:tc>
          <w:tcPr>
            <w:tcW w:w="921" w:type="dxa"/>
            <w:textDirection w:val="btLr"/>
            <w:hideMark/>
          </w:tcPr>
          <w:p w14:paraId="755FE5A2"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Additional Demand to 2040</w:t>
            </w:r>
          </w:p>
        </w:tc>
        <w:tc>
          <w:tcPr>
            <w:tcW w:w="922" w:type="dxa"/>
            <w:textDirection w:val="btLr"/>
            <w:hideMark/>
          </w:tcPr>
          <w:p w14:paraId="7AF96192"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Shortfall/ Surplus by 2040</w:t>
            </w:r>
          </w:p>
        </w:tc>
      </w:tr>
      <w:tr w:rsidR="005E518A" w:rsidRPr="005E518A" w14:paraId="082EF76E" w14:textId="77777777" w:rsidTr="0034275C">
        <w:trPr>
          <w:trHeight w:val="79"/>
        </w:trPr>
        <w:tc>
          <w:tcPr>
            <w:cnfStyle w:val="001000000000" w:firstRow="0" w:lastRow="0" w:firstColumn="1" w:lastColumn="0" w:oddVBand="0" w:evenVBand="0" w:oddHBand="0" w:evenHBand="0" w:firstRowFirstColumn="0" w:firstRowLastColumn="0" w:lastRowFirstColumn="0" w:lastRowLastColumn="0"/>
            <w:tcW w:w="3260" w:type="dxa"/>
            <w:hideMark/>
          </w:tcPr>
          <w:p w14:paraId="2F46EE9D" w14:textId="77777777" w:rsidR="005E518A" w:rsidRPr="005E518A" w:rsidRDefault="005E518A" w:rsidP="005E518A">
            <w:pPr>
              <w:rPr>
                <w:color w:val="auto"/>
                <w:lang w:eastAsia="en-GB"/>
              </w:rPr>
            </w:pPr>
            <w:r w:rsidRPr="005E518A">
              <w:rPr>
                <w:color w:val="auto"/>
                <w:lang w:val="en-US" w:eastAsia="en-GB"/>
              </w:rPr>
              <w:t>Rented Housing with Support</w:t>
            </w:r>
          </w:p>
        </w:tc>
        <w:tc>
          <w:tcPr>
            <w:tcW w:w="921" w:type="dxa"/>
            <w:hideMark/>
          </w:tcPr>
          <w:p w14:paraId="4F3CD0C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43</w:t>
            </w:r>
          </w:p>
        </w:tc>
        <w:tc>
          <w:tcPr>
            <w:tcW w:w="922" w:type="dxa"/>
            <w:hideMark/>
          </w:tcPr>
          <w:p w14:paraId="6B234B8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724</w:t>
            </w:r>
          </w:p>
        </w:tc>
        <w:tc>
          <w:tcPr>
            <w:tcW w:w="921" w:type="dxa"/>
            <w:hideMark/>
          </w:tcPr>
          <w:p w14:paraId="4415219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356</w:t>
            </w:r>
          </w:p>
        </w:tc>
        <w:tc>
          <w:tcPr>
            <w:tcW w:w="922" w:type="dxa"/>
            <w:hideMark/>
          </w:tcPr>
          <w:p w14:paraId="79B70D8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-368</w:t>
            </w:r>
          </w:p>
        </w:tc>
        <w:tc>
          <w:tcPr>
            <w:tcW w:w="921" w:type="dxa"/>
            <w:hideMark/>
          </w:tcPr>
          <w:p w14:paraId="7E8FB6A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280</w:t>
            </w:r>
          </w:p>
        </w:tc>
        <w:tc>
          <w:tcPr>
            <w:tcW w:w="922" w:type="dxa"/>
            <w:hideMark/>
          </w:tcPr>
          <w:p w14:paraId="6A60371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-88</w:t>
            </w:r>
          </w:p>
        </w:tc>
      </w:tr>
      <w:tr w:rsidR="005E518A" w:rsidRPr="005E518A" w14:paraId="49D7C7DD" w14:textId="77777777" w:rsidTr="0034275C">
        <w:trPr>
          <w:trHeight w:val="84"/>
        </w:trPr>
        <w:tc>
          <w:tcPr>
            <w:cnfStyle w:val="001000000000" w:firstRow="0" w:lastRow="0" w:firstColumn="1" w:lastColumn="0" w:oddVBand="0" w:evenVBand="0" w:oddHBand="0" w:evenHBand="0" w:firstRowFirstColumn="0" w:firstRowLastColumn="0" w:lastRowFirstColumn="0" w:lastRowLastColumn="0"/>
            <w:tcW w:w="3260" w:type="dxa"/>
            <w:hideMark/>
          </w:tcPr>
          <w:p w14:paraId="0CD6EAAA" w14:textId="77777777" w:rsidR="005E518A" w:rsidRPr="005E518A" w:rsidRDefault="005E518A" w:rsidP="005E518A">
            <w:pPr>
              <w:rPr>
                <w:color w:val="auto"/>
                <w:lang w:eastAsia="en-GB"/>
              </w:rPr>
            </w:pPr>
            <w:r w:rsidRPr="005E518A">
              <w:rPr>
                <w:color w:val="auto"/>
                <w:lang w:val="en-US" w:eastAsia="en-GB"/>
              </w:rPr>
              <w:t>Leasehold Housing with Support</w:t>
            </w:r>
          </w:p>
        </w:tc>
        <w:tc>
          <w:tcPr>
            <w:tcW w:w="921" w:type="dxa"/>
            <w:hideMark/>
          </w:tcPr>
          <w:p w14:paraId="2BF53BF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74</w:t>
            </w:r>
          </w:p>
        </w:tc>
        <w:tc>
          <w:tcPr>
            <w:tcW w:w="922" w:type="dxa"/>
            <w:hideMark/>
          </w:tcPr>
          <w:p w14:paraId="7A0A8C7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127</w:t>
            </w:r>
          </w:p>
        </w:tc>
        <w:tc>
          <w:tcPr>
            <w:tcW w:w="921" w:type="dxa"/>
            <w:hideMark/>
          </w:tcPr>
          <w:p w14:paraId="01BC4066"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614</w:t>
            </w:r>
          </w:p>
        </w:tc>
        <w:tc>
          <w:tcPr>
            <w:tcW w:w="922" w:type="dxa"/>
            <w:hideMark/>
          </w:tcPr>
          <w:p w14:paraId="2DFF4A5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487</w:t>
            </w:r>
          </w:p>
        </w:tc>
        <w:tc>
          <w:tcPr>
            <w:tcW w:w="921" w:type="dxa"/>
            <w:hideMark/>
          </w:tcPr>
          <w:p w14:paraId="35D2E74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482</w:t>
            </w:r>
          </w:p>
        </w:tc>
        <w:tc>
          <w:tcPr>
            <w:tcW w:w="922" w:type="dxa"/>
            <w:hideMark/>
          </w:tcPr>
          <w:p w14:paraId="76FFAE8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969</w:t>
            </w:r>
          </w:p>
        </w:tc>
      </w:tr>
      <w:tr w:rsidR="005E518A" w:rsidRPr="005E518A" w14:paraId="05570613" w14:textId="77777777" w:rsidTr="0034275C">
        <w:trPr>
          <w:trHeight w:val="73"/>
        </w:trPr>
        <w:tc>
          <w:tcPr>
            <w:cnfStyle w:val="001000000000" w:firstRow="0" w:lastRow="0" w:firstColumn="1" w:lastColumn="0" w:oddVBand="0" w:evenVBand="0" w:oddHBand="0" w:evenHBand="0" w:firstRowFirstColumn="0" w:firstRowLastColumn="0" w:lastRowFirstColumn="0" w:lastRowLastColumn="0"/>
            <w:tcW w:w="3260" w:type="dxa"/>
            <w:hideMark/>
          </w:tcPr>
          <w:p w14:paraId="761B3A21" w14:textId="77777777" w:rsidR="005E518A" w:rsidRPr="005E518A" w:rsidRDefault="005E518A" w:rsidP="005E518A">
            <w:pPr>
              <w:rPr>
                <w:color w:val="auto"/>
                <w:lang w:eastAsia="en-GB"/>
              </w:rPr>
            </w:pPr>
            <w:r w:rsidRPr="005E518A">
              <w:rPr>
                <w:color w:val="auto"/>
                <w:lang w:val="en-US" w:eastAsia="en-GB"/>
              </w:rPr>
              <w:t>Rented Housing with Care</w:t>
            </w:r>
          </w:p>
        </w:tc>
        <w:tc>
          <w:tcPr>
            <w:tcW w:w="921" w:type="dxa"/>
            <w:hideMark/>
          </w:tcPr>
          <w:p w14:paraId="0D9203D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w:t>
            </w:r>
          </w:p>
        </w:tc>
        <w:tc>
          <w:tcPr>
            <w:tcW w:w="922" w:type="dxa"/>
            <w:hideMark/>
          </w:tcPr>
          <w:p w14:paraId="35A93E4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154</w:t>
            </w:r>
          </w:p>
        </w:tc>
        <w:tc>
          <w:tcPr>
            <w:tcW w:w="921" w:type="dxa"/>
            <w:hideMark/>
          </w:tcPr>
          <w:p w14:paraId="38C6B2A3"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155</w:t>
            </w:r>
          </w:p>
        </w:tc>
        <w:tc>
          <w:tcPr>
            <w:tcW w:w="922" w:type="dxa"/>
            <w:hideMark/>
          </w:tcPr>
          <w:p w14:paraId="39BFDB53"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w:t>
            </w:r>
          </w:p>
        </w:tc>
        <w:tc>
          <w:tcPr>
            <w:tcW w:w="921" w:type="dxa"/>
            <w:hideMark/>
          </w:tcPr>
          <w:p w14:paraId="104DDD4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121</w:t>
            </w:r>
          </w:p>
        </w:tc>
        <w:tc>
          <w:tcPr>
            <w:tcW w:w="922" w:type="dxa"/>
            <w:hideMark/>
          </w:tcPr>
          <w:p w14:paraId="162E329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122</w:t>
            </w:r>
          </w:p>
        </w:tc>
      </w:tr>
      <w:tr w:rsidR="005E518A" w:rsidRPr="005E518A" w14:paraId="14C93672" w14:textId="77777777" w:rsidTr="0034275C">
        <w:trPr>
          <w:trHeight w:val="220"/>
        </w:trPr>
        <w:tc>
          <w:tcPr>
            <w:cnfStyle w:val="001000000000" w:firstRow="0" w:lastRow="0" w:firstColumn="1" w:lastColumn="0" w:oddVBand="0" w:evenVBand="0" w:oddHBand="0" w:evenHBand="0" w:firstRowFirstColumn="0" w:firstRowLastColumn="0" w:lastRowFirstColumn="0" w:lastRowLastColumn="0"/>
            <w:tcW w:w="3260" w:type="dxa"/>
            <w:hideMark/>
          </w:tcPr>
          <w:p w14:paraId="7690C41E" w14:textId="77777777" w:rsidR="005E518A" w:rsidRPr="005E518A" w:rsidRDefault="005E518A" w:rsidP="005E518A">
            <w:pPr>
              <w:rPr>
                <w:color w:val="auto"/>
                <w:lang w:eastAsia="en-GB"/>
              </w:rPr>
            </w:pPr>
            <w:r w:rsidRPr="005E518A">
              <w:rPr>
                <w:color w:val="auto"/>
                <w:lang w:val="en-US" w:eastAsia="en-GB"/>
              </w:rPr>
              <w:t>Leasehold Housing with Care</w:t>
            </w:r>
          </w:p>
        </w:tc>
        <w:tc>
          <w:tcPr>
            <w:tcW w:w="921" w:type="dxa"/>
            <w:hideMark/>
          </w:tcPr>
          <w:p w14:paraId="2AC09C1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w:t>
            </w:r>
          </w:p>
        </w:tc>
        <w:tc>
          <w:tcPr>
            <w:tcW w:w="922" w:type="dxa"/>
            <w:hideMark/>
          </w:tcPr>
          <w:p w14:paraId="3A3145D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77</w:t>
            </w:r>
          </w:p>
        </w:tc>
        <w:tc>
          <w:tcPr>
            <w:tcW w:w="921" w:type="dxa"/>
            <w:hideMark/>
          </w:tcPr>
          <w:p w14:paraId="0F5061D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195</w:t>
            </w:r>
          </w:p>
        </w:tc>
        <w:tc>
          <w:tcPr>
            <w:tcW w:w="922" w:type="dxa"/>
            <w:hideMark/>
          </w:tcPr>
          <w:p w14:paraId="19C6DCD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118</w:t>
            </w:r>
          </w:p>
        </w:tc>
        <w:tc>
          <w:tcPr>
            <w:tcW w:w="921" w:type="dxa"/>
            <w:hideMark/>
          </w:tcPr>
          <w:p w14:paraId="7D13B6A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153</w:t>
            </w:r>
          </w:p>
        </w:tc>
        <w:tc>
          <w:tcPr>
            <w:tcW w:w="922" w:type="dxa"/>
            <w:hideMark/>
          </w:tcPr>
          <w:p w14:paraId="78529FC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271</w:t>
            </w:r>
          </w:p>
        </w:tc>
      </w:tr>
      <w:tr w:rsidR="005E518A" w:rsidRPr="005E518A" w14:paraId="4F02C3F4" w14:textId="77777777" w:rsidTr="0034275C">
        <w:trPr>
          <w:trHeight w:val="315"/>
        </w:trPr>
        <w:tc>
          <w:tcPr>
            <w:cnfStyle w:val="001000000000" w:firstRow="0" w:lastRow="0" w:firstColumn="1" w:lastColumn="0" w:oddVBand="0" w:evenVBand="0" w:oddHBand="0" w:evenHBand="0" w:firstRowFirstColumn="0" w:firstRowLastColumn="0" w:lastRowFirstColumn="0" w:lastRowLastColumn="0"/>
            <w:tcW w:w="3260" w:type="dxa"/>
            <w:hideMark/>
          </w:tcPr>
          <w:p w14:paraId="063A6518" w14:textId="77777777" w:rsidR="005E518A" w:rsidRPr="005E518A" w:rsidRDefault="005E518A" w:rsidP="005E518A">
            <w:pPr>
              <w:rPr>
                <w:b/>
                <w:bCs/>
                <w:color w:val="auto"/>
                <w:lang w:eastAsia="en-GB"/>
              </w:rPr>
            </w:pPr>
            <w:r w:rsidRPr="005E518A">
              <w:rPr>
                <w:b/>
                <w:bCs/>
                <w:color w:val="auto"/>
                <w:lang w:eastAsia="en-GB"/>
              </w:rPr>
              <w:t>Total</w:t>
            </w:r>
          </w:p>
        </w:tc>
        <w:tc>
          <w:tcPr>
            <w:tcW w:w="921" w:type="dxa"/>
            <w:hideMark/>
          </w:tcPr>
          <w:p w14:paraId="09450D9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158</w:t>
            </w:r>
          </w:p>
        </w:tc>
        <w:tc>
          <w:tcPr>
            <w:tcW w:w="922" w:type="dxa"/>
            <w:hideMark/>
          </w:tcPr>
          <w:p w14:paraId="3927BC8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1,082</w:t>
            </w:r>
          </w:p>
        </w:tc>
        <w:tc>
          <w:tcPr>
            <w:tcW w:w="921" w:type="dxa"/>
            <w:hideMark/>
          </w:tcPr>
          <w:p w14:paraId="4477D930"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1,320</w:t>
            </w:r>
          </w:p>
        </w:tc>
        <w:tc>
          <w:tcPr>
            <w:tcW w:w="922" w:type="dxa"/>
            <w:hideMark/>
          </w:tcPr>
          <w:p w14:paraId="44D3D9F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238</w:t>
            </w:r>
          </w:p>
        </w:tc>
        <w:tc>
          <w:tcPr>
            <w:tcW w:w="921" w:type="dxa"/>
            <w:hideMark/>
          </w:tcPr>
          <w:p w14:paraId="0E5E605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1,036</w:t>
            </w:r>
          </w:p>
        </w:tc>
        <w:tc>
          <w:tcPr>
            <w:tcW w:w="922" w:type="dxa"/>
            <w:hideMark/>
          </w:tcPr>
          <w:p w14:paraId="55A250C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1,274</w:t>
            </w:r>
          </w:p>
        </w:tc>
      </w:tr>
    </w:tbl>
    <w:p w14:paraId="662D4E5C" w14:textId="77777777" w:rsidR="00970D21" w:rsidRPr="0034275C" w:rsidRDefault="00970D21" w:rsidP="00970D21">
      <w:pPr>
        <w:pStyle w:val="BodyText"/>
        <w:tabs>
          <w:tab w:val="clear" w:pos="0"/>
          <w:tab w:val="left" w:pos="720"/>
        </w:tabs>
        <w:spacing w:after="120"/>
        <w:ind w:left="794" w:firstLine="0"/>
        <w:rPr>
          <w:sz w:val="24"/>
          <w:szCs w:val="32"/>
        </w:rPr>
      </w:pPr>
      <w:r w:rsidRPr="0034275C">
        <w:rPr>
          <w:rFonts w:ascii="Arial" w:hAnsi="Arial" w:cs="Arial"/>
          <w:sz w:val="24"/>
          <w:szCs w:val="24"/>
        </w:rPr>
        <w:t>Source: Derived from Demographic Projections and Housing LIN/HOPSR/EAC</w:t>
      </w:r>
    </w:p>
    <w:p w14:paraId="73240027" w14:textId="0282DEFF" w:rsidR="00970D21" w:rsidRDefault="00970D21" w:rsidP="003D5E23">
      <w:pPr>
        <w:pStyle w:val="Tableheading"/>
        <w:numPr>
          <w:ilvl w:val="0"/>
          <w:numId w:val="54"/>
        </w:numPr>
      </w:pPr>
      <w:r>
        <w:lastRenderedPageBreak/>
        <w:t>Specialist Housing Need using SHOP@ Assumptions, 2020-40 – Fenland (Units)</w:t>
      </w:r>
    </w:p>
    <w:tbl>
      <w:tblPr>
        <w:tblStyle w:val="TableGridLight1"/>
        <w:tblW w:w="8505" w:type="dxa"/>
        <w:tblInd w:w="846" w:type="dxa"/>
        <w:tblLook w:val="04A0" w:firstRow="1" w:lastRow="0" w:firstColumn="1" w:lastColumn="0" w:noHBand="0" w:noVBand="1"/>
      </w:tblPr>
      <w:tblGrid>
        <w:gridCol w:w="3118"/>
        <w:gridCol w:w="897"/>
        <w:gridCol w:w="898"/>
        <w:gridCol w:w="898"/>
        <w:gridCol w:w="898"/>
        <w:gridCol w:w="898"/>
        <w:gridCol w:w="898"/>
      </w:tblGrid>
      <w:tr w:rsidR="005E518A" w:rsidRPr="005E518A" w14:paraId="6983AF05" w14:textId="77777777" w:rsidTr="0034275C">
        <w:trPr>
          <w:cnfStyle w:val="100000000000" w:firstRow="1" w:lastRow="0" w:firstColumn="0" w:lastColumn="0" w:oddVBand="0" w:evenVBand="0" w:oddHBand="0" w:evenHBand="0" w:firstRowFirstColumn="0" w:firstRowLastColumn="0" w:lastRowFirstColumn="0" w:lastRowLastColumn="0"/>
          <w:cantSplit/>
          <w:trHeight w:val="1991"/>
        </w:trPr>
        <w:tc>
          <w:tcPr>
            <w:cnfStyle w:val="001000000000" w:firstRow="0" w:lastRow="0" w:firstColumn="1" w:lastColumn="0" w:oddVBand="0" w:evenVBand="0" w:oddHBand="0" w:evenHBand="0" w:firstRowFirstColumn="0" w:firstRowLastColumn="0" w:lastRowFirstColumn="0" w:lastRowLastColumn="0"/>
            <w:tcW w:w="3118" w:type="dxa"/>
            <w:hideMark/>
          </w:tcPr>
          <w:p w14:paraId="0A5DF03E" w14:textId="77777777" w:rsidR="005E518A" w:rsidRPr="005E518A" w:rsidRDefault="005E518A" w:rsidP="0034275C">
            <w:pPr>
              <w:keepNext/>
              <w:rPr>
                <w:color w:val="auto"/>
                <w:lang w:eastAsia="en-GB"/>
              </w:rPr>
            </w:pPr>
            <w:r w:rsidRPr="005E518A">
              <w:rPr>
                <w:color w:val="auto"/>
                <w:lang w:val="en-US" w:eastAsia="en-GB"/>
              </w:rPr>
              <w:t> </w:t>
            </w:r>
          </w:p>
        </w:tc>
        <w:tc>
          <w:tcPr>
            <w:tcW w:w="897" w:type="dxa"/>
            <w:textDirection w:val="btLr"/>
            <w:hideMark/>
          </w:tcPr>
          <w:p w14:paraId="50D641C8"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Housing demand per 1,000 75+</w:t>
            </w:r>
          </w:p>
        </w:tc>
        <w:tc>
          <w:tcPr>
            <w:tcW w:w="898" w:type="dxa"/>
            <w:textDirection w:val="btLr"/>
            <w:hideMark/>
          </w:tcPr>
          <w:p w14:paraId="46A66588"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Supply</w:t>
            </w:r>
          </w:p>
        </w:tc>
        <w:tc>
          <w:tcPr>
            <w:tcW w:w="898" w:type="dxa"/>
            <w:textDirection w:val="btLr"/>
            <w:hideMark/>
          </w:tcPr>
          <w:p w14:paraId="7891DE01"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2020 Demand</w:t>
            </w:r>
          </w:p>
        </w:tc>
        <w:tc>
          <w:tcPr>
            <w:tcW w:w="898" w:type="dxa"/>
            <w:textDirection w:val="btLr"/>
            <w:hideMark/>
          </w:tcPr>
          <w:p w14:paraId="0EFED722"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Shortfall/ Surplus</w:t>
            </w:r>
          </w:p>
        </w:tc>
        <w:tc>
          <w:tcPr>
            <w:tcW w:w="898" w:type="dxa"/>
            <w:textDirection w:val="btLr"/>
            <w:hideMark/>
          </w:tcPr>
          <w:p w14:paraId="618FF61C"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Additional Demand to 2040</w:t>
            </w:r>
          </w:p>
        </w:tc>
        <w:tc>
          <w:tcPr>
            <w:tcW w:w="898" w:type="dxa"/>
            <w:textDirection w:val="btLr"/>
            <w:hideMark/>
          </w:tcPr>
          <w:p w14:paraId="6AE18A4D" w14:textId="77777777" w:rsidR="005E518A" w:rsidRPr="005E518A" w:rsidRDefault="005E518A" w:rsidP="0034275C">
            <w:pPr>
              <w:keepNext/>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Shortfall/ Surplus by 2040</w:t>
            </w:r>
          </w:p>
        </w:tc>
      </w:tr>
      <w:tr w:rsidR="005E518A" w:rsidRPr="005E518A" w14:paraId="1A9ECDF8" w14:textId="77777777" w:rsidTr="0034275C">
        <w:trPr>
          <w:trHeight w:val="120"/>
        </w:trPr>
        <w:tc>
          <w:tcPr>
            <w:cnfStyle w:val="001000000000" w:firstRow="0" w:lastRow="0" w:firstColumn="1" w:lastColumn="0" w:oddVBand="0" w:evenVBand="0" w:oddHBand="0" w:evenHBand="0" w:firstRowFirstColumn="0" w:firstRowLastColumn="0" w:lastRowFirstColumn="0" w:lastRowLastColumn="0"/>
            <w:tcW w:w="3118" w:type="dxa"/>
            <w:hideMark/>
          </w:tcPr>
          <w:p w14:paraId="7BDE472D" w14:textId="77777777" w:rsidR="005E518A" w:rsidRPr="005E518A" w:rsidRDefault="005E518A" w:rsidP="0034275C">
            <w:pPr>
              <w:keepNext/>
              <w:rPr>
                <w:color w:val="auto"/>
                <w:lang w:eastAsia="en-GB"/>
              </w:rPr>
            </w:pPr>
            <w:r w:rsidRPr="005E518A">
              <w:rPr>
                <w:color w:val="auto"/>
                <w:lang w:val="en-US" w:eastAsia="en-GB"/>
              </w:rPr>
              <w:t>Rented Housing with Support</w:t>
            </w:r>
          </w:p>
        </w:tc>
        <w:tc>
          <w:tcPr>
            <w:tcW w:w="897" w:type="dxa"/>
            <w:hideMark/>
          </w:tcPr>
          <w:p w14:paraId="195D8CED"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61</w:t>
            </w:r>
          </w:p>
        </w:tc>
        <w:tc>
          <w:tcPr>
            <w:tcW w:w="898" w:type="dxa"/>
            <w:hideMark/>
          </w:tcPr>
          <w:p w14:paraId="34F41213"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652</w:t>
            </w:r>
          </w:p>
        </w:tc>
        <w:tc>
          <w:tcPr>
            <w:tcW w:w="898" w:type="dxa"/>
            <w:hideMark/>
          </w:tcPr>
          <w:p w14:paraId="126642A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659</w:t>
            </w:r>
          </w:p>
        </w:tc>
        <w:tc>
          <w:tcPr>
            <w:tcW w:w="898" w:type="dxa"/>
            <w:hideMark/>
          </w:tcPr>
          <w:p w14:paraId="78182C7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w:t>
            </w:r>
          </w:p>
        </w:tc>
        <w:tc>
          <w:tcPr>
            <w:tcW w:w="898" w:type="dxa"/>
            <w:hideMark/>
          </w:tcPr>
          <w:p w14:paraId="526F316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434</w:t>
            </w:r>
          </w:p>
        </w:tc>
        <w:tc>
          <w:tcPr>
            <w:tcW w:w="898" w:type="dxa"/>
            <w:hideMark/>
          </w:tcPr>
          <w:p w14:paraId="0EC79B55"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440</w:t>
            </w:r>
          </w:p>
        </w:tc>
      </w:tr>
      <w:tr w:rsidR="005E518A" w:rsidRPr="005E518A" w14:paraId="3E5CC69A" w14:textId="77777777" w:rsidTr="0034275C">
        <w:trPr>
          <w:trHeight w:val="123"/>
        </w:trPr>
        <w:tc>
          <w:tcPr>
            <w:cnfStyle w:val="001000000000" w:firstRow="0" w:lastRow="0" w:firstColumn="1" w:lastColumn="0" w:oddVBand="0" w:evenVBand="0" w:oddHBand="0" w:evenHBand="0" w:firstRowFirstColumn="0" w:firstRowLastColumn="0" w:lastRowFirstColumn="0" w:lastRowLastColumn="0"/>
            <w:tcW w:w="3118" w:type="dxa"/>
            <w:hideMark/>
          </w:tcPr>
          <w:p w14:paraId="59505E83" w14:textId="77777777" w:rsidR="005E518A" w:rsidRPr="005E518A" w:rsidRDefault="005E518A" w:rsidP="0034275C">
            <w:pPr>
              <w:keepNext/>
              <w:rPr>
                <w:color w:val="auto"/>
                <w:lang w:eastAsia="en-GB"/>
              </w:rPr>
            </w:pPr>
            <w:r w:rsidRPr="005E518A">
              <w:rPr>
                <w:color w:val="auto"/>
                <w:lang w:val="en-US" w:eastAsia="en-GB"/>
              </w:rPr>
              <w:t>Leasehold Housing with Support</w:t>
            </w:r>
          </w:p>
        </w:tc>
        <w:tc>
          <w:tcPr>
            <w:tcW w:w="897" w:type="dxa"/>
            <w:hideMark/>
          </w:tcPr>
          <w:p w14:paraId="7B46A30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68</w:t>
            </w:r>
          </w:p>
        </w:tc>
        <w:tc>
          <w:tcPr>
            <w:tcW w:w="898" w:type="dxa"/>
            <w:hideMark/>
          </w:tcPr>
          <w:p w14:paraId="5FE827EA"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108</w:t>
            </w:r>
          </w:p>
        </w:tc>
        <w:tc>
          <w:tcPr>
            <w:tcW w:w="898" w:type="dxa"/>
            <w:hideMark/>
          </w:tcPr>
          <w:p w14:paraId="68503205"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737</w:t>
            </w:r>
          </w:p>
        </w:tc>
        <w:tc>
          <w:tcPr>
            <w:tcW w:w="898" w:type="dxa"/>
            <w:hideMark/>
          </w:tcPr>
          <w:p w14:paraId="679BC6E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629</w:t>
            </w:r>
          </w:p>
        </w:tc>
        <w:tc>
          <w:tcPr>
            <w:tcW w:w="898" w:type="dxa"/>
            <w:hideMark/>
          </w:tcPr>
          <w:p w14:paraId="5E297024"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486</w:t>
            </w:r>
          </w:p>
        </w:tc>
        <w:tc>
          <w:tcPr>
            <w:tcW w:w="898" w:type="dxa"/>
            <w:hideMark/>
          </w:tcPr>
          <w:p w14:paraId="76BFFD13"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1,115</w:t>
            </w:r>
          </w:p>
        </w:tc>
      </w:tr>
      <w:tr w:rsidR="005E518A" w:rsidRPr="005E518A" w14:paraId="354D4FC5" w14:textId="77777777" w:rsidTr="0034275C">
        <w:trPr>
          <w:trHeight w:val="128"/>
        </w:trPr>
        <w:tc>
          <w:tcPr>
            <w:cnfStyle w:val="001000000000" w:firstRow="0" w:lastRow="0" w:firstColumn="1" w:lastColumn="0" w:oddVBand="0" w:evenVBand="0" w:oddHBand="0" w:evenHBand="0" w:firstRowFirstColumn="0" w:firstRowLastColumn="0" w:lastRowFirstColumn="0" w:lastRowLastColumn="0"/>
            <w:tcW w:w="3118" w:type="dxa"/>
            <w:hideMark/>
          </w:tcPr>
          <w:p w14:paraId="083BCFCD" w14:textId="77777777" w:rsidR="005E518A" w:rsidRPr="005E518A" w:rsidRDefault="005E518A" w:rsidP="0034275C">
            <w:pPr>
              <w:keepNext/>
              <w:rPr>
                <w:color w:val="auto"/>
                <w:lang w:eastAsia="en-GB"/>
              </w:rPr>
            </w:pPr>
            <w:r w:rsidRPr="005E518A">
              <w:rPr>
                <w:color w:val="auto"/>
                <w:lang w:val="en-US" w:eastAsia="en-GB"/>
              </w:rPr>
              <w:t>Rented Housing with Care</w:t>
            </w:r>
          </w:p>
        </w:tc>
        <w:tc>
          <w:tcPr>
            <w:tcW w:w="897" w:type="dxa"/>
            <w:hideMark/>
          </w:tcPr>
          <w:p w14:paraId="799F9461"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25</w:t>
            </w:r>
          </w:p>
        </w:tc>
        <w:tc>
          <w:tcPr>
            <w:tcW w:w="898" w:type="dxa"/>
            <w:hideMark/>
          </w:tcPr>
          <w:p w14:paraId="7A0C542E"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152</w:t>
            </w:r>
          </w:p>
        </w:tc>
        <w:tc>
          <w:tcPr>
            <w:tcW w:w="898" w:type="dxa"/>
            <w:hideMark/>
          </w:tcPr>
          <w:p w14:paraId="46066E28"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275</w:t>
            </w:r>
          </w:p>
        </w:tc>
        <w:tc>
          <w:tcPr>
            <w:tcW w:w="898" w:type="dxa"/>
            <w:hideMark/>
          </w:tcPr>
          <w:p w14:paraId="7FBCE1B3"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123</w:t>
            </w:r>
          </w:p>
        </w:tc>
        <w:tc>
          <w:tcPr>
            <w:tcW w:w="898" w:type="dxa"/>
            <w:hideMark/>
          </w:tcPr>
          <w:p w14:paraId="0C2B82D2"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181</w:t>
            </w:r>
          </w:p>
        </w:tc>
        <w:tc>
          <w:tcPr>
            <w:tcW w:w="898" w:type="dxa"/>
            <w:hideMark/>
          </w:tcPr>
          <w:p w14:paraId="7C46704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304</w:t>
            </w:r>
          </w:p>
        </w:tc>
      </w:tr>
      <w:tr w:rsidR="005E518A" w:rsidRPr="005E518A" w14:paraId="42761798"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118" w:type="dxa"/>
            <w:hideMark/>
          </w:tcPr>
          <w:p w14:paraId="71FA109B" w14:textId="77777777" w:rsidR="005E518A" w:rsidRPr="005E518A" w:rsidRDefault="005E518A" w:rsidP="0034275C">
            <w:pPr>
              <w:keepNext/>
              <w:rPr>
                <w:color w:val="auto"/>
                <w:lang w:eastAsia="en-GB"/>
              </w:rPr>
            </w:pPr>
            <w:r w:rsidRPr="005E518A">
              <w:rPr>
                <w:color w:val="auto"/>
                <w:lang w:val="en-US" w:eastAsia="en-GB"/>
              </w:rPr>
              <w:t>Leasehold Housing with Care</w:t>
            </w:r>
          </w:p>
        </w:tc>
        <w:tc>
          <w:tcPr>
            <w:tcW w:w="897" w:type="dxa"/>
            <w:hideMark/>
          </w:tcPr>
          <w:p w14:paraId="215BF48F"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21</w:t>
            </w:r>
          </w:p>
        </w:tc>
        <w:tc>
          <w:tcPr>
            <w:tcW w:w="898" w:type="dxa"/>
            <w:hideMark/>
          </w:tcPr>
          <w:p w14:paraId="5FC1DB4D"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0</w:t>
            </w:r>
          </w:p>
        </w:tc>
        <w:tc>
          <w:tcPr>
            <w:tcW w:w="898" w:type="dxa"/>
            <w:hideMark/>
          </w:tcPr>
          <w:p w14:paraId="2B071282"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228</w:t>
            </w:r>
          </w:p>
        </w:tc>
        <w:tc>
          <w:tcPr>
            <w:tcW w:w="898" w:type="dxa"/>
            <w:hideMark/>
          </w:tcPr>
          <w:p w14:paraId="495DD087"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228</w:t>
            </w:r>
          </w:p>
        </w:tc>
        <w:tc>
          <w:tcPr>
            <w:tcW w:w="898" w:type="dxa"/>
            <w:hideMark/>
          </w:tcPr>
          <w:p w14:paraId="2F15B9F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150</w:t>
            </w:r>
          </w:p>
        </w:tc>
        <w:tc>
          <w:tcPr>
            <w:tcW w:w="898" w:type="dxa"/>
            <w:hideMark/>
          </w:tcPr>
          <w:p w14:paraId="6F8AFF6E"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377</w:t>
            </w:r>
          </w:p>
        </w:tc>
      </w:tr>
      <w:tr w:rsidR="005E518A" w:rsidRPr="005E518A" w14:paraId="49B83DD8" w14:textId="77777777" w:rsidTr="0034275C">
        <w:trPr>
          <w:trHeight w:val="315"/>
        </w:trPr>
        <w:tc>
          <w:tcPr>
            <w:cnfStyle w:val="001000000000" w:firstRow="0" w:lastRow="0" w:firstColumn="1" w:lastColumn="0" w:oddVBand="0" w:evenVBand="0" w:oddHBand="0" w:evenHBand="0" w:firstRowFirstColumn="0" w:firstRowLastColumn="0" w:lastRowFirstColumn="0" w:lastRowLastColumn="0"/>
            <w:tcW w:w="3118" w:type="dxa"/>
            <w:hideMark/>
          </w:tcPr>
          <w:p w14:paraId="47740D24" w14:textId="77777777" w:rsidR="005E518A" w:rsidRPr="005E518A" w:rsidRDefault="005E518A" w:rsidP="0034275C">
            <w:pPr>
              <w:keepNext/>
              <w:rPr>
                <w:b/>
                <w:bCs/>
                <w:color w:val="auto"/>
                <w:lang w:eastAsia="en-GB"/>
              </w:rPr>
            </w:pPr>
            <w:r w:rsidRPr="005E518A">
              <w:rPr>
                <w:b/>
                <w:bCs/>
                <w:color w:val="auto"/>
                <w:lang w:eastAsia="en-GB"/>
              </w:rPr>
              <w:t>Total</w:t>
            </w:r>
          </w:p>
        </w:tc>
        <w:tc>
          <w:tcPr>
            <w:tcW w:w="897" w:type="dxa"/>
            <w:hideMark/>
          </w:tcPr>
          <w:p w14:paraId="4A28FFA2"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175</w:t>
            </w:r>
          </w:p>
        </w:tc>
        <w:tc>
          <w:tcPr>
            <w:tcW w:w="898" w:type="dxa"/>
            <w:hideMark/>
          </w:tcPr>
          <w:p w14:paraId="21E3D6B9"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912</w:t>
            </w:r>
          </w:p>
        </w:tc>
        <w:tc>
          <w:tcPr>
            <w:tcW w:w="898" w:type="dxa"/>
            <w:hideMark/>
          </w:tcPr>
          <w:p w14:paraId="3CB14E20"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1,899</w:t>
            </w:r>
          </w:p>
        </w:tc>
        <w:tc>
          <w:tcPr>
            <w:tcW w:w="898" w:type="dxa"/>
            <w:hideMark/>
          </w:tcPr>
          <w:p w14:paraId="790EF012"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987</w:t>
            </w:r>
          </w:p>
        </w:tc>
        <w:tc>
          <w:tcPr>
            <w:tcW w:w="898" w:type="dxa"/>
            <w:hideMark/>
          </w:tcPr>
          <w:p w14:paraId="4D1CE98F"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1,250</w:t>
            </w:r>
          </w:p>
        </w:tc>
        <w:tc>
          <w:tcPr>
            <w:tcW w:w="898" w:type="dxa"/>
            <w:hideMark/>
          </w:tcPr>
          <w:p w14:paraId="6938F913" w14:textId="77777777" w:rsidR="005E518A" w:rsidRPr="005E518A" w:rsidRDefault="005E518A" w:rsidP="0034275C">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2,237</w:t>
            </w:r>
          </w:p>
        </w:tc>
      </w:tr>
    </w:tbl>
    <w:p w14:paraId="28A47C2A" w14:textId="1359F671" w:rsidR="00970D21" w:rsidRPr="0034275C" w:rsidRDefault="00970D21" w:rsidP="00970D21">
      <w:pPr>
        <w:pStyle w:val="BodyText"/>
        <w:tabs>
          <w:tab w:val="clear" w:pos="0"/>
          <w:tab w:val="left" w:pos="720"/>
        </w:tabs>
        <w:spacing w:after="120"/>
        <w:ind w:left="794" w:firstLine="0"/>
        <w:rPr>
          <w:rFonts w:ascii="Arial" w:hAnsi="Arial" w:cs="Arial"/>
          <w:sz w:val="24"/>
          <w:szCs w:val="24"/>
        </w:rPr>
      </w:pPr>
      <w:r w:rsidRPr="0034275C">
        <w:rPr>
          <w:rFonts w:ascii="Arial" w:hAnsi="Arial" w:cs="Arial"/>
          <w:sz w:val="24"/>
          <w:szCs w:val="24"/>
        </w:rPr>
        <w:t>Source: Derived from Demographic Projections and Housing LIN/HOPSR/EAC</w:t>
      </w:r>
    </w:p>
    <w:p w14:paraId="493C313F" w14:textId="6960836F" w:rsidR="00970D21" w:rsidRDefault="00970D21" w:rsidP="003D5E23">
      <w:pPr>
        <w:pStyle w:val="Tableheading"/>
        <w:numPr>
          <w:ilvl w:val="0"/>
          <w:numId w:val="54"/>
        </w:numPr>
      </w:pPr>
      <w:r>
        <w:t>Specialist Housing Need using SHOP@ Assumptions, 2020-40 – Huntingdonshire (Units)</w:t>
      </w:r>
    </w:p>
    <w:tbl>
      <w:tblPr>
        <w:tblStyle w:val="TableGridLight1"/>
        <w:tblW w:w="8505" w:type="dxa"/>
        <w:tblInd w:w="704" w:type="dxa"/>
        <w:tblLook w:val="04A0" w:firstRow="1" w:lastRow="0" w:firstColumn="1" w:lastColumn="0" w:noHBand="0" w:noVBand="1"/>
      </w:tblPr>
      <w:tblGrid>
        <w:gridCol w:w="3260"/>
        <w:gridCol w:w="874"/>
        <w:gridCol w:w="874"/>
        <w:gridCol w:w="874"/>
        <w:gridCol w:w="874"/>
        <w:gridCol w:w="874"/>
        <w:gridCol w:w="875"/>
      </w:tblGrid>
      <w:tr w:rsidR="005E518A" w:rsidRPr="005E518A" w14:paraId="183CC733" w14:textId="77777777" w:rsidTr="0034275C">
        <w:trPr>
          <w:cnfStyle w:val="100000000000" w:firstRow="1" w:lastRow="0" w:firstColumn="0" w:lastColumn="0" w:oddVBand="0" w:evenVBand="0" w:oddHBand="0" w:evenHBand="0" w:firstRowFirstColumn="0" w:firstRowLastColumn="0" w:lastRowFirstColumn="0" w:lastRowLastColumn="0"/>
          <w:cantSplit/>
          <w:trHeight w:val="1921"/>
        </w:trPr>
        <w:tc>
          <w:tcPr>
            <w:cnfStyle w:val="001000000000" w:firstRow="0" w:lastRow="0" w:firstColumn="1" w:lastColumn="0" w:oddVBand="0" w:evenVBand="0" w:oddHBand="0" w:evenHBand="0" w:firstRowFirstColumn="0" w:firstRowLastColumn="0" w:lastRowFirstColumn="0" w:lastRowLastColumn="0"/>
            <w:tcW w:w="3260" w:type="dxa"/>
            <w:hideMark/>
          </w:tcPr>
          <w:p w14:paraId="1B72AB74" w14:textId="77777777" w:rsidR="005E518A" w:rsidRPr="005E518A" w:rsidRDefault="005E518A" w:rsidP="005E518A">
            <w:pPr>
              <w:rPr>
                <w:color w:val="auto"/>
                <w:lang w:eastAsia="en-GB"/>
              </w:rPr>
            </w:pPr>
            <w:r w:rsidRPr="005E518A">
              <w:rPr>
                <w:color w:val="auto"/>
                <w:lang w:val="en-US" w:eastAsia="en-GB"/>
              </w:rPr>
              <w:t> </w:t>
            </w:r>
          </w:p>
        </w:tc>
        <w:tc>
          <w:tcPr>
            <w:tcW w:w="874" w:type="dxa"/>
            <w:textDirection w:val="btLr"/>
            <w:hideMark/>
          </w:tcPr>
          <w:p w14:paraId="19283272"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Housing demand per 1,000 75+</w:t>
            </w:r>
          </w:p>
        </w:tc>
        <w:tc>
          <w:tcPr>
            <w:tcW w:w="874" w:type="dxa"/>
            <w:textDirection w:val="btLr"/>
            <w:hideMark/>
          </w:tcPr>
          <w:p w14:paraId="362406D2"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Supply</w:t>
            </w:r>
          </w:p>
        </w:tc>
        <w:tc>
          <w:tcPr>
            <w:tcW w:w="874" w:type="dxa"/>
            <w:textDirection w:val="btLr"/>
            <w:hideMark/>
          </w:tcPr>
          <w:p w14:paraId="1F26841A"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2020 Demand</w:t>
            </w:r>
          </w:p>
        </w:tc>
        <w:tc>
          <w:tcPr>
            <w:tcW w:w="874" w:type="dxa"/>
            <w:textDirection w:val="btLr"/>
            <w:hideMark/>
          </w:tcPr>
          <w:p w14:paraId="23A69CCF"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Shortfall/ Surplus</w:t>
            </w:r>
          </w:p>
        </w:tc>
        <w:tc>
          <w:tcPr>
            <w:tcW w:w="874" w:type="dxa"/>
            <w:textDirection w:val="btLr"/>
            <w:hideMark/>
          </w:tcPr>
          <w:p w14:paraId="49DA6FFD"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Additional Demand to 2040</w:t>
            </w:r>
          </w:p>
        </w:tc>
        <w:tc>
          <w:tcPr>
            <w:tcW w:w="875" w:type="dxa"/>
            <w:textDirection w:val="btLr"/>
            <w:hideMark/>
          </w:tcPr>
          <w:p w14:paraId="5C071EFD"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Shortfall/ Surplus by 2040</w:t>
            </w:r>
          </w:p>
        </w:tc>
      </w:tr>
      <w:tr w:rsidR="005E518A" w:rsidRPr="005E518A" w14:paraId="1694D29D"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260" w:type="dxa"/>
            <w:hideMark/>
          </w:tcPr>
          <w:p w14:paraId="6EB2A998" w14:textId="77777777" w:rsidR="005E518A" w:rsidRPr="005E518A" w:rsidRDefault="005E518A" w:rsidP="005E518A">
            <w:pPr>
              <w:rPr>
                <w:color w:val="auto"/>
                <w:lang w:eastAsia="en-GB"/>
              </w:rPr>
            </w:pPr>
            <w:r w:rsidRPr="005E518A">
              <w:rPr>
                <w:color w:val="auto"/>
                <w:lang w:val="en-US" w:eastAsia="en-GB"/>
              </w:rPr>
              <w:t>Rented Housing with Support</w:t>
            </w:r>
          </w:p>
        </w:tc>
        <w:tc>
          <w:tcPr>
            <w:tcW w:w="874" w:type="dxa"/>
            <w:hideMark/>
          </w:tcPr>
          <w:p w14:paraId="572123A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40</w:t>
            </w:r>
          </w:p>
        </w:tc>
        <w:tc>
          <w:tcPr>
            <w:tcW w:w="874" w:type="dxa"/>
            <w:hideMark/>
          </w:tcPr>
          <w:p w14:paraId="2D61AC30"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940</w:t>
            </w:r>
          </w:p>
        </w:tc>
        <w:tc>
          <w:tcPr>
            <w:tcW w:w="874" w:type="dxa"/>
            <w:hideMark/>
          </w:tcPr>
          <w:p w14:paraId="1717843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580</w:t>
            </w:r>
          </w:p>
        </w:tc>
        <w:tc>
          <w:tcPr>
            <w:tcW w:w="874" w:type="dxa"/>
            <w:hideMark/>
          </w:tcPr>
          <w:p w14:paraId="7C37A5C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-360</w:t>
            </w:r>
          </w:p>
        </w:tc>
        <w:tc>
          <w:tcPr>
            <w:tcW w:w="874" w:type="dxa"/>
            <w:hideMark/>
          </w:tcPr>
          <w:p w14:paraId="7DDF391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554</w:t>
            </w:r>
          </w:p>
        </w:tc>
        <w:tc>
          <w:tcPr>
            <w:tcW w:w="875" w:type="dxa"/>
            <w:hideMark/>
          </w:tcPr>
          <w:p w14:paraId="779E7FA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194</w:t>
            </w:r>
          </w:p>
        </w:tc>
      </w:tr>
      <w:tr w:rsidR="005E518A" w:rsidRPr="005E518A" w14:paraId="50596F4E" w14:textId="77777777" w:rsidTr="0034275C">
        <w:trPr>
          <w:trHeight w:val="123"/>
        </w:trPr>
        <w:tc>
          <w:tcPr>
            <w:cnfStyle w:val="001000000000" w:firstRow="0" w:lastRow="0" w:firstColumn="1" w:lastColumn="0" w:oddVBand="0" w:evenVBand="0" w:oddHBand="0" w:evenHBand="0" w:firstRowFirstColumn="0" w:firstRowLastColumn="0" w:lastRowFirstColumn="0" w:lastRowLastColumn="0"/>
            <w:tcW w:w="3260" w:type="dxa"/>
            <w:hideMark/>
          </w:tcPr>
          <w:p w14:paraId="66607E84" w14:textId="77777777" w:rsidR="005E518A" w:rsidRPr="005E518A" w:rsidRDefault="005E518A" w:rsidP="005E518A">
            <w:pPr>
              <w:rPr>
                <w:color w:val="auto"/>
                <w:lang w:eastAsia="en-GB"/>
              </w:rPr>
            </w:pPr>
            <w:r w:rsidRPr="005E518A">
              <w:rPr>
                <w:color w:val="auto"/>
                <w:lang w:val="en-US" w:eastAsia="en-GB"/>
              </w:rPr>
              <w:t>Leasehold Housing with Support</w:t>
            </w:r>
          </w:p>
        </w:tc>
        <w:tc>
          <w:tcPr>
            <w:tcW w:w="874" w:type="dxa"/>
            <w:hideMark/>
          </w:tcPr>
          <w:p w14:paraId="1EE2719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70</w:t>
            </w:r>
          </w:p>
        </w:tc>
        <w:tc>
          <w:tcPr>
            <w:tcW w:w="874" w:type="dxa"/>
            <w:hideMark/>
          </w:tcPr>
          <w:p w14:paraId="702D377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467</w:t>
            </w:r>
          </w:p>
        </w:tc>
        <w:tc>
          <w:tcPr>
            <w:tcW w:w="874" w:type="dxa"/>
            <w:hideMark/>
          </w:tcPr>
          <w:p w14:paraId="11B619F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1,023</w:t>
            </w:r>
          </w:p>
        </w:tc>
        <w:tc>
          <w:tcPr>
            <w:tcW w:w="874" w:type="dxa"/>
            <w:hideMark/>
          </w:tcPr>
          <w:p w14:paraId="120DE52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556</w:t>
            </w:r>
          </w:p>
        </w:tc>
        <w:tc>
          <w:tcPr>
            <w:tcW w:w="874" w:type="dxa"/>
            <w:hideMark/>
          </w:tcPr>
          <w:p w14:paraId="3A1BEDC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977</w:t>
            </w:r>
          </w:p>
        </w:tc>
        <w:tc>
          <w:tcPr>
            <w:tcW w:w="875" w:type="dxa"/>
            <w:hideMark/>
          </w:tcPr>
          <w:p w14:paraId="5C7D5CA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1,533</w:t>
            </w:r>
          </w:p>
        </w:tc>
      </w:tr>
      <w:tr w:rsidR="005E518A" w:rsidRPr="005E518A" w14:paraId="25AA578F" w14:textId="77777777" w:rsidTr="0034275C">
        <w:trPr>
          <w:trHeight w:val="127"/>
        </w:trPr>
        <w:tc>
          <w:tcPr>
            <w:cnfStyle w:val="001000000000" w:firstRow="0" w:lastRow="0" w:firstColumn="1" w:lastColumn="0" w:oddVBand="0" w:evenVBand="0" w:oddHBand="0" w:evenHBand="0" w:firstRowFirstColumn="0" w:firstRowLastColumn="0" w:lastRowFirstColumn="0" w:lastRowLastColumn="0"/>
            <w:tcW w:w="3260" w:type="dxa"/>
            <w:hideMark/>
          </w:tcPr>
          <w:p w14:paraId="120FD2FD" w14:textId="77777777" w:rsidR="005E518A" w:rsidRPr="005E518A" w:rsidRDefault="005E518A" w:rsidP="005E518A">
            <w:pPr>
              <w:rPr>
                <w:color w:val="auto"/>
                <w:lang w:eastAsia="en-GB"/>
              </w:rPr>
            </w:pPr>
            <w:r w:rsidRPr="005E518A">
              <w:rPr>
                <w:color w:val="auto"/>
                <w:lang w:val="en-US" w:eastAsia="en-GB"/>
              </w:rPr>
              <w:t>Rented Housing with Care</w:t>
            </w:r>
          </w:p>
        </w:tc>
        <w:tc>
          <w:tcPr>
            <w:tcW w:w="874" w:type="dxa"/>
            <w:hideMark/>
          </w:tcPr>
          <w:p w14:paraId="041DEA9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17</w:t>
            </w:r>
          </w:p>
        </w:tc>
        <w:tc>
          <w:tcPr>
            <w:tcW w:w="874" w:type="dxa"/>
            <w:hideMark/>
          </w:tcPr>
          <w:p w14:paraId="0ABE2D1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123</w:t>
            </w:r>
          </w:p>
        </w:tc>
        <w:tc>
          <w:tcPr>
            <w:tcW w:w="874" w:type="dxa"/>
            <w:hideMark/>
          </w:tcPr>
          <w:p w14:paraId="3CD419E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253</w:t>
            </w:r>
          </w:p>
        </w:tc>
        <w:tc>
          <w:tcPr>
            <w:tcW w:w="874" w:type="dxa"/>
            <w:hideMark/>
          </w:tcPr>
          <w:p w14:paraId="2FF2914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130</w:t>
            </w:r>
          </w:p>
        </w:tc>
        <w:tc>
          <w:tcPr>
            <w:tcW w:w="874" w:type="dxa"/>
            <w:hideMark/>
          </w:tcPr>
          <w:p w14:paraId="07BB386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241</w:t>
            </w:r>
          </w:p>
        </w:tc>
        <w:tc>
          <w:tcPr>
            <w:tcW w:w="875" w:type="dxa"/>
            <w:hideMark/>
          </w:tcPr>
          <w:p w14:paraId="346F1CA3"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371</w:t>
            </w:r>
          </w:p>
        </w:tc>
      </w:tr>
      <w:tr w:rsidR="005E518A" w:rsidRPr="005E518A" w14:paraId="3401806D"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260" w:type="dxa"/>
            <w:hideMark/>
          </w:tcPr>
          <w:p w14:paraId="12EDC139" w14:textId="77777777" w:rsidR="005E518A" w:rsidRPr="005E518A" w:rsidRDefault="005E518A" w:rsidP="005E518A">
            <w:pPr>
              <w:rPr>
                <w:color w:val="auto"/>
                <w:lang w:eastAsia="en-GB"/>
              </w:rPr>
            </w:pPr>
            <w:r w:rsidRPr="005E518A">
              <w:rPr>
                <w:color w:val="auto"/>
                <w:lang w:val="en-US" w:eastAsia="en-GB"/>
              </w:rPr>
              <w:t>Leasehold Housing with Care</w:t>
            </w:r>
          </w:p>
        </w:tc>
        <w:tc>
          <w:tcPr>
            <w:tcW w:w="874" w:type="dxa"/>
            <w:hideMark/>
          </w:tcPr>
          <w:p w14:paraId="461A6AF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22</w:t>
            </w:r>
          </w:p>
        </w:tc>
        <w:tc>
          <w:tcPr>
            <w:tcW w:w="874" w:type="dxa"/>
            <w:hideMark/>
          </w:tcPr>
          <w:p w14:paraId="7E87707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0</w:t>
            </w:r>
          </w:p>
        </w:tc>
        <w:tc>
          <w:tcPr>
            <w:tcW w:w="874" w:type="dxa"/>
            <w:hideMark/>
          </w:tcPr>
          <w:p w14:paraId="2CF21EB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325</w:t>
            </w:r>
          </w:p>
        </w:tc>
        <w:tc>
          <w:tcPr>
            <w:tcW w:w="874" w:type="dxa"/>
            <w:hideMark/>
          </w:tcPr>
          <w:p w14:paraId="5F90D64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325</w:t>
            </w:r>
          </w:p>
        </w:tc>
        <w:tc>
          <w:tcPr>
            <w:tcW w:w="874" w:type="dxa"/>
            <w:hideMark/>
          </w:tcPr>
          <w:p w14:paraId="527A2BE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310</w:t>
            </w:r>
          </w:p>
        </w:tc>
        <w:tc>
          <w:tcPr>
            <w:tcW w:w="875" w:type="dxa"/>
            <w:hideMark/>
          </w:tcPr>
          <w:p w14:paraId="33F408C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635</w:t>
            </w:r>
          </w:p>
        </w:tc>
      </w:tr>
      <w:tr w:rsidR="005E518A" w:rsidRPr="005E518A" w14:paraId="0E6788FB" w14:textId="77777777" w:rsidTr="0034275C">
        <w:trPr>
          <w:trHeight w:val="315"/>
        </w:trPr>
        <w:tc>
          <w:tcPr>
            <w:cnfStyle w:val="001000000000" w:firstRow="0" w:lastRow="0" w:firstColumn="1" w:lastColumn="0" w:oddVBand="0" w:evenVBand="0" w:oddHBand="0" w:evenHBand="0" w:firstRowFirstColumn="0" w:firstRowLastColumn="0" w:lastRowFirstColumn="0" w:lastRowLastColumn="0"/>
            <w:tcW w:w="3260" w:type="dxa"/>
            <w:hideMark/>
          </w:tcPr>
          <w:p w14:paraId="38A8B009" w14:textId="77777777" w:rsidR="005E518A" w:rsidRPr="005E518A" w:rsidRDefault="005E518A" w:rsidP="005E518A">
            <w:pPr>
              <w:rPr>
                <w:b/>
                <w:bCs/>
                <w:color w:val="auto"/>
                <w:lang w:eastAsia="en-GB"/>
              </w:rPr>
            </w:pPr>
            <w:r w:rsidRPr="005E518A">
              <w:rPr>
                <w:b/>
                <w:bCs/>
                <w:color w:val="auto"/>
                <w:lang w:eastAsia="en-GB"/>
              </w:rPr>
              <w:t>Total</w:t>
            </w:r>
          </w:p>
        </w:tc>
        <w:tc>
          <w:tcPr>
            <w:tcW w:w="874" w:type="dxa"/>
            <w:hideMark/>
          </w:tcPr>
          <w:p w14:paraId="3A762C53"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149</w:t>
            </w:r>
          </w:p>
        </w:tc>
        <w:tc>
          <w:tcPr>
            <w:tcW w:w="874" w:type="dxa"/>
            <w:hideMark/>
          </w:tcPr>
          <w:p w14:paraId="628F4AEF"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1,530</w:t>
            </w:r>
          </w:p>
        </w:tc>
        <w:tc>
          <w:tcPr>
            <w:tcW w:w="874" w:type="dxa"/>
            <w:hideMark/>
          </w:tcPr>
          <w:p w14:paraId="2E3AAA6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2,181</w:t>
            </w:r>
          </w:p>
        </w:tc>
        <w:tc>
          <w:tcPr>
            <w:tcW w:w="874" w:type="dxa"/>
            <w:hideMark/>
          </w:tcPr>
          <w:p w14:paraId="1BA8541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651</w:t>
            </w:r>
          </w:p>
        </w:tc>
        <w:tc>
          <w:tcPr>
            <w:tcW w:w="874" w:type="dxa"/>
            <w:hideMark/>
          </w:tcPr>
          <w:p w14:paraId="23AEB6F2"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2,082</w:t>
            </w:r>
          </w:p>
        </w:tc>
        <w:tc>
          <w:tcPr>
            <w:tcW w:w="875" w:type="dxa"/>
            <w:hideMark/>
          </w:tcPr>
          <w:p w14:paraId="00AD2B6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2,733</w:t>
            </w:r>
          </w:p>
        </w:tc>
      </w:tr>
    </w:tbl>
    <w:p w14:paraId="23C2237C" w14:textId="56345ECA" w:rsidR="00970D21" w:rsidRDefault="00970D21" w:rsidP="00970D21">
      <w:pPr>
        <w:pStyle w:val="BodyText"/>
        <w:spacing w:after="120"/>
        <w:ind w:left="794" w:firstLine="0"/>
        <w:rPr>
          <w:rFonts w:ascii="Arial" w:hAnsi="Arial" w:cs="Arial"/>
        </w:rPr>
      </w:pPr>
      <w:r w:rsidRPr="0034275C">
        <w:rPr>
          <w:rFonts w:ascii="Arial" w:hAnsi="Arial" w:cs="Arial"/>
          <w:sz w:val="24"/>
          <w:szCs w:val="24"/>
        </w:rPr>
        <w:t>Source: Derived from Demographic Projections and Housing LIN/HOPSR/EAC</w:t>
      </w:r>
    </w:p>
    <w:p w14:paraId="322545BF" w14:textId="22362CE2" w:rsidR="005E518A" w:rsidRDefault="005E518A" w:rsidP="00970D21">
      <w:pPr>
        <w:pStyle w:val="BodyText"/>
        <w:spacing w:after="120"/>
        <w:ind w:left="794" w:firstLine="0"/>
        <w:rPr>
          <w:rFonts w:ascii="Arial" w:hAnsi="Arial" w:cs="Arial"/>
        </w:rPr>
      </w:pPr>
    </w:p>
    <w:p w14:paraId="136494A0" w14:textId="643A85BD" w:rsidR="005E518A" w:rsidRDefault="005E518A" w:rsidP="00970D21">
      <w:pPr>
        <w:pStyle w:val="BodyText"/>
        <w:spacing w:after="120"/>
        <w:ind w:left="794" w:firstLine="0"/>
        <w:rPr>
          <w:rFonts w:ascii="Arial" w:hAnsi="Arial" w:cs="Arial"/>
        </w:rPr>
      </w:pPr>
    </w:p>
    <w:p w14:paraId="34297F00" w14:textId="2BF91EAA" w:rsidR="005E518A" w:rsidRDefault="005E518A" w:rsidP="00970D21">
      <w:pPr>
        <w:pStyle w:val="BodyText"/>
        <w:spacing w:after="120"/>
        <w:ind w:left="794" w:firstLine="0"/>
        <w:rPr>
          <w:rFonts w:ascii="Arial" w:hAnsi="Arial" w:cs="Arial"/>
        </w:rPr>
      </w:pPr>
    </w:p>
    <w:p w14:paraId="0F1A30AF" w14:textId="100C26ED" w:rsidR="005E518A" w:rsidRDefault="005E518A" w:rsidP="00970D21">
      <w:pPr>
        <w:pStyle w:val="BodyText"/>
        <w:spacing w:after="120"/>
        <w:ind w:left="794" w:firstLine="0"/>
        <w:rPr>
          <w:rFonts w:ascii="Arial" w:hAnsi="Arial" w:cs="Arial"/>
        </w:rPr>
      </w:pPr>
    </w:p>
    <w:p w14:paraId="3D3E01AD" w14:textId="20D8F0A0" w:rsidR="005E518A" w:rsidRDefault="005E518A" w:rsidP="00970D21">
      <w:pPr>
        <w:pStyle w:val="BodyText"/>
        <w:spacing w:after="120"/>
        <w:ind w:left="794" w:firstLine="0"/>
        <w:rPr>
          <w:rFonts w:ascii="Arial" w:hAnsi="Arial" w:cs="Arial"/>
        </w:rPr>
      </w:pPr>
    </w:p>
    <w:p w14:paraId="69D80F68" w14:textId="3758E2B5" w:rsidR="00970D21" w:rsidRDefault="00970D21" w:rsidP="003D5E23">
      <w:pPr>
        <w:pStyle w:val="Tableheading"/>
        <w:numPr>
          <w:ilvl w:val="0"/>
          <w:numId w:val="54"/>
        </w:numPr>
      </w:pPr>
      <w:r>
        <w:lastRenderedPageBreak/>
        <w:t>Specialist Housing Need using SHOP@ Assumptions, 2020-40 – South Cambridgeshire (Units)</w:t>
      </w:r>
    </w:p>
    <w:tbl>
      <w:tblPr>
        <w:tblStyle w:val="TableGridLight1"/>
        <w:tblW w:w="8955" w:type="dxa"/>
        <w:tblInd w:w="704" w:type="dxa"/>
        <w:tblLook w:val="04A0" w:firstRow="1" w:lastRow="0" w:firstColumn="1" w:lastColumn="0" w:noHBand="0" w:noVBand="1"/>
      </w:tblPr>
      <w:tblGrid>
        <w:gridCol w:w="3402"/>
        <w:gridCol w:w="925"/>
        <w:gridCol w:w="926"/>
        <w:gridCol w:w="925"/>
        <w:gridCol w:w="926"/>
        <w:gridCol w:w="925"/>
        <w:gridCol w:w="926"/>
      </w:tblGrid>
      <w:tr w:rsidR="005E518A" w:rsidRPr="005E518A" w14:paraId="22067082" w14:textId="77777777" w:rsidTr="0034275C">
        <w:trPr>
          <w:cnfStyle w:val="100000000000" w:firstRow="1" w:lastRow="0" w:firstColumn="0" w:lastColumn="0" w:oddVBand="0" w:evenVBand="0" w:oddHBand="0" w:evenHBand="0" w:firstRowFirstColumn="0" w:firstRowLastColumn="0" w:lastRowFirstColumn="0" w:lastRowLastColumn="0"/>
          <w:cantSplit/>
          <w:trHeight w:val="1991"/>
        </w:trPr>
        <w:tc>
          <w:tcPr>
            <w:cnfStyle w:val="001000000000" w:firstRow="0" w:lastRow="0" w:firstColumn="1" w:lastColumn="0" w:oddVBand="0" w:evenVBand="0" w:oddHBand="0" w:evenHBand="0" w:firstRowFirstColumn="0" w:firstRowLastColumn="0" w:lastRowFirstColumn="0" w:lastRowLastColumn="0"/>
            <w:tcW w:w="3402" w:type="dxa"/>
            <w:hideMark/>
          </w:tcPr>
          <w:p w14:paraId="59D91F29" w14:textId="77777777" w:rsidR="005E518A" w:rsidRPr="005E518A" w:rsidRDefault="005E518A" w:rsidP="005E518A">
            <w:pPr>
              <w:rPr>
                <w:color w:val="auto"/>
                <w:lang w:eastAsia="en-GB"/>
              </w:rPr>
            </w:pPr>
            <w:r w:rsidRPr="005E518A">
              <w:rPr>
                <w:color w:val="auto"/>
                <w:lang w:val="en-US" w:eastAsia="en-GB"/>
              </w:rPr>
              <w:t> </w:t>
            </w:r>
          </w:p>
        </w:tc>
        <w:tc>
          <w:tcPr>
            <w:tcW w:w="925" w:type="dxa"/>
            <w:textDirection w:val="btLr"/>
            <w:hideMark/>
          </w:tcPr>
          <w:p w14:paraId="798D53F0"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Housing demand per 1,000 75+</w:t>
            </w:r>
          </w:p>
        </w:tc>
        <w:tc>
          <w:tcPr>
            <w:tcW w:w="926" w:type="dxa"/>
            <w:textDirection w:val="btLr"/>
            <w:hideMark/>
          </w:tcPr>
          <w:p w14:paraId="3DDA1B8B"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Supply</w:t>
            </w:r>
          </w:p>
        </w:tc>
        <w:tc>
          <w:tcPr>
            <w:tcW w:w="925" w:type="dxa"/>
            <w:textDirection w:val="btLr"/>
            <w:hideMark/>
          </w:tcPr>
          <w:p w14:paraId="735F78FD"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2020 Demand</w:t>
            </w:r>
          </w:p>
        </w:tc>
        <w:tc>
          <w:tcPr>
            <w:tcW w:w="926" w:type="dxa"/>
            <w:textDirection w:val="btLr"/>
            <w:hideMark/>
          </w:tcPr>
          <w:p w14:paraId="30B1656B"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Current Shortfall/ Surplus</w:t>
            </w:r>
          </w:p>
        </w:tc>
        <w:tc>
          <w:tcPr>
            <w:tcW w:w="925" w:type="dxa"/>
            <w:textDirection w:val="btLr"/>
            <w:hideMark/>
          </w:tcPr>
          <w:p w14:paraId="208C75BE"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Additional Demand to 2040</w:t>
            </w:r>
          </w:p>
        </w:tc>
        <w:tc>
          <w:tcPr>
            <w:tcW w:w="926" w:type="dxa"/>
            <w:textDirection w:val="btLr"/>
            <w:hideMark/>
          </w:tcPr>
          <w:p w14:paraId="478DB285" w14:textId="77777777" w:rsidR="005E518A" w:rsidRPr="005E518A" w:rsidRDefault="005E518A"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5E518A">
              <w:rPr>
                <w:bCs/>
                <w:color w:val="auto"/>
                <w:lang w:val="en-US" w:eastAsia="en-GB"/>
              </w:rPr>
              <w:t>Shortfall/ Surplus by 2040</w:t>
            </w:r>
          </w:p>
        </w:tc>
      </w:tr>
      <w:tr w:rsidR="005E518A" w:rsidRPr="005E518A" w14:paraId="7CBCD2EE" w14:textId="77777777" w:rsidTr="0034275C">
        <w:trPr>
          <w:trHeight w:val="115"/>
        </w:trPr>
        <w:tc>
          <w:tcPr>
            <w:cnfStyle w:val="001000000000" w:firstRow="0" w:lastRow="0" w:firstColumn="1" w:lastColumn="0" w:oddVBand="0" w:evenVBand="0" w:oddHBand="0" w:evenHBand="0" w:firstRowFirstColumn="0" w:firstRowLastColumn="0" w:lastRowFirstColumn="0" w:lastRowLastColumn="0"/>
            <w:tcW w:w="3402" w:type="dxa"/>
            <w:hideMark/>
          </w:tcPr>
          <w:p w14:paraId="6C16FD0C" w14:textId="77777777" w:rsidR="005E518A" w:rsidRPr="005E518A" w:rsidRDefault="005E518A" w:rsidP="005E518A">
            <w:pPr>
              <w:rPr>
                <w:color w:val="auto"/>
                <w:lang w:eastAsia="en-GB"/>
              </w:rPr>
            </w:pPr>
            <w:r w:rsidRPr="005E518A">
              <w:rPr>
                <w:color w:val="auto"/>
                <w:lang w:val="en-US" w:eastAsia="en-GB"/>
              </w:rPr>
              <w:t>Rented Housing with Support</w:t>
            </w:r>
          </w:p>
        </w:tc>
        <w:tc>
          <w:tcPr>
            <w:tcW w:w="925" w:type="dxa"/>
            <w:hideMark/>
          </w:tcPr>
          <w:p w14:paraId="48F69CAF"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36</w:t>
            </w:r>
          </w:p>
        </w:tc>
        <w:tc>
          <w:tcPr>
            <w:tcW w:w="926" w:type="dxa"/>
            <w:hideMark/>
          </w:tcPr>
          <w:p w14:paraId="37E5D1FF"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1,402</w:t>
            </w:r>
          </w:p>
        </w:tc>
        <w:tc>
          <w:tcPr>
            <w:tcW w:w="925" w:type="dxa"/>
            <w:hideMark/>
          </w:tcPr>
          <w:p w14:paraId="06B5F71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529</w:t>
            </w:r>
          </w:p>
        </w:tc>
        <w:tc>
          <w:tcPr>
            <w:tcW w:w="926" w:type="dxa"/>
            <w:hideMark/>
          </w:tcPr>
          <w:p w14:paraId="0DD5ADF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-873</w:t>
            </w:r>
          </w:p>
        </w:tc>
        <w:tc>
          <w:tcPr>
            <w:tcW w:w="925" w:type="dxa"/>
            <w:hideMark/>
          </w:tcPr>
          <w:p w14:paraId="59807AF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371</w:t>
            </w:r>
          </w:p>
        </w:tc>
        <w:tc>
          <w:tcPr>
            <w:tcW w:w="926" w:type="dxa"/>
            <w:hideMark/>
          </w:tcPr>
          <w:p w14:paraId="30F9DDC0"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-502</w:t>
            </w:r>
          </w:p>
        </w:tc>
      </w:tr>
      <w:tr w:rsidR="005E518A" w:rsidRPr="005E518A" w14:paraId="1B7974C5"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402" w:type="dxa"/>
            <w:hideMark/>
          </w:tcPr>
          <w:p w14:paraId="72F4FFE6" w14:textId="77777777" w:rsidR="005E518A" w:rsidRPr="005E518A" w:rsidRDefault="005E518A" w:rsidP="005E518A">
            <w:pPr>
              <w:rPr>
                <w:color w:val="auto"/>
                <w:lang w:eastAsia="en-GB"/>
              </w:rPr>
            </w:pPr>
            <w:r w:rsidRPr="005E518A">
              <w:rPr>
                <w:color w:val="auto"/>
                <w:lang w:val="en-US" w:eastAsia="en-GB"/>
              </w:rPr>
              <w:t>Leasehold Housing with Support</w:t>
            </w:r>
          </w:p>
        </w:tc>
        <w:tc>
          <w:tcPr>
            <w:tcW w:w="925" w:type="dxa"/>
            <w:hideMark/>
          </w:tcPr>
          <w:p w14:paraId="3C0A1C1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72</w:t>
            </w:r>
          </w:p>
        </w:tc>
        <w:tc>
          <w:tcPr>
            <w:tcW w:w="926" w:type="dxa"/>
            <w:hideMark/>
          </w:tcPr>
          <w:p w14:paraId="6AE513E5"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329</w:t>
            </w:r>
          </w:p>
        </w:tc>
        <w:tc>
          <w:tcPr>
            <w:tcW w:w="925" w:type="dxa"/>
            <w:hideMark/>
          </w:tcPr>
          <w:p w14:paraId="71391B18"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1,044</w:t>
            </w:r>
          </w:p>
        </w:tc>
        <w:tc>
          <w:tcPr>
            <w:tcW w:w="926" w:type="dxa"/>
            <w:hideMark/>
          </w:tcPr>
          <w:p w14:paraId="36D15EE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715</w:t>
            </w:r>
          </w:p>
        </w:tc>
        <w:tc>
          <w:tcPr>
            <w:tcW w:w="925" w:type="dxa"/>
            <w:hideMark/>
          </w:tcPr>
          <w:p w14:paraId="1933AA0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732</w:t>
            </w:r>
          </w:p>
        </w:tc>
        <w:tc>
          <w:tcPr>
            <w:tcW w:w="926" w:type="dxa"/>
            <w:hideMark/>
          </w:tcPr>
          <w:p w14:paraId="6E0D9E2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1,447</w:t>
            </w:r>
          </w:p>
        </w:tc>
      </w:tr>
      <w:tr w:rsidR="005E518A" w:rsidRPr="005E518A" w14:paraId="14758452"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402" w:type="dxa"/>
            <w:hideMark/>
          </w:tcPr>
          <w:p w14:paraId="1D81765F" w14:textId="77777777" w:rsidR="005E518A" w:rsidRPr="005E518A" w:rsidRDefault="005E518A" w:rsidP="005E518A">
            <w:pPr>
              <w:rPr>
                <w:color w:val="auto"/>
                <w:lang w:eastAsia="en-GB"/>
              </w:rPr>
            </w:pPr>
            <w:r w:rsidRPr="005E518A">
              <w:rPr>
                <w:color w:val="auto"/>
                <w:lang w:val="en-US" w:eastAsia="en-GB"/>
              </w:rPr>
              <w:t>Rented Housing with Care</w:t>
            </w:r>
          </w:p>
        </w:tc>
        <w:tc>
          <w:tcPr>
            <w:tcW w:w="925" w:type="dxa"/>
            <w:hideMark/>
          </w:tcPr>
          <w:p w14:paraId="0AA6D4F6"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16</w:t>
            </w:r>
          </w:p>
        </w:tc>
        <w:tc>
          <w:tcPr>
            <w:tcW w:w="926" w:type="dxa"/>
            <w:hideMark/>
          </w:tcPr>
          <w:p w14:paraId="3D44888E"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205</w:t>
            </w:r>
          </w:p>
        </w:tc>
        <w:tc>
          <w:tcPr>
            <w:tcW w:w="925" w:type="dxa"/>
            <w:hideMark/>
          </w:tcPr>
          <w:p w14:paraId="0937895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233</w:t>
            </w:r>
          </w:p>
        </w:tc>
        <w:tc>
          <w:tcPr>
            <w:tcW w:w="926" w:type="dxa"/>
            <w:hideMark/>
          </w:tcPr>
          <w:p w14:paraId="329D0C66"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28</w:t>
            </w:r>
          </w:p>
        </w:tc>
        <w:tc>
          <w:tcPr>
            <w:tcW w:w="925" w:type="dxa"/>
            <w:hideMark/>
          </w:tcPr>
          <w:p w14:paraId="4DF18291"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164</w:t>
            </w:r>
          </w:p>
        </w:tc>
        <w:tc>
          <w:tcPr>
            <w:tcW w:w="926" w:type="dxa"/>
            <w:hideMark/>
          </w:tcPr>
          <w:p w14:paraId="452AC287"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192</w:t>
            </w:r>
          </w:p>
        </w:tc>
      </w:tr>
      <w:tr w:rsidR="005E518A" w:rsidRPr="005E518A" w14:paraId="7F1D6A36"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402" w:type="dxa"/>
            <w:hideMark/>
          </w:tcPr>
          <w:p w14:paraId="7B61F801" w14:textId="77777777" w:rsidR="005E518A" w:rsidRPr="005E518A" w:rsidRDefault="005E518A" w:rsidP="005E518A">
            <w:pPr>
              <w:rPr>
                <w:color w:val="auto"/>
                <w:lang w:eastAsia="en-GB"/>
              </w:rPr>
            </w:pPr>
            <w:r w:rsidRPr="005E518A">
              <w:rPr>
                <w:color w:val="auto"/>
                <w:lang w:val="en-US" w:eastAsia="en-GB"/>
              </w:rPr>
              <w:t>Leasehold Housing with Care</w:t>
            </w:r>
          </w:p>
        </w:tc>
        <w:tc>
          <w:tcPr>
            <w:tcW w:w="925" w:type="dxa"/>
            <w:hideMark/>
          </w:tcPr>
          <w:p w14:paraId="787443B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w:t>
            </w:r>
          </w:p>
        </w:tc>
        <w:tc>
          <w:tcPr>
            <w:tcW w:w="926" w:type="dxa"/>
            <w:hideMark/>
          </w:tcPr>
          <w:p w14:paraId="1F57696D"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94</w:t>
            </w:r>
          </w:p>
        </w:tc>
        <w:tc>
          <w:tcPr>
            <w:tcW w:w="925" w:type="dxa"/>
            <w:hideMark/>
          </w:tcPr>
          <w:p w14:paraId="77744440"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333</w:t>
            </w:r>
          </w:p>
        </w:tc>
        <w:tc>
          <w:tcPr>
            <w:tcW w:w="926" w:type="dxa"/>
            <w:hideMark/>
          </w:tcPr>
          <w:p w14:paraId="426B3A4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239</w:t>
            </w:r>
          </w:p>
        </w:tc>
        <w:tc>
          <w:tcPr>
            <w:tcW w:w="925" w:type="dxa"/>
            <w:hideMark/>
          </w:tcPr>
          <w:p w14:paraId="26A83094"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234</w:t>
            </w:r>
          </w:p>
        </w:tc>
        <w:tc>
          <w:tcPr>
            <w:tcW w:w="926" w:type="dxa"/>
            <w:hideMark/>
          </w:tcPr>
          <w:p w14:paraId="1D5C75BC"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color w:val="auto"/>
                <w:lang w:eastAsia="en-GB"/>
              </w:rPr>
            </w:pPr>
            <w:r w:rsidRPr="005E518A">
              <w:rPr>
                <w:color w:val="auto"/>
                <w:lang w:val="en-US" w:eastAsia="en-GB"/>
              </w:rPr>
              <w:t>473</w:t>
            </w:r>
          </w:p>
        </w:tc>
      </w:tr>
      <w:tr w:rsidR="005E518A" w:rsidRPr="005E518A" w14:paraId="49071BAD" w14:textId="77777777" w:rsidTr="0034275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26808D4F" w14:textId="77777777" w:rsidR="005E518A" w:rsidRPr="005E518A" w:rsidRDefault="005E518A" w:rsidP="005E518A">
            <w:pPr>
              <w:rPr>
                <w:b/>
                <w:bCs/>
                <w:color w:val="auto"/>
                <w:lang w:eastAsia="en-GB"/>
              </w:rPr>
            </w:pPr>
            <w:r w:rsidRPr="005E518A">
              <w:rPr>
                <w:b/>
                <w:bCs/>
                <w:color w:val="auto"/>
                <w:lang w:eastAsia="en-GB"/>
              </w:rPr>
              <w:t>Total</w:t>
            </w:r>
          </w:p>
        </w:tc>
        <w:tc>
          <w:tcPr>
            <w:tcW w:w="925" w:type="dxa"/>
            <w:hideMark/>
          </w:tcPr>
          <w:p w14:paraId="2CB9D48F"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147</w:t>
            </w:r>
          </w:p>
        </w:tc>
        <w:tc>
          <w:tcPr>
            <w:tcW w:w="926" w:type="dxa"/>
            <w:hideMark/>
          </w:tcPr>
          <w:p w14:paraId="701C4903"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2,030</w:t>
            </w:r>
          </w:p>
        </w:tc>
        <w:tc>
          <w:tcPr>
            <w:tcW w:w="925" w:type="dxa"/>
            <w:hideMark/>
          </w:tcPr>
          <w:p w14:paraId="0829FAD8"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2,139</w:t>
            </w:r>
          </w:p>
        </w:tc>
        <w:tc>
          <w:tcPr>
            <w:tcW w:w="926" w:type="dxa"/>
            <w:hideMark/>
          </w:tcPr>
          <w:p w14:paraId="4D88E298"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109</w:t>
            </w:r>
          </w:p>
        </w:tc>
        <w:tc>
          <w:tcPr>
            <w:tcW w:w="925" w:type="dxa"/>
            <w:hideMark/>
          </w:tcPr>
          <w:p w14:paraId="1769CEEB"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1,501</w:t>
            </w:r>
          </w:p>
        </w:tc>
        <w:tc>
          <w:tcPr>
            <w:tcW w:w="926" w:type="dxa"/>
            <w:hideMark/>
          </w:tcPr>
          <w:p w14:paraId="5133BDD9" w14:textId="77777777" w:rsidR="005E518A" w:rsidRPr="005E518A" w:rsidRDefault="005E518A" w:rsidP="005E518A">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5E518A">
              <w:rPr>
                <w:b/>
                <w:bCs/>
                <w:color w:val="auto"/>
                <w:lang w:val="en-US" w:eastAsia="en-GB"/>
              </w:rPr>
              <w:t>1,610</w:t>
            </w:r>
          </w:p>
        </w:tc>
      </w:tr>
    </w:tbl>
    <w:p w14:paraId="42B88C50" w14:textId="0175099A" w:rsidR="00970D21" w:rsidRPr="0034275C" w:rsidRDefault="00970D21" w:rsidP="00970D21">
      <w:pPr>
        <w:pStyle w:val="BodyText"/>
        <w:spacing w:after="120"/>
        <w:ind w:left="794" w:firstLine="0"/>
        <w:rPr>
          <w:rFonts w:ascii="Arial" w:hAnsi="Arial" w:cs="Arial"/>
          <w:sz w:val="24"/>
          <w:szCs w:val="24"/>
        </w:rPr>
      </w:pPr>
      <w:r w:rsidRPr="0034275C">
        <w:rPr>
          <w:rFonts w:ascii="Arial" w:hAnsi="Arial" w:cs="Arial"/>
          <w:sz w:val="24"/>
          <w:szCs w:val="24"/>
        </w:rPr>
        <w:t>Source: Derived from Demographic Projections and Housing LIN/HOPSR/EAC</w:t>
      </w:r>
    </w:p>
    <w:p w14:paraId="3CEBB5D3" w14:textId="440B9578" w:rsidR="00970D21" w:rsidRDefault="00970D21" w:rsidP="003D5E23">
      <w:pPr>
        <w:pStyle w:val="Tableheading"/>
        <w:numPr>
          <w:ilvl w:val="0"/>
          <w:numId w:val="54"/>
        </w:numPr>
      </w:pPr>
      <w:r>
        <w:t>Specialist Housing Need using SHOP@ Assumptions, 2020-40 – West Suffolk (Units)</w:t>
      </w:r>
    </w:p>
    <w:tbl>
      <w:tblPr>
        <w:tblStyle w:val="TableGridLight1"/>
        <w:tblW w:w="8505" w:type="dxa"/>
        <w:tblInd w:w="846" w:type="dxa"/>
        <w:tblLook w:val="04A0" w:firstRow="1" w:lastRow="0" w:firstColumn="1" w:lastColumn="0" w:noHBand="0" w:noVBand="1"/>
      </w:tblPr>
      <w:tblGrid>
        <w:gridCol w:w="3402"/>
        <w:gridCol w:w="850"/>
        <w:gridCol w:w="851"/>
        <w:gridCol w:w="850"/>
        <w:gridCol w:w="851"/>
        <w:gridCol w:w="850"/>
        <w:gridCol w:w="851"/>
      </w:tblGrid>
      <w:tr w:rsidR="00615FE0" w:rsidRPr="00615FE0" w14:paraId="74E2217C" w14:textId="77777777" w:rsidTr="0034275C">
        <w:trPr>
          <w:cnfStyle w:val="100000000000" w:firstRow="1" w:lastRow="0" w:firstColumn="0" w:lastColumn="0" w:oddVBand="0" w:evenVBand="0" w:oddHBand="0" w:evenHBand="0" w:firstRowFirstColumn="0" w:firstRowLastColumn="0" w:lastRowFirstColumn="0" w:lastRowLastColumn="0"/>
          <w:cantSplit/>
          <w:trHeight w:val="1900"/>
        </w:trPr>
        <w:tc>
          <w:tcPr>
            <w:cnfStyle w:val="001000000000" w:firstRow="0" w:lastRow="0" w:firstColumn="1" w:lastColumn="0" w:oddVBand="0" w:evenVBand="0" w:oddHBand="0" w:evenHBand="0" w:firstRowFirstColumn="0" w:firstRowLastColumn="0" w:lastRowFirstColumn="0" w:lastRowLastColumn="0"/>
            <w:tcW w:w="3402" w:type="dxa"/>
            <w:hideMark/>
          </w:tcPr>
          <w:p w14:paraId="39B05E0F" w14:textId="77777777" w:rsidR="00615FE0" w:rsidRPr="00615FE0" w:rsidRDefault="00615FE0" w:rsidP="00615FE0">
            <w:pPr>
              <w:rPr>
                <w:color w:val="auto"/>
                <w:lang w:eastAsia="en-GB"/>
              </w:rPr>
            </w:pPr>
            <w:r w:rsidRPr="00615FE0">
              <w:rPr>
                <w:color w:val="auto"/>
                <w:lang w:val="en-US" w:eastAsia="en-GB"/>
              </w:rPr>
              <w:t> </w:t>
            </w:r>
          </w:p>
        </w:tc>
        <w:tc>
          <w:tcPr>
            <w:tcW w:w="850" w:type="dxa"/>
            <w:textDirection w:val="btLr"/>
            <w:hideMark/>
          </w:tcPr>
          <w:p w14:paraId="3E152583"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Housing demand per 1,000 75+</w:t>
            </w:r>
          </w:p>
        </w:tc>
        <w:tc>
          <w:tcPr>
            <w:tcW w:w="851" w:type="dxa"/>
            <w:textDirection w:val="btLr"/>
            <w:hideMark/>
          </w:tcPr>
          <w:p w14:paraId="4C4CF80B"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Current Supply</w:t>
            </w:r>
          </w:p>
        </w:tc>
        <w:tc>
          <w:tcPr>
            <w:tcW w:w="850" w:type="dxa"/>
            <w:textDirection w:val="btLr"/>
            <w:hideMark/>
          </w:tcPr>
          <w:p w14:paraId="3FD49596"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2020 Demand</w:t>
            </w:r>
          </w:p>
        </w:tc>
        <w:tc>
          <w:tcPr>
            <w:tcW w:w="851" w:type="dxa"/>
            <w:textDirection w:val="btLr"/>
            <w:hideMark/>
          </w:tcPr>
          <w:p w14:paraId="597B824B"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Current Shortfall/ Surplus</w:t>
            </w:r>
          </w:p>
        </w:tc>
        <w:tc>
          <w:tcPr>
            <w:tcW w:w="850" w:type="dxa"/>
            <w:textDirection w:val="btLr"/>
            <w:hideMark/>
          </w:tcPr>
          <w:p w14:paraId="7242592D"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Additional Demand to 2040</w:t>
            </w:r>
          </w:p>
        </w:tc>
        <w:tc>
          <w:tcPr>
            <w:tcW w:w="851" w:type="dxa"/>
            <w:textDirection w:val="btLr"/>
            <w:hideMark/>
          </w:tcPr>
          <w:p w14:paraId="7663FCB2"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Shortfall/ Surplus by 2040</w:t>
            </w:r>
          </w:p>
        </w:tc>
      </w:tr>
      <w:tr w:rsidR="00615FE0" w:rsidRPr="00615FE0" w14:paraId="19A7E2F1" w14:textId="77777777" w:rsidTr="0034275C">
        <w:trPr>
          <w:trHeight w:val="194"/>
        </w:trPr>
        <w:tc>
          <w:tcPr>
            <w:cnfStyle w:val="001000000000" w:firstRow="0" w:lastRow="0" w:firstColumn="1" w:lastColumn="0" w:oddVBand="0" w:evenVBand="0" w:oddHBand="0" w:evenHBand="0" w:firstRowFirstColumn="0" w:firstRowLastColumn="0" w:lastRowFirstColumn="0" w:lastRowLastColumn="0"/>
            <w:tcW w:w="3402" w:type="dxa"/>
            <w:hideMark/>
          </w:tcPr>
          <w:p w14:paraId="222B96BF" w14:textId="77777777" w:rsidR="00615FE0" w:rsidRPr="00615FE0" w:rsidRDefault="00615FE0" w:rsidP="00615FE0">
            <w:pPr>
              <w:rPr>
                <w:color w:val="auto"/>
                <w:lang w:eastAsia="en-GB"/>
              </w:rPr>
            </w:pPr>
            <w:r w:rsidRPr="00615FE0">
              <w:rPr>
                <w:color w:val="auto"/>
                <w:lang w:val="en-US" w:eastAsia="en-GB"/>
              </w:rPr>
              <w:t>Rented Housing with Support</w:t>
            </w:r>
          </w:p>
        </w:tc>
        <w:tc>
          <w:tcPr>
            <w:tcW w:w="850" w:type="dxa"/>
            <w:hideMark/>
          </w:tcPr>
          <w:p w14:paraId="7D42EB3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47</w:t>
            </w:r>
          </w:p>
        </w:tc>
        <w:tc>
          <w:tcPr>
            <w:tcW w:w="851" w:type="dxa"/>
            <w:hideMark/>
          </w:tcPr>
          <w:p w14:paraId="0B47527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957</w:t>
            </w:r>
          </w:p>
        </w:tc>
        <w:tc>
          <w:tcPr>
            <w:tcW w:w="850" w:type="dxa"/>
            <w:hideMark/>
          </w:tcPr>
          <w:p w14:paraId="4A324D0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848</w:t>
            </w:r>
          </w:p>
        </w:tc>
        <w:tc>
          <w:tcPr>
            <w:tcW w:w="851" w:type="dxa"/>
            <w:hideMark/>
          </w:tcPr>
          <w:p w14:paraId="06C2FF0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-109</w:t>
            </w:r>
          </w:p>
        </w:tc>
        <w:tc>
          <w:tcPr>
            <w:tcW w:w="850" w:type="dxa"/>
            <w:hideMark/>
          </w:tcPr>
          <w:p w14:paraId="01BEB3C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592</w:t>
            </w:r>
          </w:p>
        </w:tc>
        <w:tc>
          <w:tcPr>
            <w:tcW w:w="851" w:type="dxa"/>
            <w:hideMark/>
          </w:tcPr>
          <w:p w14:paraId="0C043D1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483</w:t>
            </w:r>
          </w:p>
        </w:tc>
      </w:tr>
      <w:tr w:rsidR="00615FE0" w:rsidRPr="00615FE0" w14:paraId="38BCFFBD"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402" w:type="dxa"/>
            <w:hideMark/>
          </w:tcPr>
          <w:p w14:paraId="58B9E446" w14:textId="77777777" w:rsidR="00615FE0" w:rsidRPr="00615FE0" w:rsidRDefault="00615FE0" w:rsidP="00615FE0">
            <w:pPr>
              <w:rPr>
                <w:color w:val="auto"/>
                <w:lang w:eastAsia="en-GB"/>
              </w:rPr>
            </w:pPr>
            <w:r w:rsidRPr="00615FE0">
              <w:rPr>
                <w:color w:val="auto"/>
                <w:lang w:val="en-US" w:eastAsia="en-GB"/>
              </w:rPr>
              <w:t>Leasehold Housing with Support</w:t>
            </w:r>
          </w:p>
        </w:tc>
        <w:tc>
          <w:tcPr>
            <w:tcW w:w="850" w:type="dxa"/>
            <w:hideMark/>
          </w:tcPr>
          <w:p w14:paraId="6E772CE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69</w:t>
            </w:r>
          </w:p>
        </w:tc>
        <w:tc>
          <w:tcPr>
            <w:tcW w:w="851" w:type="dxa"/>
            <w:hideMark/>
          </w:tcPr>
          <w:p w14:paraId="6D0194F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394</w:t>
            </w:r>
          </w:p>
        </w:tc>
        <w:tc>
          <w:tcPr>
            <w:tcW w:w="850" w:type="dxa"/>
            <w:hideMark/>
          </w:tcPr>
          <w:p w14:paraId="70BDCBC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1,234</w:t>
            </w:r>
          </w:p>
        </w:tc>
        <w:tc>
          <w:tcPr>
            <w:tcW w:w="851" w:type="dxa"/>
            <w:hideMark/>
          </w:tcPr>
          <w:p w14:paraId="3C3FAD1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840</w:t>
            </w:r>
          </w:p>
        </w:tc>
        <w:tc>
          <w:tcPr>
            <w:tcW w:w="850" w:type="dxa"/>
            <w:hideMark/>
          </w:tcPr>
          <w:p w14:paraId="71DF574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857</w:t>
            </w:r>
          </w:p>
        </w:tc>
        <w:tc>
          <w:tcPr>
            <w:tcW w:w="851" w:type="dxa"/>
            <w:hideMark/>
          </w:tcPr>
          <w:p w14:paraId="2024A43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1,697</w:t>
            </w:r>
          </w:p>
        </w:tc>
      </w:tr>
      <w:tr w:rsidR="00615FE0" w:rsidRPr="00615FE0" w14:paraId="6AA834D7"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402" w:type="dxa"/>
            <w:hideMark/>
          </w:tcPr>
          <w:p w14:paraId="45ABD81E" w14:textId="77777777" w:rsidR="00615FE0" w:rsidRPr="00615FE0" w:rsidRDefault="00615FE0" w:rsidP="00615FE0">
            <w:pPr>
              <w:rPr>
                <w:color w:val="auto"/>
                <w:lang w:eastAsia="en-GB"/>
              </w:rPr>
            </w:pPr>
            <w:r w:rsidRPr="00615FE0">
              <w:rPr>
                <w:color w:val="auto"/>
                <w:lang w:val="en-US" w:eastAsia="en-GB"/>
              </w:rPr>
              <w:t>Rented Housing with Care</w:t>
            </w:r>
          </w:p>
        </w:tc>
        <w:tc>
          <w:tcPr>
            <w:tcW w:w="850" w:type="dxa"/>
            <w:hideMark/>
          </w:tcPr>
          <w:p w14:paraId="6C8EC44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w:t>
            </w:r>
          </w:p>
        </w:tc>
        <w:tc>
          <w:tcPr>
            <w:tcW w:w="851" w:type="dxa"/>
            <w:hideMark/>
          </w:tcPr>
          <w:p w14:paraId="3C0D89C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181</w:t>
            </w:r>
          </w:p>
        </w:tc>
        <w:tc>
          <w:tcPr>
            <w:tcW w:w="850" w:type="dxa"/>
            <w:hideMark/>
          </w:tcPr>
          <w:p w14:paraId="6E6C506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362</w:t>
            </w:r>
          </w:p>
        </w:tc>
        <w:tc>
          <w:tcPr>
            <w:tcW w:w="851" w:type="dxa"/>
            <w:hideMark/>
          </w:tcPr>
          <w:p w14:paraId="4C55F5A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181</w:t>
            </w:r>
          </w:p>
        </w:tc>
        <w:tc>
          <w:tcPr>
            <w:tcW w:w="850" w:type="dxa"/>
            <w:hideMark/>
          </w:tcPr>
          <w:p w14:paraId="18BD1CE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253</w:t>
            </w:r>
          </w:p>
        </w:tc>
        <w:tc>
          <w:tcPr>
            <w:tcW w:w="851" w:type="dxa"/>
            <w:hideMark/>
          </w:tcPr>
          <w:p w14:paraId="2A0A5D4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434</w:t>
            </w:r>
          </w:p>
        </w:tc>
      </w:tr>
      <w:tr w:rsidR="00615FE0" w:rsidRPr="00615FE0" w14:paraId="4472DF0B" w14:textId="77777777" w:rsidTr="0034275C">
        <w:trPr>
          <w:trHeight w:val="56"/>
        </w:trPr>
        <w:tc>
          <w:tcPr>
            <w:cnfStyle w:val="001000000000" w:firstRow="0" w:lastRow="0" w:firstColumn="1" w:lastColumn="0" w:oddVBand="0" w:evenVBand="0" w:oddHBand="0" w:evenHBand="0" w:firstRowFirstColumn="0" w:firstRowLastColumn="0" w:lastRowFirstColumn="0" w:lastRowLastColumn="0"/>
            <w:tcW w:w="3402" w:type="dxa"/>
            <w:hideMark/>
          </w:tcPr>
          <w:p w14:paraId="52001F14" w14:textId="77777777" w:rsidR="00615FE0" w:rsidRPr="00615FE0" w:rsidRDefault="00615FE0" w:rsidP="00615FE0">
            <w:pPr>
              <w:rPr>
                <w:color w:val="auto"/>
                <w:lang w:eastAsia="en-GB"/>
              </w:rPr>
            </w:pPr>
            <w:r w:rsidRPr="00615FE0">
              <w:rPr>
                <w:color w:val="auto"/>
                <w:lang w:val="en-US" w:eastAsia="en-GB"/>
              </w:rPr>
              <w:t>Leasehold Housing with Care</w:t>
            </w:r>
          </w:p>
        </w:tc>
        <w:tc>
          <w:tcPr>
            <w:tcW w:w="850" w:type="dxa"/>
            <w:hideMark/>
          </w:tcPr>
          <w:p w14:paraId="69B52F9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22</w:t>
            </w:r>
          </w:p>
        </w:tc>
        <w:tc>
          <w:tcPr>
            <w:tcW w:w="851" w:type="dxa"/>
            <w:hideMark/>
          </w:tcPr>
          <w:p w14:paraId="66EF67D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95</w:t>
            </w:r>
          </w:p>
        </w:tc>
        <w:tc>
          <w:tcPr>
            <w:tcW w:w="850" w:type="dxa"/>
            <w:hideMark/>
          </w:tcPr>
          <w:p w14:paraId="097018A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388</w:t>
            </w:r>
          </w:p>
        </w:tc>
        <w:tc>
          <w:tcPr>
            <w:tcW w:w="851" w:type="dxa"/>
            <w:hideMark/>
          </w:tcPr>
          <w:p w14:paraId="2C6E54D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293</w:t>
            </w:r>
          </w:p>
        </w:tc>
        <w:tc>
          <w:tcPr>
            <w:tcW w:w="850" w:type="dxa"/>
            <w:hideMark/>
          </w:tcPr>
          <w:p w14:paraId="1FB9D9A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269</w:t>
            </w:r>
          </w:p>
        </w:tc>
        <w:tc>
          <w:tcPr>
            <w:tcW w:w="851" w:type="dxa"/>
            <w:hideMark/>
          </w:tcPr>
          <w:p w14:paraId="37E0C1A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562</w:t>
            </w:r>
          </w:p>
        </w:tc>
      </w:tr>
      <w:tr w:rsidR="00615FE0" w:rsidRPr="00615FE0" w14:paraId="6D7E1ADD" w14:textId="77777777" w:rsidTr="0034275C">
        <w:trPr>
          <w:trHeight w:val="315"/>
        </w:trPr>
        <w:tc>
          <w:tcPr>
            <w:cnfStyle w:val="001000000000" w:firstRow="0" w:lastRow="0" w:firstColumn="1" w:lastColumn="0" w:oddVBand="0" w:evenVBand="0" w:oddHBand="0" w:evenHBand="0" w:firstRowFirstColumn="0" w:firstRowLastColumn="0" w:lastRowFirstColumn="0" w:lastRowLastColumn="0"/>
            <w:tcW w:w="3402" w:type="dxa"/>
            <w:hideMark/>
          </w:tcPr>
          <w:p w14:paraId="05E370A2" w14:textId="77777777" w:rsidR="00615FE0" w:rsidRPr="00615FE0" w:rsidRDefault="00615FE0" w:rsidP="00615FE0">
            <w:pPr>
              <w:rPr>
                <w:b/>
                <w:bCs/>
                <w:color w:val="auto"/>
                <w:lang w:eastAsia="en-GB"/>
              </w:rPr>
            </w:pPr>
            <w:r w:rsidRPr="00615FE0">
              <w:rPr>
                <w:b/>
                <w:bCs/>
                <w:color w:val="auto"/>
                <w:lang w:eastAsia="en-GB"/>
              </w:rPr>
              <w:t>Total</w:t>
            </w:r>
          </w:p>
        </w:tc>
        <w:tc>
          <w:tcPr>
            <w:tcW w:w="850" w:type="dxa"/>
            <w:hideMark/>
          </w:tcPr>
          <w:p w14:paraId="01649CD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157</w:t>
            </w:r>
          </w:p>
        </w:tc>
        <w:tc>
          <w:tcPr>
            <w:tcW w:w="851" w:type="dxa"/>
            <w:hideMark/>
          </w:tcPr>
          <w:p w14:paraId="0BE1C17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1,627</w:t>
            </w:r>
          </w:p>
        </w:tc>
        <w:tc>
          <w:tcPr>
            <w:tcW w:w="850" w:type="dxa"/>
            <w:hideMark/>
          </w:tcPr>
          <w:p w14:paraId="6EC7D88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2,831</w:t>
            </w:r>
          </w:p>
        </w:tc>
        <w:tc>
          <w:tcPr>
            <w:tcW w:w="851" w:type="dxa"/>
            <w:hideMark/>
          </w:tcPr>
          <w:p w14:paraId="03C9D64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1,204</w:t>
            </w:r>
          </w:p>
        </w:tc>
        <w:tc>
          <w:tcPr>
            <w:tcW w:w="850" w:type="dxa"/>
            <w:hideMark/>
          </w:tcPr>
          <w:p w14:paraId="712CF70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1,972</w:t>
            </w:r>
          </w:p>
        </w:tc>
        <w:tc>
          <w:tcPr>
            <w:tcW w:w="851" w:type="dxa"/>
            <w:hideMark/>
          </w:tcPr>
          <w:p w14:paraId="650E37C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3,176</w:t>
            </w:r>
          </w:p>
        </w:tc>
      </w:tr>
    </w:tbl>
    <w:p w14:paraId="7D18E7A3" w14:textId="77777777" w:rsidR="00970D21" w:rsidRPr="0034275C" w:rsidRDefault="00970D21" w:rsidP="00970D21">
      <w:pPr>
        <w:pStyle w:val="BodyText"/>
        <w:spacing w:after="120"/>
        <w:ind w:left="794" w:firstLine="0"/>
        <w:rPr>
          <w:b/>
          <w:sz w:val="24"/>
          <w:szCs w:val="32"/>
        </w:rPr>
      </w:pPr>
      <w:r w:rsidRPr="0034275C">
        <w:rPr>
          <w:rFonts w:ascii="Arial" w:hAnsi="Arial" w:cs="Arial"/>
          <w:sz w:val="24"/>
          <w:szCs w:val="24"/>
        </w:rPr>
        <w:t>Source: Derived from Demographic Projections and Housing LIN/HOPSR/EAC</w:t>
      </w:r>
    </w:p>
    <w:p w14:paraId="3F7B6036" w14:textId="77777777" w:rsidR="00970D21" w:rsidRDefault="00970D21" w:rsidP="007D0FBF">
      <w:pPr>
        <w:pStyle w:val="11Bodytext"/>
      </w:pPr>
      <w:r>
        <w:t xml:space="preserve">The provision of a choice of attractive housing options to older households is a component of achieving a good housing mix. The availability of such housing options for the growing older population may enable some older households to downsize from homes which no longer meet their housing needs or are expensive to run. The availability of housing options that are accessible to older people will also provide the opportunity for older households to ‘right size’ and move into more suitable and accessible accommodation which can help improve their quality of life. </w:t>
      </w:r>
    </w:p>
    <w:p w14:paraId="71D1AFE1" w14:textId="77777777" w:rsidR="00647ED0" w:rsidRDefault="00647ED0">
      <w:pPr>
        <w:spacing w:after="200"/>
        <w:rPr>
          <w:bCs/>
          <w:sz w:val="24"/>
          <w:szCs w:val="24"/>
        </w:rPr>
      </w:pPr>
      <w:r>
        <w:br w:type="page"/>
      </w:r>
    </w:p>
    <w:p w14:paraId="7B26C52A" w14:textId="5097FCFF" w:rsidR="00970D21" w:rsidRDefault="00970D21" w:rsidP="007D0FBF">
      <w:pPr>
        <w:pStyle w:val="11Bodytext"/>
      </w:pPr>
      <w:r>
        <w:lastRenderedPageBreak/>
        <w:t>The tables above should be considered as providing a set of parameters for housing need. The ultimate level of provision the Councils seek to support will be influenced by broader local strategies developed at the County Council level for older persons housing and care, which at the current time are being developed.</w:t>
      </w:r>
    </w:p>
    <w:p w14:paraId="1966DC63" w14:textId="77777777" w:rsidR="00970D21" w:rsidRPr="00970D21" w:rsidRDefault="00970D21" w:rsidP="0034275C">
      <w:pPr>
        <w:pStyle w:val="Heading3"/>
        <w:rPr>
          <w:rStyle w:val="Strong"/>
          <w:b/>
          <w:bCs/>
        </w:rPr>
      </w:pPr>
      <w:r w:rsidRPr="00185BEA">
        <w:rPr>
          <w:rStyle w:val="Strong"/>
        </w:rPr>
        <w:t xml:space="preserve">Residential care bed-spaces </w:t>
      </w:r>
    </w:p>
    <w:p w14:paraId="1A218CD2" w14:textId="77777777" w:rsidR="00970D21" w:rsidRDefault="00970D21" w:rsidP="007D0FBF">
      <w:pPr>
        <w:pStyle w:val="11Bodytext"/>
      </w:pPr>
      <w:r>
        <w:t xml:space="preserve">The analysis below provides outputs (again drawing on the Housing LIN) for the estimated need for care home bed-spaces. These are typically provided as Use Class C2. The analysis draws on that above, including </w:t>
      </w:r>
      <w:proofErr w:type="gramStart"/>
      <w:r>
        <w:t>making adjustments</w:t>
      </w:r>
      <w:proofErr w:type="gramEnd"/>
      <w:r>
        <w:t xml:space="preserve"> for the relative health of the population of the local authorities compared to the national average. It should be noted that the rows in tables are for bed-spaces and do not have an associated tenure.</w:t>
      </w:r>
    </w:p>
    <w:p w14:paraId="14241960" w14:textId="77777777" w:rsidR="00970D21" w:rsidRPr="00526C6E" w:rsidRDefault="00970D21" w:rsidP="007D0FBF">
      <w:pPr>
        <w:pStyle w:val="11Bodytext"/>
        <w:rPr>
          <w:b/>
        </w:rPr>
      </w:pPr>
      <w:r>
        <w:t>The table below shows the prevalence rates used and the need associated with these. The analysis shows a current shortfall and notable projected future need. Overall, it is estimated that there is a need for around 7,700 additional care and nursing home bed-spaces to 2040.</w:t>
      </w:r>
    </w:p>
    <w:p w14:paraId="47EE3D7C" w14:textId="77777777" w:rsidR="00970D21" w:rsidRDefault="00970D21" w:rsidP="003D5E23">
      <w:pPr>
        <w:pStyle w:val="Tableheading"/>
        <w:numPr>
          <w:ilvl w:val="0"/>
          <w:numId w:val="54"/>
        </w:numPr>
      </w:pPr>
      <w:r>
        <w:t>Older Persons’ Care Bed-space Requirements, 2020 to 2040</w:t>
      </w:r>
    </w:p>
    <w:tbl>
      <w:tblPr>
        <w:tblStyle w:val="TableGridLight1"/>
        <w:tblW w:w="8712" w:type="dxa"/>
        <w:tblInd w:w="704" w:type="dxa"/>
        <w:tblLayout w:type="fixed"/>
        <w:tblLook w:val="04A0" w:firstRow="1" w:lastRow="0" w:firstColumn="1" w:lastColumn="0" w:noHBand="0" w:noVBand="1"/>
      </w:tblPr>
      <w:tblGrid>
        <w:gridCol w:w="2056"/>
        <w:gridCol w:w="1109"/>
        <w:gridCol w:w="1109"/>
        <w:gridCol w:w="1110"/>
        <w:gridCol w:w="1109"/>
        <w:gridCol w:w="1109"/>
        <w:gridCol w:w="1110"/>
      </w:tblGrid>
      <w:tr w:rsidR="003A75AB" w:rsidRPr="003A75AB" w14:paraId="15DED349" w14:textId="77777777" w:rsidTr="004F4BA7">
        <w:trPr>
          <w:cnfStyle w:val="100000000000" w:firstRow="1" w:lastRow="0" w:firstColumn="0" w:lastColumn="0" w:oddVBand="0" w:evenVBand="0" w:oddHBand="0" w:evenHBand="0" w:firstRowFirstColumn="0" w:firstRowLastColumn="0" w:lastRowFirstColumn="0" w:lastRowLastColumn="0"/>
          <w:cantSplit/>
          <w:trHeight w:val="1541"/>
        </w:trPr>
        <w:tc>
          <w:tcPr>
            <w:cnfStyle w:val="001000000000" w:firstRow="0" w:lastRow="0" w:firstColumn="1" w:lastColumn="0" w:oddVBand="0" w:evenVBand="0" w:oddHBand="0" w:evenHBand="0" w:firstRowFirstColumn="0" w:firstRowLastColumn="0" w:lastRowFirstColumn="0" w:lastRowLastColumn="0"/>
            <w:tcW w:w="2056" w:type="dxa"/>
          </w:tcPr>
          <w:p w14:paraId="19B98E13"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p>
        </w:tc>
        <w:tc>
          <w:tcPr>
            <w:tcW w:w="1109" w:type="dxa"/>
            <w:textDirection w:val="tbRl"/>
            <w:hideMark/>
          </w:tcPr>
          <w:p w14:paraId="7E8C2213"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Housing demand per 1,000 75+</w:t>
            </w:r>
          </w:p>
        </w:tc>
        <w:tc>
          <w:tcPr>
            <w:tcW w:w="1109" w:type="dxa"/>
            <w:textDirection w:val="tbRl"/>
            <w:hideMark/>
          </w:tcPr>
          <w:p w14:paraId="6104356D"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Current Supply</w:t>
            </w:r>
          </w:p>
        </w:tc>
        <w:tc>
          <w:tcPr>
            <w:tcW w:w="1110" w:type="dxa"/>
            <w:textDirection w:val="tbRl"/>
            <w:hideMark/>
          </w:tcPr>
          <w:p w14:paraId="7982809E"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2020 Demand</w:t>
            </w:r>
          </w:p>
        </w:tc>
        <w:tc>
          <w:tcPr>
            <w:tcW w:w="1109" w:type="dxa"/>
            <w:textDirection w:val="tbRl"/>
            <w:hideMark/>
          </w:tcPr>
          <w:p w14:paraId="1E8D2E6D"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Current Shortfall/</w:t>
            </w:r>
          </w:p>
          <w:p w14:paraId="293ADD59"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Surplus</w:t>
            </w:r>
          </w:p>
        </w:tc>
        <w:tc>
          <w:tcPr>
            <w:tcW w:w="1109" w:type="dxa"/>
            <w:textDirection w:val="tbRl"/>
            <w:hideMark/>
          </w:tcPr>
          <w:p w14:paraId="524A5953"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Additional Demand to 2040</w:t>
            </w:r>
          </w:p>
        </w:tc>
        <w:tc>
          <w:tcPr>
            <w:tcW w:w="1110" w:type="dxa"/>
            <w:textDirection w:val="tbRl"/>
            <w:hideMark/>
          </w:tcPr>
          <w:p w14:paraId="0951B5A0"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Shortfall/</w:t>
            </w:r>
          </w:p>
          <w:p w14:paraId="1EB160E4" w14:textId="77777777" w:rsidR="00970D21" w:rsidRPr="004F4BA7" w:rsidRDefault="00970D21" w:rsidP="00615FE0">
            <w:pPr>
              <w:pStyle w:val="BodyText"/>
              <w:keepNext/>
              <w:tabs>
                <w:tab w:val="clear" w:pos="0"/>
                <w:tab w:val="left" w:pos="720"/>
              </w:tabs>
              <w:spacing w:after="0" w:line="30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bCs/>
                <w:szCs w:val="24"/>
                <w:lang w:val="en-US"/>
              </w:rPr>
              <w:t>Surplus by 2040</w:t>
            </w:r>
          </w:p>
        </w:tc>
      </w:tr>
      <w:tr w:rsidR="003A75AB" w:rsidRPr="003A75AB" w14:paraId="606B9ADF"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205C63CC"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r w:rsidRPr="004F4BA7">
              <w:rPr>
                <w:rFonts w:ascii="Arial Narrow" w:hAnsi="Arial Narrow" w:cs="Arial"/>
                <w:bCs/>
                <w:szCs w:val="24"/>
                <w:lang w:val="en-US"/>
              </w:rPr>
              <w:t>Cambridge</w:t>
            </w:r>
          </w:p>
        </w:tc>
        <w:tc>
          <w:tcPr>
            <w:tcW w:w="1109" w:type="dxa"/>
            <w:hideMark/>
          </w:tcPr>
          <w:p w14:paraId="136D5F81"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105</w:t>
            </w:r>
          </w:p>
        </w:tc>
        <w:tc>
          <w:tcPr>
            <w:tcW w:w="1109" w:type="dxa"/>
            <w:hideMark/>
          </w:tcPr>
          <w:p w14:paraId="65F59BE5"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1,170</w:t>
            </w:r>
          </w:p>
        </w:tc>
        <w:tc>
          <w:tcPr>
            <w:tcW w:w="1110" w:type="dxa"/>
            <w:hideMark/>
          </w:tcPr>
          <w:p w14:paraId="1A6A9DB3"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855</w:t>
            </w:r>
          </w:p>
        </w:tc>
        <w:tc>
          <w:tcPr>
            <w:tcW w:w="1109" w:type="dxa"/>
            <w:hideMark/>
          </w:tcPr>
          <w:p w14:paraId="07309906"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-315</w:t>
            </w:r>
          </w:p>
        </w:tc>
        <w:tc>
          <w:tcPr>
            <w:tcW w:w="1109" w:type="dxa"/>
            <w:hideMark/>
          </w:tcPr>
          <w:p w14:paraId="6E6B291C"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494</w:t>
            </w:r>
          </w:p>
        </w:tc>
        <w:tc>
          <w:tcPr>
            <w:tcW w:w="1110" w:type="dxa"/>
            <w:hideMark/>
          </w:tcPr>
          <w:p w14:paraId="2014FE47"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179</w:t>
            </w:r>
          </w:p>
        </w:tc>
      </w:tr>
      <w:tr w:rsidR="003A75AB" w:rsidRPr="003A75AB" w14:paraId="5ACB2B49"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1B2135E1"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r w:rsidRPr="004F4BA7">
              <w:rPr>
                <w:rFonts w:ascii="Arial Narrow" w:hAnsi="Arial Narrow" w:cs="Arial"/>
                <w:bCs/>
                <w:szCs w:val="24"/>
                <w:lang w:val="en-US"/>
              </w:rPr>
              <w:t>East Cambs</w:t>
            </w:r>
          </w:p>
        </w:tc>
        <w:tc>
          <w:tcPr>
            <w:tcW w:w="1109" w:type="dxa"/>
            <w:hideMark/>
          </w:tcPr>
          <w:p w14:paraId="641CBC8C"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102</w:t>
            </w:r>
          </w:p>
        </w:tc>
        <w:tc>
          <w:tcPr>
            <w:tcW w:w="1109" w:type="dxa"/>
            <w:hideMark/>
          </w:tcPr>
          <w:p w14:paraId="3D7A2F76"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379</w:t>
            </w:r>
          </w:p>
        </w:tc>
        <w:tc>
          <w:tcPr>
            <w:tcW w:w="1110" w:type="dxa"/>
            <w:hideMark/>
          </w:tcPr>
          <w:p w14:paraId="137B8B3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854</w:t>
            </w:r>
          </w:p>
        </w:tc>
        <w:tc>
          <w:tcPr>
            <w:tcW w:w="1109" w:type="dxa"/>
            <w:hideMark/>
          </w:tcPr>
          <w:p w14:paraId="0598DCE2"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475</w:t>
            </w:r>
          </w:p>
        </w:tc>
        <w:tc>
          <w:tcPr>
            <w:tcW w:w="1109" w:type="dxa"/>
            <w:hideMark/>
          </w:tcPr>
          <w:p w14:paraId="545E6F0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670</w:t>
            </w:r>
          </w:p>
        </w:tc>
        <w:tc>
          <w:tcPr>
            <w:tcW w:w="1110" w:type="dxa"/>
            <w:hideMark/>
          </w:tcPr>
          <w:p w14:paraId="45D6C187"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1,145</w:t>
            </w:r>
          </w:p>
        </w:tc>
      </w:tr>
      <w:tr w:rsidR="003A75AB" w:rsidRPr="003A75AB" w14:paraId="52DB258D"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3F488828"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r w:rsidRPr="004F4BA7">
              <w:rPr>
                <w:rFonts w:ascii="Arial Narrow" w:hAnsi="Arial Narrow" w:cs="Arial"/>
                <w:bCs/>
                <w:szCs w:val="24"/>
                <w:lang w:val="en-US"/>
              </w:rPr>
              <w:t>Fenland</w:t>
            </w:r>
          </w:p>
        </w:tc>
        <w:tc>
          <w:tcPr>
            <w:tcW w:w="1109" w:type="dxa"/>
            <w:hideMark/>
          </w:tcPr>
          <w:p w14:paraId="5C9C2AF0"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113</w:t>
            </w:r>
          </w:p>
        </w:tc>
        <w:tc>
          <w:tcPr>
            <w:tcW w:w="1109" w:type="dxa"/>
            <w:hideMark/>
          </w:tcPr>
          <w:p w14:paraId="6E28332B"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838</w:t>
            </w:r>
          </w:p>
        </w:tc>
        <w:tc>
          <w:tcPr>
            <w:tcW w:w="1110" w:type="dxa"/>
            <w:hideMark/>
          </w:tcPr>
          <w:p w14:paraId="173FEDBD"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1,228</w:t>
            </w:r>
          </w:p>
        </w:tc>
        <w:tc>
          <w:tcPr>
            <w:tcW w:w="1109" w:type="dxa"/>
            <w:hideMark/>
          </w:tcPr>
          <w:p w14:paraId="0A901B8B"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390</w:t>
            </w:r>
          </w:p>
        </w:tc>
        <w:tc>
          <w:tcPr>
            <w:tcW w:w="1109" w:type="dxa"/>
            <w:hideMark/>
          </w:tcPr>
          <w:p w14:paraId="557D5998"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809</w:t>
            </w:r>
          </w:p>
        </w:tc>
        <w:tc>
          <w:tcPr>
            <w:tcW w:w="1110" w:type="dxa"/>
            <w:hideMark/>
          </w:tcPr>
          <w:p w14:paraId="44E2FB9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1,200</w:t>
            </w:r>
          </w:p>
        </w:tc>
      </w:tr>
      <w:tr w:rsidR="003A75AB" w:rsidRPr="003A75AB" w14:paraId="6C18548C"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3C3C6D90"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r w:rsidRPr="004F4BA7">
              <w:rPr>
                <w:rFonts w:ascii="Arial Narrow" w:hAnsi="Arial Narrow" w:cs="Arial"/>
                <w:szCs w:val="24"/>
                <w:lang w:val="en-US"/>
              </w:rPr>
              <w:t>Hunts</w:t>
            </w:r>
          </w:p>
        </w:tc>
        <w:tc>
          <w:tcPr>
            <w:tcW w:w="1109" w:type="dxa"/>
            <w:hideMark/>
          </w:tcPr>
          <w:p w14:paraId="7543F0E5"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97</w:t>
            </w:r>
          </w:p>
        </w:tc>
        <w:tc>
          <w:tcPr>
            <w:tcW w:w="1109" w:type="dxa"/>
            <w:hideMark/>
          </w:tcPr>
          <w:p w14:paraId="4A7D7B40"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956</w:t>
            </w:r>
          </w:p>
        </w:tc>
        <w:tc>
          <w:tcPr>
            <w:tcW w:w="1110" w:type="dxa"/>
            <w:hideMark/>
          </w:tcPr>
          <w:p w14:paraId="4AEE1C0B"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1,411</w:t>
            </w:r>
          </w:p>
        </w:tc>
        <w:tc>
          <w:tcPr>
            <w:tcW w:w="1109" w:type="dxa"/>
            <w:hideMark/>
          </w:tcPr>
          <w:p w14:paraId="2BB6AB03"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455</w:t>
            </w:r>
          </w:p>
        </w:tc>
        <w:tc>
          <w:tcPr>
            <w:tcW w:w="1109" w:type="dxa"/>
            <w:hideMark/>
          </w:tcPr>
          <w:p w14:paraId="19CB63D7"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1,347</w:t>
            </w:r>
          </w:p>
        </w:tc>
        <w:tc>
          <w:tcPr>
            <w:tcW w:w="1110" w:type="dxa"/>
            <w:hideMark/>
          </w:tcPr>
          <w:p w14:paraId="2AC1E91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1,803</w:t>
            </w:r>
          </w:p>
        </w:tc>
      </w:tr>
      <w:tr w:rsidR="003A75AB" w:rsidRPr="003A75AB" w14:paraId="772E1EB8"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7C707159"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r w:rsidRPr="004F4BA7">
              <w:rPr>
                <w:rFonts w:ascii="Arial Narrow" w:hAnsi="Arial Narrow" w:cs="Arial"/>
                <w:bCs/>
                <w:szCs w:val="24"/>
                <w:lang w:val="en-US"/>
              </w:rPr>
              <w:t>South Cambs</w:t>
            </w:r>
          </w:p>
        </w:tc>
        <w:tc>
          <w:tcPr>
            <w:tcW w:w="1109" w:type="dxa"/>
            <w:hideMark/>
          </w:tcPr>
          <w:p w14:paraId="00B95228"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95</w:t>
            </w:r>
          </w:p>
        </w:tc>
        <w:tc>
          <w:tcPr>
            <w:tcW w:w="1109" w:type="dxa"/>
            <w:hideMark/>
          </w:tcPr>
          <w:p w14:paraId="60916E85"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742</w:t>
            </w:r>
          </w:p>
        </w:tc>
        <w:tc>
          <w:tcPr>
            <w:tcW w:w="1110" w:type="dxa"/>
            <w:hideMark/>
          </w:tcPr>
          <w:p w14:paraId="4649C1AE"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1,384</w:t>
            </w:r>
          </w:p>
        </w:tc>
        <w:tc>
          <w:tcPr>
            <w:tcW w:w="1109" w:type="dxa"/>
            <w:hideMark/>
          </w:tcPr>
          <w:p w14:paraId="1697FB97"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642</w:t>
            </w:r>
          </w:p>
        </w:tc>
        <w:tc>
          <w:tcPr>
            <w:tcW w:w="1109" w:type="dxa"/>
            <w:hideMark/>
          </w:tcPr>
          <w:p w14:paraId="5F9B9F5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971</w:t>
            </w:r>
          </w:p>
        </w:tc>
        <w:tc>
          <w:tcPr>
            <w:tcW w:w="1110" w:type="dxa"/>
            <w:hideMark/>
          </w:tcPr>
          <w:p w14:paraId="703D352E"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1,613</w:t>
            </w:r>
          </w:p>
        </w:tc>
      </w:tr>
      <w:tr w:rsidR="003A75AB" w:rsidRPr="003A75AB" w14:paraId="06F7FBD1"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3F5D602C"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szCs w:val="24"/>
                <w:lang w:val="en-US"/>
              </w:rPr>
            </w:pPr>
            <w:r w:rsidRPr="004F4BA7">
              <w:rPr>
                <w:rFonts w:ascii="Arial Narrow" w:hAnsi="Arial Narrow" w:cs="Arial"/>
                <w:bCs/>
                <w:szCs w:val="24"/>
                <w:lang w:val="en-US"/>
              </w:rPr>
              <w:t>West Suffolk</w:t>
            </w:r>
          </w:p>
        </w:tc>
        <w:tc>
          <w:tcPr>
            <w:tcW w:w="1109" w:type="dxa"/>
            <w:hideMark/>
          </w:tcPr>
          <w:p w14:paraId="7C3F3E0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102</w:t>
            </w:r>
          </w:p>
        </w:tc>
        <w:tc>
          <w:tcPr>
            <w:tcW w:w="1109" w:type="dxa"/>
            <w:hideMark/>
          </w:tcPr>
          <w:p w14:paraId="213BFF78"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1,347</w:t>
            </w:r>
          </w:p>
        </w:tc>
        <w:tc>
          <w:tcPr>
            <w:tcW w:w="1110" w:type="dxa"/>
            <w:hideMark/>
          </w:tcPr>
          <w:p w14:paraId="15C45F8F"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1,832</w:t>
            </w:r>
          </w:p>
        </w:tc>
        <w:tc>
          <w:tcPr>
            <w:tcW w:w="1109" w:type="dxa"/>
            <w:hideMark/>
          </w:tcPr>
          <w:p w14:paraId="2992B6EF"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485</w:t>
            </w:r>
          </w:p>
        </w:tc>
        <w:tc>
          <w:tcPr>
            <w:tcW w:w="1109" w:type="dxa"/>
            <w:hideMark/>
          </w:tcPr>
          <w:p w14:paraId="7C80BB53"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1,276</w:t>
            </w:r>
          </w:p>
        </w:tc>
        <w:tc>
          <w:tcPr>
            <w:tcW w:w="1110" w:type="dxa"/>
            <w:hideMark/>
          </w:tcPr>
          <w:p w14:paraId="719F4A72"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4"/>
                <w:lang w:val="en-US"/>
              </w:rPr>
            </w:pPr>
            <w:r w:rsidRPr="004F4BA7">
              <w:rPr>
                <w:rFonts w:ascii="Arial Narrow" w:hAnsi="Arial Narrow" w:cs="Arial"/>
                <w:szCs w:val="24"/>
                <w:lang w:val="en-US"/>
              </w:rPr>
              <w:t>1,761</w:t>
            </w:r>
          </w:p>
        </w:tc>
      </w:tr>
      <w:tr w:rsidR="003A75AB" w:rsidRPr="003A75AB" w14:paraId="71074634" w14:textId="77777777" w:rsidTr="004F4BA7">
        <w:trPr>
          <w:trHeight w:val="296"/>
        </w:trPr>
        <w:tc>
          <w:tcPr>
            <w:cnfStyle w:val="001000000000" w:firstRow="0" w:lastRow="0" w:firstColumn="1" w:lastColumn="0" w:oddVBand="0" w:evenVBand="0" w:oddHBand="0" w:evenHBand="0" w:firstRowFirstColumn="0" w:firstRowLastColumn="0" w:lastRowFirstColumn="0" w:lastRowLastColumn="0"/>
            <w:tcW w:w="2056" w:type="dxa"/>
            <w:hideMark/>
          </w:tcPr>
          <w:p w14:paraId="728432E6"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
                <w:szCs w:val="24"/>
                <w:lang w:val="en-US"/>
              </w:rPr>
            </w:pPr>
            <w:r w:rsidRPr="004F4BA7">
              <w:rPr>
                <w:rFonts w:ascii="Arial Narrow" w:hAnsi="Arial Narrow" w:cs="Arial"/>
                <w:b/>
                <w:szCs w:val="24"/>
                <w:lang w:val="en-US"/>
              </w:rPr>
              <w:t>HMA</w:t>
            </w:r>
          </w:p>
        </w:tc>
        <w:tc>
          <w:tcPr>
            <w:tcW w:w="1109" w:type="dxa"/>
            <w:hideMark/>
          </w:tcPr>
          <w:p w14:paraId="54A1A7AD"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lang w:val="en-US"/>
              </w:rPr>
            </w:pPr>
            <w:r w:rsidRPr="004F4BA7">
              <w:rPr>
                <w:rFonts w:ascii="Arial Narrow" w:hAnsi="Arial Narrow" w:cs="Arial"/>
                <w:b/>
                <w:szCs w:val="24"/>
                <w:lang w:val="en-US"/>
              </w:rPr>
              <w:t>102</w:t>
            </w:r>
          </w:p>
        </w:tc>
        <w:tc>
          <w:tcPr>
            <w:tcW w:w="1109" w:type="dxa"/>
            <w:hideMark/>
          </w:tcPr>
          <w:p w14:paraId="58AA7715"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lang w:val="en-US"/>
              </w:rPr>
            </w:pPr>
            <w:r w:rsidRPr="004F4BA7">
              <w:rPr>
                <w:rFonts w:ascii="Arial Narrow" w:hAnsi="Arial Narrow" w:cs="Arial"/>
                <w:b/>
                <w:szCs w:val="24"/>
                <w:lang w:val="en-US"/>
              </w:rPr>
              <w:t>5,432</w:t>
            </w:r>
          </w:p>
        </w:tc>
        <w:tc>
          <w:tcPr>
            <w:tcW w:w="1110" w:type="dxa"/>
            <w:hideMark/>
          </w:tcPr>
          <w:p w14:paraId="1EA7354D"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lang w:val="en-US"/>
              </w:rPr>
            </w:pPr>
            <w:r w:rsidRPr="004F4BA7">
              <w:rPr>
                <w:rFonts w:ascii="Arial Narrow" w:hAnsi="Arial Narrow" w:cs="Arial"/>
                <w:b/>
                <w:szCs w:val="24"/>
                <w:lang w:val="en-US"/>
              </w:rPr>
              <w:t>7,566</w:t>
            </w:r>
          </w:p>
        </w:tc>
        <w:tc>
          <w:tcPr>
            <w:tcW w:w="1109" w:type="dxa"/>
            <w:hideMark/>
          </w:tcPr>
          <w:p w14:paraId="0FB48831"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lang w:val="en-US"/>
              </w:rPr>
            </w:pPr>
            <w:r w:rsidRPr="004F4BA7">
              <w:rPr>
                <w:rFonts w:ascii="Arial Narrow" w:hAnsi="Arial Narrow" w:cs="Arial"/>
                <w:b/>
                <w:szCs w:val="24"/>
                <w:lang w:val="en-US"/>
              </w:rPr>
              <w:t>2,134</w:t>
            </w:r>
          </w:p>
        </w:tc>
        <w:tc>
          <w:tcPr>
            <w:tcW w:w="1109" w:type="dxa"/>
            <w:hideMark/>
          </w:tcPr>
          <w:p w14:paraId="1BD982A4"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lang w:val="en-US"/>
              </w:rPr>
            </w:pPr>
            <w:r w:rsidRPr="004F4BA7">
              <w:rPr>
                <w:rFonts w:ascii="Arial Narrow" w:hAnsi="Arial Narrow" w:cs="Arial"/>
                <w:b/>
                <w:szCs w:val="24"/>
                <w:lang w:val="en-US"/>
              </w:rPr>
              <w:t>5,567</w:t>
            </w:r>
          </w:p>
        </w:tc>
        <w:tc>
          <w:tcPr>
            <w:tcW w:w="1110" w:type="dxa"/>
            <w:hideMark/>
          </w:tcPr>
          <w:p w14:paraId="027581F5"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lang w:val="en-US"/>
              </w:rPr>
            </w:pPr>
            <w:r w:rsidRPr="004F4BA7">
              <w:rPr>
                <w:rFonts w:ascii="Arial Narrow" w:hAnsi="Arial Narrow" w:cs="Arial"/>
                <w:b/>
                <w:szCs w:val="24"/>
                <w:lang w:val="en-US"/>
              </w:rPr>
              <w:t>7,701</w:t>
            </w:r>
          </w:p>
        </w:tc>
      </w:tr>
    </w:tbl>
    <w:p w14:paraId="3F1D2D8F" w14:textId="77777777" w:rsidR="00970D21" w:rsidRPr="00D222DD" w:rsidRDefault="00970D21" w:rsidP="00970D21">
      <w:pPr>
        <w:pStyle w:val="BodyText"/>
        <w:tabs>
          <w:tab w:val="clear" w:pos="0"/>
          <w:tab w:val="left" w:pos="720"/>
        </w:tabs>
        <w:spacing w:after="120"/>
        <w:ind w:left="794" w:firstLine="0"/>
        <w:rPr>
          <w:rFonts w:ascii="Arial" w:hAnsi="Arial" w:cs="Arial"/>
          <w:sz w:val="24"/>
          <w:szCs w:val="24"/>
        </w:rPr>
      </w:pPr>
      <w:r w:rsidRPr="00D222DD">
        <w:rPr>
          <w:rFonts w:ascii="Arial" w:hAnsi="Arial" w:cs="Arial"/>
          <w:sz w:val="24"/>
          <w:szCs w:val="24"/>
        </w:rPr>
        <w:t>Source: Derived from Demographic Projections and Housing LIN/HOPSR/EAC</w:t>
      </w:r>
    </w:p>
    <w:p w14:paraId="5D698A4F" w14:textId="77777777" w:rsidR="00970D21" w:rsidRDefault="00970D21" w:rsidP="007D0FBF">
      <w:pPr>
        <w:pStyle w:val="11Bodytext"/>
      </w:pPr>
      <w:r>
        <w:t xml:space="preserve">GL Hearn considers that this figure should be considered as a maximum level, as there is a potential for some of this need to be met through the provision of extra </w:t>
      </w:r>
      <w:r>
        <w:lastRenderedPageBreak/>
        <w:t xml:space="preserve">care housing. This will relate to the needs arising for residential rather than nursing care. </w:t>
      </w:r>
    </w:p>
    <w:p w14:paraId="34EBDDDA" w14:textId="77777777" w:rsidR="00970D21" w:rsidRDefault="00970D21" w:rsidP="007D0FBF">
      <w:pPr>
        <w:pStyle w:val="Heading2"/>
      </w:pPr>
      <w:r>
        <w:t>People with disabilities and accessible housing needs</w:t>
      </w:r>
    </w:p>
    <w:p w14:paraId="57AAD646" w14:textId="77777777" w:rsidR="00970D21" w:rsidRDefault="00970D21" w:rsidP="007D0FBF">
      <w:pPr>
        <w:pStyle w:val="11Bodytext"/>
      </w:pPr>
      <w:r>
        <w:t>This section considers the potential requirements for people with disabilities and accessible and adaptable dwellings. Paragraph 8 of the PPG (Reference ID: 63-008-20190626) states:</w:t>
      </w:r>
    </w:p>
    <w:p w14:paraId="4FEB32B7" w14:textId="77777777" w:rsidR="00970D21" w:rsidRDefault="00970D21" w:rsidP="00B126BB">
      <w:pPr>
        <w:pStyle w:val="Quotetext"/>
        <w:rPr>
          <w:lang w:eastAsia="en-GB"/>
        </w:rPr>
      </w:pPr>
      <w:r>
        <w:rPr>
          <w:lang w:eastAsia="en-GB"/>
        </w:rPr>
        <w:t>“Accessible and adaptable housing enables people to live more independently, while also saving on health and social costs in the future. It is better to build accessible housing from the outset rather than have to make adaptations at a later stage – both in terms of cost and concerning people being able to remain safe and independent in their homes.</w:t>
      </w:r>
    </w:p>
    <w:p w14:paraId="0D0576EB" w14:textId="77777777" w:rsidR="00970D21" w:rsidRDefault="00970D21" w:rsidP="00B126BB">
      <w:pPr>
        <w:pStyle w:val="Quotetext"/>
        <w:rPr>
          <w:lang w:eastAsia="en-GB"/>
        </w:rPr>
      </w:pPr>
      <w:r>
        <w:rPr>
          <w:lang w:eastAsia="en-GB"/>
        </w:rPr>
        <w:t>Accessible and adaptable housing will provide safe and convenient approach routes into and out of the home and outside areas, suitable circulation space, and suitable bathroom and kitchens within the home. Wheelchair user dwellings include additional features to meet the needs of occupants who use wheelchairs or allow for adaptations to meet such needs.”</w:t>
      </w:r>
    </w:p>
    <w:p w14:paraId="25AFC015" w14:textId="77777777" w:rsidR="00970D21" w:rsidRDefault="00970D21" w:rsidP="007D0FBF">
      <w:pPr>
        <w:pStyle w:val="11Bodytext"/>
      </w:pPr>
      <w:r>
        <w:t>Paragraph 9 of the PPG (Reference ID: 63-009-20190626) explains that where a need exists, plans are expected to make use of the </w:t>
      </w:r>
      <w:hyperlink r:id="rId61" w:history="1">
        <w:r w:rsidRPr="004D5A5B">
          <w:rPr>
            <w:rStyle w:val="Hyperlink"/>
            <w:color w:val="auto"/>
          </w:rPr>
          <w:t>optional technical housing standards</w:t>
        </w:r>
      </w:hyperlink>
      <w:r>
        <w:t xml:space="preserve"> referred to in footnote 46 of the NPPF to help bring forward an adequate supply of accessible housing. Adding that:</w:t>
      </w:r>
    </w:p>
    <w:p w14:paraId="6268ADA2" w14:textId="77777777" w:rsidR="00970D21" w:rsidRDefault="00970D21" w:rsidP="00B126BB">
      <w:pPr>
        <w:pStyle w:val="Quotetext"/>
        <w:rPr>
          <w:lang w:eastAsia="en-GB"/>
        </w:rPr>
      </w:pPr>
      <w:r>
        <w:rPr>
          <w:lang w:eastAsia="en-GB"/>
        </w:rPr>
        <w:t xml:space="preserve"> “In doing so planning policies for housing can set out the proportion of new housing that will be delivered to the following standards:</w:t>
      </w:r>
    </w:p>
    <w:p w14:paraId="64DA0F0B" w14:textId="77777777" w:rsidR="00970D21" w:rsidRDefault="00970D21" w:rsidP="00B126BB">
      <w:pPr>
        <w:pStyle w:val="Quotetext"/>
        <w:numPr>
          <w:ilvl w:val="0"/>
          <w:numId w:val="34"/>
        </w:numPr>
        <w:rPr>
          <w:lang w:eastAsia="en-GB"/>
        </w:rPr>
      </w:pPr>
      <w:r>
        <w:rPr>
          <w:lang w:eastAsia="en-GB"/>
        </w:rPr>
        <w:t>M4(1) Category 1: Visitable dwellings (the minimum standard that applies where no planning condition is given unless a plan sets a higher minimum requirement)</w:t>
      </w:r>
    </w:p>
    <w:p w14:paraId="1C80081E" w14:textId="77777777" w:rsidR="00970D21" w:rsidRDefault="00970D21" w:rsidP="00B126BB">
      <w:pPr>
        <w:pStyle w:val="Quotetext"/>
        <w:numPr>
          <w:ilvl w:val="0"/>
          <w:numId w:val="34"/>
        </w:numPr>
        <w:rPr>
          <w:lang w:eastAsia="en-GB"/>
        </w:rPr>
      </w:pPr>
      <w:r>
        <w:rPr>
          <w:lang w:eastAsia="en-GB"/>
        </w:rPr>
        <w:t>M4(2) Category 2: Accessible and adaptable dwellings</w:t>
      </w:r>
    </w:p>
    <w:p w14:paraId="76C428AF" w14:textId="77777777" w:rsidR="00970D21" w:rsidRDefault="00970D21" w:rsidP="00B126BB">
      <w:pPr>
        <w:pStyle w:val="Quotetext"/>
        <w:numPr>
          <w:ilvl w:val="0"/>
          <w:numId w:val="34"/>
        </w:numPr>
        <w:rPr>
          <w:lang w:eastAsia="en-GB"/>
        </w:rPr>
      </w:pPr>
      <w:r>
        <w:rPr>
          <w:lang w:eastAsia="en-GB"/>
        </w:rPr>
        <w:t>M4(3) Category 3: Wheelchair user dwellings”</w:t>
      </w:r>
    </w:p>
    <w:p w14:paraId="5E59ADD8" w14:textId="77777777" w:rsidR="00970D21" w:rsidRDefault="00970D21" w:rsidP="007D0FBF">
      <w:pPr>
        <w:pStyle w:val="11Bodytext"/>
      </w:pPr>
      <w:r>
        <w:t xml:space="preserve">Paragraph 9 also adds that “Planning policies for accessible housing need to be based on evidence of need, viability, and consideration of site-specific factors.” This document provides evidence for the need for housing built to M4(2) and M4(3) </w:t>
      </w:r>
      <w:r>
        <w:lastRenderedPageBreak/>
        <w:t>technical standards</w:t>
      </w:r>
      <w:r>
        <w:rPr>
          <w:vertAlign w:val="superscript"/>
        </w:rPr>
        <w:footnoteReference w:id="40"/>
      </w:r>
      <w:r>
        <w:t xml:space="preserve"> (accessible and adaptable dwellings and dwellings that conform to wheelchair standards respectively). This report does not examine the need for M4(1) visitable dwellings as this is a mandatory standard for all new dwellings.</w:t>
      </w:r>
    </w:p>
    <w:p w14:paraId="316F2371" w14:textId="77777777" w:rsidR="00970D21" w:rsidRDefault="00970D21" w:rsidP="007D0FBF">
      <w:pPr>
        <w:pStyle w:val="11Bodytext"/>
      </w:pPr>
      <w:r>
        <w:t>This evidence should be brought together with other evidence on viability and reviewed alongside other site-specific factors when making planning decisions.</w:t>
      </w:r>
    </w:p>
    <w:p w14:paraId="0FAF7614" w14:textId="77777777" w:rsidR="00970D21" w:rsidRDefault="00970D21" w:rsidP="007D0FBF">
      <w:pPr>
        <w:pStyle w:val="11Bodytext"/>
      </w:pPr>
      <w:r>
        <w:t xml:space="preserve">The PPG does not provide any guidance as to how to assess the need for accessible and adaptable housing. This report, therefore, has brought a range of statistics together to identify the potential scale of demand. </w:t>
      </w:r>
    </w:p>
    <w:p w14:paraId="59519071" w14:textId="77777777" w:rsidR="00970D21" w:rsidRDefault="00970D21" w:rsidP="007D0FBF">
      <w:pPr>
        <w:pStyle w:val="11Bodytext"/>
      </w:pPr>
      <w:r>
        <w:t>The MHCLG Guide to Available Disability Data</w:t>
      </w:r>
      <w:r>
        <w:rPr>
          <w:rStyle w:val="FootnoteReference"/>
        </w:rPr>
        <w:footnoteReference w:id="41"/>
      </w:r>
      <w:r>
        <w:t xml:space="preserve"> provides data about households with a long-term illness or disability from the English Housing Survey. This is given at a national level and does not provide more localised data. Hence the analysis below has drawn on the 2011 Census (which has a definition of long-term health problem or disability (LTHPD)). It should be noted that those in this group can have multiple health problems and/or disabilities which may or may not imply a requirement for specialist housing.</w:t>
      </w:r>
    </w:p>
    <w:p w14:paraId="291F1B37" w14:textId="77777777" w:rsidR="00970D21" w:rsidRDefault="00970D21" w:rsidP="007D0FBF">
      <w:pPr>
        <w:pStyle w:val="11Bodytext"/>
      </w:pPr>
      <w:r>
        <w:t xml:space="preserve">Table 93 below shows the proportion of people with an LTHPD drawn from 2011 Census data, and the proportion of households where at least one person has an LTHPD. The data suggests that 29% of households in the HMA contain someone with an LTHPD. This figure is slightly lower than that seen in other areas. </w:t>
      </w:r>
    </w:p>
    <w:p w14:paraId="2963D07E" w14:textId="0E682439" w:rsidR="00970D21" w:rsidRDefault="00970D21" w:rsidP="003D5E23">
      <w:pPr>
        <w:pStyle w:val="Tableheading"/>
        <w:numPr>
          <w:ilvl w:val="0"/>
          <w:numId w:val="54"/>
        </w:numPr>
      </w:pPr>
      <w:r>
        <w:lastRenderedPageBreak/>
        <w:t>Households and People with a Long-Term Health Problem or Disability, 2011</w:t>
      </w:r>
    </w:p>
    <w:tbl>
      <w:tblPr>
        <w:tblStyle w:val="TableGridLight1"/>
        <w:tblW w:w="8594" w:type="dxa"/>
        <w:tblInd w:w="846" w:type="dxa"/>
        <w:tblLook w:val="04A0" w:firstRow="1" w:lastRow="0" w:firstColumn="1" w:lastColumn="0" w:noHBand="0" w:noVBand="1"/>
      </w:tblPr>
      <w:tblGrid>
        <w:gridCol w:w="1667"/>
        <w:gridCol w:w="1731"/>
        <w:gridCol w:w="1732"/>
        <w:gridCol w:w="1732"/>
        <w:gridCol w:w="1732"/>
      </w:tblGrid>
      <w:tr w:rsidR="00615FE0" w:rsidRPr="00615FE0" w14:paraId="5DB260B4" w14:textId="77777777" w:rsidTr="0034275C">
        <w:trPr>
          <w:cnfStyle w:val="100000000000" w:firstRow="1" w:lastRow="0" w:firstColumn="0" w:lastColumn="0" w:oddVBand="0" w:evenVBand="0" w:oddHBand="0" w:evenHBand="0" w:firstRowFirstColumn="0" w:firstRowLastColumn="0" w:lastRowFirstColumn="0" w:lastRowLastColumn="0"/>
          <w:cantSplit/>
          <w:trHeight w:val="2133"/>
        </w:trPr>
        <w:tc>
          <w:tcPr>
            <w:cnfStyle w:val="001000000000" w:firstRow="0" w:lastRow="0" w:firstColumn="1" w:lastColumn="0" w:oddVBand="0" w:evenVBand="0" w:oddHBand="0" w:evenHBand="0" w:firstRowFirstColumn="0" w:firstRowLastColumn="0" w:lastRowFirstColumn="0" w:lastRowLastColumn="0"/>
            <w:tcW w:w="1667" w:type="dxa"/>
            <w:hideMark/>
          </w:tcPr>
          <w:p w14:paraId="1D6F3159" w14:textId="77777777" w:rsidR="00615FE0" w:rsidRPr="00615FE0" w:rsidRDefault="00615FE0" w:rsidP="00615FE0">
            <w:pPr>
              <w:rPr>
                <w:color w:val="auto"/>
                <w:lang w:eastAsia="en-GB"/>
              </w:rPr>
            </w:pPr>
            <w:r w:rsidRPr="00615FE0">
              <w:rPr>
                <w:color w:val="auto"/>
                <w:lang w:val="en-US" w:eastAsia="en-GB"/>
              </w:rPr>
              <w:t> </w:t>
            </w:r>
          </w:p>
        </w:tc>
        <w:tc>
          <w:tcPr>
            <w:tcW w:w="1731" w:type="dxa"/>
            <w:textDirection w:val="btLr"/>
            <w:hideMark/>
          </w:tcPr>
          <w:p w14:paraId="4DC4DC47"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Households Containing Someone with a Health Problem or Disability (No.)</w:t>
            </w:r>
          </w:p>
        </w:tc>
        <w:tc>
          <w:tcPr>
            <w:tcW w:w="1732" w:type="dxa"/>
            <w:textDirection w:val="btLr"/>
            <w:hideMark/>
          </w:tcPr>
          <w:p w14:paraId="14436B6F"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eastAsia="en-GB"/>
              </w:rPr>
              <w:t>Households Containing Someone with a Health Problem or Disability (%)</w:t>
            </w:r>
          </w:p>
        </w:tc>
        <w:tc>
          <w:tcPr>
            <w:tcW w:w="1732" w:type="dxa"/>
            <w:textDirection w:val="btLr"/>
            <w:hideMark/>
          </w:tcPr>
          <w:p w14:paraId="797D3A6B"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val="en-US" w:eastAsia="en-GB"/>
              </w:rPr>
              <w:t>Population with a Health Problem or Disability (No.)</w:t>
            </w:r>
          </w:p>
        </w:tc>
        <w:tc>
          <w:tcPr>
            <w:tcW w:w="1732" w:type="dxa"/>
            <w:textDirection w:val="btLr"/>
            <w:hideMark/>
          </w:tcPr>
          <w:p w14:paraId="54370472"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bCs/>
                <w:color w:val="auto"/>
                <w:lang w:eastAsia="en-GB"/>
              </w:rPr>
            </w:pPr>
            <w:r w:rsidRPr="00615FE0">
              <w:rPr>
                <w:bCs/>
                <w:color w:val="auto"/>
                <w:lang w:eastAsia="en-GB"/>
              </w:rPr>
              <w:t>Households Containing Someone with a Health Problem or Disability (%)</w:t>
            </w:r>
          </w:p>
        </w:tc>
      </w:tr>
      <w:tr w:rsidR="00615FE0" w:rsidRPr="00615FE0" w14:paraId="46E9E436"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1F34CAAF" w14:textId="77777777" w:rsidR="00615FE0" w:rsidRPr="00615FE0" w:rsidRDefault="00615FE0" w:rsidP="00615FE0">
            <w:pPr>
              <w:jc w:val="both"/>
              <w:rPr>
                <w:color w:val="auto"/>
                <w:lang w:eastAsia="en-GB"/>
              </w:rPr>
            </w:pPr>
            <w:r w:rsidRPr="00615FE0">
              <w:rPr>
                <w:color w:val="auto"/>
                <w:lang w:val="en-US" w:eastAsia="en-GB"/>
              </w:rPr>
              <w:t>Cambridge</w:t>
            </w:r>
          </w:p>
        </w:tc>
        <w:tc>
          <w:tcPr>
            <w:tcW w:w="1731" w:type="dxa"/>
            <w:hideMark/>
          </w:tcPr>
          <w:p w14:paraId="475067A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12,444</w:t>
            </w:r>
          </w:p>
        </w:tc>
        <w:tc>
          <w:tcPr>
            <w:tcW w:w="1732" w:type="dxa"/>
            <w:hideMark/>
          </w:tcPr>
          <w:p w14:paraId="72A44CF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26.60%</w:t>
            </w:r>
          </w:p>
        </w:tc>
        <w:tc>
          <w:tcPr>
            <w:tcW w:w="1732" w:type="dxa"/>
            <w:hideMark/>
          </w:tcPr>
          <w:p w14:paraId="2429E33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16,064</w:t>
            </w:r>
          </w:p>
        </w:tc>
        <w:tc>
          <w:tcPr>
            <w:tcW w:w="1732" w:type="dxa"/>
            <w:hideMark/>
          </w:tcPr>
          <w:p w14:paraId="75FEB16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13.00%</w:t>
            </w:r>
          </w:p>
        </w:tc>
      </w:tr>
      <w:tr w:rsidR="00615FE0" w:rsidRPr="00615FE0" w14:paraId="172EC51C"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15E4D33F" w14:textId="77777777" w:rsidR="00615FE0" w:rsidRPr="00615FE0" w:rsidRDefault="00615FE0" w:rsidP="00615FE0">
            <w:pPr>
              <w:jc w:val="both"/>
              <w:rPr>
                <w:color w:val="auto"/>
                <w:lang w:eastAsia="en-GB"/>
              </w:rPr>
            </w:pPr>
            <w:r w:rsidRPr="00615FE0">
              <w:rPr>
                <w:color w:val="auto"/>
                <w:lang w:val="en-US" w:eastAsia="en-GB"/>
              </w:rPr>
              <w:t>East Cambs</w:t>
            </w:r>
          </w:p>
        </w:tc>
        <w:tc>
          <w:tcPr>
            <w:tcW w:w="1731" w:type="dxa"/>
            <w:hideMark/>
          </w:tcPr>
          <w:p w14:paraId="0688D36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10,070</w:t>
            </w:r>
          </w:p>
        </w:tc>
        <w:tc>
          <w:tcPr>
            <w:tcW w:w="1732" w:type="dxa"/>
            <w:hideMark/>
          </w:tcPr>
          <w:p w14:paraId="4A22129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29.10%</w:t>
            </w:r>
          </w:p>
        </w:tc>
        <w:tc>
          <w:tcPr>
            <w:tcW w:w="1732" w:type="dxa"/>
            <w:hideMark/>
          </w:tcPr>
          <w:p w14:paraId="1831243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12,902</w:t>
            </w:r>
          </w:p>
        </w:tc>
        <w:tc>
          <w:tcPr>
            <w:tcW w:w="1732" w:type="dxa"/>
            <w:hideMark/>
          </w:tcPr>
          <w:p w14:paraId="3046621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15.40%</w:t>
            </w:r>
          </w:p>
        </w:tc>
      </w:tr>
      <w:tr w:rsidR="00615FE0" w:rsidRPr="00615FE0" w14:paraId="00762EA4"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784C7D17" w14:textId="77777777" w:rsidR="00615FE0" w:rsidRPr="00615FE0" w:rsidRDefault="00615FE0" w:rsidP="00615FE0">
            <w:pPr>
              <w:jc w:val="both"/>
              <w:rPr>
                <w:color w:val="auto"/>
                <w:lang w:eastAsia="en-GB"/>
              </w:rPr>
            </w:pPr>
            <w:r w:rsidRPr="00615FE0">
              <w:rPr>
                <w:color w:val="auto"/>
                <w:lang w:val="en-US" w:eastAsia="en-GB"/>
              </w:rPr>
              <w:t>Fenland</w:t>
            </w:r>
          </w:p>
        </w:tc>
        <w:tc>
          <w:tcPr>
            <w:tcW w:w="1731" w:type="dxa"/>
            <w:hideMark/>
          </w:tcPr>
          <w:p w14:paraId="2967C4D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15,139</w:t>
            </w:r>
          </w:p>
        </w:tc>
        <w:tc>
          <w:tcPr>
            <w:tcW w:w="1732" w:type="dxa"/>
            <w:hideMark/>
          </w:tcPr>
          <w:p w14:paraId="0CF7D5C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37.30%</w:t>
            </w:r>
          </w:p>
        </w:tc>
        <w:tc>
          <w:tcPr>
            <w:tcW w:w="1732" w:type="dxa"/>
            <w:hideMark/>
          </w:tcPr>
          <w:p w14:paraId="1AD22E4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20,030</w:t>
            </w:r>
          </w:p>
        </w:tc>
        <w:tc>
          <w:tcPr>
            <w:tcW w:w="1732" w:type="dxa"/>
            <w:hideMark/>
          </w:tcPr>
          <w:p w14:paraId="0C464FF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21.00%</w:t>
            </w:r>
          </w:p>
        </w:tc>
      </w:tr>
      <w:tr w:rsidR="00615FE0" w:rsidRPr="00615FE0" w14:paraId="72EF7F94"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50E80BBD" w14:textId="77777777" w:rsidR="00615FE0" w:rsidRPr="00615FE0" w:rsidRDefault="00615FE0" w:rsidP="00615FE0">
            <w:pPr>
              <w:jc w:val="both"/>
              <w:rPr>
                <w:color w:val="auto"/>
                <w:lang w:eastAsia="en-GB"/>
              </w:rPr>
            </w:pPr>
            <w:r w:rsidRPr="00615FE0">
              <w:rPr>
                <w:color w:val="auto"/>
                <w:lang w:val="en-US" w:eastAsia="en-GB"/>
              </w:rPr>
              <w:t>Huntingdonshire</w:t>
            </w:r>
          </w:p>
        </w:tc>
        <w:tc>
          <w:tcPr>
            <w:tcW w:w="1731" w:type="dxa"/>
            <w:hideMark/>
          </w:tcPr>
          <w:p w14:paraId="71173A6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19,660</w:t>
            </w:r>
          </w:p>
        </w:tc>
        <w:tc>
          <w:tcPr>
            <w:tcW w:w="1732" w:type="dxa"/>
            <w:hideMark/>
          </w:tcPr>
          <w:p w14:paraId="2328B0E7"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28.40%</w:t>
            </w:r>
          </w:p>
        </w:tc>
        <w:tc>
          <w:tcPr>
            <w:tcW w:w="1732" w:type="dxa"/>
            <w:hideMark/>
          </w:tcPr>
          <w:p w14:paraId="6B1750F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25,303</w:t>
            </w:r>
          </w:p>
        </w:tc>
        <w:tc>
          <w:tcPr>
            <w:tcW w:w="1732" w:type="dxa"/>
            <w:hideMark/>
          </w:tcPr>
          <w:p w14:paraId="788A767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14.90%</w:t>
            </w:r>
          </w:p>
        </w:tc>
      </w:tr>
      <w:tr w:rsidR="00615FE0" w:rsidRPr="00615FE0" w14:paraId="4B302134"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68FE5490" w14:textId="77777777" w:rsidR="00615FE0" w:rsidRPr="00615FE0" w:rsidRDefault="00615FE0" w:rsidP="00615FE0">
            <w:pPr>
              <w:jc w:val="both"/>
              <w:rPr>
                <w:color w:val="auto"/>
                <w:lang w:eastAsia="en-GB"/>
              </w:rPr>
            </w:pPr>
            <w:r w:rsidRPr="00615FE0">
              <w:rPr>
                <w:color w:val="auto"/>
                <w:lang w:val="en-US" w:eastAsia="en-GB"/>
              </w:rPr>
              <w:t>South Cambs</w:t>
            </w:r>
          </w:p>
        </w:tc>
        <w:tc>
          <w:tcPr>
            <w:tcW w:w="1731" w:type="dxa"/>
            <w:hideMark/>
          </w:tcPr>
          <w:p w14:paraId="7FFF05A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16,409</w:t>
            </w:r>
          </w:p>
        </w:tc>
        <w:tc>
          <w:tcPr>
            <w:tcW w:w="1732" w:type="dxa"/>
            <w:hideMark/>
          </w:tcPr>
          <w:p w14:paraId="7587F23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27.40%</w:t>
            </w:r>
          </w:p>
        </w:tc>
        <w:tc>
          <w:tcPr>
            <w:tcW w:w="1732" w:type="dxa"/>
            <w:hideMark/>
          </w:tcPr>
          <w:p w14:paraId="7B640437"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20,728</w:t>
            </w:r>
          </w:p>
        </w:tc>
        <w:tc>
          <w:tcPr>
            <w:tcW w:w="1732" w:type="dxa"/>
            <w:hideMark/>
          </w:tcPr>
          <w:p w14:paraId="4702A2E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13.90%</w:t>
            </w:r>
          </w:p>
        </w:tc>
      </w:tr>
      <w:tr w:rsidR="00615FE0" w:rsidRPr="00615FE0" w14:paraId="4B3C4041"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1076A4F4" w14:textId="77777777" w:rsidR="00615FE0" w:rsidRPr="00615FE0" w:rsidRDefault="00615FE0" w:rsidP="00615FE0">
            <w:pPr>
              <w:jc w:val="both"/>
              <w:rPr>
                <w:color w:val="auto"/>
                <w:lang w:eastAsia="en-GB"/>
              </w:rPr>
            </w:pPr>
            <w:r w:rsidRPr="00615FE0">
              <w:rPr>
                <w:color w:val="auto"/>
                <w:lang w:val="en-US" w:eastAsia="en-GB"/>
              </w:rPr>
              <w:t>West Suffolk</w:t>
            </w:r>
          </w:p>
        </w:tc>
        <w:tc>
          <w:tcPr>
            <w:tcW w:w="1731" w:type="dxa"/>
            <w:hideMark/>
          </w:tcPr>
          <w:p w14:paraId="32A2EF0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21,069</w:t>
            </w:r>
          </w:p>
        </w:tc>
        <w:tc>
          <w:tcPr>
            <w:tcW w:w="1732" w:type="dxa"/>
            <w:hideMark/>
          </w:tcPr>
          <w:p w14:paraId="2FB960F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29.60%</w:t>
            </w:r>
          </w:p>
        </w:tc>
        <w:tc>
          <w:tcPr>
            <w:tcW w:w="1732" w:type="dxa"/>
            <w:hideMark/>
          </w:tcPr>
          <w:p w14:paraId="75CAF4F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27,223</w:t>
            </w:r>
          </w:p>
        </w:tc>
        <w:tc>
          <w:tcPr>
            <w:tcW w:w="1732" w:type="dxa"/>
            <w:hideMark/>
          </w:tcPr>
          <w:p w14:paraId="0624C23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15.90%</w:t>
            </w:r>
          </w:p>
        </w:tc>
      </w:tr>
      <w:tr w:rsidR="00615FE0" w:rsidRPr="00615FE0" w14:paraId="49EC4D54"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6179C9E3" w14:textId="77777777" w:rsidR="00615FE0" w:rsidRPr="00615FE0" w:rsidRDefault="00615FE0" w:rsidP="00615FE0">
            <w:pPr>
              <w:jc w:val="both"/>
              <w:rPr>
                <w:b/>
                <w:bCs/>
                <w:color w:val="auto"/>
                <w:lang w:eastAsia="en-GB"/>
              </w:rPr>
            </w:pPr>
            <w:r w:rsidRPr="00615FE0">
              <w:rPr>
                <w:b/>
                <w:bCs/>
                <w:color w:val="auto"/>
                <w:lang w:val="en-US" w:eastAsia="en-GB"/>
              </w:rPr>
              <w:t>HMA</w:t>
            </w:r>
          </w:p>
        </w:tc>
        <w:tc>
          <w:tcPr>
            <w:tcW w:w="1731" w:type="dxa"/>
            <w:hideMark/>
          </w:tcPr>
          <w:p w14:paraId="1843063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94,791</w:t>
            </w:r>
          </w:p>
        </w:tc>
        <w:tc>
          <w:tcPr>
            <w:tcW w:w="1732" w:type="dxa"/>
            <w:hideMark/>
          </w:tcPr>
          <w:p w14:paraId="5E527CB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29.40%</w:t>
            </w:r>
          </w:p>
        </w:tc>
        <w:tc>
          <w:tcPr>
            <w:tcW w:w="1732" w:type="dxa"/>
            <w:hideMark/>
          </w:tcPr>
          <w:p w14:paraId="1D885C2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122,250</w:t>
            </w:r>
          </w:p>
        </w:tc>
        <w:tc>
          <w:tcPr>
            <w:tcW w:w="1732" w:type="dxa"/>
            <w:hideMark/>
          </w:tcPr>
          <w:p w14:paraId="13449A9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15.40%</w:t>
            </w:r>
          </w:p>
        </w:tc>
      </w:tr>
      <w:tr w:rsidR="00615FE0" w:rsidRPr="00615FE0" w14:paraId="619D94B0"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095F769F" w14:textId="77777777" w:rsidR="00615FE0" w:rsidRPr="00615FE0" w:rsidRDefault="00615FE0" w:rsidP="00615FE0">
            <w:pPr>
              <w:jc w:val="both"/>
              <w:rPr>
                <w:color w:val="auto"/>
                <w:lang w:eastAsia="en-GB"/>
              </w:rPr>
            </w:pPr>
            <w:r w:rsidRPr="00615FE0">
              <w:rPr>
                <w:color w:val="auto"/>
                <w:lang w:val="en-US" w:eastAsia="en-GB"/>
              </w:rPr>
              <w:t>East England</w:t>
            </w:r>
          </w:p>
        </w:tc>
        <w:tc>
          <w:tcPr>
            <w:tcW w:w="1731" w:type="dxa"/>
            <w:hideMark/>
          </w:tcPr>
          <w:p w14:paraId="2E5662D7"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756,338</w:t>
            </w:r>
          </w:p>
        </w:tc>
        <w:tc>
          <w:tcPr>
            <w:tcW w:w="1732" w:type="dxa"/>
            <w:hideMark/>
          </w:tcPr>
          <w:p w14:paraId="431AAAF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31.20%</w:t>
            </w:r>
          </w:p>
        </w:tc>
        <w:tc>
          <w:tcPr>
            <w:tcW w:w="1732" w:type="dxa"/>
            <w:hideMark/>
          </w:tcPr>
          <w:p w14:paraId="711DD64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976,514</w:t>
            </w:r>
          </w:p>
        </w:tc>
        <w:tc>
          <w:tcPr>
            <w:tcW w:w="1732" w:type="dxa"/>
            <w:hideMark/>
          </w:tcPr>
          <w:p w14:paraId="20B1D74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16.70%</w:t>
            </w:r>
          </w:p>
        </w:tc>
      </w:tr>
      <w:tr w:rsidR="00615FE0" w:rsidRPr="00615FE0" w14:paraId="3444E7DD" w14:textId="77777777" w:rsidTr="0034275C">
        <w:trPr>
          <w:trHeight w:val="300"/>
        </w:trPr>
        <w:tc>
          <w:tcPr>
            <w:cnfStyle w:val="001000000000" w:firstRow="0" w:lastRow="0" w:firstColumn="1" w:lastColumn="0" w:oddVBand="0" w:evenVBand="0" w:oddHBand="0" w:evenHBand="0" w:firstRowFirstColumn="0" w:firstRowLastColumn="0" w:lastRowFirstColumn="0" w:lastRowLastColumn="0"/>
            <w:tcW w:w="1667" w:type="dxa"/>
            <w:hideMark/>
          </w:tcPr>
          <w:p w14:paraId="755E1D78" w14:textId="77777777" w:rsidR="00615FE0" w:rsidRPr="00615FE0" w:rsidRDefault="00615FE0" w:rsidP="00615FE0">
            <w:pPr>
              <w:jc w:val="both"/>
              <w:rPr>
                <w:color w:val="auto"/>
                <w:lang w:eastAsia="en-GB"/>
              </w:rPr>
            </w:pPr>
            <w:r w:rsidRPr="00615FE0">
              <w:rPr>
                <w:color w:val="auto"/>
                <w:lang w:val="en-US" w:eastAsia="en-GB"/>
              </w:rPr>
              <w:t>England</w:t>
            </w:r>
          </w:p>
        </w:tc>
        <w:tc>
          <w:tcPr>
            <w:tcW w:w="1731" w:type="dxa"/>
            <w:hideMark/>
          </w:tcPr>
          <w:p w14:paraId="369D764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7,217,905</w:t>
            </w:r>
          </w:p>
        </w:tc>
        <w:tc>
          <w:tcPr>
            <w:tcW w:w="1732" w:type="dxa"/>
            <w:hideMark/>
          </w:tcPr>
          <w:p w14:paraId="51CEB0F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32.70%</w:t>
            </w:r>
          </w:p>
        </w:tc>
        <w:tc>
          <w:tcPr>
            <w:tcW w:w="1732" w:type="dxa"/>
            <w:hideMark/>
          </w:tcPr>
          <w:p w14:paraId="01670E2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9,352,586</w:t>
            </w:r>
          </w:p>
        </w:tc>
        <w:tc>
          <w:tcPr>
            <w:tcW w:w="1732" w:type="dxa"/>
            <w:hideMark/>
          </w:tcPr>
          <w:p w14:paraId="6995D62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17.60%</w:t>
            </w:r>
          </w:p>
        </w:tc>
      </w:tr>
    </w:tbl>
    <w:p w14:paraId="74238B47" w14:textId="77777777" w:rsidR="00970D21" w:rsidRDefault="00970D21" w:rsidP="0034275C">
      <w:pPr>
        <w:pStyle w:val="11Bodytext"/>
        <w:numPr>
          <w:ilvl w:val="0"/>
          <w:numId w:val="0"/>
        </w:numPr>
        <w:spacing w:before="0"/>
        <w:ind w:left="794"/>
        <w:rPr>
          <w:rFonts w:eastAsia="Times New Roman"/>
          <w:color w:val="auto"/>
        </w:rPr>
      </w:pPr>
      <w:r>
        <w:t>Source: ONS, 2011 Census</w:t>
      </w:r>
      <w:r w:rsidRPr="00D222DD">
        <w:rPr>
          <w:color w:val="auto"/>
        </w:rPr>
        <w:t xml:space="preserve">, </w:t>
      </w:r>
      <w:hyperlink r:id="rId62" w:tooltip="Start a query using this dataset" w:history="1">
        <w:r w:rsidRPr="00D222DD">
          <w:rPr>
            <w:rStyle w:val="Hyperlink"/>
            <w:rFonts w:asciiTheme="minorHAnsi" w:hAnsiTheme="minorHAnsi" w:cstheme="minorHAnsi"/>
            <w:color w:val="auto"/>
            <w:shd w:val="clear" w:color="auto" w:fill="FFFFFF"/>
          </w:rPr>
          <w:t>QS303EW</w:t>
        </w:r>
      </w:hyperlink>
      <w:r w:rsidRPr="00D222DD">
        <w:rPr>
          <w:rFonts w:asciiTheme="minorHAnsi" w:hAnsiTheme="minorHAnsi" w:cstheme="minorHAnsi"/>
          <w:color w:val="auto"/>
        </w:rPr>
        <w:t xml:space="preserve"> and </w:t>
      </w:r>
      <w:hyperlink r:id="rId63" w:tooltip="Start a query using this dataset" w:history="1">
        <w:r w:rsidRPr="00D222DD">
          <w:rPr>
            <w:rStyle w:val="Hyperlink"/>
            <w:rFonts w:asciiTheme="minorHAnsi" w:hAnsiTheme="minorHAnsi" w:cstheme="minorHAnsi"/>
            <w:color w:val="auto"/>
            <w:shd w:val="clear" w:color="auto" w:fill="FFFFFF"/>
          </w:rPr>
          <w:t>DC1301EW</w:t>
        </w:r>
      </w:hyperlink>
    </w:p>
    <w:p w14:paraId="12A31FB4" w14:textId="77777777" w:rsidR="00970D21" w:rsidRDefault="00970D21" w:rsidP="007D0FBF">
      <w:pPr>
        <w:pStyle w:val="11Bodytext"/>
      </w:pPr>
      <w:r>
        <w:t>The figures for the population with an LTHPD show a similar pattern. In particular, an estimated 15% of the population of the study area having an LTHPD against 17% across the region and 18% across the country.</w:t>
      </w:r>
    </w:p>
    <w:p w14:paraId="1703E814" w14:textId="77777777" w:rsidR="00970D21" w:rsidRDefault="00970D21" w:rsidP="007D0FBF">
      <w:pPr>
        <w:pStyle w:val="11Bodytext"/>
      </w:pPr>
      <w:r>
        <w:t>The analysis also shows some differences across the different authorities with Fenland having a notably higher proportion of the population with an LTHPD while Cambridge has the lowest figures.</w:t>
      </w:r>
    </w:p>
    <w:p w14:paraId="0BEAF6C6" w14:textId="77777777" w:rsidR="00970D21" w:rsidRPr="00526C6E" w:rsidRDefault="00970D21" w:rsidP="007D0FBF">
      <w:pPr>
        <w:pStyle w:val="11Bodytext"/>
        <w:rPr>
          <w:b/>
        </w:rPr>
      </w:pPr>
      <w:r>
        <w:t>The age profile will likely impact upon the number of people with an LTHPD. The figure below shows the age bands of people with an LTHPD. It is clear from this analysis that those people in the oldest age bands are more likely to have an LTHPD. The analysis also shows lower levels of LTHPD in each age band within the HMA when compared with both the regional and national positions.</w:t>
      </w:r>
    </w:p>
    <w:p w14:paraId="5009C38D" w14:textId="77777777" w:rsidR="00970D21" w:rsidRDefault="00970D21" w:rsidP="003D5E23">
      <w:pPr>
        <w:pStyle w:val="FigureHeading"/>
      </w:pPr>
      <w:r>
        <w:lastRenderedPageBreak/>
        <w:t>Population with long-term health problem or disability by age</w:t>
      </w:r>
    </w:p>
    <w:p w14:paraId="219FC5DA" w14:textId="77777777" w:rsidR="00970D21" w:rsidRDefault="00970D21" w:rsidP="00970D21">
      <w:pPr>
        <w:pStyle w:val="Bodytextwithindent"/>
        <w:spacing w:before="0" w:after="0" w:line="240" w:lineRule="auto"/>
      </w:pPr>
      <w:r>
        <w:rPr>
          <w:noProof/>
        </w:rPr>
        <w:drawing>
          <wp:inline distT="0" distB="0" distL="0" distR="0" wp14:anchorId="55EEA269" wp14:editId="664ED7F4">
            <wp:extent cx="5623560" cy="2887980"/>
            <wp:effectExtent l="0" t="0" r="0" b="0"/>
            <wp:docPr id="1069" name="Chart 1069" descr="bar chart showing percentage of population with long-term health problem or disability by ag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975F691" w14:textId="77777777" w:rsidR="00970D21" w:rsidRPr="0034275C" w:rsidRDefault="00970D21" w:rsidP="0034275C">
      <w:pPr>
        <w:pStyle w:val="11Bodytext"/>
        <w:numPr>
          <w:ilvl w:val="0"/>
          <w:numId w:val="0"/>
        </w:numPr>
        <w:spacing w:before="0"/>
        <w:ind w:left="794"/>
        <w:rPr>
          <w:color w:val="auto"/>
        </w:rPr>
      </w:pPr>
      <w:r w:rsidRPr="0034275C">
        <w:rPr>
          <w:color w:val="auto"/>
        </w:rPr>
        <w:t>Source: ONS, Census 2011,</w:t>
      </w:r>
      <w:hyperlink r:id="rId65" w:tooltip="Start a query using this dataset" w:history="1">
        <w:r w:rsidRPr="0034275C">
          <w:rPr>
            <w:rStyle w:val="Hyperlink"/>
            <w:rFonts w:ascii="Verdana" w:hAnsi="Verdana"/>
            <w:color w:val="auto"/>
            <w:shd w:val="clear" w:color="auto" w:fill="FFFFFF"/>
          </w:rPr>
          <w:t>DC3201EW</w:t>
        </w:r>
      </w:hyperlink>
    </w:p>
    <w:p w14:paraId="0D80DF43" w14:textId="77777777" w:rsidR="00970D21" w:rsidRPr="00526C6E" w:rsidRDefault="00970D21" w:rsidP="007D0FBF">
      <w:pPr>
        <w:pStyle w:val="11Bodytext"/>
        <w:rPr>
          <w:b/>
        </w:rPr>
      </w:pPr>
      <w:r>
        <w:t>Figure 30 shows the same information for each local authority. This shows some considerable variation across the different authorities with Fenland having much higher levels of people with a LTHPD and notably lower figures in South Cambridgeshire for all age groups.</w:t>
      </w:r>
    </w:p>
    <w:p w14:paraId="2401C4DD" w14:textId="77777777" w:rsidR="00970D21" w:rsidRDefault="00970D21" w:rsidP="003D5E23">
      <w:pPr>
        <w:pStyle w:val="FigureHeading"/>
      </w:pPr>
      <w:r>
        <w:t>Population with long-term health problem or disability by age – local authorities</w:t>
      </w:r>
    </w:p>
    <w:p w14:paraId="72EA1C9C" w14:textId="77777777" w:rsidR="00970D21" w:rsidRDefault="00970D21" w:rsidP="0034275C">
      <w:pPr>
        <w:pStyle w:val="11Bodytext"/>
        <w:keepNext/>
        <w:numPr>
          <w:ilvl w:val="0"/>
          <w:numId w:val="0"/>
        </w:numPr>
        <w:spacing w:before="0" w:after="0"/>
        <w:ind w:left="794"/>
      </w:pPr>
      <w:r>
        <w:rPr>
          <w:noProof/>
        </w:rPr>
        <w:drawing>
          <wp:inline distT="0" distB="0" distL="0" distR="0" wp14:anchorId="35A1741E" wp14:editId="7D4EE4C0">
            <wp:extent cx="5631180" cy="2887980"/>
            <wp:effectExtent l="0" t="0" r="0" b="0"/>
            <wp:docPr id="1072" name="Chart 1072" descr="bar chart showing percentage of population with a long-term health problem or disability by age- local authoriti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A589412" w14:textId="77777777" w:rsidR="00970D21" w:rsidRPr="0034275C" w:rsidRDefault="00970D21" w:rsidP="0034275C">
      <w:pPr>
        <w:pStyle w:val="11Bodytext"/>
        <w:numPr>
          <w:ilvl w:val="0"/>
          <w:numId w:val="0"/>
        </w:numPr>
        <w:spacing w:before="0"/>
        <w:ind w:left="794"/>
        <w:rPr>
          <w:color w:val="auto"/>
        </w:rPr>
      </w:pPr>
      <w:r w:rsidRPr="0034275C">
        <w:rPr>
          <w:color w:val="auto"/>
        </w:rPr>
        <w:t xml:space="preserve">Source: ONS, 2011 Census, </w:t>
      </w:r>
      <w:hyperlink r:id="rId67" w:tooltip="Start a query using this dataset" w:history="1">
        <w:r w:rsidRPr="0034275C">
          <w:rPr>
            <w:rStyle w:val="Hyperlink"/>
            <w:rFonts w:ascii="Verdana" w:hAnsi="Verdana"/>
            <w:color w:val="auto"/>
            <w:shd w:val="clear" w:color="auto" w:fill="FFFFFF"/>
          </w:rPr>
          <w:t>DC3201EW</w:t>
        </w:r>
      </w:hyperlink>
    </w:p>
    <w:p w14:paraId="533532B5" w14:textId="11B1D024" w:rsidR="00970D21" w:rsidRDefault="00970D21" w:rsidP="007D0FBF">
      <w:pPr>
        <w:pStyle w:val="11Bodytext"/>
      </w:pPr>
      <w:r>
        <w:lastRenderedPageBreak/>
        <w:t>The age-specific prevalence rates shown in the previous figure can be applied to the demographic data to estimate an increase by around 49,300 (35% increase) between 2020 and 2040. This represents around 27% of the total increase in the population estimated by the projections (up to 37% in the case of Fenland).</w:t>
      </w:r>
    </w:p>
    <w:p w14:paraId="3AE71E20" w14:textId="1EA36D15" w:rsidR="00970D21" w:rsidRDefault="00970D21" w:rsidP="003D5E23">
      <w:pPr>
        <w:pStyle w:val="Tableheading"/>
        <w:numPr>
          <w:ilvl w:val="0"/>
          <w:numId w:val="54"/>
        </w:numPr>
      </w:pPr>
      <w:r>
        <w:t>Estimated Change in Population with LTHPD, 2020-40 – linking to Standard Method, HMA</w:t>
      </w:r>
    </w:p>
    <w:tbl>
      <w:tblPr>
        <w:tblStyle w:val="TableGridLight1"/>
        <w:tblW w:w="8764" w:type="dxa"/>
        <w:tblInd w:w="562" w:type="dxa"/>
        <w:tblLook w:val="04A0" w:firstRow="1" w:lastRow="0" w:firstColumn="1" w:lastColumn="0" w:noHBand="0" w:noVBand="1"/>
      </w:tblPr>
      <w:tblGrid>
        <w:gridCol w:w="1650"/>
        <w:gridCol w:w="1777"/>
        <w:gridCol w:w="1779"/>
        <w:gridCol w:w="1779"/>
        <w:gridCol w:w="1779"/>
      </w:tblGrid>
      <w:tr w:rsidR="00615FE0" w:rsidRPr="00615FE0" w14:paraId="0BFC119D" w14:textId="77777777" w:rsidTr="0034275C">
        <w:trPr>
          <w:cnfStyle w:val="100000000000" w:firstRow="1" w:lastRow="0" w:firstColumn="0" w:lastColumn="0" w:oddVBand="0" w:evenVBand="0" w:oddHBand="0" w:evenHBand="0" w:firstRowFirstColumn="0" w:firstRowLastColumn="0" w:lastRowFirstColumn="0" w:lastRowLastColumn="0"/>
          <w:cantSplit/>
          <w:trHeight w:val="1492"/>
        </w:trPr>
        <w:tc>
          <w:tcPr>
            <w:cnfStyle w:val="001000000000" w:firstRow="0" w:lastRow="0" w:firstColumn="1" w:lastColumn="0" w:oddVBand="0" w:evenVBand="0" w:oddHBand="0" w:evenHBand="0" w:firstRowFirstColumn="0" w:firstRowLastColumn="0" w:lastRowFirstColumn="0" w:lastRowLastColumn="0"/>
            <w:tcW w:w="1645" w:type="dxa"/>
            <w:hideMark/>
          </w:tcPr>
          <w:p w14:paraId="317B7314" w14:textId="77777777" w:rsidR="00615FE0" w:rsidRPr="00615FE0" w:rsidRDefault="00615FE0" w:rsidP="00615FE0">
            <w:pPr>
              <w:rPr>
                <w:bCs/>
                <w:color w:val="auto"/>
                <w:lang w:eastAsia="en-GB"/>
              </w:rPr>
            </w:pPr>
            <w:r w:rsidRPr="00615FE0">
              <w:rPr>
                <w:bCs/>
                <w:color w:val="auto"/>
                <w:lang w:val="en-US" w:eastAsia="en-GB"/>
              </w:rPr>
              <w:t> </w:t>
            </w:r>
          </w:p>
        </w:tc>
        <w:tc>
          <w:tcPr>
            <w:tcW w:w="1779" w:type="dxa"/>
            <w:textDirection w:val="btLr"/>
            <w:hideMark/>
          </w:tcPr>
          <w:p w14:paraId="67FA8F05"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Population with LTHPD (2020)</w:t>
            </w:r>
          </w:p>
        </w:tc>
        <w:tc>
          <w:tcPr>
            <w:tcW w:w="1780" w:type="dxa"/>
            <w:textDirection w:val="btLr"/>
            <w:hideMark/>
          </w:tcPr>
          <w:p w14:paraId="124D9AF8"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Population with LTHPD (2040)</w:t>
            </w:r>
          </w:p>
        </w:tc>
        <w:tc>
          <w:tcPr>
            <w:tcW w:w="1780" w:type="dxa"/>
            <w:textDirection w:val="btLr"/>
            <w:hideMark/>
          </w:tcPr>
          <w:p w14:paraId="463EE200"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Change</w:t>
            </w:r>
          </w:p>
        </w:tc>
        <w:tc>
          <w:tcPr>
            <w:tcW w:w="1780" w:type="dxa"/>
            <w:textDirection w:val="btLr"/>
            <w:hideMark/>
          </w:tcPr>
          <w:p w14:paraId="757105E5" w14:textId="77777777" w:rsidR="00615FE0" w:rsidRPr="00615FE0" w:rsidRDefault="00615FE0" w:rsidP="0034275C">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 Change</w:t>
            </w:r>
          </w:p>
        </w:tc>
      </w:tr>
      <w:tr w:rsidR="00615FE0" w:rsidRPr="00615FE0" w14:paraId="241B946B"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603C6B68" w14:textId="77777777" w:rsidR="00615FE0" w:rsidRPr="00615FE0" w:rsidRDefault="00615FE0" w:rsidP="00615FE0">
            <w:pPr>
              <w:rPr>
                <w:color w:val="auto"/>
                <w:lang w:eastAsia="en-GB"/>
              </w:rPr>
            </w:pPr>
            <w:r w:rsidRPr="00615FE0">
              <w:rPr>
                <w:color w:val="auto"/>
                <w:lang w:val="en-US" w:eastAsia="en-GB"/>
              </w:rPr>
              <w:t>Cambridge</w:t>
            </w:r>
          </w:p>
        </w:tc>
        <w:tc>
          <w:tcPr>
            <w:tcW w:w="1779" w:type="dxa"/>
            <w:hideMark/>
          </w:tcPr>
          <w:p w14:paraId="08F1578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18,141</w:t>
            </w:r>
          </w:p>
        </w:tc>
        <w:tc>
          <w:tcPr>
            <w:tcW w:w="1780" w:type="dxa"/>
            <w:hideMark/>
          </w:tcPr>
          <w:p w14:paraId="2DB80C0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24,250</w:t>
            </w:r>
          </w:p>
        </w:tc>
        <w:tc>
          <w:tcPr>
            <w:tcW w:w="1780" w:type="dxa"/>
            <w:hideMark/>
          </w:tcPr>
          <w:p w14:paraId="08B2E3B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6,109</w:t>
            </w:r>
          </w:p>
        </w:tc>
        <w:tc>
          <w:tcPr>
            <w:tcW w:w="1780" w:type="dxa"/>
            <w:hideMark/>
          </w:tcPr>
          <w:p w14:paraId="51D644D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33.70%</w:t>
            </w:r>
          </w:p>
        </w:tc>
      </w:tr>
      <w:tr w:rsidR="00615FE0" w:rsidRPr="00615FE0" w14:paraId="2583D6C9"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51199C12" w14:textId="77777777" w:rsidR="00615FE0" w:rsidRPr="00615FE0" w:rsidRDefault="00615FE0" w:rsidP="00615FE0">
            <w:pPr>
              <w:rPr>
                <w:color w:val="auto"/>
                <w:lang w:eastAsia="en-GB"/>
              </w:rPr>
            </w:pPr>
            <w:r w:rsidRPr="00615FE0">
              <w:rPr>
                <w:color w:val="auto"/>
                <w:lang w:val="en-US" w:eastAsia="en-GB"/>
              </w:rPr>
              <w:t>East Cambs</w:t>
            </w:r>
          </w:p>
        </w:tc>
        <w:tc>
          <w:tcPr>
            <w:tcW w:w="1779" w:type="dxa"/>
            <w:hideMark/>
          </w:tcPr>
          <w:p w14:paraId="5E853827"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15,200</w:t>
            </w:r>
          </w:p>
        </w:tc>
        <w:tc>
          <w:tcPr>
            <w:tcW w:w="1780" w:type="dxa"/>
            <w:hideMark/>
          </w:tcPr>
          <w:p w14:paraId="37C8134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21,584</w:t>
            </w:r>
          </w:p>
        </w:tc>
        <w:tc>
          <w:tcPr>
            <w:tcW w:w="1780" w:type="dxa"/>
            <w:hideMark/>
          </w:tcPr>
          <w:p w14:paraId="1199305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6,384</w:t>
            </w:r>
          </w:p>
        </w:tc>
        <w:tc>
          <w:tcPr>
            <w:tcW w:w="1780" w:type="dxa"/>
            <w:hideMark/>
          </w:tcPr>
          <w:p w14:paraId="3CE12CE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42.00%</w:t>
            </w:r>
          </w:p>
        </w:tc>
      </w:tr>
      <w:tr w:rsidR="00615FE0" w:rsidRPr="00615FE0" w14:paraId="70C9729A"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4DD39A16" w14:textId="77777777" w:rsidR="00615FE0" w:rsidRPr="00615FE0" w:rsidRDefault="00615FE0" w:rsidP="00615FE0">
            <w:pPr>
              <w:rPr>
                <w:color w:val="auto"/>
                <w:lang w:eastAsia="en-GB"/>
              </w:rPr>
            </w:pPr>
            <w:r w:rsidRPr="00615FE0">
              <w:rPr>
                <w:color w:val="auto"/>
                <w:lang w:val="en-US" w:eastAsia="en-GB"/>
              </w:rPr>
              <w:t>Fenland</w:t>
            </w:r>
          </w:p>
        </w:tc>
        <w:tc>
          <w:tcPr>
            <w:tcW w:w="1779" w:type="dxa"/>
            <w:hideMark/>
          </w:tcPr>
          <w:p w14:paraId="49CB194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22,751</w:t>
            </w:r>
          </w:p>
        </w:tc>
        <w:tc>
          <w:tcPr>
            <w:tcW w:w="1780" w:type="dxa"/>
            <w:hideMark/>
          </w:tcPr>
          <w:p w14:paraId="0F94B59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29,522</w:t>
            </w:r>
          </w:p>
        </w:tc>
        <w:tc>
          <w:tcPr>
            <w:tcW w:w="1780" w:type="dxa"/>
            <w:hideMark/>
          </w:tcPr>
          <w:p w14:paraId="5707600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6,772</w:t>
            </w:r>
          </w:p>
        </w:tc>
        <w:tc>
          <w:tcPr>
            <w:tcW w:w="1780" w:type="dxa"/>
            <w:hideMark/>
          </w:tcPr>
          <w:p w14:paraId="50FC0E9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29.80%</w:t>
            </w:r>
          </w:p>
        </w:tc>
      </w:tr>
      <w:tr w:rsidR="00615FE0" w:rsidRPr="00615FE0" w14:paraId="44C402E3"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7B3E686A" w14:textId="77777777" w:rsidR="00615FE0" w:rsidRPr="00615FE0" w:rsidRDefault="00615FE0" w:rsidP="00615FE0">
            <w:pPr>
              <w:rPr>
                <w:color w:val="auto"/>
                <w:lang w:eastAsia="en-GB"/>
              </w:rPr>
            </w:pPr>
            <w:r w:rsidRPr="00615FE0">
              <w:rPr>
                <w:color w:val="auto"/>
                <w:lang w:val="en-US" w:eastAsia="en-GB"/>
              </w:rPr>
              <w:t>Huntingdonshire</w:t>
            </w:r>
          </w:p>
        </w:tc>
        <w:tc>
          <w:tcPr>
            <w:tcW w:w="1779" w:type="dxa"/>
            <w:hideMark/>
          </w:tcPr>
          <w:p w14:paraId="2438AF0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29,009</w:t>
            </w:r>
          </w:p>
        </w:tc>
        <w:tc>
          <w:tcPr>
            <w:tcW w:w="1780" w:type="dxa"/>
            <w:hideMark/>
          </w:tcPr>
          <w:p w14:paraId="2DA0925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39,843</w:t>
            </w:r>
          </w:p>
        </w:tc>
        <w:tc>
          <w:tcPr>
            <w:tcW w:w="1780" w:type="dxa"/>
            <w:hideMark/>
          </w:tcPr>
          <w:p w14:paraId="041BD14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10,834</w:t>
            </w:r>
          </w:p>
        </w:tc>
        <w:tc>
          <w:tcPr>
            <w:tcW w:w="1780" w:type="dxa"/>
            <w:hideMark/>
          </w:tcPr>
          <w:p w14:paraId="3A3956C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37.30%</w:t>
            </w:r>
          </w:p>
        </w:tc>
      </w:tr>
      <w:tr w:rsidR="00615FE0" w:rsidRPr="00615FE0" w14:paraId="7D7A0850"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2EAFA771" w14:textId="77777777" w:rsidR="00615FE0" w:rsidRPr="00615FE0" w:rsidRDefault="00615FE0" w:rsidP="00615FE0">
            <w:pPr>
              <w:rPr>
                <w:color w:val="auto"/>
                <w:lang w:eastAsia="en-GB"/>
              </w:rPr>
            </w:pPr>
            <w:r w:rsidRPr="00615FE0">
              <w:rPr>
                <w:color w:val="auto"/>
                <w:lang w:val="en-US" w:eastAsia="en-GB"/>
              </w:rPr>
              <w:t>South Cambs</w:t>
            </w:r>
          </w:p>
        </w:tc>
        <w:tc>
          <w:tcPr>
            <w:tcW w:w="1779" w:type="dxa"/>
            <w:hideMark/>
          </w:tcPr>
          <w:p w14:paraId="23B75FE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24,211</w:t>
            </w:r>
          </w:p>
        </w:tc>
        <w:tc>
          <w:tcPr>
            <w:tcW w:w="1780" w:type="dxa"/>
            <w:hideMark/>
          </w:tcPr>
          <w:p w14:paraId="4CE6460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33,414</w:t>
            </w:r>
          </w:p>
        </w:tc>
        <w:tc>
          <w:tcPr>
            <w:tcW w:w="1780" w:type="dxa"/>
            <w:hideMark/>
          </w:tcPr>
          <w:p w14:paraId="39196E1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9,203</w:t>
            </w:r>
          </w:p>
        </w:tc>
        <w:tc>
          <w:tcPr>
            <w:tcW w:w="1780" w:type="dxa"/>
            <w:hideMark/>
          </w:tcPr>
          <w:p w14:paraId="1FA0F8E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38.00%</w:t>
            </w:r>
          </w:p>
        </w:tc>
      </w:tr>
      <w:tr w:rsidR="00615FE0" w:rsidRPr="00615FE0" w14:paraId="15564216"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4D9DE710" w14:textId="77777777" w:rsidR="00615FE0" w:rsidRPr="00615FE0" w:rsidRDefault="00615FE0" w:rsidP="00615FE0">
            <w:pPr>
              <w:rPr>
                <w:color w:val="auto"/>
                <w:lang w:eastAsia="en-GB"/>
              </w:rPr>
            </w:pPr>
            <w:r w:rsidRPr="00615FE0">
              <w:rPr>
                <w:color w:val="auto"/>
                <w:lang w:val="en-US" w:eastAsia="en-GB"/>
              </w:rPr>
              <w:t>West Suffolk</w:t>
            </w:r>
          </w:p>
        </w:tc>
        <w:tc>
          <w:tcPr>
            <w:tcW w:w="1779" w:type="dxa"/>
            <w:hideMark/>
          </w:tcPr>
          <w:p w14:paraId="3DB6305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31,813</w:t>
            </w:r>
          </w:p>
        </w:tc>
        <w:tc>
          <w:tcPr>
            <w:tcW w:w="1780" w:type="dxa"/>
            <w:hideMark/>
          </w:tcPr>
          <w:p w14:paraId="1169908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41,810</w:t>
            </w:r>
          </w:p>
        </w:tc>
        <w:tc>
          <w:tcPr>
            <w:tcW w:w="1780" w:type="dxa"/>
            <w:hideMark/>
          </w:tcPr>
          <w:p w14:paraId="19D9C4B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9,997</w:t>
            </w:r>
          </w:p>
        </w:tc>
        <w:tc>
          <w:tcPr>
            <w:tcW w:w="1780" w:type="dxa"/>
            <w:hideMark/>
          </w:tcPr>
          <w:p w14:paraId="525B584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31.40%</w:t>
            </w:r>
          </w:p>
        </w:tc>
      </w:tr>
      <w:tr w:rsidR="00615FE0" w:rsidRPr="00615FE0" w14:paraId="6E409AAB" w14:textId="77777777" w:rsidTr="0034275C">
        <w:trPr>
          <w:trHeight w:val="270"/>
        </w:trPr>
        <w:tc>
          <w:tcPr>
            <w:cnfStyle w:val="001000000000" w:firstRow="0" w:lastRow="0" w:firstColumn="1" w:lastColumn="0" w:oddVBand="0" w:evenVBand="0" w:oddHBand="0" w:evenHBand="0" w:firstRowFirstColumn="0" w:firstRowLastColumn="0" w:lastRowFirstColumn="0" w:lastRowLastColumn="0"/>
            <w:tcW w:w="1645" w:type="dxa"/>
            <w:hideMark/>
          </w:tcPr>
          <w:p w14:paraId="2931F280" w14:textId="77777777" w:rsidR="00615FE0" w:rsidRPr="00615FE0" w:rsidRDefault="00615FE0" w:rsidP="00615FE0">
            <w:pPr>
              <w:rPr>
                <w:b/>
                <w:bCs/>
                <w:color w:val="auto"/>
                <w:lang w:eastAsia="en-GB"/>
              </w:rPr>
            </w:pPr>
            <w:r w:rsidRPr="00615FE0">
              <w:rPr>
                <w:b/>
                <w:bCs/>
                <w:color w:val="auto"/>
                <w:lang w:val="en-US" w:eastAsia="en-GB"/>
              </w:rPr>
              <w:t>HMA</w:t>
            </w:r>
          </w:p>
        </w:tc>
        <w:tc>
          <w:tcPr>
            <w:tcW w:w="1779" w:type="dxa"/>
            <w:hideMark/>
          </w:tcPr>
          <w:p w14:paraId="7C30EE4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141,124</w:t>
            </w:r>
          </w:p>
        </w:tc>
        <w:tc>
          <w:tcPr>
            <w:tcW w:w="1780" w:type="dxa"/>
            <w:hideMark/>
          </w:tcPr>
          <w:p w14:paraId="7C328C4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190,422</w:t>
            </w:r>
          </w:p>
        </w:tc>
        <w:tc>
          <w:tcPr>
            <w:tcW w:w="1780" w:type="dxa"/>
            <w:hideMark/>
          </w:tcPr>
          <w:p w14:paraId="3A3BB81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49,298</w:t>
            </w:r>
          </w:p>
        </w:tc>
        <w:tc>
          <w:tcPr>
            <w:tcW w:w="1780" w:type="dxa"/>
            <w:hideMark/>
          </w:tcPr>
          <w:p w14:paraId="2012046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34.90%</w:t>
            </w:r>
          </w:p>
        </w:tc>
      </w:tr>
    </w:tbl>
    <w:p w14:paraId="686E9C12" w14:textId="77777777" w:rsidR="00970D21" w:rsidRPr="0034275C" w:rsidRDefault="00970D21" w:rsidP="00970D21">
      <w:pPr>
        <w:pStyle w:val="BodyText"/>
        <w:tabs>
          <w:tab w:val="clear" w:pos="0"/>
          <w:tab w:val="left" w:pos="720"/>
        </w:tabs>
        <w:spacing w:after="120"/>
        <w:ind w:left="794" w:firstLine="0"/>
        <w:rPr>
          <w:rFonts w:ascii="Arial" w:hAnsi="Arial" w:cs="Arial"/>
          <w:sz w:val="24"/>
          <w:szCs w:val="24"/>
        </w:rPr>
      </w:pPr>
      <w:r w:rsidRPr="0034275C">
        <w:rPr>
          <w:rFonts w:ascii="Arial" w:hAnsi="Arial" w:cs="Arial"/>
          <w:sz w:val="24"/>
          <w:szCs w:val="24"/>
        </w:rPr>
        <w:t>Source: Derived from Demographic Modelling and Census 2011</w:t>
      </w:r>
    </w:p>
    <w:p w14:paraId="7666433D" w14:textId="77777777" w:rsidR="00970D21" w:rsidRPr="00526C6E" w:rsidRDefault="00970D21" w:rsidP="007D0FBF">
      <w:pPr>
        <w:pStyle w:val="11Bodytext"/>
        <w:rPr>
          <w:b/>
        </w:rPr>
      </w:pPr>
      <w:r>
        <w:t xml:space="preserve">The figure below shows the tenures of people with an LTHPD – it should be noted that the data is for 'population living in households' rather than households. The analysis clearly shows that people with an LTHPD are more likely to live in social rented housing or are also more likely to be outright owners with the latter linked to the aging population.  </w:t>
      </w:r>
    </w:p>
    <w:p w14:paraId="4C2E8028" w14:textId="77777777" w:rsidR="00970D21" w:rsidRDefault="00970D21" w:rsidP="003D5E23">
      <w:pPr>
        <w:pStyle w:val="FigureHeading"/>
      </w:pPr>
      <w:r>
        <w:lastRenderedPageBreak/>
        <w:t>Tenure of People with LTHPD vs those without an LTHPD, 2011 – HMA</w:t>
      </w:r>
    </w:p>
    <w:p w14:paraId="2EF76842" w14:textId="77777777" w:rsidR="00970D21" w:rsidRDefault="00970D21" w:rsidP="0034275C">
      <w:pPr>
        <w:pStyle w:val="11Bodytext"/>
        <w:numPr>
          <w:ilvl w:val="0"/>
          <w:numId w:val="0"/>
        </w:numPr>
        <w:spacing w:before="0" w:after="0" w:line="240" w:lineRule="auto"/>
        <w:ind w:left="794"/>
      </w:pPr>
      <w:r>
        <w:rPr>
          <w:noProof/>
        </w:rPr>
        <w:drawing>
          <wp:inline distT="0" distB="0" distL="0" distR="0" wp14:anchorId="5D3078DE" wp14:editId="4EE3663B">
            <wp:extent cx="5631180" cy="2880360"/>
            <wp:effectExtent l="0" t="0" r="0" b="0"/>
            <wp:docPr id="1073" name="Chart 1073" descr="bar chart showing tenure of population with LTHPD vs those without a LTHPD 2011, HM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4676AC4" w14:textId="77777777" w:rsidR="00970D21" w:rsidRPr="0034275C" w:rsidRDefault="00970D21" w:rsidP="00970D21">
      <w:pPr>
        <w:pStyle w:val="BodyText"/>
        <w:tabs>
          <w:tab w:val="clear" w:pos="0"/>
          <w:tab w:val="left" w:pos="720"/>
        </w:tabs>
        <w:spacing w:after="120"/>
        <w:ind w:left="794" w:firstLine="0"/>
        <w:rPr>
          <w:rFonts w:ascii="Arial" w:hAnsi="Arial" w:cs="Arial"/>
          <w:sz w:val="24"/>
          <w:szCs w:val="24"/>
        </w:rPr>
      </w:pPr>
      <w:r w:rsidRPr="0034275C">
        <w:rPr>
          <w:rFonts w:ascii="Arial" w:hAnsi="Arial" w:cs="Arial"/>
          <w:sz w:val="24"/>
          <w:szCs w:val="24"/>
        </w:rPr>
        <w:t xml:space="preserve">Source: ONS, 2011 Census, </w:t>
      </w:r>
      <w:hyperlink r:id="rId69" w:tooltip="Start a query using this dataset" w:history="1">
        <w:r w:rsidRPr="0034275C">
          <w:rPr>
            <w:rStyle w:val="Hyperlink"/>
            <w:rFonts w:ascii="Verdana" w:eastAsiaTheme="majorEastAsia" w:hAnsi="Verdana"/>
            <w:color w:val="auto"/>
            <w:sz w:val="24"/>
            <w:szCs w:val="24"/>
            <w:shd w:val="clear" w:color="auto" w:fill="FFFFFF"/>
          </w:rPr>
          <w:t>DC3408EW</w:t>
        </w:r>
      </w:hyperlink>
    </w:p>
    <w:p w14:paraId="6E77C348" w14:textId="77777777" w:rsidR="00970D21" w:rsidRPr="00526C6E" w:rsidRDefault="00970D21" w:rsidP="007D0FBF">
      <w:pPr>
        <w:pStyle w:val="11Bodytext"/>
        <w:rPr>
          <w:b/>
        </w:rPr>
      </w:pPr>
      <w:r>
        <w:t>The table below shows further information about the tenure split of the household population with an LTHPD at the local authority level. This shows that people living in the social rented sector</w:t>
      </w:r>
      <w:r>
        <w:rPr>
          <w:rStyle w:val="FootnoteReference"/>
        </w:rPr>
        <w:footnoteReference w:id="42"/>
      </w:r>
      <w:r>
        <w:t xml:space="preserve"> are around twice as likely to have an LTHPD than those in other tenures.</w:t>
      </w:r>
    </w:p>
    <w:p w14:paraId="038B9872" w14:textId="77777777" w:rsidR="00970D21" w:rsidRDefault="00970D21" w:rsidP="003D5E23">
      <w:pPr>
        <w:pStyle w:val="Tableheading"/>
        <w:numPr>
          <w:ilvl w:val="0"/>
          <w:numId w:val="54"/>
        </w:numPr>
      </w:pPr>
      <w:r>
        <w:t>Tenure of People with an LTHPD</w:t>
      </w:r>
    </w:p>
    <w:tbl>
      <w:tblPr>
        <w:tblStyle w:val="TableGridLight1"/>
        <w:tblW w:w="8528" w:type="dxa"/>
        <w:tblInd w:w="794" w:type="dxa"/>
        <w:tblLook w:val="04A0" w:firstRow="1" w:lastRow="0" w:firstColumn="1" w:lastColumn="0" w:noHBand="0" w:noVBand="1"/>
      </w:tblPr>
      <w:tblGrid>
        <w:gridCol w:w="2351"/>
        <w:gridCol w:w="3088"/>
        <w:gridCol w:w="3089"/>
      </w:tblGrid>
      <w:tr w:rsidR="003A75AB" w:rsidRPr="003A75AB" w14:paraId="17FAF1E6" w14:textId="77777777" w:rsidTr="004F4B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351" w:type="dxa"/>
          </w:tcPr>
          <w:p w14:paraId="1D64077C" w14:textId="77777777" w:rsidR="00970D21" w:rsidRPr="004F4BA7" w:rsidRDefault="00970D21" w:rsidP="003D5E23">
            <w:pPr>
              <w:pStyle w:val="Tableheading"/>
              <w:numPr>
                <w:ilvl w:val="0"/>
                <w:numId w:val="0"/>
              </w:numPr>
              <w:ind w:left="794"/>
              <w:rPr>
                <w:lang w:val="en-US"/>
              </w:rPr>
            </w:pPr>
          </w:p>
        </w:tc>
        <w:tc>
          <w:tcPr>
            <w:tcW w:w="3088" w:type="dxa"/>
            <w:hideMark/>
          </w:tcPr>
          <w:p w14:paraId="217FF11F" w14:textId="77777777" w:rsidR="00970D21" w:rsidRPr="004F4BA7" w:rsidRDefault="00970D21" w:rsidP="00970D21">
            <w:pPr>
              <w:pStyle w:val="BodyText"/>
              <w:keepNext/>
              <w:tabs>
                <w:tab w:val="clear" w:pos="0"/>
                <w:tab w:val="left" w:pos="720"/>
              </w:tabs>
              <w:spacing w:after="0" w:line="300" w:lineRule="auto"/>
              <w:ind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bCs/>
                <w:lang w:val="en-US"/>
              </w:rPr>
              <w:t>% of Social Rent with LTHPD</w:t>
            </w:r>
          </w:p>
        </w:tc>
        <w:tc>
          <w:tcPr>
            <w:tcW w:w="3089" w:type="dxa"/>
            <w:hideMark/>
          </w:tcPr>
          <w:p w14:paraId="4451FA45" w14:textId="77777777" w:rsidR="00970D21" w:rsidRPr="004F4BA7" w:rsidRDefault="00970D21" w:rsidP="00970D21">
            <w:pPr>
              <w:pStyle w:val="BodyText"/>
              <w:keepNext/>
              <w:tabs>
                <w:tab w:val="clear" w:pos="0"/>
                <w:tab w:val="left" w:pos="720"/>
              </w:tabs>
              <w:spacing w:after="0" w:line="300" w:lineRule="auto"/>
              <w:ind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bCs/>
                <w:lang w:val="en-US"/>
              </w:rPr>
              <w:t>% of other tenures with LTHPD</w:t>
            </w:r>
          </w:p>
        </w:tc>
      </w:tr>
      <w:tr w:rsidR="003A75AB" w:rsidRPr="003A75AB" w14:paraId="62CE0D57" w14:textId="77777777" w:rsidTr="004F4BA7">
        <w:trPr>
          <w:trHeight w:val="37"/>
        </w:trPr>
        <w:tc>
          <w:tcPr>
            <w:cnfStyle w:val="001000000000" w:firstRow="0" w:lastRow="0" w:firstColumn="1" w:lastColumn="0" w:oddVBand="0" w:evenVBand="0" w:oddHBand="0" w:evenHBand="0" w:firstRowFirstColumn="0" w:firstRowLastColumn="0" w:lastRowFirstColumn="0" w:lastRowLastColumn="0"/>
            <w:tcW w:w="2351" w:type="dxa"/>
            <w:hideMark/>
          </w:tcPr>
          <w:p w14:paraId="111ECD50"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lang w:val="en-US"/>
              </w:rPr>
            </w:pPr>
            <w:r w:rsidRPr="004F4BA7">
              <w:rPr>
                <w:rFonts w:ascii="Arial Narrow" w:hAnsi="Arial Narrow" w:cs="Arial"/>
                <w:bCs/>
                <w:lang w:val="en-US"/>
              </w:rPr>
              <w:t>Cambridge</w:t>
            </w:r>
          </w:p>
        </w:tc>
        <w:tc>
          <w:tcPr>
            <w:tcW w:w="3088" w:type="dxa"/>
            <w:hideMark/>
          </w:tcPr>
          <w:p w14:paraId="65B737D9"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24.3%</w:t>
            </w:r>
          </w:p>
        </w:tc>
        <w:tc>
          <w:tcPr>
            <w:tcW w:w="3089" w:type="dxa"/>
            <w:hideMark/>
          </w:tcPr>
          <w:p w14:paraId="40E66C1B"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10.7%</w:t>
            </w:r>
          </w:p>
        </w:tc>
      </w:tr>
      <w:tr w:rsidR="003A75AB" w:rsidRPr="003A75AB" w14:paraId="4DA39439" w14:textId="77777777" w:rsidTr="004F4BA7">
        <w:trPr>
          <w:trHeight w:val="228"/>
        </w:trPr>
        <w:tc>
          <w:tcPr>
            <w:cnfStyle w:val="001000000000" w:firstRow="0" w:lastRow="0" w:firstColumn="1" w:lastColumn="0" w:oddVBand="0" w:evenVBand="0" w:oddHBand="0" w:evenHBand="0" w:firstRowFirstColumn="0" w:firstRowLastColumn="0" w:lastRowFirstColumn="0" w:lastRowLastColumn="0"/>
            <w:tcW w:w="2351" w:type="dxa"/>
            <w:hideMark/>
          </w:tcPr>
          <w:p w14:paraId="15E2B207"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lang w:val="en-US"/>
              </w:rPr>
            </w:pPr>
            <w:r w:rsidRPr="004F4BA7">
              <w:rPr>
                <w:rFonts w:ascii="Arial Narrow" w:hAnsi="Arial Narrow" w:cs="Arial"/>
                <w:bCs/>
                <w:lang w:val="en-US"/>
              </w:rPr>
              <w:t>East Cambs</w:t>
            </w:r>
          </w:p>
        </w:tc>
        <w:tc>
          <w:tcPr>
            <w:tcW w:w="3088" w:type="dxa"/>
            <w:hideMark/>
          </w:tcPr>
          <w:p w14:paraId="34D46DD7"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26.6%</w:t>
            </w:r>
          </w:p>
        </w:tc>
        <w:tc>
          <w:tcPr>
            <w:tcW w:w="3089" w:type="dxa"/>
            <w:hideMark/>
          </w:tcPr>
          <w:p w14:paraId="5486ACE4"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13.1%</w:t>
            </w:r>
          </w:p>
        </w:tc>
      </w:tr>
      <w:tr w:rsidR="003A75AB" w:rsidRPr="003A75AB" w14:paraId="0070BA9E" w14:textId="77777777" w:rsidTr="004F4BA7">
        <w:trPr>
          <w:trHeight w:val="228"/>
        </w:trPr>
        <w:tc>
          <w:tcPr>
            <w:cnfStyle w:val="001000000000" w:firstRow="0" w:lastRow="0" w:firstColumn="1" w:lastColumn="0" w:oddVBand="0" w:evenVBand="0" w:oddHBand="0" w:evenHBand="0" w:firstRowFirstColumn="0" w:firstRowLastColumn="0" w:lastRowFirstColumn="0" w:lastRowLastColumn="0"/>
            <w:tcW w:w="2351" w:type="dxa"/>
            <w:hideMark/>
          </w:tcPr>
          <w:p w14:paraId="177A300B"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lang w:val="en-US"/>
              </w:rPr>
            </w:pPr>
            <w:r w:rsidRPr="004F4BA7">
              <w:rPr>
                <w:rFonts w:ascii="Arial Narrow" w:hAnsi="Arial Narrow" w:cs="Arial"/>
                <w:bCs/>
                <w:lang w:val="en-US"/>
              </w:rPr>
              <w:t>Fenland</w:t>
            </w:r>
          </w:p>
        </w:tc>
        <w:tc>
          <w:tcPr>
            <w:tcW w:w="3088" w:type="dxa"/>
            <w:hideMark/>
          </w:tcPr>
          <w:p w14:paraId="4591C799"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32.5%</w:t>
            </w:r>
          </w:p>
        </w:tc>
        <w:tc>
          <w:tcPr>
            <w:tcW w:w="3089" w:type="dxa"/>
            <w:hideMark/>
          </w:tcPr>
          <w:p w14:paraId="04A31BDE"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18.8%</w:t>
            </w:r>
          </w:p>
        </w:tc>
      </w:tr>
      <w:tr w:rsidR="003A75AB" w:rsidRPr="003A75AB" w14:paraId="7F52ED48" w14:textId="77777777" w:rsidTr="004F4BA7">
        <w:trPr>
          <w:trHeight w:val="228"/>
        </w:trPr>
        <w:tc>
          <w:tcPr>
            <w:cnfStyle w:val="001000000000" w:firstRow="0" w:lastRow="0" w:firstColumn="1" w:lastColumn="0" w:oddVBand="0" w:evenVBand="0" w:oddHBand="0" w:evenHBand="0" w:firstRowFirstColumn="0" w:firstRowLastColumn="0" w:lastRowFirstColumn="0" w:lastRowLastColumn="0"/>
            <w:tcW w:w="2351" w:type="dxa"/>
            <w:hideMark/>
          </w:tcPr>
          <w:p w14:paraId="7FB3DDE4"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lang w:val="en-US"/>
              </w:rPr>
            </w:pPr>
            <w:r w:rsidRPr="004F4BA7">
              <w:rPr>
                <w:rFonts w:ascii="Arial Narrow" w:hAnsi="Arial Narrow" w:cs="Arial"/>
                <w:lang w:val="en-US"/>
              </w:rPr>
              <w:t>Huntingdonshire</w:t>
            </w:r>
          </w:p>
        </w:tc>
        <w:tc>
          <w:tcPr>
            <w:tcW w:w="3088" w:type="dxa"/>
            <w:hideMark/>
          </w:tcPr>
          <w:p w14:paraId="32547143"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23.7%</w:t>
            </w:r>
          </w:p>
        </w:tc>
        <w:tc>
          <w:tcPr>
            <w:tcW w:w="3089" w:type="dxa"/>
            <w:hideMark/>
          </w:tcPr>
          <w:p w14:paraId="6C89D8E6"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13.5%</w:t>
            </w:r>
          </w:p>
        </w:tc>
      </w:tr>
      <w:tr w:rsidR="003A75AB" w:rsidRPr="003A75AB" w14:paraId="14E4615A" w14:textId="77777777" w:rsidTr="004F4BA7">
        <w:trPr>
          <w:trHeight w:val="220"/>
        </w:trPr>
        <w:tc>
          <w:tcPr>
            <w:cnfStyle w:val="001000000000" w:firstRow="0" w:lastRow="0" w:firstColumn="1" w:lastColumn="0" w:oddVBand="0" w:evenVBand="0" w:oddHBand="0" w:evenHBand="0" w:firstRowFirstColumn="0" w:firstRowLastColumn="0" w:lastRowFirstColumn="0" w:lastRowLastColumn="0"/>
            <w:tcW w:w="2351" w:type="dxa"/>
            <w:hideMark/>
          </w:tcPr>
          <w:p w14:paraId="2B65DB91"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lang w:val="en-US"/>
              </w:rPr>
            </w:pPr>
            <w:r w:rsidRPr="004F4BA7">
              <w:rPr>
                <w:rFonts w:ascii="Arial Narrow" w:hAnsi="Arial Narrow" w:cs="Arial"/>
                <w:bCs/>
                <w:lang w:val="en-US"/>
              </w:rPr>
              <w:t>South Cambs</w:t>
            </w:r>
          </w:p>
        </w:tc>
        <w:tc>
          <w:tcPr>
            <w:tcW w:w="3088" w:type="dxa"/>
            <w:hideMark/>
          </w:tcPr>
          <w:p w14:paraId="7DA51F9D"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26.2%</w:t>
            </w:r>
          </w:p>
        </w:tc>
        <w:tc>
          <w:tcPr>
            <w:tcW w:w="3089" w:type="dxa"/>
            <w:hideMark/>
          </w:tcPr>
          <w:p w14:paraId="42BAD75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12.9%</w:t>
            </w:r>
          </w:p>
        </w:tc>
      </w:tr>
      <w:tr w:rsidR="003A75AB" w:rsidRPr="003A75AB" w14:paraId="4E6D66D8" w14:textId="77777777" w:rsidTr="004F4BA7">
        <w:trPr>
          <w:trHeight w:val="228"/>
        </w:trPr>
        <w:tc>
          <w:tcPr>
            <w:cnfStyle w:val="001000000000" w:firstRow="0" w:lastRow="0" w:firstColumn="1" w:lastColumn="0" w:oddVBand="0" w:evenVBand="0" w:oddHBand="0" w:evenHBand="0" w:firstRowFirstColumn="0" w:firstRowLastColumn="0" w:lastRowFirstColumn="0" w:lastRowLastColumn="0"/>
            <w:tcW w:w="2351" w:type="dxa"/>
            <w:hideMark/>
          </w:tcPr>
          <w:p w14:paraId="18778261"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Cs/>
                <w:lang w:val="en-US"/>
              </w:rPr>
            </w:pPr>
            <w:r w:rsidRPr="004F4BA7">
              <w:rPr>
                <w:rFonts w:ascii="Arial Narrow" w:hAnsi="Arial Narrow" w:cs="Arial"/>
                <w:bCs/>
                <w:lang w:val="en-US"/>
              </w:rPr>
              <w:t>West Suffolk</w:t>
            </w:r>
          </w:p>
        </w:tc>
        <w:tc>
          <w:tcPr>
            <w:tcW w:w="3088" w:type="dxa"/>
            <w:hideMark/>
          </w:tcPr>
          <w:p w14:paraId="3BD17E0F"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25.1%</w:t>
            </w:r>
          </w:p>
        </w:tc>
        <w:tc>
          <w:tcPr>
            <w:tcW w:w="3089" w:type="dxa"/>
            <w:hideMark/>
          </w:tcPr>
          <w:p w14:paraId="6EDDCF7A"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US"/>
              </w:rPr>
            </w:pPr>
            <w:r w:rsidRPr="004F4BA7">
              <w:rPr>
                <w:rFonts w:ascii="Arial Narrow" w:hAnsi="Arial Narrow" w:cs="Arial"/>
                <w:lang w:val="en-US"/>
              </w:rPr>
              <w:t>11.8%</w:t>
            </w:r>
          </w:p>
        </w:tc>
      </w:tr>
      <w:tr w:rsidR="003A75AB" w:rsidRPr="003A75AB" w14:paraId="560D2F75" w14:textId="77777777" w:rsidTr="004F4BA7">
        <w:trPr>
          <w:trHeight w:val="228"/>
        </w:trPr>
        <w:tc>
          <w:tcPr>
            <w:cnfStyle w:val="001000000000" w:firstRow="0" w:lastRow="0" w:firstColumn="1" w:lastColumn="0" w:oddVBand="0" w:evenVBand="0" w:oddHBand="0" w:evenHBand="0" w:firstRowFirstColumn="0" w:firstRowLastColumn="0" w:lastRowFirstColumn="0" w:lastRowLastColumn="0"/>
            <w:tcW w:w="2351" w:type="dxa"/>
            <w:hideMark/>
          </w:tcPr>
          <w:p w14:paraId="560F391F" w14:textId="77777777" w:rsidR="00970D21" w:rsidRPr="004F4BA7" w:rsidRDefault="00970D21" w:rsidP="00970D21">
            <w:pPr>
              <w:pStyle w:val="BodyText"/>
              <w:keepNext/>
              <w:tabs>
                <w:tab w:val="clear" w:pos="0"/>
                <w:tab w:val="left" w:pos="720"/>
              </w:tabs>
              <w:spacing w:after="0" w:line="300" w:lineRule="auto"/>
              <w:ind w:firstLine="0"/>
              <w:jc w:val="left"/>
              <w:rPr>
                <w:rFonts w:ascii="Arial Narrow" w:hAnsi="Arial Narrow" w:cs="Arial"/>
                <w:b/>
                <w:lang w:val="en-US"/>
              </w:rPr>
            </w:pPr>
            <w:r w:rsidRPr="004F4BA7">
              <w:rPr>
                <w:rFonts w:ascii="Arial Narrow" w:hAnsi="Arial Narrow" w:cs="Arial"/>
                <w:b/>
                <w:lang w:val="en-US"/>
              </w:rPr>
              <w:t>HMA</w:t>
            </w:r>
          </w:p>
        </w:tc>
        <w:tc>
          <w:tcPr>
            <w:tcW w:w="3088" w:type="dxa"/>
            <w:hideMark/>
          </w:tcPr>
          <w:p w14:paraId="210F2D22"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val="en-US"/>
              </w:rPr>
            </w:pPr>
            <w:r w:rsidRPr="004F4BA7">
              <w:rPr>
                <w:rFonts w:ascii="Arial Narrow" w:hAnsi="Arial Narrow" w:cs="Arial"/>
                <w:b/>
                <w:lang w:val="en-US"/>
              </w:rPr>
              <w:t>25.2%</w:t>
            </w:r>
          </w:p>
        </w:tc>
        <w:tc>
          <w:tcPr>
            <w:tcW w:w="3089" w:type="dxa"/>
            <w:hideMark/>
          </w:tcPr>
          <w:p w14:paraId="5E434725" w14:textId="77777777" w:rsidR="00970D21" w:rsidRPr="004F4BA7" w:rsidRDefault="00970D21" w:rsidP="00970D21">
            <w:pPr>
              <w:pStyle w:val="BodyText"/>
              <w:keepNext/>
              <w:tabs>
                <w:tab w:val="clear" w:pos="0"/>
                <w:tab w:val="left" w:pos="720"/>
              </w:tabs>
              <w:spacing w:after="0" w:line="300" w:lineRule="auto"/>
              <w:ind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lang w:val="en-US"/>
              </w:rPr>
            </w:pPr>
            <w:r w:rsidRPr="004F4BA7">
              <w:rPr>
                <w:rFonts w:ascii="Arial Narrow" w:hAnsi="Arial Narrow" w:cs="Arial"/>
                <w:b/>
                <w:lang w:val="en-US"/>
              </w:rPr>
              <w:t>14.2%</w:t>
            </w:r>
          </w:p>
        </w:tc>
      </w:tr>
    </w:tbl>
    <w:p w14:paraId="52E26D40" w14:textId="77777777" w:rsidR="00970D21" w:rsidRPr="0034275C" w:rsidRDefault="00970D21" w:rsidP="00970D21">
      <w:pPr>
        <w:pStyle w:val="BodyText"/>
        <w:tabs>
          <w:tab w:val="clear" w:pos="0"/>
          <w:tab w:val="left" w:pos="720"/>
        </w:tabs>
        <w:spacing w:after="120"/>
        <w:ind w:left="794" w:firstLine="0"/>
        <w:rPr>
          <w:rFonts w:ascii="Arial" w:hAnsi="Arial" w:cs="Arial"/>
          <w:sz w:val="24"/>
          <w:szCs w:val="24"/>
        </w:rPr>
      </w:pPr>
      <w:r w:rsidRPr="0034275C">
        <w:rPr>
          <w:rFonts w:ascii="Arial" w:hAnsi="Arial" w:cs="Arial"/>
          <w:sz w:val="24"/>
          <w:szCs w:val="24"/>
        </w:rPr>
        <w:t xml:space="preserve">Source: 2011 Census, </w:t>
      </w:r>
      <w:hyperlink r:id="rId70" w:tooltip="Start a query using this dataset" w:history="1">
        <w:r w:rsidRPr="0034275C">
          <w:rPr>
            <w:rStyle w:val="Hyperlink"/>
            <w:rFonts w:ascii="Verdana" w:eastAsiaTheme="majorEastAsia" w:hAnsi="Verdana"/>
            <w:color w:val="auto"/>
            <w:sz w:val="24"/>
            <w:szCs w:val="24"/>
            <w:shd w:val="clear" w:color="auto" w:fill="FFFFFF"/>
          </w:rPr>
          <w:t>DC3408EW</w:t>
        </w:r>
      </w:hyperlink>
    </w:p>
    <w:p w14:paraId="5386109B" w14:textId="77777777" w:rsidR="00970D21" w:rsidRDefault="00970D21" w:rsidP="007D0FBF">
      <w:pPr>
        <w:pStyle w:val="11Bodytext"/>
      </w:pPr>
      <w:r>
        <w:t xml:space="preserve">Fenland has the highest percentage of the population with an LTHPD living in both Social Rent accommodation as well as all other tenures. However, the difference </w:t>
      </w:r>
      <w:r>
        <w:lastRenderedPageBreak/>
        <w:t xml:space="preserve">in Cambridge is more marked with those with an LTHPD more than twice as likely (127%) to be in the social rent sector, whereas in Fenland the difference is only around 72% higher. </w:t>
      </w:r>
    </w:p>
    <w:p w14:paraId="5937FAC6" w14:textId="77777777" w:rsidR="00970D21" w:rsidRDefault="00970D21" w:rsidP="007D0FBF">
      <w:pPr>
        <w:pStyle w:val="Heading2"/>
      </w:pPr>
      <w:r>
        <w:t>Health-Related Population Projections</w:t>
      </w:r>
    </w:p>
    <w:p w14:paraId="539C706B" w14:textId="77777777" w:rsidR="00970D21" w:rsidRDefault="00970D21" w:rsidP="007D0FBF">
      <w:pPr>
        <w:pStyle w:val="11Bodytext"/>
      </w:pPr>
      <w:r>
        <w:t xml:space="preserve">The incidence of a range of health conditions is an important component in understanding the potential need for care or support for a growing older population as well as the need for new build accommodation to be built to different building standards. </w:t>
      </w:r>
    </w:p>
    <w:p w14:paraId="3391A7B1" w14:textId="77777777" w:rsidR="00970D21" w:rsidRDefault="00970D21" w:rsidP="007D0FBF">
      <w:pPr>
        <w:pStyle w:val="11Bodytext"/>
      </w:pPr>
      <w:r w:rsidRPr="0034275C">
        <w:rPr>
          <w:color w:val="auto"/>
        </w:rPr>
        <w:t xml:space="preserve">The analysis undertaken covers both younger and older age groups and draws on prevalence rates from the </w:t>
      </w:r>
      <w:hyperlink r:id="rId71" w:history="1">
        <w:r w:rsidRPr="0034275C">
          <w:rPr>
            <w:rStyle w:val="Hyperlink"/>
            <w:color w:val="auto"/>
          </w:rPr>
          <w:t>PANSI</w:t>
        </w:r>
      </w:hyperlink>
      <w:r w:rsidRPr="0034275C">
        <w:rPr>
          <w:color w:val="auto"/>
        </w:rPr>
        <w:t xml:space="preserve"> (</w:t>
      </w:r>
      <w:r w:rsidRPr="0034275C">
        <w:rPr>
          <w:color w:val="auto"/>
          <w:shd w:val="clear" w:color="auto" w:fill="FFFFFF"/>
        </w:rPr>
        <w:t xml:space="preserve">Projecting Adult Needs and Service Information) and </w:t>
      </w:r>
      <w:hyperlink r:id="rId72" w:history="1">
        <w:r w:rsidRPr="0034275C">
          <w:rPr>
            <w:rStyle w:val="Hyperlink"/>
            <w:color w:val="auto"/>
            <w:shd w:val="clear" w:color="auto" w:fill="FFFFFF"/>
          </w:rPr>
          <w:t>POPPI</w:t>
        </w:r>
      </w:hyperlink>
      <w:r w:rsidRPr="0034275C">
        <w:rPr>
          <w:color w:val="auto"/>
          <w:shd w:val="clear" w:color="auto" w:fill="FFFFFF"/>
        </w:rPr>
        <w:t xml:space="preserve"> (Projecting Older People </w:t>
      </w:r>
      <w:r w:rsidRPr="00526C6E">
        <w:rPr>
          <w:shd w:val="clear" w:color="auto" w:fill="FFFFFF"/>
        </w:rPr>
        <w:t>Population Information) websites. In all cases, the analysis links to estimates of population growth based on standard method housing need estimates.</w:t>
      </w:r>
    </w:p>
    <w:p w14:paraId="75DAFD93" w14:textId="77777777" w:rsidR="00970D21" w:rsidRPr="00477FF3" w:rsidRDefault="00970D21" w:rsidP="007D0FBF">
      <w:pPr>
        <w:pStyle w:val="11Bodytext"/>
      </w:pPr>
      <w:r w:rsidRPr="00526C6E">
        <w:rPr>
          <w:shd w:val="clear" w:color="auto" w:fill="FFFFFF"/>
        </w:rPr>
        <w:t>Of particular importance are the large</w:t>
      </w:r>
      <w:r>
        <w:t xml:space="preserve"> projected</w:t>
      </w:r>
      <w:r w:rsidRPr="00526C6E">
        <w:rPr>
          <w:shd w:val="clear" w:color="auto" w:fill="FFFFFF"/>
        </w:rPr>
        <w:t xml:space="preserve"> increases in the number of older people with dementia (increasing by 76% from 2020 to 2040) and mobility problems (66% increase over the same period). </w:t>
      </w:r>
    </w:p>
    <w:p w14:paraId="6D3EED28" w14:textId="77777777" w:rsidR="00970D21" w:rsidRPr="00477FF3" w:rsidRDefault="00970D21" w:rsidP="007D0FBF">
      <w:pPr>
        <w:pStyle w:val="11Bodytext"/>
      </w:pPr>
      <w:r>
        <w:t>Mobility problems relate to an inability to manage at least one mobility activity (going out of doors and walking down the road; getting up and down stairs; getting around the house on the level; getting to the toilet; and getting in and out of bed) while impaired mobility relates to a conditions such as visual or hearing issues which will impair mobility</w:t>
      </w:r>
    </w:p>
    <w:p w14:paraId="221D0202" w14:textId="77777777" w:rsidR="00970D21" w:rsidRDefault="00970D21" w:rsidP="007D0FBF">
      <w:pPr>
        <w:pStyle w:val="11Bodytext"/>
      </w:pPr>
      <w:r w:rsidRPr="00526C6E">
        <w:rPr>
          <w:shd w:val="clear" w:color="auto" w:fill="FFFFFF"/>
        </w:rPr>
        <w:t>Changes for younger age groups are smaller, reflecting the fact that projections are expecting older age groups to see the greatest proportional increases in population.</w:t>
      </w:r>
      <w:r>
        <w:t xml:space="preserve"> When related to the total projected change to the population, the increase of 19,150 people with a mobility problem represents 11% of the total projected population growth.</w:t>
      </w:r>
    </w:p>
    <w:p w14:paraId="4DE2BE8C" w14:textId="77777777" w:rsidR="00970D21" w:rsidRDefault="00970D21" w:rsidP="007D0FBF">
      <w:pPr>
        <w:pStyle w:val="11Bodytext"/>
      </w:pPr>
      <w:r>
        <w:lastRenderedPageBreak/>
        <w:t>It should be noted that there will be an overlap between categories (</w:t>
      </w:r>
      <w:proofErr w:type="gramStart"/>
      <w:r>
        <w:t>i.e.</w:t>
      </w:r>
      <w:proofErr w:type="gramEnd"/>
      <w:r>
        <w:t xml:space="preserve"> some people will have both dementia and mobility problems). Hence the numbers for each of the illnesses/disabilities should not be added together to arrive at a total.</w:t>
      </w:r>
    </w:p>
    <w:p w14:paraId="0EB4E711" w14:textId="5490D19D" w:rsidR="00970D21" w:rsidRDefault="00970D21" w:rsidP="003D5E23">
      <w:pPr>
        <w:pStyle w:val="Tableheading"/>
        <w:numPr>
          <w:ilvl w:val="0"/>
          <w:numId w:val="54"/>
        </w:numPr>
      </w:pPr>
      <w:r>
        <w:t>Projected Changes to HMA Population with a Range of Disabilities</w:t>
      </w:r>
    </w:p>
    <w:tbl>
      <w:tblPr>
        <w:tblStyle w:val="TableGridLight1"/>
        <w:tblW w:w="8690" w:type="dxa"/>
        <w:tblInd w:w="704" w:type="dxa"/>
        <w:tblLayout w:type="fixed"/>
        <w:tblLook w:val="04A0" w:firstRow="1" w:lastRow="0" w:firstColumn="1" w:lastColumn="0" w:noHBand="0" w:noVBand="1"/>
      </w:tblPr>
      <w:tblGrid>
        <w:gridCol w:w="4239"/>
        <w:gridCol w:w="890"/>
        <w:gridCol w:w="890"/>
        <w:gridCol w:w="890"/>
        <w:gridCol w:w="890"/>
        <w:gridCol w:w="891"/>
      </w:tblGrid>
      <w:tr w:rsidR="000519C1" w:rsidRPr="00615FE0" w14:paraId="55D71318" w14:textId="77777777" w:rsidTr="000519C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4294AC32" w14:textId="77777777" w:rsidR="00615FE0" w:rsidRPr="00615FE0" w:rsidRDefault="00615FE0" w:rsidP="00615FE0">
            <w:pPr>
              <w:rPr>
                <w:color w:val="auto"/>
                <w:lang w:eastAsia="en-GB"/>
              </w:rPr>
            </w:pPr>
            <w:r w:rsidRPr="00615FE0">
              <w:rPr>
                <w:color w:val="auto"/>
                <w:lang w:eastAsia="en-GB"/>
              </w:rPr>
              <w:t> </w:t>
            </w:r>
          </w:p>
        </w:tc>
        <w:tc>
          <w:tcPr>
            <w:tcW w:w="890" w:type="dxa"/>
            <w:hideMark/>
          </w:tcPr>
          <w:p w14:paraId="5C9ECA43"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Age Range</w:t>
            </w:r>
          </w:p>
        </w:tc>
        <w:tc>
          <w:tcPr>
            <w:tcW w:w="890" w:type="dxa"/>
            <w:hideMark/>
          </w:tcPr>
          <w:p w14:paraId="52C24CD9"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2020</w:t>
            </w:r>
          </w:p>
        </w:tc>
        <w:tc>
          <w:tcPr>
            <w:tcW w:w="890" w:type="dxa"/>
            <w:hideMark/>
          </w:tcPr>
          <w:p w14:paraId="030AF8E0"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2040</w:t>
            </w:r>
          </w:p>
        </w:tc>
        <w:tc>
          <w:tcPr>
            <w:tcW w:w="890" w:type="dxa"/>
            <w:hideMark/>
          </w:tcPr>
          <w:p w14:paraId="56FA6D42"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Change</w:t>
            </w:r>
          </w:p>
        </w:tc>
        <w:tc>
          <w:tcPr>
            <w:tcW w:w="891" w:type="dxa"/>
            <w:hideMark/>
          </w:tcPr>
          <w:p w14:paraId="603E6C8C" w14:textId="77777777" w:rsidR="00615FE0" w:rsidRPr="00615FE0" w:rsidRDefault="00615FE0" w:rsidP="00615FE0">
            <w:pPr>
              <w:jc w:val="both"/>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 Change</w:t>
            </w:r>
          </w:p>
        </w:tc>
      </w:tr>
      <w:tr w:rsidR="000519C1" w:rsidRPr="00615FE0" w14:paraId="293166A1" w14:textId="77777777" w:rsidTr="000519C1">
        <w:trPr>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37047090" w14:textId="77777777" w:rsidR="00615FE0" w:rsidRPr="00615FE0" w:rsidRDefault="00615FE0" w:rsidP="00615FE0">
            <w:pPr>
              <w:rPr>
                <w:color w:val="auto"/>
                <w:lang w:eastAsia="en-GB"/>
              </w:rPr>
            </w:pPr>
            <w:r w:rsidRPr="00615FE0">
              <w:rPr>
                <w:color w:val="auto"/>
                <w:lang w:val="en-US" w:eastAsia="en-GB"/>
              </w:rPr>
              <w:t>Mental Disabilities (Dementia)</w:t>
            </w:r>
          </w:p>
        </w:tc>
        <w:tc>
          <w:tcPr>
            <w:tcW w:w="890" w:type="dxa"/>
            <w:hideMark/>
          </w:tcPr>
          <w:p w14:paraId="405F0CE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65+</w:t>
            </w:r>
          </w:p>
        </w:tc>
        <w:tc>
          <w:tcPr>
            <w:tcW w:w="890" w:type="dxa"/>
            <w:hideMark/>
          </w:tcPr>
          <w:p w14:paraId="197F6D9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11,148</w:t>
            </w:r>
          </w:p>
        </w:tc>
        <w:tc>
          <w:tcPr>
            <w:tcW w:w="890" w:type="dxa"/>
            <w:hideMark/>
          </w:tcPr>
          <w:p w14:paraId="489BE1A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19,642</w:t>
            </w:r>
          </w:p>
        </w:tc>
        <w:tc>
          <w:tcPr>
            <w:tcW w:w="890" w:type="dxa"/>
            <w:hideMark/>
          </w:tcPr>
          <w:p w14:paraId="1F2C3BB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8,494</w:t>
            </w:r>
          </w:p>
        </w:tc>
        <w:tc>
          <w:tcPr>
            <w:tcW w:w="891" w:type="dxa"/>
            <w:hideMark/>
          </w:tcPr>
          <w:p w14:paraId="7EFC1EA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76.20%</w:t>
            </w:r>
          </w:p>
        </w:tc>
      </w:tr>
      <w:tr w:rsidR="000519C1" w:rsidRPr="00615FE0" w14:paraId="710FF49C" w14:textId="77777777" w:rsidTr="000519C1">
        <w:trPr>
          <w:trHeight w:val="221"/>
        </w:trPr>
        <w:tc>
          <w:tcPr>
            <w:cnfStyle w:val="001000000000" w:firstRow="0" w:lastRow="0" w:firstColumn="1" w:lastColumn="0" w:oddVBand="0" w:evenVBand="0" w:oddHBand="0" w:evenHBand="0" w:firstRowFirstColumn="0" w:firstRowLastColumn="0" w:lastRowFirstColumn="0" w:lastRowLastColumn="0"/>
            <w:tcW w:w="4239" w:type="dxa"/>
            <w:hideMark/>
          </w:tcPr>
          <w:p w14:paraId="673B0687" w14:textId="77777777" w:rsidR="00615FE0" w:rsidRPr="00615FE0" w:rsidRDefault="00615FE0" w:rsidP="00615FE0">
            <w:pPr>
              <w:rPr>
                <w:color w:val="auto"/>
                <w:lang w:eastAsia="en-GB"/>
              </w:rPr>
            </w:pPr>
            <w:r w:rsidRPr="00615FE0">
              <w:rPr>
                <w:color w:val="auto"/>
                <w:lang w:val="en-US" w:eastAsia="en-GB"/>
              </w:rPr>
              <w:t>Mental Disabilities (Autistic Spectrum Disorders)</w:t>
            </w:r>
          </w:p>
        </w:tc>
        <w:tc>
          <w:tcPr>
            <w:tcW w:w="890" w:type="dxa"/>
            <w:hideMark/>
          </w:tcPr>
          <w:p w14:paraId="5E76534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18-64</w:t>
            </w:r>
          </w:p>
        </w:tc>
        <w:tc>
          <w:tcPr>
            <w:tcW w:w="890" w:type="dxa"/>
            <w:hideMark/>
          </w:tcPr>
          <w:p w14:paraId="7C662D7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5,292</w:t>
            </w:r>
          </w:p>
        </w:tc>
        <w:tc>
          <w:tcPr>
            <w:tcW w:w="890" w:type="dxa"/>
            <w:hideMark/>
          </w:tcPr>
          <w:p w14:paraId="76EA805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5,989</w:t>
            </w:r>
          </w:p>
        </w:tc>
        <w:tc>
          <w:tcPr>
            <w:tcW w:w="890" w:type="dxa"/>
            <w:hideMark/>
          </w:tcPr>
          <w:p w14:paraId="1D4BB66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697</w:t>
            </w:r>
          </w:p>
        </w:tc>
        <w:tc>
          <w:tcPr>
            <w:tcW w:w="891" w:type="dxa"/>
            <w:hideMark/>
          </w:tcPr>
          <w:p w14:paraId="7CA2151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13.20%</w:t>
            </w:r>
          </w:p>
        </w:tc>
      </w:tr>
      <w:tr w:rsidR="000519C1" w:rsidRPr="00615FE0" w14:paraId="5FEFBD68" w14:textId="77777777" w:rsidTr="000519C1">
        <w:trPr>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0C27FC30" w14:textId="77777777" w:rsidR="00615FE0" w:rsidRPr="00615FE0" w:rsidRDefault="00615FE0" w:rsidP="00615FE0">
            <w:pPr>
              <w:rPr>
                <w:color w:val="auto"/>
                <w:lang w:eastAsia="en-GB"/>
              </w:rPr>
            </w:pPr>
            <w:r w:rsidRPr="00615FE0">
              <w:rPr>
                <w:color w:val="auto"/>
                <w:lang w:eastAsia="en-GB"/>
              </w:rPr>
              <w:t>Mental Disabilities (Autistic Spectrum Disorders)</w:t>
            </w:r>
          </w:p>
        </w:tc>
        <w:tc>
          <w:tcPr>
            <w:tcW w:w="890" w:type="dxa"/>
            <w:hideMark/>
          </w:tcPr>
          <w:p w14:paraId="7502661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65+</w:t>
            </w:r>
          </w:p>
        </w:tc>
        <w:tc>
          <w:tcPr>
            <w:tcW w:w="890" w:type="dxa"/>
            <w:hideMark/>
          </w:tcPr>
          <w:p w14:paraId="7814A54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1,517</w:t>
            </w:r>
          </w:p>
        </w:tc>
        <w:tc>
          <w:tcPr>
            <w:tcW w:w="890" w:type="dxa"/>
            <w:hideMark/>
          </w:tcPr>
          <w:p w14:paraId="4B16667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2,320</w:t>
            </w:r>
          </w:p>
        </w:tc>
        <w:tc>
          <w:tcPr>
            <w:tcW w:w="890" w:type="dxa"/>
            <w:hideMark/>
          </w:tcPr>
          <w:p w14:paraId="3566E2C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802</w:t>
            </w:r>
          </w:p>
        </w:tc>
        <w:tc>
          <w:tcPr>
            <w:tcW w:w="891" w:type="dxa"/>
            <w:hideMark/>
          </w:tcPr>
          <w:p w14:paraId="4717324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52.90%</w:t>
            </w:r>
          </w:p>
        </w:tc>
      </w:tr>
      <w:tr w:rsidR="000519C1" w:rsidRPr="00615FE0" w14:paraId="1614A759" w14:textId="77777777" w:rsidTr="000519C1">
        <w:trPr>
          <w:trHeight w:val="221"/>
        </w:trPr>
        <w:tc>
          <w:tcPr>
            <w:cnfStyle w:val="001000000000" w:firstRow="0" w:lastRow="0" w:firstColumn="1" w:lastColumn="0" w:oddVBand="0" w:evenVBand="0" w:oddHBand="0" w:evenHBand="0" w:firstRowFirstColumn="0" w:firstRowLastColumn="0" w:lastRowFirstColumn="0" w:lastRowLastColumn="0"/>
            <w:tcW w:w="4239" w:type="dxa"/>
            <w:hideMark/>
          </w:tcPr>
          <w:p w14:paraId="0B4217CD" w14:textId="77777777" w:rsidR="00615FE0" w:rsidRPr="00615FE0" w:rsidRDefault="00615FE0" w:rsidP="00615FE0">
            <w:pPr>
              <w:rPr>
                <w:color w:val="auto"/>
                <w:lang w:eastAsia="en-GB"/>
              </w:rPr>
            </w:pPr>
            <w:r w:rsidRPr="00615FE0">
              <w:rPr>
                <w:color w:val="auto"/>
                <w:lang w:val="en-US" w:eastAsia="en-GB"/>
              </w:rPr>
              <w:t>Mental Disabilities (Learning Disabilities)</w:t>
            </w:r>
          </w:p>
        </w:tc>
        <w:tc>
          <w:tcPr>
            <w:tcW w:w="890" w:type="dxa"/>
            <w:hideMark/>
          </w:tcPr>
          <w:p w14:paraId="0197BED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15-64</w:t>
            </w:r>
          </w:p>
        </w:tc>
        <w:tc>
          <w:tcPr>
            <w:tcW w:w="890" w:type="dxa"/>
            <w:hideMark/>
          </w:tcPr>
          <w:p w14:paraId="3581B7E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13,465</w:t>
            </w:r>
          </w:p>
        </w:tc>
        <w:tc>
          <w:tcPr>
            <w:tcW w:w="890" w:type="dxa"/>
            <w:hideMark/>
          </w:tcPr>
          <w:p w14:paraId="4C797C7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15,289</w:t>
            </w:r>
          </w:p>
        </w:tc>
        <w:tc>
          <w:tcPr>
            <w:tcW w:w="890" w:type="dxa"/>
            <w:hideMark/>
          </w:tcPr>
          <w:p w14:paraId="6BA92BE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1,824</w:t>
            </w:r>
          </w:p>
        </w:tc>
        <w:tc>
          <w:tcPr>
            <w:tcW w:w="891" w:type="dxa"/>
            <w:hideMark/>
          </w:tcPr>
          <w:p w14:paraId="5406707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13.50%</w:t>
            </w:r>
          </w:p>
        </w:tc>
      </w:tr>
      <w:tr w:rsidR="000519C1" w:rsidRPr="00615FE0" w14:paraId="79543CDD" w14:textId="77777777" w:rsidTr="000519C1">
        <w:trPr>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3164C452" w14:textId="77777777" w:rsidR="00615FE0" w:rsidRPr="00615FE0" w:rsidRDefault="00615FE0" w:rsidP="00615FE0">
            <w:pPr>
              <w:rPr>
                <w:color w:val="auto"/>
                <w:lang w:eastAsia="en-GB"/>
              </w:rPr>
            </w:pPr>
            <w:r w:rsidRPr="00615FE0">
              <w:rPr>
                <w:color w:val="auto"/>
                <w:lang w:eastAsia="en-GB"/>
              </w:rPr>
              <w:t>Mental Disabilities (Learning Disabilities)</w:t>
            </w:r>
          </w:p>
        </w:tc>
        <w:tc>
          <w:tcPr>
            <w:tcW w:w="890" w:type="dxa"/>
            <w:hideMark/>
          </w:tcPr>
          <w:p w14:paraId="01CC401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65+</w:t>
            </w:r>
          </w:p>
        </w:tc>
        <w:tc>
          <w:tcPr>
            <w:tcW w:w="890" w:type="dxa"/>
            <w:hideMark/>
          </w:tcPr>
          <w:p w14:paraId="13C3F5C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3,333</w:t>
            </w:r>
          </w:p>
        </w:tc>
        <w:tc>
          <w:tcPr>
            <w:tcW w:w="890" w:type="dxa"/>
            <w:hideMark/>
          </w:tcPr>
          <w:p w14:paraId="5FB8559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5,022</w:t>
            </w:r>
          </w:p>
        </w:tc>
        <w:tc>
          <w:tcPr>
            <w:tcW w:w="890" w:type="dxa"/>
            <w:hideMark/>
          </w:tcPr>
          <w:p w14:paraId="3DB9711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1,689</w:t>
            </w:r>
          </w:p>
        </w:tc>
        <w:tc>
          <w:tcPr>
            <w:tcW w:w="891" w:type="dxa"/>
            <w:hideMark/>
          </w:tcPr>
          <w:p w14:paraId="0E33EE9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50.70%</w:t>
            </w:r>
          </w:p>
        </w:tc>
      </w:tr>
      <w:tr w:rsidR="000519C1" w:rsidRPr="00615FE0" w14:paraId="3D06385F" w14:textId="77777777" w:rsidTr="000519C1">
        <w:trPr>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2FAFE4B8" w14:textId="1D0E1B1E" w:rsidR="00615FE0" w:rsidRPr="00615FE0" w:rsidRDefault="00615FE0" w:rsidP="00615FE0">
            <w:pPr>
              <w:rPr>
                <w:color w:val="auto"/>
                <w:lang w:eastAsia="en-GB"/>
              </w:rPr>
            </w:pPr>
            <w:r w:rsidRPr="00615FE0">
              <w:rPr>
                <w:color w:val="auto"/>
                <w:lang w:val="en-US" w:eastAsia="en-GB"/>
              </w:rPr>
              <w:t xml:space="preserve">Mental Disabilities (Challenging </w:t>
            </w:r>
            <w:proofErr w:type="spellStart"/>
            <w:r w:rsidR="000519C1" w:rsidRPr="00615FE0">
              <w:rPr>
                <w:color w:val="auto"/>
                <w:lang w:val="en-US" w:eastAsia="en-GB"/>
              </w:rPr>
              <w:t>behavio</w:t>
            </w:r>
            <w:r w:rsidR="000519C1">
              <w:rPr>
                <w:color w:val="auto"/>
                <w:lang w:val="en-US" w:eastAsia="en-GB"/>
              </w:rPr>
              <w:t>u</w:t>
            </w:r>
            <w:r w:rsidR="000519C1" w:rsidRPr="00615FE0">
              <w:rPr>
                <w:color w:val="auto"/>
                <w:lang w:val="en-US" w:eastAsia="en-GB"/>
              </w:rPr>
              <w:t>r</w:t>
            </w:r>
            <w:proofErr w:type="spellEnd"/>
            <w:r w:rsidRPr="00615FE0">
              <w:rPr>
                <w:color w:val="auto"/>
                <w:lang w:val="en-US" w:eastAsia="en-GB"/>
              </w:rPr>
              <w:t>)</w:t>
            </w:r>
          </w:p>
        </w:tc>
        <w:tc>
          <w:tcPr>
            <w:tcW w:w="890" w:type="dxa"/>
            <w:hideMark/>
          </w:tcPr>
          <w:p w14:paraId="09E6393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15-64</w:t>
            </w:r>
          </w:p>
        </w:tc>
        <w:tc>
          <w:tcPr>
            <w:tcW w:w="890" w:type="dxa"/>
            <w:hideMark/>
          </w:tcPr>
          <w:p w14:paraId="602CD82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247</w:t>
            </w:r>
          </w:p>
        </w:tc>
        <w:tc>
          <w:tcPr>
            <w:tcW w:w="890" w:type="dxa"/>
            <w:hideMark/>
          </w:tcPr>
          <w:p w14:paraId="336E2C3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280</w:t>
            </w:r>
          </w:p>
        </w:tc>
        <w:tc>
          <w:tcPr>
            <w:tcW w:w="890" w:type="dxa"/>
            <w:hideMark/>
          </w:tcPr>
          <w:p w14:paraId="24A2E2B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33</w:t>
            </w:r>
          </w:p>
        </w:tc>
        <w:tc>
          <w:tcPr>
            <w:tcW w:w="891" w:type="dxa"/>
            <w:hideMark/>
          </w:tcPr>
          <w:p w14:paraId="17E165A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13.50%</w:t>
            </w:r>
          </w:p>
        </w:tc>
      </w:tr>
      <w:tr w:rsidR="000519C1" w:rsidRPr="00615FE0" w14:paraId="1FAC66B2" w14:textId="77777777" w:rsidTr="000519C1">
        <w:trPr>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32AD79E4" w14:textId="77777777" w:rsidR="00615FE0" w:rsidRPr="00615FE0" w:rsidRDefault="00615FE0" w:rsidP="00615FE0">
            <w:pPr>
              <w:rPr>
                <w:color w:val="auto"/>
                <w:lang w:eastAsia="en-GB"/>
              </w:rPr>
            </w:pPr>
            <w:r w:rsidRPr="00615FE0">
              <w:rPr>
                <w:color w:val="auto"/>
                <w:lang w:val="en-US" w:eastAsia="en-GB"/>
              </w:rPr>
              <w:t>Physical Disabilities (Mobility problems)</w:t>
            </w:r>
          </w:p>
        </w:tc>
        <w:tc>
          <w:tcPr>
            <w:tcW w:w="890" w:type="dxa"/>
            <w:hideMark/>
          </w:tcPr>
          <w:p w14:paraId="4429F07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65+</w:t>
            </w:r>
          </w:p>
        </w:tc>
        <w:tc>
          <w:tcPr>
            <w:tcW w:w="890" w:type="dxa"/>
            <w:hideMark/>
          </w:tcPr>
          <w:p w14:paraId="17FA56B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29,212</w:t>
            </w:r>
          </w:p>
        </w:tc>
        <w:tc>
          <w:tcPr>
            <w:tcW w:w="890" w:type="dxa"/>
            <w:hideMark/>
          </w:tcPr>
          <w:p w14:paraId="79DCF29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48,362</w:t>
            </w:r>
          </w:p>
        </w:tc>
        <w:tc>
          <w:tcPr>
            <w:tcW w:w="890" w:type="dxa"/>
            <w:hideMark/>
          </w:tcPr>
          <w:p w14:paraId="2C532B0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19,150</w:t>
            </w:r>
          </w:p>
        </w:tc>
        <w:tc>
          <w:tcPr>
            <w:tcW w:w="891" w:type="dxa"/>
            <w:hideMark/>
          </w:tcPr>
          <w:p w14:paraId="0DA575F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65.60%</w:t>
            </w:r>
          </w:p>
        </w:tc>
      </w:tr>
      <w:tr w:rsidR="000519C1" w:rsidRPr="00615FE0" w14:paraId="0F08EF32" w14:textId="77777777" w:rsidTr="000519C1">
        <w:trPr>
          <w:trHeight w:val="258"/>
        </w:trPr>
        <w:tc>
          <w:tcPr>
            <w:cnfStyle w:val="001000000000" w:firstRow="0" w:lastRow="0" w:firstColumn="1" w:lastColumn="0" w:oddVBand="0" w:evenVBand="0" w:oddHBand="0" w:evenHBand="0" w:firstRowFirstColumn="0" w:firstRowLastColumn="0" w:lastRowFirstColumn="0" w:lastRowLastColumn="0"/>
            <w:tcW w:w="4239" w:type="dxa"/>
            <w:hideMark/>
          </w:tcPr>
          <w:p w14:paraId="33EC70D7" w14:textId="77777777" w:rsidR="00615FE0" w:rsidRPr="00615FE0" w:rsidRDefault="00615FE0" w:rsidP="00615FE0">
            <w:pPr>
              <w:rPr>
                <w:color w:val="auto"/>
                <w:lang w:eastAsia="en-GB"/>
              </w:rPr>
            </w:pPr>
            <w:r w:rsidRPr="00615FE0">
              <w:rPr>
                <w:color w:val="auto"/>
                <w:lang w:val="en-US" w:eastAsia="en-GB"/>
              </w:rPr>
              <w:t>Physical Disabilities (Impaired mobility)</w:t>
            </w:r>
          </w:p>
        </w:tc>
        <w:tc>
          <w:tcPr>
            <w:tcW w:w="890" w:type="dxa"/>
            <w:hideMark/>
          </w:tcPr>
          <w:p w14:paraId="10B1A81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16-64</w:t>
            </w:r>
          </w:p>
        </w:tc>
        <w:tc>
          <w:tcPr>
            <w:tcW w:w="890" w:type="dxa"/>
            <w:hideMark/>
          </w:tcPr>
          <w:p w14:paraId="0A8A7F3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27,901</w:t>
            </w:r>
          </w:p>
        </w:tc>
        <w:tc>
          <w:tcPr>
            <w:tcW w:w="890" w:type="dxa"/>
            <w:hideMark/>
          </w:tcPr>
          <w:p w14:paraId="7E3EC99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31,709</w:t>
            </w:r>
          </w:p>
        </w:tc>
        <w:tc>
          <w:tcPr>
            <w:tcW w:w="890" w:type="dxa"/>
            <w:hideMark/>
          </w:tcPr>
          <w:p w14:paraId="49C8FF5F"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3,809</w:t>
            </w:r>
          </w:p>
        </w:tc>
        <w:tc>
          <w:tcPr>
            <w:tcW w:w="891" w:type="dxa"/>
            <w:hideMark/>
          </w:tcPr>
          <w:p w14:paraId="3EF9C50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13.70%</w:t>
            </w:r>
          </w:p>
        </w:tc>
      </w:tr>
    </w:tbl>
    <w:p w14:paraId="07ADF55D" w14:textId="77777777" w:rsidR="00970D21" w:rsidRPr="000519C1" w:rsidRDefault="00970D21" w:rsidP="008E6E40">
      <w:pPr>
        <w:pStyle w:val="BodyText"/>
        <w:keepNext/>
        <w:tabs>
          <w:tab w:val="clear" w:pos="0"/>
          <w:tab w:val="left" w:pos="720"/>
        </w:tabs>
        <w:spacing w:after="0" w:line="240" w:lineRule="auto"/>
        <w:ind w:left="794" w:firstLine="0"/>
        <w:rPr>
          <w:rFonts w:ascii="Arial" w:hAnsi="Arial" w:cs="Arial"/>
          <w:sz w:val="24"/>
          <w:szCs w:val="24"/>
        </w:rPr>
      </w:pPr>
      <w:r w:rsidRPr="000519C1">
        <w:rPr>
          <w:rFonts w:ascii="Arial" w:hAnsi="Arial" w:cs="Arial"/>
          <w:sz w:val="24"/>
          <w:szCs w:val="24"/>
        </w:rPr>
        <w:t>Source: POPPI/PANSI and Demographic Projections</w:t>
      </w:r>
    </w:p>
    <w:p w14:paraId="37AAABD4" w14:textId="232B4C6E" w:rsidR="00970D21" w:rsidRDefault="00970D21" w:rsidP="007D0FBF">
      <w:pPr>
        <w:pStyle w:val="11Bodytext"/>
      </w:pPr>
      <w:r>
        <w:t>The table below shows the same information for local authorities (focussing just on dementia and mobility problems in the population aged 65+). This identifies projected increases for these disabilities in all areas across Cambridgeshire and West Suffolk.</w:t>
      </w:r>
    </w:p>
    <w:p w14:paraId="298EC2F4" w14:textId="2BC47D37" w:rsidR="00970D21" w:rsidRDefault="00970D21" w:rsidP="003D5E23">
      <w:pPr>
        <w:pStyle w:val="Tableheading"/>
        <w:numPr>
          <w:ilvl w:val="0"/>
          <w:numId w:val="54"/>
        </w:numPr>
      </w:pPr>
      <w:r>
        <w:lastRenderedPageBreak/>
        <w:t>Projected Changes to HMA Population with dementia and mobility problems – local authorities (population aged 65+)</w:t>
      </w:r>
    </w:p>
    <w:tbl>
      <w:tblPr>
        <w:tblStyle w:val="TableGridLight1"/>
        <w:tblW w:w="8475" w:type="dxa"/>
        <w:tblInd w:w="846" w:type="dxa"/>
        <w:tblLook w:val="04A0" w:firstRow="1" w:lastRow="0" w:firstColumn="1" w:lastColumn="0" w:noHBand="0" w:noVBand="1"/>
      </w:tblPr>
      <w:tblGrid>
        <w:gridCol w:w="1580"/>
        <w:gridCol w:w="2299"/>
        <w:gridCol w:w="1149"/>
        <w:gridCol w:w="1149"/>
        <w:gridCol w:w="1149"/>
        <w:gridCol w:w="1149"/>
      </w:tblGrid>
      <w:tr w:rsidR="00615FE0" w:rsidRPr="00615FE0" w14:paraId="611606C6" w14:textId="77777777" w:rsidTr="000519C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80" w:type="dxa"/>
            <w:hideMark/>
          </w:tcPr>
          <w:p w14:paraId="6F06C556" w14:textId="01DC3E7B" w:rsidR="00615FE0" w:rsidRPr="00615FE0" w:rsidRDefault="00615FE0" w:rsidP="000519C1">
            <w:pPr>
              <w:keepNext/>
              <w:jc w:val="left"/>
              <w:rPr>
                <w:color w:val="auto"/>
                <w:lang w:eastAsia="en-GB"/>
              </w:rPr>
            </w:pPr>
            <w:r w:rsidRPr="00615FE0">
              <w:rPr>
                <w:color w:val="auto"/>
                <w:lang w:eastAsia="en-GB"/>
              </w:rPr>
              <w:t> </w:t>
            </w:r>
            <w:r w:rsidR="000519C1">
              <w:rPr>
                <w:color w:val="auto"/>
                <w:lang w:eastAsia="en-GB"/>
              </w:rPr>
              <w:t>Area</w:t>
            </w:r>
          </w:p>
        </w:tc>
        <w:tc>
          <w:tcPr>
            <w:tcW w:w="2299" w:type="dxa"/>
            <w:hideMark/>
          </w:tcPr>
          <w:p w14:paraId="71CD63CF" w14:textId="77777777" w:rsidR="00615FE0" w:rsidRPr="00615FE0" w:rsidRDefault="00615FE0" w:rsidP="000519C1">
            <w:pPr>
              <w:keepNext/>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Issue</w:t>
            </w:r>
          </w:p>
        </w:tc>
        <w:tc>
          <w:tcPr>
            <w:tcW w:w="1149" w:type="dxa"/>
            <w:hideMark/>
          </w:tcPr>
          <w:p w14:paraId="6F7AE7DE" w14:textId="77777777" w:rsidR="00615FE0" w:rsidRPr="00615FE0" w:rsidRDefault="00615FE0" w:rsidP="000519C1">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2020</w:t>
            </w:r>
          </w:p>
        </w:tc>
        <w:tc>
          <w:tcPr>
            <w:tcW w:w="1149" w:type="dxa"/>
            <w:hideMark/>
          </w:tcPr>
          <w:p w14:paraId="591E3099" w14:textId="77777777" w:rsidR="00615FE0" w:rsidRPr="00615FE0" w:rsidRDefault="00615FE0" w:rsidP="000519C1">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2040</w:t>
            </w:r>
          </w:p>
        </w:tc>
        <w:tc>
          <w:tcPr>
            <w:tcW w:w="1149" w:type="dxa"/>
            <w:hideMark/>
          </w:tcPr>
          <w:p w14:paraId="763B4EA5" w14:textId="77777777" w:rsidR="00615FE0" w:rsidRPr="00615FE0" w:rsidRDefault="00615FE0" w:rsidP="000519C1">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Change</w:t>
            </w:r>
          </w:p>
        </w:tc>
        <w:tc>
          <w:tcPr>
            <w:tcW w:w="1149" w:type="dxa"/>
            <w:hideMark/>
          </w:tcPr>
          <w:p w14:paraId="5C4513D0" w14:textId="77777777" w:rsidR="00615FE0" w:rsidRPr="00615FE0" w:rsidRDefault="00615FE0" w:rsidP="000519C1">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 Change</w:t>
            </w:r>
          </w:p>
        </w:tc>
      </w:tr>
      <w:tr w:rsidR="00615FE0" w:rsidRPr="00615FE0" w14:paraId="7CBE1FC9"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250ECF92" w14:textId="77777777" w:rsidR="00615FE0" w:rsidRPr="00615FE0" w:rsidRDefault="00615FE0" w:rsidP="000519C1">
            <w:pPr>
              <w:keepNext/>
              <w:rPr>
                <w:color w:val="auto"/>
                <w:lang w:eastAsia="en-GB"/>
              </w:rPr>
            </w:pPr>
            <w:r w:rsidRPr="00615FE0">
              <w:rPr>
                <w:color w:val="auto"/>
                <w:lang w:val="en-US" w:eastAsia="en-GB"/>
              </w:rPr>
              <w:t>Cambridge</w:t>
            </w:r>
          </w:p>
        </w:tc>
        <w:tc>
          <w:tcPr>
            <w:tcW w:w="2299" w:type="dxa"/>
            <w:hideMark/>
          </w:tcPr>
          <w:p w14:paraId="443DCE42"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Dementia</w:t>
            </w:r>
          </w:p>
        </w:tc>
        <w:tc>
          <w:tcPr>
            <w:tcW w:w="1149" w:type="dxa"/>
            <w:hideMark/>
          </w:tcPr>
          <w:p w14:paraId="121E98F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1,272</w:t>
            </w:r>
          </w:p>
        </w:tc>
        <w:tc>
          <w:tcPr>
            <w:tcW w:w="1149" w:type="dxa"/>
            <w:hideMark/>
          </w:tcPr>
          <w:p w14:paraId="3ADFE1A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1,978</w:t>
            </w:r>
          </w:p>
        </w:tc>
        <w:tc>
          <w:tcPr>
            <w:tcW w:w="1149" w:type="dxa"/>
            <w:hideMark/>
          </w:tcPr>
          <w:p w14:paraId="39E1736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706</w:t>
            </w:r>
          </w:p>
        </w:tc>
        <w:tc>
          <w:tcPr>
            <w:tcW w:w="1149" w:type="dxa"/>
            <w:hideMark/>
          </w:tcPr>
          <w:p w14:paraId="191604A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55.60%</w:t>
            </w:r>
          </w:p>
        </w:tc>
      </w:tr>
      <w:tr w:rsidR="00615FE0" w:rsidRPr="00615FE0" w14:paraId="5712115B" w14:textId="77777777" w:rsidTr="000519C1">
        <w:trPr>
          <w:trHeight w:val="51"/>
        </w:trPr>
        <w:tc>
          <w:tcPr>
            <w:cnfStyle w:val="001000000000" w:firstRow="0" w:lastRow="0" w:firstColumn="1" w:lastColumn="0" w:oddVBand="0" w:evenVBand="0" w:oddHBand="0" w:evenHBand="0" w:firstRowFirstColumn="0" w:firstRowLastColumn="0" w:lastRowFirstColumn="0" w:lastRowLastColumn="0"/>
            <w:tcW w:w="1580" w:type="dxa"/>
            <w:hideMark/>
          </w:tcPr>
          <w:p w14:paraId="24D6520A" w14:textId="77777777" w:rsidR="00615FE0" w:rsidRPr="00615FE0" w:rsidRDefault="00615FE0" w:rsidP="000519C1">
            <w:pPr>
              <w:keepNext/>
              <w:rPr>
                <w:color w:val="auto"/>
                <w:lang w:eastAsia="en-GB"/>
              </w:rPr>
            </w:pPr>
            <w:r w:rsidRPr="00615FE0">
              <w:rPr>
                <w:color w:val="auto"/>
                <w:lang w:eastAsia="en-GB"/>
              </w:rPr>
              <w:t>Cambridge</w:t>
            </w:r>
          </w:p>
        </w:tc>
        <w:tc>
          <w:tcPr>
            <w:tcW w:w="2299" w:type="dxa"/>
            <w:hideMark/>
          </w:tcPr>
          <w:p w14:paraId="4D161263"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Mobility problems</w:t>
            </w:r>
          </w:p>
        </w:tc>
        <w:tc>
          <w:tcPr>
            <w:tcW w:w="1149" w:type="dxa"/>
            <w:hideMark/>
          </w:tcPr>
          <w:p w14:paraId="62CC481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3,211</w:t>
            </w:r>
          </w:p>
        </w:tc>
        <w:tc>
          <w:tcPr>
            <w:tcW w:w="1149" w:type="dxa"/>
            <w:hideMark/>
          </w:tcPr>
          <w:p w14:paraId="51F76CC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4,859</w:t>
            </w:r>
          </w:p>
        </w:tc>
        <w:tc>
          <w:tcPr>
            <w:tcW w:w="1149" w:type="dxa"/>
            <w:hideMark/>
          </w:tcPr>
          <w:p w14:paraId="1C1606BC"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1,648</w:t>
            </w:r>
          </w:p>
        </w:tc>
        <w:tc>
          <w:tcPr>
            <w:tcW w:w="1149" w:type="dxa"/>
            <w:hideMark/>
          </w:tcPr>
          <w:p w14:paraId="140D235B"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51.30%</w:t>
            </w:r>
          </w:p>
        </w:tc>
      </w:tr>
      <w:tr w:rsidR="00615FE0" w:rsidRPr="00615FE0" w14:paraId="3A3803B9" w14:textId="77777777" w:rsidTr="000519C1">
        <w:trPr>
          <w:trHeight w:val="43"/>
        </w:trPr>
        <w:tc>
          <w:tcPr>
            <w:cnfStyle w:val="001000000000" w:firstRow="0" w:lastRow="0" w:firstColumn="1" w:lastColumn="0" w:oddVBand="0" w:evenVBand="0" w:oddHBand="0" w:evenHBand="0" w:firstRowFirstColumn="0" w:firstRowLastColumn="0" w:lastRowFirstColumn="0" w:lastRowLastColumn="0"/>
            <w:tcW w:w="1580" w:type="dxa"/>
            <w:hideMark/>
          </w:tcPr>
          <w:p w14:paraId="6B30ABD8" w14:textId="77777777" w:rsidR="00615FE0" w:rsidRPr="00615FE0" w:rsidRDefault="00615FE0" w:rsidP="000519C1">
            <w:pPr>
              <w:keepNext/>
              <w:rPr>
                <w:color w:val="auto"/>
                <w:lang w:eastAsia="en-GB"/>
              </w:rPr>
            </w:pPr>
            <w:r w:rsidRPr="00615FE0">
              <w:rPr>
                <w:color w:val="auto"/>
                <w:lang w:val="en-US" w:eastAsia="en-GB"/>
              </w:rPr>
              <w:t>East Cambs</w:t>
            </w:r>
          </w:p>
        </w:tc>
        <w:tc>
          <w:tcPr>
            <w:tcW w:w="2299" w:type="dxa"/>
            <w:hideMark/>
          </w:tcPr>
          <w:p w14:paraId="453D6ADD"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Dementia</w:t>
            </w:r>
          </w:p>
        </w:tc>
        <w:tc>
          <w:tcPr>
            <w:tcW w:w="1149" w:type="dxa"/>
            <w:hideMark/>
          </w:tcPr>
          <w:p w14:paraId="6039819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1,257</w:t>
            </w:r>
          </w:p>
        </w:tc>
        <w:tc>
          <w:tcPr>
            <w:tcW w:w="1149" w:type="dxa"/>
            <w:hideMark/>
          </w:tcPr>
          <w:p w14:paraId="192E625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2,234</w:t>
            </w:r>
          </w:p>
        </w:tc>
        <w:tc>
          <w:tcPr>
            <w:tcW w:w="1149" w:type="dxa"/>
            <w:hideMark/>
          </w:tcPr>
          <w:p w14:paraId="23806D11"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976</w:t>
            </w:r>
          </w:p>
        </w:tc>
        <w:tc>
          <w:tcPr>
            <w:tcW w:w="1149" w:type="dxa"/>
            <w:hideMark/>
          </w:tcPr>
          <w:p w14:paraId="10E4F281"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77.70%</w:t>
            </w:r>
          </w:p>
        </w:tc>
      </w:tr>
      <w:tr w:rsidR="00615FE0" w:rsidRPr="00615FE0" w14:paraId="734B0797"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11F3A747" w14:textId="77777777" w:rsidR="00615FE0" w:rsidRPr="00615FE0" w:rsidRDefault="00615FE0" w:rsidP="000519C1">
            <w:pPr>
              <w:keepNext/>
              <w:rPr>
                <w:color w:val="auto"/>
                <w:lang w:eastAsia="en-GB"/>
              </w:rPr>
            </w:pPr>
            <w:r w:rsidRPr="00615FE0">
              <w:rPr>
                <w:color w:val="auto"/>
                <w:lang w:eastAsia="en-GB"/>
              </w:rPr>
              <w:t>East Cambs</w:t>
            </w:r>
          </w:p>
        </w:tc>
        <w:tc>
          <w:tcPr>
            <w:tcW w:w="2299" w:type="dxa"/>
            <w:hideMark/>
          </w:tcPr>
          <w:p w14:paraId="4B6504D1"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Mobility problems</w:t>
            </w:r>
          </w:p>
        </w:tc>
        <w:tc>
          <w:tcPr>
            <w:tcW w:w="1149" w:type="dxa"/>
            <w:hideMark/>
          </w:tcPr>
          <w:p w14:paraId="7D769E56"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3,293</w:t>
            </w:r>
          </w:p>
        </w:tc>
        <w:tc>
          <w:tcPr>
            <w:tcW w:w="1149" w:type="dxa"/>
            <w:hideMark/>
          </w:tcPr>
          <w:p w14:paraId="4AA55655"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5,563</w:t>
            </w:r>
          </w:p>
        </w:tc>
        <w:tc>
          <w:tcPr>
            <w:tcW w:w="1149" w:type="dxa"/>
            <w:hideMark/>
          </w:tcPr>
          <w:p w14:paraId="43EDD5EB"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2,270</w:t>
            </w:r>
          </w:p>
        </w:tc>
        <w:tc>
          <w:tcPr>
            <w:tcW w:w="1149" w:type="dxa"/>
            <w:hideMark/>
          </w:tcPr>
          <w:p w14:paraId="16346673"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68.90%</w:t>
            </w:r>
          </w:p>
        </w:tc>
      </w:tr>
      <w:tr w:rsidR="00615FE0" w:rsidRPr="00615FE0" w14:paraId="73313A20" w14:textId="77777777" w:rsidTr="000519C1">
        <w:trPr>
          <w:trHeight w:val="39"/>
        </w:trPr>
        <w:tc>
          <w:tcPr>
            <w:cnfStyle w:val="001000000000" w:firstRow="0" w:lastRow="0" w:firstColumn="1" w:lastColumn="0" w:oddVBand="0" w:evenVBand="0" w:oddHBand="0" w:evenHBand="0" w:firstRowFirstColumn="0" w:firstRowLastColumn="0" w:lastRowFirstColumn="0" w:lastRowLastColumn="0"/>
            <w:tcW w:w="1580" w:type="dxa"/>
            <w:hideMark/>
          </w:tcPr>
          <w:p w14:paraId="206F2671" w14:textId="77777777" w:rsidR="00615FE0" w:rsidRPr="00615FE0" w:rsidRDefault="00615FE0" w:rsidP="000519C1">
            <w:pPr>
              <w:keepNext/>
              <w:rPr>
                <w:color w:val="auto"/>
                <w:lang w:eastAsia="en-GB"/>
              </w:rPr>
            </w:pPr>
            <w:r w:rsidRPr="00615FE0">
              <w:rPr>
                <w:color w:val="auto"/>
                <w:lang w:val="en-US" w:eastAsia="en-GB"/>
              </w:rPr>
              <w:t>Fenland</w:t>
            </w:r>
          </w:p>
        </w:tc>
        <w:tc>
          <w:tcPr>
            <w:tcW w:w="2299" w:type="dxa"/>
            <w:hideMark/>
          </w:tcPr>
          <w:p w14:paraId="632276D2"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Dementia</w:t>
            </w:r>
          </w:p>
        </w:tc>
        <w:tc>
          <w:tcPr>
            <w:tcW w:w="1149" w:type="dxa"/>
            <w:hideMark/>
          </w:tcPr>
          <w:p w14:paraId="3C3531DA"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1,629</w:t>
            </w:r>
          </w:p>
        </w:tc>
        <w:tc>
          <w:tcPr>
            <w:tcW w:w="1149" w:type="dxa"/>
            <w:hideMark/>
          </w:tcPr>
          <w:p w14:paraId="5FC650AF"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2,698</w:t>
            </w:r>
          </w:p>
        </w:tc>
        <w:tc>
          <w:tcPr>
            <w:tcW w:w="1149" w:type="dxa"/>
            <w:hideMark/>
          </w:tcPr>
          <w:p w14:paraId="56123745"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1,069</w:t>
            </w:r>
          </w:p>
        </w:tc>
        <w:tc>
          <w:tcPr>
            <w:tcW w:w="1149" w:type="dxa"/>
            <w:hideMark/>
          </w:tcPr>
          <w:p w14:paraId="13DF28E9"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65.60%</w:t>
            </w:r>
          </w:p>
        </w:tc>
      </w:tr>
      <w:tr w:rsidR="00615FE0" w:rsidRPr="00615FE0" w14:paraId="0FFB7C54"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428FC267" w14:textId="77777777" w:rsidR="00615FE0" w:rsidRPr="00615FE0" w:rsidRDefault="00615FE0" w:rsidP="000519C1">
            <w:pPr>
              <w:keepNext/>
              <w:rPr>
                <w:color w:val="auto"/>
                <w:lang w:eastAsia="en-GB"/>
              </w:rPr>
            </w:pPr>
            <w:r w:rsidRPr="00615FE0">
              <w:rPr>
                <w:color w:val="auto"/>
                <w:lang w:eastAsia="en-GB"/>
              </w:rPr>
              <w:t>Fenland</w:t>
            </w:r>
          </w:p>
        </w:tc>
        <w:tc>
          <w:tcPr>
            <w:tcW w:w="2299" w:type="dxa"/>
            <w:hideMark/>
          </w:tcPr>
          <w:p w14:paraId="2021CF19"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Mobility problems</w:t>
            </w:r>
          </w:p>
        </w:tc>
        <w:tc>
          <w:tcPr>
            <w:tcW w:w="1149" w:type="dxa"/>
            <w:hideMark/>
          </w:tcPr>
          <w:p w14:paraId="4C12B837"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4,264</w:t>
            </w:r>
          </w:p>
        </w:tc>
        <w:tc>
          <w:tcPr>
            <w:tcW w:w="1149" w:type="dxa"/>
            <w:hideMark/>
          </w:tcPr>
          <w:p w14:paraId="0531F06C"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6,682</w:t>
            </w:r>
          </w:p>
        </w:tc>
        <w:tc>
          <w:tcPr>
            <w:tcW w:w="1149" w:type="dxa"/>
            <w:hideMark/>
          </w:tcPr>
          <w:p w14:paraId="67E11BE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2,419</w:t>
            </w:r>
          </w:p>
        </w:tc>
        <w:tc>
          <w:tcPr>
            <w:tcW w:w="1149" w:type="dxa"/>
            <w:hideMark/>
          </w:tcPr>
          <w:p w14:paraId="41F931E2"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56.70%</w:t>
            </w:r>
          </w:p>
        </w:tc>
      </w:tr>
      <w:tr w:rsidR="00615FE0" w:rsidRPr="00615FE0" w14:paraId="245A1639"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3DDD5218" w14:textId="77777777" w:rsidR="00615FE0" w:rsidRPr="00615FE0" w:rsidRDefault="00615FE0" w:rsidP="000519C1">
            <w:pPr>
              <w:keepNext/>
              <w:rPr>
                <w:color w:val="auto"/>
                <w:lang w:eastAsia="en-GB"/>
              </w:rPr>
            </w:pPr>
            <w:r w:rsidRPr="00615FE0">
              <w:rPr>
                <w:color w:val="auto"/>
                <w:lang w:val="en-US" w:eastAsia="en-GB"/>
              </w:rPr>
              <w:t>Hunts</w:t>
            </w:r>
          </w:p>
        </w:tc>
        <w:tc>
          <w:tcPr>
            <w:tcW w:w="2299" w:type="dxa"/>
            <w:hideMark/>
          </w:tcPr>
          <w:p w14:paraId="6EA349AB"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Dementia</w:t>
            </w:r>
          </w:p>
        </w:tc>
        <w:tc>
          <w:tcPr>
            <w:tcW w:w="1149" w:type="dxa"/>
            <w:hideMark/>
          </w:tcPr>
          <w:p w14:paraId="094E14F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2,107</w:t>
            </w:r>
          </w:p>
        </w:tc>
        <w:tc>
          <w:tcPr>
            <w:tcW w:w="1149" w:type="dxa"/>
            <w:hideMark/>
          </w:tcPr>
          <w:p w14:paraId="13880F18"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4,267</w:t>
            </w:r>
          </w:p>
        </w:tc>
        <w:tc>
          <w:tcPr>
            <w:tcW w:w="1149" w:type="dxa"/>
            <w:hideMark/>
          </w:tcPr>
          <w:p w14:paraId="65B7D5BF"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2,160</w:t>
            </w:r>
          </w:p>
        </w:tc>
        <w:tc>
          <w:tcPr>
            <w:tcW w:w="1149" w:type="dxa"/>
            <w:hideMark/>
          </w:tcPr>
          <w:p w14:paraId="588FEBE8"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102.50%</w:t>
            </w:r>
          </w:p>
        </w:tc>
      </w:tr>
      <w:tr w:rsidR="00615FE0" w:rsidRPr="00615FE0" w14:paraId="5A71CB30" w14:textId="77777777" w:rsidTr="000519C1">
        <w:trPr>
          <w:trHeight w:val="137"/>
        </w:trPr>
        <w:tc>
          <w:tcPr>
            <w:cnfStyle w:val="001000000000" w:firstRow="0" w:lastRow="0" w:firstColumn="1" w:lastColumn="0" w:oddVBand="0" w:evenVBand="0" w:oddHBand="0" w:evenHBand="0" w:firstRowFirstColumn="0" w:firstRowLastColumn="0" w:lastRowFirstColumn="0" w:lastRowLastColumn="0"/>
            <w:tcW w:w="1580" w:type="dxa"/>
            <w:hideMark/>
          </w:tcPr>
          <w:p w14:paraId="2F13549C" w14:textId="77777777" w:rsidR="00615FE0" w:rsidRPr="00615FE0" w:rsidRDefault="00615FE0" w:rsidP="000519C1">
            <w:pPr>
              <w:keepNext/>
              <w:rPr>
                <w:color w:val="auto"/>
                <w:lang w:eastAsia="en-GB"/>
              </w:rPr>
            </w:pPr>
            <w:r w:rsidRPr="00615FE0">
              <w:rPr>
                <w:color w:val="auto"/>
                <w:lang w:eastAsia="en-GB"/>
              </w:rPr>
              <w:t>Hunts</w:t>
            </w:r>
          </w:p>
        </w:tc>
        <w:tc>
          <w:tcPr>
            <w:tcW w:w="2299" w:type="dxa"/>
            <w:hideMark/>
          </w:tcPr>
          <w:p w14:paraId="13A1BE97"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Mobility problems</w:t>
            </w:r>
          </w:p>
        </w:tc>
        <w:tc>
          <w:tcPr>
            <w:tcW w:w="1149" w:type="dxa"/>
            <w:hideMark/>
          </w:tcPr>
          <w:p w14:paraId="3F195922"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5,744</w:t>
            </w:r>
          </w:p>
        </w:tc>
        <w:tc>
          <w:tcPr>
            <w:tcW w:w="1149" w:type="dxa"/>
            <w:hideMark/>
          </w:tcPr>
          <w:p w14:paraId="4A7D429F"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10,646</w:t>
            </w:r>
          </w:p>
        </w:tc>
        <w:tc>
          <w:tcPr>
            <w:tcW w:w="1149" w:type="dxa"/>
            <w:hideMark/>
          </w:tcPr>
          <w:p w14:paraId="42719C5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4,903</w:t>
            </w:r>
          </w:p>
        </w:tc>
        <w:tc>
          <w:tcPr>
            <w:tcW w:w="1149" w:type="dxa"/>
            <w:hideMark/>
          </w:tcPr>
          <w:p w14:paraId="1B886405"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85.40%</w:t>
            </w:r>
          </w:p>
        </w:tc>
      </w:tr>
      <w:tr w:rsidR="00615FE0" w:rsidRPr="00615FE0" w14:paraId="37BB3573"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5A8CD331" w14:textId="77777777" w:rsidR="00615FE0" w:rsidRPr="00615FE0" w:rsidRDefault="00615FE0" w:rsidP="000519C1">
            <w:pPr>
              <w:keepNext/>
              <w:rPr>
                <w:color w:val="auto"/>
                <w:lang w:eastAsia="en-GB"/>
              </w:rPr>
            </w:pPr>
            <w:r w:rsidRPr="00615FE0">
              <w:rPr>
                <w:color w:val="auto"/>
                <w:lang w:val="en-US" w:eastAsia="en-GB"/>
              </w:rPr>
              <w:t>South Cambs</w:t>
            </w:r>
          </w:p>
        </w:tc>
        <w:tc>
          <w:tcPr>
            <w:tcW w:w="2299" w:type="dxa"/>
            <w:hideMark/>
          </w:tcPr>
          <w:p w14:paraId="678EE813"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Dementia</w:t>
            </w:r>
          </w:p>
        </w:tc>
        <w:tc>
          <w:tcPr>
            <w:tcW w:w="1149" w:type="dxa"/>
            <w:hideMark/>
          </w:tcPr>
          <w:p w14:paraId="706A029B"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2,182</w:t>
            </w:r>
          </w:p>
        </w:tc>
        <w:tc>
          <w:tcPr>
            <w:tcW w:w="1149" w:type="dxa"/>
            <w:hideMark/>
          </w:tcPr>
          <w:p w14:paraId="2DF2EF1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3,751</w:t>
            </w:r>
          </w:p>
        </w:tc>
        <w:tc>
          <w:tcPr>
            <w:tcW w:w="1149" w:type="dxa"/>
            <w:hideMark/>
          </w:tcPr>
          <w:p w14:paraId="5BCC20A6"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1,569</w:t>
            </w:r>
          </w:p>
        </w:tc>
        <w:tc>
          <w:tcPr>
            <w:tcW w:w="1149" w:type="dxa"/>
            <w:hideMark/>
          </w:tcPr>
          <w:p w14:paraId="410D5679"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71.90%</w:t>
            </w:r>
          </w:p>
        </w:tc>
      </w:tr>
      <w:tr w:rsidR="00615FE0" w:rsidRPr="00615FE0" w14:paraId="4A2D5201"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23FE6049" w14:textId="77777777" w:rsidR="00615FE0" w:rsidRPr="00615FE0" w:rsidRDefault="00615FE0" w:rsidP="000519C1">
            <w:pPr>
              <w:keepNext/>
              <w:rPr>
                <w:color w:val="auto"/>
                <w:lang w:eastAsia="en-GB"/>
              </w:rPr>
            </w:pPr>
            <w:r w:rsidRPr="00615FE0">
              <w:rPr>
                <w:color w:val="auto"/>
                <w:lang w:eastAsia="en-GB"/>
              </w:rPr>
              <w:t>South Cambs</w:t>
            </w:r>
          </w:p>
        </w:tc>
        <w:tc>
          <w:tcPr>
            <w:tcW w:w="2299" w:type="dxa"/>
            <w:hideMark/>
          </w:tcPr>
          <w:p w14:paraId="70C08C62"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Mobility problems</w:t>
            </w:r>
          </w:p>
        </w:tc>
        <w:tc>
          <w:tcPr>
            <w:tcW w:w="1149" w:type="dxa"/>
            <w:hideMark/>
          </w:tcPr>
          <w:p w14:paraId="25D690D3"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5,700</w:t>
            </w:r>
          </w:p>
        </w:tc>
        <w:tc>
          <w:tcPr>
            <w:tcW w:w="1149" w:type="dxa"/>
            <w:hideMark/>
          </w:tcPr>
          <w:p w14:paraId="337EC6FE"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9,239</w:t>
            </w:r>
          </w:p>
        </w:tc>
        <w:tc>
          <w:tcPr>
            <w:tcW w:w="1149" w:type="dxa"/>
            <w:hideMark/>
          </w:tcPr>
          <w:p w14:paraId="21A4DE09"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3,539</w:t>
            </w:r>
          </w:p>
        </w:tc>
        <w:tc>
          <w:tcPr>
            <w:tcW w:w="1149" w:type="dxa"/>
            <w:hideMark/>
          </w:tcPr>
          <w:p w14:paraId="4CE6B7FD"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62.10%</w:t>
            </w:r>
          </w:p>
        </w:tc>
      </w:tr>
      <w:tr w:rsidR="00615FE0" w:rsidRPr="00615FE0" w14:paraId="60C02C64" w14:textId="77777777" w:rsidTr="000519C1">
        <w:trPr>
          <w:trHeight w:val="135"/>
        </w:trPr>
        <w:tc>
          <w:tcPr>
            <w:cnfStyle w:val="001000000000" w:firstRow="0" w:lastRow="0" w:firstColumn="1" w:lastColumn="0" w:oddVBand="0" w:evenVBand="0" w:oddHBand="0" w:evenHBand="0" w:firstRowFirstColumn="0" w:firstRowLastColumn="0" w:lastRowFirstColumn="0" w:lastRowLastColumn="0"/>
            <w:tcW w:w="1580" w:type="dxa"/>
            <w:hideMark/>
          </w:tcPr>
          <w:p w14:paraId="47AFDC2F" w14:textId="77777777" w:rsidR="00615FE0" w:rsidRPr="00615FE0" w:rsidRDefault="00615FE0" w:rsidP="000519C1">
            <w:pPr>
              <w:keepNext/>
              <w:rPr>
                <w:color w:val="auto"/>
                <w:lang w:eastAsia="en-GB"/>
              </w:rPr>
            </w:pPr>
            <w:r w:rsidRPr="00615FE0">
              <w:rPr>
                <w:color w:val="auto"/>
                <w:lang w:val="en-US" w:eastAsia="en-GB"/>
              </w:rPr>
              <w:t>West Suffolk</w:t>
            </w:r>
          </w:p>
        </w:tc>
        <w:tc>
          <w:tcPr>
            <w:tcW w:w="2299" w:type="dxa"/>
            <w:hideMark/>
          </w:tcPr>
          <w:p w14:paraId="409EDF86"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Dementia</w:t>
            </w:r>
          </w:p>
        </w:tc>
        <w:tc>
          <w:tcPr>
            <w:tcW w:w="1149" w:type="dxa"/>
            <w:hideMark/>
          </w:tcPr>
          <w:p w14:paraId="29F1F976"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2,701</w:t>
            </w:r>
          </w:p>
        </w:tc>
        <w:tc>
          <w:tcPr>
            <w:tcW w:w="1149" w:type="dxa"/>
            <w:hideMark/>
          </w:tcPr>
          <w:p w14:paraId="42FBFF48"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4,714</w:t>
            </w:r>
          </w:p>
        </w:tc>
        <w:tc>
          <w:tcPr>
            <w:tcW w:w="1149" w:type="dxa"/>
            <w:hideMark/>
          </w:tcPr>
          <w:p w14:paraId="587D37B5"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2,014</w:t>
            </w:r>
          </w:p>
        </w:tc>
        <w:tc>
          <w:tcPr>
            <w:tcW w:w="1149" w:type="dxa"/>
            <w:hideMark/>
          </w:tcPr>
          <w:p w14:paraId="56CF10B1"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74.60%</w:t>
            </w:r>
          </w:p>
        </w:tc>
      </w:tr>
      <w:tr w:rsidR="00615FE0" w:rsidRPr="00615FE0" w14:paraId="457F7634"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4773ED37" w14:textId="77777777" w:rsidR="00615FE0" w:rsidRPr="00615FE0" w:rsidRDefault="00615FE0" w:rsidP="000519C1">
            <w:pPr>
              <w:keepNext/>
              <w:rPr>
                <w:color w:val="auto"/>
                <w:lang w:eastAsia="en-GB"/>
              </w:rPr>
            </w:pPr>
            <w:r w:rsidRPr="00615FE0">
              <w:rPr>
                <w:color w:val="auto"/>
                <w:lang w:eastAsia="en-GB"/>
              </w:rPr>
              <w:t>West Suffolk</w:t>
            </w:r>
          </w:p>
        </w:tc>
        <w:tc>
          <w:tcPr>
            <w:tcW w:w="2299" w:type="dxa"/>
            <w:hideMark/>
          </w:tcPr>
          <w:p w14:paraId="45603E9B"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Mobility problems</w:t>
            </w:r>
          </w:p>
        </w:tc>
        <w:tc>
          <w:tcPr>
            <w:tcW w:w="1149" w:type="dxa"/>
            <w:hideMark/>
          </w:tcPr>
          <w:p w14:paraId="184EA22B"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7,001</w:t>
            </w:r>
          </w:p>
        </w:tc>
        <w:tc>
          <w:tcPr>
            <w:tcW w:w="1149" w:type="dxa"/>
            <w:hideMark/>
          </w:tcPr>
          <w:p w14:paraId="1BB007A4"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11,372</w:t>
            </w:r>
          </w:p>
        </w:tc>
        <w:tc>
          <w:tcPr>
            <w:tcW w:w="1149" w:type="dxa"/>
            <w:hideMark/>
          </w:tcPr>
          <w:p w14:paraId="4B21E503"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4,372</w:t>
            </w:r>
          </w:p>
        </w:tc>
        <w:tc>
          <w:tcPr>
            <w:tcW w:w="1149" w:type="dxa"/>
            <w:hideMark/>
          </w:tcPr>
          <w:p w14:paraId="6E5B7409"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val="en-US" w:eastAsia="en-GB"/>
              </w:rPr>
              <w:t>62.50%</w:t>
            </w:r>
          </w:p>
        </w:tc>
      </w:tr>
      <w:tr w:rsidR="00615FE0" w:rsidRPr="00615FE0" w14:paraId="07D9AA0D"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45E68953" w14:textId="77777777" w:rsidR="00615FE0" w:rsidRPr="00615FE0" w:rsidRDefault="00615FE0" w:rsidP="000519C1">
            <w:pPr>
              <w:keepNext/>
              <w:rPr>
                <w:b/>
                <w:bCs/>
                <w:color w:val="auto"/>
                <w:lang w:eastAsia="en-GB"/>
              </w:rPr>
            </w:pPr>
            <w:r w:rsidRPr="00615FE0">
              <w:rPr>
                <w:b/>
                <w:bCs/>
                <w:color w:val="auto"/>
                <w:lang w:val="en-US" w:eastAsia="en-GB"/>
              </w:rPr>
              <w:t>HMA</w:t>
            </w:r>
          </w:p>
        </w:tc>
        <w:tc>
          <w:tcPr>
            <w:tcW w:w="2299" w:type="dxa"/>
            <w:hideMark/>
          </w:tcPr>
          <w:p w14:paraId="382F063A"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Dementia</w:t>
            </w:r>
          </w:p>
        </w:tc>
        <w:tc>
          <w:tcPr>
            <w:tcW w:w="1149" w:type="dxa"/>
            <w:hideMark/>
          </w:tcPr>
          <w:p w14:paraId="7F0EA713"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11,148</w:t>
            </w:r>
          </w:p>
        </w:tc>
        <w:tc>
          <w:tcPr>
            <w:tcW w:w="1149" w:type="dxa"/>
            <w:hideMark/>
          </w:tcPr>
          <w:p w14:paraId="702C7318"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19,642</w:t>
            </w:r>
          </w:p>
        </w:tc>
        <w:tc>
          <w:tcPr>
            <w:tcW w:w="1149" w:type="dxa"/>
            <w:hideMark/>
          </w:tcPr>
          <w:p w14:paraId="74484ED6"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8,494</w:t>
            </w:r>
          </w:p>
        </w:tc>
        <w:tc>
          <w:tcPr>
            <w:tcW w:w="1149" w:type="dxa"/>
            <w:hideMark/>
          </w:tcPr>
          <w:p w14:paraId="15054FF8"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76.20%</w:t>
            </w:r>
          </w:p>
        </w:tc>
      </w:tr>
      <w:tr w:rsidR="00615FE0" w:rsidRPr="00615FE0" w14:paraId="7E3D80FA" w14:textId="77777777" w:rsidTr="000519C1">
        <w:trPr>
          <w:trHeight w:val="38"/>
        </w:trPr>
        <w:tc>
          <w:tcPr>
            <w:cnfStyle w:val="001000000000" w:firstRow="0" w:lastRow="0" w:firstColumn="1" w:lastColumn="0" w:oddVBand="0" w:evenVBand="0" w:oddHBand="0" w:evenHBand="0" w:firstRowFirstColumn="0" w:firstRowLastColumn="0" w:lastRowFirstColumn="0" w:lastRowLastColumn="0"/>
            <w:tcW w:w="1580" w:type="dxa"/>
            <w:hideMark/>
          </w:tcPr>
          <w:p w14:paraId="445D56BD" w14:textId="77777777" w:rsidR="00615FE0" w:rsidRPr="00615FE0" w:rsidRDefault="00615FE0" w:rsidP="000519C1">
            <w:pPr>
              <w:keepNext/>
              <w:rPr>
                <w:b/>
                <w:bCs/>
                <w:color w:val="auto"/>
                <w:lang w:eastAsia="en-GB"/>
              </w:rPr>
            </w:pPr>
            <w:r w:rsidRPr="00615FE0">
              <w:rPr>
                <w:b/>
                <w:bCs/>
                <w:color w:val="auto"/>
                <w:lang w:eastAsia="en-GB"/>
              </w:rPr>
              <w:t>HMA</w:t>
            </w:r>
          </w:p>
        </w:tc>
        <w:tc>
          <w:tcPr>
            <w:tcW w:w="2299" w:type="dxa"/>
            <w:hideMark/>
          </w:tcPr>
          <w:p w14:paraId="4BD57C55" w14:textId="77777777" w:rsidR="00615FE0" w:rsidRPr="00615FE0" w:rsidRDefault="00615FE0" w:rsidP="000519C1">
            <w:pPr>
              <w:keepNext/>
              <w:jc w:val="lef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Mobility problems</w:t>
            </w:r>
          </w:p>
        </w:tc>
        <w:tc>
          <w:tcPr>
            <w:tcW w:w="1149" w:type="dxa"/>
            <w:hideMark/>
          </w:tcPr>
          <w:p w14:paraId="580FA364"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29,212</w:t>
            </w:r>
          </w:p>
        </w:tc>
        <w:tc>
          <w:tcPr>
            <w:tcW w:w="1149" w:type="dxa"/>
            <w:hideMark/>
          </w:tcPr>
          <w:p w14:paraId="6AFC1D59"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48,362</w:t>
            </w:r>
          </w:p>
        </w:tc>
        <w:tc>
          <w:tcPr>
            <w:tcW w:w="1149" w:type="dxa"/>
            <w:hideMark/>
          </w:tcPr>
          <w:p w14:paraId="64FEE05B"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19,150</w:t>
            </w:r>
          </w:p>
        </w:tc>
        <w:tc>
          <w:tcPr>
            <w:tcW w:w="1149" w:type="dxa"/>
            <w:hideMark/>
          </w:tcPr>
          <w:p w14:paraId="20F1FB2C" w14:textId="77777777" w:rsidR="00615FE0" w:rsidRPr="00615FE0" w:rsidRDefault="00615FE0" w:rsidP="000519C1">
            <w:pPr>
              <w:keepNext/>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val="en-US" w:eastAsia="en-GB"/>
              </w:rPr>
              <w:t>65.60%</w:t>
            </w:r>
          </w:p>
        </w:tc>
      </w:tr>
    </w:tbl>
    <w:p w14:paraId="390C46B5" w14:textId="77777777" w:rsidR="00970D21" w:rsidRPr="000519C1" w:rsidRDefault="00970D21" w:rsidP="008E6E40">
      <w:pPr>
        <w:pStyle w:val="BodyText"/>
        <w:keepNext/>
        <w:tabs>
          <w:tab w:val="clear" w:pos="0"/>
          <w:tab w:val="left" w:pos="720"/>
        </w:tabs>
        <w:spacing w:after="0" w:line="240" w:lineRule="auto"/>
        <w:ind w:left="794" w:firstLine="0"/>
        <w:rPr>
          <w:rFonts w:ascii="Arial" w:hAnsi="Arial" w:cs="Arial"/>
          <w:sz w:val="24"/>
          <w:szCs w:val="24"/>
        </w:rPr>
      </w:pPr>
      <w:r w:rsidRPr="000519C1">
        <w:rPr>
          <w:rFonts w:ascii="Arial" w:hAnsi="Arial" w:cs="Arial"/>
          <w:sz w:val="24"/>
          <w:szCs w:val="24"/>
        </w:rPr>
        <w:t>Source: POPPI/PANSI and Demographic Projections</w:t>
      </w:r>
    </w:p>
    <w:p w14:paraId="270164F9" w14:textId="77777777" w:rsidR="00970D21" w:rsidRDefault="00970D21" w:rsidP="007D0FBF">
      <w:pPr>
        <w:pStyle w:val="11Bodytext"/>
      </w:pPr>
      <w:r>
        <w:t>Such is the scale of increase of those with dementia or other mobility problems, the analysis above would lead to the conclusion that the Councils should require all dwellings to be M4(2) compliant, subject to build form, topography, flooding etc. While in some cases this may challenge viability, the typical cost of M4(2) compliance is around £521 per unit for 2, 3, and 4-bedroom homes and just over £900 for 1 and 2 bedroom flats (Department for Communities and Local Government Housing Standards Review Cost Impacts, September 2014)</w:t>
      </w:r>
      <w:r>
        <w:rPr>
          <w:rStyle w:val="FootnoteReference"/>
        </w:rPr>
        <w:t xml:space="preserve"> </w:t>
      </w:r>
      <w:r>
        <w:rPr>
          <w:rStyle w:val="FootnoteReference"/>
        </w:rPr>
        <w:footnoteReference w:id="43"/>
      </w:r>
      <w:r>
        <w:t xml:space="preserve">. This does not include the extra land area needed to meet the standard. </w:t>
      </w:r>
    </w:p>
    <w:p w14:paraId="7B8B686A" w14:textId="77777777" w:rsidR="00970D21" w:rsidRDefault="00970D21" w:rsidP="007D0FBF">
      <w:pPr>
        <w:pStyle w:val="11Bodytext"/>
      </w:pPr>
      <w:r>
        <w:t>The Councils should also continue to work with the County Councils when dealing with more specific needs (</w:t>
      </w:r>
      <w:proofErr w:type="gramStart"/>
      <w:r>
        <w:t>e.g.</w:t>
      </w:r>
      <w:proofErr w:type="gramEnd"/>
      <w:r>
        <w:t xml:space="preserve"> autism), and whether they should be met through mainstream or more specialist forms of housing.</w:t>
      </w:r>
    </w:p>
    <w:p w14:paraId="656ACD1D" w14:textId="77777777" w:rsidR="00647ED0" w:rsidRDefault="00647ED0">
      <w:pPr>
        <w:spacing w:after="200"/>
        <w:rPr>
          <w:bCs/>
          <w:sz w:val="24"/>
          <w:szCs w:val="24"/>
        </w:rPr>
      </w:pPr>
      <w:r>
        <w:br w:type="page"/>
      </w:r>
    </w:p>
    <w:p w14:paraId="2E31A10C" w14:textId="59FD4C73" w:rsidR="00970D21" w:rsidRDefault="00970D21" w:rsidP="007D0FBF">
      <w:pPr>
        <w:pStyle w:val="11Bodytext"/>
      </w:pPr>
      <w:r>
        <w:lastRenderedPageBreak/>
        <w:t>In seeking M4(2) compliant homes, the Councils should be mindful that such homes could be considered as ‘homes for life’ and would be suitable for any occupant, regardless of whether or not they have a long term health problem or disability at the time of initial occupation.</w:t>
      </w:r>
    </w:p>
    <w:p w14:paraId="40FC0A9F" w14:textId="77777777" w:rsidR="00970D21" w:rsidRDefault="00970D21" w:rsidP="000519C1">
      <w:pPr>
        <w:pStyle w:val="Heading3"/>
      </w:pPr>
      <w:bookmarkStart w:id="28" w:name="_Hlk78202133"/>
      <w:r>
        <w:t>Wheelchair User Housing – M4(3)</w:t>
      </w:r>
    </w:p>
    <w:p w14:paraId="7F9606A3" w14:textId="77777777" w:rsidR="00D06481" w:rsidRDefault="00970D21" w:rsidP="007D0FBF">
      <w:pPr>
        <w:pStyle w:val="11Bodytext"/>
      </w:pPr>
      <w:r>
        <w:t xml:space="preserve">Information about the need for housing for wheelchair users is difficult to obtain, particularly at a local level and estimates of need produced in this report draw on data from the English Housing Survey (EHS) which provides a range of relevant data, but often for different time periods. The EHS data used includes the age structure of wheelchair users, information about work needed to </w:t>
      </w:r>
      <w:proofErr w:type="gramStart"/>
      <w:r>
        <w:t>homes</w:t>
      </w:r>
      <w:proofErr w:type="gramEnd"/>
      <w:r>
        <w:t xml:space="preserve"> to make them ‘visitable’ for wheelchair users and data about wheelchair users by tenure</w:t>
      </w:r>
    </w:p>
    <w:p w14:paraId="53E6B4FB" w14:textId="77777777" w:rsidR="00D06481" w:rsidRDefault="00970D21" w:rsidP="007D0FBF">
      <w:pPr>
        <w:pStyle w:val="11Bodytext"/>
      </w:pPr>
      <w:r w:rsidRPr="00D06481">
        <w:t xml:space="preserve">The analysis below sets out estimates of the number of wheelchair users in the HMA; this has been based on estimating prevalence rates from the 2011-12 EHS </w:t>
      </w:r>
      <w:r w:rsidRPr="000519C1">
        <w:rPr>
          <w:color w:val="auto"/>
        </w:rPr>
        <w:t>(</w:t>
      </w:r>
      <w:hyperlink r:id="rId73" w:history="1">
        <w:r w:rsidRPr="000519C1">
          <w:rPr>
            <w:rStyle w:val="Hyperlink"/>
            <w:rFonts w:eastAsiaTheme="majorEastAsia"/>
            <w:color w:val="auto"/>
          </w:rPr>
          <w:t>Annex Table 6.11</w:t>
        </w:r>
      </w:hyperlink>
      <w:r w:rsidRPr="000519C1">
        <w:rPr>
          <w:color w:val="auto"/>
        </w:rPr>
        <w:t xml:space="preserve">) combined </w:t>
      </w:r>
      <w:r w:rsidRPr="00D06481">
        <w:t xml:space="preserve">with Census data. </w:t>
      </w:r>
    </w:p>
    <w:p w14:paraId="33A9C352" w14:textId="77777777" w:rsidR="00D06481" w:rsidRDefault="00970D21" w:rsidP="007D0FBF">
      <w:pPr>
        <w:pStyle w:val="11Bodytext"/>
      </w:pPr>
      <w:r w:rsidRPr="00D06481">
        <w:t xml:space="preserve">At the time, the EHS showed that, for households where the oldest person was aged under 60, there were 184,000 households with a wheelchair user. The 2011 Census showed around 40.6 million people aged under 60 and therefore a base prevalence rate of 0.005 has been calculated for this group – essentially for every 1,000 people aged under 60 there are likely to be around 5 wheelchair user households. </w:t>
      </w:r>
    </w:p>
    <w:p w14:paraId="1942CDEA" w14:textId="140C3714" w:rsidR="00066DE2" w:rsidRPr="00D06481" w:rsidRDefault="00970D21" w:rsidP="007D0FBF">
      <w:pPr>
        <w:pStyle w:val="11Bodytext"/>
      </w:pPr>
      <w:r w:rsidRPr="00185BEA">
        <w:t xml:space="preserve">The table below shows data for a full range of age groups. It should be noted that whilst the prevalence rates mix households and population, they will provide a reasonable estimate of the number of </w:t>
      </w:r>
      <w:r w:rsidRPr="008E6E40">
        <w:t>wheelchair user households.</w:t>
      </w:r>
    </w:p>
    <w:p w14:paraId="15E63ED0" w14:textId="3160429E" w:rsidR="00970D21" w:rsidRDefault="00066DE2" w:rsidP="003D5E23">
      <w:pPr>
        <w:pStyle w:val="Tableheading"/>
      </w:pPr>
      <w:r>
        <w:rPr>
          <w:lang w:eastAsia="en-GB"/>
        </w:rPr>
        <w:lastRenderedPageBreak/>
        <w:t>Baseline prevalence rates by age used to estimate wheelchair user households</w:t>
      </w:r>
    </w:p>
    <w:tbl>
      <w:tblPr>
        <w:tblStyle w:val="TableGridLight1"/>
        <w:tblW w:w="8647" w:type="dxa"/>
        <w:tblInd w:w="704" w:type="dxa"/>
        <w:tblLook w:val="04A0" w:firstRow="1" w:lastRow="0" w:firstColumn="1" w:lastColumn="0" w:noHBand="0" w:noVBand="1"/>
      </w:tblPr>
      <w:tblGrid>
        <w:gridCol w:w="2161"/>
        <w:gridCol w:w="2162"/>
        <w:gridCol w:w="2162"/>
        <w:gridCol w:w="2162"/>
      </w:tblGrid>
      <w:tr w:rsidR="003A75AB" w:rsidRPr="003A75AB" w14:paraId="3A3DFBA1" w14:textId="77777777" w:rsidTr="004F4BA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61" w:type="dxa"/>
            <w:hideMark/>
          </w:tcPr>
          <w:p w14:paraId="7AF519BD" w14:textId="77777777" w:rsidR="00970D21" w:rsidRPr="004F4BA7" w:rsidRDefault="00970D21" w:rsidP="008E6E40">
            <w:pPr>
              <w:keepNext/>
              <w:rPr>
                <w:color w:val="auto"/>
                <w:lang w:eastAsia="en-GB"/>
              </w:rPr>
            </w:pPr>
            <w:r w:rsidRPr="004F4BA7">
              <w:rPr>
                <w:color w:val="auto"/>
                <w:lang w:eastAsia="en-GB"/>
              </w:rPr>
              <w:t> </w:t>
            </w:r>
          </w:p>
        </w:tc>
        <w:tc>
          <w:tcPr>
            <w:tcW w:w="2162" w:type="dxa"/>
            <w:hideMark/>
          </w:tcPr>
          <w:p w14:paraId="27E952BC"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Number of wheelchair user households</w:t>
            </w:r>
          </w:p>
        </w:tc>
        <w:tc>
          <w:tcPr>
            <w:tcW w:w="2162" w:type="dxa"/>
            <w:hideMark/>
          </w:tcPr>
          <w:p w14:paraId="3D17BF81"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Household population</w:t>
            </w:r>
          </w:p>
        </w:tc>
        <w:tc>
          <w:tcPr>
            <w:tcW w:w="2162" w:type="dxa"/>
            <w:hideMark/>
          </w:tcPr>
          <w:p w14:paraId="531A7D19"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Prevalence (per 1,000 population)</w:t>
            </w:r>
          </w:p>
        </w:tc>
      </w:tr>
      <w:tr w:rsidR="003A75AB" w:rsidRPr="003A75AB" w14:paraId="394D823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2161" w:type="dxa"/>
            <w:hideMark/>
          </w:tcPr>
          <w:p w14:paraId="76EB1744" w14:textId="77777777" w:rsidR="00970D21" w:rsidRPr="004F4BA7" w:rsidRDefault="00970D21" w:rsidP="008E6E40">
            <w:pPr>
              <w:keepNext/>
              <w:rPr>
                <w:color w:val="auto"/>
                <w:lang w:eastAsia="en-GB"/>
              </w:rPr>
            </w:pPr>
            <w:r w:rsidRPr="004F4BA7">
              <w:rPr>
                <w:color w:val="auto"/>
                <w:lang w:eastAsia="en-GB"/>
              </w:rPr>
              <w:t>Under 60 years</w:t>
            </w:r>
          </w:p>
        </w:tc>
        <w:tc>
          <w:tcPr>
            <w:tcW w:w="2162" w:type="dxa"/>
            <w:hideMark/>
          </w:tcPr>
          <w:p w14:paraId="33E88C5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183,938</w:t>
            </w:r>
          </w:p>
        </w:tc>
        <w:tc>
          <w:tcPr>
            <w:tcW w:w="2162" w:type="dxa"/>
            <w:hideMark/>
          </w:tcPr>
          <w:p w14:paraId="7B5D5440"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40,562,374</w:t>
            </w:r>
          </w:p>
        </w:tc>
        <w:tc>
          <w:tcPr>
            <w:tcW w:w="2162" w:type="dxa"/>
            <w:hideMark/>
          </w:tcPr>
          <w:p w14:paraId="4676093F"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w:t>
            </w:r>
          </w:p>
        </w:tc>
      </w:tr>
      <w:tr w:rsidR="003A75AB" w:rsidRPr="003A75AB" w14:paraId="5084DACD"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2161" w:type="dxa"/>
            <w:hideMark/>
          </w:tcPr>
          <w:p w14:paraId="6D8A3B85" w14:textId="77777777" w:rsidR="00970D21" w:rsidRPr="004F4BA7" w:rsidRDefault="00970D21" w:rsidP="008E6E40">
            <w:pPr>
              <w:keepNext/>
              <w:rPr>
                <w:color w:val="auto"/>
                <w:lang w:eastAsia="en-GB"/>
              </w:rPr>
            </w:pPr>
            <w:r w:rsidRPr="004F4BA7">
              <w:rPr>
                <w:color w:val="auto"/>
                <w:lang w:eastAsia="en-GB"/>
              </w:rPr>
              <w:t>60-74 years</w:t>
            </w:r>
          </w:p>
        </w:tc>
        <w:tc>
          <w:tcPr>
            <w:tcW w:w="2162" w:type="dxa"/>
            <w:hideMark/>
          </w:tcPr>
          <w:p w14:paraId="6B1A4397"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204,822</w:t>
            </w:r>
          </w:p>
        </w:tc>
        <w:tc>
          <w:tcPr>
            <w:tcW w:w="2162" w:type="dxa"/>
            <w:hideMark/>
          </w:tcPr>
          <w:p w14:paraId="699FF5CF"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7,668,495</w:t>
            </w:r>
          </w:p>
        </w:tc>
        <w:tc>
          <w:tcPr>
            <w:tcW w:w="2162" w:type="dxa"/>
            <w:hideMark/>
          </w:tcPr>
          <w:p w14:paraId="38A5ED14"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27</w:t>
            </w:r>
          </w:p>
        </w:tc>
      </w:tr>
      <w:tr w:rsidR="003A75AB" w:rsidRPr="003A75AB" w14:paraId="7F5AA418"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2161" w:type="dxa"/>
            <w:hideMark/>
          </w:tcPr>
          <w:p w14:paraId="13CACFB4" w14:textId="77777777" w:rsidR="00970D21" w:rsidRPr="004F4BA7" w:rsidRDefault="00970D21" w:rsidP="008E6E40">
            <w:pPr>
              <w:keepNext/>
              <w:rPr>
                <w:color w:val="auto"/>
                <w:lang w:eastAsia="en-GB"/>
              </w:rPr>
            </w:pPr>
            <w:r w:rsidRPr="004F4BA7">
              <w:rPr>
                <w:color w:val="auto"/>
                <w:lang w:eastAsia="en-GB"/>
              </w:rPr>
              <w:t>75-84 years</w:t>
            </w:r>
          </w:p>
        </w:tc>
        <w:tc>
          <w:tcPr>
            <w:tcW w:w="2162" w:type="dxa"/>
            <w:hideMark/>
          </w:tcPr>
          <w:p w14:paraId="668EEF13"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191,249</w:t>
            </w:r>
          </w:p>
        </w:tc>
        <w:tc>
          <w:tcPr>
            <w:tcW w:w="2162" w:type="dxa"/>
            <w:hideMark/>
          </w:tcPr>
          <w:p w14:paraId="14769F12"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2,831,815</w:t>
            </w:r>
          </w:p>
        </w:tc>
        <w:tc>
          <w:tcPr>
            <w:tcW w:w="2162" w:type="dxa"/>
            <w:hideMark/>
          </w:tcPr>
          <w:p w14:paraId="25C12FFC"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68</w:t>
            </w:r>
          </w:p>
        </w:tc>
      </w:tr>
      <w:tr w:rsidR="003A75AB" w:rsidRPr="003A75AB" w14:paraId="0939B869" w14:textId="77777777" w:rsidTr="004F4BA7">
        <w:trPr>
          <w:trHeight w:val="300"/>
        </w:trPr>
        <w:tc>
          <w:tcPr>
            <w:cnfStyle w:val="001000000000" w:firstRow="0" w:lastRow="0" w:firstColumn="1" w:lastColumn="0" w:oddVBand="0" w:evenVBand="0" w:oddHBand="0" w:evenHBand="0" w:firstRowFirstColumn="0" w:firstRowLastColumn="0" w:lastRowFirstColumn="0" w:lastRowLastColumn="0"/>
            <w:tcW w:w="2161" w:type="dxa"/>
            <w:hideMark/>
          </w:tcPr>
          <w:p w14:paraId="53562CD8" w14:textId="77777777" w:rsidR="00970D21" w:rsidRPr="004F4BA7" w:rsidRDefault="00970D21" w:rsidP="008E6E40">
            <w:pPr>
              <w:keepNext/>
              <w:rPr>
                <w:color w:val="auto"/>
                <w:lang w:eastAsia="en-GB"/>
              </w:rPr>
            </w:pPr>
            <w:r w:rsidRPr="004F4BA7">
              <w:rPr>
                <w:color w:val="auto"/>
                <w:lang w:eastAsia="en-GB"/>
              </w:rPr>
              <w:t>85 years or over</w:t>
            </w:r>
          </w:p>
        </w:tc>
        <w:tc>
          <w:tcPr>
            <w:tcW w:w="2162" w:type="dxa"/>
            <w:hideMark/>
          </w:tcPr>
          <w:p w14:paraId="2C034BB0"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145,842</w:t>
            </w:r>
          </w:p>
        </w:tc>
        <w:tc>
          <w:tcPr>
            <w:tcW w:w="2162" w:type="dxa"/>
            <w:hideMark/>
          </w:tcPr>
          <w:p w14:paraId="157B640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997,247</w:t>
            </w:r>
          </w:p>
        </w:tc>
        <w:tc>
          <w:tcPr>
            <w:tcW w:w="2162" w:type="dxa"/>
            <w:hideMark/>
          </w:tcPr>
          <w:p w14:paraId="39B8FFCA"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146</w:t>
            </w:r>
          </w:p>
        </w:tc>
      </w:tr>
    </w:tbl>
    <w:p w14:paraId="06644753" w14:textId="002605B9" w:rsidR="00970D21" w:rsidRDefault="00D06481" w:rsidP="008E6E40">
      <w:pPr>
        <w:pStyle w:val="BodyText"/>
        <w:keepNext/>
        <w:spacing w:after="0" w:line="240" w:lineRule="auto"/>
        <w:rPr>
          <w:rFonts w:cs="Arial"/>
        </w:rPr>
      </w:pPr>
      <w:r>
        <w:rPr>
          <w:rFonts w:cs="Arial"/>
        </w:rPr>
        <w:tab/>
        <w:t xml:space="preserve">             </w:t>
      </w:r>
      <w:r w:rsidR="00970D21" w:rsidRPr="000519C1">
        <w:rPr>
          <w:rFonts w:cs="Arial"/>
          <w:sz w:val="24"/>
          <w:szCs w:val="24"/>
        </w:rPr>
        <w:t>Source: Derived from EHS (2011-12) and 2011 Census table LC1105EW</w:t>
      </w:r>
    </w:p>
    <w:p w14:paraId="5010F0F3" w14:textId="77777777" w:rsidR="00970D21" w:rsidRDefault="00970D21" w:rsidP="00970D21">
      <w:pPr>
        <w:pStyle w:val="BodyText"/>
        <w:tabs>
          <w:tab w:val="clear" w:pos="0"/>
          <w:tab w:val="left" w:pos="720"/>
        </w:tabs>
        <w:spacing w:after="0" w:line="300" w:lineRule="auto"/>
        <w:ind w:left="360" w:firstLine="0"/>
        <w:jc w:val="left"/>
        <w:rPr>
          <w:rFonts w:cs="Arial"/>
        </w:rPr>
      </w:pPr>
    </w:p>
    <w:p w14:paraId="3CF298E5" w14:textId="2F312668" w:rsidR="00970D21" w:rsidRDefault="00970D21" w:rsidP="007D0FBF">
      <w:pPr>
        <w:pStyle w:val="11Bodytext"/>
      </w:pPr>
      <w:r>
        <w:t xml:space="preserve">The analysis also considers the relative health of the population of the HMA. For this, data has been taken from the 2011 Census for the household population with ‘day to day activities limited a lot’ by their disability (Table DC3302EW). </w:t>
      </w:r>
    </w:p>
    <w:p w14:paraId="41E06308" w14:textId="58234BF6" w:rsidR="00970D21" w:rsidRDefault="00970D21" w:rsidP="007D0FBF">
      <w:pPr>
        <w:pStyle w:val="11Bodytext"/>
      </w:pPr>
      <w:r>
        <w:t>The table below shows this information by age in both the HMA and England, and also shows the adjustment made to reflect differences in health between the areas. Due to the age bands used in the Census, there has been some degree of adjustment for the under 60 and 60-74 age groups. The data shows lower levels of disability for all age groups in the HMA, pointing to a slightly lower than average proportion of wheelchair user households.</w:t>
      </w:r>
    </w:p>
    <w:p w14:paraId="5843FB94" w14:textId="0A708E47" w:rsidR="00970D21" w:rsidRDefault="00810177" w:rsidP="003D5E23">
      <w:pPr>
        <w:pStyle w:val="Tableheading"/>
        <w:rPr>
          <w:lang w:eastAsia="en-GB"/>
        </w:rPr>
      </w:pPr>
      <w:r>
        <w:rPr>
          <w:lang w:eastAsia="en-GB"/>
        </w:rPr>
        <w:t>Proportion of people with day-to-day activities limited a lot (by age) – 2011 and implied prevalence rate for wheelchair user households</w:t>
      </w:r>
    </w:p>
    <w:tbl>
      <w:tblPr>
        <w:tblStyle w:val="TableGridLight1"/>
        <w:tblW w:w="8741" w:type="dxa"/>
        <w:tblInd w:w="846" w:type="dxa"/>
        <w:tblLook w:val="04A0" w:firstRow="1" w:lastRow="0" w:firstColumn="1" w:lastColumn="0" w:noHBand="0" w:noVBand="1"/>
      </w:tblPr>
      <w:tblGrid>
        <w:gridCol w:w="1941"/>
        <w:gridCol w:w="1700"/>
        <w:gridCol w:w="1700"/>
        <w:gridCol w:w="1700"/>
        <w:gridCol w:w="1700"/>
      </w:tblGrid>
      <w:tr w:rsidR="00615FE0" w:rsidRPr="00615FE0" w14:paraId="386F1054" w14:textId="77777777" w:rsidTr="000519C1">
        <w:trPr>
          <w:cnfStyle w:val="100000000000" w:firstRow="1" w:lastRow="0" w:firstColumn="0" w:lastColumn="0" w:oddVBand="0" w:evenVBand="0" w:oddHBand="0" w:evenHBand="0" w:firstRowFirstColumn="0" w:firstRowLastColumn="0" w:lastRowFirstColumn="0" w:lastRowLastColumn="0"/>
          <w:cantSplit/>
          <w:trHeight w:val="1831"/>
        </w:trPr>
        <w:tc>
          <w:tcPr>
            <w:cnfStyle w:val="001000000000" w:firstRow="0" w:lastRow="0" w:firstColumn="1" w:lastColumn="0" w:oddVBand="0" w:evenVBand="0" w:oddHBand="0" w:evenHBand="0" w:firstRowFirstColumn="0" w:firstRowLastColumn="0" w:lastRowFirstColumn="0" w:lastRowLastColumn="0"/>
            <w:tcW w:w="1941" w:type="dxa"/>
            <w:hideMark/>
          </w:tcPr>
          <w:p w14:paraId="2570EA4F" w14:textId="77777777" w:rsidR="00615FE0" w:rsidRPr="00615FE0" w:rsidRDefault="00615FE0" w:rsidP="00615FE0">
            <w:pPr>
              <w:rPr>
                <w:color w:val="auto"/>
                <w:lang w:eastAsia="en-GB"/>
              </w:rPr>
            </w:pPr>
            <w:r w:rsidRPr="00615FE0">
              <w:rPr>
                <w:color w:val="auto"/>
                <w:lang w:eastAsia="en-GB"/>
              </w:rPr>
              <w:t> </w:t>
            </w:r>
          </w:p>
        </w:tc>
        <w:tc>
          <w:tcPr>
            <w:tcW w:w="1700" w:type="dxa"/>
            <w:textDirection w:val="btLr"/>
            <w:hideMark/>
          </w:tcPr>
          <w:p w14:paraId="77D9934A" w14:textId="77777777" w:rsidR="00615FE0" w:rsidRPr="00615FE0" w:rsidRDefault="00615FE0" w:rsidP="000519C1">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 of age group with day-to-day activities limited a lot (HMA)</w:t>
            </w:r>
          </w:p>
        </w:tc>
        <w:tc>
          <w:tcPr>
            <w:tcW w:w="1700" w:type="dxa"/>
            <w:textDirection w:val="btLr"/>
            <w:hideMark/>
          </w:tcPr>
          <w:p w14:paraId="70F47FBB" w14:textId="77777777" w:rsidR="00615FE0" w:rsidRPr="00615FE0" w:rsidRDefault="00615FE0" w:rsidP="000519C1">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 of age group with day-to-day activities limited a lot (England))</w:t>
            </w:r>
          </w:p>
        </w:tc>
        <w:tc>
          <w:tcPr>
            <w:tcW w:w="1700" w:type="dxa"/>
            <w:textDirection w:val="btLr"/>
            <w:hideMark/>
          </w:tcPr>
          <w:p w14:paraId="6ED520E4" w14:textId="77777777" w:rsidR="00615FE0" w:rsidRPr="00615FE0" w:rsidRDefault="00615FE0" w:rsidP="000519C1">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HMA as % of England</w:t>
            </w:r>
          </w:p>
        </w:tc>
        <w:tc>
          <w:tcPr>
            <w:tcW w:w="1700" w:type="dxa"/>
            <w:textDirection w:val="btLr"/>
            <w:hideMark/>
          </w:tcPr>
          <w:p w14:paraId="015BC3B1" w14:textId="77777777" w:rsidR="00615FE0" w:rsidRPr="00615FE0" w:rsidRDefault="00615FE0" w:rsidP="000519C1">
            <w:pPr>
              <w:ind w:left="113" w:right="113"/>
              <w:jc w:val="left"/>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Wheelchair user prevalence rate (per 1,000 population)</w:t>
            </w:r>
          </w:p>
        </w:tc>
      </w:tr>
      <w:tr w:rsidR="00615FE0" w:rsidRPr="00615FE0" w14:paraId="399AFC1A" w14:textId="77777777" w:rsidTr="00615FE0">
        <w:trPr>
          <w:trHeight w:val="397"/>
        </w:trPr>
        <w:tc>
          <w:tcPr>
            <w:cnfStyle w:val="001000000000" w:firstRow="0" w:lastRow="0" w:firstColumn="1" w:lastColumn="0" w:oddVBand="0" w:evenVBand="0" w:oddHBand="0" w:evenHBand="0" w:firstRowFirstColumn="0" w:firstRowLastColumn="0" w:lastRowFirstColumn="0" w:lastRowLastColumn="0"/>
            <w:tcW w:w="1941" w:type="dxa"/>
            <w:hideMark/>
          </w:tcPr>
          <w:p w14:paraId="17D234BF" w14:textId="6AA6276D" w:rsidR="00615FE0" w:rsidRPr="00615FE0" w:rsidRDefault="00615FE0" w:rsidP="00615FE0">
            <w:pPr>
              <w:rPr>
                <w:color w:val="auto"/>
                <w:lang w:eastAsia="en-GB"/>
              </w:rPr>
            </w:pPr>
            <w:r w:rsidRPr="00615FE0">
              <w:rPr>
                <w:color w:val="auto"/>
                <w:lang w:eastAsia="en-GB"/>
              </w:rPr>
              <w:t>Under 60 years</w:t>
            </w:r>
          </w:p>
        </w:tc>
        <w:tc>
          <w:tcPr>
            <w:tcW w:w="1700" w:type="dxa"/>
            <w:hideMark/>
          </w:tcPr>
          <w:p w14:paraId="763E343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3.10%</w:t>
            </w:r>
          </w:p>
        </w:tc>
        <w:tc>
          <w:tcPr>
            <w:tcW w:w="1700" w:type="dxa"/>
            <w:hideMark/>
          </w:tcPr>
          <w:p w14:paraId="4B66F27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4.20%</w:t>
            </w:r>
          </w:p>
        </w:tc>
        <w:tc>
          <w:tcPr>
            <w:tcW w:w="1700" w:type="dxa"/>
            <w:hideMark/>
          </w:tcPr>
          <w:p w14:paraId="47714F4C"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74.20%</w:t>
            </w:r>
          </w:p>
        </w:tc>
        <w:tc>
          <w:tcPr>
            <w:tcW w:w="1700" w:type="dxa"/>
            <w:hideMark/>
          </w:tcPr>
          <w:p w14:paraId="60FBDEB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3</w:t>
            </w:r>
          </w:p>
        </w:tc>
      </w:tr>
      <w:tr w:rsidR="00615FE0" w:rsidRPr="00615FE0" w14:paraId="34CB4D11" w14:textId="77777777" w:rsidTr="00615FE0">
        <w:trPr>
          <w:trHeight w:val="397"/>
        </w:trPr>
        <w:tc>
          <w:tcPr>
            <w:cnfStyle w:val="001000000000" w:firstRow="0" w:lastRow="0" w:firstColumn="1" w:lastColumn="0" w:oddVBand="0" w:evenVBand="0" w:oddHBand="0" w:evenHBand="0" w:firstRowFirstColumn="0" w:firstRowLastColumn="0" w:lastRowFirstColumn="0" w:lastRowLastColumn="0"/>
            <w:tcW w:w="1941" w:type="dxa"/>
            <w:hideMark/>
          </w:tcPr>
          <w:p w14:paraId="09C63615" w14:textId="77777777" w:rsidR="00615FE0" w:rsidRPr="00615FE0" w:rsidRDefault="00615FE0" w:rsidP="00615FE0">
            <w:pPr>
              <w:rPr>
                <w:color w:val="auto"/>
                <w:lang w:eastAsia="en-GB"/>
              </w:rPr>
            </w:pPr>
            <w:r w:rsidRPr="00615FE0">
              <w:rPr>
                <w:color w:val="auto"/>
                <w:lang w:eastAsia="en-GB"/>
              </w:rPr>
              <w:t>60-74 years</w:t>
            </w:r>
          </w:p>
        </w:tc>
        <w:tc>
          <w:tcPr>
            <w:tcW w:w="1700" w:type="dxa"/>
            <w:hideMark/>
          </w:tcPr>
          <w:p w14:paraId="141585C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10.10%</w:t>
            </w:r>
          </w:p>
        </w:tc>
        <w:tc>
          <w:tcPr>
            <w:tcW w:w="1700" w:type="dxa"/>
            <w:hideMark/>
          </w:tcPr>
          <w:p w14:paraId="18BA7F2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13.90%</w:t>
            </w:r>
          </w:p>
        </w:tc>
        <w:tc>
          <w:tcPr>
            <w:tcW w:w="1700" w:type="dxa"/>
            <w:hideMark/>
          </w:tcPr>
          <w:p w14:paraId="45AC12A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72.20%</w:t>
            </w:r>
          </w:p>
        </w:tc>
        <w:tc>
          <w:tcPr>
            <w:tcW w:w="1700" w:type="dxa"/>
            <w:hideMark/>
          </w:tcPr>
          <w:p w14:paraId="75540ED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19</w:t>
            </w:r>
          </w:p>
        </w:tc>
      </w:tr>
      <w:tr w:rsidR="00615FE0" w:rsidRPr="00615FE0" w14:paraId="50D6CE6D" w14:textId="77777777" w:rsidTr="00615FE0">
        <w:trPr>
          <w:trHeight w:val="397"/>
        </w:trPr>
        <w:tc>
          <w:tcPr>
            <w:cnfStyle w:val="001000000000" w:firstRow="0" w:lastRow="0" w:firstColumn="1" w:lastColumn="0" w:oddVBand="0" w:evenVBand="0" w:oddHBand="0" w:evenHBand="0" w:firstRowFirstColumn="0" w:firstRowLastColumn="0" w:lastRowFirstColumn="0" w:lastRowLastColumn="0"/>
            <w:tcW w:w="1941" w:type="dxa"/>
            <w:hideMark/>
          </w:tcPr>
          <w:p w14:paraId="765846BC" w14:textId="77777777" w:rsidR="00615FE0" w:rsidRPr="00615FE0" w:rsidRDefault="00615FE0" w:rsidP="00615FE0">
            <w:pPr>
              <w:rPr>
                <w:color w:val="auto"/>
                <w:lang w:eastAsia="en-GB"/>
              </w:rPr>
            </w:pPr>
            <w:r w:rsidRPr="00615FE0">
              <w:rPr>
                <w:color w:val="auto"/>
                <w:lang w:eastAsia="en-GB"/>
              </w:rPr>
              <w:t>75-84 years</w:t>
            </w:r>
          </w:p>
        </w:tc>
        <w:tc>
          <w:tcPr>
            <w:tcW w:w="1700" w:type="dxa"/>
            <w:hideMark/>
          </w:tcPr>
          <w:p w14:paraId="339E9807"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25.50%</w:t>
            </w:r>
          </w:p>
        </w:tc>
        <w:tc>
          <w:tcPr>
            <w:tcW w:w="1700" w:type="dxa"/>
            <w:hideMark/>
          </w:tcPr>
          <w:p w14:paraId="663B169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29.10%</w:t>
            </w:r>
          </w:p>
        </w:tc>
        <w:tc>
          <w:tcPr>
            <w:tcW w:w="1700" w:type="dxa"/>
            <w:hideMark/>
          </w:tcPr>
          <w:p w14:paraId="03DE74B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87.60%</w:t>
            </w:r>
          </w:p>
        </w:tc>
        <w:tc>
          <w:tcPr>
            <w:tcW w:w="1700" w:type="dxa"/>
            <w:hideMark/>
          </w:tcPr>
          <w:p w14:paraId="0830BD3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59</w:t>
            </w:r>
          </w:p>
        </w:tc>
      </w:tr>
      <w:tr w:rsidR="00615FE0" w:rsidRPr="00615FE0" w14:paraId="0B714917" w14:textId="77777777" w:rsidTr="00615FE0">
        <w:trPr>
          <w:trHeight w:val="397"/>
        </w:trPr>
        <w:tc>
          <w:tcPr>
            <w:cnfStyle w:val="001000000000" w:firstRow="0" w:lastRow="0" w:firstColumn="1" w:lastColumn="0" w:oddVBand="0" w:evenVBand="0" w:oddHBand="0" w:evenHBand="0" w:firstRowFirstColumn="0" w:firstRowLastColumn="0" w:lastRowFirstColumn="0" w:lastRowLastColumn="0"/>
            <w:tcW w:w="1941" w:type="dxa"/>
            <w:hideMark/>
          </w:tcPr>
          <w:p w14:paraId="5BBA0C54" w14:textId="77777777" w:rsidR="00615FE0" w:rsidRPr="00615FE0" w:rsidRDefault="00615FE0" w:rsidP="00615FE0">
            <w:pPr>
              <w:rPr>
                <w:color w:val="auto"/>
                <w:lang w:eastAsia="en-GB"/>
              </w:rPr>
            </w:pPr>
            <w:r w:rsidRPr="00615FE0">
              <w:rPr>
                <w:color w:val="auto"/>
                <w:lang w:eastAsia="en-GB"/>
              </w:rPr>
              <w:t>85 years or over</w:t>
            </w:r>
          </w:p>
        </w:tc>
        <w:tc>
          <w:tcPr>
            <w:tcW w:w="1700" w:type="dxa"/>
            <w:hideMark/>
          </w:tcPr>
          <w:p w14:paraId="0B77DF77"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50.60%</w:t>
            </w:r>
          </w:p>
        </w:tc>
        <w:tc>
          <w:tcPr>
            <w:tcW w:w="1700" w:type="dxa"/>
            <w:hideMark/>
          </w:tcPr>
          <w:p w14:paraId="10C48FC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52.30%</w:t>
            </w:r>
          </w:p>
        </w:tc>
        <w:tc>
          <w:tcPr>
            <w:tcW w:w="1700" w:type="dxa"/>
            <w:hideMark/>
          </w:tcPr>
          <w:p w14:paraId="5FCBA97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96.80%</w:t>
            </w:r>
          </w:p>
        </w:tc>
        <w:tc>
          <w:tcPr>
            <w:tcW w:w="1700" w:type="dxa"/>
            <w:hideMark/>
          </w:tcPr>
          <w:p w14:paraId="2330351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142</w:t>
            </w:r>
          </w:p>
        </w:tc>
      </w:tr>
    </w:tbl>
    <w:p w14:paraId="1BDE275B" w14:textId="3F88D1D5" w:rsidR="00970D21" w:rsidRDefault="00810177" w:rsidP="008E6E40">
      <w:pPr>
        <w:pStyle w:val="BodyText"/>
        <w:spacing w:after="0" w:line="300" w:lineRule="auto"/>
        <w:rPr>
          <w:rFonts w:cs="Arial"/>
        </w:rPr>
      </w:pPr>
      <w:r>
        <w:rPr>
          <w:rFonts w:cs="Arial"/>
        </w:rPr>
        <w:tab/>
      </w:r>
      <w:r w:rsidRPr="000519C1">
        <w:rPr>
          <w:rFonts w:cs="Arial"/>
          <w:sz w:val="24"/>
          <w:szCs w:val="24"/>
        </w:rPr>
        <w:t xml:space="preserve">            </w:t>
      </w:r>
      <w:r w:rsidR="00970D21" w:rsidRPr="000519C1">
        <w:rPr>
          <w:rFonts w:cs="Arial"/>
          <w:sz w:val="24"/>
          <w:szCs w:val="24"/>
        </w:rPr>
        <w:t>Source: Derived from EHS (2011-12) and 2011 Census</w:t>
      </w:r>
    </w:p>
    <w:p w14:paraId="5C5497EB" w14:textId="241319AA" w:rsidR="00970D21" w:rsidRDefault="00970D21" w:rsidP="007D0FBF">
      <w:pPr>
        <w:pStyle w:val="11Bodytext"/>
      </w:pPr>
      <w:r>
        <w:lastRenderedPageBreak/>
        <w:t>The table below shows the prevalence rate data for each local authority (</w:t>
      </w:r>
      <w:proofErr w:type="gramStart"/>
      <w:r>
        <w:t>i.e.</w:t>
      </w:r>
      <w:proofErr w:type="gramEnd"/>
      <w:r>
        <w:t xml:space="preserve"> the data in the final column of the previous table) – this reflects the relative health of the population in each area. The analysis shows higher rates in Fenland and lower rates in South Cambridgeshire in particular.</w:t>
      </w:r>
    </w:p>
    <w:p w14:paraId="0BCC5B43" w14:textId="77777777" w:rsidR="00810177" w:rsidRDefault="00810177" w:rsidP="008E6E40">
      <w:pPr>
        <w:pStyle w:val="BodyText"/>
        <w:tabs>
          <w:tab w:val="clear" w:pos="0"/>
          <w:tab w:val="clear" w:pos="1134"/>
          <w:tab w:val="left" w:pos="720"/>
        </w:tabs>
        <w:spacing w:after="0" w:line="300" w:lineRule="auto"/>
        <w:ind w:left="720" w:firstLine="0"/>
        <w:jc w:val="left"/>
        <w:rPr>
          <w:rFonts w:ascii="Arial" w:eastAsiaTheme="minorEastAsia" w:hAnsi="Arial" w:cs="Arial"/>
          <w:bCs/>
          <w:color w:val="000000" w:themeColor="text1"/>
          <w:lang w:eastAsia="ja-JP"/>
        </w:rPr>
      </w:pPr>
    </w:p>
    <w:p w14:paraId="345504A3" w14:textId="6E0DFC5E" w:rsidR="00970D21" w:rsidRDefault="00810177" w:rsidP="003D5E23">
      <w:pPr>
        <w:pStyle w:val="Tableheading"/>
      </w:pPr>
      <w:r>
        <w:t>Prevalence rates for wheelchair user households by age and local authority</w:t>
      </w:r>
    </w:p>
    <w:tbl>
      <w:tblPr>
        <w:tblStyle w:val="TableGridLight1"/>
        <w:tblW w:w="8653" w:type="dxa"/>
        <w:tblInd w:w="768" w:type="dxa"/>
        <w:tblLook w:val="04A0" w:firstRow="1" w:lastRow="0" w:firstColumn="1" w:lastColumn="0" w:noHBand="0" w:noVBand="1"/>
      </w:tblPr>
      <w:tblGrid>
        <w:gridCol w:w="2009"/>
        <w:gridCol w:w="1329"/>
        <w:gridCol w:w="874"/>
        <w:gridCol w:w="1105"/>
        <w:gridCol w:w="1132"/>
        <w:gridCol w:w="1102"/>
        <w:gridCol w:w="1102"/>
      </w:tblGrid>
      <w:tr w:rsidR="003A75AB" w:rsidRPr="003A75AB" w14:paraId="3522C6FD" w14:textId="77777777" w:rsidTr="004F4BA7">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009" w:type="dxa"/>
            <w:hideMark/>
          </w:tcPr>
          <w:p w14:paraId="20102AC2" w14:textId="77777777" w:rsidR="00970D21" w:rsidRPr="004F4BA7" w:rsidRDefault="00970D21" w:rsidP="008E6E40">
            <w:pPr>
              <w:keepNext/>
              <w:rPr>
                <w:color w:val="auto"/>
                <w:lang w:eastAsia="en-GB"/>
              </w:rPr>
            </w:pPr>
            <w:r w:rsidRPr="004F4BA7">
              <w:rPr>
                <w:color w:val="auto"/>
                <w:lang w:eastAsia="en-GB"/>
              </w:rPr>
              <w:t> </w:t>
            </w:r>
          </w:p>
        </w:tc>
        <w:tc>
          <w:tcPr>
            <w:tcW w:w="1329" w:type="dxa"/>
            <w:hideMark/>
          </w:tcPr>
          <w:p w14:paraId="27452314" w14:textId="7BDB84F5"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Cambridge</w:t>
            </w:r>
          </w:p>
        </w:tc>
        <w:tc>
          <w:tcPr>
            <w:tcW w:w="874" w:type="dxa"/>
            <w:hideMark/>
          </w:tcPr>
          <w:p w14:paraId="225F7E80"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East Cambs</w:t>
            </w:r>
          </w:p>
        </w:tc>
        <w:tc>
          <w:tcPr>
            <w:tcW w:w="1105" w:type="dxa"/>
            <w:hideMark/>
          </w:tcPr>
          <w:p w14:paraId="4484ABDF"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Fenland</w:t>
            </w:r>
          </w:p>
        </w:tc>
        <w:tc>
          <w:tcPr>
            <w:tcW w:w="1132" w:type="dxa"/>
            <w:hideMark/>
          </w:tcPr>
          <w:p w14:paraId="30C26CC5"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Hunting-</w:t>
            </w:r>
            <w:proofErr w:type="spellStart"/>
            <w:r w:rsidRPr="004F4BA7">
              <w:rPr>
                <w:color w:val="auto"/>
                <w:lang w:eastAsia="en-GB"/>
              </w:rPr>
              <w:t>donshire</w:t>
            </w:r>
            <w:proofErr w:type="spellEnd"/>
          </w:p>
        </w:tc>
        <w:tc>
          <w:tcPr>
            <w:tcW w:w="1102" w:type="dxa"/>
            <w:hideMark/>
          </w:tcPr>
          <w:p w14:paraId="2DD3847B"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South Cambs</w:t>
            </w:r>
          </w:p>
        </w:tc>
        <w:tc>
          <w:tcPr>
            <w:tcW w:w="1102" w:type="dxa"/>
            <w:hideMark/>
          </w:tcPr>
          <w:p w14:paraId="268E1E07" w14:textId="77777777" w:rsidR="00970D21" w:rsidRPr="004F4BA7" w:rsidRDefault="00970D21"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West Suffolk</w:t>
            </w:r>
          </w:p>
        </w:tc>
      </w:tr>
      <w:tr w:rsidR="003A75AB" w:rsidRPr="003A75AB" w14:paraId="47515C9D" w14:textId="77777777" w:rsidTr="004F4BA7">
        <w:trPr>
          <w:trHeight w:val="326"/>
        </w:trPr>
        <w:tc>
          <w:tcPr>
            <w:cnfStyle w:val="001000000000" w:firstRow="0" w:lastRow="0" w:firstColumn="1" w:lastColumn="0" w:oddVBand="0" w:evenVBand="0" w:oddHBand="0" w:evenHBand="0" w:firstRowFirstColumn="0" w:firstRowLastColumn="0" w:lastRowFirstColumn="0" w:lastRowLastColumn="0"/>
            <w:tcW w:w="2009" w:type="dxa"/>
            <w:hideMark/>
          </w:tcPr>
          <w:p w14:paraId="1238A697" w14:textId="77777777" w:rsidR="00970D21" w:rsidRPr="004F4BA7" w:rsidRDefault="00970D21" w:rsidP="008E6E40">
            <w:pPr>
              <w:keepNext/>
              <w:rPr>
                <w:color w:val="auto"/>
                <w:lang w:eastAsia="en-GB"/>
              </w:rPr>
            </w:pPr>
            <w:r w:rsidRPr="004F4BA7">
              <w:rPr>
                <w:color w:val="auto"/>
                <w:lang w:eastAsia="en-GB"/>
              </w:rPr>
              <w:t>Under 60 years</w:t>
            </w:r>
          </w:p>
        </w:tc>
        <w:tc>
          <w:tcPr>
            <w:tcW w:w="1329" w:type="dxa"/>
            <w:hideMark/>
          </w:tcPr>
          <w:p w14:paraId="225B97B2"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w:t>
            </w:r>
          </w:p>
        </w:tc>
        <w:tc>
          <w:tcPr>
            <w:tcW w:w="874" w:type="dxa"/>
            <w:hideMark/>
          </w:tcPr>
          <w:p w14:paraId="2ED73AE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w:t>
            </w:r>
          </w:p>
        </w:tc>
        <w:tc>
          <w:tcPr>
            <w:tcW w:w="1105" w:type="dxa"/>
            <w:hideMark/>
          </w:tcPr>
          <w:p w14:paraId="11FC0624"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w:t>
            </w:r>
          </w:p>
        </w:tc>
        <w:tc>
          <w:tcPr>
            <w:tcW w:w="1132" w:type="dxa"/>
            <w:hideMark/>
          </w:tcPr>
          <w:p w14:paraId="0C845279"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w:t>
            </w:r>
          </w:p>
        </w:tc>
        <w:tc>
          <w:tcPr>
            <w:tcW w:w="1102" w:type="dxa"/>
            <w:hideMark/>
          </w:tcPr>
          <w:p w14:paraId="4B5C92B2"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w:t>
            </w:r>
          </w:p>
        </w:tc>
        <w:tc>
          <w:tcPr>
            <w:tcW w:w="1102" w:type="dxa"/>
            <w:hideMark/>
          </w:tcPr>
          <w:p w14:paraId="39748CF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w:t>
            </w:r>
          </w:p>
        </w:tc>
      </w:tr>
      <w:tr w:rsidR="003A75AB" w:rsidRPr="003A75AB" w14:paraId="2BC5F152" w14:textId="77777777" w:rsidTr="004F4BA7">
        <w:trPr>
          <w:trHeight w:val="326"/>
        </w:trPr>
        <w:tc>
          <w:tcPr>
            <w:cnfStyle w:val="001000000000" w:firstRow="0" w:lastRow="0" w:firstColumn="1" w:lastColumn="0" w:oddVBand="0" w:evenVBand="0" w:oddHBand="0" w:evenHBand="0" w:firstRowFirstColumn="0" w:firstRowLastColumn="0" w:lastRowFirstColumn="0" w:lastRowLastColumn="0"/>
            <w:tcW w:w="2009" w:type="dxa"/>
            <w:hideMark/>
          </w:tcPr>
          <w:p w14:paraId="175ACE4D" w14:textId="77777777" w:rsidR="00970D21" w:rsidRPr="004F4BA7" w:rsidRDefault="00970D21" w:rsidP="008E6E40">
            <w:pPr>
              <w:keepNext/>
              <w:rPr>
                <w:color w:val="auto"/>
                <w:lang w:eastAsia="en-GB"/>
              </w:rPr>
            </w:pPr>
            <w:r w:rsidRPr="004F4BA7">
              <w:rPr>
                <w:color w:val="auto"/>
                <w:lang w:eastAsia="en-GB"/>
              </w:rPr>
              <w:t>60-74 years</w:t>
            </w:r>
          </w:p>
        </w:tc>
        <w:tc>
          <w:tcPr>
            <w:tcW w:w="1329" w:type="dxa"/>
            <w:hideMark/>
          </w:tcPr>
          <w:p w14:paraId="11A91C98"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w:t>
            </w:r>
          </w:p>
        </w:tc>
        <w:tc>
          <w:tcPr>
            <w:tcW w:w="874" w:type="dxa"/>
            <w:hideMark/>
          </w:tcPr>
          <w:p w14:paraId="1FBAA4AC"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w:t>
            </w:r>
          </w:p>
        </w:tc>
        <w:tc>
          <w:tcPr>
            <w:tcW w:w="1105" w:type="dxa"/>
            <w:hideMark/>
          </w:tcPr>
          <w:p w14:paraId="564C2FD4"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w:t>
            </w:r>
          </w:p>
        </w:tc>
        <w:tc>
          <w:tcPr>
            <w:tcW w:w="1132" w:type="dxa"/>
            <w:hideMark/>
          </w:tcPr>
          <w:p w14:paraId="43D3AD95"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w:t>
            </w:r>
          </w:p>
        </w:tc>
        <w:tc>
          <w:tcPr>
            <w:tcW w:w="1102" w:type="dxa"/>
            <w:hideMark/>
          </w:tcPr>
          <w:p w14:paraId="2AB7179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w:t>
            </w:r>
          </w:p>
        </w:tc>
        <w:tc>
          <w:tcPr>
            <w:tcW w:w="1102" w:type="dxa"/>
            <w:hideMark/>
          </w:tcPr>
          <w:p w14:paraId="4D114D0E"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w:t>
            </w:r>
          </w:p>
        </w:tc>
      </w:tr>
      <w:tr w:rsidR="003A75AB" w:rsidRPr="003A75AB" w14:paraId="0719BDEC" w14:textId="77777777" w:rsidTr="004F4BA7">
        <w:trPr>
          <w:trHeight w:val="326"/>
        </w:trPr>
        <w:tc>
          <w:tcPr>
            <w:cnfStyle w:val="001000000000" w:firstRow="0" w:lastRow="0" w:firstColumn="1" w:lastColumn="0" w:oddVBand="0" w:evenVBand="0" w:oddHBand="0" w:evenHBand="0" w:firstRowFirstColumn="0" w:firstRowLastColumn="0" w:lastRowFirstColumn="0" w:lastRowLastColumn="0"/>
            <w:tcW w:w="2009" w:type="dxa"/>
            <w:hideMark/>
          </w:tcPr>
          <w:p w14:paraId="63C7AB75" w14:textId="77777777" w:rsidR="00970D21" w:rsidRPr="004F4BA7" w:rsidRDefault="00970D21" w:rsidP="008E6E40">
            <w:pPr>
              <w:keepNext/>
              <w:rPr>
                <w:color w:val="auto"/>
                <w:lang w:eastAsia="en-GB"/>
              </w:rPr>
            </w:pPr>
            <w:r w:rsidRPr="004F4BA7">
              <w:rPr>
                <w:color w:val="auto"/>
                <w:lang w:eastAsia="en-GB"/>
              </w:rPr>
              <w:t>75-84 years</w:t>
            </w:r>
          </w:p>
        </w:tc>
        <w:tc>
          <w:tcPr>
            <w:tcW w:w="1329" w:type="dxa"/>
            <w:hideMark/>
          </w:tcPr>
          <w:p w14:paraId="7E098B15"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58</w:t>
            </w:r>
          </w:p>
        </w:tc>
        <w:tc>
          <w:tcPr>
            <w:tcW w:w="874" w:type="dxa"/>
            <w:hideMark/>
          </w:tcPr>
          <w:p w14:paraId="4F298DD4"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61</w:t>
            </w:r>
          </w:p>
        </w:tc>
        <w:tc>
          <w:tcPr>
            <w:tcW w:w="1105" w:type="dxa"/>
            <w:hideMark/>
          </w:tcPr>
          <w:p w14:paraId="0832D8C2"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70</w:t>
            </w:r>
          </w:p>
        </w:tc>
        <w:tc>
          <w:tcPr>
            <w:tcW w:w="1132" w:type="dxa"/>
            <w:hideMark/>
          </w:tcPr>
          <w:p w14:paraId="21B23CAE"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57</w:t>
            </w:r>
          </w:p>
        </w:tc>
        <w:tc>
          <w:tcPr>
            <w:tcW w:w="1102" w:type="dxa"/>
            <w:hideMark/>
          </w:tcPr>
          <w:p w14:paraId="4DCEAD83"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w:t>
            </w:r>
          </w:p>
        </w:tc>
        <w:tc>
          <w:tcPr>
            <w:tcW w:w="1102" w:type="dxa"/>
            <w:hideMark/>
          </w:tcPr>
          <w:p w14:paraId="0CE34D50"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60</w:t>
            </w:r>
          </w:p>
        </w:tc>
      </w:tr>
      <w:tr w:rsidR="003A75AB" w:rsidRPr="003A75AB" w14:paraId="0C0F7480" w14:textId="77777777" w:rsidTr="004F4BA7">
        <w:trPr>
          <w:trHeight w:val="326"/>
        </w:trPr>
        <w:tc>
          <w:tcPr>
            <w:cnfStyle w:val="001000000000" w:firstRow="0" w:lastRow="0" w:firstColumn="1" w:lastColumn="0" w:oddVBand="0" w:evenVBand="0" w:oddHBand="0" w:evenHBand="0" w:firstRowFirstColumn="0" w:firstRowLastColumn="0" w:lastRowFirstColumn="0" w:lastRowLastColumn="0"/>
            <w:tcW w:w="2009" w:type="dxa"/>
            <w:hideMark/>
          </w:tcPr>
          <w:p w14:paraId="0197C1A2" w14:textId="77777777" w:rsidR="00970D21" w:rsidRPr="004F4BA7" w:rsidRDefault="00970D21" w:rsidP="008E6E40">
            <w:pPr>
              <w:keepNext/>
              <w:rPr>
                <w:color w:val="auto"/>
                <w:lang w:eastAsia="en-GB"/>
              </w:rPr>
            </w:pPr>
            <w:r w:rsidRPr="004F4BA7">
              <w:rPr>
                <w:color w:val="auto"/>
                <w:lang w:eastAsia="en-GB"/>
              </w:rPr>
              <w:t>85 years or over</w:t>
            </w:r>
          </w:p>
        </w:tc>
        <w:tc>
          <w:tcPr>
            <w:tcW w:w="1329" w:type="dxa"/>
            <w:hideMark/>
          </w:tcPr>
          <w:p w14:paraId="35EC0E7D"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137</w:t>
            </w:r>
          </w:p>
        </w:tc>
        <w:tc>
          <w:tcPr>
            <w:tcW w:w="874" w:type="dxa"/>
            <w:hideMark/>
          </w:tcPr>
          <w:p w14:paraId="3BF49273"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144</w:t>
            </w:r>
          </w:p>
        </w:tc>
        <w:tc>
          <w:tcPr>
            <w:tcW w:w="1105" w:type="dxa"/>
            <w:hideMark/>
          </w:tcPr>
          <w:p w14:paraId="30A31E32"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149</w:t>
            </w:r>
          </w:p>
        </w:tc>
        <w:tc>
          <w:tcPr>
            <w:tcW w:w="1132" w:type="dxa"/>
            <w:hideMark/>
          </w:tcPr>
          <w:p w14:paraId="7CCA2486"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142</w:t>
            </w:r>
          </w:p>
        </w:tc>
        <w:tc>
          <w:tcPr>
            <w:tcW w:w="1102" w:type="dxa"/>
            <w:hideMark/>
          </w:tcPr>
          <w:p w14:paraId="71E82A01"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138</w:t>
            </w:r>
          </w:p>
        </w:tc>
        <w:tc>
          <w:tcPr>
            <w:tcW w:w="1102" w:type="dxa"/>
            <w:hideMark/>
          </w:tcPr>
          <w:p w14:paraId="72A055FB" w14:textId="77777777" w:rsidR="00970D21" w:rsidRPr="004F4BA7" w:rsidRDefault="00970D21" w:rsidP="008E6E40">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142</w:t>
            </w:r>
          </w:p>
        </w:tc>
      </w:tr>
    </w:tbl>
    <w:p w14:paraId="47F4FEC8" w14:textId="5E629D86" w:rsidR="00970D21" w:rsidRDefault="00810177" w:rsidP="008E6E40">
      <w:pPr>
        <w:pStyle w:val="BodyText"/>
        <w:keepNext/>
        <w:spacing w:after="0" w:line="240" w:lineRule="auto"/>
        <w:rPr>
          <w:rFonts w:cs="Arial"/>
        </w:rPr>
      </w:pPr>
      <w:r>
        <w:rPr>
          <w:rFonts w:cs="Arial"/>
        </w:rPr>
        <w:tab/>
        <w:t xml:space="preserve">              </w:t>
      </w:r>
      <w:r w:rsidR="00970D21" w:rsidRPr="000519C1">
        <w:rPr>
          <w:rFonts w:cs="Arial"/>
          <w:sz w:val="24"/>
          <w:szCs w:val="24"/>
        </w:rPr>
        <w:t>Source: Derived from EHS (2011-12) and 2011 Census</w:t>
      </w:r>
    </w:p>
    <w:p w14:paraId="37BE1AA9" w14:textId="40F5252E" w:rsidR="00970D21" w:rsidRDefault="00970D21" w:rsidP="007D0FBF">
      <w:pPr>
        <w:pStyle w:val="11Bodytext"/>
      </w:pPr>
      <w:r>
        <w:t>The local prevalence rate data can be brought together with information about the population age structure and how this is likely to change moving forward. The data estimates a total of 10,400 wheelchair user households in 2020, and that this will rise to 16,100 by 2040 (an increase of 5,700).</w:t>
      </w:r>
    </w:p>
    <w:p w14:paraId="37E7DBD2" w14:textId="59814688" w:rsidR="00251BE2" w:rsidRDefault="00251BE2" w:rsidP="003D5E23">
      <w:pPr>
        <w:pStyle w:val="Tableheading"/>
      </w:pPr>
      <w:r>
        <w:t>Estimated number of wheelchair user households (2020-40) – HMA</w:t>
      </w:r>
    </w:p>
    <w:tbl>
      <w:tblPr>
        <w:tblStyle w:val="TableGridLight1"/>
        <w:tblW w:w="8647" w:type="dxa"/>
        <w:tblInd w:w="704" w:type="dxa"/>
        <w:tblLayout w:type="fixed"/>
        <w:tblLook w:val="04A0" w:firstRow="1" w:lastRow="0" w:firstColumn="1" w:lastColumn="0" w:noHBand="0" w:noVBand="1"/>
      </w:tblPr>
      <w:tblGrid>
        <w:gridCol w:w="1408"/>
        <w:gridCol w:w="1447"/>
        <w:gridCol w:w="1448"/>
        <w:gridCol w:w="1448"/>
        <w:gridCol w:w="1448"/>
        <w:gridCol w:w="1448"/>
      </w:tblGrid>
      <w:tr w:rsidR="00615FE0" w:rsidRPr="00615FE0" w14:paraId="29DDDEBA" w14:textId="77777777" w:rsidTr="00615FE0">
        <w:trPr>
          <w:cnfStyle w:val="100000000000" w:firstRow="1" w:lastRow="0" w:firstColumn="0" w:lastColumn="0" w:oddVBand="0" w:evenVBand="0" w:oddHBand="0"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1408" w:type="dxa"/>
            <w:hideMark/>
          </w:tcPr>
          <w:p w14:paraId="012D0F15" w14:textId="77777777" w:rsidR="00615FE0" w:rsidRPr="00615FE0" w:rsidRDefault="00615FE0" w:rsidP="00615FE0">
            <w:pPr>
              <w:rPr>
                <w:color w:val="auto"/>
                <w:lang w:eastAsia="en-GB"/>
              </w:rPr>
            </w:pPr>
            <w:r w:rsidRPr="00615FE0">
              <w:rPr>
                <w:color w:val="auto"/>
                <w:lang w:eastAsia="en-GB"/>
              </w:rPr>
              <w:t> </w:t>
            </w:r>
          </w:p>
        </w:tc>
        <w:tc>
          <w:tcPr>
            <w:tcW w:w="1447" w:type="dxa"/>
            <w:hideMark/>
          </w:tcPr>
          <w:p w14:paraId="38A84523"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Prevalence rate (per 1,000 population)</w:t>
            </w:r>
          </w:p>
        </w:tc>
        <w:tc>
          <w:tcPr>
            <w:tcW w:w="1448" w:type="dxa"/>
            <w:hideMark/>
          </w:tcPr>
          <w:p w14:paraId="2A712583"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Household population 2020</w:t>
            </w:r>
          </w:p>
        </w:tc>
        <w:tc>
          <w:tcPr>
            <w:tcW w:w="1448" w:type="dxa"/>
            <w:hideMark/>
          </w:tcPr>
          <w:p w14:paraId="51B8D0B4"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Household population 2040</w:t>
            </w:r>
          </w:p>
        </w:tc>
        <w:tc>
          <w:tcPr>
            <w:tcW w:w="1448" w:type="dxa"/>
            <w:hideMark/>
          </w:tcPr>
          <w:p w14:paraId="3A2B797C"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Wheelchair user households (2020)</w:t>
            </w:r>
          </w:p>
        </w:tc>
        <w:tc>
          <w:tcPr>
            <w:tcW w:w="1448" w:type="dxa"/>
            <w:hideMark/>
          </w:tcPr>
          <w:p w14:paraId="30E059B2" w14:textId="77777777" w:rsidR="00615FE0" w:rsidRPr="00615FE0" w:rsidRDefault="00615FE0" w:rsidP="00615FE0">
            <w:pPr>
              <w:cnfStyle w:val="100000000000" w:firstRow="1"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Wheelchair user households (2040)</w:t>
            </w:r>
          </w:p>
        </w:tc>
      </w:tr>
      <w:tr w:rsidR="00615FE0" w:rsidRPr="00615FE0" w14:paraId="472CD0B9" w14:textId="77777777" w:rsidTr="00615FE0">
        <w:trPr>
          <w:trHeight w:val="525"/>
        </w:trPr>
        <w:tc>
          <w:tcPr>
            <w:cnfStyle w:val="001000000000" w:firstRow="0" w:lastRow="0" w:firstColumn="1" w:lastColumn="0" w:oddVBand="0" w:evenVBand="0" w:oddHBand="0" w:evenHBand="0" w:firstRowFirstColumn="0" w:firstRowLastColumn="0" w:lastRowFirstColumn="0" w:lastRowLastColumn="0"/>
            <w:tcW w:w="1408" w:type="dxa"/>
            <w:hideMark/>
          </w:tcPr>
          <w:p w14:paraId="3FB64FF9" w14:textId="77777777" w:rsidR="00615FE0" w:rsidRPr="00615FE0" w:rsidRDefault="00615FE0" w:rsidP="00615FE0">
            <w:pPr>
              <w:rPr>
                <w:color w:val="auto"/>
                <w:lang w:eastAsia="en-GB"/>
              </w:rPr>
            </w:pPr>
            <w:r w:rsidRPr="00615FE0">
              <w:rPr>
                <w:color w:val="auto"/>
                <w:lang w:eastAsia="en-GB"/>
              </w:rPr>
              <w:t>Under 60 years</w:t>
            </w:r>
          </w:p>
        </w:tc>
        <w:tc>
          <w:tcPr>
            <w:tcW w:w="1447" w:type="dxa"/>
            <w:noWrap/>
            <w:hideMark/>
          </w:tcPr>
          <w:p w14:paraId="5026EB7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3</w:t>
            </w:r>
          </w:p>
        </w:tc>
        <w:tc>
          <w:tcPr>
            <w:tcW w:w="1448" w:type="dxa"/>
            <w:noWrap/>
            <w:hideMark/>
          </w:tcPr>
          <w:p w14:paraId="0023C5D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627,205</w:t>
            </w:r>
          </w:p>
        </w:tc>
        <w:tc>
          <w:tcPr>
            <w:tcW w:w="1448" w:type="dxa"/>
            <w:noWrap/>
            <w:hideMark/>
          </w:tcPr>
          <w:p w14:paraId="776996E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715,397</w:t>
            </w:r>
          </w:p>
        </w:tc>
        <w:tc>
          <w:tcPr>
            <w:tcW w:w="1448" w:type="dxa"/>
            <w:noWrap/>
            <w:hideMark/>
          </w:tcPr>
          <w:p w14:paraId="28CE246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2,110</w:t>
            </w:r>
          </w:p>
        </w:tc>
        <w:tc>
          <w:tcPr>
            <w:tcW w:w="1448" w:type="dxa"/>
            <w:noWrap/>
            <w:hideMark/>
          </w:tcPr>
          <w:p w14:paraId="07579CF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2,407</w:t>
            </w:r>
          </w:p>
        </w:tc>
      </w:tr>
      <w:tr w:rsidR="00615FE0" w:rsidRPr="00615FE0" w14:paraId="11111B17" w14:textId="77777777" w:rsidTr="00615FE0">
        <w:trPr>
          <w:trHeight w:val="525"/>
        </w:trPr>
        <w:tc>
          <w:tcPr>
            <w:cnfStyle w:val="001000000000" w:firstRow="0" w:lastRow="0" w:firstColumn="1" w:lastColumn="0" w:oddVBand="0" w:evenVBand="0" w:oddHBand="0" w:evenHBand="0" w:firstRowFirstColumn="0" w:firstRowLastColumn="0" w:lastRowFirstColumn="0" w:lastRowLastColumn="0"/>
            <w:tcW w:w="1408" w:type="dxa"/>
            <w:hideMark/>
          </w:tcPr>
          <w:p w14:paraId="1D5016C3" w14:textId="77777777" w:rsidR="00615FE0" w:rsidRPr="00615FE0" w:rsidRDefault="00615FE0" w:rsidP="00615FE0">
            <w:pPr>
              <w:rPr>
                <w:color w:val="auto"/>
                <w:lang w:eastAsia="en-GB"/>
              </w:rPr>
            </w:pPr>
            <w:r w:rsidRPr="00615FE0">
              <w:rPr>
                <w:color w:val="auto"/>
                <w:lang w:eastAsia="en-GB"/>
              </w:rPr>
              <w:t>60-74 years</w:t>
            </w:r>
          </w:p>
        </w:tc>
        <w:tc>
          <w:tcPr>
            <w:tcW w:w="1447" w:type="dxa"/>
            <w:noWrap/>
            <w:hideMark/>
          </w:tcPr>
          <w:p w14:paraId="2485EA3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19</w:t>
            </w:r>
          </w:p>
        </w:tc>
        <w:tc>
          <w:tcPr>
            <w:tcW w:w="1448" w:type="dxa"/>
            <w:noWrap/>
            <w:hideMark/>
          </w:tcPr>
          <w:p w14:paraId="4078173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132,627</w:t>
            </w:r>
          </w:p>
        </w:tc>
        <w:tc>
          <w:tcPr>
            <w:tcW w:w="1448" w:type="dxa"/>
            <w:noWrap/>
            <w:hideMark/>
          </w:tcPr>
          <w:p w14:paraId="5A1FE994"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170,822</w:t>
            </w:r>
          </w:p>
        </w:tc>
        <w:tc>
          <w:tcPr>
            <w:tcW w:w="1448" w:type="dxa"/>
            <w:noWrap/>
            <w:hideMark/>
          </w:tcPr>
          <w:p w14:paraId="1550C6FB"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2,557</w:t>
            </w:r>
          </w:p>
        </w:tc>
        <w:tc>
          <w:tcPr>
            <w:tcW w:w="1448" w:type="dxa"/>
            <w:noWrap/>
            <w:hideMark/>
          </w:tcPr>
          <w:p w14:paraId="56EE5A7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3,293</w:t>
            </w:r>
          </w:p>
        </w:tc>
      </w:tr>
      <w:tr w:rsidR="00615FE0" w:rsidRPr="00615FE0" w14:paraId="6B91C823" w14:textId="77777777" w:rsidTr="00615FE0">
        <w:trPr>
          <w:trHeight w:val="525"/>
        </w:trPr>
        <w:tc>
          <w:tcPr>
            <w:cnfStyle w:val="001000000000" w:firstRow="0" w:lastRow="0" w:firstColumn="1" w:lastColumn="0" w:oddVBand="0" w:evenVBand="0" w:oddHBand="0" w:evenHBand="0" w:firstRowFirstColumn="0" w:firstRowLastColumn="0" w:lastRowFirstColumn="0" w:lastRowLastColumn="0"/>
            <w:tcW w:w="1408" w:type="dxa"/>
            <w:hideMark/>
          </w:tcPr>
          <w:p w14:paraId="5848FA00" w14:textId="77777777" w:rsidR="00615FE0" w:rsidRPr="00615FE0" w:rsidRDefault="00615FE0" w:rsidP="00615FE0">
            <w:pPr>
              <w:rPr>
                <w:color w:val="auto"/>
                <w:lang w:eastAsia="en-GB"/>
              </w:rPr>
            </w:pPr>
            <w:r w:rsidRPr="00615FE0">
              <w:rPr>
                <w:color w:val="auto"/>
                <w:lang w:eastAsia="en-GB"/>
              </w:rPr>
              <w:t>75-84 years</w:t>
            </w:r>
          </w:p>
        </w:tc>
        <w:tc>
          <w:tcPr>
            <w:tcW w:w="1447" w:type="dxa"/>
            <w:noWrap/>
            <w:hideMark/>
          </w:tcPr>
          <w:p w14:paraId="02ABB82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59</w:t>
            </w:r>
          </w:p>
        </w:tc>
        <w:tc>
          <w:tcPr>
            <w:tcW w:w="1448" w:type="dxa"/>
            <w:noWrap/>
            <w:hideMark/>
          </w:tcPr>
          <w:p w14:paraId="10C3939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51,543</w:t>
            </w:r>
          </w:p>
        </w:tc>
        <w:tc>
          <w:tcPr>
            <w:tcW w:w="1448" w:type="dxa"/>
            <w:noWrap/>
            <w:hideMark/>
          </w:tcPr>
          <w:p w14:paraId="3A0109C1"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83,315</w:t>
            </w:r>
          </w:p>
        </w:tc>
        <w:tc>
          <w:tcPr>
            <w:tcW w:w="1448" w:type="dxa"/>
            <w:noWrap/>
            <w:hideMark/>
          </w:tcPr>
          <w:p w14:paraId="54E0070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3,049</w:t>
            </w:r>
          </w:p>
        </w:tc>
        <w:tc>
          <w:tcPr>
            <w:tcW w:w="1448" w:type="dxa"/>
            <w:noWrap/>
            <w:hideMark/>
          </w:tcPr>
          <w:p w14:paraId="317B8B0A"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4,929</w:t>
            </w:r>
          </w:p>
        </w:tc>
      </w:tr>
      <w:tr w:rsidR="00615FE0" w:rsidRPr="00615FE0" w14:paraId="6773A580" w14:textId="77777777" w:rsidTr="00615FE0">
        <w:trPr>
          <w:trHeight w:val="525"/>
        </w:trPr>
        <w:tc>
          <w:tcPr>
            <w:cnfStyle w:val="001000000000" w:firstRow="0" w:lastRow="0" w:firstColumn="1" w:lastColumn="0" w:oddVBand="0" w:evenVBand="0" w:oddHBand="0" w:evenHBand="0" w:firstRowFirstColumn="0" w:firstRowLastColumn="0" w:lastRowFirstColumn="0" w:lastRowLastColumn="0"/>
            <w:tcW w:w="1408" w:type="dxa"/>
            <w:hideMark/>
          </w:tcPr>
          <w:p w14:paraId="52B7C7D2" w14:textId="77777777" w:rsidR="00615FE0" w:rsidRPr="00615FE0" w:rsidRDefault="00615FE0" w:rsidP="00615FE0">
            <w:pPr>
              <w:rPr>
                <w:color w:val="auto"/>
                <w:lang w:eastAsia="en-GB"/>
              </w:rPr>
            </w:pPr>
            <w:r w:rsidRPr="00615FE0">
              <w:rPr>
                <w:color w:val="auto"/>
                <w:lang w:eastAsia="en-GB"/>
              </w:rPr>
              <w:t>85 years or over</w:t>
            </w:r>
          </w:p>
        </w:tc>
        <w:tc>
          <w:tcPr>
            <w:tcW w:w="1447" w:type="dxa"/>
            <w:noWrap/>
            <w:hideMark/>
          </w:tcPr>
          <w:p w14:paraId="6F79ACB6"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142</w:t>
            </w:r>
          </w:p>
        </w:tc>
        <w:tc>
          <w:tcPr>
            <w:tcW w:w="1448" w:type="dxa"/>
            <w:noWrap/>
            <w:hideMark/>
          </w:tcPr>
          <w:p w14:paraId="29E3B1C3"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18,948</w:t>
            </w:r>
          </w:p>
        </w:tc>
        <w:tc>
          <w:tcPr>
            <w:tcW w:w="1448" w:type="dxa"/>
            <w:noWrap/>
            <w:hideMark/>
          </w:tcPr>
          <w:p w14:paraId="1F275232"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38,808</w:t>
            </w:r>
          </w:p>
        </w:tc>
        <w:tc>
          <w:tcPr>
            <w:tcW w:w="1448" w:type="dxa"/>
            <w:noWrap/>
            <w:hideMark/>
          </w:tcPr>
          <w:p w14:paraId="4288FF29"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2,681</w:t>
            </w:r>
          </w:p>
        </w:tc>
        <w:tc>
          <w:tcPr>
            <w:tcW w:w="1448" w:type="dxa"/>
            <w:noWrap/>
            <w:hideMark/>
          </w:tcPr>
          <w:p w14:paraId="1CB1AE2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color w:val="auto"/>
                <w:lang w:eastAsia="en-GB"/>
              </w:rPr>
            </w:pPr>
            <w:r w:rsidRPr="00615FE0">
              <w:rPr>
                <w:color w:val="auto"/>
                <w:lang w:eastAsia="en-GB"/>
              </w:rPr>
              <w:t>5,492</w:t>
            </w:r>
          </w:p>
        </w:tc>
      </w:tr>
      <w:tr w:rsidR="00615FE0" w:rsidRPr="00615FE0" w14:paraId="281D6E61" w14:textId="77777777" w:rsidTr="00615FE0">
        <w:trPr>
          <w:trHeight w:val="315"/>
        </w:trPr>
        <w:tc>
          <w:tcPr>
            <w:cnfStyle w:val="001000000000" w:firstRow="0" w:lastRow="0" w:firstColumn="1" w:lastColumn="0" w:oddVBand="0" w:evenVBand="0" w:oddHBand="0" w:evenHBand="0" w:firstRowFirstColumn="0" w:firstRowLastColumn="0" w:lastRowFirstColumn="0" w:lastRowLastColumn="0"/>
            <w:tcW w:w="1408" w:type="dxa"/>
            <w:hideMark/>
          </w:tcPr>
          <w:p w14:paraId="5AA0FF55" w14:textId="77777777" w:rsidR="00615FE0" w:rsidRPr="00615FE0" w:rsidRDefault="00615FE0" w:rsidP="00615FE0">
            <w:pPr>
              <w:rPr>
                <w:b/>
                <w:bCs/>
                <w:color w:val="auto"/>
                <w:lang w:eastAsia="en-GB"/>
              </w:rPr>
            </w:pPr>
            <w:r w:rsidRPr="00615FE0">
              <w:rPr>
                <w:b/>
                <w:bCs/>
                <w:color w:val="auto"/>
                <w:lang w:eastAsia="en-GB"/>
              </w:rPr>
              <w:t>TOTAL</w:t>
            </w:r>
          </w:p>
        </w:tc>
        <w:tc>
          <w:tcPr>
            <w:tcW w:w="1447" w:type="dxa"/>
            <w:hideMark/>
          </w:tcPr>
          <w:p w14:paraId="6D7045EE"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eastAsia="en-GB"/>
              </w:rPr>
              <w:t> </w:t>
            </w:r>
          </w:p>
        </w:tc>
        <w:tc>
          <w:tcPr>
            <w:tcW w:w="1448" w:type="dxa"/>
            <w:noWrap/>
            <w:hideMark/>
          </w:tcPr>
          <w:p w14:paraId="0737A470"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eastAsia="en-GB"/>
              </w:rPr>
              <w:t>830,324</w:t>
            </w:r>
          </w:p>
        </w:tc>
        <w:tc>
          <w:tcPr>
            <w:tcW w:w="1448" w:type="dxa"/>
            <w:noWrap/>
            <w:hideMark/>
          </w:tcPr>
          <w:p w14:paraId="7CAC2298"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eastAsia="en-GB"/>
              </w:rPr>
              <w:t>1,008,341</w:t>
            </w:r>
          </w:p>
        </w:tc>
        <w:tc>
          <w:tcPr>
            <w:tcW w:w="1448" w:type="dxa"/>
            <w:noWrap/>
            <w:hideMark/>
          </w:tcPr>
          <w:p w14:paraId="72B80D1D"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eastAsia="en-GB"/>
              </w:rPr>
              <w:t>10,397</w:t>
            </w:r>
          </w:p>
        </w:tc>
        <w:tc>
          <w:tcPr>
            <w:tcW w:w="1448" w:type="dxa"/>
            <w:noWrap/>
            <w:hideMark/>
          </w:tcPr>
          <w:p w14:paraId="19DC00F5" w14:textId="77777777" w:rsidR="00615FE0" w:rsidRPr="00615FE0" w:rsidRDefault="00615FE0" w:rsidP="00615FE0">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615FE0">
              <w:rPr>
                <w:b/>
                <w:bCs/>
                <w:color w:val="auto"/>
                <w:lang w:eastAsia="en-GB"/>
              </w:rPr>
              <w:t>16,120</w:t>
            </w:r>
          </w:p>
        </w:tc>
      </w:tr>
    </w:tbl>
    <w:p w14:paraId="2F58F44D" w14:textId="41A079D1" w:rsidR="00970D21" w:rsidRDefault="000519C1">
      <w:pPr>
        <w:pStyle w:val="BodyText"/>
        <w:keepNext/>
        <w:spacing w:after="0" w:line="240" w:lineRule="auto"/>
        <w:rPr>
          <w:rFonts w:cs="Arial"/>
        </w:rPr>
      </w:pPr>
      <w:r>
        <w:rPr>
          <w:rFonts w:cs="Arial"/>
        </w:rPr>
        <w:tab/>
      </w:r>
      <w:r w:rsidR="00251BE2">
        <w:rPr>
          <w:rFonts w:cs="Arial"/>
        </w:rPr>
        <w:t xml:space="preserve">             </w:t>
      </w:r>
      <w:r w:rsidR="00970D21" w:rsidRPr="000519C1">
        <w:rPr>
          <w:rFonts w:cs="Arial"/>
          <w:sz w:val="24"/>
          <w:szCs w:val="24"/>
        </w:rPr>
        <w:t>Source: Derived from a range of sources</w:t>
      </w:r>
    </w:p>
    <w:p w14:paraId="0C478892" w14:textId="531F37E6" w:rsidR="00970D21" w:rsidRDefault="00970D21" w:rsidP="007D0FBF">
      <w:pPr>
        <w:pStyle w:val="11Bodytext"/>
      </w:pPr>
      <w:r>
        <w:t xml:space="preserve">The finding of an estimated current number of wheelchair user households does not indicate how many homes might be needed for this group.  A number of these </w:t>
      </w:r>
      <w:r>
        <w:lastRenderedPageBreak/>
        <w:t>households will be living in a home that is suitable for wheelchair use, whilst others may need improvements to accommodation, or a move to an alternative home. Also, some may need to use a wheelchair outside but not within the home.</w:t>
      </w:r>
    </w:p>
    <w:p w14:paraId="071444C8" w14:textId="73CB03FE" w:rsidR="00970D21" w:rsidRDefault="00970D21" w:rsidP="007D0FBF">
      <w:pPr>
        <w:pStyle w:val="11Bodytext"/>
      </w:pPr>
      <w:r>
        <w:t xml:space="preserve">Data from the </w:t>
      </w:r>
      <w:hyperlink r:id="rId74" w:history="1">
        <w:r w:rsidRPr="001A5E4B">
          <w:rPr>
            <w:rStyle w:val="Hyperlink"/>
            <w:rFonts w:eastAsiaTheme="majorEastAsia"/>
            <w:color w:val="auto"/>
          </w:rPr>
          <w:t>EHS (2014-15)</w:t>
        </w:r>
      </w:hyperlink>
      <w:r w:rsidRPr="001A5E4B">
        <w:rPr>
          <w:color w:val="auto"/>
        </w:rPr>
        <w:t xml:space="preserve"> shows </w:t>
      </w:r>
      <w:r>
        <w:t xml:space="preserve">that of the 814,000 wheelchair user households, some 200,000 live in a home that would either be problematic or not feasible to make fully ‘visitable’ – this is around 25% of wheelchair user households. </w:t>
      </w:r>
    </w:p>
    <w:p w14:paraId="3696468E" w14:textId="77777777" w:rsidR="00251BE2" w:rsidRDefault="00970D21" w:rsidP="007D0FBF">
      <w:pPr>
        <w:pStyle w:val="11Bodytext"/>
        <w:rPr>
          <w:b/>
          <w:color w:val="000000"/>
        </w:rPr>
      </w:pPr>
      <w:r>
        <w:t>Applying this to the current number of wheelchair user households and adding the additional number projected forward suggests a need for 8,300 additional wheelchair user homes in the 2020-40 period – this equates to 9% of all housing need (as set out in the table below).</w:t>
      </w:r>
      <w:r w:rsidR="00251BE2" w:rsidRPr="00251BE2">
        <w:rPr>
          <w:b/>
          <w:color w:val="000000"/>
        </w:rPr>
        <w:t xml:space="preserve"> </w:t>
      </w:r>
    </w:p>
    <w:p w14:paraId="2F9F54BF" w14:textId="3B1BD78D" w:rsidR="00970D21" w:rsidRDefault="00251BE2" w:rsidP="004F4BA7">
      <w:pPr>
        <w:pStyle w:val="Tableheading"/>
      </w:pPr>
      <w:r>
        <w:t>Estimated need for wheelchair user homes, 2020-2040</w:t>
      </w:r>
    </w:p>
    <w:tbl>
      <w:tblPr>
        <w:tblStyle w:val="TableGridLight1"/>
        <w:tblW w:w="0" w:type="auto"/>
        <w:tblInd w:w="743" w:type="dxa"/>
        <w:tblLook w:val="04A0" w:firstRow="1" w:lastRow="0" w:firstColumn="1" w:lastColumn="0" w:noHBand="0" w:noVBand="1"/>
      </w:tblPr>
      <w:tblGrid>
        <w:gridCol w:w="1650"/>
        <w:gridCol w:w="1087"/>
        <w:gridCol w:w="1557"/>
        <w:gridCol w:w="1535"/>
        <w:gridCol w:w="1448"/>
        <w:gridCol w:w="1318"/>
      </w:tblGrid>
      <w:tr w:rsidR="003A75AB" w:rsidRPr="003A75AB" w14:paraId="598324CA" w14:textId="77777777" w:rsidTr="004F4BA7">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0" w:type="auto"/>
            <w:hideMark/>
          </w:tcPr>
          <w:p w14:paraId="76DF985E" w14:textId="77777777" w:rsidR="00970D21" w:rsidRPr="004F4BA7" w:rsidRDefault="00970D21" w:rsidP="004F4BA7">
            <w:pPr>
              <w:keepNext/>
              <w:rPr>
                <w:color w:val="auto"/>
                <w:lang w:eastAsia="en-GB"/>
              </w:rPr>
            </w:pPr>
            <w:bookmarkStart w:id="29" w:name="_Hlk79224855"/>
            <w:r w:rsidRPr="004F4BA7">
              <w:rPr>
                <w:bCs/>
                <w:color w:val="auto"/>
                <w:lang w:eastAsia="en-GB"/>
              </w:rPr>
              <w:t> </w:t>
            </w:r>
          </w:p>
        </w:tc>
        <w:tc>
          <w:tcPr>
            <w:tcW w:w="0" w:type="auto"/>
            <w:hideMark/>
          </w:tcPr>
          <w:p w14:paraId="7AE532B3" w14:textId="77777777" w:rsidR="00970D21" w:rsidRPr="004F4BA7" w:rsidRDefault="00970D21" w:rsidP="004F4BA7">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Current need</w:t>
            </w:r>
          </w:p>
        </w:tc>
        <w:tc>
          <w:tcPr>
            <w:tcW w:w="0" w:type="auto"/>
            <w:hideMark/>
          </w:tcPr>
          <w:p w14:paraId="45D6F43D" w14:textId="77777777" w:rsidR="00970D21" w:rsidRPr="004F4BA7" w:rsidRDefault="00970D21" w:rsidP="004F4BA7">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Projected need (2020-40)</w:t>
            </w:r>
          </w:p>
        </w:tc>
        <w:tc>
          <w:tcPr>
            <w:tcW w:w="0" w:type="auto"/>
            <w:hideMark/>
          </w:tcPr>
          <w:p w14:paraId="6264A1B3" w14:textId="77777777" w:rsidR="00970D21" w:rsidRPr="004F4BA7" w:rsidRDefault="00970D21" w:rsidP="004F4BA7">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Total current and future need</w:t>
            </w:r>
          </w:p>
        </w:tc>
        <w:tc>
          <w:tcPr>
            <w:tcW w:w="0" w:type="auto"/>
            <w:hideMark/>
          </w:tcPr>
          <w:p w14:paraId="499C2C30" w14:textId="77777777" w:rsidR="00970D21" w:rsidRPr="004F4BA7" w:rsidRDefault="00970D21" w:rsidP="004F4BA7">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Housing need (2020-40)</w:t>
            </w:r>
          </w:p>
        </w:tc>
        <w:tc>
          <w:tcPr>
            <w:tcW w:w="0" w:type="auto"/>
            <w:hideMark/>
          </w:tcPr>
          <w:p w14:paraId="07581751" w14:textId="77777777" w:rsidR="00970D21" w:rsidRPr="004F4BA7" w:rsidRDefault="00970D21" w:rsidP="004F4BA7">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 of Housing Need</w:t>
            </w:r>
          </w:p>
        </w:tc>
      </w:tr>
      <w:tr w:rsidR="003A75AB" w:rsidRPr="003A75AB" w14:paraId="50E258D0" w14:textId="77777777" w:rsidTr="004F4BA7">
        <w:trPr>
          <w:trHeight w:val="301"/>
        </w:trPr>
        <w:tc>
          <w:tcPr>
            <w:cnfStyle w:val="001000000000" w:firstRow="0" w:lastRow="0" w:firstColumn="1" w:lastColumn="0" w:oddVBand="0" w:evenVBand="0" w:oddHBand="0" w:evenHBand="0" w:firstRowFirstColumn="0" w:firstRowLastColumn="0" w:lastRowFirstColumn="0" w:lastRowLastColumn="0"/>
            <w:tcW w:w="0" w:type="auto"/>
            <w:hideMark/>
          </w:tcPr>
          <w:p w14:paraId="1727333A" w14:textId="77777777" w:rsidR="00970D21" w:rsidRPr="004F4BA7" w:rsidRDefault="00970D21" w:rsidP="004F4BA7">
            <w:pPr>
              <w:keepNext/>
              <w:rPr>
                <w:color w:val="auto"/>
                <w:lang w:eastAsia="en-GB"/>
              </w:rPr>
            </w:pPr>
            <w:r w:rsidRPr="004F4BA7">
              <w:rPr>
                <w:bCs/>
                <w:color w:val="auto"/>
                <w:lang w:eastAsia="en-GB"/>
              </w:rPr>
              <w:t>Cambridge</w:t>
            </w:r>
          </w:p>
        </w:tc>
        <w:tc>
          <w:tcPr>
            <w:tcW w:w="0" w:type="auto"/>
            <w:noWrap/>
            <w:hideMark/>
          </w:tcPr>
          <w:p w14:paraId="55E4E361"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298</w:t>
            </w:r>
          </w:p>
        </w:tc>
        <w:tc>
          <w:tcPr>
            <w:tcW w:w="0" w:type="auto"/>
            <w:noWrap/>
            <w:hideMark/>
          </w:tcPr>
          <w:p w14:paraId="48F3D9A1"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537</w:t>
            </w:r>
          </w:p>
        </w:tc>
        <w:tc>
          <w:tcPr>
            <w:tcW w:w="0" w:type="auto"/>
            <w:noWrap/>
            <w:hideMark/>
          </w:tcPr>
          <w:p w14:paraId="4DF0C3B7"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836</w:t>
            </w:r>
          </w:p>
        </w:tc>
        <w:tc>
          <w:tcPr>
            <w:tcW w:w="0" w:type="auto"/>
            <w:hideMark/>
          </w:tcPr>
          <w:p w14:paraId="28910F3C"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13,160</w:t>
            </w:r>
          </w:p>
        </w:tc>
        <w:tc>
          <w:tcPr>
            <w:tcW w:w="0" w:type="auto"/>
            <w:hideMark/>
          </w:tcPr>
          <w:p w14:paraId="60023CC6"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6.40%</w:t>
            </w:r>
          </w:p>
        </w:tc>
      </w:tr>
      <w:tr w:rsidR="003A75AB" w:rsidRPr="003A75AB" w14:paraId="52FE2C56" w14:textId="77777777" w:rsidTr="004F4BA7">
        <w:trPr>
          <w:trHeight w:val="301"/>
        </w:trPr>
        <w:tc>
          <w:tcPr>
            <w:cnfStyle w:val="001000000000" w:firstRow="0" w:lastRow="0" w:firstColumn="1" w:lastColumn="0" w:oddVBand="0" w:evenVBand="0" w:oddHBand="0" w:evenHBand="0" w:firstRowFirstColumn="0" w:firstRowLastColumn="0" w:lastRowFirstColumn="0" w:lastRowLastColumn="0"/>
            <w:tcW w:w="0" w:type="auto"/>
            <w:hideMark/>
          </w:tcPr>
          <w:p w14:paraId="1675F816" w14:textId="77777777" w:rsidR="00970D21" w:rsidRPr="004F4BA7" w:rsidRDefault="00970D21" w:rsidP="004F4BA7">
            <w:pPr>
              <w:keepNext/>
              <w:rPr>
                <w:color w:val="auto"/>
                <w:lang w:eastAsia="en-GB"/>
              </w:rPr>
            </w:pPr>
            <w:r w:rsidRPr="004F4BA7">
              <w:rPr>
                <w:bCs/>
                <w:color w:val="auto"/>
                <w:lang w:eastAsia="en-GB"/>
              </w:rPr>
              <w:t>East Cambs</w:t>
            </w:r>
          </w:p>
        </w:tc>
        <w:tc>
          <w:tcPr>
            <w:tcW w:w="0" w:type="auto"/>
            <w:noWrap/>
            <w:hideMark/>
          </w:tcPr>
          <w:p w14:paraId="46BB1346"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282</w:t>
            </w:r>
          </w:p>
        </w:tc>
        <w:tc>
          <w:tcPr>
            <w:tcW w:w="0" w:type="auto"/>
            <w:noWrap/>
            <w:hideMark/>
          </w:tcPr>
          <w:p w14:paraId="11DF2F83"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697</w:t>
            </w:r>
          </w:p>
        </w:tc>
        <w:tc>
          <w:tcPr>
            <w:tcW w:w="0" w:type="auto"/>
            <w:noWrap/>
            <w:hideMark/>
          </w:tcPr>
          <w:p w14:paraId="3A2E6837"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979</w:t>
            </w:r>
          </w:p>
        </w:tc>
        <w:tc>
          <w:tcPr>
            <w:tcW w:w="0" w:type="auto"/>
            <w:hideMark/>
          </w:tcPr>
          <w:p w14:paraId="2160E597"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11,940</w:t>
            </w:r>
          </w:p>
        </w:tc>
        <w:tc>
          <w:tcPr>
            <w:tcW w:w="0" w:type="auto"/>
            <w:hideMark/>
          </w:tcPr>
          <w:p w14:paraId="1D54A301"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8.20%</w:t>
            </w:r>
          </w:p>
        </w:tc>
      </w:tr>
      <w:tr w:rsidR="003A75AB" w:rsidRPr="003A75AB" w14:paraId="093F1F07" w14:textId="77777777" w:rsidTr="004F4BA7">
        <w:trPr>
          <w:trHeight w:val="301"/>
        </w:trPr>
        <w:tc>
          <w:tcPr>
            <w:cnfStyle w:val="001000000000" w:firstRow="0" w:lastRow="0" w:firstColumn="1" w:lastColumn="0" w:oddVBand="0" w:evenVBand="0" w:oddHBand="0" w:evenHBand="0" w:firstRowFirstColumn="0" w:firstRowLastColumn="0" w:lastRowFirstColumn="0" w:lastRowLastColumn="0"/>
            <w:tcW w:w="0" w:type="auto"/>
            <w:hideMark/>
          </w:tcPr>
          <w:p w14:paraId="7BF7CA50" w14:textId="77777777" w:rsidR="00970D21" w:rsidRPr="004F4BA7" w:rsidRDefault="00970D21" w:rsidP="004F4BA7">
            <w:pPr>
              <w:keepNext/>
              <w:rPr>
                <w:color w:val="auto"/>
                <w:lang w:eastAsia="en-GB"/>
              </w:rPr>
            </w:pPr>
            <w:r w:rsidRPr="004F4BA7">
              <w:rPr>
                <w:bCs/>
                <w:color w:val="auto"/>
                <w:lang w:eastAsia="en-GB"/>
              </w:rPr>
              <w:t>Fenland</w:t>
            </w:r>
          </w:p>
        </w:tc>
        <w:tc>
          <w:tcPr>
            <w:tcW w:w="0" w:type="auto"/>
            <w:noWrap/>
            <w:hideMark/>
          </w:tcPr>
          <w:p w14:paraId="6C194E8E"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451</w:t>
            </w:r>
          </w:p>
        </w:tc>
        <w:tc>
          <w:tcPr>
            <w:tcW w:w="0" w:type="auto"/>
            <w:noWrap/>
            <w:hideMark/>
          </w:tcPr>
          <w:p w14:paraId="21E78238"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816</w:t>
            </w:r>
          </w:p>
        </w:tc>
        <w:tc>
          <w:tcPr>
            <w:tcW w:w="0" w:type="auto"/>
            <w:noWrap/>
            <w:hideMark/>
          </w:tcPr>
          <w:p w14:paraId="497B4FB9"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1,267</w:t>
            </w:r>
          </w:p>
        </w:tc>
        <w:tc>
          <w:tcPr>
            <w:tcW w:w="0" w:type="auto"/>
            <w:hideMark/>
          </w:tcPr>
          <w:p w14:paraId="1AAE3A96"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10,760</w:t>
            </w:r>
          </w:p>
        </w:tc>
        <w:tc>
          <w:tcPr>
            <w:tcW w:w="0" w:type="auto"/>
            <w:hideMark/>
          </w:tcPr>
          <w:p w14:paraId="290A3FD2"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11.80%</w:t>
            </w:r>
          </w:p>
        </w:tc>
      </w:tr>
      <w:tr w:rsidR="003A75AB" w:rsidRPr="003A75AB" w14:paraId="69872DE3" w14:textId="77777777" w:rsidTr="004F4BA7">
        <w:trPr>
          <w:trHeight w:val="325"/>
        </w:trPr>
        <w:tc>
          <w:tcPr>
            <w:cnfStyle w:val="001000000000" w:firstRow="0" w:lastRow="0" w:firstColumn="1" w:lastColumn="0" w:oddVBand="0" w:evenVBand="0" w:oddHBand="0" w:evenHBand="0" w:firstRowFirstColumn="0" w:firstRowLastColumn="0" w:lastRowFirstColumn="0" w:lastRowLastColumn="0"/>
            <w:tcW w:w="0" w:type="auto"/>
            <w:hideMark/>
          </w:tcPr>
          <w:p w14:paraId="55960ACF" w14:textId="77777777" w:rsidR="00970D21" w:rsidRPr="004F4BA7" w:rsidRDefault="00970D21" w:rsidP="004F4BA7">
            <w:pPr>
              <w:keepNext/>
              <w:rPr>
                <w:color w:val="auto"/>
                <w:lang w:eastAsia="en-GB"/>
              </w:rPr>
            </w:pPr>
            <w:r w:rsidRPr="004F4BA7">
              <w:rPr>
                <w:bCs/>
                <w:color w:val="auto"/>
                <w:lang w:eastAsia="en-GB"/>
              </w:rPr>
              <w:t>Huntingdonshire</w:t>
            </w:r>
          </w:p>
        </w:tc>
        <w:tc>
          <w:tcPr>
            <w:tcW w:w="0" w:type="auto"/>
            <w:noWrap/>
            <w:hideMark/>
          </w:tcPr>
          <w:p w14:paraId="78299B09"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502</w:t>
            </w:r>
          </w:p>
        </w:tc>
        <w:tc>
          <w:tcPr>
            <w:tcW w:w="0" w:type="auto"/>
            <w:noWrap/>
            <w:hideMark/>
          </w:tcPr>
          <w:p w14:paraId="6F2DA16D"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1,360</w:t>
            </w:r>
          </w:p>
        </w:tc>
        <w:tc>
          <w:tcPr>
            <w:tcW w:w="0" w:type="auto"/>
            <w:noWrap/>
            <w:hideMark/>
          </w:tcPr>
          <w:p w14:paraId="4496C7DC"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1,862</w:t>
            </w:r>
          </w:p>
        </w:tc>
        <w:tc>
          <w:tcPr>
            <w:tcW w:w="0" w:type="auto"/>
            <w:hideMark/>
          </w:tcPr>
          <w:p w14:paraId="677E2719"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19,520</w:t>
            </w:r>
          </w:p>
        </w:tc>
        <w:tc>
          <w:tcPr>
            <w:tcW w:w="0" w:type="auto"/>
            <w:hideMark/>
          </w:tcPr>
          <w:p w14:paraId="6DAEE4AA"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9.50%</w:t>
            </w:r>
          </w:p>
        </w:tc>
      </w:tr>
      <w:tr w:rsidR="003A75AB" w:rsidRPr="003A75AB" w14:paraId="15820FA5" w14:textId="77777777" w:rsidTr="004F4BA7">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01F85F78" w14:textId="77777777" w:rsidR="00970D21" w:rsidRPr="004F4BA7" w:rsidRDefault="00970D21" w:rsidP="004F4BA7">
            <w:pPr>
              <w:keepNext/>
              <w:rPr>
                <w:color w:val="auto"/>
                <w:lang w:eastAsia="en-GB"/>
              </w:rPr>
            </w:pPr>
            <w:r w:rsidRPr="004F4BA7">
              <w:rPr>
                <w:bCs/>
                <w:color w:val="auto"/>
                <w:lang w:eastAsia="en-GB"/>
              </w:rPr>
              <w:t>South Cambs</w:t>
            </w:r>
          </w:p>
        </w:tc>
        <w:tc>
          <w:tcPr>
            <w:tcW w:w="0" w:type="auto"/>
            <w:noWrap/>
            <w:hideMark/>
          </w:tcPr>
          <w:p w14:paraId="307337B1"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428</w:t>
            </w:r>
          </w:p>
        </w:tc>
        <w:tc>
          <w:tcPr>
            <w:tcW w:w="0" w:type="auto"/>
            <w:noWrap/>
            <w:hideMark/>
          </w:tcPr>
          <w:p w14:paraId="4F2C4483"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1,003</w:t>
            </w:r>
          </w:p>
        </w:tc>
        <w:tc>
          <w:tcPr>
            <w:tcW w:w="0" w:type="auto"/>
            <w:noWrap/>
            <w:hideMark/>
          </w:tcPr>
          <w:p w14:paraId="704D43CF"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1,430</w:t>
            </w:r>
          </w:p>
        </w:tc>
        <w:tc>
          <w:tcPr>
            <w:tcW w:w="0" w:type="auto"/>
            <w:hideMark/>
          </w:tcPr>
          <w:p w14:paraId="5F2F3D74"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21,700</w:t>
            </w:r>
          </w:p>
        </w:tc>
        <w:tc>
          <w:tcPr>
            <w:tcW w:w="0" w:type="auto"/>
            <w:hideMark/>
          </w:tcPr>
          <w:p w14:paraId="325582A7"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6.60%</w:t>
            </w:r>
          </w:p>
        </w:tc>
      </w:tr>
      <w:tr w:rsidR="003A75AB" w:rsidRPr="003A75AB" w14:paraId="2F765A01" w14:textId="77777777" w:rsidTr="004F4BA7">
        <w:trPr>
          <w:trHeight w:val="301"/>
        </w:trPr>
        <w:tc>
          <w:tcPr>
            <w:cnfStyle w:val="001000000000" w:firstRow="0" w:lastRow="0" w:firstColumn="1" w:lastColumn="0" w:oddVBand="0" w:evenVBand="0" w:oddHBand="0" w:evenHBand="0" w:firstRowFirstColumn="0" w:firstRowLastColumn="0" w:lastRowFirstColumn="0" w:lastRowLastColumn="0"/>
            <w:tcW w:w="0" w:type="auto"/>
            <w:hideMark/>
          </w:tcPr>
          <w:p w14:paraId="399EF1A7" w14:textId="77777777" w:rsidR="00970D21" w:rsidRPr="004F4BA7" w:rsidRDefault="00970D21" w:rsidP="004F4BA7">
            <w:pPr>
              <w:keepNext/>
              <w:rPr>
                <w:color w:val="auto"/>
                <w:lang w:eastAsia="en-GB"/>
              </w:rPr>
            </w:pPr>
            <w:r w:rsidRPr="004F4BA7">
              <w:rPr>
                <w:bCs/>
                <w:color w:val="auto"/>
                <w:lang w:eastAsia="en-GB"/>
              </w:rPr>
              <w:t>West Suffolk</w:t>
            </w:r>
          </w:p>
        </w:tc>
        <w:tc>
          <w:tcPr>
            <w:tcW w:w="0" w:type="auto"/>
            <w:noWrap/>
            <w:hideMark/>
          </w:tcPr>
          <w:p w14:paraId="21A95CCD"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592</w:t>
            </w:r>
          </w:p>
        </w:tc>
        <w:tc>
          <w:tcPr>
            <w:tcW w:w="0" w:type="auto"/>
            <w:noWrap/>
            <w:hideMark/>
          </w:tcPr>
          <w:p w14:paraId="7959E2BC"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1,280</w:t>
            </w:r>
          </w:p>
        </w:tc>
        <w:tc>
          <w:tcPr>
            <w:tcW w:w="0" w:type="auto"/>
            <w:noWrap/>
            <w:hideMark/>
          </w:tcPr>
          <w:p w14:paraId="085C4454"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1,872</w:t>
            </w:r>
          </w:p>
        </w:tc>
        <w:tc>
          <w:tcPr>
            <w:tcW w:w="0" w:type="auto"/>
            <w:hideMark/>
          </w:tcPr>
          <w:p w14:paraId="56B61212"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16,000</w:t>
            </w:r>
          </w:p>
        </w:tc>
        <w:tc>
          <w:tcPr>
            <w:tcW w:w="0" w:type="auto"/>
            <w:hideMark/>
          </w:tcPr>
          <w:p w14:paraId="21E0284A"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11.70%</w:t>
            </w:r>
          </w:p>
        </w:tc>
      </w:tr>
      <w:tr w:rsidR="003A75AB" w:rsidRPr="003A75AB" w14:paraId="144E391D" w14:textId="77777777" w:rsidTr="004F4BA7">
        <w:trPr>
          <w:trHeight w:val="301"/>
        </w:trPr>
        <w:tc>
          <w:tcPr>
            <w:cnfStyle w:val="001000000000" w:firstRow="0" w:lastRow="0" w:firstColumn="1" w:lastColumn="0" w:oddVBand="0" w:evenVBand="0" w:oddHBand="0" w:evenHBand="0" w:firstRowFirstColumn="0" w:firstRowLastColumn="0" w:lastRowFirstColumn="0" w:lastRowLastColumn="0"/>
            <w:tcW w:w="0" w:type="auto"/>
            <w:hideMark/>
          </w:tcPr>
          <w:p w14:paraId="6A6797E6" w14:textId="77777777" w:rsidR="00970D21" w:rsidRPr="004F4BA7" w:rsidRDefault="00970D21" w:rsidP="004F4BA7">
            <w:pPr>
              <w:keepNext/>
              <w:rPr>
                <w:b/>
                <w:color w:val="auto"/>
                <w:lang w:eastAsia="en-GB"/>
              </w:rPr>
            </w:pPr>
            <w:r w:rsidRPr="004F4BA7">
              <w:rPr>
                <w:b/>
                <w:color w:val="auto"/>
                <w:lang w:eastAsia="en-GB"/>
              </w:rPr>
              <w:t>HMA</w:t>
            </w:r>
          </w:p>
        </w:tc>
        <w:tc>
          <w:tcPr>
            <w:tcW w:w="0" w:type="auto"/>
            <w:noWrap/>
            <w:hideMark/>
          </w:tcPr>
          <w:p w14:paraId="233B53F5"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b/>
                <w:color w:val="auto"/>
                <w:lang w:eastAsia="en-GB"/>
              </w:rPr>
            </w:pPr>
            <w:r w:rsidRPr="004F4BA7">
              <w:rPr>
                <w:b/>
                <w:color w:val="auto"/>
                <w:lang w:eastAsia="en-GB"/>
              </w:rPr>
              <w:t>2,555</w:t>
            </w:r>
          </w:p>
        </w:tc>
        <w:tc>
          <w:tcPr>
            <w:tcW w:w="0" w:type="auto"/>
            <w:noWrap/>
            <w:hideMark/>
          </w:tcPr>
          <w:p w14:paraId="3610AC15"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b/>
                <w:color w:val="auto"/>
                <w:lang w:eastAsia="en-GB"/>
              </w:rPr>
            </w:pPr>
            <w:r w:rsidRPr="004F4BA7">
              <w:rPr>
                <w:b/>
                <w:color w:val="auto"/>
                <w:lang w:eastAsia="en-GB"/>
              </w:rPr>
              <w:t>5,723</w:t>
            </w:r>
          </w:p>
        </w:tc>
        <w:tc>
          <w:tcPr>
            <w:tcW w:w="0" w:type="auto"/>
            <w:noWrap/>
            <w:hideMark/>
          </w:tcPr>
          <w:p w14:paraId="38A65F72"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b/>
                <w:color w:val="auto"/>
                <w:lang w:eastAsia="en-GB"/>
              </w:rPr>
            </w:pPr>
            <w:r w:rsidRPr="004F4BA7">
              <w:rPr>
                <w:b/>
                <w:color w:val="auto"/>
                <w:lang w:eastAsia="en-GB"/>
              </w:rPr>
              <w:t>8,278</w:t>
            </w:r>
          </w:p>
        </w:tc>
        <w:tc>
          <w:tcPr>
            <w:tcW w:w="0" w:type="auto"/>
            <w:hideMark/>
          </w:tcPr>
          <w:p w14:paraId="61A86CA2"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b/>
                <w:color w:val="auto"/>
                <w:lang w:eastAsia="en-GB"/>
              </w:rPr>
            </w:pPr>
            <w:r w:rsidRPr="004F4BA7">
              <w:rPr>
                <w:b/>
                <w:color w:val="auto"/>
                <w:lang w:eastAsia="en-GB"/>
              </w:rPr>
              <w:t>93,080</w:t>
            </w:r>
          </w:p>
        </w:tc>
        <w:tc>
          <w:tcPr>
            <w:tcW w:w="0" w:type="auto"/>
            <w:hideMark/>
          </w:tcPr>
          <w:p w14:paraId="155C62FD" w14:textId="77777777" w:rsidR="00970D21" w:rsidRPr="004F4BA7" w:rsidRDefault="00970D21" w:rsidP="004F4BA7">
            <w:pPr>
              <w:keepNext/>
              <w:cnfStyle w:val="000000000000" w:firstRow="0" w:lastRow="0" w:firstColumn="0" w:lastColumn="0" w:oddVBand="0" w:evenVBand="0" w:oddHBand="0" w:evenHBand="0" w:firstRowFirstColumn="0" w:firstRowLastColumn="0" w:lastRowFirstColumn="0" w:lastRowLastColumn="0"/>
              <w:rPr>
                <w:b/>
                <w:color w:val="auto"/>
                <w:lang w:eastAsia="en-GB"/>
              </w:rPr>
            </w:pPr>
            <w:r w:rsidRPr="004F4BA7">
              <w:rPr>
                <w:b/>
                <w:color w:val="auto"/>
                <w:lang w:eastAsia="en-GB"/>
              </w:rPr>
              <w:t>8.90%</w:t>
            </w:r>
          </w:p>
        </w:tc>
      </w:tr>
    </w:tbl>
    <w:bookmarkEnd w:id="29"/>
    <w:p w14:paraId="17F1BFAA" w14:textId="77777777" w:rsidR="00970D21" w:rsidRPr="001A5E4B" w:rsidRDefault="00970D21" w:rsidP="004F4BA7">
      <w:pPr>
        <w:pStyle w:val="BodyText"/>
        <w:keepNext/>
        <w:tabs>
          <w:tab w:val="clear" w:pos="0"/>
          <w:tab w:val="left" w:pos="720"/>
        </w:tabs>
        <w:spacing w:after="0" w:line="240" w:lineRule="auto"/>
        <w:ind w:left="720" w:firstLine="0"/>
        <w:jc w:val="left"/>
        <w:rPr>
          <w:rFonts w:ascii="Arial" w:hAnsi="Arial" w:cs="Arial"/>
          <w:sz w:val="24"/>
          <w:szCs w:val="24"/>
        </w:rPr>
      </w:pPr>
      <w:r w:rsidRPr="001A5E4B">
        <w:rPr>
          <w:rFonts w:ascii="Arial" w:hAnsi="Arial" w:cs="Arial"/>
          <w:sz w:val="24"/>
          <w:szCs w:val="24"/>
        </w:rPr>
        <w:t>Source: Derived from a range of sources</w:t>
      </w:r>
    </w:p>
    <w:p w14:paraId="2ACBB503" w14:textId="74F68C9D" w:rsidR="00970D21" w:rsidRDefault="00970D21" w:rsidP="007D0FBF">
      <w:pPr>
        <w:pStyle w:val="11Bodytext"/>
      </w:pPr>
      <w:r>
        <w:t xml:space="preserve">Furthermore, information in the EHS (for 2017/18) also provides national data about wheelchair users by tenure. This showed that, at that time, around 7.1% of social tenants were wheelchair users, compared with 2.7% of market households (owner-occupiers and private renters) – a total of 3.5% of all households contained a wheelchair user. </w:t>
      </w:r>
    </w:p>
    <w:p w14:paraId="6DC8E434" w14:textId="4B220B5D" w:rsidR="00970D21" w:rsidRDefault="00970D21" w:rsidP="007D0FBF">
      <w:pPr>
        <w:pStyle w:val="11Bodytext"/>
      </w:pPr>
      <w:r>
        <w:t xml:space="preserve">The analysis above shows (for the HMA) moving forward to 2040 that there is a need for 8.9% of additional dwellings to be suitable for wheelchair users – this is about 2.5 times higher than the current number of users (at a national level). </w:t>
      </w:r>
    </w:p>
    <w:p w14:paraId="27536785" w14:textId="66CCC28C" w:rsidR="00970D21" w:rsidRDefault="00970D21" w:rsidP="007D0FBF">
      <w:pPr>
        <w:pStyle w:val="11Bodytext"/>
      </w:pPr>
      <w:r>
        <w:lastRenderedPageBreak/>
        <w:t xml:space="preserve">In looking at a future tenure split, it can therefore be estimated that the proportion of wheelchair user households in both market and affordable tenures will also be around 2.5 times higher than the current proportions. Hence the need for market wheelchair user housing is around 7% (2.7% x 2.5) and a figure of 18% (7.1% x 2.5) in the affordable sector. </w:t>
      </w:r>
    </w:p>
    <w:p w14:paraId="1BC2EA4A" w14:textId="5D4FE60A" w:rsidR="00970D21" w:rsidRDefault="00970D21" w:rsidP="007D0FBF">
      <w:pPr>
        <w:pStyle w:val="11Bodytext"/>
      </w:pPr>
      <w:r>
        <w:t>These figures are shown in the table below, along with estimates for individual local authorities.</w:t>
      </w:r>
    </w:p>
    <w:p w14:paraId="06920996" w14:textId="15E797E9" w:rsidR="00251BE2" w:rsidRDefault="00970D21" w:rsidP="007D0FBF">
      <w:pPr>
        <w:pStyle w:val="11Bodytext"/>
      </w:pPr>
      <w:r>
        <w:t xml:space="preserve">Applying these national figures to the demographic change and need (as shown above) it is possible to estimate the potential need by tenure, as shown in the table below. These take account of the overall level of need for wheelchair user dwellings shown by the analysis. This shows a need for 7% of all market homes to be M4(3) along with 18% of affordable (across the HMA). </w:t>
      </w:r>
    </w:p>
    <w:p w14:paraId="45F0BB4A" w14:textId="2B7B8BF7" w:rsidR="00970D21" w:rsidRPr="00185BEA" w:rsidRDefault="00D222DD" w:rsidP="003D5E23">
      <w:pPr>
        <w:pStyle w:val="Tableheading"/>
      </w:pPr>
      <w:r>
        <w:t>E</w:t>
      </w:r>
      <w:r w:rsidR="00251BE2">
        <w:t>stimated need for wheelchair user homes by tenure, 2020-2040</w:t>
      </w:r>
    </w:p>
    <w:tbl>
      <w:tblPr>
        <w:tblStyle w:val="TableGridLight1"/>
        <w:tblW w:w="8614" w:type="dxa"/>
        <w:tblInd w:w="738" w:type="dxa"/>
        <w:tblLook w:val="04A0" w:firstRow="1" w:lastRow="0" w:firstColumn="1" w:lastColumn="0" w:noHBand="0" w:noVBand="1"/>
      </w:tblPr>
      <w:tblGrid>
        <w:gridCol w:w="2871"/>
        <w:gridCol w:w="2871"/>
        <w:gridCol w:w="2872"/>
      </w:tblGrid>
      <w:tr w:rsidR="00970D21" w14:paraId="23858F6C" w14:textId="77777777" w:rsidTr="004F4BA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5F0B0A24" w14:textId="77777777" w:rsidR="00970D21" w:rsidRPr="004F4BA7" w:rsidRDefault="00970D21" w:rsidP="00970D21">
            <w:pPr>
              <w:spacing w:line="256" w:lineRule="auto"/>
              <w:rPr>
                <w:color w:val="auto"/>
                <w:lang w:eastAsia="en-GB"/>
              </w:rPr>
            </w:pPr>
            <w:bookmarkStart w:id="30" w:name="_Hlk79224890"/>
            <w:r w:rsidRPr="004F4BA7">
              <w:rPr>
                <w:bCs/>
                <w:color w:val="auto"/>
                <w:lang w:eastAsia="en-GB"/>
              </w:rPr>
              <w:t> </w:t>
            </w:r>
          </w:p>
        </w:tc>
        <w:tc>
          <w:tcPr>
            <w:tcW w:w="2871" w:type="dxa"/>
            <w:noWrap/>
            <w:hideMark/>
          </w:tcPr>
          <w:p w14:paraId="4590E710"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Market</w:t>
            </w:r>
          </w:p>
        </w:tc>
        <w:tc>
          <w:tcPr>
            <w:tcW w:w="2872" w:type="dxa"/>
            <w:noWrap/>
            <w:hideMark/>
          </w:tcPr>
          <w:p w14:paraId="62FD1E70"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bCs/>
                <w:color w:val="auto"/>
                <w:lang w:eastAsia="en-GB"/>
              </w:rPr>
              <w:t>Affordable</w:t>
            </w:r>
          </w:p>
        </w:tc>
      </w:tr>
      <w:tr w:rsidR="00970D21" w14:paraId="38747BDC"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55DBE8D1" w14:textId="77777777" w:rsidR="00970D21" w:rsidRDefault="00970D21" w:rsidP="00970D21">
            <w:pPr>
              <w:spacing w:line="256" w:lineRule="auto"/>
              <w:rPr>
                <w:color w:val="000000"/>
                <w:lang w:eastAsia="en-GB"/>
              </w:rPr>
            </w:pPr>
            <w:r>
              <w:rPr>
                <w:lang w:eastAsia="en-GB"/>
              </w:rPr>
              <w:t>Cambridge</w:t>
            </w:r>
          </w:p>
        </w:tc>
        <w:tc>
          <w:tcPr>
            <w:tcW w:w="2871" w:type="dxa"/>
            <w:noWrap/>
            <w:hideMark/>
          </w:tcPr>
          <w:p w14:paraId="707F77CF"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w:t>
            </w:r>
          </w:p>
        </w:tc>
        <w:tc>
          <w:tcPr>
            <w:tcW w:w="2872" w:type="dxa"/>
            <w:noWrap/>
            <w:hideMark/>
          </w:tcPr>
          <w:p w14:paraId="652430E4"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lang w:eastAsia="en-GB"/>
              </w:rPr>
              <w:t>13%</w:t>
            </w:r>
          </w:p>
        </w:tc>
      </w:tr>
      <w:tr w:rsidR="00970D21" w14:paraId="01891EBB"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67C08960" w14:textId="77777777" w:rsidR="00970D21" w:rsidRDefault="00970D21" w:rsidP="00970D21">
            <w:pPr>
              <w:spacing w:line="256" w:lineRule="auto"/>
              <w:rPr>
                <w:color w:val="000000"/>
                <w:lang w:eastAsia="en-GB"/>
              </w:rPr>
            </w:pPr>
            <w:r>
              <w:rPr>
                <w:bCs/>
                <w:color w:val="000000"/>
                <w:lang w:eastAsia="en-GB"/>
              </w:rPr>
              <w:t>East Cambs</w:t>
            </w:r>
          </w:p>
        </w:tc>
        <w:tc>
          <w:tcPr>
            <w:tcW w:w="2871" w:type="dxa"/>
            <w:noWrap/>
            <w:hideMark/>
          </w:tcPr>
          <w:p w14:paraId="60631BA3"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w:t>
            </w:r>
          </w:p>
        </w:tc>
        <w:tc>
          <w:tcPr>
            <w:tcW w:w="2872" w:type="dxa"/>
            <w:noWrap/>
            <w:hideMark/>
          </w:tcPr>
          <w:p w14:paraId="55282E68"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17%</w:t>
            </w:r>
          </w:p>
        </w:tc>
      </w:tr>
      <w:tr w:rsidR="00970D21" w14:paraId="1ABAA6BE"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046CA256" w14:textId="77777777" w:rsidR="00970D21" w:rsidRDefault="00970D21" w:rsidP="00970D21">
            <w:pPr>
              <w:spacing w:line="256" w:lineRule="auto"/>
              <w:rPr>
                <w:color w:val="000000"/>
                <w:lang w:eastAsia="en-GB"/>
              </w:rPr>
            </w:pPr>
            <w:r>
              <w:rPr>
                <w:bCs/>
                <w:color w:val="000000"/>
                <w:lang w:eastAsia="en-GB"/>
              </w:rPr>
              <w:t>Fenland</w:t>
            </w:r>
          </w:p>
        </w:tc>
        <w:tc>
          <w:tcPr>
            <w:tcW w:w="2871" w:type="dxa"/>
            <w:noWrap/>
            <w:hideMark/>
          </w:tcPr>
          <w:p w14:paraId="569C6BC6"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w:t>
            </w:r>
          </w:p>
        </w:tc>
        <w:tc>
          <w:tcPr>
            <w:tcW w:w="2872" w:type="dxa"/>
            <w:noWrap/>
            <w:hideMark/>
          </w:tcPr>
          <w:p w14:paraId="49DF688C"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24%</w:t>
            </w:r>
          </w:p>
        </w:tc>
      </w:tr>
      <w:tr w:rsidR="00970D21" w14:paraId="37CAFD48"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059B7F60" w14:textId="77777777" w:rsidR="00970D21" w:rsidRDefault="00970D21" w:rsidP="00970D21">
            <w:pPr>
              <w:spacing w:line="256" w:lineRule="auto"/>
              <w:rPr>
                <w:color w:val="000000"/>
                <w:lang w:eastAsia="en-GB"/>
              </w:rPr>
            </w:pPr>
            <w:r>
              <w:rPr>
                <w:bCs/>
                <w:color w:val="000000"/>
                <w:lang w:eastAsia="en-GB"/>
              </w:rPr>
              <w:t>Huntingdonshire</w:t>
            </w:r>
          </w:p>
        </w:tc>
        <w:tc>
          <w:tcPr>
            <w:tcW w:w="2871" w:type="dxa"/>
            <w:noWrap/>
            <w:hideMark/>
          </w:tcPr>
          <w:p w14:paraId="397229C4"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w:t>
            </w:r>
          </w:p>
        </w:tc>
        <w:tc>
          <w:tcPr>
            <w:tcW w:w="2872" w:type="dxa"/>
            <w:noWrap/>
            <w:hideMark/>
          </w:tcPr>
          <w:p w14:paraId="6BB91E44"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20%</w:t>
            </w:r>
          </w:p>
        </w:tc>
      </w:tr>
      <w:tr w:rsidR="00970D21" w14:paraId="1CC5FD94"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01638043" w14:textId="77777777" w:rsidR="00970D21" w:rsidRDefault="00970D21" w:rsidP="00970D21">
            <w:pPr>
              <w:spacing w:line="256" w:lineRule="auto"/>
              <w:rPr>
                <w:color w:val="000000"/>
                <w:lang w:eastAsia="en-GB"/>
              </w:rPr>
            </w:pPr>
            <w:r>
              <w:rPr>
                <w:bCs/>
                <w:color w:val="000000"/>
                <w:lang w:eastAsia="en-GB"/>
              </w:rPr>
              <w:t>South Cambs</w:t>
            </w:r>
          </w:p>
        </w:tc>
        <w:tc>
          <w:tcPr>
            <w:tcW w:w="2871" w:type="dxa"/>
            <w:noWrap/>
            <w:hideMark/>
          </w:tcPr>
          <w:p w14:paraId="613C3A4B"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w:t>
            </w:r>
          </w:p>
        </w:tc>
        <w:tc>
          <w:tcPr>
            <w:tcW w:w="2872" w:type="dxa"/>
            <w:noWrap/>
            <w:hideMark/>
          </w:tcPr>
          <w:p w14:paraId="5E9532AD"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w:t>
            </w:r>
          </w:p>
        </w:tc>
      </w:tr>
      <w:tr w:rsidR="00970D21" w14:paraId="23D831BA"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729DCB5D" w14:textId="77777777" w:rsidR="00970D21" w:rsidRDefault="00970D21" w:rsidP="00970D21">
            <w:pPr>
              <w:spacing w:line="256" w:lineRule="auto"/>
              <w:rPr>
                <w:color w:val="000000"/>
                <w:lang w:eastAsia="en-GB"/>
              </w:rPr>
            </w:pPr>
            <w:r>
              <w:rPr>
                <w:bCs/>
                <w:color w:val="000000"/>
                <w:lang w:eastAsia="en-GB"/>
              </w:rPr>
              <w:t>West Suffolk</w:t>
            </w:r>
          </w:p>
        </w:tc>
        <w:tc>
          <w:tcPr>
            <w:tcW w:w="2871" w:type="dxa"/>
            <w:noWrap/>
            <w:hideMark/>
          </w:tcPr>
          <w:p w14:paraId="2A8F9C42"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9%</w:t>
            </w:r>
          </w:p>
        </w:tc>
        <w:tc>
          <w:tcPr>
            <w:tcW w:w="2872" w:type="dxa"/>
            <w:noWrap/>
            <w:hideMark/>
          </w:tcPr>
          <w:p w14:paraId="626A51FD" w14:textId="77777777" w:rsidR="00970D21"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000000"/>
                <w:lang w:eastAsia="en-GB"/>
              </w:rPr>
            </w:pPr>
            <w:r>
              <w:rPr>
                <w:lang w:eastAsia="en-GB"/>
              </w:rPr>
              <w:t>24%</w:t>
            </w:r>
          </w:p>
        </w:tc>
      </w:tr>
      <w:tr w:rsidR="00970D21" w14:paraId="2D9C4B3F" w14:textId="77777777" w:rsidTr="004F4BA7">
        <w:trPr>
          <w:trHeight w:val="256"/>
        </w:trPr>
        <w:tc>
          <w:tcPr>
            <w:cnfStyle w:val="001000000000" w:firstRow="0" w:lastRow="0" w:firstColumn="1" w:lastColumn="0" w:oddVBand="0" w:evenVBand="0" w:oddHBand="0" w:evenHBand="0" w:firstRowFirstColumn="0" w:firstRowLastColumn="0" w:lastRowFirstColumn="0" w:lastRowLastColumn="0"/>
            <w:tcW w:w="2871" w:type="dxa"/>
            <w:hideMark/>
          </w:tcPr>
          <w:p w14:paraId="37F865BE" w14:textId="77777777" w:rsidR="00970D21" w:rsidRPr="004F4BA7" w:rsidRDefault="00970D21" w:rsidP="00970D21">
            <w:pPr>
              <w:spacing w:line="256" w:lineRule="auto"/>
              <w:rPr>
                <w:b/>
                <w:color w:val="000000"/>
                <w:lang w:eastAsia="en-GB"/>
              </w:rPr>
            </w:pPr>
            <w:r w:rsidRPr="004F4BA7">
              <w:rPr>
                <w:b/>
                <w:color w:val="000000"/>
                <w:lang w:eastAsia="en-GB"/>
              </w:rPr>
              <w:t>HMA</w:t>
            </w:r>
          </w:p>
        </w:tc>
        <w:tc>
          <w:tcPr>
            <w:tcW w:w="2871" w:type="dxa"/>
            <w:noWrap/>
            <w:hideMark/>
          </w:tcPr>
          <w:p w14:paraId="4F63F434"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b/>
                <w:color w:val="000000"/>
                <w:lang w:eastAsia="en-GB"/>
              </w:rPr>
            </w:pPr>
            <w:r w:rsidRPr="004F4BA7">
              <w:rPr>
                <w:b/>
                <w:color w:val="000000"/>
                <w:lang w:eastAsia="en-GB"/>
              </w:rPr>
              <w:t>7%</w:t>
            </w:r>
          </w:p>
        </w:tc>
        <w:tc>
          <w:tcPr>
            <w:tcW w:w="2872" w:type="dxa"/>
            <w:noWrap/>
            <w:hideMark/>
          </w:tcPr>
          <w:p w14:paraId="489C41FC"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b/>
                <w:color w:val="000000"/>
                <w:lang w:eastAsia="en-GB"/>
              </w:rPr>
            </w:pPr>
            <w:r w:rsidRPr="004F4BA7">
              <w:rPr>
                <w:b/>
                <w:color w:val="000000"/>
                <w:lang w:eastAsia="en-GB"/>
              </w:rPr>
              <w:t>18%</w:t>
            </w:r>
          </w:p>
        </w:tc>
      </w:tr>
    </w:tbl>
    <w:bookmarkEnd w:id="30"/>
    <w:p w14:paraId="5FFF7C89" w14:textId="77777777" w:rsidR="00970D21" w:rsidRPr="001A5E4B" w:rsidRDefault="00970D21" w:rsidP="00970D21">
      <w:pPr>
        <w:pStyle w:val="BodyText"/>
        <w:tabs>
          <w:tab w:val="clear" w:pos="0"/>
          <w:tab w:val="left" w:pos="720"/>
        </w:tabs>
        <w:spacing w:after="0" w:line="300" w:lineRule="auto"/>
        <w:ind w:left="720" w:firstLine="0"/>
        <w:jc w:val="left"/>
        <w:rPr>
          <w:rFonts w:cs="Arial"/>
          <w:sz w:val="24"/>
          <w:szCs w:val="24"/>
        </w:rPr>
      </w:pPr>
      <w:r w:rsidRPr="001A5E4B">
        <w:rPr>
          <w:rFonts w:cs="Arial"/>
          <w:sz w:val="24"/>
          <w:szCs w:val="24"/>
        </w:rPr>
        <w:t>Source: Derived from a range of sources</w:t>
      </w:r>
    </w:p>
    <w:p w14:paraId="71833527" w14:textId="77777777" w:rsidR="00970D21" w:rsidRDefault="00970D21" w:rsidP="007D0FBF">
      <w:pPr>
        <w:pStyle w:val="11Bodytext"/>
      </w:pPr>
      <w:bookmarkStart w:id="31" w:name="_Hlk79224915"/>
      <w:r>
        <w:t>To meet the identified need we would, therefore, recommend that the Councils should seek up to 10% of all new market homes to be M4(3) compliant and up to 25% in the affordable sector. These figures reflect that not all sites would be able to deliver homes of this type. In the market sector these homes would be M4(3)A (adaptable) and M4(3)B (accessible) for affordable housing.</w:t>
      </w:r>
    </w:p>
    <w:bookmarkEnd w:id="31"/>
    <w:p w14:paraId="519B188C" w14:textId="77777777" w:rsidR="00970D21" w:rsidRDefault="00970D21" w:rsidP="007D0FBF">
      <w:pPr>
        <w:pStyle w:val="11Bodytext"/>
      </w:pPr>
      <w:r>
        <w:t xml:space="preserve">As with M4(2) homes it may not be possible for some schemes to be built to these higher standards due to </w:t>
      </w:r>
      <w:proofErr w:type="spellStart"/>
      <w:r>
        <w:t>built</w:t>
      </w:r>
      <w:proofErr w:type="spellEnd"/>
      <w:r>
        <w:t xml:space="preserve"> form, topography, flooding etc. Furthermore, provision of this type of property may in some cases challenge the viability of delivery given the reasonably high build out costs (see Table below).</w:t>
      </w:r>
    </w:p>
    <w:p w14:paraId="4609849B" w14:textId="77777777" w:rsidR="00970D21" w:rsidRDefault="00970D21" w:rsidP="007D0FBF">
      <w:pPr>
        <w:pStyle w:val="11Bodytext"/>
      </w:pPr>
      <w:r>
        <w:lastRenderedPageBreak/>
        <w:t xml:space="preserve">Additionally, local authorities only have the right to request M4(3)(B) Accessible compliance from homes for which they have nomination rights </w:t>
      </w:r>
      <w:proofErr w:type="gramStart"/>
      <w:r>
        <w:t>i.e.</w:t>
      </w:r>
      <w:proofErr w:type="gramEnd"/>
      <w:r>
        <w:t xml:space="preserve"> affordable tenures. They can request M4(3)(A) Adaptable compliance from the wider (market) housing stock. </w:t>
      </w:r>
    </w:p>
    <w:p w14:paraId="76310EAA" w14:textId="77777777" w:rsidR="00970D21" w:rsidRDefault="00970D21" w:rsidP="007D0FBF">
      <w:pPr>
        <w:pStyle w:val="11Bodytext"/>
      </w:pPr>
      <w:r w:rsidRPr="00F70528">
        <w:t>M4(3)</w:t>
      </w:r>
      <w:proofErr w:type="gramStart"/>
      <w:r w:rsidRPr="00F70528">
        <w:t>A</w:t>
      </w:r>
      <w:proofErr w:type="gramEnd"/>
      <w:r w:rsidRPr="00F70528">
        <w:t xml:space="preserve"> Adaptable </w:t>
      </w:r>
      <w:r>
        <w:t xml:space="preserve">and </w:t>
      </w:r>
      <w:r w:rsidRPr="00F70528">
        <w:t xml:space="preserve">M4(3)B Accessible compliance refers to Part M of the Building Regulations. </w:t>
      </w:r>
      <w:r>
        <w:t>Part M makes</w:t>
      </w:r>
      <w:r w:rsidRPr="00F70528">
        <w:t xml:space="preserve"> a distinction between wheelchair accessible (a home readily useable by a wheelchair user at the point of completion) and wheelchair adaptable (a home that can be easily adapted to meet the needs of a household including wheelchair users) dwellings</w:t>
      </w:r>
      <w:r>
        <w:rPr>
          <w:rStyle w:val="FootnoteReference"/>
        </w:rPr>
        <w:footnoteReference w:id="44"/>
      </w:r>
      <w:r w:rsidRPr="00F70528">
        <w:t>.</w:t>
      </w:r>
    </w:p>
    <w:p w14:paraId="530C8039" w14:textId="77777777" w:rsidR="00970D21" w:rsidRDefault="00970D21" w:rsidP="007D0FBF">
      <w:pPr>
        <w:pStyle w:val="11Bodytext"/>
      </w:pPr>
      <w:r>
        <w:t xml:space="preserve">To meet the identified need we would, therefore, recommend that the Councils seek 10% of all new market homes to be M4(3)A(adaptable) compliant and 25% M4(3)B (accessible) compliant in the affordable sector. These figures reflect the fairly narrow range identified between the different local authorities (4 -7% of market and 13-22% market). It also recognises that not all sites would be able to deliver homes of this type. </w:t>
      </w:r>
    </w:p>
    <w:p w14:paraId="219FFD46" w14:textId="77777777" w:rsidR="00970D21" w:rsidRDefault="00970D21" w:rsidP="007D0FBF">
      <w:pPr>
        <w:pStyle w:val="11Bodytext"/>
      </w:pPr>
      <w:r>
        <w:t>It is worth noting that the Government is currently consulting on changes to the way the needs of people with disabilities and wheelchair users are planned for. This comes as a result of concerns that in the drive to achieve housing numbers, the delivery of housing that suits the needs of the households (in particular those with disabilities) is being compromised on viability grounds</w:t>
      </w:r>
      <w:r>
        <w:rPr>
          <w:rStyle w:val="FootnoteReference"/>
        </w:rPr>
        <w:footnoteReference w:id="45"/>
      </w:r>
      <w:r>
        <w:t>.</w:t>
      </w:r>
    </w:p>
    <w:p w14:paraId="11C435DB" w14:textId="77777777" w:rsidR="00970D21" w:rsidRDefault="00970D21" w:rsidP="007D0FBF">
      <w:pPr>
        <w:pStyle w:val="11Bodytext"/>
      </w:pPr>
      <w:r>
        <w:t xml:space="preserve">One of the policy options tabled in the consultation paper is to remove M4(1) altogether, so that all new homes will have to at least have the accessible and adaptable features of an M4(2) home. M4(3) would apply where there is a local planning policy in place in which a need has been identified and evidenced. This is consistent with the evidence presented in this report, although the trade-off identified in the consultation paper between viability and the need to deliver sufficient numbers of market homes to meet general housing needs is unavoidable. </w:t>
      </w:r>
    </w:p>
    <w:p w14:paraId="2F52DAB7" w14:textId="77777777" w:rsidR="00970D21" w:rsidRDefault="00970D21" w:rsidP="007D0FBF">
      <w:pPr>
        <w:pStyle w:val="11Bodytext"/>
      </w:pPr>
      <w:r>
        <w:lastRenderedPageBreak/>
        <w:t>The viability challenge is particularly relevant for M4(3)(B) standards. As shown in the table below, these standards make properties accessible from the moment they are built and involve high additional costs that could in some cases challenge the viability of delivering all or any of a policy target.</w:t>
      </w:r>
    </w:p>
    <w:p w14:paraId="189D7540" w14:textId="77777777" w:rsidR="00970D21" w:rsidRDefault="00970D21" w:rsidP="003D5E23">
      <w:pPr>
        <w:pStyle w:val="Tableheading"/>
        <w:numPr>
          <w:ilvl w:val="0"/>
          <w:numId w:val="54"/>
        </w:numPr>
      </w:pPr>
      <w:r>
        <w:t xml:space="preserve">Access Cost Summary </w:t>
      </w:r>
    </w:p>
    <w:tbl>
      <w:tblPr>
        <w:tblStyle w:val="TableGridLight1"/>
        <w:tblW w:w="8552" w:type="dxa"/>
        <w:tblInd w:w="846" w:type="dxa"/>
        <w:tblLook w:val="04A0" w:firstRow="1" w:lastRow="0" w:firstColumn="1" w:lastColumn="0" w:noHBand="0" w:noVBand="1"/>
      </w:tblPr>
      <w:tblGrid>
        <w:gridCol w:w="1678"/>
        <w:gridCol w:w="1330"/>
        <w:gridCol w:w="1452"/>
        <w:gridCol w:w="1268"/>
        <w:gridCol w:w="1412"/>
        <w:gridCol w:w="1412"/>
      </w:tblGrid>
      <w:tr w:rsidR="00970D21" w14:paraId="3C79A849" w14:textId="77777777" w:rsidTr="004F4BA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678" w:type="dxa"/>
            <w:hideMark/>
          </w:tcPr>
          <w:p w14:paraId="6BA7D8C3" w14:textId="77777777" w:rsidR="00970D21" w:rsidRPr="004F4BA7" w:rsidRDefault="00970D21" w:rsidP="00970D21">
            <w:pPr>
              <w:spacing w:line="256" w:lineRule="auto"/>
              <w:rPr>
                <w:b w:val="0"/>
                <w:bCs/>
                <w:color w:val="auto"/>
                <w:lang w:eastAsia="en-GB"/>
              </w:rPr>
            </w:pPr>
            <w:r w:rsidRPr="004F4BA7">
              <w:rPr>
                <w:bCs/>
                <w:color w:val="auto"/>
                <w:lang w:eastAsia="en-GB"/>
              </w:rPr>
              <w:t> </w:t>
            </w:r>
          </w:p>
        </w:tc>
        <w:tc>
          <w:tcPr>
            <w:tcW w:w="1330" w:type="dxa"/>
            <w:hideMark/>
          </w:tcPr>
          <w:p w14:paraId="213399BE"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1-Bed Apartment</w:t>
            </w:r>
          </w:p>
        </w:tc>
        <w:tc>
          <w:tcPr>
            <w:tcW w:w="1452" w:type="dxa"/>
            <w:hideMark/>
          </w:tcPr>
          <w:p w14:paraId="539DCCE3"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2-Bed Apartment</w:t>
            </w:r>
          </w:p>
        </w:tc>
        <w:tc>
          <w:tcPr>
            <w:tcW w:w="1268" w:type="dxa"/>
            <w:hideMark/>
          </w:tcPr>
          <w:p w14:paraId="67CA0983"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2-Bed Terrace</w:t>
            </w:r>
          </w:p>
        </w:tc>
        <w:tc>
          <w:tcPr>
            <w:tcW w:w="1412" w:type="dxa"/>
            <w:hideMark/>
          </w:tcPr>
          <w:p w14:paraId="4CDBD9C1"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3-Bed Semi-Detached</w:t>
            </w:r>
          </w:p>
        </w:tc>
        <w:tc>
          <w:tcPr>
            <w:tcW w:w="1412" w:type="dxa"/>
            <w:hideMark/>
          </w:tcPr>
          <w:p w14:paraId="293DA1EC" w14:textId="77777777" w:rsidR="00970D21" w:rsidRPr="004F4BA7" w:rsidRDefault="00970D21" w:rsidP="00970D21">
            <w:pPr>
              <w:spacing w:line="256"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4-Bed Semi-Detached</w:t>
            </w:r>
          </w:p>
        </w:tc>
      </w:tr>
      <w:tr w:rsidR="00970D21" w14:paraId="1D1A9314" w14:textId="77777777" w:rsidTr="004F4BA7">
        <w:trPr>
          <w:trHeight w:val="209"/>
        </w:trPr>
        <w:tc>
          <w:tcPr>
            <w:cnfStyle w:val="001000000000" w:firstRow="0" w:lastRow="0" w:firstColumn="1" w:lastColumn="0" w:oddVBand="0" w:evenVBand="0" w:oddHBand="0" w:evenHBand="0" w:firstRowFirstColumn="0" w:firstRowLastColumn="0" w:lastRowFirstColumn="0" w:lastRowLastColumn="0"/>
            <w:tcW w:w="1678" w:type="dxa"/>
            <w:noWrap/>
            <w:hideMark/>
          </w:tcPr>
          <w:p w14:paraId="2239D249" w14:textId="77777777" w:rsidR="00970D21" w:rsidRPr="004F4BA7" w:rsidRDefault="00970D21" w:rsidP="00970D21">
            <w:pPr>
              <w:spacing w:line="256" w:lineRule="auto"/>
              <w:rPr>
                <w:color w:val="auto"/>
                <w:lang w:eastAsia="en-GB"/>
              </w:rPr>
            </w:pPr>
            <w:r w:rsidRPr="004F4BA7">
              <w:rPr>
                <w:color w:val="auto"/>
                <w:lang w:eastAsia="en-GB"/>
              </w:rPr>
              <w:t>M4(2)</w:t>
            </w:r>
          </w:p>
        </w:tc>
        <w:tc>
          <w:tcPr>
            <w:tcW w:w="1330" w:type="dxa"/>
            <w:noWrap/>
            <w:hideMark/>
          </w:tcPr>
          <w:p w14:paraId="1F45053A"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£940</w:t>
            </w:r>
          </w:p>
        </w:tc>
        <w:tc>
          <w:tcPr>
            <w:tcW w:w="1452" w:type="dxa"/>
            <w:noWrap/>
            <w:hideMark/>
          </w:tcPr>
          <w:p w14:paraId="35E63938"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£907</w:t>
            </w:r>
          </w:p>
        </w:tc>
        <w:tc>
          <w:tcPr>
            <w:tcW w:w="1268" w:type="dxa"/>
            <w:noWrap/>
            <w:hideMark/>
          </w:tcPr>
          <w:p w14:paraId="5C2DE731"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£523</w:t>
            </w:r>
          </w:p>
        </w:tc>
        <w:tc>
          <w:tcPr>
            <w:tcW w:w="1412" w:type="dxa"/>
            <w:noWrap/>
            <w:hideMark/>
          </w:tcPr>
          <w:p w14:paraId="680B3870"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£521</w:t>
            </w:r>
          </w:p>
        </w:tc>
        <w:tc>
          <w:tcPr>
            <w:tcW w:w="1412" w:type="dxa"/>
            <w:noWrap/>
            <w:hideMark/>
          </w:tcPr>
          <w:p w14:paraId="11810146"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£520</w:t>
            </w:r>
          </w:p>
        </w:tc>
      </w:tr>
      <w:tr w:rsidR="00970D21" w14:paraId="496E5555" w14:textId="77777777" w:rsidTr="004F4BA7">
        <w:trPr>
          <w:trHeight w:val="356"/>
        </w:trPr>
        <w:tc>
          <w:tcPr>
            <w:cnfStyle w:val="001000000000" w:firstRow="0" w:lastRow="0" w:firstColumn="1" w:lastColumn="0" w:oddVBand="0" w:evenVBand="0" w:oddHBand="0" w:evenHBand="0" w:firstRowFirstColumn="0" w:firstRowLastColumn="0" w:lastRowFirstColumn="0" w:lastRowLastColumn="0"/>
            <w:tcW w:w="1678" w:type="dxa"/>
            <w:hideMark/>
          </w:tcPr>
          <w:p w14:paraId="1F892608" w14:textId="77777777" w:rsidR="00970D21" w:rsidRPr="004F4BA7" w:rsidRDefault="00970D21" w:rsidP="00970D21">
            <w:pPr>
              <w:spacing w:line="256" w:lineRule="auto"/>
              <w:rPr>
                <w:color w:val="auto"/>
                <w:lang w:eastAsia="en-GB"/>
              </w:rPr>
            </w:pPr>
            <w:r w:rsidRPr="004F4BA7">
              <w:rPr>
                <w:color w:val="auto"/>
                <w:lang w:eastAsia="en-GB"/>
              </w:rPr>
              <w:t>M4(3)(A) - Adaptable</w:t>
            </w:r>
          </w:p>
        </w:tc>
        <w:tc>
          <w:tcPr>
            <w:tcW w:w="1330" w:type="dxa"/>
            <w:noWrap/>
            <w:hideMark/>
          </w:tcPr>
          <w:p w14:paraId="6B84CA7C"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£7,607</w:t>
            </w:r>
          </w:p>
        </w:tc>
        <w:tc>
          <w:tcPr>
            <w:tcW w:w="1452" w:type="dxa"/>
            <w:noWrap/>
            <w:hideMark/>
          </w:tcPr>
          <w:p w14:paraId="6058DF1F"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£7,891</w:t>
            </w:r>
          </w:p>
        </w:tc>
        <w:tc>
          <w:tcPr>
            <w:tcW w:w="1268" w:type="dxa"/>
            <w:noWrap/>
            <w:hideMark/>
          </w:tcPr>
          <w:p w14:paraId="4C748DA4"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£9,754</w:t>
            </w:r>
          </w:p>
        </w:tc>
        <w:tc>
          <w:tcPr>
            <w:tcW w:w="1412" w:type="dxa"/>
            <w:noWrap/>
            <w:hideMark/>
          </w:tcPr>
          <w:p w14:paraId="2E6A9D34"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£10,307</w:t>
            </w:r>
          </w:p>
        </w:tc>
        <w:tc>
          <w:tcPr>
            <w:tcW w:w="1412" w:type="dxa"/>
            <w:noWrap/>
            <w:hideMark/>
          </w:tcPr>
          <w:p w14:paraId="4B1D9873"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£10,568</w:t>
            </w:r>
          </w:p>
        </w:tc>
      </w:tr>
      <w:tr w:rsidR="00970D21" w14:paraId="3A41C051" w14:textId="77777777" w:rsidTr="004F4BA7">
        <w:trPr>
          <w:trHeight w:val="356"/>
        </w:trPr>
        <w:tc>
          <w:tcPr>
            <w:cnfStyle w:val="001000000000" w:firstRow="0" w:lastRow="0" w:firstColumn="1" w:lastColumn="0" w:oddVBand="0" w:evenVBand="0" w:oddHBand="0" w:evenHBand="0" w:firstRowFirstColumn="0" w:firstRowLastColumn="0" w:lastRowFirstColumn="0" w:lastRowLastColumn="0"/>
            <w:tcW w:w="1678" w:type="dxa"/>
            <w:hideMark/>
          </w:tcPr>
          <w:p w14:paraId="28CC8AC0" w14:textId="77777777" w:rsidR="00970D21" w:rsidRPr="004F4BA7" w:rsidRDefault="00970D21" w:rsidP="00970D21">
            <w:pPr>
              <w:spacing w:line="256" w:lineRule="auto"/>
              <w:rPr>
                <w:color w:val="auto"/>
                <w:lang w:eastAsia="en-GB"/>
              </w:rPr>
            </w:pPr>
            <w:r w:rsidRPr="004F4BA7">
              <w:rPr>
                <w:color w:val="auto"/>
                <w:lang w:eastAsia="en-GB"/>
              </w:rPr>
              <w:t>M4(3)(B) - Accessible</w:t>
            </w:r>
          </w:p>
        </w:tc>
        <w:tc>
          <w:tcPr>
            <w:tcW w:w="1330" w:type="dxa"/>
            <w:noWrap/>
            <w:hideMark/>
          </w:tcPr>
          <w:p w14:paraId="49F3BEAB"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£7,764</w:t>
            </w:r>
          </w:p>
        </w:tc>
        <w:tc>
          <w:tcPr>
            <w:tcW w:w="1452" w:type="dxa"/>
            <w:noWrap/>
            <w:hideMark/>
          </w:tcPr>
          <w:p w14:paraId="26E67493"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£8,048</w:t>
            </w:r>
          </w:p>
        </w:tc>
        <w:tc>
          <w:tcPr>
            <w:tcW w:w="1268" w:type="dxa"/>
            <w:noWrap/>
            <w:hideMark/>
          </w:tcPr>
          <w:p w14:paraId="7212E5B2"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£22,238</w:t>
            </w:r>
          </w:p>
        </w:tc>
        <w:tc>
          <w:tcPr>
            <w:tcW w:w="1412" w:type="dxa"/>
            <w:noWrap/>
            <w:hideMark/>
          </w:tcPr>
          <w:p w14:paraId="5A02C3A4"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£22,791</w:t>
            </w:r>
          </w:p>
        </w:tc>
        <w:tc>
          <w:tcPr>
            <w:tcW w:w="1412" w:type="dxa"/>
            <w:noWrap/>
            <w:hideMark/>
          </w:tcPr>
          <w:p w14:paraId="37184CA9" w14:textId="77777777" w:rsidR="00970D21" w:rsidRPr="004F4BA7" w:rsidRDefault="00970D21" w:rsidP="00970D21">
            <w:pPr>
              <w:spacing w:line="256"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£23,052</w:t>
            </w:r>
          </w:p>
        </w:tc>
      </w:tr>
    </w:tbl>
    <w:p w14:paraId="077BC3DD" w14:textId="77777777" w:rsidR="00970D21" w:rsidRDefault="00970D21" w:rsidP="001A5E4B">
      <w:pPr>
        <w:pStyle w:val="11Bodytext"/>
        <w:numPr>
          <w:ilvl w:val="0"/>
          <w:numId w:val="0"/>
        </w:numPr>
        <w:spacing w:before="0"/>
        <w:ind w:left="794"/>
      </w:pPr>
      <w:r>
        <w:t xml:space="preserve"> Source: EC Harris, Housing Standards Review for DCLG, 2014 (Table 45)</w:t>
      </w:r>
    </w:p>
    <w:p w14:paraId="32159FFF" w14:textId="77777777" w:rsidR="00970D21" w:rsidRDefault="00970D21" w:rsidP="007D0FBF">
      <w:pPr>
        <w:pStyle w:val="11Bodytext"/>
      </w:pPr>
      <w:r>
        <w:t xml:space="preserve">A further option for the Councils would be to consider seeking a higher contribution of M4(3) homes where it is viable to do so, from those homes to which have nomination rights. This would address any under delivery from other schemes (including schemes due to their size </w:t>
      </w:r>
      <w:proofErr w:type="gramStart"/>
      <w:r>
        <w:t>i.e.</w:t>
      </w:r>
      <w:proofErr w:type="gramEnd"/>
      <w:r>
        <w:t xml:space="preserve"> less than 10 units or 1,000 square metres) but also recognise the fact that there is a higher prevalence for wheelchair use within social rent tenures. This should be considered when setting policy.</w:t>
      </w:r>
    </w:p>
    <w:p w14:paraId="707E3900" w14:textId="77777777" w:rsidR="00970D21" w:rsidRDefault="00970D21" w:rsidP="008E6E40"/>
    <w:p w14:paraId="0B5457AC" w14:textId="730062CC" w:rsidR="001237A9" w:rsidRPr="00B0644D" w:rsidRDefault="001237A9" w:rsidP="00B0644D">
      <w:pPr>
        <w:spacing w:after="200"/>
        <w:rPr>
          <w:b/>
          <w:bCs/>
          <w:szCs w:val="18"/>
        </w:rPr>
      </w:pPr>
      <w:bookmarkStart w:id="32" w:name="_Toc37261889"/>
    </w:p>
    <w:tbl>
      <w:tblPr>
        <w:tblStyle w:val="TableGrid"/>
        <w:tblW w:w="9639" w:type="dxa"/>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Pr>
      <w:tblGrid>
        <w:gridCol w:w="9639"/>
      </w:tblGrid>
      <w:tr w:rsidR="001237A9" w:rsidRPr="00CA47B9" w14:paraId="49896A7F" w14:textId="77777777" w:rsidTr="008B0419">
        <w:trPr>
          <w:cantSplit/>
          <w:trHeight w:val="2508"/>
        </w:trPr>
        <w:tc>
          <w:tcPr>
            <w:tcW w:w="8845" w:type="dxa"/>
          </w:tcPr>
          <w:p w14:paraId="3DB41902" w14:textId="7279EDBB" w:rsidR="001237A9" w:rsidRPr="001A5E4B" w:rsidRDefault="001237A9" w:rsidP="00D95288">
            <w:pPr>
              <w:pStyle w:val="Bulletblackplain"/>
              <w:numPr>
                <w:ilvl w:val="0"/>
                <w:numId w:val="0"/>
              </w:numPr>
              <w:ind w:left="354"/>
              <w:rPr>
                <w:b/>
                <w:bCs/>
                <w:sz w:val="24"/>
                <w:szCs w:val="22"/>
              </w:rPr>
            </w:pPr>
            <w:bookmarkStart w:id="33" w:name="_Hlk53562599"/>
            <w:bookmarkEnd w:id="28"/>
            <w:r w:rsidRPr="001A5E4B">
              <w:rPr>
                <w:b/>
                <w:bCs/>
                <w:sz w:val="24"/>
                <w:szCs w:val="22"/>
              </w:rPr>
              <w:lastRenderedPageBreak/>
              <w:t>Older and disabled people need –</w:t>
            </w:r>
            <w:r w:rsidR="00CA0F24" w:rsidRPr="001A5E4B">
              <w:rPr>
                <w:b/>
                <w:bCs/>
                <w:sz w:val="24"/>
                <w:szCs w:val="22"/>
              </w:rPr>
              <w:t xml:space="preserve"> </w:t>
            </w:r>
            <w:r w:rsidR="003477B6" w:rsidRPr="001A5E4B">
              <w:rPr>
                <w:b/>
                <w:bCs/>
                <w:sz w:val="24"/>
                <w:szCs w:val="22"/>
              </w:rPr>
              <w:t>Key Messages and Recommendations</w:t>
            </w:r>
          </w:p>
          <w:p w14:paraId="42FB310F" w14:textId="77777777" w:rsidR="0087741B" w:rsidRDefault="0087741B" w:rsidP="00097650">
            <w:pPr>
              <w:pStyle w:val="10BulletBodytext"/>
            </w:pPr>
            <w:r>
              <w:t>There is projected to be a 55% increase in the population aged 65 or over between 2020-2040 across the HMA (potentially accounting for  50% of total population growth).</w:t>
            </w:r>
          </w:p>
          <w:p w14:paraId="3995E517" w14:textId="77777777" w:rsidR="0087741B" w:rsidRDefault="0087741B" w:rsidP="00097650">
            <w:pPr>
              <w:pStyle w:val="10BulletBodytext"/>
            </w:pPr>
            <w:r>
              <w:t>Based on prevalence rates and the identified population growth of those aged 75 or over we have identified the need for different types of older person accommodation.</w:t>
            </w:r>
          </w:p>
          <w:p w14:paraId="468278A0" w14:textId="77777777" w:rsidR="0087741B" w:rsidRPr="001A5E4B" w:rsidRDefault="0087741B" w:rsidP="00097650">
            <w:pPr>
              <w:pStyle w:val="10BulletBodytext"/>
              <w:rPr>
                <w:b/>
                <w:bCs w:val="0"/>
              </w:rPr>
            </w:pPr>
            <w:r w:rsidRPr="001A5E4B">
              <w:rPr>
                <w:b/>
                <w:bCs w:val="0"/>
              </w:rPr>
              <w:t xml:space="preserve">Recommendation: The need for the following levels of older person accommodation is identified and should be planned for across the HMA: </w:t>
            </w:r>
          </w:p>
          <w:tbl>
            <w:tblPr>
              <w:tblStyle w:val="TableGridLight1"/>
              <w:tblW w:w="8329" w:type="dxa"/>
              <w:tblInd w:w="853" w:type="dxa"/>
              <w:tblLook w:val="04A0" w:firstRow="1" w:lastRow="0" w:firstColumn="1" w:lastColumn="0" w:noHBand="0" w:noVBand="1"/>
            </w:tblPr>
            <w:tblGrid>
              <w:gridCol w:w="2835"/>
              <w:gridCol w:w="2747"/>
              <w:gridCol w:w="2747"/>
            </w:tblGrid>
            <w:tr w:rsidR="00D47BE7" w:rsidRPr="00D47BE7" w14:paraId="4B69DABC" w14:textId="77777777" w:rsidTr="00D47BE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5" w:type="dxa"/>
                  <w:hideMark/>
                </w:tcPr>
                <w:p w14:paraId="2AC6888C" w14:textId="77777777" w:rsidR="00D47BE7" w:rsidRDefault="00D47BE7" w:rsidP="00D47BE7">
                  <w:pPr>
                    <w:rPr>
                      <w:b w:val="0"/>
                      <w:color w:val="auto"/>
                      <w:lang w:val="en-US" w:eastAsia="en-GB"/>
                    </w:rPr>
                  </w:pPr>
                  <w:r w:rsidRPr="00D47BE7">
                    <w:rPr>
                      <w:color w:val="auto"/>
                      <w:lang w:val="en-US" w:eastAsia="en-GB"/>
                    </w:rPr>
                    <w:t>Type</w:t>
                  </w:r>
                </w:p>
                <w:p w14:paraId="7123714B" w14:textId="0287B20F" w:rsidR="00D47BE7" w:rsidRPr="00D47BE7" w:rsidRDefault="00D47BE7" w:rsidP="00D47BE7">
                  <w:pPr>
                    <w:rPr>
                      <w:color w:val="auto"/>
                      <w:lang w:eastAsia="en-GB"/>
                    </w:rPr>
                  </w:pPr>
                </w:p>
              </w:tc>
              <w:tc>
                <w:tcPr>
                  <w:tcW w:w="2747" w:type="dxa"/>
                  <w:hideMark/>
                </w:tcPr>
                <w:p w14:paraId="77BE48A6" w14:textId="77777777" w:rsidR="00D47BE7" w:rsidRPr="00D47BE7" w:rsidRDefault="00D47BE7" w:rsidP="00D47BE7">
                  <w:pPr>
                    <w:cnfStyle w:val="100000000000" w:firstRow="1" w:lastRow="0" w:firstColumn="0" w:lastColumn="0" w:oddVBand="0" w:evenVBand="0" w:oddHBand="0" w:evenHBand="0" w:firstRowFirstColumn="0" w:firstRowLastColumn="0" w:lastRowFirstColumn="0" w:lastRowLastColumn="0"/>
                    <w:rPr>
                      <w:color w:val="auto"/>
                      <w:szCs w:val="24"/>
                      <w:lang w:eastAsia="en-GB"/>
                    </w:rPr>
                  </w:pPr>
                  <w:r w:rsidRPr="00D47BE7">
                    <w:rPr>
                      <w:color w:val="auto"/>
                      <w:szCs w:val="24"/>
                      <w:lang w:val="en-US" w:eastAsia="en-GB"/>
                    </w:rPr>
                    <w:t>Tenure</w:t>
                  </w:r>
                </w:p>
              </w:tc>
              <w:tc>
                <w:tcPr>
                  <w:tcW w:w="2747" w:type="dxa"/>
                  <w:hideMark/>
                </w:tcPr>
                <w:p w14:paraId="59F5F2A0" w14:textId="77777777" w:rsidR="00D47BE7" w:rsidRPr="00D47BE7" w:rsidRDefault="00D47BE7" w:rsidP="00D47BE7">
                  <w:pPr>
                    <w:cnfStyle w:val="100000000000" w:firstRow="1" w:lastRow="0" w:firstColumn="0" w:lastColumn="0" w:oddVBand="0" w:evenVBand="0" w:oddHBand="0" w:evenHBand="0" w:firstRowFirstColumn="0" w:firstRowLastColumn="0" w:lastRowFirstColumn="0" w:lastRowLastColumn="0"/>
                    <w:rPr>
                      <w:color w:val="auto"/>
                      <w:szCs w:val="24"/>
                      <w:lang w:eastAsia="en-GB"/>
                    </w:rPr>
                  </w:pPr>
                  <w:r w:rsidRPr="00D47BE7">
                    <w:rPr>
                      <w:color w:val="auto"/>
                      <w:szCs w:val="24"/>
                      <w:lang w:val="en-US" w:eastAsia="en-GB"/>
                    </w:rPr>
                    <w:t>2040 Need</w:t>
                  </w:r>
                </w:p>
              </w:tc>
            </w:tr>
            <w:tr w:rsidR="00D47BE7" w:rsidRPr="00D47BE7" w14:paraId="10B9D40C" w14:textId="77777777" w:rsidTr="00D47BE7">
              <w:trPr>
                <w:trHeight w:val="454"/>
              </w:trPr>
              <w:tc>
                <w:tcPr>
                  <w:cnfStyle w:val="001000000000" w:firstRow="0" w:lastRow="0" w:firstColumn="1" w:lastColumn="0" w:oddVBand="0" w:evenVBand="0" w:oddHBand="0" w:evenHBand="0" w:firstRowFirstColumn="0" w:firstRowLastColumn="0" w:lastRowFirstColumn="0" w:lastRowLastColumn="0"/>
                  <w:tcW w:w="2835" w:type="dxa"/>
                  <w:hideMark/>
                </w:tcPr>
                <w:p w14:paraId="36F94CBE" w14:textId="2D663855" w:rsidR="00D47BE7" w:rsidRPr="00D47BE7" w:rsidRDefault="00D47BE7" w:rsidP="00D47BE7">
                  <w:pPr>
                    <w:jc w:val="center"/>
                    <w:rPr>
                      <w:color w:val="auto"/>
                      <w:szCs w:val="24"/>
                      <w:lang w:val="en-US" w:eastAsia="en-GB"/>
                    </w:rPr>
                  </w:pPr>
                  <w:r w:rsidRPr="00D47BE7">
                    <w:rPr>
                      <w:color w:val="auto"/>
                      <w:szCs w:val="24"/>
                      <w:lang w:val="en-US" w:eastAsia="en-GB"/>
                    </w:rPr>
                    <w:t>Housing with support</w:t>
                  </w:r>
                </w:p>
              </w:tc>
              <w:tc>
                <w:tcPr>
                  <w:tcW w:w="2747" w:type="dxa"/>
                  <w:hideMark/>
                </w:tcPr>
                <w:p w14:paraId="1501E4D3"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D47BE7">
                    <w:rPr>
                      <w:color w:val="auto"/>
                      <w:szCs w:val="24"/>
                      <w:lang w:val="en-US" w:eastAsia="en-GB"/>
                    </w:rPr>
                    <w:t>Rented Units</w:t>
                  </w:r>
                </w:p>
              </w:tc>
              <w:tc>
                <w:tcPr>
                  <w:tcW w:w="2747" w:type="dxa"/>
                  <w:hideMark/>
                </w:tcPr>
                <w:p w14:paraId="04B4374A"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lang w:eastAsia="en-GB"/>
                    </w:rPr>
                  </w:pPr>
                  <w:r w:rsidRPr="00D47BE7">
                    <w:rPr>
                      <w:color w:val="auto"/>
                      <w:lang w:val="en-US" w:eastAsia="en-GB"/>
                    </w:rPr>
                    <w:t>591</w:t>
                  </w:r>
                </w:p>
              </w:tc>
            </w:tr>
            <w:tr w:rsidR="00D47BE7" w:rsidRPr="00D47BE7" w14:paraId="130B5722" w14:textId="77777777" w:rsidTr="00D47BE7">
              <w:trPr>
                <w:trHeight w:val="454"/>
              </w:trPr>
              <w:tc>
                <w:tcPr>
                  <w:cnfStyle w:val="001000000000" w:firstRow="0" w:lastRow="0" w:firstColumn="1" w:lastColumn="0" w:oddVBand="0" w:evenVBand="0" w:oddHBand="0" w:evenHBand="0" w:firstRowFirstColumn="0" w:firstRowLastColumn="0" w:lastRowFirstColumn="0" w:lastRowLastColumn="0"/>
                  <w:tcW w:w="2835" w:type="dxa"/>
                  <w:hideMark/>
                </w:tcPr>
                <w:p w14:paraId="440892BF" w14:textId="1C57242F" w:rsidR="00D47BE7" w:rsidRPr="00D47BE7" w:rsidRDefault="00D47BE7" w:rsidP="00D47BE7">
                  <w:pPr>
                    <w:jc w:val="center"/>
                    <w:rPr>
                      <w:color w:val="auto"/>
                      <w:szCs w:val="24"/>
                      <w:lang w:eastAsia="en-GB"/>
                    </w:rPr>
                  </w:pPr>
                  <w:r w:rsidRPr="00D47BE7">
                    <w:rPr>
                      <w:color w:val="auto"/>
                      <w:szCs w:val="24"/>
                      <w:lang w:eastAsia="en-GB"/>
                    </w:rPr>
                    <w:t>Housing with support</w:t>
                  </w:r>
                </w:p>
              </w:tc>
              <w:tc>
                <w:tcPr>
                  <w:tcW w:w="2747" w:type="dxa"/>
                  <w:hideMark/>
                </w:tcPr>
                <w:p w14:paraId="17F280AE"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D47BE7">
                    <w:rPr>
                      <w:color w:val="auto"/>
                      <w:szCs w:val="24"/>
                      <w:lang w:val="en-US" w:eastAsia="en-GB"/>
                    </w:rPr>
                    <w:t>Leasehold Units</w:t>
                  </w:r>
                </w:p>
              </w:tc>
              <w:tc>
                <w:tcPr>
                  <w:tcW w:w="2747" w:type="dxa"/>
                  <w:hideMark/>
                </w:tcPr>
                <w:p w14:paraId="4D3F5E24"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lang w:eastAsia="en-GB"/>
                    </w:rPr>
                  </w:pPr>
                  <w:r w:rsidRPr="00D47BE7">
                    <w:rPr>
                      <w:color w:val="auto"/>
                      <w:lang w:val="en-US" w:eastAsia="en-GB"/>
                    </w:rPr>
                    <w:t>7,978</w:t>
                  </w:r>
                </w:p>
              </w:tc>
            </w:tr>
            <w:tr w:rsidR="00D47BE7" w:rsidRPr="00D47BE7" w14:paraId="198173A9" w14:textId="77777777" w:rsidTr="00D47BE7">
              <w:trPr>
                <w:trHeight w:val="454"/>
              </w:trPr>
              <w:tc>
                <w:tcPr>
                  <w:cnfStyle w:val="001000000000" w:firstRow="0" w:lastRow="0" w:firstColumn="1" w:lastColumn="0" w:oddVBand="0" w:evenVBand="0" w:oddHBand="0" w:evenHBand="0" w:firstRowFirstColumn="0" w:firstRowLastColumn="0" w:lastRowFirstColumn="0" w:lastRowLastColumn="0"/>
                  <w:tcW w:w="2835" w:type="dxa"/>
                  <w:hideMark/>
                </w:tcPr>
                <w:p w14:paraId="351A74D7" w14:textId="77777777" w:rsidR="00D47BE7" w:rsidRPr="00D47BE7" w:rsidRDefault="00D47BE7" w:rsidP="00D47BE7">
                  <w:pPr>
                    <w:jc w:val="center"/>
                    <w:rPr>
                      <w:color w:val="auto"/>
                      <w:szCs w:val="24"/>
                      <w:lang w:eastAsia="en-GB"/>
                    </w:rPr>
                  </w:pPr>
                  <w:r w:rsidRPr="00D47BE7">
                    <w:rPr>
                      <w:color w:val="auto"/>
                      <w:szCs w:val="24"/>
                      <w:lang w:val="en-US" w:eastAsia="en-GB"/>
                    </w:rPr>
                    <w:t>Housing with care</w:t>
                  </w:r>
                </w:p>
              </w:tc>
              <w:tc>
                <w:tcPr>
                  <w:tcW w:w="2747" w:type="dxa"/>
                  <w:hideMark/>
                </w:tcPr>
                <w:p w14:paraId="53012C81"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D47BE7">
                    <w:rPr>
                      <w:color w:val="auto"/>
                      <w:szCs w:val="24"/>
                      <w:lang w:val="en-US" w:eastAsia="en-GB"/>
                    </w:rPr>
                    <w:t>Rented Units</w:t>
                  </w:r>
                </w:p>
              </w:tc>
              <w:tc>
                <w:tcPr>
                  <w:tcW w:w="2747" w:type="dxa"/>
                  <w:hideMark/>
                </w:tcPr>
                <w:p w14:paraId="6F1526E1"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lang w:eastAsia="en-GB"/>
                    </w:rPr>
                  </w:pPr>
                  <w:r w:rsidRPr="00D47BE7">
                    <w:rPr>
                      <w:color w:val="auto"/>
                      <w:lang w:val="en-US" w:eastAsia="en-GB"/>
                    </w:rPr>
                    <w:t>1,696</w:t>
                  </w:r>
                </w:p>
              </w:tc>
            </w:tr>
            <w:tr w:rsidR="00D47BE7" w:rsidRPr="00D47BE7" w14:paraId="1095A99F" w14:textId="77777777" w:rsidTr="00D47BE7">
              <w:trPr>
                <w:trHeight w:val="454"/>
              </w:trPr>
              <w:tc>
                <w:tcPr>
                  <w:cnfStyle w:val="001000000000" w:firstRow="0" w:lastRow="0" w:firstColumn="1" w:lastColumn="0" w:oddVBand="0" w:evenVBand="0" w:oddHBand="0" w:evenHBand="0" w:firstRowFirstColumn="0" w:firstRowLastColumn="0" w:lastRowFirstColumn="0" w:lastRowLastColumn="0"/>
                  <w:tcW w:w="2835" w:type="dxa"/>
                  <w:hideMark/>
                </w:tcPr>
                <w:p w14:paraId="163EDFDB" w14:textId="77777777" w:rsidR="00D47BE7" w:rsidRPr="00D47BE7" w:rsidRDefault="00D47BE7" w:rsidP="00D47BE7">
                  <w:pPr>
                    <w:jc w:val="center"/>
                    <w:rPr>
                      <w:color w:val="auto"/>
                      <w:szCs w:val="24"/>
                      <w:lang w:eastAsia="en-GB"/>
                    </w:rPr>
                  </w:pPr>
                  <w:r w:rsidRPr="00D47BE7">
                    <w:rPr>
                      <w:color w:val="auto"/>
                      <w:szCs w:val="24"/>
                      <w:lang w:eastAsia="en-GB"/>
                    </w:rPr>
                    <w:t>Housing with care</w:t>
                  </w:r>
                </w:p>
              </w:tc>
              <w:tc>
                <w:tcPr>
                  <w:tcW w:w="2747" w:type="dxa"/>
                  <w:hideMark/>
                </w:tcPr>
                <w:p w14:paraId="051E96A6"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D47BE7">
                    <w:rPr>
                      <w:color w:val="auto"/>
                      <w:szCs w:val="24"/>
                      <w:lang w:val="en-US" w:eastAsia="en-GB"/>
                    </w:rPr>
                    <w:t>Leasehold Units</w:t>
                  </w:r>
                </w:p>
              </w:tc>
              <w:tc>
                <w:tcPr>
                  <w:tcW w:w="2747" w:type="dxa"/>
                  <w:hideMark/>
                </w:tcPr>
                <w:p w14:paraId="018619BA"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lang w:eastAsia="en-GB"/>
                    </w:rPr>
                  </w:pPr>
                  <w:r w:rsidRPr="00D47BE7">
                    <w:rPr>
                      <w:color w:val="auto"/>
                      <w:lang w:val="en-US" w:eastAsia="en-GB"/>
                    </w:rPr>
                    <w:t>2,798</w:t>
                  </w:r>
                </w:p>
              </w:tc>
            </w:tr>
            <w:tr w:rsidR="00D47BE7" w:rsidRPr="00D47BE7" w14:paraId="33080D87" w14:textId="77777777" w:rsidTr="00D47BE7">
              <w:trPr>
                <w:trHeight w:val="454"/>
              </w:trPr>
              <w:tc>
                <w:tcPr>
                  <w:cnfStyle w:val="001000000000" w:firstRow="0" w:lastRow="0" w:firstColumn="1" w:lastColumn="0" w:oddVBand="0" w:evenVBand="0" w:oddHBand="0" w:evenHBand="0" w:firstRowFirstColumn="0" w:firstRowLastColumn="0" w:lastRowFirstColumn="0" w:lastRowLastColumn="0"/>
                  <w:tcW w:w="2835" w:type="dxa"/>
                  <w:hideMark/>
                </w:tcPr>
                <w:p w14:paraId="58990351" w14:textId="77777777" w:rsidR="00D47BE7" w:rsidRPr="00D47BE7" w:rsidRDefault="00D47BE7" w:rsidP="00D47BE7">
                  <w:pPr>
                    <w:jc w:val="center"/>
                    <w:rPr>
                      <w:color w:val="auto"/>
                      <w:lang w:eastAsia="en-GB"/>
                    </w:rPr>
                  </w:pPr>
                  <w:r w:rsidRPr="00D47BE7">
                    <w:rPr>
                      <w:color w:val="auto"/>
                      <w:lang w:val="en-US" w:eastAsia="en-GB"/>
                    </w:rPr>
                    <w:t xml:space="preserve">Care </w:t>
                  </w:r>
                  <w:proofErr w:type="gramStart"/>
                  <w:r w:rsidRPr="00D47BE7">
                    <w:rPr>
                      <w:color w:val="auto"/>
                      <w:lang w:val="en-US" w:eastAsia="en-GB"/>
                    </w:rPr>
                    <w:t>Bed-spaces</w:t>
                  </w:r>
                  <w:proofErr w:type="gramEnd"/>
                </w:p>
              </w:tc>
              <w:tc>
                <w:tcPr>
                  <w:tcW w:w="2747" w:type="dxa"/>
                  <w:hideMark/>
                </w:tcPr>
                <w:p w14:paraId="01211581" w14:textId="475621A4"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lang w:eastAsia="en-GB"/>
                    </w:rPr>
                  </w:pPr>
                </w:p>
              </w:tc>
              <w:tc>
                <w:tcPr>
                  <w:tcW w:w="2747" w:type="dxa"/>
                  <w:hideMark/>
                </w:tcPr>
                <w:p w14:paraId="6D42B434" w14:textId="77777777" w:rsidR="00D47BE7" w:rsidRPr="00D47BE7" w:rsidRDefault="00D47BE7" w:rsidP="00D47BE7">
                  <w:pPr>
                    <w:cnfStyle w:val="000000000000" w:firstRow="0" w:lastRow="0" w:firstColumn="0" w:lastColumn="0" w:oddVBand="0" w:evenVBand="0" w:oddHBand="0" w:evenHBand="0" w:firstRowFirstColumn="0" w:firstRowLastColumn="0" w:lastRowFirstColumn="0" w:lastRowLastColumn="0"/>
                    <w:rPr>
                      <w:color w:val="auto"/>
                      <w:lang w:eastAsia="en-GB"/>
                    </w:rPr>
                  </w:pPr>
                  <w:r w:rsidRPr="00D47BE7">
                    <w:rPr>
                      <w:color w:val="auto"/>
                      <w:lang w:val="en-US" w:eastAsia="en-GB"/>
                    </w:rPr>
                    <w:t>8,515</w:t>
                  </w:r>
                </w:p>
              </w:tc>
            </w:tr>
          </w:tbl>
          <w:p w14:paraId="6BA9DD12" w14:textId="77777777" w:rsidR="0087741B" w:rsidRDefault="0087741B" w:rsidP="001A5E4B">
            <w:pPr>
              <w:pStyle w:val="ListParagraph"/>
              <w:numPr>
                <w:ilvl w:val="0"/>
                <w:numId w:val="0"/>
              </w:numPr>
              <w:ind w:left="426"/>
            </w:pPr>
          </w:p>
          <w:p w14:paraId="6E92E33D" w14:textId="77777777" w:rsidR="0087741B" w:rsidRDefault="0087741B" w:rsidP="00097650">
            <w:pPr>
              <w:pStyle w:val="10BulletBodytext"/>
              <w:rPr>
                <w:shd w:val="clear" w:color="auto" w:fill="FFFFFF"/>
              </w:rPr>
            </w:pPr>
            <w:r>
              <w:t xml:space="preserve">The data shows that in general, Cambridgeshire and West Suffolk have slightly lower levels of long term health problems and disability compared to the region and country. However, an ageing population will lead to an increase in the number of people requiring specialist accommodation in the future. </w:t>
            </w:r>
          </w:p>
          <w:p w14:paraId="142483FD" w14:textId="77777777" w:rsidR="0087741B" w:rsidRDefault="0087741B" w:rsidP="00097650">
            <w:pPr>
              <w:pStyle w:val="10BulletBodytext"/>
            </w:pPr>
            <w:r>
              <w:t>The number of older people with dementia is expected to increase by 76.2% from 2020 to 2040. There are also significant increases projected for those with mobility problems (65.6% increase over the same period).</w:t>
            </w:r>
          </w:p>
          <w:p w14:paraId="57E838E1" w14:textId="77777777" w:rsidR="0087741B" w:rsidRDefault="0087741B" w:rsidP="00097650">
            <w:pPr>
              <w:pStyle w:val="10BulletBodytext"/>
            </w:pPr>
            <w:r>
              <w:t>Using data from the ONS and the English Housing Survey (EHS) there is a current and projected need for 8,278 wheelchair user dwellings to 2040 across the HMA. This equates to 8.9% of the total Local Housing Need across the HMA with some variation by area (from 6.4% in Cambridge, up to over 11.7% in West Suffolk).</w:t>
            </w:r>
          </w:p>
          <w:p w14:paraId="02DB03E2" w14:textId="77777777" w:rsidR="0087741B" w:rsidRDefault="0087741B" w:rsidP="00097650">
            <w:pPr>
              <w:pStyle w:val="10BulletBodytext"/>
            </w:pPr>
            <w:r>
              <w:t>Drawing this information together there is a need to increase the supply of M4(2) accessible and adaptable dwellings and M4(3) wheelchair user dwellings. In seeking M4(2) compliant homes, the Councils should also be mindful that such homes could be considered as ‘homes for life’ and would be suitable for any occupant, regardless of whether or not they have a health problem or disability at the time of initial occupation.</w:t>
            </w:r>
          </w:p>
          <w:p w14:paraId="2730970C" w14:textId="77777777" w:rsidR="0087741B" w:rsidRDefault="0087741B" w:rsidP="00097650">
            <w:pPr>
              <w:pStyle w:val="10BulletBodytext"/>
              <w:rPr>
                <w:color w:val="auto"/>
              </w:rPr>
            </w:pPr>
            <w:bookmarkStart w:id="34" w:name="_Hlk79225015"/>
            <w:r w:rsidRPr="00972A9E">
              <w:rPr>
                <w:b/>
                <w:bCs w:val="0"/>
              </w:rPr>
              <w:t>Recommendations: All new homes should be M4(2) compliant.  Where possible the Councils should also seek 10% of all new market homes and 25% of affordable homes to be M4(3) compliant.</w:t>
            </w:r>
            <w:r>
              <w:t xml:space="preserve"> Higher numbers may also be considered but in all cases the numbers applied in policy should be viability tested.</w:t>
            </w:r>
            <w:r>
              <w:rPr>
                <w:rFonts w:eastAsiaTheme="majorEastAsia"/>
                <w:color w:val="auto"/>
              </w:rPr>
              <w:t xml:space="preserve"> </w:t>
            </w:r>
          </w:p>
          <w:bookmarkEnd w:id="34"/>
          <w:p w14:paraId="1517B50D" w14:textId="0B4BFDD0" w:rsidR="001237A9" w:rsidRPr="00CA47B9" w:rsidRDefault="0087741B" w:rsidP="00097650">
            <w:pPr>
              <w:pStyle w:val="10BulletBodytext"/>
            </w:pPr>
            <w:r>
              <w:t>The higher policy suggestion than the identified need  and its application across the whole HMA  reflects several issues including the narrow range of need between the various local authorties, the fact that such policies can only be applied to affordable homes and the higher prevalance of wheelchair use within the social rent sector.</w:t>
            </w:r>
            <w:bookmarkEnd w:id="33"/>
          </w:p>
        </w:tc>
      </w:tr>
    </w:tbl>
    <w:p w14:paraId="37C75B82" w14:textId="77777777" w:rsidR="001237A9" w:rsidRDefault="001237A9">
      <w:pPr>
        <w:spacing w:after="200"/>
        <w:rPr>
          <w:b/>
          <w:bCs/>
          <w:szCs w:val="18"/>
        </w:rPr>
      </w:pPr>
      <w:r>
        <w:rPr>
          <w:b/>
          <w:bCs/>
        </w:rPr>
        <w:br w:type="page"/>
      </w:r>
    </w:p>
    <w:p w14:paraId="7D402E4F" w14:textId="4F3745FF" w:rsidR="00FE010A" w:rsidRPr="00FE010A" w:rsidRDefault="007D0FBF" w:rsidP="007D0FBF">
      <w:pPr>
        <w:pStyle w:val="Heading1"/>
      </w:pPr>
      <w:bookmarkStart w:id="35" w:name="_Toc79590826"/>
      <w:bookmarkEnd w:id="32"/>
      <w:r>
        <w:lastRenderedPageBreak/>
        <w:t>S</w:t>
      </w:r>
      <w:r w:rsidR="0087703B">
        <w:t>tudent a</w:t>
      </w:r>
      <w:r w:rsidR="00251BE2">
        <w:t>c</w:t>
      </w:r>
      <w:r w:rsidR="0087703B">
        <w:t>commodation</w:t>
      </w:r>
      <w:bookmarkEnd w:id="35"/>
    </w:p>
    <w:p w14:paraId="2F968895" w14:textId="78B9D429" w:rsidR="00FE010A" w:rsidRPr="00FE010A" w:rsidRDefault="00FC665C" w:rsidP="007D0FBF">
      <w:pPr>
        <w:pStyle w:val="11Bodytext"/>
      </w:pPr>
      <w:r>
        <w:t>According to Paragraph 4 of the PPG concerning the Housing Need of Different Groups (</w:t>
      </w:r>
      <w:r w:rsidRPr="008A5E86">
        <w:t>Reference ID: 67-004-20190722)</w:t>
      </w:r>
      <w:r>
        <w:t>,</w:t>
      </w:r>
      <w:r w:rsidRPr="00F42CCF">
        <w:t xml:space="preserve"> </w:t>
      </w:r>
      <w:r>
        <w:t>local</w:t>
      </w:r>
      <w:r w:rsidRPr="00F42CCF">
        <w:t xml:space="preserve"> authorities are required to plan for “</w:t>
      </w:r>
      <w:r w:rsidRPr="0094773C">
        <w:t>sufficient student accommodation whether it consists of communal halls of residence or self-contained dwellings, and whether or not it is on campus</w:t>
      </w:r>
      <w:r w:rsidRPr="00F42CCF">
        <w:t>”</w:t>
      </w:r>
      <w:r>
        <w:t>, T</w:t>
      </w:r>
      <w:r w:rsidRPr="00F42CCF">
        <w:t>o do this</w:t>
      </w:r>
      <w:r>
        <w:t>,</w:t>
      </w:r>
      <w:r w:rsidRPr="00F42CCF">
        <w:t xml:space="preserve"> they are advised</w:t>
      </w:r>
      <w:r>
        <w:t>:</w:t>
      </w:r>
      <w:r w:rsidRPr="00F42CCF">
        <w:t xml:space="preserve"> </w:t>
      </w:r>
      <w:r w:rsidRPr="0094773C">
        <w:t>“to engage with universities and other higher educational establishments to ensure they understand their student accommodation requirements in their area”</w:t>
      </w:r>
      <w:r w:rsidRPr="00F42CCF">
        <w:t>.</w:t>
      </w:r>
      <w:r>
        <w:t xml:space="preserve"> </w:t>
      </w:r>
    </w:p>
    <w:p w14:paraId="5816BA23" w14:textId="25D1CD9B" w:rsidR="00FE010A" w:rsidRPr="00FE010A" w:rsidRDefault="00FC665C" w:rsidP="007D0FBF">
      <w:pPr>
        <w:pStyle w:val="11Bodytext"/>
      </w:pPr>
      <w:r>
        <w:t>In this section, we analyse the student needs across the HMA with an emphasis in Cambridge and South Cambridgeshire as these administrative areas house predominantly the needs raised from the University of Cambridge and Anglia Ruskin University (Cambridge Campus).</w:t>
      </w:r>
    </w:p>
    <w:p w14:paraId="3B84350C" w14:textId="72E86279" w:rsidR="00FC665C" w:rsidRDefault="00FC665C" w:rsidP="007D0FBF">
      <w:pPr>
        <w:pStyle w:val="11Bodytext"/>
      </w:pPr>
      <w:r>
        <w:t xml:space="preserve">The University of Suffolk also has a small campus in Bury St </w:t>
      </w:r>
      <w:proofErr w:type="gramStart"/>
      <w:r>
        <w:t>Edmunds</w:t>
      </w:r>
      <w:proofErr w:type="gramEnd"/>
      <w:r>
        <w:t xml:space="preserve"> but the Higher Education Statistics Authority (HESA) does not provide information down to a campus level. Furthermore, the campus has only been opened since 2011 and would not have been picked up by the census hence there is no data for this establishment within the study area. </w:t>
      </w:r>
    </w:p>
    <w:p w14:paraId="59F3DBCF" w14:textId="62666DF6" w:rsidR="00FC665C" w:rsidRPr="00F42CCF" w:rsidRDefault="00FC665C" w:rsidP="007D0FBF">
      <w:pPr>
        <w:pStyle w:val="11Bodytext"/>
      </w:pPr>
      <w:r>
        <w:t xml:space="preserve">Over 700 </w:t>
      </w:r>
      <w:proofErr w:type="gramStart"/>
      <w:r>
        <w:t>students</w:t>
      </w:r>
      <w:proofErr w:type="gramEnd"/>
      <w:r>
        <w:t xml:space="preserve"> study at the campus</w:t>
      </w:r>
      <w:r>
        <w:rPr>
          <w:rStyle w:val="FootnoteReference"/>
        </w:rPr>
        <w:footnoteReference w:id="46"/>
      </w:r>
      <w:r>
        <w:t xml:space="preserve"> and there is no accredited student accommodation in Bury St Edmunds. This is likely to mean that there is a minor impact on the local housing market from these students.</w:t>
      </w:r>
    </w:p>
    <w:p w14:paraId="7B4474DA" w14:textId="77777777" w:rsidR="00FC665C" w:rsidRDefault="00FC665C" w:rsidP="007D0FBF">
      <w:pPr>
        <w:pStyle w:val="Heading2"/>
      </w:pPr>
      <w:r>
        <w:t>University of Cambridge</w:t>
      </w:r>
    </w:p>
    <w:p w14:paraId="0C43DB8A" w14:textId="77777777" w:rsidR="00FC665C" w:rsidRDefault="00FC665C" w:rsidP="007D0FBF">
      <w:pPr>
        <w:pStyle w:val="11Bodytext"/>
      </w:pPr>
      <w:r>
        <w:t>The University of Cambridge</w:t>
      </w:r>
      <w:r w:rsidRPr="008F1B41">
        <w:t xml:space="preserve"> is the second oldest university in </w:t>
      </w:r>
      <w:r>
        <w:t xml:space="preserve">England and one of the top universities in the world. The University is formed from a variety of institutions including </w:t>
      </w:r>
      <w:r w:rsidRPr="00DE64BC">
        <w:t xml:space="preserve">31 Colleges </w:t>
      </w:r>
      <w:r>
        <w:t>and 1</w:t>
      </w:r>
      <w:r w:rsidRPr="00DE64BC">
        <w:t xml:space="preserve">50 </w:t>
      </w:r>
      <w:r>
        <w:t>d</w:t>
      </w:r>
      <w:r w:rsidRPr="00DE64BC">
        <w:t>epartments</w:t>
      </w:r>
      <w:r>
        <w:t>, f</w:t>
      </w:r>
      <w:r w:rsidRPr="00DE64BC">
        <w:t>aculties</w:t>
      </w:r>
      <w:r>
        <w:t xml:space="preserve">, schools, </w:t>
      </w:r>
      <w:r w:rsidRPr="008F1B41">
        <w:t>syndicates</w:t>
      </w:r>
      <w:r>
        <w:t>,</w:t>
      </w:r>
      <w:r w:rsidRPr="008F1B41">
        <w:t xml:space="preserve"> and other institutions.</w:t>
      </w:r>
      <w:r>
        <w:t xml:space="preserve"> The University has more </w:t>
      </w:r>
      <w:r w:rsidRPr="00DE64BC">
        <w:t>than 18,000 students</w:t>
      </w:r>
      <w:r>
        <w:t xml:space="preserve"> and</w:t>
      </w:r>
      <w:r w:rsidRPr="00DE64BC">
        <w:t xml:space="preserve"> over 11,000 staff</w:t>
      </w:r>
      <w:r>
        <w:t xml:space="preserve"> and personnel. </w:t>
      </w:r>
    </w:p>
    <w:p w14:paraId="2249F8DA" w14:textId="77777777" w:rsidR="00FC665C" w:rsidRDefault="00FC665C" w:rsidP="007D0FBF">
      <w:pPr>
        <w:pStyle w:val="11Bodytext"/>
      </w:pPr>
      <w:r>
        <w:lastRenderedPageBreak/>
        <w:t xml:space="preserve">Eddington and the West and North West Cambridge Developments constitute key expansions for the Greater Cambridge area and aim to meet the growing needs for the University, its students and personnel as well as addressing some wider community needs. </w:t>
      </w:r>
    </w:p>
    <w:p w14:paraId="0ADC941F" w14:textId="77777777" w:rsidR="00FC665C" w:rsidRDefault="00FC665C" w:rsidP="007D0FBF">
      <w:pPr>
        <w:pStyle w:val="11Bodytext"/>
      </w:pPr>
      <w:r>
        <w:t>The University has started considering proposals to create a development and property management entity to provide more effective management of the University’s expanding non-operational estate (</w:t>
      </w:r>
      <w:proofErr w:type="gramStart"/>
      <w:r>
        <w:t>i.e.</w:t>
      </w:r>
      <w:proofErr w:type="gramEnd"/>
      <w:r>
        <w:t xml:space="preserve"> land and property held for the general purposes of the University, such as residences) since December 2018. This new entity would enable the University to enlist itself with the detailed design, costing, </w:t>
      </w:r>
      <w:proofErr w:type="gramStart"/>
      <w:r>
        <w:t>delivery</w:t>
      </w:r>
      <w:proofErr w:type="gramEnd"/>
      <w:r>
        <w:t xml:space="preserve"> and ongoing management of the non-operational estate. </w:t>
      </w:r>
    </w:p>
    <w:p w14:paraId="4B2B2355" w14:textId="77777777" w:rsidR="00FC665C" w:rsidRDefault="00FC665C" w:rsidP="001A5E4B">
      <w:pPr>
        <w:pStyle w:val="Heading3"/>
      </w:pPr>
      <w:r>
        <w:t xml:space="preserve">Student Headcounts </w:t>
      </w:r>
    </w:p>
    <w:p w14:paraId="50F744F3" w14:textId="77777777" w:rsidR="00FC665C" w:rsidRDefault="00FC665C" w:rsidP="007D0FBF">
      <w:pPr>
        <w:pStyle w:val="11Bodytext"/>
      </w:pPr>
      <w:r>
        <w:t>The University of Cambridge publishes Student Statistics, Facts and Figures</w:t>
      </w:r>
      <w:r>
        <w:rPr>
          <w:rStyle w:val="FootnoteReference"/>
        </w:rPr>
        <w:footnoteReference w:id="47"/>
      </w:r>
      <w:r>
        <w:t xml:space="preserve"> annually. Data is available up to the 2016/17 academic year. The figure below</w:t>
      </w:r>
      <w:r w:rsidRPr="00972CE6">
        <w:t xml:space="preserve"> shows the growth in full</w:t>
      </w:r>
      <w:r>
        <w:t>-</w:t>
      </w:r>
      <w:r w:rsidRPr="00972CE6">
        <w:t xml:space="preserve">time students between 1995 and 2017. </w:t>
      </w:r>
    </w:p>
    <w:p w14:paraId="391D0CA6" w14:textId="77777777" w:rsidR="00FC665C" w:rsidRPr="00972CE6" w:rsidRDefault="00FC665C" w:rsidP="007D0FBF">
      <w:pPr>
        <w:pStyle w:val="11Bodytext"/>
      </w:pPr>
      <w:r w:rsidRPr="00972CE6">
        <w:t xml:space="preserve">There has been a growth from 15,870 to 18,620 </w:t>
      </w:r>
      <w:r>
        <w:t>f</w:t>
      </w:r>
      <w:r w:rsidRPr="00972CE6">
        <w:t xml:space="preserve">ull-time </w:t>
      </w:r>
      <w:r>
        <w:t>s</w:t>
      </w:r>
      <w:r w:rsidRPr="00972CE6">
        <w:t>tudents since 1995</w:t>
      </w:r>
      <w:r>
        <w:t>,</w:t>
      </w:r>
      <w:r w:rsidRPr="00972CE6">
        <w:t xml:space="preserve"> representing a 17% increase in students’ headcount. Over the last 10 years</w:t>
      </w:r>
      <w:r>
        <w:t xml:space="preserve"> </w:t>
      </w:r>
      <w:r w:rsidRPr="00972CE6">
        <w:t xml:space="preserve">the number of full-time students has remained quite stable with only </w:t>
      </w:r>
      <w:r>
        <w:t xml:space="preserve">a </w:t>
      </w:r>
      <w:r w:rsidRPr="00972CE6">
        <w:t xml:space="preserve">3% increase </w:t>
      </w:r>
      <w:r>
        <w:t>being</w:t>
      </w:r>
      <w:r w:rsidRPr="00972CE6">
        <w:t xml:space="preserve"> recorded since 2005/06. </w:t>
      </w:r>
    </w:p>
    <w:p w14:paraId="2A7B0523" w14:textId="77777777" w:rsidR="00FC665C" w:rsidRPr="008B0419" w:rsidRDefault="00FC665C" w:rsidP="007D0FBF">
      <w:pPr>
        <w:pStyle w:val="11Bodytext"/>
        <w:rPr>
          <w:b/>
        </w:rPr>
      </w:pPr>
      <w:r w:rsidRPr="00972CE6">
        <w:t xml:space="preserve">The </w:t>
      </w:r>
      <w:r>
        <w:t xml:space="preserve">growth in the total full-time student number is mainly related to Postgraduate students’ admissions that have seen an increase of 38% since 1995. The equivalent for undergraduates is 8% for the same period. </w:t>
      </w:r>
    </w:p>
    <w:p w14:paraId="4C80D878" w14:textId="77777777" w:rsidR="00FC665C" w:rsidRPr="0088150A" w:rsidRDefault="00FC665C" w:rsidP="003D5E23">
      <w:pPr>
        <w:pStyle w:val="FigureHeading"/>
      </w:pPr>
      <w:r>
        <w:lastRenderedPageBreak/>
        <w:t>Full-time Students by type, 1995-2017</w:t>
      </w:r>
    </w:p>
    <w:p w14:paraId="05FD5BBF" w14:textId="77777777" w:rsidR="00FC665C" w:rsidRDefault="00FC665C" w:rsidP="001A5E4B">
      <w:pPr>
        <w:pStyle w:val="11Bodytext"/>
        <w:numPr>
          <w:ilvl w:val="0"/>
          <w:numId w:val="0"/>
        </w:numPr>
        <w:spacing w:before="0" w:after="0" w:line="240" w:lineRule="auto"/>
        <w:ind w:left="794"/>
      </w:pPr>
      <w:r>
        <w:rPr>
          <w:noProof/>
          <w:lang w:eastAsia="en-GB"/>
        </w:rPr>
        <w:drawing>
          <wp:inline distT="0" distB="0" distL="0" distR="0" wp14:anchorId="30D44374" wp14:editId="76C747E2">
            <wp:extent cx="5435194" cy="2889504"/>
            <wp:effectExtent l="0" t="0" r="13335" b="6350"/>
            <wp:docPr id="1049" name="Chart 1049" descr="Chart showing students by type over time">
              <a:extLst xmlns:a="http://schemas.openxmlformats.org/drawingml/2006/main">
                <a:ext uri="{FF2B5EF4-FFF2-40B4-BE49-F238E27FC236}">
                  <a16:creationId xmlns:a16="http://schemas.microsoft.com/office/drawing/2014/main" id="{39918653-86CA-4886-9EC1-AD5963B67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t xml:space="preserve"> </w:t>
      </w:r>
    </w:p>
    <w:p w14:paraId="63B5744B" w14:textId="77777777" w:rsidR="00FC665C" w:rsidRDefault="00FC665C" w:rsidP="001A5E4B">
      <w:pPr>
        <w:pStyle w:val="11Bodytext"/>
        <w:numPr>
          <w:ilvl w:val="0"/>
          <w:numId w:val="0"/>
        </w:numPr>
        <w:spacing w:before="0" w:line="240" w:lineRule="auto"/>
        <w:ind w:left="794"/>
      </w:pPr>
      <w:r>
        <w:t>Source: University of Cambridge – Student Statistics</w:t>
      </w:r>
      <w:r w:rsidRPr="00583E09">
        <w:t xml:space="preserve"> </w:t>
      </w:r>
    </w:p>
    <w:p w14:paraId="433B4D25" w14:textId="77777777" w:rsidR="00FC665C" w:rsidRDefault="00FC665C" w:rsidP="007D0FBF">
      <w:pPr>
        <w:pStyle w:val="11Bodytext"/>
      </w:pPr>
      <w:r>
        <w:t>The figure below shows the split between Home/EU and Overseas Students for the 2006-17 period. The split has roughly remained unchanged with around 78-80% of the students being either from the UK or EU and 20-22% being from overseas across the whole period of this analysis.  This may change in future as a result of Brexit although the University attracts many more international students from outside of the EU than most other universities.</w:t>
      </w:r>
    </w:p>
    <w:p w14:paraId="550B4D7F" w14:textId="77777777" w:rsidR="00FC665C" w:rsidRPr="0088150A" w:rsidRDefault="00FC665C" w:rsidP="003D5E23">
      <w:pPr>
        <w:pStyle w:val="FigureHeading"/>
      </w:pPr>
      <w:r>
        <w:lastRenderedPageBreak/>
        <w:t>Full-time Students* by origin, 2006-2017</w:t>
      </w:r>
    </w:p>
    <w:p w14:paraId="2DA8DECC" w14:textId="77777777" w:rsidR="00FC665C" w:rsidRDefault="00FC665C" w:rsidP="00D129BB">
      <w:pPr>
        <w:pStyle w:val="11Bodytext"/>
        <w:keepNext/>
        <w:numPr>
          <w:ilvl w:val="0"/>
          <w:numId w:val="0"/>
        </w:numPr>
        <w:spacing w:before="0" w:after="0"/>
        <w:ind w:left="794"/>
      </w:pPr>
      <w:r>
        <w:rPr>
          <w:noProof/>
          <w:lang w:eastAsia="en-GB"/>
        </w:rPr>
        <w:drawing>
          <wp:inline distT="0" distB="0" distL="0" distR="0" wp14:anchorId="79B3A880" wp14:editId="7BA9BD97">
            <wp:extent cx="5464455" cy="2933395"/>
            <wp:effectExtent l="0" t="0" r="3175" b="635"/>
            <wp:docPr id="1050" name="Chart 1050" descr="Bar chart showing full time students by origin, 2006 - 2017">
              <a:extLst xmlns:a="http://schemas.openxmlformats.org/drawingml/2006/main">
                <a:ext uri="{FF2B5EF4-FFF2-40B4-BE49-F238E27FC236}">
                  <a16:creationId xmlns:a16="http://schemas.microsoft.com/office/drawing/2014/main" id="{DF35C602-6E18-4FA3-AD15-C2B8F063A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7813E6" w14:textId="4F6FB0FE" w:rsidR="00FC665C" w:rsidRDefault="00FC665C" w:rsidP="00D129BB">
      <w:pPr>
        <w:pStyle w:val="11Bodytext"/>
        <w:numPr>
          <w:ilvl w:val="0"/>
          <w:numId w:val="0"/>
        </w:numPr>
        <w:spacing w:before="0" w:line="240" w:lineRule="auto"/>
        <w:ind w:left="794"/>
      </w:pPr>
      <w:r>
        <w:t xml:space="preserve">Source: University of Cambridge – Student Statistics *Figures include postgraduate researchers, together with undergraduate and postgraduate students. </w:t>
      </w:r>
    </w:p>
    <w:p w14:paraId="0AE5E475" w14:textId="77777777" w:rsidR="00D129BB" w:rsidRDefault="00D129BB" w:rsidP="00D129BB">
      <w:pPr>
        <w:pStyle w:val="11Bodytext"/>
        <w:numPr>
          <w:ilvl w:val="0"/>
          <w:numId w:val="0"/>
        </w:numPr>
        <w:spacing w:line="240" w:lineRule="auto"/>
        <w:ind w:left="794"/>
      </w:pPr>
    </w:p>
    <w:p w14:paraId="13A02597" w14:textId="77777777" w:rsidR="00FC665C" w:rsidRDefault="00FC665C" w:rsidP="00D129BB">
      <w:pPr>
        <w:pStyle w:val="Heading3"/>
      </w:pPr>
      <w:r>
        <w:t>West and North West Cambridge Developments</w:t>
      </w:r>
    </w:p>
    <w:p w14:paraId="01CECCD4" w14:textId="77777777" w:rsidR="00FC665C" w:rsidRDefault="00FC665C" w:rsidP="007D0FBF">
      <w:pPr>
        <w:pStyle w:val="11Bodytext"/>
      </w:pPr>
      <w:r>
        <w:t>The Board of the West and North West Cambridge Estates (BWNWCE) is responsible for the management and operation of the North West Cambridge Development, known as Eddington, and the West Cambridge site. Its purpose is to deliver quality, affordable accommodation for staff in a sustainable and vibrant community, to attract and retain the best people to the University.</w:t>
      </w:r>
    </w:p>
    <w:p w14:paraId="7594929D" w14:textId="77777777" w:rsidR="00FC665C" w:rsidRDefault="00FC665C" w:rsidP="007D0FBF">
      <w:pPr>
        <w:pStyle w:val="11Bodytext"/>
      </w:pPr>
      <w:r>
        <w:t xml:space="preserve">During 2018–19, the final key worker accommodation within Phase 1 of the Eddington development was handed over to the University for occupation. Over 700 key worker properties are now occupied, and the first private residents have joined the community, taking the Eddington population to approximately 1,600 people. The occupancy rate on University key worker housing is consistently above 99.5% and there is a waiting list for these key worker homes at Eddington. </w:t>
      </w:r>
    </w:p>
    <w:p w14:paraId="5FC99AAE" w14:textId="77777777" w:rsidR="00FC665C" w:rsidRDefault="00FC665C" w:rsidP="007D0FBF">
      <w:pPr>
        <w:pStyle w:val="11Bodytext"/>
      </w:pPr>
      <w:r>
        <w:t xml:space="preserve">Storey’s Field Centre is delivering a community programme. Public festivals, tours, and open events have attracted large numbers of visitors to Eddington. Planning </w:t>
      </w:r>
      <w:r>
        <w:lastRenderedPageBreak/>
        <w:t>permission for a hotel was granted in early 2019. Also, ongoing market engagement continues with developers and operators for further market housing and the care village.</w:t>
      </w:r>
    </w:p>
    <w:p w14:paraId="543FE98A" w14:textId="77777777" w:rsidR="00FC665C" w:rsidRDefault="00FC665C" w:rsidP="007D0FBF">
      <w:pPr>
        <w:pStyle w:val="11Bodytext"/>
      </w:pPr>
      <w:r>
        <w:t xml:space="preserve">In July 2019, the Student Council received the BWNWCE proposal for the procurement approach for Phase 2 of the North West Cambridge Development project. It agreed with the Board’s proposal for a market tender exercise to provide greater cost certainty, and a preferred delivery route, for Phase 2. </w:t>
      </w:r>
    </w:p>
    <w:p w14:paraId="32EF354A" w14:textId="77777777" w:rsidR="00FC665C" w:rsidRDefault="00FC665C" w:rsidP="007D0FBF">
      <w:pPr>
        <w:pStyle w:val="11Bodytext"/>
      </w:pPr>
      <w:r>
        <w:t>The outcomes of the exercise will inform the development of the Phase 2 Business Case. The BWNWCE approved a Commercial Research Strategy in December 2018. The Strategy will mobilise opportunities for supporting entrepreneurship and innovation through developing commercial research space on the University’s sites. The business case for the first phase focused on West Cambridge is being prepared.</w:t>
      </w:r>
    </w:p>
    <w:p w14:paraId="1DDC2FC7" w14:textId="77777777" w:rsidR="00FC665C" w:rsidRPr="00B74CB9" w:rsidRDefault="00FC665C" w:rsidP="007D0FBF">
      <w:pPr>
        <w:pStyle w:val="Heading2"/>
      </w:pPr>
      <w:r w:rsidRPr="00B74CB9">
        <w:t xml:space="preserve">Anglia Ruskin University </w:t>
      </w:r>
    </w:p>
    <w:p w14:paraId="23219B3E" w14:textId="77777777" w:rsidR="00FC665C" w:rsidRDefault="00FC665C" w:rsidP="007D0FBF">
      <w:pPr>
        <w:pStyle w:val="11Bodytext"/>
      </w:pPr>
      <w:r>
        <w:t xml:space="preserve">Anglia Ruskin University has a campus located in Cambridge as well as other campuses located in Chelmsford, Peterborough, and London. The Cambridge Campus is located off East Road towards the South East of Cambridge City. </w:t>
      </w:r>
    </w:p>
    <w:p w14:paraId="5B4D6AF8" w14:textId="77777777" w:rsidR="00FC665C" w:rsidRDefault="00FC665C" w:rsidP="007D0FBF">
      <w:pPr>
        <w:pStyle w:val="11Bodytext"/>
      </w:pPr>
      <w:r>
        <w:t xml:space="preserve">The Cambridge Campus offers 237 courses and is home to the Economics School, Finance and Law School, Business School, Art School and Science Centre. </w:t>
      </w:r>
    </w:p>
    <w:p w14:paraId="440D96F1" w14:textId="77777777" w:rsidR="00FC665C" w:rsidRDefault="00FC665C" w:rsidP="00D129BB">
      <w:pPr>
        <w:pStyle w:val="Heading3"/>
      </w:pPr>
      <w:r>
        <w:t xml:space="preserve">Student Headcounts </w:t>
      </w:r>
    </w:p>
    <w:p w14:paraId="58647623" w14:textId="77777777" w:rsidR="00FC665C" w:rsidRDefault="00FC665C" w:rsidP="007D0FBF">
      <w:pPr>
        <w:pStyle w:val="11Bodytext"/>
      </w:pPr>
      <w:r>
        <w:t xml:space="preserve">Data for Anglia Ruskin University is not available through the University’s website therefore we sought to analyse data from the Higher Education Statistics Agency (HESA). HESA is the official agency for the collection, analysis, and dissemination of quantitative information about higher education in the United Kingdom. It reports students’ numbers from 2014/15 up to 2018/19. </w:t>
      </w:r>
    </w:p>
    <w:p w14:paraId="21150DB5" w14:textId="77777777" w:rsidR="00FC665C" w:rsidRDefault="00FC665C" w:rsidP="007D0FBF">
      <w:pPr>
        <w:pStyle w:val="11Bodytext"/>
      </w:pPr>
      <w:r>
        <w:t xml:space="preserve">The student numbers for Anglia Ruskin University (across all campuses) are shown in the figure below. Over the last 5 years, there has been an increase of </w:t>
      </w:r>
      <w:r>
        <w:lastRenderedPageBreak/>
        <w:t xml:space="preserve">23% in student numbers for Anglia Ruskin University with a 17% increase in undergraduate students and a 46% increase in postgraduates. </w:t>
      </w:r>
    </w:p>
    <w:p w14:paraId="3FBBAF4C" w14:textId="77777777" w:rsidR="00FC665C" w:rsidRDefault="00FC665C" w:rsidP="003D5E23">
      <w:pPr>
        <w:pStyle w:val="FigureHeading"/>
      </w:pPr>
      <w:r>
        <w:t xml:space="preserve">Anglia Ruskin Student Population Change Over 5 Years </w:t>
      </w:r>
    </w:p>
    <w:p w14:paraId="1E40C895" w14:textId="77777777" w:rsidR="00FC665C" w:rsidRPr="008B0419" w:rsidRDefault="00FC665C" w:rsidP="00D129BB">
      <w:pPr>
        <w:pStyle w:val="11Bodytext"/>
        <w:numPr>
          <w:ilvl w:val="0"/>
          <w:numId w:val="0"/>
        </w:numPr>
        <w:spacing w:before="0" w:after="0" w:line="240" w:lineRule="auto"/>
        <w:ind w:left="794"/>
      </w:pPr>
      <w:r w:rsidRPr="008B0419">
        <w:rPr>
          <w:noProof/>
          <w:lang w:eastAsia="en-GB"/>
        </w:rPr>
        <w:drawing>
          <wp:inline distT="0" distB="0" distL="0" distR="0" wp14:anchorId="45AF49F8" wp14:editId="0FA95A4A">
            <wp:extent cx="5427879" cy="2918765"/>
            <wp:effectExtent l="0" t="0" r="1905" b="15240"/>
            <wp:docPr id="1052" name="Chart 1052" descr="Chart showing student population change over time">
              <a:extLst xmlns:a="http://schemas.openxmlformats.org/drawingml/2006/main">
                <a:ext uri="{FF2B5EF4-FFF2-40B4-BE49-F238E27FC236}">
                  <a16:creationId xmlns:a16="http://schemas.microsoft.com/office/drawing/2014/main" id="{E60FFCAD-F1BA-4664-B375-7AD83840A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65BCB08" w14:textId="77777777" w:rsidR="00FC665C" w:rsidRDefault="00FC665C" w:rsidP="00D129BB">
      <w:pPr>
        <w:pStyle w:val="11Bodytext"/>
        <w:numPr>
          <w:ilvl w:val="0"/>
          <w:numId w:val="0"/>
        </w:numPr>
        <w:spacing w:before="0" w:line="240" w:lineRule="auto"/>
        <w:ind w:left="794"/>
      </w:pPr>
      <w:r>
        <w:t xml:space="preserve">Source: HESA, 2020 </w:t>
      </w:r>
    </w:p>
    <w:p w14:paraId="7A88AFA5" w14:textId="77777777" w:rsidR="00FC665C" w:rsidRDefault="00FC665C" w:rsidP="007D0FBF">
      <w:pPr>
        <w:pStyle w:val="11Bodytext"/>
      </w:pPr>
      <w:r>
        <w:t xml:space="preserve">The figure below </w:t>
      </w:r>
      <w:r w:rsidRPr="00B74CB9">
        <w:t>shows the split of students who are from the UK, EU</w:t>
      </w:r>
      <w:r>
        <w:t>,</w:t>
      </w:r>
      <w:r w:rsidRPr="00B74CB9">
        <w:t xml:space="preserve"> and Non-EU countries from 2014/15 to 2018/19. </w:t>
      </w:r>
      <w:r>
        <w:t xml:space="preserve">UK students represent the vast majority (86%), followed by 8% of non-EU and 6% of EU students. </w:t>
      </w:r>
    </w:p>
    <w:p w14:paraId="68C7408E" w14:textId="77777777" w:rsidR="00FC665C" w:rsidRDefault="00FC665C" w:rsidP="007D0FBF">
      <w:pPr>
        <w:pStyle w:val="11Bodytext"/>
      </w:pPr>
      <w:r w:rsidRPr="00B74CB9">
        <w:t xml:space="preserve">EU </w:t>
      </w:r>
      <w:r>
        <w:t xml:space="preserve">student numbers have seen a growth of </w:t>
      </w:r>
      <w:r w:rsidRPr="00B74CB9">
        <w:t xml:space="preserve">86% across the </w:t>
      </w:r>
      <w:r w:rsidRPr="001E46EF">
        <w:t>five</w:t>
      </w:r>
      <w:r>
        <w:t xml:space="preserve"> years growing from 835 students in 2014/15 to 1,555 in 2018/19.</w:t>
      </w:r>
      <w:r w:rsidRPr="00B74CB9">
        <w:t xml:space="preserve"> Brexit could </w:t>
      </w:r>
      <w:r>
        <w:t>i</w:t>
      </w:r>
      <w:r w:rsidRPr="00B74CB9">
        <w:t xml:space="preserve">mpact </w:t>
      </w:r>
      <w:r>
        <w:t xml:space="preserve">these </w:t>
      </w:r>
      <w:r w:rsidRPr="00B74CB9">
        <w:t>numbers</w:t>
      </w:r>
      <w:r>
        <w:t xml:space="preserve"> in the forthcoming years</w:t>
      </w:r>
      <w:r w:rsidRPr="00B74CB9">
        <w:t xml:space="preserve">. Non-EU </w:t>
      </w:r>
      <w:r w:rsidRPr="001E46EF">
        <w:t>origin</w:t>
      </w:r>
      <w:r w:rsidRPr="00B74CB9">
        <w:t xml:space="preserve"> students ha</w:t>
      </w:r>
      <w:r>
        <w:t>ve</w:t>
      </w:r>
      <w:r w:rsidRPr="00B74CB9">
        <w:t xml:space="preserve"> grown by 5% across the</w:t>
      </w:r>
      <w:r>
        <w:t xml:space="preserve"> same</w:t>
      </w:r>
      <w:r w:rsidRPr="00B74CB9">
        <w:t xml:space="preserve"> period.</w:t>
      </w:r>
      <w:r>
        <w:t xml:space="preserve"> </w:t>
      </w:r>
    </w:p>
    <w:p w14:paraId="3F046BEA" w14:textId="77777777" w:rsidR="00FC665C" w:rsidRDefault="00FC665C" w:rsidP="003D5E23">
      <w:pPr>
        <w:pStyle w:val="FigureHeading"/>
      </w:pPr>
      <w:r>
        <w:lastRenderedPageBreak/>
        <w:t>Anglia Ruskin University Student Population by Origin</w:t>
      </w:r>
    </w:p>
    <w:p w14:paraId="27ACD22A" w14:textId="77777777" w:rsidR="00FC665C" w:rsidRPr="00E83B27" w:rsidRDefault="00FC665C" w:rsidP="00D129BB">
      <w:pPr>
        <w:pStyle w:val="11Bodytext"/>
        <w:numPr>
          <w:ilvl w:val="0"/>
          <w:numId w:val="0"/>
        </w:numPr>
        <w:spacing w:before="0" w:after="0" w:line="240" w:lineRule="auto"/>
        <w:ind w:left="794"/>
      </w:pPr>
      <w:r>
        <w:rPr>
          <w:noProof/>
          <w:lang w:eastAsia="en-GB"/>
        </w:rPr>
        <w:drawing>
          <wp:inline distT="0" distB="0" distL="0" distR="0" wp14:anchorId="7DD79B90" wp14:editId="31E9DDEC">
            <wp:extent cx="5486400" cy="2918765"/>
            <wp:effectExtent l="0" t="0" r="0" b="15240"/>
            <wp:docPr id="1053" name="Chart 1053" descr="Chart showing student population by origin">
              <a:extLst xmlns:a="http://schemas.openxmlformats.org/drawingml/2006/main">
                <a:ext uri="{FF2B5EF4-FFF2-40B4-BE49-F238E27FC236}">
                  <a16:creationId xmlns:a16="http://schemas.microsoft.com/office/drawing/2014/main" id="{C774E7A2-C02B-4B1D-B8B3-5BB413635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C076D26" w14:textId="77777777" w:rsidR="00FC665C" w:rsidRPr="004C609D" w:rsidRDefault="00FC665C" w:rsidP="00D129BB">
      <w:pPr>
        <w:pStyle w:val="11Bodytext"/>
        <w:numPr>
          <w:ilvl w:val="0"/>
          <w:numId w:val="0"/>
        </w:numPr>
        <w:spacing w:before="0" w:line="240" w:lineRule="auto"/>
        <w:ind w:left="794"/>
      </w:pPr>
      <w:r w:rsidRPr="00B74CB9">
        <w:t>Source: HESA</w:t>
      </w:r>
      <w:r w:rsidRPr="004C609D">
        <w:t>, 2020</w:t>
      </w:r>
      <w:r>
        <w:t xml:space="preserve"> </w:t>
      </w:r>
    </w:p>
    <w:p w14:paraId="33F3271E" w14:textId="77777777" w:rsidR="00FC665C" w:rsidRPr="00F35191" w:rsidRDefault="00FC665C" w:rsidP="007D0FBF">
      <w:pPr>
        <w:pStyle w:val="11Bodytext"/>
      </w:pPr>
      <w:r w:rsidRPr="00F35191">
        <w:t>Although no</w:t>
      </w:r>
      <w:r>
        <w:t xml:space="preserve"> </w:t>
      </w:r>
      <w:r w:rsidRPr="00F35191">
        <w:t>detailed data exists for the Cambridge Campus solely, we have sought to review the Anglia Ruskin University Student Snapshots</w:t>
      </w:r>
      <w:r w:rsidRPr="00F35191">
        <w:rPr>
          <w:rStyle w:val="FootnoteReference"/>
        </w:rPr>
        <w:footnoteReference w:id="48"/>
      </w:r>
      <w:r w:rsidRPr="00F35191">
        <w:t xml:space="preserve">. According to </w:t>
      </w:r>
      <w:r>
        <w:t xml:space="preserve">the </w:t>
      </w:r>
      <w:r w:rsidRPr="00F35191">
        <w:t>most recent data</w:t>
      </w:r>
      <w:r>
        <w:t xml:space="preserve"> (</w:t>
      </w:r>
      <w:r w:rsidRPr="00F35191">
        <w:t>December 2017</w:t>
      </w:r>
      <w:r>
        <w:t>)</w:t>
      </w:r>
      <w:r w:rsidRPr="00F35191">
        <w:t>,</w:t>
      </w:r>
      <w:r>
        <w:t xml:space="preserve"> the Cambridge Campus has 9,425 students, representing around 40% of all Anglia Ruskin students. </w:t>
      </w:r>
    </w:p>
    <w:p w14:paraId="12307B59" w14:textId="77777777" w:rsidR="00FC665C" w:rsidRDefault="00FC665C" w:rsidP="00D129BB">
      <w:pPr>
        <w:pStyle w:val="Heading3"/>
      </w:pPr>
      <w:r>
        <w:t>Current Student Accommodation Profile</w:t>
      </w:r>
    </w:p>
    <w:p w14:paraId="68F8C9D0" w14:textId="77777777" w:rsidR="00FC665C" w:rsidRPr="00B251E0" w:rsidRDefault="00FC665C" w:rsidP="007D0FBF">
      <w:pPr>
        <w:pStyle w:val="11Bodytext"/>
      </w:pPr>
      <w:r>
        <w:t xml:space="preserve">We have sought to initially use Census 2011 data to analyse the student accommodation arrangements across the study area. Although this data is somewhat dated, it can provide a sense of how students are housed across the HMA. </w:t>
      </w:r>
    </w:p>
    <w:p w14:paraId="2B633184" w14:textId="77777777" w:rsidR="00FC665C" w:rsidRPr="00F0238F" w:rsidRDefault="00FC665C" w:rsidP="007D0FBF">
      <w:pPr>
        <w:pStyle w:val="11Bodytext"/>
      </w:pPr>
      <w:r>
        <w:t xml:space="preserve">For reference, the student population of the University of Cambridge in 2011 was around 18,340 full-time students (University Statistics for 2011, no data available for Anglia Ruskin). According to the 2011 Census, 14,000 students were residing in communal establishments in Cambridge, representing 52% of the students aged 16 or more in Cambridge. </w:t>
      </w:r>
    </w:p>
    <w:p w14:paraId="176F5F96" w14:textId="77777777" w:rsidR="00FC665C" w:rsidRPr="001216AA" w:rsidRDefault="00FC665C" w:rsidP="007D0FBF">
      <w:pPr>
        <w:pStyle w:val="11Bodytext"/>
      </w:pPr>
      <w:r>
        <w:lastRenderedPageBreak/>
        <w:t xml:space="preserve">The graph below shows the accommodation types of students over 16 years old in Cambridge and the rest of the HMA, this would include students still at school or sixth-form colleges. Over 4,400 (17%) students reside in all student households and 2,920 (11%) lived with their family in the City. The 2,770 students (10%) in Cambridge who live in other household types are likely to live in multiple occupations (HMO) with non-students. </w:t>
      </w:r>
    </w:p>
    <w:p w14:paraId="26B2ADAC" w14:textId="77777777" w:rsidR="00FC665C" w:rsidRDefault="00FC665C" w:rsidP="003D5E23">
      <w:pPr>
        <w:pStyle w:val="FigureHeading"/>
      </w:pPr>
      <w:r>
        <w:t xml:space="preserve">Student Accommodation Profile </w:t>
      </w:r>
    </w:p>
    <w:p w14:paraId="2FBD7175" w14:textId="77777777" w:rsidR="00FC665C" w:rsidRDefault="00FC665C" w:rsidP="00D129BB">
      <w:pPr>
        <w:pStyle w:val="11Bodytext"/>
        <w:numPr>
          <w:ilvl w:val="0"/>
          <w:numId w:val="0"/>
        </w:numPr>
        <w:spacing w:before="0" w:after="0" w:line="240" w:lineRule="auto"/>
        <w:ind w:left="794"/>
      </w:pPr>
      <w:r>
        <w:rPr>
          <w:noProof/>
          <w:lang w:eastAsia="en-GB"/>
        </w:rPr>
        <w:drawing>
          <wp:inline distT="0" distB="0" distL="0" distR="0" wp14:anchorId="3A5D0552" wp14:editId="5451B30A">
            <wp:extent cx="5486400" cy="2926080"/>
            <wp:effectExtent l="0" t="0" r="0" b="7620"/>
            <wp:docPr id="1054" name="Chart 1054" descr="Chart showing student accommodation profiles in Cambridge and the HMA">
              <a:extLst xmlns:a="http://schemas.openxmlformats.org/drawingml/2006/main">
                <a:ext uri="{FF2B5EF4-FFF2-40B4-BE49-F238E27FC236}">
                  <a16:creationId xmlns:a16="http://schemas.microsoft.com/office/drawing/2014/main" id="{C968D1C9-B90E-4B04-B8E2-2942BB8E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t xml:space="preserve"> </w:t>
      </w:r>
    </w:p>
    <w:p w14:paraId="11B66468" w14:textId="77777777" w:rsidR="00FC665C" w:rsidRDefault="00FC665C" w:rsidP="00D129BB">
      <w:pPr>
        <w:pStyle w:val="11Bodytext"/>
        <w:numPr>
          <w:ilvl w:val="0"/>
          <w:numId w:val="0"/>
        </w:numPr>
        <w:spacing w:before="0" w:line="240" w:lineRule="auto"/>
        <w:ind w:left="794"/>
      </w:pPr>
      <w:r>
        <w:t>Source: Census 2011,</w:t>
      </w:r>
      <w:r w:rsidRPr="001216AA">
        <w:t xml:space="preserve"> DC6108EW </w:t>
      </w:r>
    </w:p>
    <w:p w14:paraId="1D36A786" w14:textId="77777777" w:rsidR="00FC665C" w:rsidRDefault="00FC665C" w:rsidP="007D0FBF">
      <w:pPr>
        <w:pStyle w:val="11Bodytext"/>
      </w:pPr>
      <w:r>
        <w:t xml:space="preserve">The figure </w:t>
      </w:r>
      <w:r w:rsidRPr="0036025C">
        <w:t xml:space="preserve">below </w:t>
      </w:r>
      <w:r>
        <w:t>disaggregates</w:t>
      </w:r>
      <w:r w:rsidRPr="0036025C">
        <w:t xml:space="preserve"> the accommodation type by age cohort for Cambridge. </w:t>
      </w:r>
      <w:r>
        <w:t xml:space="preserve">Most students (56%), as expected, are between 20 and 24 years old. For this category, 63% reside in University Halls and 20% in student households. In absolute terms, these two subcategories relate to 10,700 students. </w:t>
      </w:r>
    </w:p>
    <w:p w14:paraId="54C58CEE" w14:textId="77777777" w:rsidR="00FC665C" w:rsidRDefault="00FC665C" w:rsidP="003D5E23">
      <w:pPr>
        <w:pStyle w:val="FigureHeading"/>
      </w:pPr>
      <w:r>
        <w:lastRenderedPageBreak/>
        <w:t>Profile of Students in Cambridge by age and accommodation type</w:t>
      </w:r>
    </w:p>
    <w:p w14:paraId="39BC6AB7" w14:textId="77777777" w:rsidR="00FC665C" w:rsidRDefault="00FC665C" w:rsidP="00D129BB">
      <w:pPr>
        <w:pStyle w:val="11Bodytext"/>
        <w:numPr>
          <w:ilvl w:val="0"/>
          <w:numId w:val="0"/>
        </w:numPr>
        <w:spacing w:before="0" w:after="0" w:line="240" w:lineRule="auto"/>
        <w:ind w:left="794"/>
      </w:pPr>
      <w:r>
        <w:rPr>
          <w:noProof/>
          <w:lang w:eastAsia="en-GB"/>
        </w:rPr>
        <w:drawing>
          <wp:inline distT="0" distB="0" distL="0" distR="0" wp14:anchorId="6791C8E9" wp14:editId="6EDE1FDD">
            <wp:extent cx="5616000" cy="2880000"/>
            <wp:effectExtent l="0" t="0" r="3810" b="15875"/>
            <wp:docPr id="1055" name="Chart 1055" descr="Chart showing the profile of students across comparator areas">
              <a:extLst xmlns:a="http://schemas.openxmlformats.org/drawingml/2006/main">
                <a:ext uri="{FF2B5EF4-FFF2-40B4-BE49-F238E27FC236}">
                  <a16:creationId xmlns:a16="http://schemas.microsoft.com/office/drawing/2014/main" id="{58CABACA-C5F4-44C5-827A-A4BA6B984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C56C9AC" w14:textId="77777777" w:rsidR="00FC665C" w:rsidRDefault="00FC665C" w:rsidP="00D129BB">
      <w:pPr>
        <w:pStyle w:val="11Bodytext"/>
        <w:numPr>
          <w:ilvl w:val="0"/>
          <w:numId w:val="0"/>
        </w:numPr>
        <w:spacing w:before="0" w:after="0" w:line="240" w:lineRule="auto"/>
        <w:ind w:left="794"/>
      </w:pPr>
      <w:r>
        <w:t>Source: Census 2011,</w:t>
      </w:r>
      <w:r w:rsidRPr="001216AA">
        <w:t xml:space="preserve"> DC6108EW </w:t>
      </w:r>
    </w:p>
    <w:p w14:paraId="78838121" w14:textId="77777777" w:rsidR="00FC665C" w:rsidRDefault="00FC665C" w:rsidP="007D0FBF">
      <w:pPr>
        <w:pStyle w:val="11Bodytext"/>
      </w:pPr>
      <w:r>
        <w:t xml:space="preserve">The table below sets out how each age group breaks down into the different accommodation types for Cambridge and the HMA. The students (aged over 16 years old) outside Cambridge mainly reside with their families. Most of those students living with their families likely attend the other HMA Colleges. </w:t>
      </w:r>
    </w:p>
    <w:p w14:paraId="67FDD149" w14:textId="38C1D729" w:rsidR="00FC665C" w:rsidRDefault="00FC665C" w:rsidP="003D5E23">
      <w:pPr>
        <w:pStyle w:val="Tableheading"/>
      </w:pPr>
      <w:r>
        <w:t>Student accommodation in Cambridge and HMA</w:t>
      </w:r>
    </w:p>
    <w:tbl>
      <w:tblPr>
        <w:tblStyle w:val="TableGridLight1"/>
        <w:tblW w:w="8929" w:type="dxa"/>
        <w:tblInd w:w="562" w:type="dxa"/>
        <w:tblLayout w:type="fixed"/>
        <w:tblLook w:val="04A0" w:firstRow="1" w:lastRow="0" w:firstColumn="1" w:lastColumn="0" w:noHBand="0" w:noVBand="1"/>
      </w:tblPr>
      <w:tblGrid>
        <w:gridCol w:w="3370"/>
        <w:gridCol w:w="926"/>
        <w:gridCol w:w="927"/>
        <w:gridCol w:w="926"/>
        <w:gridCol w:w="927"/>
        <w:gridCol w:w="926"/>
        <w:gridCol w:w="927"/>
      </w:tblGrid>
      <w:tr w:rsidR="00D47BE7" w:rsidRPr="00D47BE7" w14:paraId="23E160FD" w14:textId="77777777" w:rsidTr="00D129B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0CE98FEE" w14:textId="77777777" w:rsidR="00D47BE7" w:rsidRPr="00D47BE7" w:rsidRDefault="00D47BE7" w:rsidP="00D129BB">
            <w:pPr>
              <w:rPr>
                <w:color w:val="auto"/>
                <w:szCs w:val="24"/>
                <w:lang w:eastAsia="en-GB"/>
              </w:rPr>
            </w:pPr>
            <w:r w:rsidRPr="00D47BE7">
              <w:rPr>
                <w:color w:val="auto"/>
                <w:szCs w:val="24"/>
                <w:lang w:eastAsia="en-GB"/>
              </w:rPr>
              <w:t> </w:t>
            </w:r>
          </w:p>
        </w:tc>
        <w:tc>
          <w:tcPr>
            <w:tcW w:w="926" w:type="dxa"/>
            <w:noWrap/>
            <w:hideMark/>
          </w:tcPr>
          <w:p w14:paraId="774355A7" w14:textId="15F6AFE8" w:rsidR="00D47BE7" w:rsidRPr="00D47BE7" w:rsidRDefault="00D47BE7" w:rsidP="00D129BB">
            <w:pPr>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D47BE7">
              <w:rPr>
                <w:bCs/>
                <w:color w:val="auto"/>
                <w:szCs w:val="24"/>
                <w:lang w:eastAsia="en-GB"/>
              </w:rPr>
              <w:t>Camb</w:t>
            </w:r>
            <w:r w:rsidR="00D129BB">
              <w:rPr>
                <w:bCs/>
                <w:color w:val="auto"/>
                <w:szCs w:val="24"/>
                <w:lang w:eastAsia="en-GB"/>
              </w:rPr>
              <w:t>s</w:t>
            </w:r>
          </w:p>
        </w:tc>
        <w:tc>
          <w:tcPr>
            <w:tcW w:w="927" w:type="dxa"/>
            <w:noWrap/>
            <w:hideMark/>
          </w:tcPr>
          <w:p w14:paraId="6D39F0B6" w14:textId="37C4A9B9" w:rsidR="00D47BE7" w:rsidRPr="00D47BE7" w:rsidRDefault="00D47BE7" w:rsidP="00D129BB">
            <w:pPr>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D47BE7">
              <w:rPr>
                <w:bCs/>
                <w:color w:val="auto"/>
                <w:szCs w:val="24"/>
                <w:lang w:eastAsia="en-GB"/>
              </w:rPr>
              <w:t>Camb</w:t>
            </w:r>
            <w:r w:rsidR="00D129BB">
              <w:rPr>
                <w:bCs/>
                <w:color w:val="auto"/>
                <w:szCs w:val="24"/>
                <w:lang w:eastAsia="en-GB"/>
              </w:rPr>
              <w:t>s</w:t>
            </w:r>
          </w:p>
        </w:tc>
        <w:tc>
          <w:tcPr>
            <w:tcW w:w="926" w:type="dxa"/>
            <w:noWrap/>
            <w:hideMark/>
          </w:tcPr>
          <w:p w14:paraId="62D4587F" w14:textId="77777777" w:rsidR="00D47BE7" w:rsidRPr="00D47BE7" w:rsidRDefault="00D47BE7" w:rsidP="00D129BB">
            <w:pPr>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D47BE7">
              <w:rPr>
                <w:bCs/>
                <w:color w:val="auto"/>
                <w:szCs w:val="24"/>
                <w:lang w:eastAsia="en-GB"/>
              </w:rPr>
              <w:t>Rest HMA</w:t>
            </w:r>
          </w:p>
        </w:tc>
        <w:tc>
          <w:tcPr>
            <w:tcW w:w="927" w:type="dxa"/>
            <w:noWrap/>
            <w:hideMark/>
          </w:tcPr>
          <w:p w14:paraId="0753ED03" w14:textId="77777777" w:rsidR="00D47BE7" w:rsidRPr="00D47BE7" w:rsidRDefault="00D47BE7" w:rsidP="00D129BB">
            <w:pPr>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D47BE7">
              <w:rPr>
                <w:bCs/>
                <w:color w:val="auto"/>
                <w:szCs w:val="24"/>
                <w:lang w:eastAsia="en-GB"/>
              </w:rPr>
              <w:t>Rest HMA</w:t>
            </w:r>
          </w:p>
        </w:tc>
        <w:tc>
          <w:tcPr>
            <w:tcW w:w="926" w:type="dxa"/>
            <w:noWrap/>
            <w:hideMark/>
          </w:tcPr>
          <w:p w14:paraId="39B83CA5" w14:textId="77777777" w:rsidR="00D47BE7" w:rsidRPr="00D47BE7" w:rsidRDefault="00D47BE7" w:rsidP="00D129BB">
            <w:pPr>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D47BE7">
              <w:rPr>
                <w:bCs/>
                <w:color w:val="auto"/>
                <w:szCs w:val="24"/>
                <w:lang w:eastAsia="en-GB"/>
              </w:rPr>
              <w:t>HMA</w:t>
            </w:r>
          </w:p>
        </w:tc>
        <w:tc>
          <w:tcPr>
            <w:tcW w:w="927" w:type="dxa"/>
            <w:noWrap/>
            <w:hideMark/>
          </w:tcPr>
          <w:p w14:paraId="6BFB5464" w14:textId="77777777" w:rsidR="00D47BE7" w:rsidRPr="00D47BE7" w:rsidRDefault="00D47BE7" w:rsidP="00D129BB">
            <w:pPr>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D47BE7">
              <w:rPr>
                <w:bCs/>
                <w:color w:val="auto"/>
                <w:szCs w:val="24"/>
                <w:lang w:eastAsia="en-GB"/>
              </w:rPr>
              <w:t>HMA</w:t>
            </w:r>
          </w:p>
        </w:tc>
      </w:tr>
      <w:tr w:rsidR="00D47BE7" w:rsidRPr="00D47BE7" w14:paraId="6FF0CAEA"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185289AD" w14:textId="77777777" w:rsidR="00D47BE7" w:rsidRPr="00D47BE7" w:rsidRDefault="00D47BE7" w:rsidP="00D129BB">
            <w:pPr>
              <w:rPr>
                <w:color w:val="000000"/>
                <w:szCs w:val="24"/>
                <w:lang w:eastAsia="en-GB"/>
              </w:rPr>
            </w:pPr>
            <w:r w:rsidRPr="00D47BE7">
              <w:rPr>
                <w:color w:val="000000"/>
                <w:szCs w:val="24"/>
                <w:lang w:eastAsia="en-GB"/>
              </w:rPr>
              <w:t>Living with parents</w:t>
            </w:r>
          </w:p>
        </w:tc>
        <w:tc>
          <w:tcPr>
            <w:tcW w:w="926" w:type="dxa"/>
            <w:noWrap/>
            <w:hideMark/>
          </w:tcPr>
          <w:p w14:paraId="31787B6E"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2,920</w:t>
            </w:r>
          </w:p>
        </w:tc>
        <w:tc>
          <w:tcPr>
            <w:tcW w:w="927" w:type="dxa"/>
            <w:noWrap/>
            <w:hideMark/>
          </w:tcPr>
          <w:p w14:paraId="7623ECAC"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11%</w:t>
            </w:r>
          </w:p>
        </w:tc>
        <w:tc>
          <w:tcPr>
            <w:tcW w:w="926" w:type="dxa"/>
            <w:noWrap/>
            <w:hideMark/>
          </w:tcPr>
          <w:p w14:paraId="5B3B67C9"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21,775</w:t>
            </w:r>
          </w:p>
        </w:tc>
        <w:tc>
          <w:tcPr>
            <w:tcW w:w="927" w:type="dxa"/>
            <w:noWrap/>
            <w:hideMark/>
          </w:tcPr>
          <w:p w14:paraId="11097A0A"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79%</w:t>
            </w:r>
          </w:p>
        </w:tc>
        <w:tc>
          <w:tcPr>
            <w:tcW w:w="926" w:type="dxa"/>
            <w:noWrap/>
            <w:hideMark/>
          </w:tcPr>
          <w:p w14:paraId="339B9A50"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24,695</w:t>
            </w:r>
          </w:p>
        </w:tc>
        <w:tc>
          <w:tcPr>
            <w:tcW w:w="927" w:type="dxa"/>
            <w:noWrap/>
            <w:hideMark/>
          </w:tcPr>
          <w:p w14:paraId="737BD03E"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45%</w:t>
            </w:r>
          </w:p>
        </w:tc>
      </w:tr>
      <w:tr w:rsidR="00D47BE7" w:rsidRPr="00D47BE7" w14:paraId="14CC9B28"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03A55E89" w14:textId="77777777" w:rsidR="00D47BE7" w:rsidRPr="00D47BE7" w:rsidRDefault="00D47BE7" w:rsidP="00D129BB">
            <w:pPr>
              <w:rPr>
                <w:color w:val="000000"/>
                <w:szCs w:val="24"/>
                <w:lang w:eastAsia="en-GB"/>
              </w:rPr>
            </w:pPr>
            <w:r w:rsidRPr="00D47BE7">
              <w:rPr>
                <w:color w:val="000000"/>
                <w:szCs w:val="24"/>
                <w:lang w:eastAsia="en-GB"/>
              </w:rPr>
              <w:t>Living in a communal establishment: University (for example halls of residence)</w:t>
            </w:r>
          </w:p>
        </w:tc>
        <w:tc>
          <w:tcPr>
            <w:tcW w:w="926" w:type="dxa"/>
            <w:noWrap/>
            <w:hideMark/>
          </w:tcPr>
          <w:p w14:paraId="7A28540E"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14,006</w:t>
            </w:r>
          </w:p>
        </w:tc>
        <w:tc>
          <w:tcPr>
            <w:tcW w:w="927" w:type="dxa"/>
            <w:noWrap/>
            <w:hideMark/>
          </w:tcPr>
          <w:p w14:paraId="782D9651"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52%</w:t>
            </w:r>
          </w:p>
        </w:tc>
        <w:tc>
          <w:tcPr>
            <w:tcW w:w="926" w:type="dxa"/>
            <w:noWrap/>
            <w:hideMark/>
          </w:tcPr>
          <w:p w14:paraId="07EC9DBC"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473</w:t>
            </w:r>
          </w:p>
        </w:tc>
        <w:tc>
          <w:tcPr>
            <w:tcW w:w="927" w:type="dxa"/>
            <w:noWrap/>
            <w:hideMark/>
          </w:tcPr>
          <w:p w14:paraId="1B6BF5F6"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w:t>
            </w:r>
          </w:p>
        </w:tc>
        <w:tc>
          <w:tcPr>
            <w:tcW w:w="926" w:type="dxa"/>
            <w:noWrap/>
            <w:hideMark/>
          </w:tcPr>
          <w:p w14:paraId="17C7AED8"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14,479</w:t>
            </w:r>
          </w:p>
        </w:tc>
        <w:tc>
          <w:tcPr>
            <w:tcW w:w="927" w:type="dxa"/>
            <w:noWrap/>
            <w:hideMark/>
          </w:tcPr>
          <w:p w14:paraId="628B4B17"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27%</w:t>
            </w:r>
          </w:p>
        </w:tc>
      </w:tr>
      <w:tr w:rsidR="00D47BE7" w:rsidRPr="00D47BE7" w14:paraId="4FCDB1E2"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0869134B" w14:textId="77777777" w:rsidR="00D47BE7" w:rsidRPr="00D47BE7" w:rsidRDefault="00D47BE7" w:rsidP="00D129BB">
            <w:pPr>
              <w:rPr>
                <w:color w:val="000000"/>
                <w:szCs w:val="24"/>
                <w:lang w:eastAsia="en-GB"/>
              </w:rPr>
            </w:pPr>
            <w:r w:rsidRPr="00D47BE7">
              <w:rPr>
                <w:color w:val="000000"/>
                <w:szCs w:val="24"/>
                <w:lang w:eastAsia="en-GB"/>
              </w:rPr>
              <w:t>Living in a communal establishment: Other</w:t>
            </w:r>
          </w:p>
        </w:tc>
        <w:tc>
          <w:tcPr>
            <w:tcW w:w="926" w:type="dxa"/>
            <w:noWrap/>
            <w:hideMark/>
          </w:tcPr>
          <w:p w14:paraId="4215DBD8"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447</w:t>
            </w:r>
          </w:p>
        </w:tc>
        <w:tc>
          <w:tcPr>
            <w:tcW w:w="927" w:type="dxa"/>
            <w:noWrap/>
            <w:hideMark/>
          </w:tcPr>
          <w:p w14:paraId="5B9FBEC4"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w:t>
            </w:r>
          </w:p>
        </w:tc>
        <w:tc>
          <w:tcPr>
            <w:tcW w:w="926" w:type="dxa"/>
            <w:noWrap/>
            <w:hideMark/>
          </w:tcPr>
          <w:p w14:paraId="1A66421E"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493</w:t>
            </w:r>
          </w:p>
        </w:tc>
        <w:tc>
          <w:tcPr>
            <w:tcW w:w="927" w:type="dxa"/>
            <w:noWrap/>
            <w:hideMark/>
          </w:tcPr>
          <w:p w14:paraId="6003355D"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w:t>
            </w:r>
          </w:p>
        </w:tc>
        <w:tc>
          <w:tcPr>
            <w:tcW w:w="926" w:type="dxa"/>
            <w:noWrap/>
            <w:hideMark/>
          </w:tcPr>
          <w:p w14:paraId="76232106"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940</w:t>
            </w:r>
          </w:p>
        </w:tc>
        <w:tc>
          <w:tcPr>
            <w:tcW w:w="927" w:type="dxa"/>
            <w:noWrap/>
            <w:hideMark/>
          </w:tcPr>
          <w:p w14:paraId="3CB6E721"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w:t>
            </w:r>
          </w:p>
        </w:tc>
      </w:tr>
      <w:tr w:rsidR="00D47BE7" w:rsidRPr="00D47BE7" w14:paraId="0E3CE39E"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212DFD3A" w14:textId="77777777" w:rsidR="00D47BE7" w:rsidRPr="00D47BE7" w:rsidRDefault="00D47BE7" w:rsidP="00D129BB">
            <w:pPr>
              <w:rPr>
                <w:color w:val="000000"/>
                <w:szCs w:val="24"/>
                <w:lang w:eastAsia="en-GB"/>
              </w:rPr>
            </w:pPr>
            <w:r w:rsidRPr="00D47BE7">
              <w:rPr>
                <w:color w:val="000000"/>
                <w:szCs w:val="24"/>
                <w:lang w:eastAsia="en-GB"/>
              </w:rPr>
              <w:t>Living in all student household</w:t>
            </w:r>
          </w:p>
        </w:tc>
        <w:tc>
          <w:tcPr>
            <w:tcW w:w="926" w:type="dxa"/>
            <w:noWrap/>
            <w:hideMark/>
          </w:tcPr>
          <w:p w14:paraId="7C58508A"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4,418</w:t>
            </w:r>
          </w:p>
        </w:tc>
        <w:tc>
          <w:tcPr>
            <w:tcW w:w="927" w:type="dxa"/>
            <w:noWrap/>
            <w:hideMark/>
          </w:tcPr>
          <w:p w14:paraId="6316C05B"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17%</w:t>
            </w:r>
          </w:p>
        </w:tc>
        <w:tc>
          <w:tcPr>
            <w:tcW w:w="926" w:type="dxa"/>
            <w:noWrap/>
            <w:hideMark/>
          </w:tcPr>
          <w:p w14:paraId="7ADE5792"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788</w:t>
            </w:r>
          </w:p>
        </w:tc>
        <w:tc>
          <w:tcPr>
            <w:tcW w:w="927" w:type="dxa"/>
            <w:noWrap/>
            <w:hideMark/>
          </w:tcPr>
          <w:p w14:paraId="3ED26730"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3%</w:t>
            </w:r>
          </w:p>
        </w:tc>
        <w:tc>
          <w:tcPr>
            <w:tcW w:w="926" w:type="dxa"/>
            <w:noWrap/>
            <w:hideMark/>
          </w:tcPr>
          <w:p w14:paraId="28CD6CB0"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5,206</w:t>
            </w:r>
          </w:p>
        </w:tc>
        <w:tc>
          <w:tcPr>
            <w:tcW w:w="927" w:type="dxa"/>
            <w:noWrap/>
            <w:hideMark/>
          </w:tcPr>
          <w:p w14:paraId="6BCF6404"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10%</w:t>
            </w:r>
          </w:p>
        </w:tc>
      </w:tr>
      <w:tr w:rsidR="00D47BE7" w:rsidRPr="00D47BE7" w14:paraId="4CB95F18"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50F4E91B" w14:textId="77777777" w:rsidR="00D47BE7" w:rsidRPr="00D47BE7" w:rsidRDefault="00D47BE7" w:rsidP="00D129BB">
            <w:pPr>
              <w:rPr>
                <w:color w:val="000000"/>
                <w:szCs w:val="24"/>
                <w:lang w:eastAsia="en-GB"/>
              </w:rPr>
            </w:pPr>
            <w:r w:rsidRPr="00D47BE7">
              <w:rPr>
                <w:color w:val="000000"/>
                <w:szCs w:val="24"/>
                <w:lang w:eastAsia="en-GB"/>
              </w:rPr>
              <w:t>Student living alone</w:t>
            </w:r>
          </w:p>
        </w:tc>
        <w:tc>
          <w:tcPr>
            <w:tcW w:w="926" w:type="dxa"/>
            <w:noWrap/>
            <w:hideMark/>
          </w:tcPr>
          <w:p w14:paraId="5E9FA04D"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989</w:t>
            </w:r>
          </w:p>
        </w:tc>
        <w:tc>
          <w:tcPr>
            <w:tcW w:w="927" w:type="dxa"/>
            <w:noWrap/>
            <w:hideMark/>
          </w:tcPr>
          <w:p w14:paraId="2CD58E9A"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w:t>
            </w:r>
          </w:p>
        </w:tc>
        <w:tc>
          <w:tcPr>
            <w:tcW w:w="926" w:type="dxa"/>
            <w:noWrap/>
            <w:hideMark/>
          </w:tcPr>
          <w:p w14:paraId="17CC819D"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406</w:t>
            </w:r>
          </w:p>
        </w:tc>
        <w:tc>
          <w:tcPr>
            <w:tcW w:w="927" w:type="dxa"/>
            <w:noWrap/>
            <w:hideMark/>
          </w:tcPr>
          <w:p w14:paraId="1B952B72"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w:t>
            </w:r>
          </w:p>
        </w:tc>
        <w:tc>
          <w:tcPr>
            <w:tcW w:w="926" w:type="dxa"/>
            <w:noWrap/>
            <w:hideMark/>
          </w:tcPr>
          <w:p w14:paraId="44B06BDC"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1,395</w:t>
            </w:r>
          </w:p>
        </w:tc>
        <w:tc>
          <w:tcPr>
            <w:tcW w:w="927" w:type="dxa"/>
            <w:noWrap/>
            <w:hideMark/>
          </w:tcPr>
          <w:p w14:paraId="3F26C0A5"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3%</w:t>
            </w:r>
          </w:p>
        </w:tc>
      </w:tr>
      <w:tr w:rsidR="00D47BE7" w:rsidRPr="00D47BE7" w14:paraId="4B3B20D3"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7E81FDCC" w14:textId="77777777" w:rsidR="00D47BE7" w:rsidRPr="00D47BE7" w:rsidRDefault="00D47BE7" w:rsidP="00D129BB">
            <w:pPr>
              <w:rPr>
                <w:color w:val="000000"/>
                <w:szCs w:val="24"/>
                <w:lang w:eastAsia="en-GB"/>
              </w:rPr>
            </w:pPr>
            <w:r w:rsidRPr="00D47BE7">
              <w:rPr>
                <w:color w:val="000000"/>
                <w:szCs w:val="24"/>
                <w:lang w:eastAsia="en-GB"/>
              </w:rPr>
              <w:t xml:space="preserve">Living in a one family household with spouse, </w:t>
            </w:r>
            <w:proofErr w:type="gramStart"/>
            <w:r w:rsidRPr="00D47BE7">
              <w:rPr>
                <w:color w:val="000000"/>
                <w:szCs w:val="24"/>
                <w:lang w:eastAsia="en-GB"/>
              </w:rPr>
              <w:t>partner</w:t>
            </w:r>
            <w:proofErr w:type="gramEnd"/>
            <w:r w:rsidRPr="00D47BE7">
              <w:rPr>
                <w:color w:val="000000"/>
                <w:szCs w:val="24"/>
                <w:lang w:eastAsia="en-GB"/>
              </w:rPr>
              <w:t xml:space="preserve"> or children</w:t>
            </w:r>
          </w:p>
        </w:tc>
        <w:tc>
          <w:tcPr>
            <w:tcW w:w="926" w:type="dxa"/>
            <w:noWrap/>
            <w:hideMark/>
          </w:tcPr>
          <w:p w14:paraId="5BF27265"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1,182</w:t>
            </w:r>
          </w:p>
        </w:tc>
        <w:tc>
          <w:tcPr>
            <w:tcW w:w="927" w:type="dxa"/>
            <w:noWrap/>
            <w:hideMark/>
          </w:tcPr>
          <w:p w14:paraId="7F1B6D1F"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w:t>
            </w:r>
          </w:p>
        </w:tc>
        <w:tc>
          <w:tcPr>
            <w:tcW w:w="926" w:type="dxa"/>
            <w:noWrap/>
            <w:hideMark/>
          </w:tcPr>
          <w:p w14:paraId="5A3635B2"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2,184</w:t>
            </w:r>
          </w:p>
        </w:tc>
        <w:tc>
          <w:tcPr>
            <w:tcW w:w="927" w:type="dxa"/>
            <w:noWrap/>
            <w:hideMark/>
          </w:tcPr>
          <w:p w14:paraId="6CB6DC2E"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8%</w:t>
            </w:r>
          </w:p>
        </w:tc>
        <w:tc>
          <w:tcPr>
            <w:tcW w:w="926" w:type="dxa"/>
            <w:noWrap/>
            <w:hideMark/>
          </w:tcPr>
          <w:p w14:paraId="3E29CDD7"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3,366</w:t>
            </w:r>
          </w:p>
        </w:tc>
        <w:tc>
          <w:tcPr>
            <w:tcW w:w="927" w:type="dxa"/>
            <w:noWrap/>
            <w:hideMark/>
          </w:tcPr>
          <w:p w14:paraId="64CA9821"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6%</w:t>
            </w:r>
          </w:p>
        </w:tc>
      </w:tr>
      <w:tr w:rsidR="00D47BE7" w:rsidRPr="00D47BE7" w14:paraId="651F10FE"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36671BA4" w14:textId="77777777" w:rsidR="00D47BE7" w:rsidRPr="00D47BE7" w:rsidRDefault="00D47BE7" w:rsidP="00D129BB">
            <w:pPr>
              <w:rPr>
                <w:color w:val="000000"/>
                <w:szCs w:val="24"/>
                <w:lang w:eastAsia="en-GB"/>
              </w:rPr>
            </w:pPr>
            <w:r w:rsidRPr="00D47BE7">
              <w:rPr>
                <w:color w:val="000000"/>
                <w:szCs w:val="24"/>
                <w:lang w:eastAsia="en-GB"/>
              </w:rPr>
              <w:t xml:space="preserve">Living in </w:t>
            </w:r>
            <w:proofErr w:type="gramStart"/>
            <w:r w:rsidRPr="00D47BE7">
              <w:rPr>
                <w:color w:val="000000"/>
                <w:szCs w:val="24"/>
                <w:lang w:eastAsia="en-GB"/>
              </w:rPr>
              <w:t>other</w:t>
            </w:r>
            <w:proofErr w:type="gramEnd"/>
            <w:r w:rsidRPr="00D47BE7">
              <w:rPr>
                <w:color w:val="000000"/>
                <w:szCs w:val="24"/>
                <w:lang w:eastAsia="en-GB"/>
              </w:rPr>
              <w:t xml:space="preserve"> household type</w:t>
            </w:r>
          </w:p>
        </w:tc>
        <w:tc>
          <w:tcPr>
            <w:tcW w:w="926" w:type="dxa"/>
            <w:noWrap/>
            <w:hideMark/>
          </w:tcPr>
          <w:p w14:paraId="2C9C2604"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2,770</w:t>
            </w:r>
          </w:p>
        </w:tc>
        <w:tc>
          <w:tcPr>
            <w:tcW w:w="927" w:type="dxa"/>
            <w:noWrap/>
            <w:hideMark/>
          </w:tcPr>
          <w:p w14:paraId="7D6B2D35"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10%</w:t>
            </w:r>
          </w:p>
        </w:tc>
        <w:tc>
          <w:tcPr>
            <w:tcW w:w="926" w:type="dxa"/>
            <w:noWrap/>
            <w:hideMark/>
          </w:tcPr>
          <w:p w14:paraId="13B24E95"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1,511</w:t>
            </w:r>
          </w:p>
        </w:tc>
        <w:tc>
          <w:tcPr>
            <w:tcW w:w="927" w:type="dxa"/>
            <w:noWrap/>
            <w:hideMark/>
          </w:tcPr>
          <w:p w14:paraId="3A7D5537"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5%</w:t>
            </w:r>
          </w:p>
        </w:tc>
        <w:tc>
          <w:tcPr>
            <w:tcW w:w="926" w:type="dxa"/>
            <w:noWrap/>
            <w:hideMark/>
          </w:tcPr>
          <w:p w14:paraId="753AE376"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4,281</w:t>
            </w:r>
          </w:p>
        </w:tc>
        <w:tc>
          <w:tcPr>
            <w:tcW w:w="927" w:type="dxa"/>
            <w:noWrap/>
            <w:hideMark/>
          </w:tcPr>
          <w:p w14:paraId="6F3526D1"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8%</w:t>
            </w:r>
          </w:p>
        </w:tc>
      </w:tr>
      <w:tr w:rsidR="00D47BE7" w:rsidRPr="00D47BE7" w14:paraId="0C938B2A" w14:textId="77777777" w:rsidTr="00D129BB">
        <w:trPr>
          <w:trHeight w:val="225"/>
        </w:trPr>
        <w:tc>
          <w:tcPr>
            <w:cnfStyle w:val="001000000000" w:firstRow="0" w:lastRow="0" w:firstColumn="1" w:lastColumn="0" w:oddVBand="0" w:evenVBand="0" w:oddHBand="0" w:evenHBand="0" w:firstRowFirstColumn="0" w:firstRowLastColumn="0" w:lastRowFirstColumn="0" w:lastRowLastColumn="0"/>
            <w:tcW w:w="3370" w:type="dxa"/>
            <w:noWrap/>
            <w:hideMark/>
          </w:tcPr>
          <w:p w14:paraId="73DBBDDB" w14:textId="77777777" w:rsidR="00D47BE7" w:rsidRPr="00D47BE7" w:rsidRDefault="00D47BE7" w:rsidP="00D129BB">
            <w:pPr>
              <w:rPr>
                <w:color w:val="000000"/>
                <w:szCs w:val="24"/>
                <w:lang w:eastAsia="en-GB"/>
              </w:rPr>
            </w:pPr>
            <w:r w:rsidRPr="00D47BE7">
              <w:rPr>
                <w:color w:val="000000"/>
                <w:szCs w:val="24"/>
                <w:lang w:eastAsia="en-GB"/>
              </w:rPr>
              <w:t>All categories: Student accommodation</w:t>
            </w:r>
          </w:p>
        </w:tc>
        <w:tc>
          <w:tcPr>
            <w:tcW w:w="926" w:type="dxa"/>
            <w:noWrap/>
            <w:hideMark/>
          </w:tcPr>
          <w:p w14:paraId="500F75BD"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26,732</w:t>
            </w:r>
          </w:p>
        </w:tc>
        <w:tc>
          <w:tcPr>
            <w:tcW w:w="927" w:type="dxa"/>
            <w:noWrap/>
            <w:hideMark/>
          </w:tcPr>
          <w:p w14:paraId="7C24C52C"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 </w:t>
            </w:r>
          </w:p>
        </w:tc>
        <w:tc>
          <w:tcPr>
            <w:tcW w:w="926" w:type="dxa"/>
            <w:noWrap/>
            <w:hideMark/>
          </w:tcPr>
          <w:p w14:paraId="29AD304E"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27,630</w:t>
            </w:r>
          </w:p>
        </w:tc>
        <w:tc>
          <w:tcPr>
            <w:tcW w:w="927" w:type="dxa"/>
            <w:noWrap/>
            <w:hideMark/>
          </w:tcPr>
          <w:p w14:paraId="7422FBF8"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 </w:t>
            </w:r>
          </w:p>
        </w:tc>
        <w:tc>
          <w:tcPr>
            <w:tcW w:w="926" w:type="dxa"/>
            <w:noWrap/>
            <w:hideMark/>
          </w:tcPr>
          <w:p w14:paraId="7D295EEA"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54,362</w:t>
            </w:r>
          </w:p>
        </w:tc>
        <w:tc>
          <w:tcPr>
            <w:tcW w:w="927" w:type="dxa"/>
            <w:noWrap/>
            <w:hideMark/>
          </w:tcPr>
          <w:p w14:paraId="372B20BC" w14:textId="77777777" w:rsidR="00D47BE7" w:rsidRPr="00D47BE7" w:rsidRDefault="00D47BE7" w:rsidP="00D129BB">
            <w:pPr>
              <w:cnfStyle w:val="000000000000" w:firstRow="0" w:lastRow="0" w:firstColumn="0" w:lastColumn="0" w:oddVBand="0" w:evenVBand="0" w:oddHBand="0" w:evenHBand="0" w:firstRowFirstColumn="0" w:firstRowLastColumn="0" w:lastRowFirstColumn="0" w:lastRowLastColumn="0"/>
              <w:rPr>
                <w:color w:val="000000"/>
                <w:szCs w:val="24"/>
                <w:lang w:eastAsia="en-GB"/>
              </w:rPr>
            </w:pPr>
            <w:r w:rsidRPr="00D47BE7">
              <w:rPr>
                <w:color w:val="000000"/>
                <w:szCs w:val="24"/>
                <w:lang w:eastAsia="en-GB"/>
              </w:rPr>
              <w:t> </w:t>
            </w:r>
          </w:p>
        </w:tc>
      </w:tr>
    </w:tbl>
    <w:p w14:paraId="2F28AD94" w14:textId="77777777" w:rsidR="00FC665C" w:rsidRDefault="00FC665C" w:rsidP="00D129BB">
      <w:pPr>
        <w:pStyle w:val="11Bodytext"/>
        <w:numPr>
          <w:ilvl w:val="0"/>
          <w:numId w:val="0"/>
        </w:numPr>
        <w:spacing w:before="0" w:line="240" w:lineRule="auto"/>
        <w:ind w:left="794"/>
      </w:pPr>
      <w:r>
        <w:t>Source: Census 2011,</w:t>
      </w:r>
      <w:r w:rsidRPr="001216AA">
        <w:t xml:space="preserve"> DC6108EW </w:t>
      </w:r>
    </w:p>
    <w:p w14:paraId="4697D956" w14:textId="77777777" w:rsidR="00FC665C" w:rsidRDefault="00FC665C" w:rsidP="007D0FBF">
      <w:pPr>
        <w:pStyle w:val="11Bodytext"/>
      </w:pPr>
      <w:r>
        <w:lastRenderedPageBreak/>
        <w:t>The table below shows the change in student accommodation types between 2001 and 2011 (based on Census results). There has been a decrease of 16% in students living alone which can be a result of the decreasing affordability and the increasing housing values in Cambridge. In any case, the absolute figures are small (</w:t>
      </w:r>
      <w:proofErr w:type="gramStart"/>
      <w:r>
        <w:t>i.e.</w:t>
      </w:r>
      <w:proofErr w:type="gramEnd"/>
      <w:r>
        <w:t xml:space="preserve"> 185 households decrease). </w:t>
      </w:r>
    </w:p>
    <w:p w14:paraId="4A799886" w14:textId="75A3BA26" w:rsidR="00FC665C" w:rsidRDefault="00FC665C" w:rsidP="007D0FBF">
      <w:pPr>
        <w:pStyle w:val="11Bodytext"/>
      </w:pPr>
      <w:r>
        <w:t xml:space="preserve">The most significant change has been recorded to those living in another household type (49%) including those who live with their spouse, partner or children and others who live in an HMO with non-students. This is again reflective of the increasing housing values together with the increasing demand in the housing market that pushes students to rent privately. </w:t>
      </w:r>
    </w:p>
    <w:p w14:paraId="6788EA50" w14:textId="078F56BF" w:rsidR="00956DC6" w:rsidRPr="00956DC6" w:rsidRDefault="00FC665C" w:rsidP="003D5E23">
      <w:pPr>
        <w:pStyle w:val="Tableheading"/>
      </w:pPr>
      <w:r>
        <w:t>Change by Accommodation type, 2001-11</w:t>
      </w:r>
    </w:p>
    <w:tbl>
      <w:tblPr>
        <w:tblStyle w:val="TableGridLight1"/>
        <w:tblW w:w="8384" w:type="dxa"/>
        <w:tblInd w:w="846" w:type="dxa"/>
        <w:tblLayout w:type="fixed"/>
        <w:tblLook w:val="04A0" w:firstRow="1" w:lastRow="0" w:firstColumn="1" w:lastColumn="0" w:noHBand="0" w:noVBand="1"/>
      </w:tblPr>
      <w:tblGrid>
        <w:gridCol w:w="2731"/>
        <w:gridCol w:w="822"/>
        <w:gridCol w:w="784"/>
        <w:gridCol w:w="1012"/>
        <w:gridCol w:w="1011"/>
        <w:gridCol w:w="1012"/>
        <w:gridCol w:w="1012"/>
      </w:tblGrid>
      <w:tr w:rsidR="00956DC6" w:rsidRPr="00956DC6" w14:paraId="10DB653B" w14:textId="77777777" w:rsidTr="00D129BB">
        <w:trPr>
          <w:cnfStyle w:val="100000000000" w:firstRow="1" w:lastRow="0" w:firstColumn="0" w:lastColumn="0" w:oddVBand="0" w:evenVBand="0" w:oddHBand="0" w:evenHBand="0" w:firstRowFirstColumn="0" w:firstRowLastColumn="0" w:lastRowFirstColumn="0" w:lastRowLastColumn="0"/>
          <w:cantSplit/>
          <w:trHeight w:val="2112"/>
        </w:trPr>
        <w:tc>
          <w:tcPr>
            <w:cnfStyle w:val="001000000000" w:firstRow="0" w:lastRow="0" w:firstColumn="1" w:lastColumn="0" w:oddVBand="0" w:evenVBand="0" w:oddHBand="0" w:evenHBand="0" w:firstRowFirstColumn="0" w:firstRowLastColumn="0" w:lastRowFirstColumn="0" w:lastRowLastColumn="0"/>
            <w:tcW w:w="2731" w:type="dxa"/>
            <w:noWrap/>
            <w:hideMark/>
          </w:tcPr>
          <w:p w14:paraId="36E0E347" w14:textId="77777777" w:rsidR="00956DC6" w:rsidRPr="00956DC6" w:rsidRDefault="00956DC6" w:rsidP="00956DC6">
            <w:pPr>
              <w:rPr>
                <w:color w:val="auto"/>
                <w:szCs w:val="24"/>
                <w:lang w:eastAsia="en-GB"/>
              </w:rPr>
            </w:pPr>
            <w:r w:rsidRPr="00956DC6">
              <w:rPr>
                <w:color w:val="auto"/>
                <w:szCs w:val="24"/>
                <w:lang w:eastAsia="en-GB"/>
              </w:rPr>
              <w:t> </w:t>
            </w:r>
          </w:p>
        </w:tc>
        <w:tc>
          <w:tcPr>
            <w:tcW w:w="822" w:type="dxa"/>
            <w:textDirection w:val="btLr"/>
            <w:hideMark/>
          </w:tcPr>
          <w:p w14:paraId="6C7BF8FA" w14:textId="77777777" w:rsidR="00956DC6" w:rsidRPr="00956DC6" w:rsidRDefault="00956DC6" w:rsidP="00D129BB">
            <w:pPr>
              <w:ind w:left="113" w:right="113"/>
              <w:jc w:val="left"/>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956DC6">
              <w:rPr>
                <w:bCs/>
                <w:color w:val="auto"/>
                <w:szCs w:val="24"/>
                <w:lang w:eastAsia="en-GB"/>
              </w:rPr>
              <w:t>Cambridge (Change 2001-11)</w:t>
            </w:r>
          </w:p>
        </w:tc>
        <w:tc>
          <w:tcPr>
            <w:tcW w:w="784" w:type="dxa"/>
            <w:textDirection w:val="btLr"/>
            <w:hideMark/>
          </w:tcPr>
          <w:p w14:paraId="6B0B7505" w14:textId="77777777" w:rsidR="00956DC6" w:rsidRPr="00956DC6" w:rsidRDefault="00956DC6" w:rsidP="00D129BB">
            <w:pPr>
              <w:ind w:left="113" w:right="113"/>
              <w:jc w:val="left"/>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956DC6">
              <w:rPr>
                <w:bCs/>
                <w:color w:val="auto"/>
                <w:szCs w:val="24"/>
                <w:lang w:eastAsia="en-GB"/>
              </w:rPr>
              <w:t>Rest HMA (Change 2001-11)</w:t>
            </w:r>
          </w:p>
        </w:tc>
        <w:tc>
          <w:tcPr>
            <w:tcW w:w="1012" w:type="dxa"/>
            <w:textDirection w:val="btLr"/>
            <w:hideMark/>
          </w:tcPr>
          <w:p w14:paraId="319537BB" w14:textId="77777777" w:rsidR="00956DC6" w:rsidRPr="00956DC6" w:rsidRDefault="00956DC6" w:rsidP="00D129BB">
            <w:pPr>
              <w:ind w:left="113" w:right="113"/>
              <w:jc w:val="left"/>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956DC6">
              <w:rPr>
                <w:bCs/>
                <w:color w:val="auto"/>
                <w:szCs w:val="24"/>
                <w:lang w:eastAsia="en-GB"/>
              </w:rPr>
              <w:t>HMA (Change 2001-11)</w:t>
            </w:r>
          </w:p>
        </w:tc>
        <w:tc>
          <w:tcPr>
            <w:tcW w:w="1011" w:type="dxa"/>
            <w:textDirection w:val="btLr"/>
            <w:hideMark/>
          </w:tcPr>
          <w:p w14:paraId="4487BE9A" w14:textId="77777777" w:rsidR="00956DC6" w:rsidRPr="00956DC6" w:rsidRDefault="00956DC6" w:rsidP="00D129BB">
            <w:pPr>
              <w:ind w:left="113" w:right="113"/>
              <w:jc w:val="left"/>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956DC6">
              <w:rPr>
                <w:bCs/>
                <w:color w:val="auto"/>
                <w:szCs w:val="24"/>
                <w:lang w:eastAsia="en-GB"/>
              </w:rPr>
              <w:t>Cambridge (Change 2001-11 %)</w:t>
            </w:r>
          </w:p>
        </w:tc>
        <w:tc>
          <w:tcPr>
            <w:tcW w:w="1012" w:type="dxa"/>
            <w:textDirection w:val="btLr"/>
            <w:hideMark/>
          </w:tcPr>
          <w:p w14:paraId="26A7E03B" w14:textId="77777777" w:rsidR="00956DC6" w:rsidRPr="00956DC6" w:rsidRDefault="00956DC6" w:rsidP="00D129BB">
            <w:pPr>
              <w:ind w:left="113" w:right="113"/>
              <w:jc w:val="left"/>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956DC6">
              <w:rPr>
                <w:bCs/>
                <w:color w:val="auto"/>
                <w:szCs w:val="24"/>
                <w:lang w:eastAsia="en-GB"/>
              </w:rPr>
              <w:t>Rest HMA (Change 2001-11 %)</w:t>
            </w:r>
          </w:p>
        </w:tc>
        <w:tc>
          <w:tcPr>
            <w:tcW w:w="1012" w:type="dxa"/>
            <w:textDirection w:val="btLr"/>
            <w:hideMark/>
          </w:tcPr>
          <w:p w14:paraId="1151F973" w14:textId="77777777" w:rsidR="00956DC6" w:rsidRPr="00956DC6" w:rsidRDefault="00956DC6" w:rsidP="00D129BB">
            <w:pPr>
              <w:ind w:left="113" w:right="113"/>
              <w:jc w:val="left"/>
              <w:cnfStyle w:val="100000000000" w:firstRow="1" w:lastRow="0" w:firstColumn="0" w:lastColumn="0" w:oddVBand="0" w:evenVBand="0" w:oddHBand="0" w:evenHBand="0" w:firstRowFirstColumn="0" w:firstRowLastColumn="0" w:lastRowFirstColumn="0" w:lastRowLastColumn="0"/>
              <w:rPr>
                <w:bCs/>
                <w:color w:val="auto"/>
                <w:szCs w:val="24"/>
                <w:lang w:eastAsia="en-GB"/>
              </w:rPr>
            </w:pPr>
            <w:r w:rsidRPr="00956DC6">
              <w:rPr>
                <w:bCs/>
                <w:color w:val="auto"/>
                <w:szCs w:val="24"/>
                <w:lang w:eastAsia="en-GB"/>
              </w:rPr>
              <w:t>HMA (Change 2001-11 %)</w:t>
            </w:r>
          </w:p>
        </w:tc>
      </w:tr>
      <w:tr w:rsidR="00956DC6" w:rsidRPr="00956DC6" w14:paraId="1AEC54AD" w14:textId="77777777" w:rsidTr="00D129BB">
        <w:trPr>
          <w:trHeight w:val="398"/>
        </w:trPr>
        <w:tc>
          <w:tcPr>
            <w:cnfStyle w:val="001000000000" w:firstRow="0" w:lastRow="0" w:firstColumn="1" w:lastColumn="0" w:oddVBand="0" w:evenVBand="0" w:oddHBand="0" w:evenHBand="0" w:firstRowFirstColumn="0" w:firstRowLastColumn="0" w:lastRowFirstColumn="0" w:lastRowLastColumn="0"/>
            <w:tcW w:w="2731" w:type="dxa"/>
            <w:hideMark/>
          </w:tcPr>
          <w:p w14:paraId="1CDB4D0C" w14:textId="77777777" w:rsidR="00956DC6" w:rsidRDefault="00956DC6" w:rsidP="00956DC6">
            <w:pPr>
              <w:rPr>
                <w:b/>
                <w:bCs/>
                <w:color w:val="auto"/>
                <w:szCs w:val="24"/>
                <w:lang w:eastAsia="en-GB"/>
              </w:rPr>
            </w:pPr>
            <w:r w:rsidRPr="00956DC6">
              <w:rPr>
                <w:b/>
                <w:bCs/>
                <w:color w:val="auto"/>
                <w:szCs w:val="24"/>
                <w:lang w:eastAsia="en-GB"/>
              </w:rPr>
              <w:t>Living with parents</w:t>
            </w:r>
          </w:p>
          <w:p w14:paraId="4BC7419A" w14:textId="22CFE6F0" w:rsidR="00956DC6" w:rsidRPr="00956DC6" w:rsidRDefault="00956DC6" w:rsidP="00956DC6">
            <w:pPr>
              <w:rPr>
                <w:b/>
                <w:bCs/>
                <w:color w:val="auto"/>
                <w:szCs w:val="24"/>
                <w:lang w:eastAsia="en-GB"/>
              </w:rPr>
            </w:pPr>
          </w:p>
        </w:tc>
        <w:tc>
          <w:tcPr>
            <w:tcW w:w="822" w:type="dxa"/>
            <w:noWrap/>
            <w:hideMark/>
          </w:tcPr>
          <w:p w14:paraId="362CA17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395</w:t>
            </w:r>
          </w:p>
        </w:tc>
        <w:tc>
          <w:tcPr>
            <w:tcW w:w="784" w:type="dxa"/>
            <w:noWrap/>
            <w:hideMark/>
          </w:tcPr>
          <w:p w14:paraId="693C0B81"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6,062</w:t>
            </w:r>
          </w:p>
        </w:tc>
        <w:tc>
          <w:tcPr>
            <w:tcW w:w="1012" w:type="dxa"/>
            <w:noWrap/>
            <w:hideMark/>
          </w:tcPr>
          <w:p w14:paraId="3F923E9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6,457</w:t>
            </w:r>
          </w:p>
        </w:tc>
        <w:tc>
          <w:tcPr>
            <w:tcW w:w="1011" w:type="dxa"/>
            <w:noWrap/>
            <w:hideMark/>
          </w:tcPr>
          <w:p w14:paraId="6876E6F6"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16%</w:t>
            </w:r>
          </w:p>
        </w:tc>
        <w:tc>
          <w:tcPr>
            <w:tcW w:w="1012" w:type="dxa"/>
            <w:noWrap/>
            <w:hideMark/>
          </w:tcPr>
          <w:p w14:paraId="3487649A"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39%</w:t>
            </w:r>
          </w:p>
        </w:tc>
        <w:tc>
          <w:tcPr>
            <w:tcW w:w="1012" w:type="dxa"/>
            <w:noWrap/>
            <w:hideMark/>
          </w:tcPr>
          <w:p w14:paraId="492B3DB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35%</w:t>
            </w:r>
          </w:p>
        </w:tc>
      </w:tr>
      <w:tr w:rsidR="00956DC6" w:rsidRPr="00956DC6" w14:paraId="77A35E5B" w14:textId="77777777" w:rsidTr="00D129BB">
        <w:trPr>
          <w:trHeight w:val="398"/>
        </w:trPr>
        <w:tc>
          <w:tcPr>
            <w:cnfStyle w:val="001000000000" w:firstRow="0" w:lastRow="0" w:firstColumn="1" w:lastColumn="0" w:oddVBand="0" w:evenVBand="0" w:oddHBand="0" w:evenHBand="0" w:firstRowFirstColumn="0" w:firstRowLastColumn="0" w:lastRowFirstColumn="0" w:lastRowLastColumn="0"/>
            <w:tcW w:w="2731" w:type="dxa"/>
            <w:hideMark/>
          </w:tcPr>
          <w:p w14:paraId="77794297" w14:textId="77777777" w:rsidR="00956DC6" w:rsidRPr="00956DC6" w:rsidRDefault="00956DC6" w:rsidP="00956DC6">
            <w:pPr>
              <w:rPr>
                <w:b/>
                <w:bCs/>
                <w:color w:val="auto"/>
                <w:szCs w:val="24"/>
                <w:lang w:eastAsia="en-GB"/>
              </w:rPr>
            </w:pPr>
            <w:r w:rsidRPr="00956DC6">
              <w:rPr>
                <w:b/>
                <w:bCs/>
                <w:color w:val="auto"/>
                <w:szCs w:val="24"/>
                <w:lang w:eastAsia="en-GB"/>
              </w:rPr>
              <w:t xml:space="preserve">Communal establishment: </w:t>
            </w:r>
          </w:p>
        </w:tc>
        <w:tc>
          <w:tcPr>
            <w:tcW w:w="822" w:type="dxa"/>
            <w:noWrap/>
            <w:hideMark/>
          </w:tcPr>
          <w:p w14:paraId="01FCA195"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2,734</w:t>
            </w:r>
          </w:p>
        </w:tc>
        <w:tc>
          <w:tcPr>
            <w:tcW w:w="784" w:type="dxa"/>
            <w:noWrap/>
            <w:hideMark/>
          </w:tcPr>
          <w:p w14:paraId="53CF7505"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157</w:t>
            </w:r>
          </w:p>
        </w:tc>
        <w:tc>
          <w:tcPr>
            <w:tcW w:w="1012" w:type="dxa"/>
            <w:noWrap/>
            <w:hideMark/>
          </w:tcPr>
          <w:p w14:paraId="58C91AE2"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2,891</w:t>
            </w:r>
          </w:p>
        </w:tc>
        <w:tc>
          <w:tcPr>
            <w:tcW w:w="1011" w:type="dxa"/>
            <w:noWrap/>
            <w:hideMark/>
          </w:tcPr>
          <w:p w14:paraId="36192752"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23%</w:t>
            </w:r>
          </w:p>
        </w:tc>
        <w:tc>
          <w:tcPr>
            <w:tcW w:w="1012" w:type="dxa"/>
            <w:noWrap/>
            <w:hideMark/>
          </w:tcPr>
          <w:p w14:paraId="7E0638BF"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19%</w:t>
            </w:r>
          </w:p>
        </w:tc>
        <w:tc>
          <w:tcPr>
            <w:tcW w:w="1012" w:type="dxa"/>
            <w:noWrap/>
            <w:hideMark/>
          </w:tcPr>
          <w:p w14:paraId="4FBBEDE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23%</w:t>
            </w:r>
          </w:p>
        </w:tc>
      </w:tr>
      <w:tr w:rsidR="00956DC6" w:rsidRPr="00956DC6" w14:paraId="44127430" w14:textId="77777777" w:rsidTr="00D129BB">
        <w:trPr>
          <w:trHeight w:val="398"/>
        </w:trPr>
        <w:tc>
          <w:tcPr>
            <w:cnfStyle w:val="001000000000" w:firstRow="0" w:lastRow="0" w:firstColumn="1" w:lastColumn="0" w:oddVBand="0" w:evenVBand="0" w:oddHBand="0" w:evenHBand="0" w:firstRowFirstColumn="0" w:firstRowLastColumn="0" w:lastRowFirstColumn="0" w:lastRowLastColumn="0"/>
            <w:tcW w:w="2731" w:type="dxa"/>
            <w:hideMark/>
          </w:tcPr>
          <w:p w14:paraId="5167D147" w14:textId="77777777" w:rsidR="00956DC6" w:rsidRPr="00956DC6" w:rsidRDefault="00956DC6" w:rsidP="00956DC6">
            <w:pPr>
              <w:rPr>
                <w:b/>
                <w:bCs/>
                <w:color w:val="auto"/>
                <w:szCs w:val="24"/>
                <w:lang w:eastAsia="en-GB"/>
              </w:rPr>
            </w:pPr>
            <w:r w:rsidRPr="00956DC6">
              <w:rPr>
                <w:b/>
                <w:bCs/>
                <w:color w:val="auto"/>
                <w:szCs w:val="24"/>
                <w:lang w:eastAsia="en-GB"/>
              </w:rPr>
              <w:t>All student household</w:t>
            </w:r>
          </w:p>
        </w:tc>
        <w:tc>
          <w:tcPr>
            <w:tcW w:w="822" w:type="dxa"/>
            <w:noWrap/>
            <w:hideMark/>
          </w:tcPr>
          <w:p w14:paraId="16D4735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705</w:t>
            </w:r>
          </w:p>
        </w:tc>
        <w:tc>
          <w:tcPr>
            <w:tcW w:w="784" w:type="dxa"/>
            <w:noWrap/>
            <w:hideMark/>
          </w:tcPr>
          <w:p w14:paraId="6F590B85"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401</w:t>
            </w:r>
          </w:p>
        </w:tc>
        <w:tc>
          <w:tcPr>
            <w:tcW w:w="1012" w:type="dxa"/>
            <w:noWrap/>
            <w:hideMark/>
          </w:tcPr>
          <w:p w14:paraId="461BDB63"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1,106</w:t>
            </w:r>
          </w:p>
        </w:tc>
        <w:tc>
          <w:tcPr>
            <w:tcW w:w="1011" w:type="dxa"/>
            <w:noWrap/>
            <w:hideMark/>
          </w:tcPr>
          <w:p w14:paraId="35BC385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19%</w:t>
            </w:r>
          </w:p>
        </w:tc>
        <w:tc>
          <w:tcPr>
            <w:tcW w:w="1012" w:type="dxa"/>
            <w:noWrap/>
            <w:hideMark/>
          </w:tcPr>
          <w:p w14:paraId="10CB01A2"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104%</w:t>
            </w:r>
          </w:p>
        </w:tc>
        <w:tc>
          <w:tcPr>
            <w:tcW w:w="1012" w:type="dxa"/>
            <w:noWrap/>
            <w:hideMark/>
          </w:tcPr>
          <w:p w14:paraId="570A6005"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27%</w:t>
            </w:r>
          </w:p>
        </w:tc>
      </w:tr>
      <w:tr w:rsidR="00956DC6" w:rsidRPr="00956DC6" w14:paraId="05397FD8" w14:textId="77777777" w:rsidTr="00D129BB">
        <w:trPr>
          <w:trHeight w:val="398"/>
        </w:trPr>
        <w:tc>
          <w:tcPr>
            <w:cnfStyle w:val="001000000000" w:firstRow="0" w:lastRow="0" w:firstColumn="1" w:lastColumn="0" w:oddVBand="0" w:evenVBand="0" w:oddHBand="0" w:evenHBand="0" w:firstRowFirstColumn="0" w:firstRowLastColumn="0" w:lastRowFirstColumn="0" w:lastRowLastColumn="0"/>
            <w:tcW w:w="2731" w:type="dxa"/>
            <w:hideMark/>
          </w:tcPr>
          <w:p w14:paraId="13001D26" w14:textId="77777777" w:rsidR="00956DC6" w:rsidRPr="00956DC6" w:rsidRDefault="00956DC6" w:rsidP="00956DC6">
            <w:pPr>
              <w:rPr>
                <w:b/>
                <w:bCs/>
                <w:color w:val="auto"/>
                <w:szCs w:val="24"/>
                <w:lang w:eastAsia="en-GB"/>
              </w:rPr>
            </w:pPr>
            <w:r w:rsidRPr="00956DC6">
              <w:rPr>
                <w:b/>
                <w:bCs/>
                <w:color w:val="auto"/>
                <w:szCs w:val="24"/>
                <w:lang w:eastAsia="en-GB"/>
              </w:rPr>
              <w:t>Student living alone</w:t>
            </w:r>
          </w:p>
        </w:tc>
        <w:tc>
          <w:tcPr>
            <w:tcW w:w="822" w:type="dxa"/>
            <w:noWrap/>
            <w:hideMark/>
          </w:tcPr>
          <w:p w14:paraId="066AE7C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-185</w:t>
            </w:r>
          </w:p>
        </w:tc>
        <w:tc>
          <w:tcPr>
            <w:tcW w:w="784" w:type="dxa"/>
            <w:noWrap/>
            <w:hideMark/>
          </w:tcPr>
          <w:p w14:paraId="4E49FD1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118</w:t>
            </w:r>
          </w:p>
        </w:tc>
        <w:tc>
          <w:tcPr>
            <w:tcW w:w="1012" w:type="dxa"/>
            <w:noWrap/>
            <w:hideMark/>
          </w:tcPr>
          <w:p w14:paraId="077ECEE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-67</w:t>
            </w:r>
          </w:p>
        </w:tc>
        <w:tc>
          <w:tcPr>
            <w:tcW w:w="1011" w:type="dxa"/>
            <w:noWrap/>
            <w:hideMark/>
          </w:tcPr>
          <w:p w14:paraId="26D4E15E"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-16%</w:t>
            </w:r>
          </w:p>
        </w:tc>
        <w:tc>
          <w:tcPr>
            <w:tcW w:w="1012" w:type="dxa"/>
            <w:noWrap/>
            <w:hideMark/>
          </w:tcPr>
          <w:p w14:paraId="4FD69E6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41%</w:t>
            </w:r>
          </w:p>
        </w:tc>
        <w:tc>
          <w:tcPr>
            <w:tcW w:w="1012" w:type="dxa"/>
            <w:noWrap/>
            <w:hideMark/>
          </w:tcPr>
          <w:p w14:paraId="7786B0C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-5%</w:t>
            </w:r>
          </w:p>
        </w:tc>
      </w:tr>
      <w:tr w:rsidR="00956DC6" w:rsidRPr="00956DC6" w14:paraId="370C1AE7" w14:textId="77777777" w:rsidTr="00D129BB">
        <w:trPr>
          <w:trHeight w:val="398"/>
        </w:trPr>
        <w:tc>
          <w:tcPr>
            <w:cnfStyle w:val="001000000000" w:firstRow="0" w:lastRow="0" w:firstColumn="1" w:lastColumn="0" w:oddVBand="0" w:evenVBand="0" w:oddHBand="0" w:evenHBand="0" w:firstRowFirstColumn="0" w:firstRowLastColumn="0" w:lastRowFirstColumn="0" w:lastRowLastColumn="0"/>
            <w:tcW w:w="2731" w:type="dxa"/>
            <w:hideMark/>
          </w:tcPr>
          <w:p w14:paraId="09EA2D28" w14:textId="77777777" w:rsidR="00956DC6" w:rsidRPr="00956DC6" w:rsidRDefault="00956DC6" w:rsidP="00956DC6">
            <w:pPr>
              <w:rPr>
                <w:b/>
                <w:bCs/>
                <w:color w:val="auto"/>
                <w:szCs w:val="24"/>
                <w:lang w:eastAsia="en-GB"/>
              </w:rPr>
            </w:pPr>
            <w:r w:rsidRPr="00956DC6">
              <w:rPr>
                <w:b/>
                <w:bCs/>
                <w:color w:val="auto"/>
                <w:szCs w:val="24"/>
                <w:lang w:eastAsia="en-GB"/>
              </w:rPr>
              <w:t>“other” household type</w:t>
            </w:r>
          </w:p>
        </w:tc>
        <w:tc>
          <w:tcPr>
            <w:tcW w:w="822" w:type="dxa"/>
            <w:noWrap/>
            <w:hideMark/>
          </w:tcPr>
          <w:p w14:paraId="77D3070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1,297</w:t>
            </w:r>
          </w:p>
        </w:tc>
        <w:tc>
          <w:tcPr>
            <w:tcW w:w="784" w:type="dxa"/>
            <w:noWrap/>
            <w:hideMark/>
          </w:tcPr>
          <w:p w14:paraId="75C1C44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1,375</w:t>
            </w:r>
          </w:p>
        </w:tc>
        <w:tc>
          <w:tcPr>
            <w:tcW w:w="1012" w:type="dxa"/>
            <w:noWrap/>
            <w:hideMark/>
          </w:tcPr>
          <w:p w14:paraId="2592BF51"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2,672</w:t>
            </w:r>
          </w:p>
        </w:tc>
        <w:tc>
          <w:tcPr>
            <w:tcW w:w="1011" w:type="dxa"/>
            <w:noWrap/>
            <w:hideMark/>
          </w:tcPr>
          <w:p w14:paraId="09C247D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49%</w:t>
            </w:r>
          </w:p>
        </w:tc>
        <w:tc>
          <w:tcPr>
            <w:tcW w:w="1012" w:type="dxa"/>
            <w:noWrap/>
            <w:hideMark/>
          </w:tcPr>
          <w:p w14:paraId="7D4ACC8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59%</w:t>
            </w:r>
          </w:p>
        </w:tc>
        <w:tc>
          <w:tcPr>
            <w:tcW w:w="1012" w:type="dxa"/>
            <w:noWrap/>
            <w:hideMark/>
          </w:tcPr>
          <w:p w14:paraId="39957DE9"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54%</w:t>
            </w:r>
          </w:p>
        </w:tc>
      </w:tr>
      <w:tr w:rsidR="00956DC6" w:rsidRPr="00956DC6" w14:paraId="0D31618D" w14:textId="77777777" w:rsidTr="00D129BB">
        <w:trPr>
          <w:trHeight w:val="398"/>
        </w:trPr>
        <w:tc>
          <w:tcPr>
            <w:cnfStyle w:val="001000000000" w:firstRow="0" w:lastRow="0" w:firstColumn="1" w:lastColumn="0" w:oddVBand="0" w:evenVBand="0" w:oddHBand="0" w:evenHBand="0" w:firstRowFirstColumn="0" w:firstRowLastColumn="0" w:lastRowFirstColumn="0" w:lastRowLastColumn="0"/>
            <w:tcW w:w="2731" w:type="dxa"/>
            <w:hideMark/>
          </w:tcPr>
          <w:p w14:paraId="6670DFCA" w14:textId="77777777" w:rsidR="00956DC6" w:rsidRPr="00956DC6" w:rsidRDefault="00956DC6" w:rsidP="00956DC6">
            <w:pPr>
              <w:rPr>
                <w:b/>
                <w:bCs/>
                <w:color w:val="auto"/>
                <w:szCs w:val="24"/>
                <w:lang w:eastAsia="en-GB"/>
              </w:rPr>
            </w:pPr>
            <w:r w:rsidRPr="00956DC6">
              <w:rPr>
                <w:b/>
                <w:bCs/>
                <w:color w:val="auto"/>
                <w:szCs w:val="24"/>
                <w:lang w:eastAsia="en-GB"/>
              </w:rPr>
              <w:t>Student accommodation</w:t>
            </w:r>
          </w:p>
        </w:tc>
        <w:tc>
          <w:tcPr>
            <w:tcW w:w="822" w:type="dxa"/>
            <w:noWrap/>
            <w:hideMark/>
          </w:tcPr>
          <w:p w14:paraId="13463A5A"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4,946</w:t>
            </w:r>
          </w:p>
        </w:tc>
        <w:tc>
          <w:tcPr>
            <w:tcW w:w="784" w:type="dxa"/>
            <w:noWrap/>
            <w:hideMark/>
          </w:tcPr>
          <w:p w14:paraId="08394CB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8,113</w:t>
            </w:r>
          </w:p>
        </w:tc>
        <w:tc>
          <w:tcPr>
            <w:tcW w:w="1012" w:type="dxa"/>
            <w:noWrap/>
            <w:hideMark/>
          </w:tcPr>
          <w:p w14:paraId="1941B16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13,059</w:t>
            </w:r>
          </w:p>
        </w:tc>
        <w:tc>
          <w:tcPr>
            <w:tcW w:w="1011" w:type="dxa"/>
            <w:noWrap/>
            <w:hideMark/>
          </w:tcPr>
          <w:p w14:paraId="08405002"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23%</w:t>
            </w:r>
          </w:p>
        </w:tc>
        <w:tc>
          <w:tcPr>
            <w:tcW w:w="1012" w:type="dxa"/>
            <w:noWrap/>
            <w:hideMark/>
          </w:tcPr>
          <w:p w14:paraId="264A130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42%</w:t>
            </w:r>
          </w:p>
        </w:tc>
        <w:tc>
          <w:tcPr>
            <w:tcW w:w="1012" w:type="dxa"/>
            <w:noWrap/>
            <w:hideMark/>
          </w:tcPr>
          <w:p w14:paraId="02C9A7A7"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956DC6">
              <w:rPr>
                <w:color w:val="auto"/>
                <w:szCs w:val="24"/>
                <w:lang w:eastAsia="en-GB"/>
              </w:rPr>
              <w:t>32%</w:t>
            </w:r>
          </w:p>
        </w:tc>
      </w:tr>
    </w:tbl>
    <w:p w14:paraId="1FCEFC1A" w14:textId="77777777" w:rsidR="00FC665C" w:rsidRDefault="00FC665C" w:rsidP="00D129BB">
      <w:pPr>
        <w:pStyle w:val="11Bodytext"/>
        <w:numPr>
          <w:ilvl w:val="0"/>
          <w:numId w:val="0"/>
        </w:numPr>
        <w:spacing w:before="0"/>
        <w:ind w:left="794"/>
      </w:pPr>
      <w:r>
        <w:t>Source: Census 2011,</w:t>
      </w:r>
      <w:r w:rsidRPr="001216AA">
        <w:t xml:space="preserve"> DC6108EW </w:t>
      </w:r>
      <w:r>
        <w:t xml:space="preserve">and Census 2001, </w:t>
      </w:r>
      <w:r w:rsidRPr="001543FC">
        <w:t>ST063</w:t>
      </w:r>
    </w:p>
    <w:p w14:paraId="62AA34CE" w14:textId="77777777" w:rsidR="00FC665C" w:rsidRPr="00F96032" w:rsidRDefault="00FC665C" w:rsidP="007D0FBF">
      <w:pPr>
        <w:pStyle w:val="11Bodytext"/>
      </w:pPr>
      <w:r w:rsidRPr="0097238A">
        <w:t>The communal establishment accommodation has seen an increase of 23%. Th</w:t>
      </w:r>
      <w:r>
        <w:t>is</w:t>
      </w:r>
      <w:r w:rsidRPr="0097238A">
        <w:t xml:space="preserve"> </w:t>
      </w:r>
      <w:r>
        <w:t>is</w:t>
      </w:r>
      <w:r w:rsidRPr="0097238A">
        <w:t xml:space="preserve"> translated in</w:t>
      </w:r>
      <w:r>
        <w:t>to</w:t>
      </w:r>
      <w:r w:rsidRPr="0097238A">
        <w:t xml:space="preserve"> 2,734 more communal households in Cambridge since 2001. The University since 2011 continues to invest in student accommodation and we analyse below recent </w:t>
      </w:r>
      <w:r>
        <w:t>findings</w:t>
      </w:r>
      <w:r w:rsidRPr="0097238A">
        <w:t>.</w:t>
      </w:r>
      <w:r>
        <w:t xml:space="preserve"> </w:t>
      </w:r>
    </w:p>
    <w:p w14:paraId="36B8A7FD" w14:textId="77777777" w:rsidR="00FC665C" w:rsidRPr="0097238A" w:rsidRDefault="00FC665C" w:rsidP="007D0FBF">
      <w:pPr>
        <w:pStyle w:val="Heading2"/>
      </w:pPr>
      <w:r>
        <w:lastRenderedPageBreak/>
        <w:t>Cambridge Centre for Housing and Planning Research</w:t>
      </w:r>
    </w:p>
    <w:p w14:paraId="651176FD" w14:textId="77777777" w:rsidR="00FC665C" w:rsidRDefault="00FC665C" w:rsidP="007D0FBF">
      <w:pPr>
        <w:pStyle w:val="11Bodytext"/>
      </w:pPr>
      <w:r w:rsidRPr="00562E48">
        <w:t>Cambridge City Council commissioned</w:t>
      </w:r>
      <w:r>
        <w:t xml:space="preserve"> the Cambridge Centre for Housing and Planning Research (CCHPR) of the University of Cambridge in 2017 to produce a </w:t>
      </w:r>
      <w:hyperlink r:id="rId81" w:history="1">
        <w:r w:rsidRPr="00D129BB">
          <w:rPr>
            <w:rStyle w:val="Hyperlink"/>
            <w:color w:val="auto"/>
          </w:rPr>
          <w:t>study</w:t>
        </w:r>
      </w:hyperlink>
      <w:r w:rsidRPr="00D129BB">
        <w:rPr>
          <w:color w:val="auto"/>
        </w:rPr>
        <w:t xml:space="preserve"> for </w:t>
      </w:r>
      <w:r>
        <w:t xml:space="preserve">the provision of student accommodation and its impact upon housing needs. We summarise in this section the findings of the research with regards to the current and future student accommodation plans. </w:t>
      </w:r>
    </w:p>
    <w:p w14:paraId="6A0EBF32" w14:textId="77777777" w:rsidR="00FC665C" w:rsidRDefault="00FC665C" w:rsidP="007D0FBF">
      <w:pPr>
        <w:pStyle w:val="11Bodytext"/>
      </w:pPr>
      <w:r>
        <w:t>The study concludes the following points regarding the current student accommodation (baseline year 2015/16):</w:t>
      </w:r>
    </w:p>
    <w:p w14:paraId="52C9C199" w14:textId="77777777" w:rsidR="00FC665C" w:rsidRPr="00562E48" w:rsidRDefault="00FC665C" w:rsidP="00B126BB">
      <w:pPr>
        <w:pStyle w:val="10BulletBodytext"/>
      </w:pPr>
      <w:r>
        <w:t>As noted earlier, t</w:t>
      </w:r>
      <w:r w:rsidRPr="00562E48">
        <w:t xml:space="preserve">here have been </w:t>
      </w:r>
      <w:r>
        <w:t xml:space="preserve">an </w:t>
      </w:r>
      <w:r w:rsidRPr="00562E48">
        <w:t>estimated 46,132 students in Cambridge with a need for some form of accommodation</w:t>
      </w:r>
      <w:r w:rsidRPr="003D3915">
        <w:t>.</w:t>
      </w:r>
      <w:r w:rsidRPr="00562E48">
        <w:t xml:space="preserve"> Of these, </w:t>
      </w:r>
    </w:p>
    <w:p w14:paraId="2114DBA8" w14:textId="77777777" w:rsidR="00FC665C" w:rsidRDefault="00FC665C" w:rsidP="00B126BB">
      <w:pPr>
        <w:pStyle w:val="10BulletBodytext"/>
      </w:pPr>
      <w:r w:rsidRPr="00562E48">
        <w:t xml:space="preserve">22,410 are housed in </w:t>
      </w:r>
      <w:r>
        <w:t xml:space="preserve">Purpose-built student accommodation; </w:t>
      </w:r>
    </w:p>
    <w:p w14:paraId="383B840A" w14:textId="77777777" w:rsidR="00FC665C" w:rsidRDefault="00FC665C" w:rsidP="00B126BB">
      <w:pPr>
        <w:pStyle w:val="10BulletBodytext"/>
      </w:pPr>
      <w:r w:rsidRPr="00562E48">
        <w:t>an estimated 9,157 are in shared housing</w:t>
      </w:r>
      <w:r>
        <w:t>;</w:t>
      </w:r>
      <w:r w:rsidRPr="00562E48">
        <w:t xml:space="preserve"> </w:t>
      </w:r>
    </w:p>
    <w:p w14:paraId="5E453C76" w14:textId="77777777" w:rsidR="00FC665C" w:rsidRDefault="00FC665C" w:rsidP="00B126BB">
      <w:pPr>
        <w:pStyle w:val="10BulletBodytext"/>
      </w:pPr>
      <w:r w:rsidRPr="00562E48">
        <w:t>12,129 are in existing family housing (either in the parental home or ‘homestays’)</w:t>
      </w:r>
      <w:r>
        <w:t>;</w:t>
      </w:r>
      <w:r w:rsidRPr="00562E48">
        <w:t xml:space="preserve"> and </w:t>
      </w:r>
    </w:p>
    <w:p w14:paraId="212D69FD" w14:textId="77777777" w:rsidR="00FC665C" w:rsidRPr="00562E48" w:rsidRDefault="00FC665C" w:rsidP="00B126BB">
      <w:pPr>
        <w:pStyle w:val="10BulletBodytext"/>
      </w:pPr>
      <w:r w:rsidRPr="00562E48">
        <w:t xml:space="preserve">there is no information for 2,436 students. </w:t>
      </w:r>
    </w:p>
    <w:p w14:paraId="6647D0B2" w14:textId="77777777" w:rsidR="00FC665C" w:rsidRPr="00562E48" w:rsidRDefault="00FC665C" w:rsidP="00B126BB">
      <w:pPr>
        <w:pStyle w:val="10BulletBodytext"/>
      </w:pPr>
      <w:r w:rsidRPr="00562E48">
        <w:t xml:space="preserve">91% of undergraduates and 55% of postgraduates at the University of Cambridge are in University or College maintained accommodation, compared to 11% of undergraduates and 15% of postgraduates at Anglia Ruskin University. </w:t>
      </w:r>
    </w:p>
    <w:p w14:paraId="6C1E28EF" w14:textId="77777777" w:rsidR="00FC665C" w:rsidRPr="00562E48" w:rsidRDefault="00FC665C" w:rsidP="00B126BB">
      <w:pPr>
        <w:pStyle w:val="10BulletBodytext"/>
      </w:pPr>
      <w:r w:rsidRPr="00562E48">
        <w:t xml:space="preserve">Anglia Ruskin University is therefore currently dependent upon housing 4,285 undergraduates and 785 postgraduates in shared housing, a total of 5,070 students, occupying at least 1,000 shared houses, assuming an average of 5 students to each shared house. </w:t>
      </w:r>
    </w:p>
    <w:p w14:paraId="5C1544B8" w14:textId="77777777" w:rsidR="00FC665C" w:rsidRPr="00562E48" w:rsidRDefault="00FC665C" w:rsidP="00B126BB">
      <w:pPr>
        <w:pStyle w:val="10BulletBodytext"/>
      </w:pPr>
      <w:r w:rsidRPr="00562E48">
        <w:t xml:space="preserve">The position is reversed for the University of Cambridge, where only 729 undergraduates are housed in shared existing housing, but 3,003 postgraduates are accommodated in shared existing housing, occupying at least 600 shared houses, again assuming an average of 5 students to each shared house. </w:t>
      </w:r>
    </w:p>
    <w:p w14:paraId="36FA3643" w14:textId="77777777" w:rsidR="00FC665C" w:rsidRPr="00562E48" w:rsidRDefault="00FC665C" w:rsidP="00B126BB">
      <w:pPr>
        <w:pStyle w:val="10BulletBodytext"/>
      </w:pPr>
      <w:r w:rsidRPr="00562E48">
        <w:t xml:space="preserve">The non-university </w:t>
      </w:r>
      <w:r>
        <w:t xml:space="preserve">educational </w:t>
      </w:r>
      <w:r w:rsidRPr="00562E48">
        <w:t xml:space="preserve">institutions have very little directly owned accommodation (750 </w:t>
      </w:r>
      <w:r>
        <w:t>bed-spaces</w:t>
      </w:r>
      <w:r w:rsidRPr="00562E48">
        <w:t xml:space="preserve"> among 15,420 students) but make extensive use of private halls (3,836 </w:t>
      </w:r>
      <w:r>
        <w:t>bed-spaces</w:t>
      </w:r>
      <w:r w:rsidRPr="00562E48">
        <w:t xml:space="preserve">, or 82% of all student accommodation in private halls). </w:t>
      </w:r>
    </w:p>
    <w:p w14:paraId="38008600" w14:textId="77777777" w:rsidR="00FC665C" w:rsidRPr="00562E48" w:rsidRDefault="00FC665C" w:rsidP="00B126BB">
      <w:pPr>
        <w:pStyle w:val="10BulletBodytext"/>
      </w:pPr>
      <w:r w:rsidRPr="00562E48">
        <w:t xml:space="preserve">The non-university institutions also house 4,390 students in ‘homestay’ accommodation, and a further 5,304 are living in the parental home (mainly Cambridge Regional College students). </w:t>
      </w:r>
    </w:p>
    <w:p w14:paraId="072189CA" w14:textId="77777777" w:rsidR="00FC665C" w:rsidRDefault="00FC665C" w:rsidP="00B126BB">
      <w:pPr>
        <w:pStyle w:val="10BulletBodytext"/>
      </w:pPr>
      <w:r>
        <w:t>Students at t</w:t>
      </w:r>
      <w:r w:rsidRPr="00562E48">
        <w:t xml:space="preserve">he non-university institutions also make little use of shared housing, with only 355 students accommodated in shared housing, or only 2% of the total number of non-university institution students. </w:t>
      </w:r>
    </w:p>
    <w:p w14:paraId="2CAFD16B" w14:textId="77777777" w:rsidR="00FC665C" w:rsidRDefault="00FC665C" w:rsidP="00B963B6">
      <w:pPr>
        <w:pStyle w:val="Bulletblueplain"/>
        <w:numPr>
          <w:ilvl w:val="0"/>
          <w:numId w:val="0"/>
        </w:numPr>
        <w:ind w:left="1078"/>
      </w:pPr>
    </w:p>
    <w:p w14:paraId="7001B0D6" w14:textId="77777777" w:rsidR="00FC665C" w:rsidRDefault="00FC665C" w:rsidP="003D5E23">
      <w:pPr>
        <w:pStyle w:val="FigureHeading"/>
      </w:pPr>
      <w:r>
        <w:lastRenderedPageBreak/>
        <w:t>Current Student Accommodation (2015/16)</w:t>
      </w:r>
    </w:p>
    <w:p w14:paraId="0BEA0013" w14:textId="77777777" w:rsidR="00FC665C" w:rsidRDefault="00FC665C" w:rsidP="00D129BB">
      <w:pPr>
        <w:pStyle w:val="11Bodytext"/>
        <w:numPr>
          <w:ilvl w:val="0"/>
          <w:numId w:val="0"/>
        </w:numPr>
        <w:spacing w:before="0" w:after="0" w:line="240" w:lineRule="auto"/>
        <w:ind w:left="794"/>
      </w:pPr>
      <w:r>
        <w:rPr>
          <w:noProof/>
          <w:lang w:eastAsia="en-GB"/>
        </w:rPr>
        <w:drawing>
          <wp:inline distT="0" distB="0" distL="0" distR="0" wp14:anchorId="3FEE5D58" wp14:editId="73ED655C">
            <wp:extent cx="5616000" cy="2880000"/>
            <wp:effectExtent l="0" t="0" r="3810" b="15875"/>
            <wp:docPr id="1056" name="Chart 1056" descr="Chart showing student accommodation across comparator areas">
              <a:extLst xmlns:a="http://schemas.openxmlformats.org/drawingml/2006/main">
                <a:ext uri="{FF2B5EF4-FFF2-40B4-BE49-F238E27FC236}">
                  <a16:creationId xmlns:a16="http://schemas.microsoft.com/office/drawing/2014/main" id="{6377AD09-385F-423A-B500-0BE145DCA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B1195F8" w14:textId="77777777" w:rsidR="00FC665C" w:rsidRPr="0097238A" w:rsidRDefault="00FC665C" w:rsidP="00D129BB">
      <w:pPr>
        <w:pStyle w:val="11Bodytext"/>
        <w:numPr>
          <w:ilvl w:val="0"/>
          <w:numId w:val="0"/>
        </w:numPr>
        <w:spacing w:before="0" w:line="240" w:lineRule="auto"/>
        <w:ind w:left="794"/>
      </w:pPr>
      <w:r>
        <w:t>Source: University of Cambridge – CCHPR study</w:t>
      </w:r>
    </w:p>
    <w:p w14:paraId="5CB3265B" w14:textId="22591795" w:rsidR="00FC665C" w:rsidRDefault="00FC665C" w:rsidP="007D0FBF">
      <w:pPr>
        <w:pStyle w:val="11Bodytext"/>
      </w:pPr>
      <w:r>
        <w:t xml:space="preserve">The study estimated that the amount of purpose-built student accommodation that would be needed to accommodate all of the students who are not currently housed by their educational institution or living in existing family housing is 8,802 bed-spaces. A reduction was, however, applied to this figure to reflect mature students being unlikely to </w:t>
      </w:r>
      <w:r w:rsidR="00970D21">
        <w:t>live-in purpose-built</w:t>
      </w:r>
      <w:r>
        <w:t xml:space="preserve"> student accommodation. This </w:t>
      </w:r>
      <w:proofErr w:type="gramStart"/>
      <w:r>
        <w:t>produce</w:t>
      </w:r>
      <w:proofErr w:type="gramEnd"/>
      <w:r>
        <w:t xml:space="preserve"> a revised current need of 6,085 bedspaces. If delivered, </w:t>
      </w:r>
      <w:r w:rsidR="00970D21">
        <w:t>this would</w:t>
      </w:r>
      <w:r>
        <w:t xml:space="preserve"> release all shared houses currently occupied by the students onto the open market of the City. </w:t>
      </w:r>
    </w:p>
    <w:p w14:paraId="5FD3540A" w14:textId="77777777" w:rsidR="00FC665C" w:rsidRPr="00A7622C" w:rsidRDefault="00FC665C" w:rsidP="00D129BB">
      <w:pPr>
        <w:pStyle w:val="Heading3"/>
      </w:pPr>
      <w:r w:rsidRPr="00A7622C">
        <w:t>Future Growth</w:t>
      </w:r>
    </w:p>
    <w:p w14:paraId="494BDB73" w14:textId="77777777" w:rsidR="00FC665C" w:rsidRPr="00A110D9" w:rsidRDefault="00FC665C" w:rsidP="007D0FBF">
      <w:pPr>
        <w:pStyle w:val="11Bodytext"/>
      </w:pPr>
      <w:r>
        <w:t xml:space="preserve">Research suggests that Anglia Ruskin University is planning to remain at the same student numbers in Cambridge over the next 5 to 10 years. Pre-COVID the University of Cambridge’s planning framework envisages undergraduate </w:t>
      </w:r>
      <w:r w:rsidRPr="00A110D9">
        <w:t xml:space="preserve">growth of 0.5% per year for the next 10 years and postgraduate growth of 2% per year. This growth is estimated to result in a need for 2,874 additional bed-spaces by 2026. </w:t>
      </w:r>
    </w:p>
    <w:p w14:paraId="7E2EA01E" w14:textId="77777777" w:rsidR="00FC665C" w:rsidRPr="00A110D9" w:rsidRDefault="00FC665C" w:rsidP="007D0FBF">
      <w:pPr>
        <w:pStyle w:val="11Bodytext"/>
      </w:pPr>
      <w:r w:rsidRPr="00A110D9">
        <w:t xml:space="preserve">The study concludes that a total of 8,959 student rooms would need to be built in purpose-built student accommodation </w:t>
      </w:r>
      <w:r>
        <w:t xml:space="preserve">(PBSA) </w:t>
      </w:r>
      <w:r w:rsidRPr="00A110D9">
        <w:t xml:space="preserve">by 2026 to meet the current (6,085) and future (2,874) demand. </w:t>
      </w:r>
    </w:p>
    <w:p w14:paraId="5DC19AD4" w14:textId="23A73361" w:rsidR="00FC665C" w:rsidRDefault="00FC665C" w:rsidP="007D0FBF">
      <w:pPr>
        <w:pStyle w:val="11Bodytext"/>
      </w:pPr>
      <w:r w:rsidRPr="00A110D9">
        <w:lastRenderedPageBreak/>
        <w:t xml:space="preserve">If we forecast the same annual growth rates up to the 2040/41 academic year (to cover the plan period up to 2040), </w:t>
      </w:r>
      <w:r w:rsidRPr="00A041A7">
        <w:t>then the student body will increase by 5,50</w:t>
      </w:r>
      <w:r>
        <w:t>1</w:t>
      </w:r>
      <w:r w:rsidRPr="00A041A7">
        <w:t xml:space="preserve"> students.   In total there will be just under 24,000 students.  However, it should be stressed that for plan</w:t>
      </w:r>
      <w:r>
        <w:t>-</w:t>
      </w:r>
      <w:r w:rsidRPr="00A041A7">
        <w:t xml:space="preserve">making purposes this figure assumes continued growth beyond 2026 which the University strategy does not </w:t>
      </w:r>
      <w:r>
        <w:t xml:space="preserve">currently project / </w:t>
      </w:r>
      <w:r w:rsidRPr="00A041A7">
        <w:t>necessarily do.</w:t>
      </w:r>
    </w:p>
    <w:p w14:paraId="675DA1A3" w14:textId="77777777" w:rsidR="00FC665C" w:rsidRPr="00A041A7" w:rsidRDefault="00FC665C" w:rsidP="003D5E23">
      <w:pPr>
        <w:pStyle w:val="Tableheading"/>
      </w:pPr>
      <w:r>
        <w:t>Need for Additional Student Bedspaces (2016/17- 2040/41)</w:t>
      </w:r>
    </w:p>
    <w:tbl>
      <w:tblPr>
        <w:tblStyle w:val="TableGridLight1"/>
        <w:tblW w:w="0" w:type="auto"/>
        <w:tblInd w:w="846" w:type="dxa"/>
        <w:tblLook w:val="04A0" w:firstRow="1" w:lastRow="0" w:firstColumn="1" w:lastColumn="0" w:noHBand="0" w:noVBand="1"/>
      </w:tblPr>
      <w:tblGrid>
        <w:gridCol w:w="1529"/>
        <w:gridCol w:w="851"/>
        <w:gridCol w:w="851"/>
        <w:gridCol w:w="1015"/>
        <w:gridCol w:w="2056"/>
        <w:gridCol w:w="2190"/>
      </w:tblGrid>
      <w:tr w:rsidR="003A75AB" w:rsidRPr="003A75AB" w14:paraId="50CE5D09" w14:textId="77777777" w:rsidTr="004F4BA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0E0ED644" w14:textId="77777777" w:rsidR="00FC665C" w:rsidRPr="004F4BA7" w:rsidRDefault="00FC665C" w:rsidP="00D129BB">
            <w:pPr>
              <w:rPr>
                <w:color w:val="auto"/>
                <w:lang w:eastAsia="en-GB"/>
              </w:rPr>
            </w:pPr>
            <w:r w:rsidRPr="004F4BA7">
              <w:rPr>
                <w:color w:val="auto"/>
                <w:lang w:eastAsia="en-GB"/>
              </w:rPr>
              <w:t> </w:t>
            </w:r>
          </w:p>
        </w:tc>
        <w:tc>
          <w:tcPr>
            <w:tcW w:w="0" w:type="auto"/>
            <w:hideMark/>
          </w:tcPr>
          <w:p w14:paraId="6A3E9F54" w14:textId="77777777" w:rsidR="00FC665C" w:rsidRPr="004F4BA7" w:rsidRDefault="00FC665C" w:rsidP="00D129BB">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2016-2017</w:t>
            </w:r>
          </w:p>
        </w:tc>
        <w:tc>
          <w:tcPr>
            <w:tcW w:w="0" w:type="auto"/>
            <w:hideMark/>
          </w:tcPr>
          <w:p w14:paraId="7F73554B" w14:textId="77777777" w:rsidR="00FC665C" w:rsidRPr="004F4BA7" w:rsidRDefault="00FC665C" w:rsidP="00D129BB">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2040-2041</w:t>
            </w:r>
          </w:p>
        </w:tc>
        <w:tc>
          <w:tcPr>
            <w:tcW w:w="0" w:type="auto"/>
            <w:hideMark/>
          </w:tcPr>
          <w:p w14:paraId="069C2126" w14:textId="77777777" w:rsidR="00FC665C" w:rsidRPr="004F4BA7" w:rsidRDefault="00FC665C" w:rsidP="00D129BB">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Increase</w:t>
            </w:r>
          </w:p>
        </w:tc>
        <w:tc>
          <w:tcPr>
            <w:tcW w:w="0" w:type="auto"/>
            <w:hideMark/>
          </w:tcPr>
          <w:p w14:paraId="2EB06EDF" w14:textId="77777777" w:rsidR="00FC665C" w:rsidRPr="004F4BA7" w:rsidRDefault="00FC665C" w:rsidP="00D129BB">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Students in purpose built student accommodation</w:t>
            </w:r>
          </w:p>
        </w:tc>
        <w:tc>
          <w:tcPr>
            <w:tcW w:w="0" w:type="auto"/>
          </w:tcPr>
          <w:p w14:paraId="419A201A" w14:textId="77777777" w:rsidR="00FC665C" w:rsidRPr="004F4BA7" w:rsidRDefault="00FC665C" w:rsidP="00D129BB">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Additional Students in PBSA purpose built student accommodation</w:t>
            </w:r>
          </w:p>
        </w:tc>
      </w:tr>
      <w:tr w:rsidR="003A75AB" w:rsidRPr="003A75AB" w14:paraId="33EF41B4" w14:textId="77777777" w:rsidTr="004F4BA7">
        <w:trPr>
          <w:trHeight w:val="411"/>
        </w:trPr>
        <w:tc>
          <w:tcPr>
            <w:cnfStyle w:val="001000000000" w:firstRow="0" w:lastRow="0" w:firstColumn="1" w:lastColumn="0" w:oddVBand="0" w:evenVBand="0" w:oddHBand="0" w:evenHBand="0" w:firstRowFirstColumn="0" w:firstRowLastColumn="0" w:lastRowFirstColumn="0" w:lastRowLastColumn="0"/>
            <w:tcW w:w="0" w:type="auto"/>
            <w:noWrap/>
            <w:hideMark/>
          </w:tcPr>
          <w:p w14:paraId="17D40913" w14:textId="77777777" w:rsidR="00FC665C" w:rsidRPr="004F4BA7" w:rsidRDefault="00FC665C" w:rsidP="00D129BB">
            <w:pPr>
              <w:rPr>
                <w:color w:val="auto"/>
                <w:lang w:eastAsia="en-GB"/>
              </w:rPr>
            </w:pPr>
            <w:r w:rsidRPr="004F4BA7">
              <w:rPr>
                <w:color w:val="auto"/>
                <w:lang w:eastAsia="en-GB"/>
              </w:rPr>
              <w:t>Undergraduate</w:t>
            </w:r>
          </w:p>
        </w:tc>
        <w:tc>
          <w:tcPr>
            <w:tcW w:w="0" w:type="auto"/>
            <w:noWrap/>
            <w:hideMark/>
          </w:tcPr>
          <w:p w14:paraId="3C6CD979"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11,926</w:t>
            </w:r>
          </w:p>
        </w:tc>
        <w:tc>
          <w:tcPr>
            <w:tcW w:w="0" w:type="auto"/>
            <w:noWrap/>
            <w:hideMark/>
          </w:tcPr>
          <w:p w14:paraId="36DFB9F2"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13,443</w:t>
            </w:r>
          </w:p>
        </w:tc>
        <w:tc>
          <w:tcPr>
            <w:tcW w:w="0" w:type="auto"/>
            <w:noWrap/>
            <w:hideMark/>
          </w:tcPr>
          <w:p w14:paraId="3FED3B3A"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1,517</w:t>
            </w:r>
          </w:p>
        </w:tc>
        <w:tc>
          <w:tcPr>
            <w:tcW w:w="0" w:type="auto"/>
            <w:noWrap/>
            <w:hideMark/>
          </w:tcPr>
          <w:p w14:paraId="0B05F066"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91.0%</w:t>
            </w:r>
          </w:p>
        </w:tc>
        <w:tc>
          <w:tcPr>
            <w:tcW w:w="0" w:type="auto"/>
          </w:tcPr>
          <w:p w14:paraId="7DE421BD"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1,380</w:t>
            </w:r>
          </w:p>
        </w:tc>
      </w:tr>
      <w:tr w:rsidR="003A75AB" w:rsidRPr="003A75AB" w14:paraId="3F1C45E6" w14:textId="77777777" w:rsidTr="004F4BA7">
        <w:trPr>
          <w:trHeight w:val="411"/>
        </w:trPr>
        <w:tc>
          <w:tcPr>
            <w:cnfStyle w:val="001000000000" w:firstRow="0" w:lastRow="0" w:firstColumn="1" w:lastColumn="0" w:oddVBand="0" w:evenVBand="0" w:oddHBand="0" w:evenHBand="0" w:firstRowFirstColumn="0" w:firstRowLastColumn="0" w:lastRowFirstColumn="0" w:lastRowLastColumn="0"/>
            <w:tcW w:w="0" w:type="auto"/>
            <w:noWrap/>
            <w:hideMark/>
          </w:tcPr>
          <w:p w14:paraId="7CB85B8C" w14:textId="77777777" w:rsidR="00FC665C" w:rsidRPr="004F4BA7" w:rsidRDefault="00FC665C" w:rsidP="00D129BB">
            <w:pPr>
              <w:rPr>
                <w:color w:val="auto"/>
                <w:lang w:eastAsia="en-GB"/>
              </w:rPr>
            </w:pPr>
            <w:r w:rsidRPr="004F4BA7">
              <w:rPr>
                <w:color w:val="auto"/>
                <w:lang w:eastAsia="en-GB"/>
              </w:rPr>
              <w:t>Postgraduate</w:t>
            </w:r>
          </w:p>
        </w:tc>
        <w:tc>
          <w:tcPr>
            <w:tcW w:w="0" w:type="auto"/>
            <w:noWrap/>
            <w:hideMark/>
          </w:tcPr>
          <w:p w14:paraId="479CFCCD"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6,548</w:t>
            </w:r>
          </w:p>
        </w:tc>
        <w:tc>
          <w:tcPr>
            <w:tcW w:w="0" w:type="auto"/>
            <w:noWrap/>
            <w:hideMark/>
          </w:tcPr>
          <w:p w14:paraId="6C9B1086"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10,532</w:t>
            </w:r>
          </w:p>
        </w:tc>
        <w:tc>
          <w:tcPr>
            <w:tcW w:w="0" w:type="auto"/>
            <w:noWrap/>
            <w:hideMark/>
          </w:tcPr>
          <w:p w14:paraId="13D5CC89"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3,984</w:t>
            </w:r>
          </w:p>
        </w:tc>
        <w:tc>
          <w:tcPr>
            <w:tcW w:w="0" w:type="auto"/>
            <w:noWrap/>
            <w:hideMark/>
          </w:tcPr>
          <w:p w14:paraId="0C144DF5"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55.0%</w:t>
            </w:r>
          </w:p>
        </w:tc>
        <w:tc>
          <w:tcPr>
            <w:tcW w:w="0" w:type="auto"/>
          </w:tcPr>
          <w:p w14:paraId="01FF6D99"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2,191</w:t>
            </w:r>
          </w:p>
        </w:tc>
      </w:tr>
      <w:tr w:rsidR="003A75AB" w:rsidRPr="003A75AB" w14:paraId="51FA87EA" w14:textId="77777777" w:rsidTr="004F4BA7">
        <w:trPr>
          <w:trHeight w:val="411"/>
        </w:trPr>
        <w:tc>
          <w:tcPr>
            <w:cnfStyle w:val="001000000000" w:firstRow="0" w:lastRow="0" w:firstColumn="1" w:lastColumn="0" w:oddVBand="0" w:evenVBand="0" w:oddHBand="0" w:evenHBand="0" w:firstRowFirstColumn="0" w:firstRowLastColumn="0" w:lastRowFirstColumn="0" w:lastRowLastColumn="0"/>
            <w:tcW w:w="0" w:type="auto"/>
            <w:noWrap/>
            <w:hideMark/>
          </w:tcPr>
          <w:p w14:paraId="3AB24EB1" w14:textId="77777777" w:rsidR="00FC665C" w:rsidRPr="004F4BA7" w:rsidRDefault="00FC665C" w:rsidP="00D129BB">
            <w:pPr>
              <w:rPr>
                <w:b/>
                <w:bCs/>
                <w:color w:val="auto"/>
                <w:lang w:eastAsia="en-GB"/>
              </w:rPr>
            </w:pPr>
            <w:r w:rsidRPr="004F4BA7">
              <w:rPr>
                <w:b/>
                <w:bCs/>
                <w:color w:val="auto"/>
                <w:lang w:eastAsia="en-GB"/>
              </w:rPr>
              <w:t>Total</w:t>
            </w:r>
          </w:p>
        </w:tc>
        <w:tc>
          <w:tcPr>
            <w:tcW w:w="0" w:type="auto"/>
            <w:noWrap/>
            <w:hideMark/>
          </w:tcPr>
          <w:p w14:paraId="6581A761"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18,474</w:t>
            </w:r>
          </w:p>
        </w:tc>
        <w:tc>
          <w:tcPr>
            <w:tcW w:w="0" w:type="auto"/>
            <w:noWrap/>
            <w:hideMark/>
          </w:tcPr>
          <w:p w14:paraId="39FF0E3A"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23,975</w:t>
            </w:r>
          </w:p>
        </w:tc>
        <w:tc>
          <w:tcPr>
            <w:tcW w:w="0" w:type="auto"/>
            <w:noWrap/>
            <w:hideMark/>
          </w:tcPr>
          <w:p w14:paraId="08D1A6AF"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5,501</w:t>
            </w:r>
          </w:p>
        </w:tc>
        <w:tc>
          <w:tcPr>
            <w:tcW w:w="0" w:type="auto"/>
            <w:noWrap/>
            <w:hideMark/>
          </w:tcPr>
          <w:p w14:paraId="6DF4325B"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64.9%</w:t>
            </w:r>
          </w:p>
        </w:tc>
        <w:tc>
          <w:tcPr>
            <w:tcW w:w="0" w:type="auto"/>
          </w:tcPr>
          <w:p w14:paraId="4C3CC265" w14:textId="77777777" w:rsidR="00FC665C" w:rsidRPr="004F4BA7" w:rsidRDefault="00FC665C"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4F4BA7">
              <w:rPr>
                <w:b/>
                <w:bCs/>
                <w:color w:val="auto"/>
                <w:lang w:eastAsia="en-GB"/>
              </w:rPr>
              <w:t>3,571</w:t>
            </w:r>
          </w:p>
        </w:tc>
      </w:tr>
    </w:tbl>
    <w:p w14:paraId="133CF314" w14:textId="77777777" w:rsidR="00FC665C" w:rsidRPr="00A1323C" w:rsidRDefault="00FC665C" w:rsidP="00D129BB">
      <w:pPr>
        <w:pStyle w:val="11Bodytext"/>
        <w:numPr>
          <w:ilvl w:val="0"/>
          <w:numId w:val="0"/>
        </w:numPr>
        <w:spacing w:before="0" w:line="240" w:lineRule="auto"/>
        <w:ind w:left="794"/>
      </w:pPr>
      <w:r>
        <w:t xml:space="preserve"> </w:t>
      </w:r>
      <w:r w:rsidRPr="000036C6">
        <w:t xml:space="preserve">Source: </w:t>
      </w:r>
      <w:r w:rsidRPr="00A041A7">
        <w:t xml:space="preserve">GLH Analysis based on </w:t>
      </w:r>
      <w:r>
        <w:t>CCHPR study</w:t>
      </w:r>
    </w:p>
    <w:p w14:paraId="2445FC4A" w14:textId="77777777" w:rsidR="00FC665C" w:rsidRDefault="00FC665C" w:rsidP="007D0FBF">
      <w:pPr>
        <w:pStyle w:val="11Bodytext"/>
      </w:pPr>
      <w:r w:rsidRPr="00A110D9">
        <w:t xml:space="preserve">Assuming students' accommodation requirements remain the same as reported in the </w:t>
      </w:r>
      <w:r>
        <w:t>CCHPR study</w:t>
      </w:r>
      <w:r w:rsidRPr="00A110D9">
        <w:t xml:space="preserve"> in 2040/41 as in 2015/16 (91% of undergraduates and 55% of postgraduates are in University or College maintained accommodation, and the rest living with their parents o</w:t>
      </w:r>
      <w:r>
        <w:t>r</w:t>
      </w:r>
      <w:r w:rsidRPr="00A110D9">
        <w:t xml:space="preserve"> in shared accommodation</w:t>
      </w:r>
      <w:r>
        <w:t xml:space="preserve"> or with their families (particularly older students and post-graduate students</w:t>
      </w:r>
      <w:r w:rsidRPr="00A110D9">
        <w:t>)</w:t>
      </w:r>
      <w:r>
        <w:t>. This is supported by the finding the CCHPR study that notes that postgraduate students are more likely than undergraduates to be accommodated in self-contained flats or homes and less likely to be accommodated in bedrooms with shared facilities</w:t>
      </w:r>
      <w:r>
        <w:rPr>
          <w:rStyle w:val="FootnoteReference"/>
        </w:rPr>
        <w:footnoteReference w:id="49"/>
      </w:r>
      <w:r>
        <w:t>.</w:t>
      </w:r>
    </w:p>
    <w:p w14:paraId="2BEC7B4D" w14:textId="77777777" w:rsidR="00FC665C" w:rsidRDefault="00FC665C" w:rsidP="007D0FBF">
      <w:pPr>
        <w:pStyle w:val="11Bodytext"/>
      </w:pPr>
      <w:r>
        <w:t>T</w:t>
      </w:r>
      <w:r w:rsidRPr="00A110D9">
        <w:t>his suggests an additional 3,571 bed-spaces in purpose-build student accommodation to keep up with the growth in student.</w:t>
      </w:r>
      <w:r>
        <w:t xml:space="preserve"> number</w:t>
      </w:r>
      <w:r w:rsidRPr="00A110D9">
        <w:t xml:space="preserve">s. </w:t>
      </w:r>
      <w:r>
        <w:t xml:space="preserve">  </w:t>
      </w:r>
    </w:p>
    <w:p w14:paraId="2A42F956" w14:textId="77777777" w:rsidR="00FC665C" w:rsidRPr="00A110D9" w:rsidRDefault="00FC665C" w:rsidP="007D0FBF">
      <w:pPr>
        <w:pStyle w:val="11Bodytext"/>
      </w:pPr>
      <w:r>
        <w:t xml:space="preserve">The remaining 1,930 students not in PBSA will have to be occupied in the wider housing stock.   This group will be accounted for in the housing need in part through the household projections which will pick up trends in students not in institutional accommodation (although as the household projections are not broken down by economic activity the extent of this cannot be </w:t>
      </w:r>
      <w:proofErr w:type="gramStart"/>
      <w:r>
        <w:t>known)  as</w:t>
      </w:r>
      <w:proofErr w:type="gramEnd"/>
      <w:r>
        <w:t xml:space="preserve"> well as the additional </w:t>
      </w:r>
      <w:r>
        <w:lastRenderedPageBreak/>
        <w:t>homes from the affordability adjustment which it can be reasonably assumed will include students moving to the area in higher numbers.</w:t>
      </w:r>
    </w:p>
    <w:p w14:paraId="66643334" w14:textId="77777777" w:rsidR="00FC665C" w:rsidRPr="000C0ABE" w:rsidRDefault="00FC665C" w:rsidP="007D0FBF">
      <w:pPr>
        <w:pStyle w:val="11Bodytext"/>
      </w:pPr>
      <w:r>
        <w:t xml:space="preserve">As at the 31 March 2016, there were 1,281 student bed-spaces in the planning pipeline according to the University’s research (we assume this figure includes the 325 </w:t>
      </w:r>
      <w:proofErr w:type="spellStart"/>
      <w:r>
        <w:t>en</w:t>
      </w:r>
      <w:proofErr w:type="spellEnd"/>
      <w:r>
        <w:t xml:space="preserve">-suite bedrooms provided in </w:t>
      </w:r>
      <w:proofErr w:type="spellStart"/>
      <w:r>
        <w:t>Swirles</w:t>
      </w:r>
      <w:proofErr w:type="spellEnd"/>
      <w:r>
        <w:t xml:space="preserve"> Court, Eddington phase 1) resulting in a net need for around 2,290 bed-spaces when calculated against the future need. </w:t>
      </w:r>
    </w:p>
    <w:p w14:paraId="2D0D3F5D" w14:textId="72CF6427" w:rsidR="00FC665C" w:rsidRPr="00A110D9" w:rsidRDefault="00FC665C" w:rsidP="007D0FBF">
      <w:pPr>
        <w:pStyle w:val="11Bodytext"/>
      </w:pPr>
      <w:r>
        <w:t>The Greater Cambridge authorities should plan to deliver a level of purpose built student accommodation which is at least in line with the net need based on the pipeline supply and anticipated growth of the University’s student body and their likely requirement, meaning 2,290 bedspaces.</w:t>
      </w:r>
      <w:r w:rsidR="00104B57">
        <w:t xml:space="preserve"> </w:t>
      </w:r>
      <w:r>
        <w:t xml:space="preserve">The Councils should also encourage further delivery up to 6,085 bed spaces to encourage the release of shared housing back into the wider housing stock. </w:t>
      </w:r>
    </w:p>
    <w:p w14:paraId="704494B8" w14:textId="77777777" w:rsidR="00FC665C" w:rsidRDefault="00FC665C" w:rsidP="00104B57">
      <w:pPr>
        <w:pStyle w:val="11Bodytext"/>
      </w:pPr>
      <w:r>
        <w:t>Any development being proposed which relates to purpose build student accommodation should be judged on its merits alongside an assessment of local demand. The developer should also demonstrate an agreement with a higher education provider.</w:t>
      </w:r>
    </w:p>
    <w:p w14:paraId="27EC37EB" w14:textId="30C97550" w:rsidR="00104B57" w:rsidRPr="00104B57" w:rsidRDefault="00FC665C" w:rsidP="00104B57">
      <w:pPr>
        <w:pStyle w:val="11Bodytext"/>
      </w:pPr>
      <w:r w:rsidRPr="00104B57">
        <w:t>As regards how student housing counts towards the fulfilment of the Council’s housing target, the formula is to divide the net increase in bedrooms in student communal accommodation by the average number of students in student only households in England (2.5)</w:t>
      </w:r>
      <w:r w:rsidRPr="00104B57">
        <w:rPr>
          <w:vertAlign w:val="superscript"/>
        </w:rPr>
        <w:footnoteReference w:id="50"/>
      </w:r>
      <w:r w:rsidRPr="00104B57">
        <w:t>. In the event 6,085 bedspaces were provided, this would equate to 2,434 dwellings</w:t>
      </w:r>
      <w:r w:rsidR="00104B57">
        <w:t>.</w:t>
      </w:r>
      <w:r w:rsidR="00263CDB" w:rsidRPr="00104B57">
        <w:t xml:space="preserve"> </w:t>
      </w:r>
    </w:p>
    <w:p w14:paraId="120A510E" w14:textId="37032DBB" w:rsidR="00FC665C" w:rsidRDefault="00FC665C" w:rsidP="00104B57">
      <w:pPr>
        <w:pStyle w:val="11Bodytext"/>
        <w:numPr>
          <w:ilvl w:val="0"/>
          <w:numId w:val="0"/>
        </w:numPr>
        <w:ind w:left="709" w:hanging="709"/>
      </w:pPr>
    </w:p>
    <w:p w14:paraId="670890EB" w14:textId="5310C194" w:rsidR="00A74897" w:rsidRDefault="00A74897" w:rsidP="007D0FBF">
      <w:pPr>
        <w:pStyle w:val="11Bodytext"/>
        <w:numPr>
          <w:ilvl w:val="0"/>
          <w:numId w:val="0"/>
        </w:numPr>
        <w:ind w:left="1277"/>
      </w:pPr>
    </w:p>
    <w:tbl>
      <w:tblPr>
        <w:tblStyle w:val="TableGrid"/>
        <w:tblW w:w="9639" w:type="dxa"/>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Pr>
      <w:tblGrid>
        <w:gridCol w:w="9639"/>
      </w:tblGrid>
      <w:tr w:rsidR="00B0644D" w:rsidRPr="00CA47B9" w14:paraId="05DBCE36" w14:textId="77777777" w:rsidTr="008B0419">
        <w:trPr>
          <w:cantSplit/>
          <w:trHeight w:val="2508"/>
        </w:trPr>
        <w:tc>
          <w:tcPr>
            <w:tcW w:w="8908" w:type="dxa"/>
          </w:tcPr>
          <w:p w14:paraId="5FC17859" w14:textId="77777777" w:rsidR="00B0644D" w:rsidRPr="00D129BB" w:rsidRDefault="00B0644D" w:rsidP="00B04596">
            <w:pPr>
              <w:rPr>
                <w:b/>
                <w:bCs/>
                <w:sz w:val="24"/>
                <w:szCs w:val="24"/>
              </w:rPr>
            </w:pPr>
            <w:r w:rsidRPr="00D129BB">
              <w:rPr>
                <w:b/>
                <w:bCs/>
                <w:sz w:val="24"/>
                <w:szCs w:val="24"/>
              </w:rPr>
              <w:lastRenderedPageBreak/>
              <w:t xml:space="preserve">Student Accommodation – Key </w:t>
            </w:r>
            <w:r w:rsidR="003477B6" w:rsidRPr="00D129BB">
              <w:rPr>
                <w:b/>
                <w:bCs/>
                <w:sz w:val="24"/>
                <w:szCs w:val="24"/>
              </w:rPr>
              <w:t>Messages and Recommendations</w:t>
            </w:r>
          </w:p>
          <w:p w14:paraId="1C32E6D2" w14:textId="77777777" w:rsidR="00B0644D" w:rsidRDefault="00B0644D" w:rsidP="00B04596"/>
          <w:p w14:paraId="648DF186" w14:textId="77777777" w:rsidR="00FC665C" w:rsidRDefault="00FC665C" w:rsidP="00097650">
            <w:pPr>
              <w:pStyle w:val="10BulletBodytext"/>
            </w:pPr>
            <w:r>
              <w:t>The University of Cambridge and the Cambridge Campus of the Anglia Ruskin University are located within the HMA. The University of Suffolk also has a small campus in Bury St Edmunds.</w:t>
            </w:r>
          </w:p>
          <w:p w14:paraId="347799A4" w14:textId="77777777" w:rsidR="00FC665C" w:rsidRDefault="00FC665C" w:rsidP="00097650">
            <w:pPr>
              <w:pStyle w:val="10BulletBodytext"/>
              <w:numPr>
                <w:ilvl w:val="0"/>
                <w:numId w:val="0"/>
              </w:numPr>
              <w:ind w:left="431"/>
            </w:pPr>
          </w:p>
          <w:p w14:paraId="6B4DFAFF" w14:textId="77777777" w:rsidR="00FC665C" w:rsidRPr="00EE1913" w:rsidRDefault="00FC665C" w:rsidP="00097650">
            <w:pPr>
              <w:pStyle w:val="10BulletBodytext"/>
            </w:pPr>
            <w:r>
              <w:t>We have analysed data from HESA and available online statistics from the Universities websites together with the 2017 Student Accommodation Study undertaken by the CCHPR covering the 2016-26 period.</w:t>
            </w:r>
          </w:p>
          <w:p w14:paraId="29A30159" w14:textId="77777777" w:rsidR="00FC665C" w:rsidRDefault="00FC665C" w:rsidP="00097650">
            <w:pPr>
              <w:pStyle w:val="10BulletBodytext"/>
              <w:numPr>
                <w:ilvl w:val="0"/>
                <w:numId w:val="0"/>
              </w:numPr>
              <w:ind w:left="431"/>
            </w:pPr>
          </w:p>
          <w:p w14:paraId="6D777EC8" w14:textId="77777777" w:rsidR="00FC665C" w:rsidRPr="00EE1913" w:rsidRDefault="00FC665C" w:rsidP="00097650">
            <w:pPr>
              <w:pStyle w:val="10BulletBodytext"/>
            </w:pPr>
            <w:r>
              <w:t xml:space="preserve">The research suggests that Anglia Ruskin University is planning to remain at the same student numbers in Cambridge over the next five to ten years. </w:t>
            </w:r>
          </w:p>
          <w:p w14:paraId="1C47BB7D" w14:textId="77777777" w:rsidR="00FC665C" w:rsidRDefault="00FC665C" w:rsidP="00097650">
            <w:pPr>
              <w:pStyle w:val="10BulletBodytext"/>
              <w:numPr>
                <w:ilvl w:val="0"/>
                <w:numId w:val="0"/>
              </w:numPr>
              <w:ind w:left="431"/>
            </w:pPr>
          </w:p>
          <w:p w14:paraId="06F07591" w14:textId="77777777" w:rsidR="00FC665C" w:rsidRDefault="00FC665C" w:rsidP="00097650">
            <w:pPr>
              <w:pStyle w:val="10BulletBodytext"/>
            </w:pPr>
            <w:r>
              <w:t>The University of Cambridge’s current planning framework envisages an expansion in undergraduate numbers of 0.5% per year for the next ten years and postgraduate numbers of 2% per year.</w:t>
            </w:r>
          </w:p>
          <w:p w14:paraId="51DAF645" w14:textId="77777777" w:rsidR="00FC665C" w:rsidRDefault="00FC665C" w:rsidP="00097650">
            <w:pPr>
              <w:pStyle w:val="10BulletBodytext"/>
              <w:numPr>
                <w:ilvl w:val="0"/>
                <w:numId w:val="0"/>
              </w:numPr>
              <w:ind w:left="431"/>
            </w:pPr>
          </w:p>
          <w:p w14:paraId="5826908D" w14:textId="77777777" w:rsidR="00FC665C" w:rsidRPr="00EE1913" w:rsidRDefault="00FC665C" w:rsidP="00097650">
            <w:pPr>
              <w:pStyle w:val="10BulletBodytext"/>
            </w:pPr>
            <w:r>
              <w:t xml:space="preserve">The research concludes that </w:t>
            </w:r>
            <w:r w:rsidRPr="00EE1913">
              <w:t xml:space="preserve">a total of 8,959 student </w:t>
            </w:r>
            <w:r>
              <w:t>bedspaces</w:t>
            </w:r>
            <w:r w:rsidRPr="00EE1913">
              <w:t xml:space="preserve"> would need to be built in purpose-built student accommodation by 2026 to meet the current</w:t>
            </w:r>
            <w:r>
              <w:t xml:space="preserve"> (6,085)</w:t>
            </w:r>
            <w:r w:rsidRPr="00EE1913">
              <w:t xml:space="preserve"> and future</w:t>
            </w:r>
            <w:r>
              <w:t xml:space="preserve"> (2,874)</w:t>
            </w:r>
            <w:r w:rsidRPr="00EE1913">
              <w:t xml:space="preserve"> demand. </w:t>
            </w:r>
          </w:p>
          <w:p w14:paraId="5A84691B" w14:textId="77777777" w:rsidR="00FC665C" w:rsidRDefault="00FC665C" w:rsidP="00097650">
            <w:pPr>
              <w:pStyle w:val="10BulletBodytext"/>
              <w:numPr>
                <w:ilvl w:val="0"/>
                <w:numId w:val="0"/>
              </w:numPr>
              <w:ind w:left="431"/>
            </w:pPr>
          </w:p>
          <w:p w14:paraId="24C122A0" w14:textId="77777777" w:rsidR="00FC665C" w:rsidRPr="00A041A7" w:rsidRDefault="00FC665C" w:rsidP="00097650">
            <w:pPr>
              <w:pStyle w:val="10BulletBodytext"/>
            </w:pPr>
            <w:r w:rsidRPr="00A041A7">
              <w:t xml:space="preserve">Assuming that the same annual growth rates and occupation patterns continue up to the 2040/41 academic year, 3,571 student rooms in purpose-built accommodation will be required if all the future student need is to be met. </w:t>
            </w:r>
          </w:p>
          <w:p w14:paraId="205A2A98" w14:textId="77777777" w:rsidR="00FC665C" w:rsidRPr="00A041A7" w:rsidRDefault="00FC665C" w:rsidP="00097650">
            <w:pPr>
              <w:pStyle w:val="10BulletBodytext"/>
              <w:numPr>
                <w:ilvl w:val="0"/>
                <w:numId w:val="0"/>
              </w:numPr>
              <w:ind w:left="431"/>
            </w:pPr>
          </w:p>
          <w:p w14:paraId="3E20D439" w14:textId="77777777" w:rsidR="00FC665C" w:rsidRDefault="00FC665C" w:rsidP="00097650">
            <w:pPr>
              <w:pStyle w:val="10BulletBodytext"/>
            </w:pPr>
            <w:r w:rsidRPr="00972A9E">
              <w:rPr>
                <w:b/>
                <w:bCs w:val="0"/>
              </w:rPr>
              <w:t>Recommendation: The Greater Cambridge authorities should plan to deliver a level of purpose built student accommodation which is at least in line with the growth of the Universities student body (3,571 bedspaces by 2040).  It should also encourage further delivery (up to 6,085 bed spaces) to encourage the release of shared housing back into the wider housing stock.</w:t>
            </w:r>
          </w:p>
          <w:p w14:paraId="0C7A61BB" w14:textId="77777777" w:rsidR="00FC665C" w:rsidRPr="005373AC" w:rsidRDefault="00FC665C" w:rsidP="00D129BB">
            <w:pPr>
              <w:pStyle w:val="ListParagraph"/>
              <w:numPr>
                <w:ilvl w:val="0"/>
                <w:numId w:val="0"/>
              </w:numPr>
              <w:ind w:left="426"/>
            </w:pPr>
          </w:p>
          <w:p w14:paraId="4E04004D" w14:textId="77777777" w:rsidR="00FC665C" w:rsidRPr="005373AC" w:rsidRDefault="00FC665C" w:rsidP="00097650">
            <w:pPr>
              <w:pStyle w:val="10BulletBodytext"/>
            </w:pPr>
            <w:r w:rsidRPr="005373AC">
              <w:t>Based on the adjustment set out in the Housing Delivery Test rule book</w:t>
            </w:r>
            <w:r>
              <w:rPr>
                <w:rStyle w:val="FootnoteReference"/>
              </w:rPr>
              <w:footnoteReference w:id="51"/>
            </w:r>
            <w:r w:rsidRPr="005373AC">
              <w:t xml:space="preserve"> the provision of 3,571 and 6,085 student bedspaces will contribute 1,428 and 2,434 dwellings respectively to the fulfillment of the Councils’ housing needs figure</w:t>
            </w:r>
            <w:r>
              <w:t>s</w:t>
            </w:r>
            <w:r w:rsidRPr="005373AC">
              <w:t xml:space="preserve">.  </w:t>
            </w:r>
          </w:p>
          <w:p w14:paraId="0A8C5AC0" w14:textId="77777777" w:rsidR="00FC665C" w:rsidRDefault="00FC665C" w:rsidP="00097650">
            <w:pPr>
              <w:pStyle w:val="10BulletBodytext"/>
              <w:numPr>
                <w:ilvl w:val="0"/>
                <w:numId w:val="0"/>
              </w:numPr>
              <w:ind w:left="431"/>
            </w:pPr>
          </w:p>
          <w:p w14:paraId="458223E2" w14:textId="77777777" w:rsidR="00FC665C" w:rsidRPr="008677E9" w:rsidRDefault="00FC665C" w:rsidP="00097650">
            <w:pPr>
              <w:pStyle w:val="10BulletBodytext"/>
            </w:pPr>
            <w:r w:rsidRPr="008677E9">
              <w:t>Any development being proposed which relates to purpose build student accommodation should be judged on its merits alongside an assessment of local demand.</w:t>
            </w:r>
            <w:r>
              <w:t xml:space="preserve"> </w:t>
            </w:r>
            <w:r w:rsidRPr="008677E9">
              <w:t>The developer should also demonstrate an agreement with a higher education provider.</w:t>
            </w:r>
          </w:p>
          <w:p w14:paraId="11E7D4CF" w14:textId="77777777" w:rsidR="00B0644D" w:rsidRPr="00CA47B9" w:rsidRDefault="00B0644D" w:rsidP="00097650">
            <w:pPr>
              <w:pStyle w:val="10BulletBodytext"/>
              <w:numPr>
                <w:ilvl w:val="0"/>
                <w:numId w:val="0"/>
              </w:numPr>
              <w:ind w:left="431"/>
            </w:pPr>
          </w:p>
        </w:tc>
      </w:tr>
    </w:tbl>
    <w:p w14:paraId="7A34D149" w14:textId="77777777" w:rsidR="4198454A" w:rsidRDefault="4198454A"/>
    <w:p w14:paraId="5C82AC41" w14:textId="77777777" w:rsidR="00D25092" w:rsidRPr="00DB4597" w:rsidRDefault="00D25092" w:rsidP="007D0FBF">
      <w:pPr>
        <w:pStyle w:val="11Bodytext"/>
      </w:pPr>
      <w:r w:rsidRPr="00DB4597">
        <w:br w:type="page"/>
      </w:r>
    </w:p>
    <w:p w14:paraId="1C173420" w14:textId="554EA239" w:rsidR="00AF0DA2" w:rsidRPr="00303311" w:rsidRDefault="00AF0DA2" w:rsidP="007D0FBF">
      <w:pPr>
        <w:pStyle w:val="Heading1"/>
      </w:pPr>
      <w:bookmarkStart w:id="36" w:name="_Toc31807828"/>
      <w:bookmarkStart w:id="37" w:name="_Toc32787944"/>
      <w:bookmarkStart w:id="38" w:name="_Toc79590827"/>
      <w:bookmarkStart w:id="39" w:name="_Hlk37089657"/>
      <w:r w:rsidRPr="00303311">
        <w:lastRenderedPageBreak/>
        <w:t xml:space="preserve">Housing Needs of </w:t>
      </w:r>
      <w:r w:rsidR="00E653D9">
        <w:t xml:space="preserve">Other </w:t>
      </w:r>
      <w:r w:rsidRPr="00303311">
        <w:t>Groups</w:t>
      </w:r>
      <w:bookmarkEnd w:id="36"/>
      <w:bookmarkEnd w:id="37"/>
      <w:bookmarkEnd w:id="38"/>
    </w:p>
    <w:bookmarkEnd w:id="39"/>
    <w:p w14:paraId="384AD191" w14:textId="20DC2641" w:rsidR="005D1E23" w:rsidRDefault="005D1E23" w:rsidP="007D0FBF">
      <w:pPr>
        <w:pStyle w:val="11Bodytext"/>
      </w:pPr>
      <w:r>
        <w:t xml:space="preserve">In this chapter, we present the housing need of other groups including people who rent their homes, people who want to build their own homes and service families. </w:t>
      </w:r>
    </w:p>
    <w:p w14:paraId="29566F02" w14:textId="77777777" w:rsidR="005D1E23" w:rsidRDefault="005D1E23" w:rsidP="007D0FBF">
      <w:pPr>
        <w:pStyle w:val="Heading2"/>
      </w:pPr>
      <w:r>
        <w:t>People who rent their homes</w:t>
      </w:r>
    </w:p>
    <w:p w14:paraId="73ED7691" w14:textId="77777777" w:rsidR="005D1E23" w:rsidRDefault="005D1E23" w:rsidP="007D0FBF">
      <w:pPr>
        <w:pStyle w:val="11Bodytext"/>
      </w:pPr>
      <w:r>
        <w:t>This section of the report responds to Paragraph 2 of the PPG (Reference ID: 67-002-20190722) concerning the PRS   needs which states:</w:t>
      </w:r>
    </w:p>
    <w:p w14:paraId="77EA8685" w14:textId="77777777" w:rsidR="005D1E23" w:rsidRDefault="005D1E23" w:rsidP="00B126BB">
      <w:pPr>
        <w:pStyle w:val="Quotetext"/>
      </w:pPr>
      <w:r>
        <w:rPr>
          <w:shd w:val="clear" w:color="auto" w:fill="FFFFFF"/>
        </w:rPr>
        <w:t xml:space="preserve">“Tenure data from the Office for National Statistics can be used to understand the future need for PRS   housing. However, this will be based on past trends. The level of changes in rents, (known as “market signals”), may reflect the demand in the area for PRS   housing. Evidence can also be sourced from the English Housing Survey, Office for National Statistics Private Rental Index, the Valuation Office Agency, </w:t>
      </w:r>
      <w:proofErr w:type="spellStart"/>
      <w:r>
        <w:rPr>
          <w:shd w:val="clear" w:color="auto" w:fill="FFFFFF"/>
        </w:rPr>
        <w:t>HomeLet</w:t>
      </w:r>
      <w:proofErr w:type="spellEnd"/>
      <w:r>
        <w:rPr>
          <w:shd w:val="clear" w:color="auto" w:fill="FFFFFF"/>
        </w:rPr>
        <w:t xml:space="preserve"> Rental Index and other commercial sources.”</w:t>
      </w:r>
    </w:p>
    <w:p w14:paraId="7B37813E" w14:textId="77777777" w:rsidR="005D1E23" w:rsidRDefault="005D1E23" w:rsidP="007D0FBF">
      <w:pPr>
        <w:pStyle w:val="11Bodytext"/>
      </w:pPr>
      <w:r>
        <w:t>The private rental sector (PRS) has grown significantly between the 2001 and 2011 censuses with Cambridgeshire and West Suffolk seeing a growth of 101%, slightly below those of England (107%) and East of England region (111%).</w:t>
      </w:r>
    </w:p>
    <w:p w14:paraId="1B661B24" w14:textId="77777777" w:rsidR="005D1E23" w:rsidRDefault="005D1E23" w:rsidP="003D5E23">
      <w:pPr>
        <w:pStyle w:val="Tableheading"/>
        <w:numPr>
          <w:ilvl w:val="0"/>
          <w:numId w:val="54"/>
        </w:numPr>
      </w:pPr>
      <w:r>
        <w:t>Change in Privately Renting</w:t>
      </w:r>
    </w:p>
    <w:tbl>
      <w:tblPr>
        <w:tblStyle w:val="TableGridLight1"/>
        <w:tblW w:w="0" w:type="auto"/>
        <w:tblInd w:w="794" w:type="dxa"/>
        <w:tblLayout w:type="fixed"/>
        <w:tblLook w:val="04A0" w:firstRow="1" w:lastRow="0" w:firstColumn="1" w:lastColumn="0" w:noHBand="0" w:noVBand="1"/>
      </w:tblPr>
      <w:tblGrid>
        <w:gridCol w:w="1671"/>
        <w:gridCol w:w="1124"/>
        <w:gridCol w:w="1124"/>
        <w:gridCol w:w="1124"/>
        <w:gridCol w:w="1124"/>
        <w:gridCol w:w="1124"/>
        <w:gridCol w:w="1124"/>
      </w:tblGrid>
      <w:tr w:rsidR="005D1E23" w14:paraId="601CFD66" w14:textId="77777777" w:rsidTr="004F4BA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372BF20B" w14:textId="77777777" w:rsidR="005D1E23" w:rsidRPr="004F4BA7" w:rsidRDefault="005D1E23" w:rsidP="005D1E23">
            <w:pPr>
              <w:rPr>
                <w:color w:val="auto"/>
                <w:lang w:val="en-US"/>
              </w:rPr>
            </w:pPr>
            <w:r w:rsidRPr="004F4BA7">
              <w:rPr>
                <w:color w:val="auto"/>
                <w:lang w:val="en-US"/>
              </w:rPr>
              <w:t>Area</w:t>
            </w:r>
          </w:p>
        </w:tc>
        <w:tc>
          <w:tcPr>
            <w:tcW w:w="1124" w:type="dxa"/>
            <w:noWrap/>
            <w:hideMark/>
          </w:tcPr>
          <w:p w14:paraId="2BF17227"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2001</w:t>
            </w:r>
          </w:p>
          <w:p w14:paraId="68B51A0F"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No.</w:t>
            </w:r>
          </w:p>
        </w:tc>
        <w:tc>
          <w:tcPr>
            <w:tcW w:w="1124" w:type="dxa"/>
            <w:noWrap/>
            <w:hideMark/>
          </w:tcPr>
          <w:p w14:paraId="06B58DC4"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2001</w:t>
            </w:r>
          </w:p>
          <w:p w14:paraId="7E0C4349"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w:t>
            </w:r>
          </w:p>
        </w:tc>
        <w:tc>
          <w:tcPr>
            <w:tcW w:w="1124" w:type="dxa"/>
            <w:noWrap/>
            <w:hideMark/>
          </w:tcPr>
          <w:p w14:paraId="377E325E"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 xml:space="preserve">2011 </w:t>
            </w:r>
          </w:p>
          <w:p w14:paraId="7F5F1AE2"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No.</w:t>
            </w:r>
          </w:p>
        </w:tc>
        <w:tc>
          <w:tcPr>
            <w:tcW w:w="1124" w:type="dxa"/>
            <w:noWrap/>
            <w:hideMark/>
          </w:tcPr>
          <w:p w14:paraId="7E974F07" w14:textId="1A589ED2"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20</w:t>
            </w:r>
            <w:r w:rsidR="00553663" w:rsidRPr="004F4BA7">
              <w:rPr>
                <w:color w:val="auto"/>
                <w:lang w:val="en-US"/>
              </w:rPr>
              <w:t>1</w:t>
            </w:r>
            <w:r w:rsidRPr="004F4BA7">
              <w:rPr>
                <w:color w:val="auto"/>
                <w:lang w:val="en-US"/>
              </w:rPr>
              <w:t xml:space="preserve">1 </w:t>
            </w:r>
          </w:p>
          <w:p w14:paraId="0DBFB45C"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w:t>
            </w:r>
          </w:p>
        </w:tc>
        <w:tc>
          <w:tcPr>
            <w:tcW w:w="1124" w:type="dxa"/>
            <w:noWrap/>
            <w:hideMark/>
          </w:tcPr>
          <w:p w14:paraId="0E76E7CB"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Change</w:t>
            </w:r>
          </w:p>
        </w:tc>
        <w:tc>
          <w:tcPr>
            <w:tcW w:w="1124" w:type="dxa"/>
            <w:noWrap/>
            <w:hideMark/>
          </w:tcPr>
          <w:p w14:paraId="02A71D55" w14:textId="77777777" w:rsidR="005D1E23" w:rsidRPr="004F4BA7" w:rsidRDefault="005D1E23" w:rsidP="005D1E23">
            <w:pPr>
              <w:cnfStyle w:val="100000000000" w:firstRow="1" w:lastRow="0" w:firstColumn="0" w:lastColumn="0" w:oddVBand="0" w:evenVBand="0" w:oddHBand="0" w:evenHBand="0" w:firstRowFirstColumn="0" w:firstRowLastColumn="0" w:lastRowFirstColumn="0" w:lastRowLastColumn="0"/>
              <w:rPr>
                <w:color w:val="auto"/>
                <w:lang w:val="en-US"/>
              </w:rPr>
            </w:pPr>
            <w:r w:rsidRPr="004F4BA7">
              <w:rPr>
                <w:color w:val="auto"/>
                <w:lang w:val="en-US"/>
              </w:rPr>
              <w:t>% Change</w:t>
            </w:r>
          </w:p>
        </w:tc>
      </w:tr>
      <w:tr w:rsidR="005D1E23" w14:paraId="45CC06E6"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533222C0" w14:textId="77777777" w:rsidR="005D1E23" w:rsidRDefault="005D1E23" w:rsidP="005D1E23">
            <w:pPr>
              <w:rPr>
                <w:color w:val="000000"/>
                <w:lang w:val="en-US"/>
              </w:rPr>
            </w:pPr>
            <w:r>
              <w:rPr>
                <w:color w:val="000000"/>
                <w:lang w:val="en-US"/>
              </w:rPr>
              <w:t>Cambridge</w:t>
            </w:r>
          </w:p>
        </w:tc>
        <w:tc>
          <w:tcPr>
            <w:tcW w:w="1124" w:type="dxa"/>
            <w:noWrap/>
            <w:hideMark/>
          </w:tcPr>
          <w:p w14:paraId="456BF16C"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7,295</w:t>
            </w:r>
          </w:p>
        </w:tc>
        <w:tc>
          <w:tcPr>
            <w:tcW w:w="1124" w:type="dxa"/>
            <w:noWrap/>
            <w:hideMark/>
          </w:tcPr>
          <w:p w14:paraId="5919959F"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17.1%</w:t>
            </w:r>
          </w:p>
        </w:tc>
        <w:tc>
          <w:tcPr>
            <w:tcW w:w="1124" w:type="dxa"/>
            <w:noWrap/>
            <w:hideMark/>
          </w:tcPr>
          <w:p w14:paraId="458DE95A"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12,258</w:t>
            </w:r>
          </w:p>
        </w:tc>
        <w:tc>
          <w:tcPr>
            <w:tcW w:w="1124" w:type="dxa"/>
            <w:noWrap/>
            <w:hideMark/>
          </w:tcPr>
          <w:p w14:paraId="703DED72"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26.2%</w:t>
            </w:r>
          </w:p>
        </w:tc>
        <w:tc>
          <w:tcPr>
            <w:tcW w:w="1124" w:type="dxa"/>
            <w:noWrap/>
            <w:hideMark/>
          </w:tcPr>
          <w:p w14:paraId="12CB20C2"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4,963</w:t>
            </w:r>
          </w:p>
        </w:tc>
        <w:tc>
          <w:tcPr>
            <w:tcW w:w="1124" w:type="dxa"/>
            <w:noWrap/>
            <w:hideMark/>
          </w:tcPr>
          <w:p w14:paraId="15B46D26"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68%</w:t>
            </w:r>
          </w:p>
        </w:tc>
      </w:tr>
      <w:tr w:rsidR="005D1E23" w14:paraId="411986C3"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3F3172F5" w14:textId="77777777" w:rsidR="005D1E23" w:rsidRDefault="005D1E23" w:rsidP="005D1E23">
            <w:pPr>
              <w:rPr>
                <w:color w:val="000000"/>
                <w:lang w:val="en-US"/>
              </w:rPr>
            </w:pPr>
            <w:r>
              <w:rPr>
                <w:bCs/>
                <w:color w:val="auto"/>
                <w:lang w:val="en-US" w:eastAsia="en-GB"/>
              </w:rPr>
              <w:t>East Cambs</w:t>
            </w:r>
          </w:p>
        </w:tc>
        <w:tc>
          <w:tcPr>
            <w:tcW w:w="1124" w:type="dxa"/>
            <w:noWrap/>
            <w:hideMark/>
          </w:tcPr>
          <w:p w14:paraId="6713ECD4"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2,364</w:t>
            </w:r>
          </w:p>
        </w:tc>
        <w:tc>
          <w:tcPr>
            <w:tcW w:w="1124" w:type="dxa"/>
            <w:noWrap/>
            <w:hideMark/>
          </w:tcPr>
          <w:p w14:paraId="02717A54"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7.9%</w:t>
            </w:r>
          </w:p>
        </w:tc>
        <w:tc>
          <w:tcPr>
            <w:tcW w:w="1124" w:type="dxa"/>
            <w:noWrap/>
            <w:hideMark/>
          </w:tcPr>
          <w:p w14:paraId="566E9EEA"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4,576</w:t>
            </w:r>
          </w:p>
        </w:tc>
        <w:tc>
          <w:tcPr>
            <w:tcW w:w="1124" w:type="dxa"/>
            <w:noWrap/>
            <w:hideMark/>
          </w:tcPr>
          <w:p w14:paraId="6CD34BE7"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13.2%</w:t>
            </w:r>
          </w:p>
        </w:tc>
        <w:tc>
          <w:tcPr>
            <w:tcW w:w="1124" w:type="dxa"/>
            <w:noWrap/>
            <w:hideMark/>
          </w:tcPr>
          <w:p w14:paraId="0113C60C"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2,212</w:t>
            </w:r>
          </w:p>
        </w:tc>
        <w:tc>
          <w:tcPr>
            <w:tcW w:w="1124" w:type="dxa"/>
            <w:noWrap/>
            <w:hideMark/>
          </w:tcPr>
          <w:p w14:paraId="6EA167D7"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94%</w:t>
            </w:r>
          </w:p>
        </w:tc>
      </w:tr>
      <w:tr w:rsidR="005D1E23" w14:paraId="3D98264B"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0B53BC30" w14:textId="77777777" w:rsidR="005D1E23" w:rsidRDefault="005D1E23" w:rsidP="005D1E23">
            <w:pPr>
              <w:rPr>
                <w:color w:val="000000"/>
                <w:lang w:val="en-US"/>
              </w:rPr>
            </w:pPr>
            <w:r>
              <w:rPr>
                <w:color w:val="000000"/>
                <w:lang w:val="en-US"/>
              </w:rPr>
              <w:t>Fenland</w:t>
            </w:r>
          </w:p>
        </w:tc>
        <w:tc>
          <w:tcPr>
            <w:tcW w:w="1124" w:type="dxa"/>
            <w:noWrap/>
            <w:hideMark/>
          </w:tcPr>
          <w:p w14:paraId="26672CA5"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2,647</w:t>
            </w:r>
          </w:p>
        </w:tc>
        <w:tc>
          <w:tcPr>
            <w:tcW w:w="1124" w:type="dxa"/>
            <w:noWrap/>
            <w:hideMark/>
          </w:tcPr>
          <w:p w14:paraId="5F287A0D"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7.5%</w:t>
            </w:r>
          </w:p>
        </w:tc>
        <w:tc>
          <w:tcPr>
            <w:tcW w:w="1124" w:type="dxa"/>
            <w:noWrap/>
            <w:hideMark/>
          </w:tcPr>
          <w:p w14:paraId="2EDF22D5"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6,341</w:t>
            </w:r>
          </w:p>
        </w:tc>
        <w:tc>
          <w:tcPr>
            <w:tcW w:w="1124" w:type="dxa"/>
            <w:noWrap/>
            <w:hideMark/>
          </w:tcPr>
          <w:p w14:paraId="4148249D"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15.6%</w:t>
            </w:r>
          </w:p>
        </w:tc>
        <w:tc>
          <w:tcPr>
            <w:tcW w:w="1124" w:type="dxa"/>
            <w:noWrap/>
            <w:hideMark/>
          </w:tcPr>
          <w:p w14:paraId="07B16FB5"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3,694</w:t>
            </w:r>
          </w:p>
        </w:tc>
        <w:tc>
          <w:tcPr>
            <w:tcW w:w="1124" w:type="dxa"/>
            <w:noWrap/>
            <w:hideMark/>
          </w:tcPr>
          <w:p w14:paraId="3D172FF9"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140%</w:t>
            </w:r>
          </w:p>
        </w:tc>
      </w:tr>
      <w:tr w:rsidR="005D1E23" w14:paraId="6A85DD49" w14:textId="77777777" w:rsidTr="004F4BA7">
        <w:trPr>
          <w:trHeight w:val="17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1101E5FD" w14:textId="77777777" w:rsidR="005D1E23" w:rsidRDefault="005D1E23" w:rsidP="005D1E23">
            <w:pPr>
              <w:rPr>
                <w:color w:val="000000"/>
                <w:lang w:val="en-US"/>
              </w:rPr>
            </w:pPr>
            <w:r>
              <w:rPr>
                <w:color w:val="000000"/>
                <w:lang w:val="en-US"/>
              </w:rPr>
              <w:t>Huntingdonshire</w:t>
            </w:r>
          </w:p>
        </w:tc>
        <w:tc>
          <w:tcPr>
            <w:tcW w:w="1124" w:type="dxa"/>
            <w:noWrap/>
            <w:hideMark/>
          </w:tcPr>
          <w:p w14:paraId="10E0CD1E"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4,739</w:t>
            </w:r>
          </w:p>
        </w:tc>
        <w:tc>
          <w:tcPr>
            <w:tcW w:w="1124" w:type="dxa"/>
            <w:noWrap/>
            <w:hideMark/>
          </w:tcPr>
          <w:p w14:paraId="1B299FD6"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7.5%</w:t>
            </w:r>
          </w:p>
        </w:tc>
        <w:tc>
          <w:tcPr>
            <w:tcW w:w="1124" w:type="dxa"/>
            <w:noWrap/>
            <w:hideMark/>
          </w:tcPr>
          <w:p w14:paraId="26E5A777"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9,770</w:t>
            </w:r>
          </w:p>
        </w:tc>
        <w:tc>
          <w:tcPr>
            <w:tcW w:w="1124" w:type="dxa"/>
            <w:noWrap/>
            <w:hideMark/>
          </w:tcPr>
          <w:p w14:paraId="53564816"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14.1%</w:t>
            </w:r>
          </w:p>
        </w:tc>
        <w:tc>
          <w:tcPr>
            <w:tcW w:w="1124" w:type="dxa"/>
            <w:noWrap/>
            <w:hideMark/>
          </w:tcPr>
          <w:p w14:paraId="30185540"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5,031</w:t>
            </w:r>
          </w:p>
        </w:tc>
        <w:tc>
          <w:tcPr>
            <w:tcW w:w="1124" w:type="dxa"/>
            <w:noWrap/>
            <w:hideMark/>
          </w:tcPr>
          <w:p w14:paraId="308B4940"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106%</w:t>
            </w:r>
          </w:p>
        </w:tc>
      </w:tr>
      <w:tr w:rsidR="005D1E23" w14:paraId="4ACFD1E2"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2C872CD6" w14:textId="77777777" w:rsidR="005D1E23" w:rsidRDefault="005D1E23" w:rsidP="005D1E23">
            <w:pPr>
              <w:rPr>
                <w:color w:val="000000"/>
                <w:lang w:val="en-US"/>
              </w:rPr>
            </w:pPr>
            <w:r>
              <w:rPr>
                <w:bCs/>
                <w:lang w:val="en-US"/>
              </w:rPr>
              <w:t>South Cambs</w:t>
            </w:r>
          </w:p>
        </w:tc>
        <w:tc>
          <w:tcPr>
            <w:tcW w:w="1124" w:type="dxa"/>
            <w:noWrap/>
            <w:hideMark/>
          </w:tcPr>
          <w:p w14:paraId="58CFD61F"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3,369</w:t>
            </w:r>
          </w:p>
        </w:tc>
        <w:tc>
          <w:tcPr>
            <w:tcW w:w="1124" w:type="dxa"/>
            <w:noWrap/>
            <w:hideMark/>
          </w:tcPr>
          <w:p w14:paraId="38564EEF"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6.5%</w:t>
            </w:r>
          </w:p>
        </w:tc>
        <w:tc>
          <w:tcPr>
            <w:tcW w:w="1124" w:type="dxa"/>
            <w:noWrap/>
            <w:hideMark/>
          </w:tcPr>
          <w:p w14:paraId="621F0156"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auto"/>
                <w:lang w:val="en-US"/>
              </w:rPr>
            </w:pPr>
            <w:r>
              <w:rPr>
                <w:lang w:val="en-US"/>
              </w:rPr>
              <w:t>7,174</w:t>
            </w:r>
          </w:p>
        </w:tc>
        <w:tc>
          <w:tcPr>
            <w:tcW w:w="1124" w:type="dxa"/>
            <w:noWrap/>
            <w:hideMark/>
          </w:tcPr>
          <w:p w14:paraId="5A832A44"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12.0%</w:t>
            </w:r>
          </w:p>
        </w:tc>
        <w:tc>
          <w:tcPr>
            <w:tcW w:w="1124" w:type="dxa"/>
            <w:noWrap/>
            <w:hideMark/>
          </w:tcPr>
          <w:p w14:paraId="74F94D5D"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3,805</w:t>
            </w:r>
          </w:p>
        </w:tc>
        <w:tc>
          <w:tcPr>
            <w:tcW w:w="1124" w:type="dxa"/>
            <w:noWrap/>
            <w:hideMark/>
          </w:tcPr>
          <w:p w14:paraId="1B19E0BF"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113%</w:t>
            </w:r>
          </w:p>
        </w:tc>
      </w:tr>
      <w:tr w:rsidR="005D1E23" w14:paraId="11A83996"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21B3A46B" w14:textId="77777777" w:rsidR="005D1E23" w:rsidRPr="004F4BA7" w:rsidRDefault="005D1E23" w:rsidP="005D1E23">
            <w:pPr>
              <w:rPr>
                <w:i/>
                <w:iCs/>
                <w:color w:val="auto"/>
                <w:lang w:val="en-US"/>
              </w:rPr>
            </w:pPr>
            <w:r w:rsidRPr="004F4BA7">
              <w:rPr>
                <w:i/>
                <w:iCs/>
                <w:color w:val="auto"/>
                <w:lang w:val="en-US"/>
              </w:rPr>
              <w:t>Forest Heath</w:t>
            </w:r>
          </w:p>
        </w:tc>
        <w:tc>
          <w:tcPr>
            <w:tcW w:w="1124" w:type="dxa"/>
            <w:noWrap/>
            <w:hideMark/>
          </w:tcPr>
          <w:p w14:paraId="03B76422"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3,016</w:t>
            </w:r>
          </w:p>
        </w:tc>
        <w:tc>
          <w:tcPr>
            <w:tcW w:w="1124" w:type="dxa"/>
            <w:noWrap/>
            <w:hideMark/>
          </w:tcPr>
          <w:p w14:paraId="2D8915DD"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13.1%</w:t>
            </w:r>
          </w:p>
        </w:tc>
        <w:tc>
          <w:tcPr>
            <w:tcW w:w="1124" w:type="dxa"/>
            <w:noWrap/>
            <w:hideMark/>
          </w:tcPr>
          <w:p w14:paraId="7F188AE2"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6,195</w:t>
            </w:r>
          </w:p>
        </w:tc>
        <w:tc>
          <w:tcPr>
            <w:tcW w:w="1124" w:type="dxa"/>
            <w:noWrap/>
            <w:hideMark/>
          </w:tcPr>
          <w:p w14:paraId="6B950ADE"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24.4%</w:t>
            </w:r>
          </w:p>
        </w:tc>
        <w:tc>
          <w:tcPr>
            <w:tcW w:w="1124" w:type="dxa"/>
            <w:noWrap/>
            <w:hideMark/>
          </w:tcPr>
          <w:p w14:paraId="4FCECFC6"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3,179</w:t>
            </w:r>
          </w:p>
        </w:tc>
        <w:tc>
          <w:tcPr>
            <w:tcW w:w="1124" w:type="dxa"/>
            <w:noWrap/>
            <w:hideMark/>
          </w:tcPr>
          <w:p w14:paraId="4C05B2C6"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105%</w:t>
            </w:r>
          </w:p>
        </w:tc>
      </w:tr>
      <w:tr w:rsidR="005D1E23" w14:paraId="4D6C08B9"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7DB5F94B" w14:textId="77777777" w:rsidR="005D1E23" w:rsidRPr="004F4BA7" w:rsidRDefault="005D1E23" w:rsidP="005D1E23">
            <w:pPr>
              <w:rPr>
                <w:i/>
                <w:iCs/>
                <w:color w:val="auto"/>
                <w:lang w:val="en-US"/>
              </w:rPr>
            </w:pPr>
            <w:r w:rsidRPr="004F4BA7">
              <w:rPr>
                <w:i/>
                <w:iCs/>
                <w:color w:val="auto"/>
                <w:lang w:val="en-US"/>
              </w:rPr>
              <w:t>St Edmundsbury</w:t>
            </w:r>
          </w:p>
        </w:tc>
        <w:tc>
          <w:tcPr>
            <w:tcW w:w="1124" w:type="dxa"/>
            <w:noWrap/>
            <w:hideMark/>
          </w:tcPr>
          <w:p w14:paraId="4929AF3A"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3,036</w:t>
            </w:r>
          </w:p>
        </w:tc>
        <w:tc>
          <w:tcPr>
            <w:tcW w:w="1124" w:type="dxa"/>
            <w:noWrap/>
            <w:hideMark/>
          </w:tcPr>
          <w:p w14:paraId="5F341D02"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7.5%</w:t>
            </w:r>
          </w:p>
        </w:tc>
        <w:tc>
          <w:tcPr>
            <w:tcW w:w="1124" w:type="dxa"/>
            <w:noWrap/>
            <w:hideMark/>
          </w:tcPr>
          <w:p w14:paraId="6D49C6DE"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6,798</w:t>
            </w:r>
          </w:p>
        </w:tc>
        <w:tc>
          <w:tcPr>
            <w:tcW w:w="1124" w:type="dxa"/>
            <w:noWrap/>
            <w:hideMark/>
          </w:tcPr>
          <w:p w14:paraId="425F1721"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14.8%</w:t>
            </w:r>
          </w:p>
        </w:tc>
        <w:tc>
          <w:tcPr>
            <w:tcW w:w="1124" w:type="dxa"/>
            <w:noWrap/>
            <w:hideMark/>
          </w:tcPr>
          <w:p w14:paraId="550716CB"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3,762</w:t>
            </w:r>
          </w:p>
        </w:tc>
        <w:tc>
          <w:tcPr>
            <w:tcW w:w="1124" w:type="dxa"/>
            <w:noWrap/>
            <w:hideMark/>
          </w:tcPr>
          <w:p w14:paraId="0C02405E" w14:textId="77777777" w:rsidR="005D1E23" w:rsidRPr="004F4BA7" w:rsidRDefault="005D1E23" w:rsidP="005D1E23">
            <w:pPr>
              <w:cnfStyle w:val="000000000000" w:firstRow="0" w:lastRow="0" w:firstColumn="0" w:lastColumn="0" w:oddVBand="0" w:evenVBand="0" w:oddHBand="0" w:evenHBand="0" w:firstRowFirstColumn="0" w:firstRowLastColumn="0" w:lastRowFirstColumn="0" w:lastRowLastColumn="0"/>
              <w:rPr>
                <w:i/>
                <w:iCs/>
                <w:color w:val="auto"/>
                <w:lang w:val="en-US"/>
              </w:rPr>
            </w:pPr>
            <w:r w:rsidRPr="004F4BA7">
              <w:rPr>
                <w:i/>
                <w:iCs/>
                <w:color w:val="auto"/>
                <w:lang w:val="en-US"/>
              </w:rPr>
              <w:t>124%</w:t>
            </w:r>
          </w:p>
        </w:tc>
      </w:tr>
      <w:tr w:rsidR="005D1E23" w14:paraId="5ED384C5"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44979259" w14:textId="77777777" w:rsidR="005D1E23" w:rsidRDefault="005D1E23" w:rsidP="005D1E23">
            <w:pPr>
              <w:rPr>
                <w:color w:val="000000"/>
                <w:lang w:val="en-US"/>
              </w:rPr>
            </w:pPr>
            <w:r>
              <w:rPr>
                <w:color w:val="000000"/>
                <w:lang w:val="en-US"/>
              </w:rPr>
              <w:t>West Suffolk</w:t>
            </w:r>
          </w:p>
        </w:tc>
        <w:tc>
          <w:tcPr>
            <w:tcW w:w="1124" w:type="dxa"/>
            <w:noWrap/>
            <w:hideMark/>
          </w:tcPr>
          <w:p w14:paraId="05D644D1"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6,052</w:t>
            </w:r>
          </w:p>
        </w:tc>
        <w:tc>
          <w:tcPr>
            <w:tcW w:w="1124" w:type="dxa"/>
            <w:noWrap/>
            <w:hideMark/>
          </w:tcPr>
          <w:p w14:paraId="081AA94C"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9.5%</w:t>
            </w:r>
          </w:p>
        </w:tc>
        <w:tc>
          <w:tcPr>
            <w:tcW w:w="1124" w:type="dxa"/>
            <w:noWrap/>
            <w:hideMark/>
          </w:tcPr>
          <w:p w14:paraId="01DD71E6"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12,993</w:t>
            </w:r>
          </w:p>
        </w:tc>
        <w:tc>
          <w:tcPr>
            <w:tcW w:w="1124" w:type="dxa"/>
            <w:noWrap/>
            <w:hideMark/>
          </w:tcPr>
          <w:p w14:paraId="27673B41"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18.3%</w:t>
            </w:r>
          </w:p>
        </w:tc>
        <w:tc>
          <w:tcPr>
            <w:tcW w:w="1124" w:type="dxa"/>
            <w:noWrap/>
            <w:hideMark/>
          </w:tcPr>
          <w:p w14:paraId="3E58F705"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6,941</w:t>
            </w:r>
          </w:p>
        </w:tc>
        <w:tc>
          <w:tcPr>
            <w:tcW w:w="1124" w:type="dxa"/>
            <w:noWrap/>
            <w:hideMark/>
          </w:tcPr>
          <w:p w14:paraId="76095374"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115%</w:t>
            </w:r>
          </w:p>
        </w:tc>
      </w:tr>
      <w:tr w:rsidR="005D1E23" w14:paraId="4D5782C2"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73996EAD" w14:textId="77777777" w:rsidR="005D1E23" w:rsidRDefault="005D1E23" w:rsidP="005D1E23">
            <w:pPr>
              <w:rPr>
                <w:b/>
                <w:bCs/>
                <w:color w:val="000000"/>
                <w:lang w:val="en-US"/>
              </w:rPr>
            </w:pPr>
            <w:r>
              <w:rPr>
                <w:b/>
                <w:bCs/>
                <w:color w:val="000000"/>
                <w:lang w:val="en-US"/>
              </w:rPr>
              <w:t>HMA</w:t>
            </w:r>
          </w:p>
        </w:tc>
        <w:tc>
          <w:tcPr>
            <w:tcW w:w="1124" w:type="dxa"/>
            <w:noWrap/>
            <w:hideMark/>
          </w:tcPr>
          <w:p w14:paraId="6037DF60"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b/>
                <w:bCs/>
                <w:color w:val="000000"/>
                <w:lang w:val="en-US"/>
              </w:rPr>
            </w:pPr>
            <w:r>
              <w:rPr>
                <w:b/>
                <w:bCs/>
                <w:color w:val="000000"/>
                <w:lang w:val="en-US"/>
              </w:rPr>
              <w:t>26,466</w:t>
            </w:r>
          </w:p>
        </w:tc>
        <w:tc>
          <w:tcPr>
            <w:tcW w:w="1124" w:type="dxa"/>
            <w:noWrap/>
            <w:hideMark/>
          </w:tcPr>
          <w:p w14:paraId="5A8161E1"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b/>
                <w:bCs/>
                <w:color w:val="000000"/>
                <w:lang w:val="en-US"/>
              </w:rPr>
            </w:pPr>
            <w:r>
              <w:rPr>
                <w:b/>
                <w:bCs/>
                <w:color w:val="000000"/>
                <w:lang w:val="en-US"/>
              </w:rPr>
              <w:t>9.2%</w:t>
            </w:r>
          </w:p>
        </w:tc>
        <w:tc>
          <w:tcPr>
            <w:tcW w:w="1124" w:type="dxa"/>
            <w:noWrap/>
            <w:hideMark/>
          </w:tcPr>
          <w:p w14:paraId="3094E62E"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b/>
                <w:bCs/>
                <w:color w:val="000000"/>
                <w:lang w:val="en-US"/>
              </w:rPr>
            </w:pPr>
            <w:r>
              <w:rPr>
                <w:b/>
                <w:bCs/>
                <w:color w:val="000000"/>
                <w:lang w:val="en-US"/>
              </w:rPr>
              <w:t>53,112</w:t>
            </w:r>
          </w:p>
        </w:tc>
        <w:tc>
          <w:tcPr>
            <w:tcW w:w="1124" w:type="dxa"/>
            <w:noWrap/>
            <w:hideMark/>
          </w:tcPr>
          <w:p w14:paraId="5B4F4CB3"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b/>
                <w:bCs/>
                <w:color w:val="000000"/>
                <w:lang w:val="en-US"/>
              </w:rPr>
            </w:pPr>
            <w:r>
              <w:rPr>
                <w:b/>
                <w:bCs/>
                <w:color w:val="000000"/>
                <w:lang w:val="en-US"/>
              </w:rPr>
              <w:t>16.5%</w:t>
            </w:r>
          </w:p>
        </w:tc>
        <w:tc>
          <w:tcPr>
            <w:tcW w:w="1124" w:type="dxa"/>
            <w:noWrap/>
            <w:hideMark/>
          </w:tcPr>
          <w:p w14:paraId="0C3E4EA4"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b/>
                <w:bCs/>
                <w:color w:val="000000"/>
                <w:lang w:val="en-US"/>
              </w:rPr>
            </w:pPr>
            <w:r>
              <w:rPr>
                <w:b/>
                <w:bCs/>
                <w:color w:val="000000"/>
                <w:lang w:val="en-US"/>
              </w:rPr>
              <w:t>26,646</w:t>
            </w:r>
          </w:p>
        </w:tc>
        <w:tc>
          <w:tcPr>
            <w:tcW w:w="1124" w:type="dxa"/>
            <w:noWrap/>
            <w:hideMark/>
          </w:tcPr>
          <w:p w14:paraId="4D5B945D"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b/>
                <w:bCs/>
                <w:color w:val="000000"/>
                <w:lang w:val="en-US"/>
              </w:rPr>
            </w:pPr>
            <w:r>
              <w:rPr>
                <w:b/>
                <w:bCs/>
                <w:color w:val="000000"/>
                <w:lang w:val="en-US"/>
              </w:rPr>
              <w:t>101%</w:t>
            </w:r>
          </w:p>
        </w:tc>
      </w:tr>
      <w:tr w:rsidR="005D1E23" w14:paraId="419BAD5D"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3140378D" w14:textId="77777777" w:rsidR="005D1E23" w:rsidRDefault="005D1E23" w:rsidP="005D1E23">
            <w:pPr>
              <w:rPr>
                <w:color w:val="000000"/>
                <w:lang w:val="en-US"/>
              </w:rPr>
            </w:pPr>
            <w:r>
              <w:rPr>
                <w:color w:val="000000"/>
                <w:lang w:val="en-US"/>
              </w:rPr>
              <w:t>East of England</w:t>
            </w:r>
          </w:p>
        </w:tc>
        <w:tc>
          <w:tcPr>
            <w:tcW w:w="1124" w:type="dxa"/>
            <w:noWrap/>
            <w:hideMark/>
          </w:tcPr>
          <w:p w14:paraId="079FE55B"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168,985</w:t>
            </w:r>
          </w:p>
        </w:tc>
        <w:tc>
          <w:tcPr>
            <w:tcW w:w="1124" w:type="dxa"/>
            <w:noWrap/>
            <w:hideMark/>
          </w:tcPr>
          <w:p w14:paraId="1C2E9254"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7.6%</w:t>
            </w:r>
          </w:p>
        </w:tc>
        <w:tc>
          <w:tcPr>
            <w:tcW w:w="1124" w:type="dxa"/>
            <w:noWrap/>
            <w:hideMark/>
          </w:tcPr>
          <w:p w14:paraId="41B051D2"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356,227</w:t>
            </w:r>
          </w:p>
        </w:tc>
        <w:tc>
          <w:tcPr>
            <w:tcW w:w="1124" w:type="dxa"/>
            <w:noWrap/>
            <w:hideMark/>
          </w:tcPr>
          <w:p w14:paraId="243FACB3"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14.7%</w:t>
            </w:r>
          </w:p>
        </w:tc>
        <w:tc>
          <w:tcPr>
            <w:tcW w:w="1124" w:type="dxa"/>
            <w:noWrap/>
            <w:hideMark/>
          </w:tcPr>
          <w:p w14:paraId="39D1067A"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187,242</w:t>
            </w:r>
          </w:p>
        </w:tc>
        <w:tc>
          <w:tcPr>
            <w:tcW w:w="1124" w:type="dxa"/>
            <w:noWrap/>
            <w:hideMark/>
          </w:tcPr>
          <w:p w14:paraId="22F239AF"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111%</w:t>
            </w:r>
          </w:p>
        </w:tc>
      </w:tr>
      <w:tr w:rsidR="005D1E23" w14:paraId="50980971" w14:textId="77777777" w:rsidTr="004F4BA7">
        <w:trPr>
          <w:trHeight w:val="312"/>
        </w:trPr>
        <w:tc>
          <w:tcPr>
            <w:cnfStyle w:val="001000000000" w:firstRow="0" w:lastRow="0" w:firstColumn="1" w:lastColumn="0" w:oddVBand="0" w:evenVBand="0" w:oddHBand="0" w:evenHBand="0" w:firstRowFirstColumn="0" w:firstRowLastColumn="0" w:lastRowFirstColumn="0" w:lastRowLastColumn="0"/>
            <w:tcW w:w="1671" w:type="dxa"/>
            <w:noWrap/>
            <w:hideMark/>
          </w:tcPr>
          <w:p w14:paraId="0C56AADF" w14:textId="77777777" w:rsidR="005D1E23" w:rsidRDefault="005D1E23" w:rsidP="005D1E23">
            <w:pPr>
              <w:rPr>
                <w:color w:val="000000"/>
                <w:lang w:val="en-US"/>
              </w:rPr>
            </w:pPr>
            <w:r>
              <w:rPr>
                <w:color w:val="000000"/>
                <w:lang w:val="en-US"/>
              </w:rPr>
              <w:t>England</w:t>
            </w:r>
          </w:p>
        </w:tc>
        <w:tc>
          <w:tcPr>
            <w:tcW w:w="1124" w:type="dxa"/>
            <w:noWrap/>
            <w:hideMark/>
          </w:tcPr>
          <w:p w14:paraId="73E5D791"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1,798,864</w:t>
            </w:r>
          </w:p>
        </w:tc>
        <w:tc>
          <w:tcPr>
            <w:tcW w:w="1124" w:type="dxa"/>
            <w:noWrap/>
            <w:hideMark/>
          </w:tcPr>
          <w:p w14:paraId="538BDC79"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8.8%</w:t>
            </w:r>
          </w:p>
        </w:tc>
        <w:tc>
          <w:tcPr>
            <w:tcW w:w="1124" w:type="dxa"/>
            <w:noWrap/>
            <w:hideMark/>
          </w:tcPr>
          <w:p w14:paraId="3795DF1B"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3,715,924</w:t>
            </w:r>
          </w:p>
        </w:tc>
        <w:tc>
          <w:tcPr>
            <w:tcW w:w="1124" w:type="dxa"/>
            <w:noWrap/>
            <w:hideMark/>
          </w:tcPr>
          <w:p w14:paraId="0B9CDDC9"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16.8%</w:t>
            </w:r>
          </w:p>
        </w:tc>
        <w:tc>
          <w:tcPr>
            <w:tcW w:w="1124" w:type="dxa"/>
            <w:noWrap/>
            <w:hideMark/>
          </w:tcPr>
          <w:p w14:paraId="1BF52CBB"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1,917,060</w:t>
            </w:r>
          </w:p>
        </w:tc>
        <w:tc>
          <w:tcPr>
            <w:tcW w:w="1124" w:type="dxa"/>
            <w:noWrap/>
            <w:hideMark/>
          </w:tcPr>
          <w:p w14:paraId="27C1CB11" w14:textId="77777777" w:rsidR="005D1E23" w:rsidRDefault="005D1E23" w:rsidP="005D1E23">
            <w:pPr>
              <w:cnfStyle w:val="000000000000" w:firstRow="0" w:lastRow="0" w:firstColumn="0" w:lastColumn="0" w:oddVBand="0" w:evenVBand="0" w:oddHBand="0" w:evenHBand="0" w:firstRowFirstColumn="0" w:firstRowLastColumn="0" w:lastRowFirstColumn="0" w:lastRowLastColumn="0"/>
              <w:rPr>
                <w:color w:val="000000"/>
                <w:lang w:val="en-US"/>
              </w:rPr>
            </w:pPr>
            <w:r>
              <w:rPr>
                <w:color w:val="000000"/>
                <w:lang w:val="en-US"/>
              </w:rPr>
              <w:t>107%</w:t>
            </w:r>
          </w:p>
        </w:tc>
      </w:tr>
    </w:tbl>
    <w:p w14:paraId="73AF0BB7" w14:textId="77777777" w:rsidR="005D1E23" w:rsidRPr="007D0FBF" w:rsidRDefault="005D1E23" w:rsidP="005D1E23">
      <w:pPr>
        <w:pStyle w:val="BodyText1"/>
        <w:spacing w:after="120"/>
        <w:ind w:firstLine="794"/>
        <w:rPr>
          <w:sz w:val="24"/>
          <w:szCs w:val="22"/>
        </w:rPr>
      </w:pPr>
      <w:r w:rsidRPr="007D0FBF">
        <w:rPr>
          <w:sz w:val="24"/>
          <w:szCs w:val="22"/>
        </w:rPr>
        <w:t xml:space="preserve">Source: ONS Census 2001 KS018 and 2011 QS405EW </w:t>
      </w:r>
    </w:p>
    <w:p w14:paraId="1D615941" w14:textId="54D1A5D8" w:rsidR="005D1E23" w:rsidRDefault="005D1E23" w:rsidP="007D0FBF">
      <w:pPr>
        <w:pStyle w:val="11Bodytext"/>
      </w:pPr>
      <w:r>
        <w:t xml:space="preserve">Within the HMA the largest percentage growth was in Fenland (140%), followed by West Suffolk (115%) – in particular, </w:t>
      </w:r>
      <w:r w:rsidR="00313287">
        <w:t xml:space="preserve">former St Edmundsbury </w:t>
      </w:r>
      <w:r>
        <w:t>(124%) – although in absolute terms the growth has been largest in Huntingdonshire (5,031).</w:t>
      </w:r>
    </w:p>
    <w:p w14:paraId="3AA9CA23" w14:textId="77777777" w:rsidR="005D1E23" w:rsidRDefault="005D1E23" w:rsidP="007D0FBF">
      <w:pPr>
        <w:pStyle w:val="11Bodytext"/>
      </w:pPr>
      <w:r>
        <w:lastRenderedPageBreak/>
        <w:t xml:space="preserve">Despite not being as detailed as the Census data, information from ONS provides an update for 2019. As the figure below illustrates across the HMA there were only modest changes in tenure. The most notable of which was a 0.7% increase in private rented housing. </w:t>
      </w:r>
    </w:p>
    <w:p w14:paraId="1EBC6B0C" w14:textId="77777777" w:rsidR="005D1E23" w:rsidRDefault="005D1E23" w:rsidP="003D5E23">
      <w:pPr>
        <w:pStyle w:val="FigureHeading"/>
      </w:pPr>
      <w:r>
        <w:t>Change in Tenure (2011-2019)</w:t>
      </w:r>
    </w:p>
    <w:p w14:paraId="3D636607" w14:textId="77777777" w:rsidR="005D1E23" w:rsidRDefault="005D1E23" w:rsidP="003855B8">
      <w:pPr>
        <w:keepNext/>
        <w:ind w:firstLine="794"/>
      </w:pPr>
      <w:r>
        <w:rPr>
          <w:noProof/>
        </w:rPr>
        <w:drawing>
          <wp:inline distT="0" distB="0" distL="0" distR="0" wp14:anchorId="36AE6880" wp14:editId="13048B8A">
            <wp:extent cx="5388331" cy="2857500"/>
            <wp:effectExtent l="0" t="0" r="3175" b="0"/>
            <wp:docPr id="4" name="Chart 4" descr="Chart showing change in tenure across comparator areas">
              <a:extLst xmlns:a="http://schemas.openxmlformats.org/drawingml/2006/main">
                <a:ext uri="{FF2B5EF4-FFF2-40B4-BE49-F238E27FC236}">
                  <a16:creationId xmlns:a16="http://schemas.microsoft.com/office/drawing/2014/main" id="{4AE7F3D7-961C-4691-BB44-9F0B4BBFC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94DFD00" w14:textId="77777777" w:rsidR="005D1E23" w:rsidRPr="008E6E40" w:rsidRDefault="005D1E23" w:rsidP="007D0FBF">
      <w:pPr>
        <w:pStyle w:val="11Bodytext"/>
        <w:numPr>
          <w:ilvl w:val="0"/>
          <w:numId w:val="0"/>
        </w:numPr>
        <w:ind w:left="794"/>
      </w:pPr>
      <w:r w:rsidRPr="008E6E40">
        <w:t xml:space="preserve">Source: ONS, Table 100 Dwelling stock: Number of Dwellings by Tenure; 2019 </w:t>
      </w:r>
    </w:p>
    <w:p w14:paraId="2FEFB667" w14:textId="31346F3C" w:rsidR="005D1E23" w:rsidRDefault="005D1E23" w:rsidP="007D0FBF">
      <w:pPr>
        <w:pStyle w:val="11Bodytext"/>
      </w:pPr>
      <w:r>
        <w:t xml:space="preserve">There were more notable differences at a local authority level particularly in Cambridge. According to the dataset, there was a decrease in Council-owned housing stock with an increase in the private sector </w:t>
      </w:r>
      <w:r w:rsidR="00251BE2">
        <w:t>and housing</w:t>
      </w:r>
      <w:r>
        <w:t xml:space="preserve"> association homes. </w:t>
      </w:r>
    </w:p>
    <w:p w14:paraId="1A35593F" w14:textId="77777777" w:rsidR="005D1E23" w:rsidRDefault="005D1E23" w:rsidP="007D0FBF">
      <w:pPr>
        <w:pStyle w:val="11Bodytext"/>
      </w:pPr>
      <w:r>
        <w:t>Another dataset provided by ONS is the sub-national dwelling stock by tenure estimates</w:t>
      </w:r>
      <w:r>
        <w:rPr>
          <w:rStyle w:val="FootnoteReference"/>
        </w:rPr>
        <w:footnoteReference w:id="52"/>
      </w:r>
      <w:r>
        <w:t>. This data only breaks down the privately held stock between owner-occupied and privately rented and is over a slightly different timeframe. Importantly, these are not official statistics, therefore, cannot be relied upon in the same way.</w:t>
      </w:r>
    </w:p>
    <w:p w14:paraId="0BAD98D6" w14:textId="77777777" w:rsidR="005D1E23" w:rsidRDefault="005D1E23" w:rsidP="007D0FBF">
      <w:pPr>
        <w:pStyle w:val="11Bodytext"/>
      </w:pPr>
      <w:r>
        <w:lastRenderedPageBreak/>
        <w:t xml:space="preserve">As the table below illustrates there has been a growth in both Owner Occupation and the </w:t>
      </w:r>
      <w:proofErr w:type="gramStart"/>
      <w:r>
        <w:t>PRS ,</w:t>
      </w:r>
      <w:proofErr w:type="gramEnd"/>
      <w:r>
        <w:t xml:space="preserve"> with the latter seeing a more notable growth.</w:t>
      </w:r>
    </w:p>
    <w:p w14:paraId="1DCD0024" w14:textId="7492D20F" w:rsidR="005D1E23" w:rsidRDefault="005D1E23" w:rsidP="003D5E23">
      <w:pPr>
        <w:pStyle w:val="Tableheading"/>
        <w:numPr>
          <w:ilvl w:val="0"/>
          <w:numId w:val="54"/>
        </w:numPr>
      </w:pPr>
      <w:r>
        <w:t>Change in Private Tenures (2012-2018)</w:t>
      </w:r>
    </w:p>
    <w:tbl>
      <w:tblPr>
        <w:tblStyle w:val="TableGridLight1"/>
        <w:tblW w:w="8705" w:type="dxa"/>
        <w:tblInd w:w="562" w:type="dxa"/>
        <w:tblLayout w:type="fixed"/>
        <w:tblLook w:val="04A0" w:firstRow="1" w:lastRow="0" w:firstColumn="1" w:lastColumn="0" w:noHBand="0" w:noVBand="1"/>
      </w:tblPr>
      <w:tblGrid>
        <w:gridCol w:w="2133"/>
        <w:gridCol w:w="1095"/>
        <w:gridCol w:w="1095"/>
        <w:gridCol w:w="1096"/>
        <w:gridCol w:w="1095"/>
        <w:gridCol w:w="1095"/>
        <w:gridCol w:w="1096"/>
      </w:tblGrid>
      <w:tr w:rsidR="00956DC6" w:rsidRPr="00956DC6" w14:paraId="05158B4C" w14:textId="77777777" w:rsidTr="00D129BB">
        <w:trPr>
          <w:cnfStyle w:val="100000000000" w:firstRow="1" w:lastRow="0" w:firstColumn="0" w:lastColumn="0" w:oddVBand="0" w:evenVBand="0" w:oddHBand="0" w:evenHBand="0" w:firstRowFirstColumn="0" w:firstRowLastColumn="0" w:lastRowFirstColumn="0" w:lastRowLastColumn="0"/>
          <w:cantSplit/>
          <w:trHeight w:val="2201"/>
        </w:trPr>
        <w:tc>
          <w:tcPr>
            <w:cnfStyle w:val="001000000000" w:firstRow="0" w:lastRow="0" w:firstColumn="1" w:lastColumn="0" w:oddVBand="0" w:evenVBand="0" w:oddHBand="0" w:evenHBand="0" w:firstRowFirstColumn="0" w:firstRowLastColumn="0" w:lastRowFirstColumn="0" w:lastRowLastColumn="0"/>
            <w:tcW w:w="2133" w:type="dxa"/>
            <w:noWrap/>
            <w:textDirection w:val="btLr"/>
            <w:hideMark/>
          </w:tcPr>
          <w:p w14:paraId="7FA4F99C" w14:textId="77777777" w:rsidR="00956DC6" w:rsidRPr="00956DC6" w:rsidRDefault="00956DC6" w:rsidP="00D129BB">
            <w:pPr>
              <w:ind w:left="113" w:right="113"/>
              <w:rPr>
                <w:bCs/>
                <w:color w:val="auto"/>
                <w:lang w:eastAsia="en-GB"/>
              </w:rPr>
            </w:pPr>
            <w:r w:rsidRPr="00956DC6">
              <w:rPr>
                <w:bCs/>
                <w:color w:val="auto"/>
                <w:lang w:eastAsia="en-GB"/>
              </w:rPr>
              <w:t>Local Authority Name</w:t>
            </w:r>
          </w:p>
        </w:tc>
        <w:tc>
          <w:tcPr>
            <w:tcW w:w="1095" w:type="dxa"/>
            <w:textDirection w:val="btLr"/>
            <w:hideMark/>
          </w:tcPr>
          <w:p w14:paraId="7708DA24" w14:textId="77777777" w:rsidR="00956DC6" w:rsidRPr="00956DC6" w:rsidRDefault="00956DC6" w:rsidP="00D129BB">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Owner Occupied (2012)</w:t>
            </w:r>
          </w:p>
        </w:tc>
        <w:tc>
          <w:tcPr>
            <w:tcW w:w="1095" w:type="dxa"/>
            <w:textDirection w:val="btLr"/>
            <w:hideMark/>
          </w:tcPr>
          <w:p w14:paraId="29A59CAD" w14:textId="77777777" w:rsidR="00956DC6" w:rsidRPr="00956DC6" w:rsidRDefault="00956DC6" w:rsidP="00D129BB">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Privately Rented (2012)</w:t>
            </w:r>
          </w:p>
        </w:tc>
        <w:tc>
          <w:tcPr>
            <w:tcW w:w="1096" w:type="dxa"/>
            <w:textDirection w:val="btLr"/>
            <w:hideMark/>
          </w:tcPr>
          <w:p w14:paraId="51786D97" w14:textId="77777777" w:rsidR="00956DC6" w:rsidRPr="00956DC6" w:rsidRDefault="00956DC6" w:rsidP="00D129BB">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Owner Occupied (2018)</w:t>
            </w:r>
          </w:p>
        </w:tc>
        <w:tc>
          <w:tcPr>
            <w:tcW w:w="1095" w:type="dxa"/>
            <w:textDirection w:val="btLr"/>
            <w:hideMark/>
          </w:tcPr>
          <w:p w14:paraId="14112468" w14:textId="77777777" w:rsidR="00956DC6" w:rsidRPr="00956DC6" w:rsidRDefault="00956DC6" w:rsidP="00D129BB">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Privately Rented (2018)</w:t>
            </w:r>
          </w:p>
        </w:tc>
        <w:tc>
          <w:tcPr>
            <w:tcW w:w="1095" w:type="dxa"/>
            <w:textDirection w:val="btLr"/>
            <w:hideMark/>
          </w:tcPr>
          <w:p w14:paraId="70AE687E" w14:textId="77777777" w:rsidR="00956DC6" w:rsidRPr="00956DC6" w:rsidRDefault="00956DC6" w:rsidP="00D129BB">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Owner Occupied (Percentage Change from 2012 to 2018)</w:t>
            </w:r>
          </w:p>
        </w:tc>
        <w:tc>
          <w:tcPr>
            <w:tcW w:w="1096" w:type="dxa"/>
            <w:textDirection w:val="btLr"/>
            <w:hideMark/>
          </w:tcPr>
          <w:p w14:paraId="6DEBAB3F" w14:textId="77777777" w:rsidR="00956DC6" w:rsidRPr="00956DC6" w:rsidRDefault="00956DC6" w:rsidP="00D129BB">
            <w:pPr>
              <w:ind w:left="113" w:right="113"/>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Privately Rented (Percentage Change from 2012 to 2018)</w:t>
            </w:r>
          </w:p>
        </w:tc>
      </w:tr>
      <w:tr w:rsidR="00956DC6" w:rsidRPr="00956DC6" w14:paraId="670304C0"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268D9C62" w14:textId="77777777" w:rsidR="00956DC6" w:rsidRPr="00956DC6" w:rsidRDefault="00956DC6" w:rsidP="00D129BB">
            <w:pPr>
              <w:rPr>
                <w:color w:val="auto"/>
                <w:lang w:eastAsia="en-GB"/>
              </w:rPr>
            </w:pPr>
            <w:r w:rsidRPr="00956DC6">
              <w:rPr>
                <w:color w:val="auto"/>
                <w:lang w:eastAsia="en-GB"/>
              </w:rPr>
              <w:t>Cambridge</w:t>
            </w:r>
          </w:p>
        </w:tc>
        <w:tc>
          <w:tcPr>
            <w:tcW w:w="1095" w:type="dxa"/>
            <w:noWrap/>
            <w:hideMark/>
          </w:tcPr>
          <w:p w14:paraId="21B510CE"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23,862</w:t>
            </w:r>
          </w:p>
        </w:tc>
        <w:tc>
          <w:tcPr>
            <w:tcW w:w="1095" w:type="dxa"/>
            <w:noWrap/>
            <w:hideMark/>
          </w:tcPr>
          <w:p w14:paraId="3A5260F7"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13,208</w:t>
            </w:r>
          </w:p>
        </w:tc>
        <w:tc>
          <w:tcPr>
            <w:tcW w:w="1096" w:type="dxa"/>
            <w:noWrap/>
            <w:hideMark/>
          </w:tcPr>
          <w:p w14:paraId="055EAB11"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21,775</w:t>
            </w:r>
          </w:p>
        </w:tc>
        <w:tc>
          <w:tcPr>
            <w:tcW w:w="1095" w:type="dxa"/>
            <w:noWrap/>
            <w:hideMark/>
          </w:tcPr>
          <w:p w14:paraId="1BD55BA8"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20,245</w:t>
            </w:r>
          </w:p>
        </w:tc>
        <w:tc>
          <w:tcPr>
            <w:tcW w:w="1095" w:type="dxa"/>
            <w:noWrap/>
            <w:hideMark/>
          </w:tcPr>
          <w:p w14:paraId="632A0383"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-9.00%</w:t>
            </w:r>
          </w:p>
        </w:tc>
        <w:tc>
          <w:tcPr>
            <w:tcW w:w="1096" w:type="dxa"/>
            <w:noWrap/>
            <w:hideMark/>
          </w:tcPr>
          <w:p w14:paraId="5DD59D5E"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10.10%</w:t>
            </w:r>
          </w:p>
        </w:tc>
      </w:tr>
      <w:tr w:rsidR="00956DC6" w:rsidRPr="00956DC6" w14:paraId="6DB9479B"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79DA1F46" w14:textId="77777777" w:rsidR="00956DC6" w:rsidRPr="00956DC6" w:rsidRDefault="00956DC6" w:rsidP="00D129BB">
            <w:pPr>
              <w:rPr>
                <w:color w:val="auto"/>
                <w:lang w:eastAsia="en-GB"/>
              </w:rPr>
            </w:pPr>
            <w:r w:rsidRPr="00956DC6">
              <w:rPr>
                <w:color w:val="auto"/>
                <w:lang w:eastAsia="en-GB"/>
              </w:rPr>
              <w:t>East Cambridgeshire</w:t>
            </w:r>
          </w:p>
        </w:tc>
        <w:tc>
          <w:tcPr>
            <w:tcW w:w="1095" w:type="dxa"/>
            <w:noWrap/>
            <w:hideMark/>
          </w:tcPr>
          <w:p w14:paraId="3FEEC55A"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25,884</w:t>
            </w:r>
          </w:p>
        </w:tc>
        <w:tc>
          <w:tcPr>
            <w:tcW w:w="1095" w:type="dxa"/>
            <w:noWrap/>
            <w:hideMark/>
          </w:tcPr>
          <w:p w14:paraId="4615F087"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5,156</w:t>
            </w:r>
          </w:p>
        </w:tc>
        <w:tc>
          <w:tcPr>
            <w:tcW w:w="1096" w:type="dxa"/>
            <w:noWrap/>
            <w:hideMark/>
          </w:tcPr>
          <w:p w14:paraId="52B934EC"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25,776</w:t>
            </w:r>
          </w:p>
        </w:tc>
        <w:tc>
          <w:tcPr>
            <w:tcW w:w="1095" w:type="dxa"/>
            <w:noWrap/>
            <w:hideMark/>
          </w:tcPr>
          <w:p w14:paraId="26301F52"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6,344</w:t>
            </w:r>
          </w:p>
        </w:tc>
        <w:tc>
          <w:tcPr>
            <w:tcW w:w="1095" w:type="dxa"/>
            <w:noWrap/>
            <w:hideMark/>
          </w:tcPr>
          <w:p w14:paraId="1F2E619C"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-2.80%</w:t>
            </w:r>
          </w:p>
        </w:tc>
        <w:tc>
          <w:tcPr>
            <w:tcW w:w="1096" w:type="dxa"/>
            <w:noWrap/>
            <w:hideMark/>
          </w:tcPr>
          <w:p w14:paraId="516368D3"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2.70%</w:t>
            </w:r>
          </w:p>
        </w:tc>
      </w:tr>
      <w:tr w:rsidR="00956DC6" w:rsidRPr="00956DC6" w14:paraId="39B8ED86"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77FD0728" w14:textId="77777777" w:rsidR="00956DC6" w:rsidRPr="00956DC6" w:rsidRDefault="00956DC6" w:rsidP="00D129BB">
            <w:pPr>
              <w:rPr>
                <w:color w:val="auto"/>
                <w:lang w:eastAsia="en-GB"/>
              </w:rPr>
            </w:pPr>
            <w:r w:rsidRPr="00956DC6">
              <w:rPr>
                <w:color w:val="auto"/>
                <w:lang w:eastAsia="en-GB"/>
              </w:rPr>
              <w:t>Fenland</w:t>
            </w:r>
          </w:p>
        </w:tc>
        <w:tc>
          <w:tcPr>
            <w:tcW w:w="1095" w:type="dxa"/>
            <w:noWrap/>
            <w:hideMark/>
          </w:tcPr>
          <w:p w14:paraId="4108817E"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28,125</w:t>
            </w:r>
          </w:p>
        </w:tc>
        <w:tc>
          <w:tcPr>
            <w:tcW w:w="1095" w:type="dxa"/>
            <w:noWrap/>
            <w:hideMark/>
          </w:tcPr>
          <w:p w14:paraId="7E5C9144"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8,785</w:t>
            </w:r>
          </w:p>
        </w:tc>
        <w:tc>
          <w:tcPr>
            <w:tcW w:w="1096" w:type="dxa"/>
            <w:noWrap/>
            <w:hideMark/>
          </w:tcPr>
          <w:p w14:paraId="403DDD62"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30,088</w:t>
            </w:r>
          </w:p>
        </w:tc>
        <w:tc>
          <w:tcPr>
            <w:tcW w:w="1095" w:type="dxa"/>
            <w:noWrap/>
            <w:hideMark/>
          </w:tcPr>
          <w:p w14:paraId="2062BFDC"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8,932</w:t>
            </w:r>
          </w:p>
        </w:tc>
        <w:tc>
          <w:tcPr>
            <w:tcW w:w="1095" w:type="dxa"/>
            <w:noWrap/>
            <w:hideMark/>
          </w:tcPr>
          <w:p w14:paraId="07672ACD"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0.80%</w:t>
            </w:r>
          </w:p>
        </w:tc>
        <w:tc>
          <w:tcPr>
            <w:tcW w:w="1096" w:type="dxa"/>
            <w:noWrap/>
            <w:hideMark/>
          </w:tcPr>
          <w:p w14:paraId="1BE19FB7"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-0.80%</w:t>
            </w:r>
          </w:p>
        </w:tc>
      </w:tr>
      <w:tr w:rsidR="00956DC6" w:rsidRPr="00956DC6" w14:paraId="2CAED832"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067CF072" w14:textId="77777777" w:rsidR="00956DC6" w:rsidRPr="00956DC6" w:rsidRDefault="00956DC6" w:rsidP="00D129BB">
            <w:pPr>
              <w:rPr>
                <w:color w:val="auto"/>
                <w:lang w:eastAsia="en-GB"/>
              </w:rPr>
            </w:pPr>
            <w:r w:rsidRPr="00956DC6">
              <w:rPr>
                <w:color w:val="auto"/>
                <w:lang w:eastAsia="en-GB"/>
              </w:rPr>
              <w:t>Huntingdonshire</w:t>
            </w:r>
          </w:p>
        </w:tc>
        <w:tc>
          <w:tcPr>
            <w:tcW w:w="1095" w:type="dxa"/>
            <w:noWrap/>
            <w:hideMark/>
          </w:tcPr>
          <w:p w14:paraId="0220F2D3"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51,212</w:t>
            </w:r>
          </w:p>
        </w:tc>
        <w:tc>
          <w:tcPr>
            <w:tcW w:w="1095" w:type="dxa"/>
            <w:noWrap/>
            <w:hideMark/>
          </w:tcPr>
          <w:p w14:paraId="45103EFA"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11,548</w:t>
            </w:r>
          </w:p>
        </w:tc>
        <w:tc>
          <w:tcPr>
            <w:tcW w:w="1096" w:type="dxa"/>
            <w:noWrap/>
            <w:hideMark/>
          </w:tcPr>
          <w:p w14:paraId="1B4CCAC0"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55,260</w:t>
            </w:r>
          </w:p>
        </w:tc>
        <w:tc>
          <w:tcPr>
            <w:tcW w:w="1095" w:type="dxa"/>
            <w:noWrap/>
            <w:hideMark/>
          </w:tcPr>
          <w:p w14:paraId="6C0AEEA1"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10,260</w:t>
            </w:r>
          </w:p>
        </w:tc>
        <w:tc>
          <w:tcPr>
            <w:tcW w:w="1095" w:type="dxa"/>
            <w:noWrap/>
            <w:hideMark/>
          </w:tcPr>
          <w:p w14:paraId="7A71903E"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2.00%</w:t>
            </w:r>
          </w:p>
        </w:tc>
        <w:tc>
          <w:tcPr>
            <w:tcW w:w="1096" w:type="dxa"/>
            <w:noWrap/>
            <w:hideMark/>
          </w:tcPr>
          <w:p w14:paraId="71B7A12B"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-2.50%</w:t>
            </w:r>
          </w:p>
        </w:tc>
      </w:tr>
      <w:tr w:rsidR="00956DC6" w:rsidRPr="00956DC6" w14:paraId="4364952D"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4AA8CD75" w14:textId="77777777" w:rsidR="00956DC6" w:rsidRPr="00956DC6" w:rsidRDefault="00956DC6" w:rsidP="00D129BB">
            <w:pPr>
              <w:rPr>
                <w:color w:val="auto"/>
                <w:lang w:eastAsia="en-GB"/>
              </w:rPr>
            </w:pPr>
            <w:r w:rsidRPr="00956DC6">
              <w:rPr>
                <w:color w:val="auto"/>
                <w:lang w:eastAsia="en-GB"/>
              </w:rPr>
              <w:t>South Cambridgeshire</w:t>
            </w:r>
          </w:p>
        </w:tc>
        <w:tc>
          <w:tcPr>
            <w:tcW w:w="1095" w:type="dxa"/>
            <w:noWrap/>
            <w:hideMark/>
          </w:tcPr>
          <w:p w14:paraId="48DECC6F"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42,265</w:t>
            </w:r>
          </w:p>
        </w:tc>
        <w:tc>
          <w:tcPr>
            <w:tcW w:w="1095" w:type="dxa"/>
            <w:noWrap/>
            <w:hideMark/>
          </w:tcPr>
          <w:p w14:paraId="26558A61"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11,235</w:t>
            </w:r>
          </w:p>
        </w:tc>
        <w:tc>
          <w:tcPr>
            <w:tcW w:w="1096" w:type="dxa"/>
            <w:noWrap/>
            <w:hideMark/>
          </w:tcPr>
          <w:p w14:paraId="3AAA6CBA"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47,698</w:t>
            </w:r>
          </w:p>
        </w:tc>
        <w:tc>
          <w:tcPr>
            <w:tcW w:w="1095" w:type="dxa"/>
            <w:noWrap/>
            <w:hideMark/>
          </w:tcPr>
          <w:p w14:paraId="3719EBF8"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9,762</w:t>
            </w:r>
          </w:p>
        </w:tc>
        <w:tc>
          <w:tcPr>
            <w:tcW w:w="1095" w:type="dxa"/>
            <w:noWrap/>
            <w:hideMark/>
          </w:tcPr>
          <w:p w14:paraId="787E5F1C"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4.10%</w:t>
            </w:r>
          </w:p>
        </w:tc>
        <w:tc>
          <w:tcPr>
            <w:tcW w:w="1096" w:type="dxa"/>
            <w:noWrap/>
            <w:hideMark/>
          </w:tcPr>
          <w:p w14:paraId="2313A318"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-3.30%</w:t>
            </w:r>
          </w:p>
        </w:tc>
      </w:tr>
      <w:tr w:rsidR="00956DC6" w:rsidRPr="00956DC6" w14:paraId="7CF9BA20"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04BBC7CD" w14:textId="77777777" w:rsidR="00956DC6" w:rsidRPr="00956DC6" w:rsidRDefault="00956DC6" w:rsidP="00D129BB">
            <w:pPr>
              <w:rPr>
                <w:color w:val="auto"/>
                <w:lang w:eastAsia="en-GB"/>
              </w:rPr>
            </w:pPr>
            <w:r w:rsidRPr="00956DC6">
              <w:rPr>
                <w:color w:val="auto"/>
                <w:lang w:eastAsia="en-GB"/>
              </w:rPr>
              <w:t>West Suffolk</w:t>
            </w:r>
          </w:p>
        </w:tc>
        <w:tc>
          <w:tcPr>
            <w:tcW w:w="1095" w:type="dxa"/>
            <w:noWrap/>
            <w:hideMark/>
          </w:tcPr>
          <w:p w14:paraId="32ECBEE4"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43,204</w:t>
            </w:r>
          </w:p>
        </w:tc>
        <w:tc>
          <w:tcPr>
            <w:tcW w:w="1095" w:type="dxa"/>
            <w:noWrap/>
            <w:hideMark/>
          </w:tcPr>
          <w:p w14:paraId="3F640C3E"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18,296</w:t>
            </w:r>
          </w:p>
        </w:tc>
        <w:tc>
          <w:tcPr>
            <w:tcW w:w="1096" w:type="dxa"/>
            <w:noWrap/>
            <w:hideMark/>
          </w:tcPr>
          <w:p w14:paraId="7C367113"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50,043</w:t>
            </w:r>
          </w:p>
        </w:tc>
        <w:tc>
          <w:tcPr>
            <w:tcW w:w="1095" w:type="dxa"/>
            <w:noWrap/>
            <w:hideMark/>
          </w:tcPr>
          <w:p w14:paraId="4F9CDBD7"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16,397</w:t>
            </w:r>
          </w:p>
        </w:tc>
        <w:tc>
          <w:tcPr>
            <w:tcW w:w="1095" w:type="dxa"/>
            <w:noWrap/>
            <w:hideMark/>
          </w:tcPr>
          <w:p w14:paraId="4FAA9D59"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6.10%</w:t>
            </w:r>
          </w:p>
        </w:tc>
        <w:tc>
          <w:tcPr>
            <w:tcW w:w="1096" w:type="dxa"/>
            <w:noWrap/>
            <w:hideMark/>
          </w:tcPr>
          <w:p w14:paraId="5F633BCB"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-3.50%</w:t>
            </w:r>
          </w:p>
        </w:tc>
      </w:tr>
      <w:tr w:rsidR="00956DC6" w:rsidRPr="00956DC6" w14:paraId="347453CD"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13666699" w14:textId="77777777" w:rsidR="00956DC6" w:rsidRPr="00956DC6" w:rsidRDefault="00956DC6" w:rsidP="00D129BB">
            <w:pPr>
              <w:rPr>
                <w:color w:val="auto"/>
                <w:lang w:eastAsia="en-GB"/>
              </w:rPr>
            </w:pPr>
            <w:r w:rsidRPr="00956DC6">
              <w:rPr>
                <w:color w:val="auto"/>
                <w:lang w:eastAsia="en-GB"/>
              </w:rPr>
              <w:t xml:space="preserve">Greater Cambridge Ave </w:t>
            </w:r>
          </w:p>
        </w:tc>
        <w:tc>
          <w:tcPr>
            <w:tcW w:w="1095" w:type="dxa"/>
            <w:noWrap/>
            <w:hideMark/>
          </w:tcPr>
          <w:p w14:paraId="5A7AB08E"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66,127</w:t>
            </w:r>
          </w:p>
        </w:tc>
        <w:tc>
          <w:tcPr>
            <w:tcW w:w="1095" w:type="dxa"/>
            <w:noWrap/>
            <w:hideMark/>
          </w:tcPr>
          <w:p w14:paraId="2FD42189"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24,443</w:t>
            </w:r>
          </w:p>
        </w:tc>
        <w:tc>
          <w:tcPr>
            <w:tcW w:w="1096" w:type="dxa"/>
            <w:noWrap/>
            <w:hideMark/>
          </w:tcPr>
          <w:p w14:paraId="78175876"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69,473</w:t>
            </w:r>
          </w:p>
        </w:tc>
        <w:tc>
          <w:tcPr>
            <w:tcW w:w="1095" w:type="dxa"/>
            <w:noWrap/>
            <w:hideMark/>
          </w:tcPr>
          <w:p w14:paraId="32A9A2F3"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30,007</w:t>
            </w:r>
          </w:p>
        </w:tc>
        <w:tc>
          <w:tcPr>
            <w:tcW w:w="1095" w:type="dxa"/>
            <w:noWrap/>
            <w:hideMark/>
          </w:tcPr>
          <w:p w14:paraId="30DD1653"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-2.50%</w:t>
            </w:r>
          </w:p>
        </w:tc>
        <w:tc>
          <w:tcPr>
            <w:tcW w:w="1096" w:type="dxa"/>
            <w:noWrap/>
            <w:hideMark/>
          </w:tcPr>
          <w:p w14:paraId="2CAE4406"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3.40%</w:t>
            </w:r>
          </w:p>
        </w:tc>
      </w:tr>
      <w:tr w:rsidR="00956DC6" w:rsidRPr="00956DC6" w14:paraId="00E610C8" w14:textId="77777777" w:rsidTr="00956DC6">
        <w:trPr>
          <w:trHeight w:val="337"/>
        </w:trPr>
        <w:tc>
          <w:tcPr>
            <w:cnfStyle w:val="001000000000" w:firstRow="0" w:lastRow="0" w:firstColumn="1" w:lastColumn="0" w:oddVBand="0" w:evenVBand="0" w:oddHBand="0" w:evenHBand="0" w:firstRowFirstColumn="0" w:firstRowLastColumn="0" w:lastRowFirstColumn="0" w:lastRowLastColumn="0"/>
            <w:tcW w:w="2133" w:type="dxa"/>
            <w:noWrap/>
            <w:hideMark/>
          </w:tcPr>
          <w:p w14:paraId="6DBFAD19" w14:textId="77777777" w:rsidR="00956DC6" w:rsidRPr="00956DC6" w:rsidRDefault="00956DC6" w:rsidP="00D129BB">
            <w:pPr>
              <w:rPr>
                <w:b/>
                <w:bCs/>
                <w:color w:val="auto"/>
                <w:lang w:eastAsia="en-GB"/>
              </w:rPr>
            </w:pPr>
            <w:r w:rsidRPr="00956DC6">
              <w:rPr>
                <w:b/>
                <w:bCs/>
                <w:color w:val="auto"/>
                <w:lang w:eastAsia="en-GB"/>
              </w:rPr>
              <w:t>HMA Average</w:t>
            </w:r>
          </w:p>
        </w:tc>
        <w:tc>
          <w:tcPr>
            <w:tcW w:w="1095" w:type="dxa"/>
            <w:noWrap/>
            <w:hideMark/>
          </w:tcPr>
          <w:p w14:paraId="6D6078D0"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956DC6">
              <w:rPr>
                <w:b/>
                <w:bCs/>
                <w:color w:val="auto"/>
                <w:lang w:eastAsia="en-GB"/>
              </w:rPr>
              <w:t>214,552</w:t>
            </w:r>
          </w:p>
        </w:tc>
        <w:tc>
          <w:tcPr>
            <w:tcW w:w="1095" w:type="dxa"/>
            <w:noWrap/>
            <w:hideMark/>
          </w:tcPr>
          <w:p w14:paraId="2907B096"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956DC6">
              <w:rPr>
                <w:b/>
                <w:bCs/>
                <w:color w:val="auto"/>
                <w:lang w:eastAsia="en-GB"/>
              </w:rPr>
              <w:t>68,228</w:t>
            </w:r>
          </w:p>
        </w:tc>
        <w:tc>
          <w:tcPr>
            <w:tcW w:w="1096" w:type="dxa"/>
            <w:noWrap/>
            <w:hideMark/>
          </w:tcPr>
          <w:p w14:paraId="270E290F"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956DC6">
              <w:rPr>
                <w:b/>
                <w:bCs/>
                <w:color w:val="auto"/>
                <w:lang w:eastAsia="en-GB"/>
              </w:rPr>
              <w:t>230,640</w:t>
            </w:r>
          </w:p>
        </w:tc>
        <w:tc>
          <w:tcPr>
            <w:tcW w:w="1095" w:type="dxa"/>
            <w:noWrap/>
            <w:hideMark/>
          </w:tcPr>
          <w:p w14:paraId="6549F1A0"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956DC6">
              <w:rPr>
                <w:b/>
                <w:bCs/>
                <w:color w:val="auto"/>
                <w:lang w:eastAsia="en-GB"/>
              </w:rPr>
              <w:t>71,940</w:t>
            </w:r>
          </w:p>
        </w:tc>
        <w:tc>
          <w:tcPr>
            <w:tcW w:w="1095" w:type="dxa"/>
            <w:noWrap/>
            <w:hideMark/>
          </w:tcPr>
          <w:p w14:paraId="60C76469"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956DC6">
              <w:rPr>
                <w:b/>
                <w:bCs/>
                <w:color w:val="auto"/>
                <w:lang w:eastAsia="en-GB"/>
              </w:rPr>
              <w:t>0.20%</w:t>
            </w:r>
          </w:p>
        </w:tc>
        <w:tc>
          <w:tcPr>
            <w:tcW w:w="1096" w:type="dxa"/>
            <w:noWrap/>
            <w:hideMark/>
          </w:tcPr>
          <w:p w14:paraId="5C63EF74" w14:textId="77777777" w:rsidR="00956DC6" w:rsidRPr="00956DC6" w:rsidRDefault="00956DC6" w:rsidP="00D129BB">
            <w:pPr>
              <w:cnfStyle w:val="000000000000" w:firstRow="0" w:lastRow="0" w:firstColumn="0" w:lastColumn="0" w:oddVBand="0" w:evenVBand="0" w:oddHBand="0" w:evenHBand="0" w:firstRowFirstColumn="0" w:firstRowLastColumn="0" w:lastRowFirstColumn="0" w:lastRowLastColumn="0"/>
              <w:rPr>
                <w:b/>
                <w:bCs/>
                <w:color w:val="auto"/>
                <w:lang w:eastAsia="en-GB"/>
              </w:rPr>
            </w:pPr>
            <w:r w:rsidRPr="00956DC6">
              <w:rPr>
                <w:b/>
                <w:bCs/>
                <w:color w:val="auto"/>
                <w:lang w:eastAsia="en-GB"/>
              </w:rPr>
              <w:t>0.50%</w:t>
            </w:r>
          </w:p>
        </w:tc>
      </w:tr>
    </w:tbl>
    <w:p w14:paraId="39400DEC" w14:textId="77777777" w:rsidR="005D1E23" w:rsidRDefault="005D1E23" w:rsidP="00D129BB">
      <w:pPr>
        <w:pStyle w:val="11Bodytext"/>
        <w:numPr>
          <w:ilvl w:val="0"/>
          <w:numId w:val="0"/>
        </w:numPr>
        <w:spacing w:before="0" w:line="240" w:lineRule="auto"/>
        <w:ind w:left="794"/>
      </w:pPr>
      <w:r>
        <w:t xml:space="preserve">Source: ONS, Sub-national dwelling stock by tenure estimates, 2018 </w:t>
      </w:r>
    </w:p>
    <w:p w14:paraId="6962EA5A" w14:textId="6AF88613" w:rsidR="005D1E23" w:rsidRDefault="005D1E23" w:rsidP="007D0FBF">
      <w:pPr>
        <w:pStyle w:val="11Bodytext"/>
      </w:pPr>
      <w:r>
        <w:t xml:space="preserve">At a local authority level there has been a significant percentage growth in the </w:t>
      </w:r>
      <w:proofErr w:type="gramStart"/>
      <w:r>
        <w:t>PRS  in</w:t>
      </w:r>
      <w:proofErr w:type="gramEnd"/>
      <w:r>
        <w:t xml:space="preserve"> Cambridge and a lesser percentage growth in East Cambridgeshire. However, there was a percentage decline in all other local authorities. </w:t>
      </w:r>
    </w:p>
    <w:p w14:paraId="12C573D0" w14:textId="77777777" w:rsidR="005D1E23" w:rsidRDefault="005D1E23" w:rsidP="00D129BB">
      <w:pPr>
        <w:pStyle w:val="Heading3"/>
      </w:pPr>
      <w:r>
        <w:t>Benefit Claimants</w:t>
      </w:r>
    </w:p>
    <w:p w14:paraId="3BF8A25E" w14:textId="5B3C76FE" w:rsidR="005D1E23" w:rsidRDefault="005D1E23" w:rsidP="007D0FBF">
      <w:pPr>
        <w:pStyle w:val="11Bodytext"/>
      </w:pPr>
      <w:r>
        <w:t xml:space="preserve">Further analysis has been carried out to look at the number of housing benefit claimants in the PRS. This indicates the number of people who are using the sector as a form of subsidised housing, and in many cases will be living in private rented accommodation due to a lack of social or affordable rent housing. </w:t>
      </w:r>
    </w:p>
    <w:p w14:paraId="4C79C5A4" w14:textId="77777777" w:rsidR="005D1E23" w:rsidRPr="00526C6E" w:rsidRDefault="005D1E23" w:rsidP="007D0FBF">
      <w:pPr>
        <w:pStyle w:val="11Bodytext"/>
        <w:rPr>
          <w:rFonts w:eastAsia="MS PGothic"/>
        </w:rPr>
      </w:pPr>
      <w:r>
        <w:t>It should be noted that some of these households may be in the sector through choice whilst others may be forced to use the sector if they are excluded from the Housing Register (</w:t>
      </w:r>
      <w:proofErr w:type="gramStart"/>
      <w:r>
        <w:t>e.g.</w:t>
      </w:r>
      <w:proofErr w:type="gramEnd"/>
      <w:r>
        <w:t xml:space="preserve"> due to rent arrears) or through lack of adequate supply. The figure below includes the Universal Credit claims where there is a housing </w:t>
      </w:r>
      <w:proofErr w:type="gramStart"/>
      <w:r>
        <w:t>entitlement  in</w:t>
      </w:r>
      <w:proofErr w:type="gramEnd"/>
      <w:r>
        <w:t xml:space="preserve"> the PRS  .</w:t>
      </w:r>
    </w:p>
    <w:p w14:paraId="76A00814" w14:textId="5F1BA194" w:rsidR="005D1E23" w:rsidRPr="00526C6E" w:rsidRDefault="005D1E23" w:rsidP="007D0FBF">
      <w:pPr>
        <w:pStyle w:val="11Bodytext"/>
        <w:rPr>
          <w:rFonts w:eastAsia="MS PGothic"/>
        </w:rPr>
      </w:pPr>
      <w:r>
        <w:lastRenderedPageBreak/>
        <w:t xml:space="preserve">According to Department for Work and Pensions statistics, the number of people on Universal Credit nationally has doubled in the year between October 2018 and October 2019. This largely reflects the transition from other benefits such as housing benefit to Universal Credit. There may also have been a substantial increase in benefit claimants since 2019 as a result of the COVID-19 pandemic.  </w:t>
      </w:r>
    </w:p>
    <w:p w14:paraId="7462EFDB" w14:textId="5EE59868" w:rsidR="005D1E23" w:rsidRPr="00526C6E" w:rsidRDefault="005D1E23" w:rsidP="007D0FBF">
      <w:pPr>
        <w:pStyle w:val="11Bodytext"/>
        <w:rPr>
          <w:rFonts w:eastAsia="MS PGothic"/>
        </w:rPr>
      </w:pPr>
      <w:r>
        <w:t xml:space="preserve">The analysis shows that the number of claimants in the PRS tripled from 1,031 in October 2018 to 3,754 in October 2019 (264%). The number of social rented claimants increased by 325% for the same period. The effect of the COVID-19 pandemic is likely to have increased need for dwellings for social rent from 2019 to 2021.  </w:t>
      </w:r>
    </w:p>
    <w:p w14:paraId="1298A9DC" w14:textId="77777777" w:rsidR="005D1E23" w:rsidRDefault="005D1E23" w:rsidP="003D5E23">
      <w:pPr>
        <w:pStyle w:val="FigureHeading"/>
      </w:pPr>
      <w:r>
        <w:t>Number of Universal Credit claimants with housing component broken down by tenure – HMA</w:t>
      </w:r>
    </w:p>
    <w:p w14:paraId="05B915CC" w14:textId="7D0D2893" w:rsidR="005D1E23" w:rsidRDefault="00D129BB" w:rsidP="003D5E23">
      <w:pPr>
        <w:pStyle w:val="FigureHeading"/>
        <w:numPr>
          <w:ilvl w:val="0"/>
          <w:numId w:val="0"/>
        </w:numPr>
        <w:ind w:left="794"/>
      </w:pPr>
      <w:r>
        <w:t xml:space="preserve">   </w:t>
      </w:r>
      <w:r w:rsidR="005D1E23">
        <w:rPr>
          <w:noProof/>
        </w:rPr>
        <w:drawing>
          <wp:inline distT="0" distB="0" distL="0" distR="0" wp14:anchorId="01598322" wp14:editId="1ADCEE6E">
            <wp:extent cx="5442509" cy="2494483"/>
            <wp:effectExtent l="0" t="0" r="6350" b="1270"/>
            <wp:docPr id="1033" name="Chart 1033" descr="Chart showing claimants across the HMA over time">
              <a:extLst xmlns:a="http://schemas.openxmlformats.org/drawingml/2006/main">
                <a:ext uri="{FF2B5EF4-FFF2-40B4-BE49-F238E27FC236}">
                  <a16:creationId xmlns:a16="http://schemas.microsoft.com/office/drawing/2014/main" id="{3499F450-CBCA-43B3-9C45-4B1BFE50E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885E16B" w14:textId="77777777" w:rsidR="005D1E23" w:rsidRPr="00D129BB" w:rsidRDefault="005D1E23" w:rsidP="008E6E40">
      <w:pPr>
        <w:keepNext/>
        <w:ind w:left="794"/>
        <w:rPr>
          <w:rFonts w:eastAsiaTheme="minorHAnsi"/>
          <w:sz w:val="24"/>
          <w:szCs w:val="24"/>
          <w:lang w:eastAsia="en-US"/>
        </w:rPr>
      </w:pPr>
      <w:r w:rsidRPr="00D129BB">
        <w:rPr>
          <w:sz w:val="24"/>
          <w:szCs w:val="24"/>
        </w:rPr>
        <w:t>Source: Department of Work and Pensions</w:t>
      </w:r>
    </w:p>
    <w:p w14:paraId="33258317" w14:textId="2914AC1E" w:rsidR="005D1E23" w:rsidRDefault="005D1E23" w:rsidP="007D0FBF">
      <w:pPr>
        <w:pStyle w:val="11Bodytext"/>
      </w:pPr>
      <w:r>
        <w:t xml:space="preserve">As of October 2019, a total of 10,441 Universal Credit Claimants who qualify for the housing component reside in the HMA. Of those 6,525 (62%) are social tenants and 3,754 (36%) are private tenants. This demonstrates the important role that the </w:t>
      </w:r>
      <w:proofErr w:type="gramStart"/>
      <w:r>
        <w:t>PRS  has</w:t>
      </w:r>
      <w:proofErr w:type="gramEnd"/>
      <w:r>
        <w:t xml:space="preserve"> in providing accommodation for those who cannot afford to pay full market rent. </w:t>
      </w:r>
    </w:p>
    <w:p w14:paraId="48EED10B" w14:textId="77777777" w:rsidR="00647ED0" w:rsidRDefault="00647ED0">
      <w:pPr>
        <w:spacing w:after="200"/>
        <w:rPr>
          <w:bCs/>
          <w:sz w:val="24"/>
          <w:szCs w:val="24"/>
        </w:rPr>
      </w:pPr>
      <w:r>
        <w:br w:type="page"/>
      </w:r>
    </w:p>
    <w:p w14:paraId="4122CC31" w14:textId="0E14A446" w:rsidR="005D1E23" w:rsidRDefault="005D1E23" w:rsidP="007D0FBF">
      <w:pPr>
        <w:pStyle w:val="11Bodytext"/>
      </w:pPr>
      <w:r>
        <w:lastRenderedPageBreak/>
        <w:t xml:space="preserve">The </w:t>
      </w:r>
      <w:r w:rsidR="00434AA9">
        <w:t>figure</w:t>
      </w:r>
      <w:r>
        <w:t xml:space="preserve"> below shows the change in the number of housing benefit claimants over the period April 2019 to </w:t>
      </w:r>
      <w:r w:rsidR="00C0388C">
        <w:t>November</w:t>
      </w:r>
      <w:r>
        <w:t xml:space="preserve"> 2020. Over the 8 month period from April to November 2019, the HMA saw a reduction of 2,278 claims, or around 285 per month. </w:t>
      </w:r>
    </w:p>
    <w:p w14:paraId="6F004E89" w14:textId="32B49AA6" w:rsidR="005D1E23" w:rsidRDefault="005D1E23" w:rsidP="007D0FBF">
      <w:pPr>
        <w:pStyle w:val="11Bodytext"/>
      </w:pPr>
      <w:r>
        <w:t xml:space="preserve">This compares with an increase of 3,679 in claims for Universal Credit </w:t>
      </w:r>
      <w:r w:rsidR="00C0388C">
        <w:t xml:space="preserve">(that </w:t>
      </w:r>
      <w:r>
        <w:t>includes the housing component</w:t>
      </w:r>
      <w:r w:rsidR="00C0388C">
        <w:t xml:space="preserve">) </w:t>
      </w:r>
      <w:r>
        <w:t xml:space="preserve">over the period April to October, a monthly increase of 526 each month. This indicates net new claims (allowing for Housing Benefit transfers) of 241 per month.  Again, it is worth noting that the COVID-19 pandemic is likely to have increased this rate of increase still further.  </w:t>
      </w:r>
    </w:p>
    <w:p w14:paraId="79D1DCB2" w14:textId="77777777" w:rsidR="005D1E23" w:rsidRDefault="005D1E23" w:rsidP="007D0FBF">
      <w:pPr>
        <w:pStyle w:val="11Bodytext"/>
      </w:pPr>
      <w:r>
        <w:t xml:space="preserve">The largest numbers of Housing Benefit claimants are in the authorities with the largest populations of West Suffolk, </w:t>
      </w:r>
      <w:proofErr w:type="gramStart"/>
      <w:r>
        <w:t>Cambridge</w:t>
      </w:r>
      <w:proofErr w:type="gramEnd"/>
      <w:r>
        <w:t xml:space="preserve"> and Huntingdonshire. Conversely, the lowest number is East Cambridgeshire. </w:t>
      </w:r>
    </w:p>
    <w:p w14:paraId="030C8D7B" w14:textId="77777777" w:rsidR="005D1E23" w:rsidRDefault="005D1E23" w:rsidP="003D5E23">
      <w:pPr>
        <w:pStyle w:val="FigureHeading"/>
      </w:pPr>
      <w:r>
        <w:t xml:space="preserve">Housing benefit claimants, HMA </w:t>
      </w:r>
    </w:p>
    <w:p w14:paraId="139C620E" w14:textId="7F8046D6" w:rsidR="005D1E23" w:rsidRDefault="005D1E23" w:rsidP="00B35A8B">
      <w:pPr>
        <w:pStyle w:val="11Bodytext"/>
        <w:numPr>
          <w:ilvl w:val="0"/>
          <w:numId w:val="0"/>
        </w:numPr>
        <w:spacing w:before="0" w:after="0" w:line="240" w:lineRule="auto"/>
        <w:ind w:left="794"/>
      </w:pPr>
      <w:r>
        <w:rPr>
          <w:noProof/>
        </w:rPr>
        <w:drawing>
          <wp:inline distT="0" distB="0" distL="0" distR="0" wp14:anchorId="78090212" wp14:editId="07EEF4A6">
            <wp:extent cx="5463540" cy="3215640"/>
            <wp:effectExtent l="0" t="0" r="3810" b="3810"/>
            <wp:docPr id="1046" name="Chart 1046" descr="Chart showing benefit claimants over time across comparator areas">
              <a:extLst xmlns:a="http://schemas.openxmlformats.org/drawingml/2006/main">
                <a:ext uri="{FF2B5EF4-FFF2-40B4-BE49-F238E27FC236}">
                  <a16:creationId xmlns:a16="http://schemas.microsoft.com/office/drawing/2014/main" id="{8EC52E77-89A5-4367-B66F-C87A6911E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t>Source: Department for Work and Pensions</w:t>
      </w:r>
    </w:p>
    <w:p w14:paraId="772A7693" w14:textId="77777777" w:rsidR="00B35A8B" w:rsidRDefault="00B35A8B" w:rsidP="00B35A8B">
      <w:pPr>
        <w:pStyle w:val="11Bodytext"/>
        <w:numPr>
          <w:ilvl w:val="0"/>
          <w:numId w:val="0"/>
        </w:numPr>
        <w:spacing w:before="0" w:after="0" w:line="240" w:lineRule="auto"/>
        <w:ind w:left="794"/>
      </w:pPr>
    </w:p>
    <w:p w14:paraId="1CCA8A03" w14:textId="77777777" w:rsidR="005D1E23" w:rsidRDefault="005D1E23" w:rsidP="00B35A8B">
      <w:pPr>
        <w:pStyle w:val="Heading3"/>
      </w:pPr>
      <w:r>
        <w:t xml:space="preserve">Demand for PRS  </w:t>
      </w:r>
    </w:p>
    <w:p w14:paraId="2B6C05B2" w14:textId="77777777" w:rsidR="00647ED0" w:rsidRDefault="00647ED0">
      <w:pPr>
        <w:spacing w:after="200"/>
        <w:rPr>
          <w:bCs/>
          <w:sz w:val="24"/>
          <w:szCs w:val="24"/>
        </w:rPr>
      </w:pPr>
      <w:r>
        <w:br w:type="page"/>
      </w:r>
    </w:p>
    <w:p w14:paraId="211D565B" w14:textId="2975E8AD" w:rsidR="005D1E23" w:rsidRDefault="005D1E23" w:rsidP="007D0FBF">
      <w:pPr>
        <w:pStyle w:val="11Bodytext"/>
      </w:pPr>
      <w:r>
        <w:lastRenderedPageBreak/>
        <w:t xml:space="preserve">This study has not attempted to estimate the need for additional private rented housing. Likely, the decision of households as to whether to buy or rent a home in the open market is dependent on several factors which means that demand can fluctuate over time; this would include mortgage lending practices and the availability of housing related benefit. </w:t>
      </w:r>
    </w:p>
    <w:p w14:paraId="7D869C8C" w14:textId="3DA3B46E" w:rsidR="005D1E23" w:rsidRDefault="005D1E23" w:rsidP="007D0FBF">
      <w:pPr>
        <w:pStyle w:val="11Bodytext"/>
      </w:pPr>
      <w:r>
        <w:t xml:space="preserve">A general (national and local) shortage of housing is likely to have driven some of the growth in the PRS, including increases in the number of younger people in the sector, and increases in shared accommodation. </w:t>
      </w:r>
      <w:r w:rsidR="00E723D3">
        <w:t xml:space="preserve">The figure below sets out the change in rents across the HMA between 2011 and 2019. The </w:t>
      </w:r>
      <w:r w:rsidR="00363FC5">
        <w:t xml:space="preserve">increase over </w:t>
      </w:r>
      <w:proofErr w:type="gramStart"/>
      <w:r w:rsidR="00363FC5">
        <w:t xml:space="preserve">time </w:t>
      </w:r>
      <w:r w:rsidR="00E723D3">
        <w:t xml:space="preserve"> </w:t>
      </w:r>
      <w:r w:rsidR="00363FC5">
        <w:t>(</w:t>
      </w:r>
      <w:proofErr w:type="gramEnd"/>
      <w:r w:rsidR="00363FC5">
        <w:t>34% in the HMA as a whole) points to a substantial increase in demand</w:t>
      </w:r>
      <w:r w:rsidR="001C767C">
        <w:t xml:space="preserve"> for rented accommodation. </w:t>
      </w:r>
    </w:p>
    <w:p w14:paraId="3978DB07" w14:textId="3D08A58E" w:rsidR="00FC451F" w:rsidRDefault="00FC451F" w:rsidP="003D5E23">
      <w:pPr>
        <w:pStyle w:val="FigureHeading"/>
      </w:pPr>
      <w:r w:rsidRPr="00FC451F">
        <w:t>Change in rent in the HMA (Sept 2011-Mar-2019)</w:t>
      </w:r>
    </w:p>
    <w:p w14:paraId="4A86D53D" w14:textId="0E4C600D" w:rsidR="00E327CA" w:rsidRDefault="00630D58" w:rsidP="00B35A8B">
      <w:pPr>
        <w:pStyle w:val="11Bodytext"/>
        <w:numPr>
          <w:ilvl w:val="0"/>
          <w:numId w:val="0"/>
        </w:numPr>
        <w:spacing w:before="0" w:after="0" w:line="240" w:lineRule="auto"/>
        <w:ind w:left="794"/>
      </w:pPr>
      <w:r>
        <w:rPr>
          <w:noProof/>
        </w:rPr>
        <w:drawing>
          <wp:inline distT="0" distB="0" distL="0" distR="0" wp14:anchorId="230D9A22" wp14:editId="6CBCFAF3">
            <wp:extent cx="5464455" cy="3518611"/>
            <wp:effectExtent l="0" t="0" r="3175" b="5715"/>
            <wp:docPr id="210" name="Chart 210" descr="Chart showing change in rent across comparator areas">
              <a:extLst xmlns:a="http://schemas.openxmlformats.org/drawingml/2006/main">
                <a:ext uri="{FF2B5EF4-FFF2-40B4-BE49-F238E27FC236}">
                  <a16:creationId xmlns:a16="http://schemas.microsoft.com/office/drawing/2014/main" id="{1A5D408C-9952-4CCB-A2B6-46056C8C0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14D0DCB" w14:textId="72DA6931" w:rsidR="001C767C" w:rsidRDefault="001C767C" w:rsidP="00B35A8B">
      <w:pPr>
        <w:pStyle w:val="11Bodytext"/>
        <w:numPr>
          <w:ilvl w:val="0"/>
          <w:numId w:val="0"/>
        </w:numPr>
        <w:spacing w:before="0" w:line="240" w:lineRule="auto"/>
        <w:ind w:left="794"/>
      </w:pPr>
      <w:r>
        <w:t xml:space="preserve">Source: </w:t>
      </w:r>
      <w:r w:rsidR="008651D0">
        <w:t>VOA</w:t>
      </w:r>
    </w:p>
    <w:p w14:paraId="3030AF9B" w14:textId="1145E41E" w:rsidR="005D1E23" w:rsidRDefault="005D1E23" w:rsidP="007D0FBF">
      <w:pPr>
        <w:pStyle w:val="11Bodytext"/>
      </w:pPr>
      <w:r>
        <w:t xml:space="preserve">If the supply of housing at the right prices and in the right locations increases, then this potentially means that more households who would otherwise be renting would be able to buy.  This is particularly the case if the supply of affordable home ownership products, which is essentially targeted at those currently renting, </w:t>
      </w:r>
      <w:r>
        <w:lastRenderedPageBreak/>
        <w:t>increases.  This is a further consideration for the Councils in deciding the split of affordable housing tenures being sought.</w:t>
      </w:r>
    </w:p>
    <w:p w14:paraId="56CD93D1" w14:textId="77777777" w:rsidR="005D1E23" w:rsidRPr="00526C6E" w:rsidRDefault="005D1E23" w:rsidP="007D0FBF">
      <w:pPr>
        <w:pStyle w:val="11Bodytext"/>
        <w:rPr>
          <w:b/>
        </w:rPr>
      </w:pPr>
      <w:r>
        <w:t>Schemes such as Help to Buy has also helped support the number of people to buy instead of rent</w:t>
      </w:r>
      <w:r>
        <w:rPr>
          <w:rStyle w:val="FootnoteReference"/>
        </w:rPr>
        <w:footnoteReference w:id="53"/>
      </w:r>
      <w:r>
        <w:t>.</w:t>
      </w:r>
    </w:p>
    <w:p w14:paraId="27AC8FD8" w14:textId="77777777" w:rsidR="005D1E23" w:rsidRPr="00526C6E" w:rsidRDefault="005D1E23" w:rsidP="007D0FBF">
      <w:pPr>
        <w:pStyle w:val="11Bodytext"/>
        <w:rPr>
          <w:b/>
          <w:szCs w:val="18"/>
        </w:rPr>
      </w:pPr>
      <w:r>
        <w:t xml:space="preserve">Earlier in this report the need for those requiring an affordable home ownership (AHO) product was identified. We also noted that given the finite supply of affordable homes of any tenure then the Councils will need to decide what levels of affordable home ownership or Social and Affordable Rental products to request in policy.  If the Councils prioritise the </w:t>
      </w:r>
      <w:proofErr w:type="gramStart"/>
      <w:r>
        <w:t>latter</w:t>
      </w:r>
      <w:proofErr w:type="gramEnd"/>
      <w:r>
        <w:t xml:space="preserve"> then it is possible that there would be an unmet need from those requiring affordable home ownership products. </w:t>
      </w:r>
    </w:p>
    <w:p w14:paraId="22171FEC" w14:textId="00962AC6" w:rsidR="005D1E23" w:rsidRPr="00526C6E" w:rsidRDefault="00831AAE" w:rsidP="007D0FBF">
      <w:pPr>
        <w:pStyle w:val="11Bodytext"/>
        <w:rPr>
          <w:b/>
          <w:szCs w:val="18"/>
        </w:rPr>
      </w:pPr>
      <w:r>
        <w:t>Part of t</w:t>
      </w:r>
      <w:r w:rsidR="005D1E23">
        <w:t xml:space="preserve">his unmet need could be addressed through the delivery of further PRS homes either from institutional supply or from ad-hoc buy to let investors.  </w:t>
      </w:r>
      <w:r w:rsidR="008F6594" w:rsidRPr="000560C7">
        <w:t>Affordable private rent opportunities in institutional private rented sector schemes can play an important role here.</w:t>
      </w:r>
      <w:r w:rsidR="008F6594">
        <w:t xml:space="preserve"> </w:t>
      </w:r>
      <w:r w:rsidR="005D1E23">
        <w:t>Although it should be noted that the majority of these households will already be in PRS accommodation and it is only the newly forming households and those households that fall into need that would require additional PRS   accommodation.</w:t>
      </w:r>
    </w:p>
    <w:p w14:paraId="6C305B07" w14:textId="77777777" w:rsidR="005D1E23" w:rsidRPr="00526C6E" w:rsidRDefault="005D1E23" w:rsidP="007D0FBF">
      <w:pPr>
        <w:pStyle w:val="11Bodytext"/>
        <w:rPr>
          <w:b/>
          <w:szCs w:val="18"/>
        </w:rPr>
      </w:pPr>
      <w:r>
        <w:t xml:space="preserve">There will also be additional newly forming households that are not in affordable housing need that may decide to rent privately.  This may be for a number of reasons including but not limited to; those only staying in the area for a short term stay such as contractors or academics or students, those who could afford a mortgage but cannot raise a deposit, those that cannot access mortgages due to poor credit and those with a preference for renting.  </w:t>
      </w:r>
    </w:p>
    <w:p w14:paraId="16210186" w14:textId="77777777" w:rsidR="005D1E23" w:rsidRDefault="005D1E23" w:rsidP="00B35A8B">
      <w:pPr>
        <w:pStyle w:val="Heading3"/>
      </w:pPr>
      <w:r>
        <w:t xml:space="preserve">Build </w:t>
      </w:r>
      <w:proofErr w:type="gramStart"/>
      <w:r>
        <w:t>To</w:t>
      </w:r>
      <w:proofErr w:type="gramEnd"/>
      <w:r>
        <w:t xml:space="preserve"> Rent (BTR) sector </w:t>
      </w:r>
    </w:p>
    <w:p w14:paraId="0B442D67" w14:textId="77777777" w:rsidR="005D1E23" w:rsidRDefault="005D1E23" w:rsidP="007D0FBF">
      <w:pPr>
        <w:pStyle w:val="11Bodytext"/>
      </w:pPr>
      <w:r>
        <w:t xml:space="preserve">The UK Government defines the BTR sector as </w:t>
      </w:r>
      <w:r>
        <w:rPr>
          <w:noProof/>
        </w:rPr>
        <w:t>purpose-built</w:t>
      </w:r>
      <w:r>
        <w:t xml:space="preserve"> housing that is typically 100% rented out. It can form part of a wider multi-tenure development comprising either flats or </w:t>
      </w:r>
      <w:r>
        <w:rPr>
          <w:noProof/>
        </w:rPr>
        <w:t>houses</w:t>
      </w:r>
      <w:r>
        <w:t xml:space="preserve"> but should be on the same site and/or contiguous </w:t>
      </w:r>
      <w:r>
        <w:lastRenderedPageBreak/>
        <w:t xml:space="preserve">with the main development. Schemes usually offer longer tenancy agreements of three years or more and will typically be professionally managed stock in single ownership and management control. </w:t>
      </w:r>
    </w:p>
    <w:p w14:paraId="518E72FA" w14:textId="77777777" w:rsidR="005D1E23" w:rsidRDefault="005D1E23" w:rsidP="007D0FBF">
      <w:pPr>
        <w:pStyle w:val="11Bodytext"/>
      </w:pPr>
      <w:r>
        <w:t xml:space="preserve">BTR schemes can be important in supporting housing delivery in times of economic and housing market uncertainty as investors base their investment decisions on the long-term prospects for housing demand. </w:t>
      </w:r>
    </w:p>
    <w:p w14:paraId="60DDC140" w14:textId="77777777" w:rsidR="005D1E23" w:rsidRDefault="005D1E23" w:rsidP="007D0FBF">
      <w:pPr>
        <w:pStyle w:val="11Bodytext"/>
      </w:pPr>
      <w:r>
        <w:t>Unlocking the Benefits and Potential of BTR</w:t>
      </w:r>
      <w:r>
        <w:rPr>
          <w:rStyle w:val="FootnoteReference"/>
          <w:color w:val="4CAAE4" w:themeColor="hyperlink"/>
          <w:u w:val="single"/>
        </w:rPr>
        <w:footnoteReference w:id="54"/>
      </w:r>
      <w:r>
        <w:t xml:space="preserve"> (British Property Federation, 2017) identifies that the </w:t>
      </w:r>
      <w:proofErr w:type="gramStart"/>
      <w:r>
        <w:t>BTR  model</w:t>
      </w:r>
      <w:proofErr w:type="gramEnd"/>
      <w:r>
        <w:t xml:space="preserve"> offers an additional sales outlet from the build to sell model. It provides more certainty of an end-buyer for housing developments, by selling to a management company, which helps de-risk schemes. It is particularly helpful on larger developments, where there are multiple phases of development. Often BTR sites on their own require substantial capital commitment and without substantial </w:t>
      </w:r>
      <w:r>
        <w:rPr>
          <w:noProof/>
        </w:rPr>
        <w:t>third-party</w:t>
      </w:r>
      <w:r>
        <w:t xml:space="preserve"> investment, they do not progress. BTR can on these larger developments accelerate delivery because a developer or house builder can deliver stock for both open market sale and market rent concurrently. However, barriers to a BTR scheme include:</w:t>
      </w:r>
    </w:p>
    <w:p w14:paraId="364BABB0" w14:textId="77777777" w:rsidR="005D1E23" w:rsidRDefault="005D1E23" w:rsidP="00B126BB">
      <w:pPr>
        <w:pStyle w:val="10BulletBodytext"/>
      </w:pPr>
      <w:r>
        <w:t>Access to suitable stock for conversion or land;</w:t>
      </w:r>
    </w:p>
    <w:p w14:paraId="100646F2" w14:textId="77777777" w:rsidR="005D1E23" w:rsidRDefault="005D1E23" w:rsidP="00B126BB">
      <w:pPr>
        <w:pStyle w:val="10BulletBodytext"/>
      </w:pPr>
      <w:r>
        <w:t>Low risk-adjusted yields in the form of capital growth rather rental income;</w:t>
      </w:r>
    </w:p>
    <w:p w14:paraId="5BDC7ABE" w14:textId="77777777" w:rsidR="005D1E23" w:rsidRDefault="005D1E23" w:rsidP="00B126BB">
      <w:pPr>
        <w:pStyle w:val="10BulletBodytext"/>
      </w:pPr>
      <w:r>
        <w:t>As an emerging sector there is a lack of investor experience in the sector; and</w:t>
      </w:r>
    </w:p>
    <w:p w14:paraId="345DBA25" w14:textId="77777777" w:rsidR="005D1E23" w:rsidRDefault="005D1E23" w:rsidP="00B126BB">
      <w:pPr>
        <w:pStyle w:val="10BulletBodytext"/>
      </w:pPr>
      <w:r>
        <w:t>The need for scale with a scheme of around 200-units termed by the industry as the “sweet spot” for management efficiency and investor purposes.</w:t>
      </w:r>
    </w:p>
    <w:p w14:paraId="0ABADF3B" w14:textId="77777777" w:rsidR="005D1E23" w:rsidRDefault="005D1E23" w:rsidP="007D0FBF">
      <w:pPr>
        <w:pStyle w:val="11Bodytext"/>
      </w:pPr>
      <w:r>
        <w:t xml:space="preserve">The British Property Federation reports BTR schemes across the UK every quarter. Currently, there </w:t>
      </w:r>
      <w:r>
        <w:rPr>
          <w:noProof/>
        </w:rPr>
        <w:t>are</w:t>
      </w:r>
      <w:r>
        <w:t xml:space="preserve"> 152,071 </w:t>
      </w:r>
      <w:r>
        <w:rPr>
          <w:noProof/>
        </w:rPr>
        <w:t xml:space="preserve">BTR </w:t>
      </w:r>
      <w:r>
        <w:t xml:space="preserve">units either completed or planned across the UK, including 40,180 completed, 35,415 under construction and a further 75,475 with planning permission. Of these units, 75,663 are located outside of </w:t>
      </w:r>
      <w:r>
        <w:rPr>
          <w:noProof/>
        </w:rPr>
        <w:t>London</w:t>
      </w:r>
      <w:r>
        <w:t xml:space="preserve">. </w:t>
      </w:r>
    </w:p>
    <w:p w14:paraId="3E12A058" w14:textId="0061D044" w:rsidR="005D1E23" w:rsidRDefault="005D1E23" w:rsidP="007D0FBF">
      <w:pPr>
        <w:pStyle w:val="11Bodytext"/>
      </w:pPr>
      <w:r>
        <w:t xml:space="preserve">The Savills UK </w:t>
      </w:r>
      <w:r w:rsidR="004020EB">
        <w:t>BTR Market</w:t>
      </w:r>
      <w:r>
        <w:t xml:space="preserve"> Update</w:t>
      </w:r>
      <w:r>
        <w:rPr>
          <w:vertAlign w:val="superscript"/>
        </w:rPr>
        <w:footnoteReference w:id="55"/>
      </w:r>
      <w:r>
        <w:t xml:space="preserve"> for Q3 2020 states that the market had at that time, 50,800 completed units, 37,700 under construction and 84,000 in the development pipeline, a total of 172,500 units.</w:t>
      </w:r>
    </w:p>
    <w:p w14:paraId="6B9E1580" w14:textId="7D14D5F1" w:rsidR="005D1E23" w:rsidRDefault="005D1E23" w:rsidP="007D0FBF">
      <w:pPr>
        <w:pStyle w:val="11Bodytext"/>
      </w:pPr>
      <w:r>
        <w:lastRenderedPageBreak/>
        <w:t xml:space="preserve">The report notes that around 88% of the operational stock was located in city centre flats but there had been a slight shift towards “housing led, family targeted” </w:t>
      </w:r>
      <w:r w:rsidR="004020EB">
        <w:t>BTR schemes</w:t>
      </w:r>
      <w:r>
        <w:t xml:space="preserve"> in suburban locations.  This was on the belief that there is a wider PRS   market for houses (63%) than for flats.</w:t>
      </w:r>
    </w:p>
    <w:p w14:paraId="2AABBEEC" w14:textId="77777777" w:rsidR="005D1E23" w:rsidRDefault="005D1E23" w:rsidP="007D0FBF">
      <w:pPr>
        <w:pStyle w:val="11Bodytext"/>
      </w:pPr>
      <w:r>
        <w:t xml:space="preserve">The Savills work also noted that the sector had bounced back from a Pandemic related slowdown.  They also noted new entrants into the sector seeking longer term investment. </w:t>
      </w:r>
    </w:p>
    <w:p w14:paraId="19C81B1C" w14:textId="77777777" w:rsidR="005D1E23" w:rsidRDefault="005D1E23" w:rsidP="007D0FBF">
      <w:pPr>
        <w:pStyle w:val="11Bodytext"/>
      </w:pPr>
      <w:r>
        <w:t xml:space="preserve">BTR is a growing market for some large hedge funds although at present the focus is on major urban locations. Cambridge is unusual in comparison to similarly sized regional cities as it currently has very few build-to-rent schemes under construction although there are a number of schemes that are being considered. </w:t>
      </w:r>
    </w:p>
    <w:p w14:paraId="2CC4BD91" w14:textId="1BF3A29B" w:rsidR="005D1E23" w:rsidRDefault="005D1E23" w:rsidP="007D0FBF">
      <w:pPr>
        <w:pStyle w:val="11Bodytext"/>
      </w:pPr>
      <w:r>
        <w:t xml:space="preserve">There are proposals at an early stage for build-to-rent homes as part of the regeneration that </w:t>
      </w:r>
      <w:proofErr w:type="spellStart"/>
      <w:r>
        <w:t>Brookgate</w:t>
      </w:r>
      <w:proofErr w:type="spellEnd"/>
      <w:r>
        <w:t xml:space="preserve"> plan for the area surrounding Cambridge North station. This site falls within Greater Cambridge.</w:t>
      </w:r>
    </w:p>
    <w:p w14:paraId="12A92697" w14:textId="3901FDD2" w:rsidR="005D1E23" w:rsidRDefault="005D1E23" w:rsidP="007D0FBF">
      <w:pPr>
        <w:pStyle w:val="11Bodytext"/>
      </w:pPr>
      <w:r>
        <w:t xml:space="preserve">The </w:t>
      </w:r>
      <w:r w:rsidR="004020EB">
        <w:t>BTR sector</w:t>
      </w:r>
      <w:r>
        <w:t xml:space="preserve"> may increase in the forthcoming years as the Government has been targeting financial backing for purpose-built PRS   schemes since 2012. This has helped to expand this sector in a range of cities and towns across the country. </w:t>
      </w:r>
    </w:p>
    <w:p w14:paraId="7E3A2A32" w14:textId="77777777" w:rsidR="005D1E23" w:rsidRDefault="005D1E23" w:rsidP="007D0FBF">
      <w:pPr>
        <w:pStyle w:val="11Bodytext"/>
      </w:pPr>
      <w:r>
        <w:t xml:space="preserve">Funding is still being committed at scale; for example, in August 2017 it announced £65m investment into the largest </w:t>
      </w:r>
      <w:proofErr w:type="gramStart"/>
      <w:r>
        <w:t>BTR  site</w:t>
      </w:r>
      <w:proofErr w:type="gramEnd"/>
      <w:r>
        <w:t xml:space="preserve"> at the Wembley Park development in Brent, London, which will see 7,600 homes built, 6,800 of which will be for rent. </w:t>
      </w:r>
    </w:p>
    <w:p w14:paraId="1871BAF9" w14:textId="77777777" w:rsidR="005D1E23" w:rsidRDefault="005D1E23" w:rsidP="007D0FBF">
      <w:pPr>
        <w:pStyle w:val="11Bodytext"/>
      </w:pPr>
      <w:r>
        <w:t>The British Property Federation, London First and UK Apartment Association (UKAA) recently published (February 2021) a report</w:t>
      </w:r>
      <w:r>
        <w:rPr>
          <w:vertAlign w:val="superscript"/>
        </w:rPr>
        <w:footnoteReference w:id="56"/>
      </w:r>
      <w:r>
        <w:t xml:space="preserve"> profiling those who live in built to rent accommodation in London. The report found that the capital makes up the bulk of the UK market, (47% currently, falling to 44% once the pipeline supply is included). This demonstrates a slight movement out of the capital.</w:t>
      </w:r>
    </w:p>
    <w:p w14:paraId="5E1EB135" w14:textId="77777777" w:rsidR="005D1E23" w:rsidRDefault="005D1E23" w:rsidP="007D0FBF">
      <w:pPr>
        <w:pStyle w:val="11Bodytext"/>
      </w:pPr>
      <w:r>
        <w:lastRenderedPageBreak/>
        <w:t xml:space="preserve">Around 62% of residents of </w:t>
      </w:r>
      <w:proofErr w:type="gramStart"/>
      <w:r>
        <w:t>BTR  schemes</w:t>
      </w:r>
      <w:proofErr w:type="gramEnd"/>
      <w:r>
        <w:t xml:space="preserve"> were aged between 25 and 34 compared with 47% in the wider PRS   market. The remaining residents included 17% aged between 16 and 24, 13% aged 35-44 both of which were below the corresponding values for the wider PRS   market.  </w:t>
      </w:r>
    </w:p>
    <w:p w14:paraId="5A81146C" w14:textId="77777777" w:rsidR="005D1E23" w:rsidRDefault="005D1E23" w:rsidP="007D0FBF">
      <w:pPr>
        <w:pStyle w:val="11Bodytext"/>
      </w:pPr>
      <w:r>
        <w:t>Within the local study area those aged between 15 and 44 are expected to grow by 43,903 between 2020 and 2040 based on the standard method.  As the table below sets out, the largest growth is in South Cambridgeshire with the smallest growth in Fenland.</w:t>
      </w:r>
    </w:p>
    <w:p w14:paraId="0A67EB14" w14:textId="77777777" w:rsidR="005D1E23" w:rsidRDefault="005D1E23" w:rsidP="003D5E23">
      <w:pPr>
        <w:pStyle w:val="Tableheading"/>
        <w:numPr>
          <w:ilvl w:val="0"/>
          <w:numId w:val="54"/>
        </w:numPr>
      </w:pPr>
      <w:r>
        <w:t>Projected Population Growth in those aged 15-44</w:t>
      </w:r>
    </w:p>
    <w:tbl>
      <w:tblPr>
        <w:tblStyle w:val="TableGridLight1"/>
        <w:tblW w:w="8647" w:type="dxa"/>
        <w:tblInd w:w="704" w:type="dxa"/>
        <w:tblLayout w:type="fixed"/>
        <w:tblLook w:val="04A0" w:firstRow="1" w:lastRow="0" w:firstColumn="1" w:lastColumn="0" w:noHBand="0" w:noVBand="1"/>
      </w:tblPr>
      <w:tblGrid>
        <w:gridCol w:w="1901"/>
        <w:gridCol w:w="1686"/>
        <w:gridCol w:w="1687"/>
        <w:gridCol w:w="1686"/>
        <w:gridCol w:w="1687"/>
      </w:tblGrid>
      <w:tr w:rsidR="005D1E23" w14:paraId="52659950" w14:textId="77777777" w:rsidTr="004F4BA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4FB21A22" w14:textId="77777777" w:rsidR="005D1E23" w:rsidRPr="004F4BA7" w:rsidRDefault="005D1E23" w:rsidP="008E6E40">
            <w:pPr>
              <w:keepNext/>
              <w:rPr>
                <w:color w:val="auto"/>
                <w:lang w:eastAsia="en-GB"/>
              </w:rPr>
            </w:pPr>
            <w:r w:rsidRPr="004F4BA7">
              <w:rPr>
                <w:color w:val="auto"/>
                <w:lang w:eastAsia="en-GB"/>
              </w:rPr>
              <w:t> </w:t>
            </w:r>
          </w:p>
        </w:tc>
        <w:tc>
          <w:tcPr>
            <w:tcW w:w="1686" w:type="dxa"/>
            <w:hideMark/>
          </w:tcPr>
          <w:p w14:paraId="7EA16935" w14:textId="77777777" w:rsidR="005D1E23" w:rsidRPr="004F4BA7" w:rsidRDefault="005D1E23"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val="en-US" w:eastAsia="en-GB"/>
              </w:rPr>
              <w:t>Population 2020</w:t>
            </w:r>
          </w:p>
        </w:tc>
        <w:tc>
          <w:tcPr>
            <w:tcW w:w="1687" w:type="dxa"/>
            <w:hideMark/>
          </w:tcPr>
          <w:p w14:paraId="114E14D0" w14:textId="77777777" w:rsidR="005D1E23" w:rsidRPr="004F4BA7" w:rsidRDefault="005D1E23"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val="en-US" w:eastAsia="en-GB"/>
              </w:rPr>
              <w:t>Population 2040</w:t>
            </w:r>
          </w:p>
        </w:tc>
        <w:tc>
          <w:tcPr>
            <w:tcW w:w="1686" w:type="dxa"/>
            <w:hideMark/>
          </w:tcPr>
          <w:p w14:paraId="7B811B18" w14:textId="77777777" w:rsidR="005D1E23" w:rsidRPr="004F4BA7" w:rsidRDefault="005D1E23"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val="en-US" w:eastAsia="en-GB"/>
              </w:rPr>
              <w:t xml:space="preserve">Change </w:t>
            </w:r>
          </w:p>
        </w:tc>
        <w:tc>
          <w:tcPr>
            <w:tcW w:w="1687" w:type="dxa"/>
            <w:hideMark/>
          </w:tcPr>
          <w:p w14:paraId="22F95604" w14:textId="77777777" w:rsidR="005D1E23" w:rsidRPr="004F4BA7" w:rsidRDefault="005D1E23" w:rsidP="008E6E40">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val="en-US" w:eastAsia="en-GB"/>
              </w:rPr>
              <w:t>% Change</w:t>
            </w:r>
          </w:p>
        </w:tc>
      </w:tr>
      <w:tr w:rsidR="005D1E23" w14:paraId="5F8CE35B"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1EB7854E" w14:textId="77777777" w:rsidR="005D1E23" w:rsidRDefault="005D1E23" w:rsidP="008E6E40">
            <w:pPr>
              <w:keepNext/>
              <w:rPr>
                <w:color w:val="auto"/>
                <w:lang w:eastAsia="en-GB"/>
              </w:rPr>
            </w:pPr>
            <w:r>
              <w:rPr>
                <w:color w:val="auto"/>
                <w:lang w:eastAsia="en-GB"/>
              </w:rPr>
              <w:t>Cambridge</w:t>
            </w:r>
          </w:p>
        </w:tc>
        <w:tc>
          <w:tcPr>
            <w:tcW w:w="1686" w:type="dxa"/>
            <w:noWrap/>
            <w:hideMark/>
          </w:tcPr>
          <w:p w14:paraId="0181C2C1"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74,843</w:t>
            </w:r>
          </w:p>
        </w:tc>
        <w:tc>
          <w:tcPr>
            <w:tcW w:w="1687" w:type="dxa"/>
            <w:noWrap/>
            <w:hideMark/>
          </w:tcPr>
          <w:p w14:paraId="6A19092D"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80,859</w:t>
            </w:r>
          </w:p>
        </w:tc>
        <w:tc>
          <w:tcPr>
            <w:tcW w:w="1686" w:type="dxa"/>
            <w:noWrap/>
            <w:hideMark/>
          </w:tcPr>
          <w:p w14:paraId="5D8203D9"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6,015</w:t>
            </w:r>
          </w:p>
        </w:tc>
        <w:tc>
          <w:tcPr>
            <w:tcW w:w="1687" w:type="dxa"/>
            <w:noWrap/>
            <w:hideMark/>
          </w:tcPr>
          <w:p w14:paraId="5FDA94D7"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8.0%</w:t>
            </w:r>
          </w:p>
        </w:tc>
      </w:tr>
      <w:tr w:rsidR="005D1E23" w14:paraId="7CA4E886"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3AFAFF70" w14:textId="77777777" w:rsidR="005D1E23" w:rsidRDefault="005D1E23" w:rsidP="008E6E40">
            <w:pPr>
              <w:keepNext/>
              <w:rPr>
                <w:color w:val="auto"/>
                <w:lang w:eastAsia="en-GB"/>
              </w:rPr>
            </w:pPr>
            <w:r>
              <w:rPr>
                <w:color w:val="auto"/>
                <w:lang w:eastAsia="en-GB"/>
              </w:rPr>
              <w:t>East Cambs</w:t>
            </w:r>
          </w:p>
        </w:tc>
        <w:tc>
          <w:tcPr>
            <w:tcW w:w="1686" w:type="dxa"/>
            <w:noWrap/>
            <w:hideMark/>
          </w:tcPr>
          <w:p w14:paraId="4A263C4F"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31,994</w:t>
            </w:r>
          </w:p>
        </w:tc>
        <w:tc>
          <w:tcPr>
            <w:tcW w:w="1687" w:type="dxa"/>
            <w:noWrap/>
            <w:hideMark/>
          </w:tcPr>
          <w:p w14:paraId="37E48D9F"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38,189</w:t>
            </w:r>
          </w:p>
        </w:tc>
        <w:tc>
          <w:tcPr>
            <w:tcW w:w="1686" w:type="dxa"/>
            <w:noWrap/>
            <w:hideMark/>
          </w:tcPr>
          <w:p w14:paraId="5619EE51"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6,192</w:t>
            </w:r>
          </w:p>
        </w:tc>
        <w:tc>
          <w:tcPr>
            <w:tcW w:w="1687" w:type="dxa"/>
            <w:noWrap/>
            <w:hideMark/>
          </w:tcPr>
          <w:p w14:paraId="3BD8864C"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19.4%</w:t>
            </w:r>
          </w:p>
        </w:tc>
      </w:tr>
      <w:tr w:rsidR="005D1E23" w14:paraId="147207D3"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5D79517E" w14:textId="77777777" w:rsidR="005D1E23" w:rsidRDefault="005D1E23" w:rsidP="008E6E40">
            <w:pPr>
              <w:keepNext/>
              <w:rPr>
                <w:color w:val="auto"/>
                <w:lang w:eastAsia="en-GB"/>
              </w:rPr>
            </w:pPr>
            <w:r>
              <w:rPr>
                <w:color w:val="auto"/>
                <w:lang w:eastAsia="en-GB"/>
              </w:rPr>
              <w:t>Fenland</w:t>
            </w:r>
          </w:p>
        </w:tc>
        <w:tc>
          <w:tcPr>
            <w:tcW w:w="1686" w:type="dxa"/>
            <w:noWrap/>
            <w:hideMark/>
          </w:tcPr>
          <w:p w14:paraId="12382F82"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34,768</w:t>
            </w:r>
          </w:p>
        </w:tc>
        <w:tc>
          <w:tcPr>
            <w:tcW w:w="1687" w:type="dxa"/>
            <w:noWrap/>
            <w:hideMark/>
          </w:tcPr>
          <w:p w14:paraId="108354D0"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38,504</w:t>
            </w:r>
          </w:p>
        </w:tc>
        <w:tc>
          <w:tcPr>
            <w:tcW w:w="1686" w:type="dxa"/>
            <w:noWrap/>
            <w:hideMark/>
          </w:tcPr>
          <w:p w14:paraId="19596716"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3,736</w:t>
            </w:r>
          </w:p>
        </w:tc>
        <w:tc>
          <w:tcPr>
            <w:tcW w:w="1687" w:type="dxa"/>
            <w:noWrap/>
            <w:hideMark/>
          </w:tcPr>
          <w:p w14:paraId="15D48153"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10.7%</w:t>
            </w:r>
          </w:p>
        </w:tc>
      </w:tr>
      <w:tr w:rsidR="005D1E23" w14:paraId="16314700"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75A2E5BE" w14:textId="77777777" w:rsidR="005D1E23" w:rsidRDefault="005D1E23" w:rsidP="008E6E40">
            <w:pPr>
              <w:keepNext/>
              <w:rPr>
                <w:color w:val="auto"/>
                <w:lang w:eastAsia="en-GB"/>
              </w:rPr>
            </w:pPr>
            <w:r>
              <w:rPr>
                <w:color w:val="auto"/>
                <w:lang w:eastAsia="en-GB"/>
              </w:rPr>
              <w:t>Huntingdonshire</w:t>
            </w:r>
          </w:p>
        </w:tc>
        <w:tc>
          <w:tcPr>
            <w:tcW w:w="1686" w:type="dxa"/>
            <w:noWrap/>
            <w:hideMark/>
          </w:tcPr>
          <w:p w14:paraId="05549DCB"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65,002</w:t>
            </w:r>
          </w:p>
        </w:tc>
        <w:tc>
          <w:tcPr>
            <w:tcW w:w="1687" w:type="dxa"/>
            <w:noWrap/>
            <w:hideMark/>
          </w:tcPr>
          <w:p w14:paraId="1A361A4A"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73,258</w:t>
            </w:r>
          </w:p>
        </w:tc>
        <w:tc>
          <w:tcPr>
            <w:tcW w:w="1686" w:type="dxa"/>
            <w:noWrap/>
            <w:hideMark/>
          </w:tcPr>
          <w:p w14:paraId="289B3C6F"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8,258</w:t>
            </w:r>
          </w:p>
        </w:tc>
        <w:tc>
          <w:tcPr>
            <w:tcW w:w="1687" w:type="dxa"/>
            <w:noWrap/>
            <w:hideMark/>
          </w:tcPr>
          <w:p w14:paraId="666A46F6"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12.7%</w:t>
            </w:r>
          </w:p>
        </w:tc>
      </w:tr>
      <w:tr w:rsidR="005D1E23" w14:paraId="2AF24028"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7B7D9999" w14:textId="77777777" w:rsidR="005D1E23" w:rsidRDefault="005D1E23" w:rsidP="008E6E40">
            <w:pPr>
              <w:keepNext/>
              <w:rPr>
                <w:color w:val="auto"/>
                <w:lang w:eastAsia="en-GB"/>
              </w:rPr>
            </w:pPr>
            <w:r>
              <w:rPr>
                <w:color w:val="auto"/>
                <w:lang w:eastAsia="en-GB"/>
              </w:rPr>
              <w:t>South Cambs</w:t>
            </w:r>
          </w:p>
        </w:tc>
        <w:tc>
          <w:tcPr>
            <w:tcW w:w="1686" w:type="dxa"/>
            <w:noWrap/>
            <w:hideMark/>
          </w:tcPr>
          <w:p w14:paraId="1C7A712E"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56,995</w:t>
            </w:r>
          </w:p>
        </w:tc>
        <w:tc>
          <w:tcPr>
            <w:tcW w:w="1687" w:type="dxa"/>
            <w:noWrap/>
            <w:hideMark/>
          </w:tcPr>
          <w:p w14:paraId="2054A916"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69,648</w:t>
            </w:r>
          </w:p>
        </w:tc>
        <w:tc>
          <w:tcPr>
            <w:tcW w:w="1686" w:type="dxa"/>
            <w:noWrap/>
            <w:hideMark/>
          </w:tcPr>
          <w:p w14:paraId="6AE76D62"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12,654</w:t>
            </w:r>
          </w:p>
        </w:tc>
        <w:tc>
          <w:tcPr>
            <w:tcW w:w="1687" w:type="dxa"/>
            <w:noWrap/>
            <w:hideMark/>
          </w:tcPr>
          <w:p w14:paraId="4B5C31E0"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22.2%</w:t>
            </w:r>
          </w:p>
        </w:tc>
      </w:tr>
      <w:tr w:rsidR="005D1E23" w14:paraId="2A51C5FE"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2A9419F2" w14:textId="77777777" w:rsidR="005D1E23" w:rsidRDefault="005D1E23" w:rsidP="008E6E40">
            <w:pPr>
              <w:keepNext/>
              <w:rPr>
                <w:color w:val="auto"/>
                <w:lang w:eastAsia="en-GB"/>
              </w:rPr>
            </w:pPr>
            <w:r>
              <w:rPr>
                <w:color w:val="auto"/>
                <w:lang w:eastAsia="en-GB"/>
              </w:rPr>
              <w:t>West Suffolk</w:t>
            </w:r>
          </w:p>
        </w:tc>
        <w:tc>
          <w:tcPr>
            <w:tcW w:w="1686" w:type="dxa"/>
            <w:noWrap/>
            <w:hideMark/>
          </w:tcPr>
          <w:p w14:paraId="0EB42379"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66,554</w:t>
            </w:r>
          </w:p>
        </w:tc>
        <w:tc>
          <w:tcPr>
            <w:tcW w:w="1687" w:type="dxa"/>
            <w:noWrap/>
            <w:hideMark/>
          </w:tcPr>
          <w:p w14:paraId="2FC1822B"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73,604</w:t>
            </w:r>
          </w:p>
        </w:tc>
        <w:tc>
          <w:tcPr>
            <w:tcW w:w="1686" w:type="dxa"/>
            <w:noWrap/>
            <w:hideMark/>
          </w:tcPr>
          <w:p w14:paraId="2DAB81B7"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7,048</w:t>
            </w:r>
          </w:p>
        </w:tc>
        <w:tc>
          <w:tcPr>
            <w:tcW w:w="1687" w:type="dxa"/>
            <w:noWrap/>
            <w:hideMark/>
          </w:tcPr>
          <w:p w14:paraId="279C1802"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10.6%</w:t>
            </w:r>
          </w:p>
        </w:tc>
      </w:tr>
      <w:tr w:rsidR="005D1E23" w14:paraId="4D6661BE"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1E255CC5" w14:textId="77777777" w:rsidR="005D1E23" w:rsidRDefault="005D1E23" w:rsidP="008E6E40">
            <w:pPr>
              <w:keepNext/>
              <w:rPr>
                <w:color w:val="auto"/>
                <w:lang w:eastAsia="en-GB"/>
              </w:rPr>
            </w:pPr>
            <w:r>
              <w:rPr>
                <w:color w:val="auto"/>
                <w:lang w:eastAsia="en-GB"/>
              </w:rPr>
              <w:t>Greater Cambridge</w:t>
            </w:r>
          </w:p>
        </w:tc>
        <w:tc>
          <w:tcPr>
            <w:tcW w:w="1686" w:type="dxa"/>
            <w:noWrap/>
            <w:hideMark/>
          </w:tcPr>
          <w:p w14:paraId="1A64AD96"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131,838</w:t>
            </w:r>
          </w:p>
        </w:tc>
        <w:tc>
          <w:tcPr>
            <w:tcW w:w="1687" w:type="dxa"/>
            <w:noWrap/>
            <w:hideMark/>
          </w:tcPr>
          <w:p w14:paraId="236419ED"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150,507</w:t>
            </w:r>
          </w:p>
        </w:tc>
        <w:tc>
          <w:tcPr>
            <w:tcW w:w="1686" w:type="dxa"/>
            <w:noWrap/>
            <w:hideMark/>
          </w:tcPr>
          <w:p w14:paraId="5243690C"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18,669</w:t>
            </w:r>
          </w:p>
        </w:tc>
        <w:tc>
          <w:tcPr>
            <w:tcW w:w="1687" w:type="dxa"/>
            <w:noWrap/>
            <w:hideMark/>
          </w:tcPr>
          <w:p w14:paraId="7F21C3ED" w14:textId="77777777" w:rsidR="005D1E23" w:rsidRDefault="005D1E23" w:rsidP="008E6E40">
            <w:pPr>
              <w:keepNext/>
              <w:cnfStyle w:val="000000000000" w:firstRow="0" w:lastRow="0" w:firstColumn="0" w:lastColumn="0" w:oddVBand="0" w:evenVBand="0" w:oddHBand="0" w:evenHBand="0" w:firstRowFirstColumn="0" w:firstRowLastColumn="0" w:lastRowFirstColumn="0" w:lastRowLastColumn="0"/>
              <w:rPr>
                <w:color w:val="000000"/>
                <w:lang w:eastAsia="en-GB"/>
              </w:rPr>
            </w:pPr>
            <w:r>
              <w:rPr>
                <w:color w:val="000000"/>
                <w:lang w:eastAsia="en-GB"/>
              </w:rPr>
              <w:t>14.2%</w:t>
            </w:r>
          </w:p>
        </w:tc>
      </w:tr>
      <w:tr w:rsidR="005D1E23" w14:paraId="516052F4" w14:textId="77777777" w:rsidTr="004F4BA7">
        <w:trPr>
          <w:trHeight w:val="298"/>
        </w:trPr>
        <w:tc>
          <w:tcPr>
            <w:cnfStyle w:val="001000000000" w:firstRow="0" w:lastRow="0" w:firstColumn="1" w:lastColumn="0" w:oddVBand="0" w:evenVBand="0" w:oddHBand="0" w:evenHBand="0" w:firstRowFirstColumn="0" w:firstRowLastColumn="0" w:lastRowFirstColumn="0" w:lastRowLastColumn="0"/>
            <w:tcW w:w="1901" w:type="dxa"/>
            <w:hideMark/>
          </w:tcPr>
          <w:p w14:paraId="6BC09F98" w14:textId="77777777" w:rsidR="005D1E23" w:rsidRPr="004F4BA7" w:rsidRDefault="005D1E23" w:rsidP="008E6E40">
            <w:pPr>
              <w:keepNext/>
              <w:rPr>
                <w:b/>
                <w:bCs/>
                <w:color w:val="auto"/>
                <w:lang w:eastAsia="en-GB"/>
              </w:rPr>
            </w:pPr>
            <w:r w:rsidRPr="004F4BA7">
              <w:rPr>
                <w:b/>
                <w:bCs/>
                <w:color w:val="auto"/>
                <w:lang w:eastAsia="en-GB"/>
              </w:rPr>
              <w:t>HMA</w:t>
            </w:r>
          </w:p>
        </w:tc>
        <w:tc>
          <w:tcPr>
            <w:tcW w:w="1686" w:type="dxa"/>
            <w:noWrap/>
            <w:hideMark/>
          </w:tcPr>
          <w:p w14:paraId="57B787CC" w14:textId="77777777" w:rsidR="005D1E23" w:rsidRPr="004F4BA7" w:rsidRDefault="005D1E23"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330,156</w:t>
            </w:r>
          </w:p>
        </w:tc>
        <w:tc>
          <w:tcPr>
            <w:tcW w:w="1687" w:type="dxa"/>
            <w:noWrap/>
            <w:hideMark/>
          </w:tcPr>
          <w:p w14:paraId="36E1876F" w14:textId="77777777" w:rsidR="005D1E23" w:rsidRPr="004F4BA7" w:rsidRDefault="005D1E23"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374,062</w:t>
            </w:r>
          </w:p>
        </w:tc>
        <w:tc>
          <w:tcPr>
            <w:tcW w:w="1686" w:type="dxa"/>
            <w:noWrap/>
            <w:hideMark/>
          </w:tcPr>
          <w:p w14:paraId="05157D80" w14:textId="77777777" w:rsidR="005D1E23" w:rsidRPr="004F4BA7" w:rsidRDefault="005D1E23"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43,903</w:t>
            </w:r>
          </w:p>
        </w:tc>
        <w:tc>
          <w:tcPr>
            <w:tcW w:w="1687" w:type="dxa"/>
            <w:noWrap/>
            <w:hideMark/>
          </w:tcPr>
          <w:p w14:paraId="247C589D" w14:textId="77777777" w:rsidR="005D1E23" w:rsidRPr="004F4BA7" w:rsidRDefault="005D1E23" w:rsidP="008E6E40">
            <w:pPr>
              <w:keepNext/>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4F4BA7">
              <w:rPr>
                <w:b/>
                <w:bCs/>
                <w:color w:val="000000"/>
                <w:lang w:eastAsia="en-GB"/>
              </w:rPr>
              <w:t>13.3%</w:t>
            </w:r>
          </w:p>
        </w:tc>
      </w:tr>
    </w:tbl>
    <w:p w14:paraId="775B4543" w14:textId="77777777" w:rsidR="005D1E23" w:rsidRDefault="005D1E23" w:rsidP="00B35A8B">
      <w:pPr>
        <w:pStyle w:val="11Bodytext"/>
        <w:numPr>
          <w:ilvl w:val="0"/>
          <w:numId w:val="0"/>
        </w:numPr>
        <w:spacing w:before="0"/>
        <w:ind w:left="794"/>
      </w:pPr>
      <w:r>
        <w:t>Source: Demographic Analysis</w:t>
      </w:r>
    </w:p>
    <w:p w14:paraId="037D0764" w14:textId="77777777" w:rsidR="005D1E23" w:rsidRDefault="005D1E23" w:rsidP="007D0FBF">
      <w:pPr>
        <w:pStyle w:val="11Bodytext"/>
      </w:pPr>
      <w:r>
        <w:t xml:space="preserve">Within this group there will be those who will be able to buy a home separately and those that will not be able to afford to rent a home. The survey data also identified that incomes of those in BTR accommodation are similar to those in PRS   accommodation.  As set out elsewhere in the report the gap between renting and buying in the HMA is those earning between £26,800 to £40,000 and that approximately 48.8% of those earners cannot afford market housing.  </w:t>
      </w:r>
    </w:p>
    <w:p w14:paraId="6E91381B" w14:textId="3115C574" w:rsidR="005D1E23" w:rsidRDefault="005D1E23" w:rsidP="007D0FBF">
      <w:pPr>
        <w:pStyle w:val="11Bodytext"/>
      </w:pPr>
      <w:r>
        <w:t>The survey also identified that typically BTR residents spend between 29% and 35% of their income on accommodation.  This compares to 29% to 32% in the wider PRS demonstrating a willingness to pay slightly more.  The affordability analysis set out herein assumes expenditure of between 28% and 35% so is broadly comparable.</w:t>
      </w:r>
      <w:r w:rsidR="008F6594">
        <w:t xml:space="preserve"> </w:t>
      </w:r>
    </w:p>
    <w:p w14:paraId="5422472A" w14:textId="77777777" w:rsidR="005D1E23" w:rsidRDefault="005D1E23" w:rsidP="007D0FBF">
      <w:pPr>
        <w:pStyle w:val="11Bodytext"/>
      </w:pPr>
      <w:r>
        <w:lastRenderedPageBreak/>
        <w:t xml:space="preserve">It also noted that BTR had comparable levels of affordability but was notably more affordable for couples and sharers. This is perhaps reflected in the higher incidence of these household types within the BTR sector.  </w:t>
      </w:r>
    </w:p>
    <w:p w14:paraId="4210EAB4" w14:textId="77777777" w:rsidR="005D1E23" w:rsidRDefault="005D1E23" w:rsidP="007D0FBF">
      <w:pPr>
        <w:pStyle w:val="11Bodytext"/>
      </w:pPr>
      <w:r>
        <w:t>The report also identified similar levels of people working in the public and private sectors as the wider PRS market (around 85% in the private sector) across a similar cross section of industries to those in PRS.  The most common industries included Finance and Insurance (25%), Other Services (20%) and IT and Communications (including marketing) (15%).  Although this might be representative of London sectors and is not necessarily applicable to all areas.</w:t>
      </w:r>
    </w:p>
    <w:p w14:paraId="1E08CA11" w14:textId="77777777" w:rsidR="005D1E23" w:rsidRDefault="005D1E23" w:rsidP="007D0FBF">
      <w:pPr>
        <w:pStyle w:val="11Bodytext"/>
      </w:pPr>
      <w:r>
        <w:t xml:space="preserve">Demand for this product is, however, still embryonic and it is therefore difficult to accurately predict its location and scale.  </w:t>
      </w:r>
      <w:proofErr w:type="gramStart"/>
      <w:r>
        <w:t>Nevertheless ,</w:t>
      </w:r>
      <w:proofErr w:type="gramEnd"/>
      <w:r>
        <w:t xml:space="preserve"> the Savills report is clear that developer interest has thus far concentrated in urban areas. </w:t>
      </w:r>
      <w:proofErr w:type="gramStart"/>
      <w:r>
        <w:t>Therefore</w:t>
      </w:r>
      <w:proofErr w:type="gramEnd"/>
      <w:r>
        <w:t xml:space="preserve"> we would expect any demand in the study area to focus on Cambridge and its immediately surrounding towns and villages in South Cambridgeshire (demand derived from affluent students, academics and young professionals).</w:t>
      </w:r>
    </w:p>
    <w:p w14:paraId="523CBD60" w14:textId="77777777" w:rsidR="005D1E23" w:rsidRDefault="005D1E23" w:rsidP="007D0FBF">
      <w:pPr>
        <w:pStyle w:val="11Bodytext"/>
      </w:pPr>
      <w:r>
        <w:t xml:space="preserve">There may also be demand in West Suffolk and Huntingdonshire (from military personnel) seeking greater security of tenure and a better quality product.  These areas </w:t>
      </w:r>
      <w:proofErr w:type="gramStart"/>
      <w:r>
        <w:t>may  benefit</w:t>
      </w:r>
      <w:proofErr w:type="gramEnd"/>
      <w:r>
        <w:t xml:space="preserve"> from the Councils allocating sites (or parts of larger sites) for build to-rent accommodation.</w:t>
      </w:r>
    </w:p>
    <w:p w14:paraId="7F39E57C" w14:textId="220FFEA4" w:rsidR="005D1E23" w:rsidRDefault="005D1E23" w:rsidP="007D0FBF">
      <w:pPr>
        <w:pStyle w:val="11Bodytext"/>
      </w:pPr>
      <w:r>
        <w:t xml:space="preserve">That said, where BTR is being proposed on a site in or outside these areas, </w:t>
      </w:r>
      <w:r w:rsidR="00AF57B5">
        <w:t xml:space="preserve">this report recommends that </w:t>
      </w:r>
      <w:r>
        <w:t xml:space="preserve">the policy position </w:t>
      </w:r>
      <w:r w:rsidR="00AF57B5">
        <w:t>is</w:t>
      </w:r>
      <w:r>
        <w:t xml:space="preserve"> supportive, subject to the location and characteristics of the site. </w:t>
      </w:r>
      <w:r w:rsidR="008F6594" w:rsidRPr="000560C7">
        <w:t>Planning Policy Guidance sets 20% as a benchmark for the level of affordable private rent to be provided in any build to rent scheme, but allows for local authorities to set a different proportion in their Local Plan using evidence emerging from the local housing need assessment</w:t>
      </w:r>
      <w:r>
        <w:rPr>
          <w:vertAlign w:val="superscript"/>
        </w:rPr>
        <w:footnoteReference w:id="57"/>
      </w:r>
      <w:r>
        <w:t xml:space="preserve">).   </w:t>
      </w:r>
      <w:r w:rsidR="008F6594">
        <w:t>This may help towards catering for</w:t>
      </w:r>
      <w:r>
        <w:t xml:space="preserve"> demand for affordable rental accommodation set out elsewhere in this report.</w:t>
      </w:r>
    </w:p>
    <w:p w14:paraId="6B25CF8A" w14:textId="178FC6B7" w:rsidR="005D1E23" w:rsidRDefault="005D1E23" w:rsidP="007D0FBF">
      <w:pPr>
        <w:pStyle w:val="11Bodytext"/>
      </w:pPr>
      <w:r>
        <w:lastRenderedPageBreak/>
        <w:t xml:space="preserve">The scale of the demand should also be monitored by examining the take up rate within schemes that come forward.  This will act as a barometer for the scale of demand in the City.  It may also indicate demand in the wider HMA which would result in the other local authorities having to develop a policy response. </w:t>
      </w:r>
    </w:p>
    <w:p w14:paraId="649E4617" w14:textId="77777777" w:rsidR="00E91857" w:rsidRDefault="00E91857" w:rsidP="00E91857">
      <w:pPr>
        <w:pStyle w:val="11Bodytext"/>
        <w:rPr>
          <w:lang w:eastAsia="en-US"/>
        </w:rPr>
      </w:pPr>
      <w:r>
        <w:rPr>
          <w:lang w:eastAsia="en-US"/>
        </w:rPr>
        <w:t xml:space="preserve">As stated above, the Savills report demonstrates similar affordability ratios between income and rent paid in mainstream private rent and build to rent schemes. </w:t>
      </w:r>
    </w:p>
    <w:p w14:paraId="26F3DB9D" w14:textId="1B6CE8BF" w:rsidR="00E91857" w:rsidRDefault="00E91857" w:rsidP="00E91857">
      <w:pPr>
        <w:pStyle w:val="11Bodytext"/>
        <w:rPr>
          <w:lang w:eastAsia="en-US"/>
        </w:rPr>
      </w:pPr>
      <w:r>
        <w:rPr>
          <w:lang w:eastAsia="en-US"/>
        </w:rPr>
        <w:t>That said, a JLL article, “Will tenants pay more rent for amenities?” estimated that BTR schemes in London are, on average, achieving a rental premium of 11% over their respective local markets. As rental and affordability information elsewhere in the report shows, there are a number of households in the PRS who can only just pay their rent. The potentially higher costs in BTR schemes are likely to be prohibitive to these households.</w:t>
      </w:r>
    </w:p>
    <w:p w14:paraId="743CE827" w14:textId="77777777" w:rsidR="00E91857" w:rsidRDefault="00E91857" w:rsidP="00E91857">
      <w:pPr>
        <w:pStyle w:val="11Bodytext"/>
        <w:rPr>
          <w:lang w:eastAsia="en-US"/>
        </w:rPr>
      </w:pPr>
      <w:r>
        <w:rPr>
          <w:lang w:eastAsia="en-US"/>
        </w:rPr>
        <w:t xml:space="preserve">While it is noted that BTR can accelerate housing supply, an increasing interest in bringing BTR schemes forward (particularly in Greater Cambridge), may reduce the number of for-sale developments that deliver social/affordable rent and/or low cost home ownership. </w:t>
      </w:r>
    </w:p>
    <w:p w14:paraId="5FA3235E" w14:textId="77777777" w:rsidR="00E91857" w:rsidRDefault="00E91857" w:rsidP="00E91857">
      <w:pPr>
        <w:pStyle w:val="11Bodytext"/>
        <w:rPr>
          <w:lang w:eastAsia="en-US"/>
        </w:rPr>
      </w:pPr>
      <w:r>
        <w:rPr>
          <w:lang w:eastAsia="en-US"/>
        </w:rPr>
        <w:t xml:space="preserve">Also, it is worth noting that if BTR delivers 20% of units as affordable private rent housing this may reduce the overall new supply of affordable housing in the event that an alternative for-sale scheme could have delivered a higher percentage. </w:t>
      </w:r>
    </w:p>
    <w:p w14:paraId="1090A917" w14:textId="77777777" w:rsidR="00E91857" w:rsidRDefault="00E91857" w:rsidP="00E91857">
      <w:pPr>
        <w:pStyle w:val="11Bodytext"/>
        <w:rPr>
          <w:lang w:eastAsia="en-US"/>
        </w:rPr>
      </w:pPr>
      <w:r>
        <w:rPr>
          <w:lang w:eastAsia="en-US"/>
        </w:rPr>
        <w:t>Similarly, a 20% discount to market rents in BTR schemes may be insufficient to ensure that affordable private rent is affordable to eligible households in areas where rents are particularly high.</w:t>
      </w:r>
    </w:p>
    <w:p w14:paraId="18B385F7" w14:textId="61C90C46" w:rsidR="00E91857" w:rsidRDefault="00E91857" w:rsidP="00E91857">
      <w:pPr>
        <w:pStyle w:val="11Bodytext"/>
        <w:rPr>
          <w:lang w:eastAsia="en-US"/>
        </w:rPr>
      </w:pPr>
      <w:proofErr w:type="gramStart"/>
      <w:r>
        <w:rPr>
          <w:lang w:eastAsia="en-US"/>
        </w:rPr>
        <w:t>Therefore</w:t>
      </w:r>
      <w:proofErr w:type="gramEnd"/>
      <w:r>
        <w:rPr>
          <w:lang w:eastAsia="en-US"/>
        </w:rPr>
        <w:t xml:space="preserve"> the Councils (particularly the Greater Cambridge councils) may wish </w:t>
      </w:r>
      <w:r>
        <w:rPr>
          <w:lang w:eastAsia="en-US"/>
        </w:rPr>
        <w:t xml:space="preserve">to </w:t>
      </w:r>
      <w:r>
        <w:rPr>
          <w:lang w:eastAsia="en-US"/>
        </w:rPr>
        <w:t xml:space="preserve">develop policy that seeks to increase the percentage of affordable private rent to be provided (subject to viability) justified by the need for affordable housing </w:t>
      </w:r>
      <w:r>
        <w:rPr>
          <w:lang w:eastAsia="en-US"/>
        </w:rPr>
        <w:t>as</w:t>
      </w:r>
      <w:r>
        <w:rPr>
          <w:lang w:eastAsia="en-US"/>
        </w:rPr>
        <w:t xml:space="preserve"> set out in this report.</w:t>
      </w:r>
    </w:p>
    <w:p w14:paraId="3A270775" w14:textId="77777777" w:rsidR="00E91857" w:rsidRDefault="00E91857" w:rsidP="00E91857">
      <w:pPr>
        <w:pStyle w:val="11Bodytext"/>
        <w:rPr>
          <w:lang w:eastAsia="en-US"/>
        </w:rPr>
      </w:pPr>
      <w:proofErr w:type="gramStart"/>
      <w:r>
        <w:rPr>
          <w:lang w:eastAsia="en-US"/>
        </w:rPr>
        <w:lastRenderedPageBreak/>
        <w:t>Similarly</w:t>
      </w:r>
      <w:proofErr w:type="gramEnd"/>
      <w:r>
        <w:rPr>
          <w:lang w:eastAsia="en-US"/>
        </w:rPr>
        <w:t xml:space="preserve"> they may also wish to seek rent levels for affordable private rent discount that is greater than 20% discount (subject to viability) to help meet the need for affordable housing.</w:t>
      </w:r>
    </w:p>
    <w:p w14:paraId="01C70904" w14:textId="77777777" w:rsidR="00E91857" w:rsidRDefault="00E91857" w:rsidP="00E91857">
      <w:pPr>
        <w:pStyle w:val="11Bodytext"/>
        <w:numPr>
          <w:ilvl w:val="0"/>
          <w:numId w:val="0"/>
        </w:numPr>
        <w:ind w:left="709" w:hanging="709"/>
      </w:pPr>
    </w:p>
    <w:p w14:paraId="2497C6F6" w14:textId="77777777" w:rsidR="005D1E23" w:rsidRDefault="005D1E23" w:rsidP="007D0FBF">
      <w:pPr>
        <w:pStyle w:val="Heading2"/>
      </w:pPr>
      <w:r>
        <w:t xml:space="preserve">Self-build and custom-build housing </w:t>
      </w:r>
    </w:p>
    <w:p w14:paraId="6DB89F82" w14:textId="77777777" w:rsidR="005D1E23" w:rsidRDefault="005D1E23" w:rsidP="007D0FBF">
      <w:pPr>
        <w:pStyle w:val="11Bodytext"/>
      </w:pPr>
      <w:r>
        <w:t>The Self-Build and Custom Housebuilding Act 2015 (as amended by the Housing and Planning Act 2016) provides a legal definition of ‘self-build and custom housebuilding’ where individuals or associations of individuals (or persons working with or for individuals or associations of individuals) build houses to be occupied as homes for those individuals.</w:t>
      </w:r>
    </w:p>
    <w:p w14:paraId="5ECC3DC1" w14:textId="77777777" w:rsidR="005D1E23" w:rsidRDefault="005D1E23" w:rsidP="007D0FBF">
      <w:pPr>
        <w:pStyle w:val="11Bodytext"/>
      </w:pPr>
      <w:r>
        <w:t xml:space="preserve">The Housing and Planning Act 2016 formally introduced the ‘Right to Build’.  This 2016 Act under the ‘duty to grant planning permissions etc’ </w:t>
      </w:r>
      <w:proofErr w:type="gramStart"/>
      <w:r>
        <w:t>section  placed</w:t>
      </w:r>
      <w:proofErr w:type="gramEnd"/>
      <w:r>
        <w:t xml:space="preserve"> a legal duty on the relevant authority to grant enough planning permissions to meet the demand for self-build housing as identified through its register in each base period</w:t>
      </w:r>
      <w:r>
        <w:rPr>
          <w:rStyle w:val="FootnoteReference"/>
        </w:rPr>
        <w:footnoteReference w:id="58"/>
      </w:r>
      <w:r>
        <w:t xml:space="preserve">.  </w:t>
      </w:r>
    </w:p>
    <w:p w14:paraId="5C69F4F2" w14:textId="77777777" w:rsidR="005D1E23" w:rsidRDefault="005D1E23" w:rsidP="007D0FBF">
      <w:pPr>
        <w:pStyle w:val="11Bodytext"/>
      </w:pPr>
      <w:r>
        <w:t>Paragraph 61 of the NPPF sets out that within the context of the standard method, “the size, type, and tenure of housing needed for different groups in the community should be assessed and reflected in planning policies “including, but not limited to… people wishing to commission or build their homes</w:t>
      </w:r>
      <w:r w:rsidRPr="00526C6E">
        <w:rPr>
          <w:vertAlign w:val="superscript"/>
        </w:rPr>
        <w:t>26</w:t>
      </w:r>
      <w:r>
        <w:t>.”</w:t>
      </w:r>
    </w:p>
    <w:p w14:paraId="1C7865B5" w14:textId="77777777" w:rsidR="005D1E23" w:rsidRDefault="005D1E23" w:rsidP="007D0FBF">
      <w:pPr>
        <w:pStyle w:val="11Bodytext"/>
      </w:pPr>
      <w:r>
        <w:t>Footnote 26 states that</w:t>
      </w:r>
    </w:p>
    <w:p w14:paraId="51E29696" w14:textId="77777777" w:rsidR="005D1E23" w:rsidRDefault="005D1E23" w:rsidP="007D0FBF">
      <w:pPr>
        <w:pStyle w:val="11Bodytext"/>
        <w:numPr>
          <w:ilvl w:val="0"/>
          <w:numId w:val="0"/>
        </w:numPr>
        <w:ind w:left="794"/>
      </w:pPr>
      <w:r>
        <w:t xml:space="preserve">“Under section 1 of the Self-Build and Custom Housebuilding Act 2015, local authorities are required to keep a register of those seeking to acquire serviced </w:t>
      </w:r>
      <w:r>
        <w:lastRenderedPageBreak/>
        <w:t>plots in the area for their own self-build and custom house building. They are also subject to duties under sections 2 and 2A of the Act to have regard to this and to give enough suitable development permissions to meet the identified demand. Self and custom-build properties could provide market or affordable housing.”</w:t>
      </w:r>
    </w:p>
    <w:p w14:paraId="7CB7DD6B" w14:textId="77777777" w:rsidR="005D1E23" w:rsidRDefault="005D1E23" w:rsidP="007D0FBF">
      <w:pPr>
        <w:pStyle w:val="11Bodytext"/>
      </w:pPr>
      <w:r>
        <w:t>Paragraph 3 of the PPG concerning the housing need of different groups describes how the needs of those wanting to self-build and custom housebuilders can be assessed:</w:t>
      </w:r>
    </w:p>
    <w:p w14:paraId="34B64569" w14:textId="77777777" w:rsidR="005D1E23" w:rsidRDefault="005D1E23" w:rsidP="00B126BB">
      <w:pPr>
        <w:pStyle w:val="Quotetext"/>
      </w:pPr>
      <w:r>
        <w:t>“Most local planning authorities (including all district councils and National Park Authorities) are now required to keep a register of individuals and associations of individuals who are seeking to acquire serviced plots of land in their area to build their own home. The Self-build and Custom Housebuilding (Register) Regulations 2016 set out these requirements. For further details, see guidance on self-build and custom housebuilding registers.</w:t>
      </w:r>
    </w:p>
    <w:p w14:paraId="4F91AA94" w14:textId="77777777" w:rsidR="005D1E23" w:rsidRDefault="005D1E23" w:rsidP="00B126BB">
      <w:pPr>
        <w:pStyle w:val="Quotetext"/>
      </w:pPr>
      <w:r>
        <w:t>To obtain a robust assessment of demand for this type of housing in their area, local planning authorities should assess and review the data held on registers. This assessment can be supplemented with the use of existing secondary data sources such as building plot search websites, ‘Need-a-Plot’ information available from the Self-Build Portal and enquiries for building plots from local estate agents.”</w:t>
      </w:r>
    </w:p>
    <w:p w14:paraId="2249DD03" w14:textId="77777777" w:rsidR="005D1E23" w:rsidRDefault="005D1E23" w:rsidP="007D0FBF">
      <w:pPr>
        <w:pStyle w:val="11Bodytext"/>
      </w:pPr>
      <w:r>
        <w:t xml:space="preserve">At paragraph 23 to 28 and paragraph 14 in relation to self and custom build PPG sets out the two Self-build and custom housebuilding land duties </w:t>
      </w:r>
      <w:proofErr w:type="gramStart"/>
      <w:r>
        <w:t>i.e.</w:t>
      </w:r>
      <w:proofErr w:type="gramEnd"/>
      <w:r>
        <w:t xml:space="preserve"> the ‘duty to grant planning permission etc’ and the ‘duty as regards registers’ (Reference ID: 57-023-201760728).</w:t>
      </w:r>
    </w:p>
    <w:p w14:paraId="06B08F7D" w14:textId="77777777" w:rsidR="005D1E23" w:rsidRDefault="005D1E23" w:rsidP="007D0FBF">
      <w:pPr>
        <w:pStyle w:val="11Bodytext"/>
      </w:pPr>
      <w:r>
        <w:t>Paragraph 23 and 24 relate to the duty to grant planning permission etc. and states that all local planning authorities:</w:t>
      </w:r>
    </w:p>
    <w:p w14:paraId="3E7D6841" w14:textId="77777777" w:rsidR="005D1E23" w:rsidRDefault="005D1E23" w:rsidP="00B126BB">
      <w:pPr>
        <w:pStyle w:val="Quotetext"/>
      </w:pPr>
      <w:r>
        <w:t>“must give suitable development permission to enough suitable serviced plots of land to meet the demand for self-build and custom housebuilding in their area. The level of demand is established by reference to the number of entries added to an authority’s register during a base period.</w:t>
      </w:r>
    </w:p>
    <w:p w14:paraId="6C156824" w14:textId="77777777" w:rsidR="005D1E23" w:rsidRDefault="005D1E23" w:rsidP="00B126BB">
      <w:pPr>
        <w:pStyle w:val="Quotetext"/>
        <w:rPr>
          <w:lang w:eastAsia="en-GB"/>
        </w:rPr>
      </w:pPr>
      <w:r>
        <w:rPr>
          <w:lang w:eastAsia="en-GB"/>
        </w:rPr>
        <w:t>The first base period begins on the day on which the register (which meets the requirement of the 2015 Act) is established and ends on 30 October 2016. Each subsequent base period is the period of 12 months beginning immediately after the end of the previous base period. Subsequent base periods will therefore run from 31 October to 30 October each year.</w:t>
      </w:r>
    </w:p>
    <w:p w14:paraId="0C4927D0" w14:textId="77777777" w:rsidR="005D1E23" w:rsidRDefault="005D1E23" w:rsidP="00B126BB">
      <w:pPr>
        <w:pStyle w:val="Quotetext"/>
        <w:rPr>
          <w:lang w:eastAsia="en-GB"/>
        </w:rPr>
      </w:pPr>
      <w:r>
        <w:rPr>
          <w:lang w:eastAsia="en-GB"/>
        </w:rPr>
        <w:lastRenderedPageBreak/>
        <w:t>At the end of each base period, relevant authorities have 3 years in which to permission an equivalent number of plots of land, which are suitable for self-build and custom housebuilding, as there are entries for that base period.”</w:t>
      </w:r>
    </w:p>
    <w:p w14:paraId="6D891E6B" w14:textId="77777777" w:rsidR="005D1E23" w:rsidRDefault="005D1E23" w:rsidP="00B35A8B">
      <w:pPr>
        <w:pStyle w:val="Heading3"/>
      </w:pPr>
      <w:r>
        <w:t xml:space="preserve">Local Authority Custom and Self-Build Registers </w:t>
      </w:r>
    </w:p>
    <w:p w14:paraId="4060D021" w14:textId="61F03B83" w:rsidR="005D1E23" w:rsidRDefault="005D1E23" w:rsidP="007D0FBF">
      <w:pPr>
        <w:pStyle w:val="11Bodytext"/>
      </w:pPr>
      <w:r>
        <w:t>In line with the PPG, the starting point for understanding demand for custom and self-build plots is the registers managed by the Councils.  The registers have not been broken down by base period, but entries have been divided across each of the five base periods since 2016 in order to project forward an estimation of future need.</w:t>
      </w:r>
      <w:r w:rsidR="00F316FC">
        <w:t xml:space="preserve"> The</w:t>
      </w:r>
      <w:r w:rsidR="00F316FC" w:rsidRPr="00F316FC">
        <w:t xml:space="preserve"> base period is the period of 12 months beginning from 31 October each year.</w:t>
      </w:r>
      <w:r w:rsidR="001D0AAB">
        <w:t xml:space="preserve"> </w:t>
      </w:r>
    </w:p>
    <w:p w14:paraId="1345927C" w14:textId="77777777" w:rsidR="00460963" w:rsidRDefault="005D1E23" w:rsidP="007D0FBF">
      <w:pPr>
        <w:pStyle w:val="11Bodytext"/>
      </w:pPr>
      <w:r>
        <w:t>The table shows that 1,126 individuals are currently on the register with the vast majority being in Greater Cambridge.</w:t>
      </w:r>
      <w:r w:rsidR="00460963">
        <w:t xml:space="preserve"> These entries date from when the Register was first created in 2016 </w:t>
      </w:r>
      <w:proofErr w:type="spellStart"/>
      <w:r w:rsidR="00460963">
        <w:t>upto</w:t>
      </w:r>
      <w:proofErr w:type="spellEnd"/>
      <w:r w:rsidR="00460963">
        <w:t xml:space="preserve"> entries for the year 2019/20.</w:t>
      </w:r>
      <w:r>
        <w:t xml:space="preserve">  </w:t>
      </w:r>
    </w:p>
    <w:p w14:paraId="5D1D5322" w14:textId="57EBFC94" w:rsidR="005D1E23" w:rsidRDefault="005D1E23" w:rsidP="007D0FBF">
      <w:pPr>
        <w:pStyle w:val="11Bodytext"/>
      </w:pPr>
      <w:r>
        <w:t xml:space="preserve">This equates to approximately 250 entries per base period with the first base period only covering half a year.  There is potentially some element of double counting within these registers given that people can register in more than one authority. Despite this, there is no option for Councils to reduce their need to reflect this.  </w:t>
      </w:r>
    </w:p>
    <w:p w14:paraId="490B34B0" w14:textId="77777777" w:rsidR="005D1E23" w:rsidRDefault="005D1E23" w:rsidP="007D0FBF">
      <w:pPr>
        <w:pStyle w:val="11Bodytext"/>
      </w:pPr>
      <w:r>
        <w:t>This gives an indication of the scale of future need. Moving forward, the Councils will need to ensure that the actual number of entries on the register in each local authority at the end of each base period is equivalent to number of plots of land that are permitted within 3 years.</w:t>
      </w:r>
    </w:p>
    <w:p w14:paraId="4DF12F02" w14:textId="16D3F97B" w:rsidR="005D1E23" w:rsidRDefault="005D1E23" w:rsidP="003D5E23">
      <w:pPr>
        <w:pStyle w:val="Tableheading"/>
        <w:numPr>
          <w:ilvl w:val="0"/>
          <w:numId w:val="54"/>
        </w:numPr>
      </w:pPr>
      <w:r>
        <w:lastRenderedPageBreak/>
        <w:t>Indicative demand for custom and self-build plots based on past trends</w:t>
      </w:r>
      <w:r w:rsidR="00460963">
        <w:t xml:space="preserve"> (from 2016/17-2019/20</w:t>
      </w:r>
    </w:p>
    <w:tbl>
      <w:tblPr>
        <w:tblStyle w:val="TableGridLight1"/>
        <w:tblW w:w="8584" w:type="dxa"/>
        <w:tblInd w:w="846" w:type="dxa"/>
        <w:tblLook w:val="04A0" w:firstRow="1" w:lastRow="0" w:firstColumn="1" w:lastColumn="0" w:noHBand="0" w:noVBand="1"/>
      </w:tblPr>
      <w:tblGrid>
        <w:gridCol w:w="2073"/>
        <w:gridCol w:w="3255"/>
        <w:gridCol w:w="3256"/>
      </w:tblGrid>
      <w:tr w:rsidR="003A75AB" w:rsidRPr="003A75AB" w14:paraId="6794C6B7" w14:textId="77777777" w:rsidTr="004F4BA7">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54F38" w14:textId="77777777" w:rsidR="005D1E23" w:rsidRPr="004F4BA7" w:rsidRDefault="005D1E23" w:rsidP="00B35A8B">
            <w:pPr>
              <w:keepNext/>
              <w:spacing w:line="256" w:lineRule="auto"/>
              <w:rPr>
                <w:color w:val="auto"/>
                <w:szCs w:val="24"/>
                <w:lang w:eastAsia="en-GB"/>
              </w:rPr>
            </w:pPr>
            <w:bookmarkStart w:id="40" w:name="OLE_LINK2"/>
            <w:r w:rsidRPr="004F4BA7">
              <w:rPr>
                <w:color w:val="auto"/>
                <w:szCs w:val="24"/>
                <w:lang w:eastAsia="en-GB"/>
              </w:rPr>
              <w:t> </w:t>
            </w:r>
          </w:p>
        </w:tc>
        <w:tc>
          <w:tcPr>
            <w:tcW w:w="3255" w:type="dxa"/>
            <w:hideMark/>
          </w:tcPr>
          <w:p w14:paraId="38DCFBF9" w14:textId="77777777" w:rsidR="005D1E23" w:rsidRPr="004F4BA7" w:rsidRDefault="005D1E23" w:rsidP="00B35A8B">
            <w:pPr>
              <w:keepNext/>
              <w:spacing w:line="256" w:lineRule="auto"/>
              <w:cnfStyle w:val="100000000000" w:firstRow="1"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Current Register</w:t>
            </w:r>
          </w:p>
        </w:tc>
        <w:tc>
          <w:tcPr>
            <w:tcW w:w="3256" w:type="dxa"/>
            <w:hideMark/>
          </w:tcPr>
          <w:p w14:paraId="10BB5720" w14:textId="77777777" w:rsidR="005D1E23" w:rsidRPr="004F4BA7" w:rsidRDefault="005D1E23" w:rsidP="00B35A8B">
            <w:pPr>
              <w:keepNext/>
              <w:spacing w:line="256" w:lineRule="auto"/>
              <w:cnfStyle w:val="100000000000" w:firstRow="1"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 xml:space="preserve">Average Per Base Period </w:t>
            </w:r>
          </w:p>
          <w:p w14:paraId="7E0A2E07" w14:textId="77777777" w:rsidR="005D1E23" w:rsidRPr="004F4BA7" w:rsidRDefault="005D1E23" w:rsidP="00B35A8B">
            <w:pPr>
              <w:keepNext/>
              <w:spacing w:line="256" w:lineRule="auto"/>
              <w:cnfStyle w:val="100000000000" w:firstRow="1"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(4.5 periods)</w:t>
            </w:r>
          </w:p>
        </w:tc>
      </w:tr>
      <w:tr w:rsidR="003A75AB" w:rsidRPr="003A75AB" w14:paraId="09CEBC31" w14:textId="77777777" w:rsidTr="004F4BA7">
        <w:trPr>
          <w:trHeight w:val="224"/>
        </w:trPr>
        <w:tc>
          <w:tcPr>
            <w:cnfStyle w:val="001000000000" w:firstRow="0" w:lastRow="0" w:firstColumn="1" w:lastColumn="0" w:oddVBand="0" w:evenVBand="0" w:oddHBand="0" w:evenHBand="0" w:firstRowFirstColumn="0" w:firstRowLastColumn="0" w:lastRowFirstColumn="0" w:lastRowLastColumn="0"/>
            <w:tcW w:w="0" w:type="auto"/>
            <w:noWrap/>
            <w:hideMark/>
          </w:tcPr>
          <w:p w14:paraId="51984434" w14:textId="77777777" w:rsidR="005D1E23" w:rsidRPr="004F4BA7" w:rsidRDefault="005D1E23" w:rsidP="00B35A8B">
            <w:pPr>
              <w:keepNext/>
              <w:spacing w:line="256" w:lineRule="auto"/>
              <w:rPr>
                <w:color w:val="auto"/>
                <w:szCs w:val="24"/>
                <w:lang w:eastAsia="en-GB"/>
              </w:rPr>
            </w:pPr>
            <w:r w:rsidRPr="004F4BA7">
              <w:rPr>
                <w:color w:val="auto"/>
                <w:szCs w:val="24"/>
                <w:lang w:eastAsia="en-GB"/>
              </w:rPr>
              <w:t>Greater Cambridge</w:t>
            </w:r>
          </w:p>
        </w:tc>
        <w:tc>
          <w:tcPr>
            <w:tcW w:w="3255" w:type="dxa"/>
            <w:noWrap/>
            <w:hideMark/>
          </w:tcPr>
          <w:p w14:paraId="597D640B"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737</w:t>
            </w:r>
          </w:p>
        </w:tc>
        <w:tc>
          <w:tcPr>
            <w:tcW w:w="3256" w:type="dxa"/>
            <w:hideMark/>
          </w:tcPr>
          <w:p w14:paraId="3A73DC14"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rFonts w:ascii="Arial" w:hAnsi="Arial" w:cs="Calibri"/>
                <w:color w:val="auto"/>
                <w:sz w:val="20"/>
                <w:szCs w:val="24"/>
              </w:rPr>
              <w:t>164</w:t>
            </w:r>
          </w:p>
        </w:tc>
      </w:tr>
      <w:tr w:rsidR="003A75AB" w:rsidRPr="003A75AB" w14:paraId="778CF9D4" w14:textId="77777777" w:rsidTr="004F4BA7">
        <w:trPr>
          <w:trHeight w:val="44"/>
        </w:trPr>
        <w:tc>
          <w:tcPr>
            <w:cnfStyle w:val="001000000000" w:firstRow="0" w:lastRow="0" w:firstColumn="1" w:lastColumn="0" w:oddVBand="0" w:evenVBand="0" w:oddHBand="0" w:evenHBand="0" w:firstRowFirstColumn="0" w:firstRowLastColumn="0" w:lastRowFirstColumn="0" w:lastRowLastColumn="0"/>
            <w:tcW w:w="0" w:type="auto"/>
            <w:noWrap/>
            <w:hideMark/>
          </w:tcPr>
          <w:p w14:paraId="5B165DDE" w14:textId="77777777" w:rsidR="005D1E23" w:rsidRPr="004F4BA7" w:rsidRDefault="005D1E23" w:rsidP="00B35A8B">
            <w:pPr>
              <w:keepNext/>
              <w:spacing w:line="256" w:lineRule="auto"/>
              <w:rPr>
                <w:color w:val="auto"/>
                <w:szCs w:val="24"/>
                <w:lang w:eastAsia="en-GB"/>
              </w:rPr>
            </w:pPr>
            <w:r w:rsidRPr="004F4BA7">
              <w:rPr>
                <w:color w:val="auto"/>
                <w:szCs w:val="24"/>
                <w:lang w:eastAsia="en-GB"/>
              </w:rPr>
              <w:t>East Cambridgeshire</w:t>
            </w:r>
          </w:p>
        </w:tc>
        <w:tc>
          <w:tcPr>
            <w:tcW w:w="3255" w:type="dxa"/>
            <w:noWrap/>
            <w:hideMark/>
          </w:tcPr>
          <w:p w14:paraId="041C0517"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8</w:t>
            </w:r>
          </w:p>
        </w:tc>
        <w:tc>
          <w:tcPr>
            <w:tcW w:w="3256" w:type="dxa"/>
            <w:hideMark/>
          </w:tcPr>
          <w:p w14:paraId="41FBE500"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rFonts w:ascii="Arial" w:hAnsi="Arial" w:cs="Calibri"/>
                <w:color w:val="auto"/>
                <w:sz w:val="20"/>
                <w:szCs w:val="24"/>
              </w:rPr>
              <w:t>2</w:t>
            </w:r>
          </w:p>
        </w:tc>
      </w:tr>
      <w:tr w:rsidR="003A75AB" w:rsidRPr="003A75AB" w14:paraId="75E0FA39" w14:textId="77777777" w:rsidTr="004F4BA7">
        <w:trPr>
          <w:trHeight w:val="224"/>
        </w:trPr>
        <w:tc>
          <w:tcPr>
            <w:cnfStyle w:val="001000000000" w:firstRow="0" w:lastRow="0" w:firstColumn="1" w:lastColumn="0" w:oddVBand="0" w:evenVBand="0" w:oddHBand="0" w:evenHBand="0" w:firstRowFirstColumn="0" w:firstRowLastColumn="0" w:lastRowFirstColumn="0" w:lastRowLastColumn="0"/>
            <w:tcW w:w="0" w:type="auto"/>
            <w:noWrap/>
            <w:hideMark/>
          </w:tcPr>
          <w:p w14:paraId="76592922" w14:textId="77777777" w:rsidR="005D1E23" w:rsidRPr="004F4BA7" w:rsidRDefault="005D1E23" w:rsidP="00B35A8B">
            <w:pPr>
              <w:keepNext/>
              <w:spacing w:line="256" w:lineRule="auto"/>
              <w:rPr>
                <w:color w:val="auto"/>
                <w:szCs w:val="24"/>
                <w:lang w:eastAsia="en-GB"/>
              </w:rPr>
            </w:pPr>
            <w:r w:rsidRPr="004F4BA7">
              <w:rPr>
                <w:color w:val="auto"/>
                <w:szCs w:val="24"/>
                <w:lang w:eastAsia="en-GB"/>
              </w:rPr>
              <w:t>Fenland</w:t>
            </w:r>
          </w:p>
        </w:tc>
        <w:tc>
          <w:tcPr>
            <w:tcW w:w="3255" w:type="dxa"/>
            <w:noWrap/>
            <w:hideMark/>
          </w:tcPr>
          <w:p w14:paraId="558BE593"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3</w:t>
            </w:r>
          </w:p>
        </w:tc>
        <w:tc>
          <w:tcPr>
            <w:tcW w:w="3256" w:type="dxa"/>
            <w:hideMark/>
          </w:tcPr>
          <w:p w14:paraId="72F32BB7"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rFonts w:ascii="Arial" w:hAnsi="Arial" w:cs="Calibri"/>
                <w:color w:val="auto"/>
                <w:sz w:val="20"/>
                <w:szCs w:val="24"/>
              </w:rPr>
              <w:t>1</w:t>
            </w:r>
          </w:p>
        </w:tc>
      </w:tr>
      <w:tr w:rsidR="003A75AB" w:rsidRPr="003A75AB" w14:paraId="0A9D46E5" w14:textId="77777777" w:rsidTr="004F4BA7">
        <w:trPr>
          <w:trHeight w:val="224"/>
        </w:trPr>
        <w:tc>
          <w:tcPr>
            <w:cnfStyle w:val="001000000000" w:firstRow="0" w:lastRow="0" w:firstColumn="1" w:lastColumn="0" w:oddVBand="0" w:evenVBand="0" w:oddHBand="0" w:evenHBand="0" w:firstRowFirstColumn="0" w:firstRowLastColumn="0" w:lastRowFirstColumn="0" w:lastRowLastColumn="0"/>
            <w:tcW w:w="0" w:type="auto"/>
            <w:noWrap/>
            <w:hideMark/>
          </w:tcPr>
          <w:p w14:paraId="52EC4887" w14:textId="77777777" w:rsidR="005D1E23" w:rsidRPr="004F4BA7" w:rsidRDefault="005D1E23" w:rsidP="00B35A8B">
            <w:pPr>
              <w:keepNext/>
              <w:spacing w:line="256" w:lineRule="auto"/>
              <w:rPr>
                <w:color w:val="auto"/>
                <w:szCs w:val="24"/>
                <w:lang w:eastAsia="en-GB"/>
              </w:rPr>
            </w:pPr>
            <w:r w:rsidRPr="004F4BA7">
              <w:rPr>
                <w:color w:val="auto"/>
                <w:szCs w:val="24"/>
                <w:lang w:eastAsia="en-GB"/>
              </w:rPr>
              <w:t>Huntingdonshire</w:t>
            </w:r>
          </w:p>
        </w:tc>
        <w:tc>
          <w:tcPr>
            <w:tcW w:w="3255" w:type="dxa"/>
            <w:noWrap/>
            <w:hideMark/>
          </w:tcPr>
          <w:p w14:paraId="4DA74B91"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241</w:t>
            </w:r>
          </w:p>
        </w:tc>
        <w:tc>
          <w:tcPr>
            <w:tcW w:w="3256" w:type="dxa"/>
            <w:hideMark/>
          </w:tcPr>
          <w:p w14:paraId="260AE26D"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rFonts w:ascii="Arial" w:hAnsi="Arial" w:cs="Calibri"/>
                <w:color w:val="auto"/>
                <w:sz w:val="20"/>
                <w:szCs w:val="24"/>
              </w:rPr>
              <w:t>54</w:t>
            </w:r>
          </w:p>
        </w:tc>
      </w:tr>
      <w:tr w:rsidR="003A75AB" w:rsidRPr="003A75AB" w14:paraId="17ECB898" w14:textId="77777777" w:rsidTr="004F4BA7">
        <w:trPr>
          <w:trHeight w:val="224"/>
        </w:trPr>
        <w:tc>
          <w:tcPr>
            <w:cnfStyle w:val="001000000000" w:firstRow="0" w:lastRow="0" w:firstColumn="1" w:lastColumn="0" w:oddVBand="0" w:evenVBand="0" w:oddHBand="0" w:evenHBand="0" w:firstRowFirstColumn="0" w:firstRowLastColumn="0" w:lastRowFirstColumn="0" w:lastRowLastColumn="0"/>
            <w:tcW w:w="0" w:type="auto"/>
            <w:noWrap/>
            <w:hideMark/>
          </w:tcPr>
          <w:p w14:paraId="4EB563C1" w14:textId="77777777" w:rsidR="005D1E23" w:rsidRPr="004F4BA7" w:rsidRDefault="005D1E23" w:rsidP="00B35A8B">
            <w:pPr>
              <w:keepNext/>
              <w:spacing w:line="256" w:lineRule="auto"/>
              <w:rPr>
                <w:color w:val="auto"/>
                <w:szCs w:val="24"/>
                <w:lang w:eastAsia="en-GB"/>
              </w:rPr>
            </w:pPr>
            <w:r w:rsidRPr="004F4BA7">
              <w:rPr>
                <w:color w:val="auto"/>
                <w:szCs w:val="24"/>
                <w:lang w:eastAsia="en-GB"/>
              </w:rPr>
              <w:t>West Suffolk</w:t>
            </w:r>
          </w:p>
        </w:tc>
        <w:tc>
          <w:tcPr>
            <w:tcW w:w="3255" w:type="dxa"/>
            <w:noWrap/>
            <w:hideMark/>
          </w:tcPr>
          <w:p w14:paraId="1FC0D588"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color w:val="auto"/>
                <w:szCs w:val="24"/>
                <w:lang w:eastAsia="en-GB"/>
              </w:rPr>
              <w:t>137</w:t>
            </w:r>
          </w:p>
        </w:tc>
        <w:tc>
          <w:tcPr>
            <w:tcW w:w="3256" w:type="dxa"/>
            <w:hideMark/>
          </w:tcPr>
          <w:p w14:paraId="43CC83E5"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color w:val="auto"/>
                <w:szCs w:val="24"/>
                <w:lang w:eastAsia="en-GB"/>
              </w:rPr>
            </w:pPr>
            <w:r w:rsidRPr="004F4BA7">
              <w:rPr>
                <w:rFonts w:ascii="Arial" w:hAnsi="Arial" w:cs="Calibri"/>
                <w:color w:val="auto"/>
                <w:sz w:val="20"/>
                <w:szCs w:val="24"/>
              </w:rPr>
              <w:t>30</w:t>
            </w:r>
          </w:p>
        </w:tc>
      </w:tr>
      <w:tr w:rsidR="003A75AB" w:rsidRPr="003A75AB" w14:paraId="2C88CE9C" w14:textId="77777777" w:rsidTr="004F4BA7">
        <w:trPr>
          <w:trHeight w:val="224"/>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24EDF" w14:textId="77777777" w:rsidR="005D1E23" w:rsidRPr="004F4BA7" w:rsidRDefault="005D1E23" w:rsidP="00B35A8B">
            <w:pPr>
              <w:keepNext/>
              <w:spacing w:line="256" w:lineRule="auto"/>
              <w:rPr>
                <w:b/>
                <w:bCs/>
                <w:color w:val="auto"/>
                <w:szCs w:val="24"/>
                <w:lang w:eastAsia="en-GB"/>
              </w:rPr>
            </w:pPr>
            <w:r w:rsidRPr="004F4BA7">
              <w:rPr>
                <w:b/>
                <w:bCs/>
                <w:color w:val="auto"/>
                <w:szCs w:val="24"/>
                <w:lang w:eastAsia="en-GB"/>
              </w:rPr>
              <w:t>HMA</w:t>
            </w:r>
          </w:p>
        </w:tc>
        <w:tc>
          <w:tcPr>
            <w:tcW w:w="3255" w:type="dxa"/>
            <w:noWrap/>
            <w:hideMark/>
          </w:tcPr>
          <w:p w14:paraId="0F48AEEF"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b/>
                <w:bCs/>
                <w:color w:val="auto"/>
                <w:szCs w:val="24"/>
                <w:lang w:eastAsia="en-GB"/>
              </w:rPr>
            </w:pPr>
            <w:r w:rsidRPr="004F4BA7">
              <w:rPr>
                <w:b/>
                <w:bCs/>
                <w:color w:val="auto"/>
                <w:szCs w:val="24"/>
              </w:rPr>
              <w:t>1126</w:t>
            </w:r>
          </w:p>
        </w:tc>
        <w:tc>
          <w:tcPr>
            <w:tcW w:w="3256" w:type="dxa"/>
            <w:hideMark/>
          </w:tcPr>
          <w:p w14:paraId="726BCC48" w14:textId="77777777" w:rsidR="005D1E23" w:rsidRPr="004F4BA7" w:rsidRDefault="005D1E23" w:rsidP="00B35A8B">
            <w:pPr>
              <w:keepNext/>
              <w:spacing w:line="256" w:lineRule="auto"/>
              <w:cnfStyle w:val="000000000000" w:firstRow="0" w:lastRow="0" w:firstColumn="0" w:lastColumn="0" w:oddVBand="0" w:evenVBand="0" w:oddHBand="0" w:evenHBand="0" w:firstRowFirstColumn="0" w:firstRowLastColumn="0" w:lastRowFirstColumn="0" w:lastRowLastColumn="0"/>
              <w:rPr>
                <w:b/>
                <w:bCs/>
                <w:color w:val="auto"/>
                <w:szCs w:val="24"/>
                <w:lang w:eastAsia="en-GB"/>
              </w:rPr>
            </w:pPr>
            <w:r w:rsidRPr="004F4BA7">
              <w:rPr>
                <w:rFonts w:ascii="Arial" w:hAnsi="Arial" w:cs="Calibri"/>
                <w:b/>
                <w:bCs/>
                <w:color w:val="auto"/>
                <w:sz w:val="20"/>
                <w:szCs w:val="24"/>
              </w:rPr>
              <w:t>250</w:t>
            </w:r>
          </w:p>
        </w:tc>
      </w:tr>
    </w:tbl>
    <w:bookmarkEnd w:id="40"/>
    <w:p w14:paraId="176AF23E" w14:textId="19B3F99D" w:rsidR="005D1E23" w:rsidRDefault="005D1E23" w:rsidP="00B35A8B">
      <w:pPr>
        <w:pStyle w:val="11Bodytext"/>
        <w:keepNext/>
        <w:numPr>
          <w:ilvl w:val="0"/>
          <w:numId w:val="0"/>
        </w:numPr>
        <w:spacing w:before="0"/>
        <w:ind w:left="794"/>
      </w:pPr>
      <w:r>
        <w:t xml:space="preserve"> Source: Local Authority Custom and Self Build Housing Registers</w:t>
      </w:r>
    </w:p>
    <w:p w14:paraId="1DB31EE7" w14:textId="22C27B1F" w:rsidR="005D1E23" w:rsidRDefault="005D1E23" w:rsidP="00B35A8B">
      <w:pPr>
        <w:pStyle w:val="Heading3"/>
      </w:pPr>
      <w:r>
        <w:t xml:space="preserve">Local Agents </w:t>
      </w:r>
    </w:p>
    <w:p w14:paraId="7BB55450" w14:textId="77777777" w:rsidR="005D1E23" w:rsidRDefault="005D1E23" w:rsidP="007D0FBF">
      <w:pPr>
        <w:pStyle w:val="11Bodytext"/>
      </w:pPr>
      <w:r>
        <w:t xml:space="preserve">To assess the strength of demand, local estate agents were contacted. It is important to note the limited sample size of respondents. The findings should therefore be treated with some caution. Those who responded to the survey were: </w:t>
      </w:r>
    </w:p>
    <w:p w14:paraId="76707D71" w14:textId="77777777" w:rsidR="005D1E23" w:rsidRDefault="005D1E23" w:rsidP="00097650">
      <w:pPr>
        <w:pStyle w:val="10BulletBodytext"/>
      </w:pPr>
      <w:r>
        <w:t>Haart Estate Agents (active in Cambridgeshire)</w:t>
      </w:r>
    </w:p>
    <w:p w14:paraId="548945F8" w14:textId="77777777" w:rsidR="005D1E23" w:rsidRDefault="005D1E23" w:rsidP="00097650">
      <w:pPr>
        <w:pStyle w:val="10BulletBodytext"/>
      </w:pPr>
      <w:r>
        <w:t>Harvey Robinson (active in Huntingdonshire)</w:t>
      </w:r>
    </w:p>
    <w:p w14:paraId="314E26EB" w14:textId="77777777" w:rsidR="005D1E23" w:rsidRDefault="005D1E23" w:rsidP="00097650">
      <w:pPr>
        <w:pStyle w:val="10BulletBodytext"/>
      </w:pPr>
      <w:r>
        <w:t>Maxey Grounds (active in Fenland and specialists in land)</w:t>
      </w:r>
    </w:p>
    <w:p w14:paraId="1E37C776" w14:textId="77777777" w:rsidR="005D1E23" w:rsidRDefault="005D1E23" w:rsidP="00097650">
      <w:pPr>
        <w:pStyle w:val="10BulletBodytext"/>
      </w:pPr>
      <w:r>
        <w:t>Haart Estate Agents (active in West Suffolk)</w:t>
      </w:r>
    </w:p>
    <w:p w14:paraId="5CEBB549" w14:textId="77777777" w:rsidR="005D1E23" w:rsidRDefault="005D1E23" w:rsidP="007D0FBF">
      <w:pPr>
        <w:pStyle w:val="11Bodytext"/>
      </w:pPr>
      <w:r>
        <w:t xml:space="preserve">Not all agents actively record the number of enquiries they receive about self-build plots. When asked to estimate the number of enquires each month, </w:t>
      </w:r>
      <w:proofErr w:type="spellStart"/>
      <w:r>
        <w:t>Haart</w:t>
      </w:r>
      <w:proofErr w:type="spellEnd"/>
      <w:r>
        <w:t xml:space="preserve"> Estate Agents in Cambridge suggested that one agent alone might receive 20 per month. However, their colleagues in West Suffolk, a less busy office, estimated around 5 each month, and indicated that they currently had on their books 20 clients looking for a self-build plot. </w:t>
      </w:r>
    </w:p>
    <w:p w14:paraId="59968CEE" w14:textId="77777777" w:rsidR="005D1E23" w:rsidRDefault="005D1E23" w:rsidP="007D0FBF">
      <w:pPr>
        <w:pStyle w:val="11Bodytext"/>
      </w:pPr>
      <w:r>
        <w:t xml:space="preserve">Other agents were reluctant to be drawn into specific estimates but did refer to the level of demand they had experienced in relation to specific sites when they came on the market. Harvey Robinson in Huntingdon recorded receiving 4 enquiries over a three-day sales window between 9th and 12th September 2020 for a plot suitable for a 2-bed family dwelling in East Street in Hartford. According to the agents, the site "sold quickly". </w:t>
      </w:r>
    </w:p>
    <w:p w14:paraId="4CD789E7" w14:textId="77777777" w:rsidR="00647ED0" w:rsidRDefault="00647ED0">
      <w:pPr>
        <w:spacing w:after="200"/>
        <w:rPr>
          <w:bCs/>
          <w:sz w:val="24"/>
          <w:szCs w:val="24"/>
        </w:rPr>
      </w:pPr>
      <w:r>
        <w:br w:type="page"/>
      </w:r>
    </w:p>
    <w:p w14:paraId="7FA97760" w14:textId="2AF67AF3" w:rsidR="005D1E23" w:rsidRDefault="005D1E23" w:rsidP="007D0FBF">
      <w:pPr>
        <w:pStyle w:val="11Bodytext"/>
      </w:pPr>
      <w:r>
        <w:lastRenderedPageBreak/>
        <w:t xml:space="preserve">Maxey Grounds were, at the time the survey was taken in September 2020, marketing a site on Walton Highway on the West Norfolk/Fenland border for around 20 self-build plots. The first phase of 10 plots were all reserved within two months. The agents see this as indicative of strength in demand. </w:t>
      </w:r>
    </w:p>
    <w:p w14:paraId="235593D0" w14:textId="77777777" w:rsidR="005D1E23" w:rsidRDefault="005D1E23" w:rsidP="007D0FBF">
      <w:pPr>
        <w:pStyle w:val="11Bodytext"/>
      </w:pPr>
      <w:r>
        <w:t xml:space="preserve">All the agents were asked to indicate the level of demand in their areas for self-build plots. They all replied it was “strong”. Harvey Robinson and </w:t>
      </w:r>
      <w:proofErr w:type="spellStart"/>
      <w:r>
        <w:t>Haart</w:t>
      </w:r>
      <w:proofErr w:type="spellEnd"/>
      <w:r>
        <w:t xml:space="preserve"> (West Suffolk) suggested the true strength of demand is only apparent when they have a site available at which </w:t>
      </w:r>
      <w:proofErr w:type="gramStart"/>
      <w:r>
        <w:t>point</w:t>
      </w:r>
      <w:proofErr w:type="gramEnd"/>
      <w:r>
        <w:t xml:space="preserve"> they receive a lot of enquiries. Maxey Ground indicated they have a shortage of plots at the time the survey was taken in September 2020.  </w:t>
      </w:r>
    </w:p>
    <w:p w14:paraId="251468CF" w14:textId="77777777" w:rsidR="005D1E23" w:rsidRDefault="005D1E23" w:rsidP="00B35A8B">
      <w:pPr>
        <w:pStyle w:val="Heading3"/>
      </w:pPr>
      <w:r>
        <w:t>Local Authority Response</w:t>
      </w:r>
    </w:p>
    <w:p w14:paraId="1B05834D" w14:textId="77777777" w:rsidR="005D1E23" w:rsidRDefault="005D1E23" w:rsidP="007D0FBF">
      <w:pPr>
        <w:pStyle w:val="11Bodytext"/>
      </w:pPr>
      <w:r>
        <w:t>Paragraph 25 of the PPG (Reference ID: 57-025-201760728) provides guidance on how Councils can help support self and custom build by increasing the number of suitable planning permissions. It encourages Councils to undertake several tasks including:</w:t>
      </w:r>
    </w:p>
    <w:p w14:paraId="3D8AD9FE" w14:textId="77777777" w:rsidR="005D1E23" w:rsidRDefault="005D1E23" w:rsidP="00097650">
      <w:pPr>
        <w:pStyle w:val="10BulletBodytext"/>
      </w:pPr>
      <w:r>
        <w:t>developing policies in their Local Plan for self-build and custom housebuilding;</w:t>
      </w:r>
    </w:p>
    <w:p w14:paraId="12D9C7E2" w14:textId="77777777" w:rsidR="005D1E23" w:rsidRDefault="005D1E23" w:rsidP="00097650">
      <w:pPr>
        <w:pStyle w:val="10BulletBodytext"/>
      </w:pPr>
      <w:r>
        <w:t>using their own land if available and suitable for self-build and custom housebuilding and marketing it to those on the register;</w:t>
      </w:r>
    </w:p>
    <w:p w14:paraId="47D5DE13" w14:textId="77777777" w:rsidR="005D1E23" w:rsidRDefault="005D1E23" w:rsidP="00097650">
      <w:pPr>
        <w:pStyle w:val="10BulletBodytext"/>
      </w:pPr>
      <w:r>
        <w:t>engaging with landowners who own sites that are suitable for housing and encouraging them to consider self-build and custom housebuilding and facilitating access to those on the register where the landowner is interested, and;</w:t>
      </w:r>
    </w:p>
    <w:p w14:paraId="72B568D9" w14:textId="77777777" w:rsidR="005D1E23" w:rsidRDefault="005D1E23" w:rsidP="00097650">
      <w:pPr>
        <w:pStyle w:val="10BulletBodytext"/>
      </w:pPr>
      <w:r>
        <w:t>working with custom build developers to maximise opportunities for self-build and custom housebuilding.</w:t>
      </w:r>
    </w:p>
    <w:p w14:paraId="348446E4" w14:textId="77777777" w:rsidR="005D1E23" w:rsidRDefault="005D1E23" w:rsidP="007D0FBF">
      <w:pPr>
        <w:pStyle w:val="11Bodytext"/>
      </w:pPr>
      <w:r>
        <w:t>Several local authorities have implemented a Local Plan policy, for example in the study area:</w:t>
      </w:r>
    </w:p>
    <w:p w14:paraId="51A06E9F" w14:textId="77777777" w:rsidR="005D1E23" w:rsidRDefault="005D1E23" w:rsidP="00097650">
      <w:pPr>
        <w:pStyle w:val="10BulletBodytext"/>
      </w:pPr>
      <w:r>
        <w:t>South Cambridgeshire Council – On all sites of 20 or more dwellings, and in each phase of strategic sites, developers will supply dwelling plots for sale to self and custom builders. Where plots have been made available and appropriately marketed for at least 12 months and have not been sold, the plot(s) may either remain on the market or be built out by the developer. Exceptionally, no provision will be expected in developments or phases of developments which comprise high density multi-storey flats and apartments.</w:t>
      </w:r>
    </w:p>
    <w:p w14:paraId="12C0A2C8" w14:textId="133D3576" w:rsidR="005D1E23" w:rsidRDefault="005D1E23" w:rsidP="00097650">
      <w:pPr>
        <w:pStyle w:val="10BulletBodytext"/>
      </w:pPr>
      <w:r>
        <w:t>Hunt</w:t>
      </w:r>
      <w:r w:rsidR="00114B08">
        <w:t>ing</w:t>
      </w:r>
      <w:r>
        <w:t xml:space="preserve">donshire Council – Where appropriate, the Council will work with developers, registered providers, landowners and relevant individuals or groups to address identified local requirements for self and custom-build homes as identified in the Huntingdonshire self and custom-build register.  </w:t>
      </w:r>
      <w:r>
        <w:lastRenderedPageBreak/>
        <w:t xml:space="preserve">There are also some Neighbourhood Plans in the area </w:t>
      </w:r>
      <w:r w:rsidR="00114B08">
        <w:t xml:space="preserve">which </w:t>
      </w:r>
      <w:r>
        <w:t xml:space="preserve">have policies relating to self-build.  </w:t>
      </w:r>
    </w:p>
    <w:p w14:paraId="1CBD25FE" w14:textId="44AC11B5" w:rsidR="005D1E23" w:rsidRPr="00185BEA" w:rsidRDefault="005D1E23" w:rsidP="00097650">
      <w:pPr>
        <w:pStyle w:val="10BulletBodytext"/>
      </w:pPr>
      <w:r>
        <w:t>East Cambridgeshire District Council - 5% of plots on development sites of more than 100 dwellings.</w:t>
      </w:r>
    </w:p>
    <w:p w14:paraId="1F674B62" w14:textId="77777777" w:rsidR="005D1E23" w:rsidRDefault="005D1E23" w:rsidP="007D0FBF">
      <w:pPr>
        <w:pStyle w:val="11Bodytext"/>
      </w:pPr>
      <w:r>
        <w:t>Outside of the study area:</w:t>
      </w:r>
    </w:p>
    <w:p w14:paraId="58C3AB5E" w14:textId="77777777" w:rsidR="005D1E23" w:rsidRDefault="005D1E23" w:rsidP="00097650">
      <w:pPr>
        <w:pStyle w:val="10BulletBodytext"/>
      </w:pPr>
      <w:r>
        <w:t xml:space="preserve">Teignbridge District Council - 5% of plots on development sites of more than 20 dwellings with plots marketed for a minimum of 12 months. </w:t>
      </w:r>
    </w:p>
    <w:p w14:paraId="65921AE6" w14:textId="77777777" w:rsidR="005D1E23" w:rsidRDefault="005D1E23" w:rsidP="00097650">
      <w:pPr>
        <w:pStyle w:val="10BulletBodytext"/>
      </w:pPr>
      <w:r>
        <w:t xml:space="preserve">Mid Devon District Council - 5% of plots on development sites of more than 20 dwellings. </w:t>
      </w:r>
    </w:p>
    <w:p w14:paraId="311EDD05" w14:textId="77777777" w:rsidR="005D1E23" w:rsidRDefault="005D1E23" w:rsidP="00097650">
      <w:pPr>
        <w:pStyle w:val="10BulletBodytext"/>
      </w:pPr>
      <w:r>
        <w:t>Torbay Council - 5% of plots on development sites of more than 30 dwellings.</w:t>
      </w:r>
    </w:p>
    <w:p w14:paraId="0811DF23" w14:textId="77777777" w:rsidR="005D1E23" w:rsidRDefault="005D1E23" w:rsidP="00097650">
      <w:pPr>
        <w:pStyle w:val="10BulletBodytext"/>
      </w:pPr>
      <w:r>
        <w:t xml:space="preserve">Stroud District Council - 2% of plots on strategic housing sites. </w:t>
      </w:r>
    </w:p>
    <w:p w14:paraId="30A9FEC8" w14:textId="77777777" w:rsidR="005D1E23" w:rsidRDefault="005D1E23" w:rsidP="007D0FBF">
      <w:pPr>
        <w:pStyle w:val="11Bodytext"/>
      </w:pPr>
      <w:r>
        <w:t xml:space="preserve">Other local authorities have developed a policy of encouragement without defining exact percentages. For example, North Tyneside Council and Daventry District Council will ‘encourage’, rather than require, a proportion of plots to be set aside on sites of over 200 and 500 units respectively.  </w:t>
      </w:r>
    </w:p>
    <w:p w14:paraId="04A019EC" w14:textId="77777777" w:rsidR="005D1E23" w:rsidRDefault="005D1E23" w:rsidP="007D0FBF">
      <w:pPr>
        <w:pStyle w:val="11Bodytext"/>
      </w:pPr>
      <w:r>
        <w:t xml:space="preserve">For those local authorities that do not have an existing policy as a first step, the local authorities should seek to adopt a general “encourage” policy for all sites but also implement a further policy on strategic sites. The exact level should be determined in reference to the number and capacity of strategic sites and the overall local need as identified on the register. This should also </w:t>
      </w:r>
      <w:proofErr w:type="gramStart"/>
      <w:r>
        <w:t>take into account</w:t>
      </w:r>
      <w:proofErr w:type="gramEnd"/>
      <w:r>
        <w:t xml:space="preserve"> the committed supply, need for other types of housing (including affordable housing need) and viability. </w:t>
      </w:r>
    </w:p>
    <w:p w14:paraId="0D0F2F5B" w14:textId="0F6790B3" w:rsidR="005D1E23" w:rsidRDefault="005D1E23" w:rsidP="00B35A8B">
      <w:pPr>
        <w:pStyle w:val="Heading3"/>
      </w:pPr>
      <w:r>
        <w:t>Role of Larger Sites</w:t>
      </w:r>
    </w:p>
    <w:p w14:paraId="1A986784" w14:textId="77777777" w:rsidR="005D1E23" w:rsidRDefault="005D1E23" w:rsidP="007D0FBF">
      <w:pPr>
        <w:pStyle w:val="11Bodytext"/>
      </w:pPr>
      <w:r>
        <w:t xml:space="preserve">There is the potential for larger development schemes (these are defined as 20 units in South </w:t>
      </w:r>
      <w:proofErr w:type="gramStart"/>
      <w:r>
        <w:t>Cambridgeshire</w:t>
      </w:r>
      <w:proofErr w:type="gramEnd"/>
      <w:r>
        <w:t xml:space="preserve"> but </w:t>
      </w:r>
      <w:bookmarkStart w:id="41" w:name="_Hlk72472456"/>
      <w:r>
        <w:t>it will be for the Councils themselves to determine a threshold</w:t>
      </w:r>
      <w:bookmarkEnd w:id="41"/>
      <w:r>
        <w:t>) to provide serviced plots for custom-build development, and for these sites, with support, to help to drive forward delivery rates. The Independent review of build-out</w:t>
      </w:r>
      <w:r>
        <w:rPr>
          <w:rStyle w:val="FootnoteReference"/>
        </w:rPr>
        <w:footnoteReference w:id="59"/>
      </w:r>
      <w:r>
        <w:t xml:space="preserve"> by Sir Oliver Letwin (2018) was undertaken to identify the cause of the significant gap between housing completions and the amount of land allocated or permitted on large sites in areas of high housing demand. </w:t>
      </w:r>
    </w:p>
    <w:p w14:paraId="63C7E1EE" w14:textId="77777777" w:rsidR="005D1E23" w:rsidRDefault="005D1E23" w:rsidP="007D0FBF">
      <w:pPr>
        <w:pStyle w:val="11Bodytext"/>
      </w:pPr>
      <w:r>
        <w:lastRenderedPageBreak/>
        <w:t>Section 3 of the Letwin Review looks at increasing diversity and a new planning framework for large sites (over 1,500 houses). Letwin recommends that the Government should adopt a new set of planning rules that apply to large sites in areas of high housing demand that would require their outline planning permission to include for ‘housing diversification’ to be a ‘reserved matter’ in line with new secondary legislation.</w:t>
      </w:r>
    </w:p>
    <w:p w14:paraId="06336365" w14:textId="77777777" w:rsidR="005D1E23" w:rsidRDefault="005D1E23" w:rsidP="007D0FBF">
      <w:pPr>
        <w:pStyle w:val="11Bodytext"/>
      </w:pPr>
      <w:bookmarkStart w:id="42" w:name="_Hlk64459333"/>
      <w:r>
        <w:t xml:space="preserve">Where Councils are proposing to allocate sites that are suited to the provision of self-build </w:t>
      </w:r>
      <w:proofErr w:type="gramStart"/>
      <w:r>
        <w:t>plots</w:t>
      </w:r>
      <w:proofErr w:type="gramEnd"/>
      <w:r>
        <w:t xml:space="preserve"> we would recommend they consider broadly replicating the South Cambridgeshire policy.  Although as demand outside of Greater Cambridge is relatively </w:t>
      </w:r>
      <w:proofErr w:type="gramStart"/>
      <w:r>
        <w:t>weaker</w:t>
      </w:r>
      <w:proofErr w:type="gramEnd"/>
      <w:r>
        <w:t xml:space="preserve"> they may wish to increase the threshold to a point where demand is being met without over-burdening every site and subject to viability. </w:t>
      </w:r>
    </w:p>
    <w:bookmarkEnd w:id="42"/>
    <w:p w14:paraId="7C78DDCC" w14:textId="77777777" w:rsidR="005D1E23" w:rsidRDefault="005D1E23" w:rsidP="007D0FBF">
      <w:pPr>
        <w:pStyle w:val="11Bodytext"/>
      </w:pPr>
      <w:r>
        <w:t xml:space="preserve">It is also possible for Custom and Self-Build schemes to be large sites in their own right. An example of this can be seen at the Graven Hill development in Bicester, </w:t>
      </w:r>
      <w:r>
        <w:rPr>
          <w:noProof/>
        </w:rPr>
        <w:t>Oxfordshire. This</w:t>
      </w:r>
      <w:r>
        <w:t xml:space="preserve"> is the largest custom build scheme nationally with proposals for over 2,000 custom-built homes. The site has been acquired by Cherwell District Council from the MOD and a development company has been set up. </w:t>
      </w:r>
    </w:p>
    <w:p w14:paraId="43E1DF95" w14:textId="77777777" w:rsidR="005D1E23" w:rsidRDefault="005D1E23" w:rsidP="007D0FBF">
      <w:pPr>
        <w:pStyle w:val="11Bodytext"/>
      </w:pPr>
      <w:r>
        <w:t>There is a dedicated web site</w:t>
      </w:r>
      <w:r>
        <w:rPr>
          <w:vertAlign w:val="superscript"/>
        </w:rPr>
        <w:footnoteReference w:id="60"/>
      </w:r>
      <w:r>
        <w:t xml:space="preserve"> that provides all the information required for people that would like to build their own home in the area. Various formats of delivery are envisaged, from the </w:t>
      </w:r>
      <w:r>
        <w:rPr>
          <w:noProof/>
        </w:rPr>
        <w:t>construction</w:t>
      </w:r>
      <w:r>
        <w:t xml:space="preserve"> of the shell through to the ability of occupants to tailor the finish. </w:t>
      </w:r>
    </w:p>
    <w:p w14:paraId="4B4B365D" w14:textId="2E38B7BA" w:rsidR="005D1E23" w:rsidRDefault="005D1E23" w:rsidP="007D0FBF">
      <w:pPr>
        <w:pStyle w:val="Heading2"/>
      </w:pPr>
      <w:r>
        <w:t xml:space="preserve">Service </w:t>
      </w:r>
      <w:r w:rsidR="00114B08">
        <w:t>personnel and f</w:t>
      </w:r>
      <w:r>
        <w:t>amilies</w:t>
      </w:r>
    </w:p>
    <w:p w14:paraId="1F716275" w14:textId="752F4E8B" w:rsidR="00647ED0" w:rsidRDefault="005D1E23" w:rsidP="007D0FBF">
      <w:pPr>
        <w:pStyle w:val="11Bodytext"/>
      </w:pPr>
      <w:r>
        <w:t xml:space="preserve">Several MOD sites are located within the HMA and in particular in West Suffolk and Huntingdonshire. There are two Royal Air Force sites and four sites operated by the </w:t>
      </w:r>
      <w:r>
        <w:rPr>
          <w:lang w:eastAsia="en-GB"/>
        </w:rPr>
        <w:t>United States Air Force</w:t>
      </w:r>
      <w:r>
        <w:t>. Namely, these are:</w:t>
      </w:r>
    </w:p>
    <w:p w14:paraId="32E512A6" w14:textId="77777777" w:rsidR="00647ED0" w:rsidRDefault="00647ED0">
      <w:pPr>
        <w:spacing w:after="200"/>
        <w:rPr>
          <w:bCs/>
          <w:sz w:val="24"/>
          <w:szCs w:val="24"/>
        </w:rPr>
      </w:pPr>
      <w:r>
        <w:br w:type="page"/>
      </w:r>
    </w:p>
    <w:p w14:paraId="25136C52" w14:textId="77777777" w:rsidR="005D1E23" w:rsidRDefault="005D1E23" w:rsidP="007D0FBF">
      <w:pPr>
        <w:pStyle w:val="11Bodytext"/>
      </w:pPr>
    </w:p>
    <w:p w14:paraId="5BDADFB8" w14:textId="77777777" w:rsidR="005D1E23" w:rsidRDefault="005D1E23" w:rsidP="00097650">
      <w:pPr>
        <w:pStyle w:val="10BulletBodytext"/>
        <w:rPr>
          <w:lang w:eastAsia="en-GB"/>
        </w:rPr>
      </w:pPr>
      <w:r>
        <w:rPr>
          <w:lang w:eastAsia="en-GB"/>
        </w:rPr>
        <w:t xml:space="preserve">RAF Honington: MOD Royal Air Force site in West Suffolk; </w:t>
      </w:r>
    </w:p>
    <w:p w14:paraId="76C57F0A" w14:textId="77777777" w:rsidR="005D1E23" w:rsidRDefault="005D1E23" w:rsidP="00097650">
      <w:pPr>
        <w:pStyle w:val="10BulletBodytext"/>
        <w:rPr>
          <w:lang w:eastAsia="en-GB"/>
        </w:rPr>
      </w:pPr>
      <w:r>
        <w:rPr>
          <w:lang w:eastAsia="en-GB"/>
        </w:rPr>
        <w:t xml:space="preserve">RAF Wyton: MOD Royal Air Force command site in Huntingdonshire; </w:t>
      </w:r>
    </w:p>
    <w:p w14:paraId="11A7A3BD" w14:textId="77777777" w:rsidR="005D1E23" w:rsidRDefault="005D1E23" w:rsidP="00097650">
      <w:pPr>
        <w:pStyle w:val="10BulletBodytext"/>
        <w:rPr>
          <w:lang w:eastAsia="en-GB"/>
        </w:rPr>
      </w:pPr>
      <w:r>
        <w:rPr>
          <w:lang w:eastAsia="en-GB"/>
        </w:rPr>
        <w:t xml:space="preserve">RAF Mildenhall: part of United States Air Forces in Europe - Air Forces Africa (USAFE-AFAFRICA) in West Suffolk; </w:t>
      </w:r>
    </w:p>
    <w:p w14:paraId="67413BEF" w14:textId="77777777" w:rsidR="005D1E23" w:rsidRDefault="005D1E23" w:rsidP="00097650">
      <w:pPr>
        <w:pStyle w:val="10BulletBodytext"/>
        <w:rPr>
          <w:lang w:eastAsia="en-GB"/>
        </w:rPr>
      </w:pPr>
      <w:r>
        <w:rPr>
          <w:lang w:eastAsia="en-GB"/>
        </w:rPr>
        <w:t>RAF Lakenheath: part of United States Air Forces in Europe - Air Forces Africa (USAFE-AFAFRICA) in West Suffolk;</w:t>
      </w:r>
    </w:p>
    <w:p w14:paraId="4CA53B75" w14:textId="77777777" w:rsidR="005D1E23" w:rsidRDefault="005D1E23" w:rsidP="00097650">
      <w:pPr>
        <w:pStyle w:val="10BulletBodytext"/>
        <w:rPr>
          <w:lang w:eastAsia="en-GB"/>
        </w:rPr>
      </w:pPr>
      <w:r>
        <w:rPr>
          <w:lang w:eastAsia="en-GB"/>
        </w:rPr>
        <w:t>RAF Alconbury: part of United States Air Forces in Europe - Air Forces Africa (USAFE-AFAFRICA) in Huntingdonshire; and</w:t>
      </w:r>
    </w:p>
    <w:p w14:paraId="79E6C61A" w14:textId="77777777" w:rsidR="005D1E23" w:rsidRDefault="005D1E23" w:rsidP="00097650">
      <w:pPr>
        <w:pStyle w:val="10BulletBodytext"/>
        <w:rPr>
          <w:lang w:eastAsia="en-GB"/>
        </w:rPr>
      </w:pPr>
      <w:r>
        <w:rPr>
          <w:lang w:eastAsia="en-GB"/>
        </w:rPr>
        <w:t>RAF Molesworth: part of United States Air Forces in Europe - Air Forces Africa (USAFE-AFAFRICA) in Huntingdonshire</w:t>
      </w:r>
    </w:p>
    <w:p w14:paraId="254AC20B" w14:textId="77777777" w:rsidR="005D1E23" w:rsidRDefault="005D1E23" w:rsidP="007D0FBF">
      <w:pPr>
        <w:pStyle w:val="11Bodytext"/>
        <w:rPr>
          <w:lang w:eastAsia="en-GB"/>
        </w:rPr>
      </w:pPr>
      <w:r>
        <w:rPr>
          <w:lang w:eastAsia="en-GB"/>
        </w:rPr>
        <w:t>Our team met with the United States Air Forces housing and accommodation representatives on the 21</w:t>
      </w:r>
      <w:r w:rsidRPr="00526C6E">
        <w:rPr>
          <w:vertAlign w:val="superscript"/>
          <w:lang w:eastAsia="en-GB"/>
        </w:rPr>
        <w:t>st</w:t>
      </w:r>
      <w:r>
        <w:rPr>
          <w:lang w:eastAsia="en-GB"/>
        </w:rPr>
        <w:t xml:space="preserve"> of February 2020 to discuss the housing requirements across the different bases.  Our discussions did not cover the requirements of RAF </w:t>
      </w:r>
      <w:proofErr w:type="spellStart"/>
      <w:r>
        <w:rPr>
          <w:lang w:eastAsia="en-GB"/>
        </w:rPr>
        <w:t>Honington</w:t>
      </w:r>
      <w:proofErr w:type="spellEnd"/>
      <w:r>
        <w:rPr>
          <w:lang w:eastAsia="en-GB"/>
        </w:rPr>
        <w:t xml:space="preserve"> or RAF </w:t>
      </w:r>
      <w:proofErr w:type="spellStart"/>
      <w:r>
        <w:rPr>
          <w:lang w:eastAsia="en-GB"/>
        </w:rPr>
        <w:t>Wyton</w:t>
      </w:r>
      <w:proofErr w:type="spellEnd"/>
      <w:r>
        <w:rPr>
          <w:lang w:eastAsia="en-GB"/>
        </w:rPr>
        <w:t xml:space="preserve">, so we have used MOD data available for these bases. </w:t>
      </w:r>
    </w:p>
    <w:p w14:paraId="4002D75E" w14:textId="77777777" w:rsidR="005D1E23" w:rsidRDefault="005D1E23" w:rsidP="007D0FBF">
      <w:pPr>
        <w:pStyle w:val="11Bodytext"/>
        <w:rPr>
          <w:lang w:eastAsia="en-GB"/>
        </w:rPr>
      </w:pPr>
      <w:r>
        <w:rPr>
          <w:lang w:eastAsia="en-GB"/>
        </w:rPr>
        <w:t xml:space="preserve">This section presents evidence about the different bases’ accommodation requirements and their impacts on the wider property market as witnessed by the RAF representatives and the active local estate agents. </w:t>
      </w:r>
    </w:p>
    <w:p w14:paraId="480D13E7" w14:textId="50ED1577" w:rsidR="005D1E23" w:rsidRDefault="005D1E23" w:rsidP="007D0FBF">
      <w:pPr>
        <w:pStyle w:val="11Bodytext"/>
      </w:pPr>
      <w:r>
        <w:t xml:space="preserve">Annex 2 of the NPPF identifies Military Personnel as Essential Key Workers.  As such, accommodation specifically comes under the definition of affordable housing.   Depending on their incomes </w:t>
      </w:r>
      <w:r w:rsidR="00382AE7">
        <w:t xml:space="preserve">members of the UK armed </w:t>
      </w:r>
      <w:proofErr w:type="gramStart"/>
      <w:r w:rsidR="00382AE7">
        <w:t xml:space="preserve">forces </w:t>
      </w:r>
      <w:r>
        <w:t xml:space="preserve"> will</w:t>
      </w:r>
      <w:proofErr w:type="gramEnd"/>
      <w:r>
        <w:t xml:space="preserve"> already be accounted for within the affordable housing need and will largely not be additional to it.</w:t>
      </w:r>
    </w:p>
    <w:p w14:paraId="38C16E31" w14:textId="77777777" w:rsidR="005D1E23" w:rsidRDefault="005D1E23" w:rsidP="007D0FBF">
      <w:pPr>
        <w:pStyle w:val="11Bodytext"/>
      </w:pPr>
      <w:r>
        <w:t>MOD statistics report that a total of 3,820 military and civilian personnel were located in Cambridgeshire and West Suffolk in April 2020. This represents a 38% decrease from April 2012 when there were 6,170 personnel in the HMA. The figure below shows the historic trend.</w:t>
      </w:r>
    </w:p>
    <w:p w14:paraId="6FAD2F81" w14:textId="77777777" w:rsidR="005D1E23" w:rsidRDefault="005D1E23" w:rsidP="003D5E23">
      <w:pPr>
        <w:pStyle w:val="FigureHeading"/>
        <w:rPr>
          <w:lang w:eastAsia="en-GB"/>
        </w:rPr>
      </w:pPr>
      <w:r>
        <w:rPr>
          <w:lang w:eastAsia="en-GB"/>
        </w:rPr>
        <w:lastRenderedPageBreak/>
        <w:t>Military and Civilian Personnel 2012-19 - HMA</w:t>
      </w:r>
    </w:p>
    <w:p w14:paraId="620462AB" w14:textId="47BEB2E3" w:rsidR="005D1E23" w:rsidRDefault="005D1E23" w:rsidP="005D1E23">
      <w:pPr>
        <w:pStyle w:val="Bodytextwithindent"/>
        <w:keepNext/>
        <w:spacing w:before="0" w:after="0" w:line="240" w:lineRule="auto"/>
        <w:rPr>
          <w:lang w:eastAsia="en-GB"/>
        </w:rPr>
      </w:pPr>
      <w:r>
        <w:rPr>
          <w:noProof/>
          <w:lang w:eastAsia="en-GB"/>
        </w:rPr>
        <w:drawing>
          <wp:inline distT="0" distB="0" distL="0" distR="0" wp14:anchorId="28AFFCF1" wp14:editId="1C94C21E">
            <wp:extent cx="5509260" cy="2537460"/>
            <wp:effectExtent l="0" t="0" r="15240" b="15240"/>
            <wp:docPr id="1047" name="Chart 1047" descr="Chart showing change in military personnel over time">
              <a:extLst xmlns:a="http://schemas.openxmlformats.org/drawingml/2006/main">
                <a:ext uri="{FF2B5EF4-FFF2-40B4-BE49-F238E27FC236}">
                  <a16:creationId xmlns:a16="http://schemas.microsoft.com/office/drawing/2014/main" id="{00DE3B20-F822-414E-8443-BF0596E16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D4A2F3C" w14:textId="77777777" w:rsidR="005D1E23" w:rsidRDefault="005D1E23" w:rsidP="005D1E23">
      <w:pPr>
        <w:keepNext/>
        <w:ind w:left="794"/>
        <w:rPr>
          <w:lang w:eastAsia="en-GB"/>
        </w:rPr>
      </w:pPr>
      <w:r>
        <w:rPr>
          <w:lang w:eastAsia="en-GB"/>
        </w:rPr>
        <w:t xml:space="preserve"> </w:t>
      </w:r>
      <w:r w:rsidRPr="00B35A8B">
        <w:rPr>
          <w:sz w:val="24"/>
          <w:szCs w:val="24"/>
          <w:lang w:eastAsia="en-GB"/>
        </w:rPr>
        <w:t xml:space="preserve">Source: MOD Statistics - Table 3.6a East of England: MOD Personnel by local authority area as </w:t>
      </w:r>
      <w:proofErr w:type="gramStart"/>
      <w:r w:rsidRPr="00B35A8B">
        <w:rPr>
          <w:sz w:val="24"/>
          <w:szCs w:val="24"/>
          <w:lang w:eastAsia="en-GB"/>
        </w:rPr>
        <w:t>at</w:t>
      </w:r>
      <w:proofErr w:type="gramEnd"/>
      <w:r w:rsidRPr="00B35A8B">
        <w:rPr>
          <w:sz w:val="24"/>
          <w:szCs w:val="24"/>
          <w:lang w:eastAsia="en-GB"/>
        </w:rPr>
        <w:t xml:space="preserve"> 1 April 2020</w:t>
      </w:r>
      <w:r w:rsidRPr="00B35A8B">
        <w:rPr>
          <w:rStyle w:val="FootnoteReference"/>
          <w:sz w:val="24"/>
          <w:szCs w:val="24"/>
        </w:rPr>
        <w:footnoteReference w:id="61"/>
      </w:r>
    </w:p>
    <w:p w14:paraId="0202E6F8" w14:textId="77777777" w:rsidR="005D1E23" w:rsidRDefault="005D1E23" w:rsidP="007D0FBF">
      <w:pPr>
        <w:pStyle w:val="11Bodytext"/>
      </w:pPr>
      <w:r>
        <w:t>The figure below illustrates the location of military and civilian personnel located in Cambridgeshire and West Suffolk.  As illustrated the majority are located in Huntingdonshire (45%) and West Suffolk (50%).  Two local authorities, East Cambridgeshire and Fenland recorded no personnel.</w:t>
      </w:r>
    </w:p>
    <w:p w14:paraId="44636739" w14:textId="28C79E87" w:rsidR="005D1E23" w:rsidRDefault="005D1E23" w:rsidP="003D5E23">
      <w:pPr>
        <w:pStyle w:val="FigureHeading"/>
      </w:pPr>
      <w:r>
        <w:rPr>
          <w:lang w:eastAsia="en-GB"/>
        </w:rPr>
        <w:t xml:space="preserve">Location of </w:t>
      </w:r>
      <w:r w:rsidR="00382AE7">
        <w:rPr>
          <w:lang w:eastAsia="en-GB"/>
        </w:rPr>
        <w:t xml:space="preserve">UK </w:t>
      </w:r>
      <w:r>
        <w:rPr>
          <w:lang w:eastAsia="en-GB"/>
        </w:rPr>
        <w:t>Military Personnel Within Cambridgeshire and West Suffolk (April 2020)</w:t>
      </w:r>
    </w:p>
    <w:p w14:paraId="347BD937" w14:textId="77777777" w:rsidR="005D1E23" w:rsidRDefault="005D1E23" w:rsidP="00B35A8B">
      <w:pPr>
        <w:pStyle w:val="11Bodytext"/>
        <w:keepNext/>
        <w:widowControl w:val="0"/>
        <w:numPr>
          <w:ilvl w:val="0"/>
          <w:numId w:val="0"/>
        </w:numPr>
        <w:spacing w:before="0" w:after="0" w:line="240" w:lineRule="auto"/>
        <w:ind w:left="794"/>
      </w:pPr>
      <w:r>
        <w:rPr>
          <w:noProof/>
          <w:lang w:eastAsia="en-GB"/>
        </w:rPr>
        <w:drawing>
          <wp:inline distT="0" distB="0" distL="0" distR="0" wp14:anchorId="23D1049D" wp14:editId="2FB0D127">
            <wp:extent cx="5354320" cy="2574950"/>
            <wp:effectExtent l="0" t="0" r="17780" b="15875"/>
            <wp:docPr id="1048" name="Chart 1048" descr="Chart showing location of military personnel in HMA">
              <a:extLst xmlns:a="http://schemas.openxmlformats.org/drawingml/2006/main">
                <a:ext uri="{FF2B5EF4-FFF2-40B4-BE49-F238E27FC236}">
                  <a16:creationId xmlns:a16="http://schemas.microsoft.com/office/drawing/2014/main" id="{AE70BEC4-E5F0-4640-AB9C-F07FA16C28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E48E5DB" w14:textId="77777777" w:rsidR="005D1E23" w:rsidRDefault="005D1E23" w:rsidP="00B35A8B">
      <w:pPr>
        <w:pStyle w:val="11Bodytext"/>
        <w:numPr>
          <w:ilvl w:val="0"/>
          <w:numId w:val="0"/>
        </w:numPr>
        <w:spacing w:before="0" w:line="240" w:lineRule="auto"/>
        <w:ind w:left="794"/>
      </w:pPr>
      <w:r>
        <w:t>Source:</w:t>
      </w:r>
      <w:r>
        <w:rPr>
          <w:lang w:eastAsia="en-GB"/>
        </w:rPr>
        <w:t xml:space="preserve"> MOD Statistics - Table 3.6a East of England: MOD Personnel by local authority area as </w:t>
      </w:r>
      <w:proofErr w:type="gramStart"/>
      <w:r>
        <w:rPr>
          <w:lang w:eastAsia="en-GB"/>
        </w:rPr>
        <w:t>at</w:t>
      </w:r>
      <w:proofErr w:type="gramEnd"/>
      <w:r>
        <w:rPr>
          <w:lang w:eastAsia="en-GB"/>
        </w:rPr>
        <w:t xml:space="preserve"> 1 April 2020</w:t>
      </w:r>
    </w:p>
    <w:p w14:paraId="1DA6B1FE" w14:textId="325D473B" w:rsidR="005D1E23" w:rsidRDefault="005D1E23" w:rsidP="007D0FBF">
      <w:pPr>
        <w:pStyle w:val="11Bodytext"/>
      </w:pPr>
      <w:r>
        <w:lastRenderedPageBreak/>
        <w:t xml:space="preserve">As of March 2020, our discussions with the RAF and USAF identified that RAF Mildenhall is the largest base amongst those located in the HMA. Around 8,000 homes are currently located within Mildenhall with 1,000 being family homes. Lakenheath base houses around 700 homes. There are 153 homes in Alconbury Base with further 143 dormitories (bed-spaces for young military </w:t>
      </w:r>
      <w:r w:rsidR="00382AE7">
        <w:t>service personnel</w:t>
      </w:r>
      <w:r>
        <w:t xml:space="preserve">) and 120 dormitories in RAF Molesworth. </w:t>
      </w:r>
    </w:p>
    <w:p w14:paraId="1F070FED" w14:textId="3F826379" w:rsidR="005D1E23" w:rsidRDefault="005D1E23" w:rsidP="007D0FBF">
      <w:pPr>
        <w:pStyle w:val="11Bodytext"/>
      </w:pPr>
      <w:r>
        <w:t xml:space="preserve">The bases accommodate mainly young military </w:t>
      </w:r>
      <w:r w:rsidR="00382AE7">
        <w:t>service personnel</w:t>
      </w:r>
      <w:r>
        <w:t xml:space="preserve"> until either they reach the Level E4 (Senior Airman) in their rank or they get married. On average, their tour length lasts for 3 to 4 years but some stay in the local area for a much longer time period. </w:t>
      </w:r>
    </w:p>
    <w:p w14:paraId="6CFAC8D8" w14:textId="77777777" w:rsidR="005D1E23" w:rsidRDefault="005D1E23" w:rsidP="007D0FBF">
      <w:pPr>
        <w:pStyle w:val="11Bodytext"/>
      </w:pPr>
      <w:r>
        <w:t xml:space="preserve">All the bases run at full capacity across the year. Usually, new personnel arrive twice a year in April and September. However, the representatives stated that there are other periods when people come from the USA to service the base as well. A broadly equal number of people typically arrive as those who leave the base to return to the USA. </w:t>
      </w:r>
    </w:p>
    <w:p w14:paraId="6BF7E6D3" w14:textId="77777777" w:rsidR="005D1E23" w:rsidRDefault="005D1E23" w:rsidP="007D0FBF">
      <w:pPr>
        <w:pStyle w:val="11Bodytext"/>
      </w:pPr>
      <w:r>
        <w:t xml:space="preserve">The representatives highlighted the impact of the bases in the local housing market. It was indicated that around 5,000 military households, that are linked to RAF Alconbury and RAF Molesworth, live outside these bases.  These would include USAF families which are not included in the MOD statistics. </w:t>
      </w:r>
    </w:p>
    <w:p w14:paraId="205F1D46" w14:textId="77777777" w:rsidR="005D1E23" w:rsidRDefault="005D1E23" w:rsidP="007D0FBF">
      <w:pPr>
        <w:pStyle w:val="11Bodytext"/>
      </w:pPr>
      <w:r>
        <w:t xml:space="preserve">RAF Mildenhall and RAF Lakenheath bases are small, closed communities with schools, </w:t>
      </w:r>
      <w:proofErr w:type="gramStart"/>
      <w:r>
        <w:t>shops</w:t>
      </w:r>
      <w:proofErr w:type="gramEnd"/>
      <w:r>
        <w:t xml:space="preserve"> and leisure activities. The representatives were unable to estimate the number of households living outside the bases, but they suggested that the number was substantial.  </w:t>
      </w:r>
    </w:p>
    <w:p w14:paraId="7BF2BA34" w14:textId="77777777" w:rsidR="005D1E23" w:rsidRDefault="005D1E23" w:rsidP="007D0FBF">
      <w:pPr>
        <w:pStyle w:val="11Bodytext"/>
      </w:pPr>
      <w:r>
        <w:t xml:space="preserve">In terms of demand, both representatives urged the need for more properties available to rent near the bases. The representatives highlighted the need for both small 1- to 2- bedroom properties and bigger family homes. </w:t>
      </w:r>
    </w:p>
    <w:p w14:paraId="29DE4A70" w14:textId="77777777" w:rsidR="005D1E23" w:rsidRDefault="005D1E23" w:rsidP="007D0FBF">
      <w:pPr>
        <w:pStyle w:val="11Bodytext"/>
      </w:pPr>
      <w:r>
        <w:lastRenderedPageBreak/>
        <w:t xml:space="preserve">Properties in the rental sector are more popular with personnel due to the housing allowance that they receive and the mortgage restrictions that they face due to the nature of their job (short service period etc). </w:t>
      </w:r>
    </w:p>
    <w:p w14:paraId="4FDA73BE" w14:textId="082EE5EA" w:rsidR="005D1E23" w:rsidRDefault="005D1E23" w:rsidP="007D0FBF">
      <w:pPr>
        <w:pStyle w:val="11Bodytext"/>
      </w:pPr>
      <w:r>
        <w:t xml:space="preserve">Young unmarried service personnel choose to live in vibrant urban areas with good transport links. Typically, they live in houses in multiple occupation properties fully occupied by </w:t>
      </w:r>
      <w:r w:rsidR="00382AE7">
        <w:t>service personnel</w:t>
      </w:r>
      <w:r>
        <w:t xml:space="preserve"> in Cambridge or Peterborough. The personnel receive a housing allowance of around £1,300 per month which allows them to have a choice of the more prime locations / properties. This allowance increases based on their rank. </w:t>
      </w:r>
    </w:p>
    <w:p w14:paraId="0A971DB0" w14:textId="77777777" w:rsidR="005D1E23" w:rsidRDefault="005D1E23" w:rsidP="007D0FBF">
      <w:pPr>
        <w:pStyle w:val="11Bodytext"/>
      </w:pPr>
      <w:r>
        <w:t xml:space="preserve">Families tend to travel even further to areas such as Kings Lynn and the Norfolk Coastal area to enable them to find larger family homes that can accommodate their needs at a more affordable price. </w:t>
      </w:r>
    </w:p>
    <w:p w14:paraId="625A9E5C" w14:textId="119F8015" w:rsidR="005D1E23" w:rsidRDefault="005D1E23" w:rsidP="007D0FBF">
      <w:pPr>
        <w:pStyle w:val="11Bodytext"/>
      </w:pPr>
      <w:r>
        <w:t>We also engaged with a small number of local estate agents who have confirmed that the market around the bases in West Suffolk and Huntingdonshire are driven by the military demand</w:t>
      </w:r>
      <w:r w:rsidR="00972A9E">
        <w:t xml:space="preserve">. </w:t>
      </w:r>
      <w:r>
        <w:t>The agents characterised the rental market of these areas as unique as they attracted investment interest due to the high prices achieved. Properties that would usually command £700-800 pcm are let for £1,200-1,300 in these areas.   However, given the sample size this should be treated as anecdotal.</w:t>
      </w:r>
    </w:p>
    <w:p w14:paraId="497A1CD1" w14:textId="77777777" w:rsidR="005D1E23" w:rsidRDefault="005D1E23" w:rsidP="007D0FBF">
      <w:pPr>
        <w:pStyle w:val="11Bodytext"/>
      </w:pPr>
      <w:r>
        <w:t xml:space="preserve">There was a clear indication of demand for build-to-rent schemes with good transport links to accommodate military personnel. Such accommodation would release the pressure on the existing housing stock, both releasing homes and also easing affordability.  </w:t>
      </w:r>
    </w:p>
    <w:p w14:paraId="6CB05F41" w14:textId="77777777" w:rsidR="005D1E23" w:rsidRDefault="005D1E23" w:rsidP="007D0FBF">
      <w:pPr>
        <w:pStyle w:val="11Bodytext"/>
      </w:pPr>
      <w:r>
        <w:t xml:space="preserve">As such, developments for a </w:t>
      </w:r>
      <w:proofErr w:type="gramStart"/>
      <w:r>
        <w:t>BTR  schemes</w:t>
      </w:r>
      <w:proofErr w:type="gramEnd"/>
      <w:r>
        <w:t xml:space="preserve"> for military personnel in appropriate locations should be supported as long as it can demonstrate local demand exists and approval is given by the MOD to deliver such housing.  We recognise that the MOD has an ongoing site programme to utilise their land and it is not clear who will lead an investment like this. </w:t>
      </w:r>
    </w:p>
    <w:p w14:paraId="45433EF1" w14:textId="77777777" w:rsidR="005D1E23" w:rsidRDefault="005D1E23" w:rsidP="007D0FBF">
      <w:pPr>
        <w:pStyle w:val="11Bodytext"/>
      </w:pPr>
      <w:r>
        <w:lastRenderedPageBreak/>
        <w:t xml:space="preserve">There is also the potential that on those bases operated by the US Air Force further bespoke rental accommodation could be delivered.  This would ease the financial burden of the housing allowance. </w:t>
      </w:r>
    </w:p>
    <w:p w14:paraId="3FD286FB" w14:textId="77777777" w:rsidR="005D1E23" w:rsidRDefault="005D1E23" w:rsidP="007D0FBF">
      <w:pPr>
        <w:pStyle w:val="11Bodytext"/>
      </w:pPr>
      <w:r>
        <w:t xml:space="preserve">The website for RAF </w:t>
      </w:r>
      <w:proofErr w:type="spellStart"/>
      <w:r>
        <w:t>Honington</w:t>
      </w:r>
      <w:proofErr w:type="spellEnd"/>
      <w:r>
        <w:t xml:space="preserve"> suggests that over 1,500 service personnel, civil servants and contractors work there. Service Families Accommodation (SFA) and Single Living Accommodation is available to all RAF personnel subject to entitlement regulations. SFA is administered by </w:t>
      </w:r>
      <w:proofErr w:type="spellStart"/>
      <w:r>
        <w:t>Amey</w:t>
      </w:r>
      <w:proofErr w:type="spellEnd"/>
      <w:r>
        <w:t xml:space="preserve">, who are contracted by the Defence Infrastructure Organisation (DIO). The RAF </w:t>
      </w:r>
      <w:proofErr w:type="spellStart"/>
      <w:r>
        <w:t>Wyton</w:t>
      </w:r>
      <w:proofErr w:type="spellEnd"/>
      <w:r>
        <w:t xml:space="preserve"> website does not identify a resident population at the base. </w:t>
      </w:r>
    </w:p>
    <w:p w14:paraId="0A912673" w14:textId="77777777" w:rsidR="005D1E23" w:rsidRDefault="005D1E23" w:rsidP="007D0FBF">
      <w:pPr>
        <w:pStyle w:val="11Bodytext"/>
      </w:pPr>
      <w:r>
        <w:t xml:space="preserve">Similarly, to the other bases, many of the single and married personnel based at RAF </w:t>
      </w:r>
      <w:proofErr w:type="spellStart"/>
      <w:r>
        <w:t>Honington</w:t>
      </w:r>
      <w:proofErr w:type="spellEnd"/>
      <w:r>
        <w:t xml:space="preserve"> choose to buy their own property or rent privately. There is help available for both including the Forces Help to Buy Scheme and Tenancy deposit scheme.</w:t>
      </w:r>
    </w:p>
    <w:p w14:paraId="7D7CC664" w14:textId="77777777" w:rsidR="005D1E23" w:rsidRDefault="005D1E23" w:rsidP="007D0FBF">
      <w:pPr>
        <w:pStyle w:val="11Bodytext"/>
      </w:pPr>
      <w:r>
        <w:t xml:space="preserve">The Councils have a duty to ensure service personnel and their families are accommodated in suitable accommodation if they fall into need. As part of this, in addition to accommodating the current need, the councils should engage with neighbouring local authorities through the Duty to Co-operate for any matter relating to housing need for service families. </w:t>
      </w:r>
    </w:p>
    <w:p w14:paraId="36D3E882" w14:textId="77777777" w:rsidR="005D1E23" w:rsidRDefault="005D1E23" w:rsidP="007D0FBF">
      <w:pPr>
        <w:pStyle w:val="11Bodytext"/>
      </w:pPr>
      <w:r>
        <w:t>The Allocation of Housing (Qualification Criteria for Armed Forces) (England) Regulations 2012 ensure that service personnel (including bereaved spouses or civil partners) can establish a ‘local connection’ with the area in which they are serving or have served.</w:t>
      </w:r>
    </w:p>
    <w:p w14:paraId="7A8B9891" w14:textId="77777777" w:rsidR="005D1E23" w:rsidRDefault="005D1E23" w:rsidP="007D0FBF">
      <w:pPr>
        <w:pStyle w:val="11Bodytext"/>
      </w:pPr>
      <w:r>
        <w:t xml:space="preserve">This means that ex-service personnel would not suffer disadvantages from any ‘residence’ criteria chosen by the Local Authority in their allocations policy. Also, any ex-armed forces personnel with mental health issues who present themselves to the Council as homeless would be assisted as a vulnerable group and will be given priority need for housing. </w:t>
      </w:r>
    </w:p>
    <w:p w14:paraId="5868EE9B" w14:textId="77777777" w:rsidR="005D1E23" w:rsidRDefault="005D1E23" w:rsidP="007D0FBF">
      <w:pPr>
        <w:pStyle w:val="11Bodytext"/>
      </w:pPr>
      <w:r>
        <w:lastRenderedPageBreak/>
        <w:t xml:space="preserve">The RAF has commissioned a separate study that is currently underway that will assess the needs of these bases in detail. </w:t>
      </w:r>
    </w:p>
    <w:p w14:paraId="4C969AEE" w14:textId="77777777" w:rsidR="005D1E23" w:rsidRDefault="005D1E23" w:rsidP="007D0FBF">
      <w:pPr>
        <w:pStyle w:val="Heading2"/>
      </w:pPr>
      <w:r>
        <w:t xml:space="preserve">Gypsies, Travellers, Travelling Showmen, Bargee </w:t>
      </w:r>
      <w:proofErr w:type="gramStart"/>
      <w:r>
        <w:t>Travellers</w:t>
      </w:r>
      <w:proofErr w:type="gramEnd"/>
      <w:r>
        <w:t xml:space="preserve"> and other caravan &amp; houseboat dwellers</w:t>
      </w:r>
    </w:p>
    <w:p w14:paraId="48C28882" w14:textId="77777777" w:rsidR="005D1E23" w:rsidRDefault="005D1E23" w:rsidP="007D0FBF">
      <w:pPr>
        <w:pStyle w:val="11Bodytext"/>
      </w:pPr>
      <w:r>
        <w:t>A separate study has been commissioned and is being undertaken by RRR Consulting to assess the needs of Gypsies, Travellers, Travelling Showmen and Bargee Travellers and other caravan and houseboat dwellers. This covers the Cambridge sub-region HMA (the whole of Cambridgeshire together with West Suffolk district) and the two adjoining authorities to the north – Peterborough and Kings Lynn &amp; West Norfolk.   This is due to be published in 2021.</w:t>
      </w:r>
    </w:p>
    <w:p w14:paraId="69FBBA37" w14:textId="77777777" w:rsidR="005D1E23" w:rsidRDefault="005D1E23" w:rsidP="007D0FBF">
      <w:pPr>
        <w:pStyle w:val="11Bodytext"/>
      </w:pPr>
      <w:r>
        <w:t xml:space="preserve">The study will meet the requirements set out in the Housing and Planning Act 2016 (Assessment of accommodation needs) and the national guidance contained in Planning Policy for Traveller </w:t>
      </w:r>
      <w:r w:rsidRPr="00526C6E">
        <w:rPr>
          <w:color w:val="auto"/>
        </w:rPr>
        <w:t>Sites</w:t>
      </w:r>
      <w:r>
        <w:rPr>
          <w:rStyle w:val="FootnoteReference"/>
          <w:color w:val="auto"/>
        </w:rPr>
        <w:footnoteReference w:id="62"/>
      </w:r>
      <w:r w:rsidRPr="00526C6E">
        <w:rPr>
          <w:color w:val="auto"/>
        </w:rPr>
        <w:t xml:space="preserve"> (DCLG</w:t>
      </w:r>
      <w:r>
        <w:t xml:space="preserve">, 2015) and will cover the period 2020 to 2040. </w:t>
      </w:r>
    </w:p>
    <w:p w14:paraId="7923CBC2" w14:textId="77777777" w:rsidR="005D1E23" w:rsidRDefault="005D1E23" w:rsidP="007D0FBF">
      <w:pPr>
        <w:pStyle w:val="11Bodytext"/>
      </w:pPr>
      <w:r>
        <w:t>The results of that study, once completed, should be included as part of the overall identified needs for specific groups set out in this report and will be a component part of the overall housing numbers requirement.</w:t>
      </w:r>
    </w:p>
    <w:p w14:paraId="6D4CD460" w14:textId="77777777" w:rsidR="005D1E23" w:rsidRDefault="005D1E23" w:rsidP="007D0FBF">
      <w:pPr>
        <w:pStyle w:val="11Bodytext"/>
      </w:pPr>
      <w:r>
        <w:t>The NPPF sets out the need for local authorities to determine their housing need figure using the standard method and that “within this context” the need for “different groups in the community should be assessed and reflected in planning policies (including…travellers)</w:t>
      </w:r>
      <w:r>
        <w:rPr>
          <w:rStyle w:val="FootnoteReference"/>
        </w:rPr>
        <w:footnoteReference w:id="63"/>
      </w:r>
      <w:r>
        <w:t xml:space="preserve">.  Footnotes 25 notes that “Planning Policy for Traveller Sites sets out how travellers’ housing needs should be assessed for those covered by the definition in Annex 1 of that document”.  </w:t>
      </w:r>
    </w:p>
    <w:p w14:paraId="377C4D4E" w14:textId="77777777" w:rsidR="005D1E23" w:rsidRDefault="005D1E23" w:rsidP="007D0FBF">
      <w:pPr>
        <w:pStyle w:val="11Bodytext"/>
      </w:pPr>
      <w:r>
        <w:lastRenderedPageBreak/>
        <w:t xml:space="preserve">Gypsy and Traveller pitches are therefore included within the standard method-based housing needs figure. However, a separate study is required to identify the need for such sites, but these would not be additional to the standard method.  </w:t>
      </w:r>
    </w:p>
    <w:tbl>
      <w:tblPr>
        <w:tblStyle w:val="TableGrid"/>
        <w:tblW w:w="9639" w:type="dxa"/>
        <w:tblBorders>
          <w:top w:val="single" w:sz="18" w:space="0" w:color="0093D5" w:themeColor="accent2"/>
          <w:left w:val="single" w:sz="18" w:space="0" w:color="0093D5" w:themeColor="accent2"/>
          <w:bottom w:val="single" w:sz="18" w:space="0" w:color="0093D5" w:themeColor="accent2"/>
          <w:right w:val="single" w:sz="18" w:space="0" w:color="0093D5" w:themeColor="accent2"/>
          <w:insideH w:val="single" w:sz="18" w:space="0" w:color="0093D5" w:themeColor="accent2"/>
          <w:insideV w:val="single" w:sz="18" w:space="0" w:color="0093D5" w:themeColor="accent2"/>
        </w:tblBorders>
        <w:tblLook w:val="04A0" w:firstRow="1" w:lastRow="0" w:firstColumn="1" w:lastColumn="0" w:noHBand="0" w:noVBand="1"/>
      </w:tblPr>
      <w:tblGrid>
        <w:gridCol w:w="9639"/>
      </w:tblGrid>
      <w:tr w:rsidR="00C9472E" w:rsidRPr="00CA47B9" w14:paraId="5C29CF4B" w14:textId="77777777" w:rsidTr="00B35A8B">
        <w:trPr>
          <w:cantSplit/>
          <w:trHeight w:val="2508"/>
        </w:trPr>
        <w:tc>
          <w:tcPr>
            <w:tcW w:w="9639" w:type="dxa"/>
          </w:tcPr>
          <w:p w14:paraId="7E5A1CEE" w14:textId="77777777" w:rsidR="00C9472E" w:rsidRPr="00B35A8B" w:rsidRDefault="00C9472E" w:rsidP="008E6E40">
            <w:pPr>
              <w:keepNext/>
              <w:ind w:right="176"/>
              <w:jc w:val="both"/>
              <w:rPr>
                <w:b/>
                <w:color w:val="auto"/>
                <w:sz w:val="24"/>
                <w:szCs w:val="24"/>
              </w:rPr>
            </w:pPr>
            <w:r w:rsidRPr="00B35A8B">
              <w:rPr>
                <w:b/>
                <w:sz w:val="24"/>
                <w:szCs w:val="24"/>
              </w:rPr>
              <w:lastRenderedPageBreak/>
              <w:t xml:space="preserve">Housing Needs of Different Groups: </w:t>
            </w:r>
            <w:r w:rsidRPr="00B35A8B">
              <w:rPr>
                <w:b/>
                <w:color w:val="auto"/>
                <w:sz w:val="24"/>
                <w:szCs w:val="24"/>
              </w:rPr>
              <w:t>Key messages and recommendations</w:t>
            </w:r>
          </w:p>
          <w:p w14:paraId="708404DC" w14:textId="7A5C223B" w:rsidR="0085724F" w:rsidRDefault="0085724F" w:rsidP="007D0FBF">
            <w:pPr>
              <w:pStyle w:val="11Bodytext"/>
              <w:numPr>
                <w:ilvl w:val="0"/>
                <w:numId w:val="0"/>
              </w:numPr>
              <w:ind w:left="578"/>
            </w:pPr>
            <w:r>
              <w:t>People who rent their properties</w:t>
            </w:r>
          </w:p>
          <w:p w14:paraId="13BB6802" w14:textId="77777777" w:rsidR="0085724F" w:rsidRDefault="0085724F" w:rsidP="00097650">
            <w:pPr>
              <w:pStyle w:val="10BulletBodytext"/>
            </w:pPr>
            <w:r>
              <w:t>The private rental sector has grown between 2001 and 2011. Cambridge and West Suffolk (101%) have seen lower growth than the rest of the East of England region (111%) and England as a whole (107%).</w:t>
            </w:r>
          </w:p>
          <w:p w14:paraId="1791C06A" w14:textId="77777777" w:rsidR="0085724F" w:rsidRDefault="0085724F" w:rsidP="00097650">
            <w:pPr>
              <w:pStyle w:val="10BulletBodytext"/>
            </w:pPr>
            <w:r>
              <w:t xml:space="preserve">There has been a small amount of interest in the BTR  sector in Cambridge but this is expected to grow in the coming years nationally and across the HMA because of worsening affordability. </w:t>
            </w:r>
          </w:p>
          <w:p w14:paraId="79F8BA97" w14:textId="1DC7E7C8" w:rsidR="004020EB" w:rsidRPr="00972A9E" w:rsidRDefault="0085724F" w:rsidP="00097650">
            <w:pPr>
              <w:pStyle w:val="10BulletBodytext"/>
              <w:rPr>
                <w:b/>
                <w:bCs w:val="0"/>
              </w:rPr>
            </w:pPr>
            <w:r w:rsidRPr="00972A9E">
              <w:rPr>
                <w:b/>
                <w:bCs w:val="0"/>
              </w:rPr>
              <w:t xml:space="preserve">Recommendation: With the exception of the Greater Cambridge (where there is a high proportion of students and young professionals) </w:t>
            </w:r>
            <w:r w:rsidR="0046148E" w:rsidRPr="00972A9E">
              <w:rPr>
                <w:b/>
                <w:bCs w:val="0"/>
              </w:rPr>
              <w:t xml:space="preserve">there is no requirement for the Councils to allocate sites for the build-to-rent accommodation. As regards </w:t>
            </w:r>
            <w:r w:rsidRPr="00972A9E">
              <w:rPr>
                <w:b/>
                <w:bCs w:val="0"/>
              </w:rPr>
              <w:t xml:space="preserve">Huntingdonshire and West Suffolk </w:t>
            </w:r>
            <w:r w:rsidR="0046148E" w:rsidRPr="00972A9E">
              <w:rPr>
                <w:b/>
                <w:bCs w:val="0"/>
              </w:rPr>
              <w:t xml:space="preserve">a need has been identified for BTR accommodation from </w:t>
            </w:r>
            <w:r w:rsidRPr="00972A9E">
              <w:rPr>
                <w:b/>
                <w:bCs w:val="0"/>
              </w:rPr>
              <w:t>military personnel</w:t>
            </w:r>
            <w:r w:rsidR="0046148E" w:rsidRPr="00972A9E">
              <w:rPr>
                <w:b/>
                <w:bCs w:val="0"/>
              </w:rPr>
              <w:t xml:space="preserve">. </w:t>
            </w:r>
            <w:r w:rsidRPr="00972A9E">
              <w:rPr>
                <w:b/>
                <w:bCs w:val="0"/>
              </w:rPr>
              <w:t xml:space="preserve"> </w:t>
            </w:r>
          </w:p>
          <w:p w14:paraId="4C4A2F87" w14:textId="4ECBC2B0" w:rsidR="0085724F" w:rsidRPr="008E6E40" w:rsidRDefault="0085724F" w:rsidP="00097650">
            <w:pPr>
              <w:pStyle w:val="10BulletBodytext"/>
              <w:rPr>
                <w:b/>
              </w:rPr>
            </w:pPr>
            <w:r>
              <w:t xml:space="preserve">Where BTR  is being proposed on a site, the policy position should be supportive, subject to the location and characteristics of the site in question and the proportion of units for affordable private rent being provided.   </w:t>
            </w:r>
          </w:p>
          <w:p w14:paraId="550E2EC6" w14:textId="77777777" w:rsidR="0085724F" w:rsidRDefault="0085724F" w:rsidP="007D0FBF">
            <w:pPr>
              <w:pStyle w:val="11Bodytext"/>
              <w:numPr>
                <w:ilvl w:val="0"/>
                <w:numId w:val="0"/>
              </w:numPr>
              <w:ind w:left="578"/>
            </w:pPr>
            <w:r>
              <w:t>Custom- and Self- Build</w:t>
            </w:r>
          </w:p>
          <w:p w14:paraId="1C254EE1" w14:textId="4507ABA3" w:rsidR="0085724F" w:rsidRDefault="0085724F" w:rsidP="00097650">
            <w:pPr>
              <w:pStyle w:val="10BulletBodytext"/>
            </w:pPr>
            <w:r>
              <w:t xml:space="preserve">The local authorities will need to ensure the actual number of entries on the register each year are permitted within three years.  The registers suggest this will be around 250 dpa for Cambridgeshire and </w:t>
            </w:r>
            <w:r w:rsidR="0046148E">
              <w:t xml:space="preserve">30dpa for </w:t>
            </w:r>
            <w:r>
              <w:t>West Suffolk</w:t>
            </w:r>
            <w:r w:rsidR="0046148E">
              <w:t xml:space="preserve">. </w:t>
            </w:r>
          </w:p>
          <w:p w14:paraId="5E4FC542" w14:textId="77777777" w:rsidR="0085724F" w:rsidRDefault="0085724F" w:rsidP="00097650">
            <w:pPr>
              <w:pStyle w:val="10BulletBodytext"/>
            </w:pPr>
            <w:r w:rsidRPr="00972A9E">
              <w:rPr>
                <w:b/>
                <w:bCs w:val="0"/>
              </w:rPr>
              <w:t>Recommendation: The local authorities should seek to adopt a general “encourage” policy for all sites  but also implement a further policy on strategic sites.</w:t>
            </w:r>
            <w:r>
              <w:t xml:space="preserve"> The existing policy in South Cambridgeshire provides a good example. The policy seeks, on all sites of 20 or more dwellings, and in each phase of strategic sites, developers supplying dwelling plots for sale to self and custom builders. Where plots have been made available and appropriately marketed for at least 12 months and have not been sold, the plot(s) may either remain on the market or be built out by the developer. Exceptionally, no provision will be expected in developments or phases of developments which comprise high density multi-storey flats and apartments. The exact size threshold should be determined in reference to the identified need and the number and capacity of strategic sites. This should also take into account the committed supply, demand for other house type and viability considerations.</w:t>
            </w:r>
          </w:p>
          <w:p w14:paraId="41FC3227" w14:textId="77777777" w:rsidR="0085724F" w:rsidRDefault="0085724F" w:rsidP="007D0FBF">
            <w:pPr>
              <w:pStyle w:val="11Bodytext"/>
              <w:numPr>
                <w:ilvl w:val="0"/>
                <w:numId w:val="0"/>
              </w:numPr>
              <w:ind w:left="578"/>
            </w:pPr>
            <w:r>
              <w:t xml:space="preserve">Service Families </w:t>
            </w:r>
          </w:p>
          <w:p w14:paraId="031CE4A1" w14:textId="77777777" w:rsidR="0085724F" w:rsidRDefault="0085724F" w:rsidP="00097650">
            <w:pPr>
              <w:pStyle w:val="10BulletBodytext"/>
            </w:pPr>
            <w:r>
              <w:rPr>
                <w:color w:val="auto"/>
              </w:rPr>
              <w:t xml:space="preserve">There are two </w:t>
            </w:r>
            <w:r>
              <w:t xml:space="preserve">Royal Air Force sites and four sites operated by the </w:t>
            </w:r>
            <w:r>
              <w:rPr>
                <w:lang w:eastAsia="en-GB"/>
              </w:rPr>
              <w:t xml:space="preserve">United States Air Forces across Huntingdonshire and West Suffolk authorities. </w:t>
            </w:r>
          </w:p>
          <w:p w14:paraId="067B9B88" w14:textId="77777777" w:rsidR="0085724F" w:rsidRDefault="0085724F" w:rsidP="00097650">
            <w:pPr>
              <w:pStyle w:val="10BulletBodytext"/>
            </w:pPr>
            <w:r>
              <w:t xml:space="preserve">While the sites have their own accommodation the bases drive the local rental markets with prices increasing significantly due to military housing allowances. </w:t>
            </w:r>
          </w:p>
          <w:p w14:paraId="4F0A55DF" w14:textId="77777777" w:rsidR="0085724F" w:rsidRDefault="0085724F" w:rsidP="00097650">
            <w:pPr>
              <w:pStyle w:val="10BulletBodytext"/>
            </w:pPr>
            <w:r>
              <w:t>Discussions with RAF and USAFE representatives as part of this study reveal some demand for bespoke build-to-rent schemes to accommodate the military personnel at these bases. Particular requirements are a location close to the bases and with good transport links.</w:t>
            </w:r>
          </w:p>
          <w:p w14:paraId="5A8D35F3" w14:textId="77777777" w:rsidR="0085724F" w:rsidRDefault="0085724F" w:rsidP="00097650">
            <w:pPr>
              <w:pStyle w:val="10BulletBodytext"/>
            </w:pPr>
            <w:r>
              <w:t xml:space="preserve">At present, there are no service families on the Councils’ housing  registers. The Councils should continue to monitor their registers to identify any future needs. The RAF have currently commissioned a study which is underway and will examine the specific needs of these bases. </w:t>
            </w:r>
          </w:p>
          <w:p w14:paraId="765B960C" w14:textId="77777777" w:rsidR="0085724F" w:rsidRDefault="0085724F" w:rsidP="007D0FBF">
            <w:pPr>
              <w:pStyle w:val="11Bodytext"/>
              <w:numPr>
                <w:ilvl w:val="0"/>
                <w:numId w:val="0"/>
              </w:numPr>
              <w:ind w:left="578"/>
            </w:pPr>
            <w:r>
              <w:lastRenderedPageBreak/>
              <w:t>Gypsy and Traveller</w:t>
            </w:r>
          </w:p>
          <w:p w14:paraId="14E81711" w14:textId="77777777" w:rsidR="005D1E23" w:rsidRDefault="0085724F" w:rsidP="00097650">
            <w:pPr>
              <w:pStyle w:val="10BulletBodytext"/>
            </w:pPr>
            <w:r>
              <w:t xml:space="preserve">A separate study has been commissioned to assess the needs of Gypsies, Travellers, Travelling Showmen and Bargee Travellers and other caravan and houseboat dwellers, satisfying relevant legislation and guidance. </w:t>
            </w:r>
          </w:p>
          <w:p w14:paraId="32984458" w14:textId="203463DF" w:rsidR="0085724F" w:rsidRDefault="005D1E23" w:rsidP="00097650">
            <w:pPr>
              <w:pStyle w:val="10BulletBodytext"/>
            </w:pPr>
            <w:r>
              <w:t>The results of that study, once completed, should be included as part of the overall identified needs for specific groups set out in this report and will be a component part of the overall housing numbers requirement.</w:t>
            </w:r>
          </w:p>
          <w:p w14:paraId="1679DD41" w14:textId="6D77B5B2" w:rsidR="006808A9" w:rsidRPr="00CA47B9" w:rsidRDefault="0085724F" w:rsidP="00097650">
            <w:pPr>
              <w:pStyle w:val="10BulletBodytext"/>
              <w:numPr>
                <w:ilvl w:val="0"/>
                <w:numId w:val="0"/>
              </w:numPr>
              <w:ind w:left="851"/>
            </w:pPr>
            <w:r>
              <w:t>The results of that study, once completed, should be included as part of the overall identified needs for specific groups set out in this report and will be a component part of the overall housing numbers requirement.</w:t>
            </w:r>
          </w:p>
        </w:tc>
      </w:tr>
    </w:tbl>
    <w:p w14:paraId="4B02516E" w14:textId="77777777" w:rsidR="000C59C7" w:rsidRDefault="000C59C7">
      <w:pPr>
        <w:spacing w:after="200"/>
        <w:rPr>
          <w:b/>
          <w:bCs/>
          <w:caps/>
          <w:sz w:val="24"/>
        </w:rPr>
      </w:pPr>
      <w:r>
        <w:lastRenderedPageBreak/>
        <w:br w:type="page"/>
      </w:r>
    </w:p>
    <w:p w14:paraId="727291E6" w14:textId="3771BB33" w:rsidR="0035069D" w:rsidRDefault="00231F4E" w:rsidP="00B35A8B">
      <w:pPr>
        <w:pStyle w:val="Heading1"/>
        <w:numPr>
          <w:ilvl w:val="0"/>
          <w:numId w:val="0"/>
        </w:numPr>
        <w:ind w:left="794" w:hanging="794"/>
      </w:pPr>
      <w:bookmarkStart w:id="43" w:name="_Toc79590828"/>
      <w:bookmarkEnd w:id="4"/>
      <w:bookmarkEnd w:id="5"/>
      <w:r w:rsidRPr="00A82D32">
        <w:lastRenderedPageBreak/>
        <w:t>Appendices</w:t>
      </w:r>
      <w:bookmarkEnd w:id="43"/>
    </w:p>
    <w:p w14:paraId="305416D2" w14:textId="388B396D" w:rsidR="0035069D" w:rsidRPr="00A041A7" w:rsidRDefault="0035069D" w:rsidP="0035069D">
      <w:pPr>
        <w:pStyle w:val="Appendices"/>
      </w:pPr>
      <w:bookmarkStart w:id="44" w:name="_Toc79590829"/>
      <w:r w:rsidRPr="00297D48">
        <w:t>Components of Population Change – local authority level</w:t>
      </w:r>
      <w:bookmarkEnd w:id="44"/>
      <w:r w:rsidR="00D722D1" w:rsidRPr="00297D48">
        <w:t xml:space="preserve"> </w:t>
      </w:r>
    </w:p>
    <w:tbl>
      <w:tblPr>
        <w:tblStyle w:val="GLHearntable1"/>
        <w:tblW w:w="9353" w:type="dxa"/>
        <w:jc w:val="center"/>
        <w:tblInd w:w="0" w:type="dxa"/>
        <w:shd w:val="clear" w:color="auto" w:fill="FFFFFF" w:themeFill="background1"/>
        <w:tblLayout w:type="fixed"/>
        <w:tblLook w:val="04A0" w:firstRow="1" w:lastRow="0" w:firstColumn="1" w:lastColumn="0" w:noHBand="0" w:noVBand="1"/>
      </w:tblPr>
      <w:tblGrid>
        <w:gridCol w:w="9353"/>
      </w:tblGrid>
      <w:tr w:rsidR="005F180B" w14:paraId="7EA09366" w14:textId="77777777" w:rsidTr="008E6E40">
        <w:trPr>
          <w:cnfStyle w:val="100000000000" w:firstRow="1" w:lastRow="0" w:firstColumn="0" w:lastColumn="0" w:oddVBand="0" w:evenVBand="0" w:oddHBand="0" w:evenHBand="0" w:firstRowFirstColumn="0" w:firstRowLastColumn="0" w:lastRowFirstColumn="0" w:lastRowLastColumn="0"/>
          <w:trHeight w:val="3912"/>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4FC5048" w14:textId="456C7AE0" w:rsidR="0035069D" w:rsidRDefault="003A118C" w:rsidP="007D0FBF">
            <w:pPr>
              <w:pStyle w:val="11Bodytext"/>
              <w:numPr>
                <w:ilvl w:val="0"/>
                <w:numId w:val="0"/>
              </w:numPr>
            </w:pPr>
            <w:r>
              <w:rPr>
                <w:noProof/>
                <w:lang w:eastAsia="en-GB"/>
              </w:rPr>
              <w:drawing>
                <wp:inline distT="0" distB="0" distL="0" distR="0" wp14:anchorId="6DB2B9D7" wp14:editId="614F19E9">
                  <wp:extent cx="5653405" cy="3211032"/>
                  <wp:effectExtent l="0" t="0" r="4445" b="8890"/>
                  <wp:docPr id="23" name="Chart 23" descr="Chart showing components of population change">
                    <a:extLst xmlns:a="http://schemas.openxmlformats.org/drawingml/2006/main">
                      <a:ext uri="{FF2B5EF4-FFF2-40B4-BE49-F238E27FC236}">
                        <a16:creationId xmlns:a16="http://schemas.microsoft.com/office/drawing/2014/main" id="{962C0497-71F3-42B8-AF25-CCAEFC5C9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35069D" w14:paraId="4B8034BA" w14:textId="77777777" w:rsidTr="003A118C">
        <w:trPr>
          <w:trHeight w:val="3912"/>
          <w:jc w:val="center"/>
        </w:trPr>
        <w:tc>
          <w:tcPr>
            <w:cnfStyle w:val="001000000000" w:firstRow="0" w:lastRow="0" w:firstColumn="1" w:lastColumn="0" w:oddVBand="0" w:evenVBand="0" w:oddHBand="0" w:evenHBand="0" w:firstRowFirstColumn="0" w:firstRowLastColumn="0" w:lastRowFirstColumn="0" w:lastRowLastColumn="0"/>
            <w:tcW w:w="9353" w:type="dxa"/>
            <w:shd w:val="clear" w:color="auto" w:fill="FFFFFF" w:themeFill="background1"/>
            <w:vAlign w:val="center"/>
          </w:tcPr>
          <w:p w14:paraId="7143A790" w14:textId="01B67635" w:rsidR="0035069D" w:rsidRDefault="003A118C" w:rsidP="007D0FBF">
            <w:pPr>
              <w:pStyle w:val="11Bodytext"/>
              <w:numPr>
                <w:ilvl w:val="0"/>
                <w:numId w:val="0"/>
              </w:numPr>
            </w:pPr>
            <w:r>
              <w:rPr>
                <w:noProof/>
                <w:lang w:eastAsia="en-GB"/>
              </w:rPr>
              <w:drawing>
                <wp:inline distT="0" distB="0" distL="0" distR="0" wp14:anchorId="4FE180A2" wp14:editId="051182C2">
                  <wp:extent cx="5653768" cy="3650798"/>
                  <wp:effectExtent l="0" t="0" r="4445" b="6985"/>
                  <wp:docPr id="24" name="Chart 24" descr="Chart showing components of population change">
                    <a:extLst xmlns:a="http://schemas.openxmlformats.org/drawingml/2006/main">
                      <a:ext uri="{FF2B5EF4-FFF2-40B4-BE49-F238E27FC236}">
                        <a16:creationId xmlns:a16="http://schemas.microsoft.com/office/drawing/2014/main" id="{C3F3174D-D7AE-4E51-987D-77182F22A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35069D" w14:paraId="3C4E2F21" w14:textId="77777777" w:rsidTr="003A118C">
        <w:trPr>
          <w:cnfStyle w:val="000000010000" w:firstRow="0" w:lastRow="0" w:firstColumn="0" w:lastColumn="0" w:oddVBand="0" w:evenVBand="0" w:oddHBand="0" w:evenHBand="1" w:firstRowFirstColumn="0" w:firstRowLastColumn="0" w:lastRowFirstColumn="0" w:lastRowLastColumn="0"/>
          <w:trHeight w:val="3912"/>
          <w:jc w:val="center"/>
        </w:trPr>
        <w:tc>
          <w:tcPr>
            <w:cnfStyle w:val="001000000000" w:firstRow="0" w:lastRow="0" w:firstColumn="1" w:lastColumn="0" w:oddVBand="0" w:evenVBand="0" w:oddHBand="0" w:evenHBand="0" w:firstRowFirstColumn="0" w:firstRowLastColumn="0" w:lastRowFirstColumn="0" w:lastRowLastColumn="0"/>
            <w:tcW w:w="9353" w:type="dxa"/>
            <w:shd w:val="clear" w:color="auto" w:fill="FFFFFF" w:themeFill="background1"/>
            <w:vAlign w:val="center"/>
          </w:tcPr>
          <w:p w14:paraId="10738F53" w14:textId="1CFA8FB2" w:rsidR="0035069D" w:rsidRDefault="003A118C" w:rsidP="007D0FBF">
            <w:pPr>
              <w:pStyle w:val="11Bodytext"/>
              <w:numPr>
                <w:ilvl w:val="0"/>
                <w:numId w:val="0"/>
              </w:numPr>
              <w:ind w:left="25"/>
            </w:pPr>
            <w:r>
              <w:rPr>
                <w:noProof/>
                <w:lang w:eastAsia="en-GB"/>
              </w:rPr>
              <w:lastRenderedPageBreak/>
              <w:drawing>
                <wp:inline distT="0" distB="0" distL="0" distR="0" wp14:anchorId="536771C9" wp14:editId="0C5C0844">
                  <wp:extent cx="5653405" cy="3296093"/>
                  <wp:effectExtent l="0" t="0" r="4445" b="0"/>
                  <wp:docPr id="26" name="Chart 26" descr="Chart showing components of population change">
                    <a:extLst xmlns:a="http://schemas.openxmlformats.org/drawingml/2006/main">
                      <a:ext uri="{FF2B5EF4-FFF2-40B4-BE49-F238E27FC236}">
                        <a16:creationId xmlns:a16="http://schemas.microsoft.com/office/drawing/2014/main" id="{17F94E37-5AC3-4D20-A003-7E11A87E2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35069D" w14:paraId="38E97088" w14:textId="77777777" w:rsidTr="003A118C">
        <w:trPr>
          <w:trHeight w:val="3912"/>
          <w:jc w:val="center"/>
        </w:trPr>
        <w:tc>
          <w:tcPr>
            <w:cnfStyle w:val="001000000000" w:firstRow="0" w:lastRow="0" w:firstColumn="1" w:lastColumn="0" w:oddVBand="0" w:evenVBand="0" w:oddHBand="0" w:evenHBand="0" w:firstRowFirstColumn="0" w:firstRowLastColumn="0" w:lastRowFirstColumn="0" w:lastRowLastColumn="0"/>
            <w:tcW w:w="9353" w:type="dxa"/>
            <w:shd w:val="clear" w:color="auto" w:fill="FFFFFF" w:themeFill="background1"/>
            <w:vAlign w:val="center"/>
          </w:tcPr>
          <w:p w14:paraId="1E72E5DF" w14:textId="1B87157A" w:rsidR="0035069D" w:rsidRDefault="003A118C" w:rsidP="007D0FBF">
            <w:pPr>
              <w:pStyle w:val="11Bodytext"/>
              <w:numPr>
                <w:ilvl w:val="0"/>
                <w:numId w:val="0"/>
              </w:numPr>
            </w:pPr>
            <w:r>
              <w:rPr>
                <w:noProof/>
                <w:lang w:eastAsia="en-GB"/>
              </w:rPr>
              <w:drawing>
                <wp:inline distT="0" distB="0" distL="0" distR="0" wp14:anchorId="284FAE1B" wp14:editId="06F56839">
                  <wp:extent cx="5801995" cy="3822700"/>
                  <wp:effectExtent l="0" t="0" r="8255" b="6350"/>
                  <wp:docPr id="27" name="Chart 27" descr="Chart showing components of population change">
                    <a:extLst xmlns:a="http://schemas.openxmlformats.org/drawingml/2006/main">
                      <a:ext uri="{FF2B5EF4-FFF2-40B4-BE49-F238E27FC236}">
                        <a16:creationId xmlns:a16="http://schemas.microsoft.com/office/drawing/2014/main" id="{17F94E37-5AC3-4D20-A003-7E11A87E2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35069D" w14:paraId="7B42A8CC" w14:textId="77777777" w:rsidTr="00716055">
        <w:trPr>
          <w:cnfStyle w:val="000000010000" w:firstRow="0" w:lastRow="0" w:firstColumn="0" w:lastColumn="0" w:oddVBand="0" w:evenVBand="0" w:oddHBand="0" w:evenHBand="1" w:firstRowFirstColumn="0" w:firstRowLastColumn="0" w:lastRowFirstColumn="0" w:lastRowLastColumn="0"/>
          <w:trHeight w:val="3912"/>
          <w:jc w:val="center"/>
        </w:trPr>
        <w:tc>
          <w:tcPr>
            <w:cnfStyle w:val="001000000000" w:firstRow="0" w:lastRow="0" w:firstColumn="1" w:lastColumn="0" w:oddVBand="0" w:evenVBand="0" w:oddHBand="0" w:evenHBand="0" w:firstRowFirstColumn="0" w:firstRowLastColumn="0" w:lastRowFirstColumn="0" w:lastRowLastColumn="0"/>
            <w:tcW w:w="9353" w:type="dxa"/>
            <w:shd w:val="clear" w:color="auto" w:fill="FFFFFF" w:themeFill="background1"/>
            <w:vAlign w:val="center"/>
          </w:tcPr>
          <w:p w14:paraId="6E8EE70C" w14:textId="60199D60" w:rsidR="0035069D" w:rsidRDefault="00716055" w:rsidP="007D0FBF">
            <w:pPr>
              <w:pStyle w:val="11Bodytext"/>
              <w:numPr>
                <w:ilvl w:val="0"/>
                <w:numId w:val="0"/>
              </w:numPr>
              <w:ind w:left="25"/>
            </w:pPr>
            <w:r>
              <w:rPr>
                <w:noProof/>
                <w:lang w:eastAsia="en-GB"/>
              </w:rPr>
              <w:lastRenderedPageBreak/>
              <w:drawing>
                <wp:inline distT="0" distB="0" distL="0" distR="0" wp14:anchorId="51B757EC" wp14:editId="2B52A303">
                  <wp:extent cx="5801995" cy="3349256"/>
                  <wp:effectExtent l="0" t="0" r="8255" b="3810"/>
                  <wp:docPr id="30" name="Chart 30" descr="Chart showing components of population change">
                    <a:extLst xmlns:a="http://schemas.openxmlformats.org/drawingml/2006/main">
                      <a:ext uri="{FF2B5EF4-FFF2-40B4-BE49-F238E27FC236}">
                        <a16:creationId xmlns:a16="http://schemas.microsoft.com/office/drawing/2014/main" id="{B448D52C-5251-4DC9-89DD-005D5BA20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35069D" w14:paraId="4702404B" w14:textId="77777777" w:rsidTr="00716055">
        <w:trPr>
          <w:trHeight w:val="3912"/>
          <w:jc w:val="center"/>
        </w:trPr>
        <w:tc>
          <w:tcPr>
            <w:cnfStyle w:val="001000000000" w:firstRow="0" w:lastRow="0" w:firstColumn="1" w:lastColumn="0" w:oddVBand="0" w:evenVBand="0" w:oddHBand="0" w:evenHBand="0" w:firstRowFirstColumn="0" w:firstRowLastColumn="0" w:lastRowFirstColumn="0" w:lastRowLastColumn="0"/>
            <w:tcW w:w="9353" w:type="dxa"/>
            <w:shd w:val="clear" w:color="auto" w:fill="FFFFFF" w:themeFill="background1"/>
            <w:vAlign w:val="center"/>
          </w:tcPr>
          <w:p w14:paraId="47529A9C" w14:textId="713ADD69" w:rsidR="0035069D" w:rsidRDefault="00716055" w:rsidP="007D0FBF">
            <w:pPr>
              <w:pStyle w:val="11Bodytext"/>
              <w:numPr>
                <w:ilvl w:val="0"/>
                <w:numId w:val="0"/>
              </w:numPr>
            </w:pPr>
            <w:r>
              <w:rPr>
                <w:noProof/>
                <w:lang w:eastAsia="en-GB"/>
              </w:rPr>
              <w:drawing>
                <wp:inline distT="0" distB="0" distL="0" distR="0" wp14:anchorId="7A4D01E6" wp14:editId="35EC91BF">
                  <wp:extent cx="5653405" cy="3408219"/>
                  <wp:effectExtent l="0" t="0" r="4445" b="1905"/>
                  <wp:docPr id="32" name="Chart 32" descr="Chart showing components of population change">
                    <a:extLst xmlns:a="http://schemas.openxmlformats.org/drawingml/2006/main">
                      <a:ext uri="{FF2B5EF4-FFF2-40B4-BE49-F238E27FC236}">
                        <a16:creationId xmlns:a16="http://schemas.microsoft.com/office/drawing/2014/main" id="{7D54B423-467A-4FD7-AE45-F9C289FF3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3C694D1F" w14:textId="77777777" w:rsidR="009A5CE2" w:rsidRDefault="009A5CE2" w:rsidP="00231F4E">
      <w:pPr>
        <w:pStyle w:val="Bodytextwithindent"/>
      </w:pPr>
    </w:p>
    <w:p w14:paraId="2EC069DE" w14:textId="77777777" w:rsidR="009A5CE2" w:rsidRDefault="009A5CE2" w:rsidP="009A5CE2">
      <w:pPr>
        <w:rPr>
          <w:rFonts w:ascii="Times New Roman" w:eastAsia="Times New Roman" w:hAnsi="Times New Roman" w:cs="Times New Roman"/>
          <w:b/>
          <w:color w:val="auto"/>
          <w:sz w:val="24"/>
          <w:szCs w:val="24"/>
          <w:lang w:eastAsia="en-GB"/>
        </w:rPr>
        <w:sectPr w:rsidR="009A5CE2" w:rsidSect="00B83A64">
          <w:footerReference w:type="default" r:id="rId95"/>
          <w:pgSz w:w="11900" w:h="16840"/>
          <w:pgMar w:top="2438" w:right="851" w:bottom="1418" w:left="1701" w:header="709" w:footer="709" w:gutter="0"/>
          <w:cols w:space="720"/>
          <w:formProt w:val="0"/>
        </w:sectPr>
      </w:pPr>
    </w:p>
    <w:p w14:paraId="26AA27B1" w14:textId="77777777" w:rsidR="00C167A3" w:rsidRPr="00E852F6" w:rsidRDefault="00C167A3" w:rsidP="00C167A3">
      <w:pPr>
        <w:pStyle w:val="Appendices"/>
      </w:pPr>
      <w:bookmarkStart w:id="45" w:name="_Toc79590830"/>
      <w:r w:rsidRPr="00E852F6">
        <w:rPr>
          <w:noProof/>
        </w:rPr>
        <w:lastRenderedPageBreak/>
        <w:t>Past and Projected Popula</w:t>
      </w:r>
      <w:r w:rsidR="00762C9E" w:rsidRPr="00E852F6">
        <w:rPr>
          <w:noProof/>
        </w:rPr>
        <w:t>ti</w:t>
      </w:r>
      <w:r w:rsidRPr="00E852F6">
        <w:rPr>
          <w:noProof/>
        </w:rPr>
        <w:t>on Growth -</w:t>
      </w:r>
      <w:r w:rsidR="00E852F6">
        <w:rPr>
          <w:noProof/>
        </w:rPr>
        <w:t xml:space="preserve"> </w:t>
      </w:r>
      <w:r w:rsidRPr="00E852F6">
        <w:rPr>
          <w:noProof/>
        </w:rPr>
        <w:t>local authority level</w:t>
      </w:r>
      <w:bookmarkEnd w:id="45"/>
    </w:p>
    <w:p w14:paraId="68C1740F" w14:textId="77777777" w:rsidR="00270765" w:rsidRDefault="00270765" w:rsidP="003D5E23">
      <w:pPr>
        <w:pStyle w:val="FigureHeading"/>
        <w:numPr>
          <w:ilvl w:val="0"/>
          <w:numId w:val="0"/>
        </w:numPr>
        <w:ind w:left="1843"/>
      </w:pPr>
      <w:bookmarkStart w:id="46" w:name="_Toc36816070"/>
      <w:r>
        <w:t>Past and Projected Population Growth – Cambridge</w:t>
      </w:r>
      <w:bookmarkEnd w:id="46"/>
    </w:p>
    <w:p w14:paraId="5637888C" w14:textId="77777777" w:rsidR="00270765" w:rsidRDefault="00270765" w:rsidP="00B35A8B">
      <w:pPr>
        <w:pStyle w:val="11Bodytext"/>
        <w:numPr>
          <w:ilvl w:val="0"/>
          <w:numId w:val="0"/>
        </w:numPr>
        <w:spacing w:line="240" w:lineRule="auto"/>
        <w:ind w:left="794"/>
      </w:pPr>
      <w:r>
        <w:rPr>
          <w:noProof/>
          <w:lang w:eastAsia="en-GB"/>
        </w:rPr>
        <w:drawing>
          <wp:inline distT="0" distB="0" distL="0" distR="0" wp14:anchorId="2B7E3E20" wp14:editId="10F180F1">
            <wp:extent cx="5629275" cy="2886075"/>
            <wp:effectExtent l="0" t="0" r="9525" b="9525"/>
            <wp:docPr id="1070" name="Chart 1070" descr="Chart showing projected population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0A8F9D1" w14:textId="77777777" w:rsidR="00270765" w:rsidRPr="00B35A8B" w:rsidRDefault="00270765" w:rsidP="00B35A8B">
      <w:pPr>
        <w:spacing w:after="120"/>
        <w:ind w:left="794"/>
        <w:rPr>
          <w:sz w:val="24"/>
          <w:szCs w:val="24"/>
        </w:rPr>
      </w:pPr>
      <w:r w:rsidRPr="00B35A8B">
        <w:rPr>
          <w:sz w:val="24"/>
          <w:szCs w:val="24"/>
        </w:rPr>
        <w:t>Source: Demographic projections</w:t>
      </w:r>
    </w:p>
    <w:p w14:paraId="7D8494D9" w14:textId="77777777" w:rsidR="00270765" w:rsidRDefault="00270765" w:rsidP="003D5E23">
      <w:pPr>
        <w:pStyle w:val="FigureHeading"/>
        <w:numPr>
          <w:ilvl w:val="0"/>
          <w:numId w:val="0"/>
        </w:numPr>
        <w:ind w:left="1843"/>
      </w:pPr>
      <w:r>
        <w:t>Past and Projected Population Growth – East Cambridgeshire</w:t>
      </w:r>
    </w:p>
    <w:p w14:paraId="70024D4C" w14:textId="77777777" w:rsidR="00BF6995" w:rsidRDefault="00270765" w:rsidP="00B35A8B">
      <w:pPr>
        <w:ind w:left="794"/>
      </w:pPr>
      <w:r>
        <w:rPr>
          <w:bCs/>
          <w:noProof/>
          <w:lang w:eastAsia="en-GB"/>
        </w:rPr>
        <w:drawing>
          <wp:inline distT="0" distB="0" distL="0" distR="0" wp14:anchorId="794336F2" wp14:editId="586B6B86">
            <wp:extent cx="5629275" cy="2886075"/>
            <wp:effectExtent l="0" t="0" r="9525" b="9525"/>
            <wp:docPr id="1071" name="Chart 1071" descr="Chart showing projected population growth"/>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627B63A" w14:textId="0AF4E503" w:rsidR="00270765" w:rsidRPr="00B35A8B" w:rsidRDefault="00270765" w:rsidP="00B35A8B">
      <w:pPr>
        <w:spacing w:after="120"/>
        <w:ind w:left="794"/>
        <w:rPr>
          <w:sz w:val="24"/>
          <w:szCs w:val="24"/>
        </w:rPr>
      </w:pPr>
      <w:r w:rsidRPr="00B35A8B">
        <w:rPr>
          <w:sz w:val="24"/>
          <w:szCs w:val="24"/>
        </w:rPr>
        <w:t>Source: Demographic projections</w:t>
      </w:r>
    </w:p>
    <w:p w14:paraId="0C868F10" w14:textId="77777777" w:rsidR="00270765" w:rsidRDefault="00270765" w:rsidP="003D5E23">
      <w:pPr>
        <w:pStyle w:val="FigureHeading"/>
        <w:numPr>
          <w:ilvl w:val="0"/>
          <w:numId w:val="0"/>
        </w:numPr>
        <w:ind w:left="1843"/>
      </w:pPr>
      <w:r>
        <w:lastRenderedPageBreak/>
        <w:t>Past and Projected Population Growth – Fenland</w:t>
      </w:r>
    </w:p>
    <w:p w14:paraId="212B10F0" w14:textId="77777777" w:rsidR="00270765" w:rsidRDefault="00270765" w:rsidP="00B35A8B">
      <w:pPr>
        <w:pStyle w:val="11Bodytext"/>
        <w:numPr>
          <w:ilvl w:val="0"/>
          <w:numId w:val="0"/>
        </w:numPr>
        <w:spacing w:line="240" w:lineRule="auto"/>
        <w:ind w:left="794"/>
      </w:pPr>
      <w:r>
        <w:rPr>
          <w:noProof/>
          <w:lang w:eastAsia="en-GB"/>
        </w:rPr>
        <w:drawing>
          <wp:inline distT="0" distB="0" distL="0" distR="0" wp14:anchorId="276168BF" wp14:editId="48D2065D">
            <wp:extent cx="5629275" cy="2886075"/>
            <wp:effectExtent l="0" t="0" r="9525" b="9525"/>
            <wp:docPr id="50" name="Chart 50" descr="Line chart showing past and projected population growth for Fenland"/>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C357C8A" w14:textId="77777777" w:rsidR="00270765" w:rsidRPr="00B35A8B" w:rsidRDefault="00270765" w:rsidP="00B35A8B">
      <w:pPr>
        <w:spacing w:after="120"/>
        <w:ind w:left="794"/>
        <w:rPr>
          <w:sz w:val="24"/>
          <w:szCs w:val="24"/>
        </w:rPr>
      </w:pPr>
      <w:r w:rsidRPr="00B35A8B">
        <w:rPr>
          <w:sz w:val="24"/>
          <w:szCs w:val="24"/>
        </w:rPr>
        <w:t>Source: Demographic projections</w:t>
      </w:r>
    </w:p>
    <w:p w14:paraId="7AF77A31" w14:textId="77777777" w:rsidR="00270765" w:rsidRDefault="00270765" w:rsidP="003D5E23">
      <w:pPr>
        <w:pStyle w:val="FigureHeading"/>
        <w:numPr>
          <w:ilvl w:val="0"/>
          <w:numId w:val="0"/>
        </w:numPr>
        <w:ind w:left="1843"/>
      </w:pPr>
      <w:r>
        <w:t>Past and Projected Population Growth – Huntingdonshire</w:t>
      </w:r>
    </w:p>
    <w:p w14:paraId="0317B59F" w14:textId="77777777" w:rsidR="00270765" w:rsidRDefault="00270765" w:rsidP="00B35A8B">
      <w:pPr>
        <w:pStyle w:val="11Bodytext"/>
        <w:numPr>
          <w:ilvl w:val="0"/>
          <w:numId w:val="0"/>
        </w:numPr>
        <w:spacing w:line="240" w:lineRule="auto"/>
        <w:ind w:left="794"/>
      </w:pPr>
      <w:r>
        <w:rPr>
          <w:noProof/>
          <w:lang w:eastAsia="en-GB"/>
        </w:rPr>
        <w:drawing>
          <wp:inline distT="0" distB="0" distL="0" distR="0" wp14:anchorId="0DA16848" wp14:editId="59FFECAF">
            <wp:extent cx="5629275" cy="2886075"/>
            <wp:effectExtent l="0" t="0" r="9525" b="9525"/>
            <wp:docPr id="49" name="Chart 49" descr="Line chart showing past and projected population growth for Huntingdonshire"/>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F9F4624" w14:textId="77777777" w:rsidR="00270765" w:rsidRPr="00B35A8B" w:rsidRDefault="00270765" w:rsidP="00B35A8B">
      <w:pPr>
        <w:spacing w:after="120"/>
        <w:ind w:left="794"/>
        <w:rPr>
          <w:sz w:val="24"/>
          <w:szCs w:val="24"/>
        </w:rPr>
      </w:pPr>
      <w:r w:rsidRPr="00B35A8B">
        <w:rPr>
          <w:sz w:val="24"/>
          <w:szCs w:val="24"/>
        </w:rPr>
        <w:t>Source: Demographic projections</w:t>
      </w:r>
    </w:p>
    <w:p w14:paraId="5C52A174" w14:textId="77777777" w:rsidR="00270765" w:rsidRDefault="00270765" w:rsidP="003D5E23">
      <w:pPr>
        <w:pStyle w:val="FigureHeading"/>
        <w:numPr>
          <w:ilvl w:val="0"/>
          <w:numId w:val="0"/>
        </w:numPr>
        <w:ind w:left="1843"/>
      </w:pPr>
      <w:r>
        <w:lastRenderedPageBreak/>
        <w:t>Past and Projected Population Growth – South Cambridgeshire</w:t>
      </w:r>
    </w:p>
    <w:p w14:paraId="6908CFD5" w14:textId="77777777" w:rsidR="00270765" w:rsidRDefault="00270765" w:rsidP="00B35A8B">
      <w:pPr>
        <w:pStyle w:val="11Bodytext"/>
        <w:numPr>
          <w:ilvl w:val="0"/>
          <w:numId w:val="0"/>
        </w:numPr>
        <w:spacing w:line="240" w:lineRule="auto"/>
        <w:ind w:left="794"/>
      </w:pPr>
      <w:r>
        <w:rPr>
          <w:noProof/>
          <w:lang w:eastAsia="en-GB"/>
        </w:rPr>
        <w:drawing>
          <wp:inline distT="0" distB="0" distL="0" distR="0" wp14:anchorId="65312459" wp14:editId="33BD0CDD">
            <wp:extent cx="5629275" cy="2886075"/>
            <wp:effectExtent l="0" t="0" r="9525" b="9525"/>
            <wp:docPr id="48" name="Chart 48" descr="line chart displaying past and projected population growth for South Cambridgeshi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219FF6A" w14:textId="77777777" w:rsidR="00270765" w:rsidRPr="00B35A8B" w:rsidRDefault="00270765" w:rsidP="00B35A8B">
      <w:pPr>
        <w:spacing w:after="120"/>
        <w:ind w:left="794"/>
        <w:rPr>
          <w:sz w:val="24"/>
          <w:szCs w:val="24"/>
        </w:rPr>
      </w:pPr>
      <w:r w:rsidRPr="00B35A8B">
        <w:rPr>
          <w:sz w:val="24"/>
          <w:szCs w:val="24"/>
        </w:rPr>
        <w:t>Source: Demographic projections</w:t>
      </w:r>
    </w:p>
    <w:p w14:paraId="0A68419B" w14:textId="77777777" w:rsidR="00270765" w:rsidRDefault="00270765" w:rsidP="003D5E23">
      <w:pPr>
        <w:pStyle w:val="FigureHeading"/>
        <w:numPr>
          <w:ilvl w:val="0"/>
          <w:numId w:val="0"/>
        </w:numPr>
        <w:ind w:left="1843"/>
      </w:pPr>
      <w:r>
        <w:t>Past and Projected Population Growth – West Suffolk</w:t>
      </w:r>
    </w:p>
    <w:p w14:paraId="5CA97E58" w14:textId="77777777" w:rsidR="00270765" w:rsidRDefault="00270765" w:rsidP="00B35A8B">
      <w:pPr>
        <w:pStyle w:val="11Bodytext"/>
        <w:numPr>
          <w:ilvl w:val="0"/>
          <w:numId w:val="0"/>
        </w:numPr>
        <w:spacing w:line="240" w:lineRule="auto"/>
        <w:ind w:left="794"/>
      </w:pPr>
      <w:r>
        <w:rPr>
          <w:noProof/>
          <w:lang w:eastAsia="en-GB"/>
        </w:rPr>
        <w:drawing>
          <wp:inline distT="0" distB="0" distL="0" distR="0" wp14:anchorId="71D9AFDF" wp14:editId="2BB6CA0E">
            <wp:extent cx="5629275" cy="2886075"/>
            <wp:effectExtent l="0" t="0" r="9525" b="9525"/>
            <wp:docPr id="47" name="Chart 47" descr="line chart showing past and projected population growth for West Suffolk"/>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D60E828" w14:textId="77777777" w:rsidR="00270765" w:rsidRPr="00B35A8B" w:rsidRDefault="00270765" w:rsidP="00B35A8B">
      <w:pPr>
        <w:spacing w:after="120"/>
        <w:ind w:left="794"/>
        <w:rPr>
          <w:sz w:val="24"/>
          <w:szCs w:val="24"/>
        </w:rPr>
      </w:pPr>
      <w:r w:rsidRPr="00B35A8B">
        <w:rPr>
          <w:sz w:val="24"/>
          <w:szCs w:val="24"/>
        </w:rPr>
        <w:t>Source: Demographic projections</w:t>
      </w:r>
    </w:p>
    <w:p w14:paraId="39B73FD7" w14:textId="77777777" w:rsidR="00DF7E8C" w:rsidRDefault="00DF7E8C">
      <w:pPr>
        <w:spacing w:after="200"/>
        <w:rPr>
          <w:szCs w:val="24"/>
        </w:rPr>
      </w:pPr>
      <w:r>
        <w:br w:type="page"/>
      </w:r>
    </w:p>
    <w:p w14:paraId="4618F7F1" w14:textId="77777777" w:rsidR="00C167A3" w:rsidRPr="00270765" w:rsidRDefault="00C167A3" w:rsidP="00C167A3">
      <w:pPr>
        <w:pStyle w:val="Appendices"/>
      </w:pPr>
      <w:bookmarkStart w:id="47" w:name="_Toc79590831"/>
      <w:r w:rsidRPr="00270765">
        <w:lastRenderedPageBreak/>
        <w:t xml:space="preserve">Population </w:t>
      </w:r>
      <w:proofErr w:type="gramStart"/>
      <w:r w:rsidRPr="00270765">
        <w:t>change</w:t>
      </w:r>
      <w:proofErr w:type="gramEnd"/>
      <w:r w:rsidRPr="00270765">
        <w:t xml:space="preserve"> 2020 to 2040 by age bands – local authority level</w:t>
      </w:r>
      <w:bookmarkEnd w:id="47"/>
    </w:p>
    <w:p w14:paraId="46ECB46A" w14:textId="77777777" w:rsidR="00270765" w:rsidRPr="00934497" w:rsidRDefault="00270765" w:rsidP="003D5E23">
      <w:pPr>
        <w:pStyle w:val="Tableheading"/>
        <w:numPr>
          <w:ilvl w:val="0"/>
          <w:numId w:val="0"/>
        </w:numPr>
        <w:ind w:left="794"/>
      </w:pPr>
      <w:r w:rsidRPr="00796AF3">
        <w:t xml:space="preserve">Population change 2020 to 2040 by five-year age bands linked to Standard Method – Cambridge </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0176F49F" w14:textId="77777777" w:rsidTr="004F4BA7">
        <w:tc>
          <w:tcPr>
            <w:tcW w:w="1305" w:type="dxa"/>
          </w:tcPr>
          <w:p w14:paraId="01D21483" w14:textId="77777777" w:rsidR="00270765" w:rsidRPr="004F4BA7" w:rsidRDefault="00270765" w:rsidP="0087660C">
            <w:pPr>
              <w:keepNext/>
              <w:rPr>
                <w:rFonts w:ascii="Arial Narrow" w:hAnsi="Arial Narrow" w:cstheme="minorHAnsi"/>
                <w:sz w:val="24"/>
                <w:szCs w:val="24"/>
              </w:rPr>
            </w:pPr>
          </w:p>
        </w:tc>
        <w:tc>
          <w:tcPr>
            <w:tcW w:w="1885" w:type="dxa"/>
            <w:vAlign w:val="center"/>
            <w:hideMark/>
          </w:tcPr>
          <w:p w14:paraId="73699C6F" w14:textId="77777777" w:rsidR="00270765" w:rsidRPr="004F4BA7" w:rsidRDefault="00270765" w:rsidP="004F4BA7">
            <w:pPr>
              <w:keepNext/>
              <w:widowControl w:val="0"/>
              <w:jc w:val="center"/>
              <w:rPr>
                <w:rFonts w:ascii="Arial Narrow" w:hAnsi="Arial Narrow" w:cstheme="minorHAnsi"/>
                <w:b/>
                <w:bCs/>
                <w:sz w:val="24"/>
                <w:szCs w:val="24"/>
              </w:rPr>
            </w:pPr>
            <w:r w:rsidRPr="004F4BA7">
              <w:rPr>
                <w:rFonts w:ascii="Arial Narrow" w:hAnsi="Arial Narrow" w:cstheme="minorHAnsi"/>
                <w:b/>
                <w:bCs/>
                <w:sz w:val="24"/>
                <w:szCs w:val="24"/>
              </w:rPr>
              <w:t>Population 2020</w:t>
            </w:r>
          </w:p>
        </w:tc>
        <w:tc>
          <w:tcPr>
            <w:tcW w:w="1885" w:type="dxa"/>
            <w:vAlign w:val="center"/>
            <w:hideMark/>
          </w:tcPr>
          <w:p w14:paraId="35A34D08" w14:textId="77777777" w:rsidR="00270765" w:rsidRPr="004F4BA7" w:rsidRDefault="00270765" w:rsidP="004F4BA7">
            <w:pPr>
              <w:keepNext/>
              <w:widowControl w:val="0"/>
              <w:jc w:val="center"/>
              <w:rPr>
                <w:rFonts w:ascii="Arial Narrow" w:hAnsi="Arial Narrow" w:cstheme="minorHAnsi"/>
                <w:b/>
                <w:bCs/>
                <w:sz w:val="24"/>
                <w:szCs w:val="24"/>
              </w:rPr>
            </w:pPr>
            <w:r w:rsidRPr="004F4BA7">
              <w:rPr>
                <w:rFonts w:ascii="Arial Narrow" w:hAnsi="Arial Narrow" w:cstheme="minorHAnsi"/>
                <w:b/>
                <w:bCs/>
                <w:sz w:val="24"/>
                <w:szCs w:val="24"/>
              </w:rPr>
              <w:t>Population 2040</w:t>
            </w:r>
          </w:p>
        </w:tc>
        <w:tc>
          <w:tcPr>
            <w:tcW w:w="1885" w:type="dxa"/>
            <w:vAlign w:val="center"/>
            <w:hideMark/>
          </w:tcPr>
          <w:p w14:paraId="54CEFC4E" w14:textId="7E8117D0" w:rsidR="00270765" w:rsidRPr="004F4BA7" w:rsidRDefault="00270765" w:rsidP="004F4BA7">
            <w:pPr>
              <w:keepNext/>
              <w:widowControl w:val="0"/>
              <w:jc w:val="center"/>
              <w:rPr>
                <w:rFonts w:ascii="Arial Narrow" w:hAnsi="Arial Narrow" w:cstheme="minorHAnsi"/>
                <w:b/>
                <w:bCs/>
                <w:sz w:val="24"/>
                <w:szCs w:val="24"/>
              </w:rPr>
            </w:pPr>
            <w:r w:rsidRPr="004F4BA7">
              <w:rPr>
                <w:rFonts w:ascii="Arial Narrow" w:hAnsi="Arial Narrow" w:cstheme="minorHAnsi"/>
                <w:b/>
                <w:bCs/>
                <w:sz w:val="24"/>
                <w:szCs w:val="24"/>
              </w:rPr>
              <w:t>Change</w:t>
            </w:r>
          </w:p>
        </w:tc>
        <w:tc>
          <w:tcPr>
            <w:tcW w:w="1885" w:type="dxa"/>
            <w:vAlign w:val="center"/>
            <w:hideMark/>
          </w:tcPr>
          <w:p w14:paraId="23B2125B" w14:textId="21275996" w:rsidR="00270765" w:rsidRPr="004F4BA7" w:rsidRDefault="00270765" w:rsidP="004F4BA7">
            <w:pPr>
              <w:keepNext/>
              <w:widowControl w:val="0"/>
              <w:jc w:val="center"/>
              <w:rPr>
                <w:rFonts w:ascii="Arial Narrow" w:hAnsi="Arial Narrow" w:cstheme="minorHAnsi"/>
                <w:b/>
                <w:bCs/>
                <w:sz w:val="24"/>
                <w:szCs w:val="24"/>
              </w:rPr>
            </w:pPr>
            <w:r w:rsidRPr="004F4BA7">
              <w:rPr>
                <w:rFonts w:ascii="Arial Narrow" w:hAnsi="Arial Narrow" w:cstheme="minorHAnsi"/>
                <w:b/>
                <w:bCs/>
                <w:sz w:val="24"/>
                <w:szCs w:val="24"/>
              </w:rPr>
              <w:t xml:space="preserve">% </w:t>
            </w:r>
            <w:r w:rsidR="00552654" w:rsidRPr="004F4BA7">
              <w:rPr>
                <w:rFonts w:ascii="Arial Narrow" w:hAnsi="Arial Narrow" w:cstheme="minorHAnsi"/>
                <w:b/>
                <w:bCs/>
                <w:sz w:val="24"/>
                <w:szCs w:val="24"/>
              </w:rPr>
              <w:t>C</w:t>
            </w:r>
            <w:r w:rsidRPr="004F4BA7">
              <w:rPr>
                <w:rFonts w:ascii="Arial Narrow" w:hAnsi="Arial Narrow" w:cstheme="minorHAnsi"/>
                <w:b/>
                <w:bCs/>
                <w:sz w:val="24"/>
                <w:szCs w:val="24"/>
              </w:rPr>
              <w:t>hange</w:t>
            </w:r>
          </w:p>
        </w:tc>
      </w:tr>
      <w:tr w:rsidR="005F180B" w:rsidRPr="003A75AB" w14:paraId="0C605E0C" w14:textId="77777777" w:rsidTr="004F4BA7">
        <w:tc>
          <w:tcPr>
            <w:tcW w:w="1305" w:type="dxa"/>
            <w:hideMark/>
          </w:tcPr>
          <w:p w14:paraId="4B9316C8"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Under 5</w:t>
            </w:r>
          </w:p>
        </w:tc>
        <w:tc>
          <w:tcPr>
            <w:tcW w:w="1885" w:type="dxa"/>
            <w:vAlign w:val="center"/>
            <w:hideMark/>
          </w:tcPr>
          <w:p w14:paraId="64DDD823" w14:textId="5026DCB8"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7,151</w:t>
            </w:r>
          </w:p>
        </w:tc>
        <w:tc>
          <w:tcPr>
            <w:tcW w:w="1885" w:type="dxa"/>
            <w:vAlign w:val="center"/>
            <w:hideMark/>
          </w:tcPr>
          <w:p w14:paraId="2DB9A815" w14:textId="7DEE5BAD"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8,289</w:t>
            </w:r>
          </w:p>
        </w:tc>
        <w:tc>
          <w:tcPr>
            <w:tcW w:w="1885" w:type="dxa"/>
            <w:vAlign w:val="center"/>
            <w:hideMark/>
          </w:tcPr>
          <w:p w14:paraId="467200A6" w14:textId="3C3FFE13"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1,138</w:t>
            </w:r>
          </w:p>
        </w:tc>
        <w:tc>
          <w:tcPr>
            <w:tcW w:w="1885" w:type="dxa"/>
            <w:vAlign w:val="center"/>
            <w:hideMark/>
          </w:tcPr>
          <w:p w14:paraId="1E8FC409" w14:textId="514CF6DF"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15.9%</w:t>
            </w:r>
          </w:p>
        </w:tc>
      </w:tr>
      <w:tr w:rsidR="005F180B" w:rsidRPr="003A75AB" w14:paraId="69C1075D" w14:textId="77777777" w:rsidTr="004F4BA7">
        <w:tc>
          <w:tcPr>
            <w:tcW w:w="1305" w:type="dxa"/>
            <w:hideMark/>
          </w:tcPr>
          <w:p w14:paraId="68049E7D"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5-9</w:t>
            </w:r>
          </w:p>
        </w:tc>
        <w:tc>
          <w:tcPr>
            <w:tcW w:w="1885" w:type="dxa"/>
            <w:vAlign w:val="center"/>
            <w:hideMark/>
          </w:tcPr>
          <w:p w14:paraId="14412117" w14:textId="10A79943"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7,011</w:t>
            </w:r>
          </w:p>
        </w:tc>
        <w:tc>
          <w:tcPr>
            <w:tcW w:w="1885" w:type="dxa"/>
            <w:vAlign w:val="center"/>
            <w:hideMark/>
          </w:tcPr>
          <w:p w14:paraId="219F369D" w14:textId="08AF676D"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8,584</w:t>
            </w:r>
          </w:p>
        </w:tc>
        <w:tc>
          <w:tcPr>
            <w:tcW w:w="1885" w:type="dxa"/>
            <w:vAlign w:val="center"/>
            <w:hideMark/>
          </w:tcPr>
          <w:p w14:paraId="73FEF4E8" w14:textId="4C1F6A08"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1,573</w:t>
            </w:r>
          </w:p>
        </w:tc>
        <w:tc>
          <w:tcPr>
            <w:tcW w:w="1885" w:type="dxa"/>
            <w:vAlign w:val="center"/>
            <w:hideMark/>
          </w:tcPr>
          <w:p w14:paraId="17065A40" w14:textId="6C339FE7"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22.4%</w:t>
            </w:r>
          </w:p>
        </w:tc>
      </w:tr>
      <w:tr w:rsidR="005F180B" w:rsidRPr="003A75AB" w14:paraId="17276C58" w14:textId="77777777" w:rsidTr="004F4BA7">
        <w:tc>
          <w:tcPr>
            <w:tcW w:w="1305" w:type="dxa"/>
            <w:hideMark/>
          </w:tcPr>
          <w:p w14:paraId="2D446AE1"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10-14</w:t>
            </w:r>
          </w:p>
        </w:tc>
        <w:tc>
          <w:tcPr>
            <w:tcW w:w="1885" w:type="dxa"/>
            <w:vAlign w:val="center"/>
            <w:hideMark/>
          </w:tcPr>
          <w:p w14:paraId="34C50963" w14:textId="138A497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6,728</w:t>
            </w:r>
          </w:p>
        </w:tc>
        <w:tc>
          <w:tcPr>
            <w:tcW w:w="1885" w:type="dxa"/>
            <w:vAlign w:val="center"/>
            <w:hideMark/>
          </w:tcPr>
          <w:p w14:paraId="0605F808" w14:textId="3B305CE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9,237</w:t>
            </w:r>
          </w:p>
        </w:tc>
        <w:tc>
          <w:tcPr>
            <w:tcW w:w="1885" w:type="dxa"/>
            <w:vAlign w:val="center"/>
            <w:hideMark/>
          </w:tcPr>
          <w:p w14:paraId="2E08EEF3" w14:textId="3061C306"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2,510</w:t>
            </w:r>
          </w:p>
        </w:tc>
        <w:tc>
          <w:tcPr>
            <w:tcW w:w="1885" w:type="dxa"/>
            <w:vAlign w:val="center"/>
            <w:hideMark/>
          </w:tcPr>
          <w:p w14:paraId="27C3A1EB" w14:textId="3183899C"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37.3%</w:t>
            </w:r>
          </w:p>
        </w:tc>
      </w:tr>
      <w:tr w:rsidR="005F180B" w:rsidRPr="003A75AB" w14:paraId="2BA685B5" w14:textId="77777777" w:rsidTr="004F4BA7">
        <w:tc>
          <w:tcPr>
            <w:tcW w:w="1305" w:type="dxa"/>
            <w:hideMark/>
          </w:tcPr>
          <w:p w14:paraId="5E7439BE"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15-19</w:t>
            </w:r>
          </w:p>
        </w:tc>
        <w:tc>
          <w:tcPr>
            <w:tcW w:w="1885" w:type="dxa"/>
            <w:vAlign w:val="center"/>
            <w:hideMark/>
          </w:tcPr>
          <w:p w14:paraId="2BD81CB2" w14:textId="1E42E3A4"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9,977</w:t>
            </w:r>
          </w:p>
        </w:tc>
        <w:tc>
          <w:tcPr>
            <w:tcW w:w="1885" w:type="dxa"/>
            <w:vAlign w:val="center"/>
            <w:hideMark/>
          </w:tcPr>
          <w:p w14:paraId="1CD19702" w14:textId="0723C66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14,292</w:t>
            </w:r>
          </w:p>
        </w:tc>
        <w:tc>
          <w:tcPr>
            <w:tcW w:w="1885" w:type="dxa"/>
            <w:vAlign w:val="center"/>
            <w:hideMark/>
          </w:tcPr>
          <w:p w14:paraId="2F9AE000" w14:textId="027E0268"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4,315</w:t>
            </w:r>
          </w:p>
        </w:tc>
        <w:tc>
          <w:tcPr>
            <w:tcW w:w="1885" w:type="dxa"/>
            <w:vAlign w:val="center"/>
            <w:hideMark/>
          </w:tcPr>
          <w:p w14:paraId="63902349" w14:textId="372F05BB"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43.2%</w:t>
            </w:r>
          </w:p>
        </w:tc>
      </w:tr>
      <w:tr w:rsidR="005F180B" w:rsidRPr="003A75AB" w14:paraId="1FB2D310" w14:textId="77777777" w:rsidTr="004F4BA7">
        <w:tc>
          <w:tcPr>
            <w:tcW w:w="1305" w:type="dxa"/>
            <w:hideMark/>
          </w:tcPr>
          <w:p w14:paraId="2E643098"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20-24</w:t>
            </w:r>
          </w:p>
        </w:tc>
        <w:tc>
          <w:tcPr>
            <w:tcW w:w="1885" w:type="dxa"/>
            <w:vAlign w:val="center"/>
            <w:hideMark/>
          </w:tcPr>
          <w:p w14:paraId="54A907C4" w14:textId="21FBA863"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20,625</w:t>
            </w:r>
          </w:p>
        </w:tc>
        <w:tc>
          <w:tcPr>
            <w:tcW w:w="1885" w:type="dxa"/>
            <w:vAlign w:val="center"/>
            <w:hideMark/>
          </w:tcPr>
          <w:p w14:paraId="739BCE28" w14:textId="4E779317"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24,296</w:t>
            </w:r>
          </w:p>
        </w:tc>
        <w:tc>
          <w:tcPr>
            <w:tcW w:w="1885" w:type="dxa"/>
            <w:vAlign w:val="center"/>
            <w:hideMark/>
          </w:tcPr>
          <w:p w14:paraId="3B40BA36" w14:textId="6A72453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3,671</w:t>
            </w:r>
          </w:p>
        </w:tc>
        <w:tc>
          <w:tcPr>
            <w:tcW w:w="1885" w:type="dxa"/>
            <w:vAlign w:val="center"/>
            <w:hideMark/>
          </w:tcPr>
          <w:p w14:paraId="3D346FD3" w14:textId="3CD53F45"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17.8%</w:t>
            </w:r>
          </w:p>
        </w:tc>
      </w:tr>
      <w:tr w:rsidR="005F180B" w:rsidRPr="003A75AB" w14:paraId="39451727" w14:textId="77777777" w:rsidTr="004F4BA7">
        <w:tc>
          <w:tcPr>
            <w:tcW w:w="1305" w:type="dxa"/>
            <w:hideMark/>
          </w:tcPr>
          <w:p w14:paraId="2A57C563"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25-29</w:t>
            </w:r>
          </w:p>
        </w:tc>
        <w:tc>
          <w:tcPr>
            <w:tcW w:w="1885" w:type="dxa"/>
            <w:vAlign w:val="center"/>
            <w:hideMark/>
          </w:tcPr>
          <w:p w14:paraId="043C1FC4" w14:textId="5BE90511"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14,956</w:t>
            </w:r>
          </w:p>
        </w:tc>
        <w:tc>
          <w:tcPr>
            <w:tcW w:w="1885" w:type="dxa"/>
            <w:vAlign w:val="center"/>
            <w:hideMark/>
          </w:tcPr>
          <w:p w14:paraId="119B498B" w14:textId="1574569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15,115</w:t>
            </w:r>
          </w:p>
        </w:tc>
        <w:tc>
          <w:tcPr>
            <w:tcW w:w="1885" w:type="dxa"/>
            <w:vAlign w:val="center"/>
            <w:hideMark/>
          </w:tcPr>
          <w:p w14:paraId="0D611AD6" w14:textId="2B298FAE"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159</w:t>
            </w:r>
          </w:p>
        </w:tc>
        <w:tc>
          <w:tcPr>
            <w:tcW w:w="1885" w:type="dxa"/>
            <w:vAlign w:val="center"/>
            <w:hideMark/>
          </w:tcPr>
          <w:p w14:paraId="614F4634" w14:textId="7479D6FB"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1.1%</w:t>
            </w:r>
          </w:p>
        </w:tc>
      </w:tr>
      <w:tr w:rsidR="005F180B" w:rsidRPr="003A75AB" w14:paraId="7FB915B1" w14:textId="77777777" w:rsidTr="004F4BA7">
        <w:tc>
          <w:tcPr>
            <w:tcW w:w="1305" w:type="dxa"/>
            <w:hideMark/>
          </w:tcPr>
          <w:p w14:paraId="2A95F9FA"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30-34</w:t>
            </w:r>
          </w:p>
        </w:tc>
        <w:tc>
          <w:tcPr>
            <w:tcW w:w="1885" w:type="dxa"/>
            <w:vAlign w:val="center"/>
            <w:hideMark/>
          </w:tcPr>
          <w:p w14:paraId="56A3B83F" w14:textId="0139540C"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11,341</w:t>
            </w:r>
          </w:p>
        </w:tc>
        <w:tc>
          <w:tcPr>
            <w:tcW w:w="1885" w:type="dxa"/>
            <w:vAlign w:val="center"/>
            <w:hideMark/>
          </w:tcPr>
          <w:p w14:paraId="61E02D37" w14:textId="0F5A0364"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10,728</w:t>
            </w:r>
          </w:p>
        </w:tc>
        <w:tc>
          <w:tcPr>
            <w:tcW w:w="1885" w:type="dxa"/>
            <w:vAlign w:val="center"/>
            <w:hideMark/>
          </w:tcPr>
          <w:p w14:paraId="70337922" w14:textId="0B40BB3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-614</w:t>
            </w:r>
          </w:p>
        </w:tc>
        <w:tc>
          <w:tcPr>
            <w:tcW w:w="1885" w:type="dxa"/>
            <w:vAlign w:val="center"/>
            <w:hideMark/>
          </w:tcPr>
          <w:p w14:paraId="01BB0B9C" w14:textId="4D5A1E0E"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-5.4%</w:t>
            </w:r>
          </w:p>
        </w:tc>
      </w:tr>
      <w:tr w:rsidR="005F180B" w:rsidRPr="003A75AB" w14:paraId="030D03E7" w14:textId="77777777" w:rsidTr="004F4BA7">
        <w:tc>
          <w:tcPr>
            <w:tcW w:w="1305" w:type="dxa"/>
            <w:hideMark/>
          </w:tcPr>
          <w:p w14:paraId="7A822614"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35-39</w:t>
            </w:r>
          </w:p>
        </w:tc>
        <w:tc>
          <w:tcPr>
            <w:tcW w:w="1885" w:type="dxa"/>
            <w:vAlign w:val="center"/>
            <w:hideMark/>
          </w:tcPr>
          <w:p w14:paraId="6DFBCB11" w14:textId="153FD9B7"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9,473</w:t>
            </w:r>
          </w:p>
        </w:tc>
        <w:tc>
          <w:tcPr>
            <w:tcW w:w="1885" w:type="dxa"/>
            <w:vAlign w:val="center"/>
            <w:hideMark/>
          </w:tcPr>
          <w:p w14:paraId="6FAA4A7A" w14:textId="4D8FFC6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8,198</w:t>
            </w:r>
          </w:p>
        </w:tc>
        <w:tc>
          <w:tcPr>
            <w:tcW w:w="1885" w:type="dxa"/>
            <w:vAlign w:val="center"/>
            <w:hideMark/>
          </w:tcPr>
          <w:p w14:paraId="72F81B89" w14:textId="27D1BFE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-1,274</w:t>
            </w:r>
          </w:p>
        </w:tc>
        <w:tc>
          <w:tcPr>
            <w:tcW w:w="1885" w:type="dxa"/>
            <w:vAlign w:val="center"/>
            <w:hideMark/>
          </w:tcPr>
          <w:p w14:paraId="3345424B" w14:textId="34BAB56A"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-13.5%</w:t>
            </w:r>
          </w:p>
        </w:tc>
      </w:tr>
      <w:tr w:rsidR="005F180B" w:rsidRPr="003A75AB" w14:paraId="54AF6633" w14:textId="77777777" w:rsidTr="004F4BA7">
        <w:tc>
          <w:tcPr>
            <w:tcW w:w="1305" w:type="dxa"/>
            <w:hideMark/>
          </w:tcPr>
          <w:p w14:paraId="255B616D"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40-44</w:t>
            </w:r>
          </w:p>
        </w:tc>
        <w:tc>
          <w:tcPr>
            <w:tcW w:w="1885" w:type="dxa"/>
            <w:vAlign w:val="center"/>
            <w:hideMark/>
          </w:tcPr>
          <w:p w14:paraId="3DB56865" w14:textId="79CE7075"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8,471</w:t>
            </w:r>
          </w:p>
        </w:tc>
        <w:tc>
          <w:tcPr>
            <w:tcW w:w="1885" w:type="dxa"/>
            <w:vAlign w:val="center"/>
            <w:hideMark/>
          </w:tcPr>
          <w:p w14:paraId="7372B458" w14:textId="7FBD273F"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8,230</w:t>
            </w:r>
          </w:p>
        </w:tc>
        <w:tc>
          <w:tcPr>
            <w:tcW w:w="1885" w:type="dxa"/>
            <w:vAlign w:val="center"/>
            <w:hideMark/>
          </w:tcPr>
          <w:p w14:paraId="127D8304" w14:textId="169787B6"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-242</w:t>
            </w:r>
          </w:p>
        </w:tc>
        <w:tc>
          <w:tcPr>
            <w:tcW w:w="1885" w:type="dxa"/>
            <w:vAlign w:val="center"/>
            <w:hideMark/>
          </w:tcPr>
          <w:p w14:paraId="7417EB6B" w14:textId="4E3E1347"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-2.9%</w:t>
            </w:r>
          </w:p>
        </w:tc>
      </w:tr>
      <w:tr w:rsidR="005F180B" w:rsidRPr="003A75AB" w14:paraId="3728640E" w14:textId="77777777" w:rsidTr="004F4BA7">
        <w:tc>
          <w:tcPr>
            <w:tcW w:w="1305" w:type="dxa"/>
            <w:hideMark/>
          </w:tcPr>
          <w:p w14:paraId="67F095F4"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45-49</w:t>
            </w:r>
          </w:p>
        </w:tc>
        <w:tc>
          <w:tcPr>
            <w:tcW w:w="1885" w:type="dxa"/>
            <w:vAlign w:val="center"/>
            <w:hideMark/>
          </w:tcPr>
          <w:p w14:paraId="13B5B345" w14:textId="3E76738B"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7,602</w:t>
            </w:r>
          </w:p>
        </w:tc>
        <w:tc>
          <w:tcPr>
            <w:tcW w:w="1885" w:type="dxa"/>
            <w:vAlign w:val="center"/>
            <w:hideMark/>
          </w:tcPr>
          <w:p w14:paraId="3CAB1AAF" w14:textId="613B72C9"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9,620</w:t>
            </w:r>
          </w:p>
        </w:tc>
        <w:tc>
          <w:tcPr>
            <w:tcW w:w="1885" w:type="dxa"/>
            <w:vAlign w:val="center"/>
            <w:hideMark/>
          </w:tcPr>
          <w:p w14:paraId="0B2B8365" w14:textId="40AF7A5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2,018</w:t>
            </w:r>
          </w:p>
        </w:tc>
        <w:tc>
          <w:tcPr>
            <w:tcW w:w="1885" w:type="dxa"/>
            <w:vAlign w:val="center"/>
            <w:hideMark/>
          </w:tcPr>
          <w:p w14:paraId="1F5C68AC" w14:textId="26F41B1E"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26.5%</w:t>
            </w:r>
          </w:p>
        </w:tc>
      </w:tr>
      <w:tr w:rsidR="005F180B" w:rsidRPr="003A75AB" w14:paraId="5308DF9F" w14:textId="77777777" w:rsidTr="004F4BA7">
        <w:tc>
          <w:tcPr>
            <w:tcW w:w="1305" w:type="dxa"/>
            <w:hideMark/>
          </w:tcPr>
          <w:p w14:paraId="23933133"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50-54</w:t>
            </w:r>
          </w:p>
        </w:tc>
        <w:tc>
          <w:tcPr>
            <w:tcW w:w="1885" w:type="dxa"/>
            <w:vAlign w:val="center"/>
            <w:hideMark/>
          </w:tcPr>
          <w:p w14:paraId="60D32946" w14:textId="7DC10F6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7,198</w:t>
            </w:r>
          </w:p>
        </w:tc>
        <w:tc>
          <w:tcPr>
            <w:tcW w:w="1885" w:type="dxa"/>
            <w:vAlign w:val="center"/>
            <w:hideMark/>
          </w:tcPr>
          <w:p w14:paraId="1FE341AA" w14:textId="7278195C"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9,962</w:t>
            </w:r>
          </w:p>
        </w:tc>
        <w:tc>
          <w:tcPr>
            <w:tcW w:w="1885" w:type="dxa"/>
            <w:vAlign w:val="center"/>
            <w:hideMark/>
          </w:tcPr>
          <w:p w14:paraId="6C5AEB6D" w14:textId="0471DAE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2,764</w:t>
            </w:r>
          </w:p>
        </w:tc>
        <w:tc>
          <w:tcPr>
            <w:tcW w:w="1885" w:type="dxa"/>
            <w:vAlign w:val="center"/>
            <w:hideMark/>
          </w:tcPr>
          <w:p w14:paraId="7706982D" w14:textId="1EE6B857"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38.4%</w:t>
            </w:r>
          </w:p>
        </w:tc>
      </w:tr>
      <w:tr w:rsidR="005F180B" w:rsidRPr="003A75AB" w14:paraId="2CDF3FBC" w14:textId="77777777" w:rsidTr="004F4BA7">
        <w:tc>
          <w:tcPr>
            <w:tcW w:w="1305" w:type="dxa"/>
            <w:hideMark/>
          </w:tcPr>
          <w:p w14:paraId="1677B88C"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55-59</w:t>
            </w:r>
          </w:p>
        </w:tc>
        <w:tc>
          <w:tcPr>
            <w:tcW w:w="1885" w:type="dxa"/>
            <w:vAlign w:val="center"/>
            <w:hideMark/>
          </w:tcPr>
          <w:p w14:paraId="09EF87EA" w14:textId="143AA9D7"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6,479</w:t>
            </w:r>
          </w:p>
        </w:tc>
        <w:tc>
          <w:tcPr>
            <w:tcW w:w="1885" w:type="dxa"/>
            <w:vAlign w:val="center"/>
            <w:hideMark/>
          </w:tcPr>
          <w:p w14:paraId="453DC033" w14:textId="2992547B"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8,687</w:t>
            </w:r>
          </w:p>
        </w:tc>
        <w:tc>
          <w:tcPr>
            <w:tcW w:w="1885" w:type="dxa"/>
            <w:vAlign w:val="center"/>
            <w:hideMark/>
          </w:tcPr>
          <w:p w14:paraId="6D033419" w14:textId="6DBFAF13"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2,208</w:t>
            </w:r>
          </w:p>
        </w:tc>
        <w:tc>
          <w:tcPr>
            <w:tcW w:w="1885" w:type="dxa"/>
            <w:vAlign w:val="center"/>
            <w:hideMark/>
          </w:tcPr>
          <w:p w14:paraId="2EF29F8A" w14:textId="6DAC552D"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34.1%</w:t>
            </w:r>
          </w:p>
        </w:tc>
      </w:tr>
      <w:tr w:rsidR="005F180B" w:rsidRPr="003A75AB" w14:paraId="3BC01365" w14:textId="77777777" w:rsidTr="004F4BA7">
        <w:tc>
          <w:tcPr>
            <w:tcW w:w="1305" w:type="dxa"/>
            <w:hideMark/>
          </w:tcPr>
          <w:p w14:paraId="0B9CD788"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60-64</w:t>
            </w:r>
          </w:p>
        </w:tc>
        <w:tc>
          <w:tcPr>
            <w:tcW w:w="1885" w:type="dxa"/>
            <w:vAlign w:val="center"/>
            <w:hideMark/>
          </w:tcPr>
          <w:p w14:paraId="1B0533C8" w14:textId="074C812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5,292</w:t>
            </w:r>
          </w:p>
        </w:tc>
        <w:tc>
          <w:tcPr>
            <w:tcW w:w="1885" w:type="dxa"/>
            <w:vAlign w:val="center"/>
            <w:hideMark/>
          </w:tcPr>
          <w:p w14:paraId="31A03C0D" w14:textId="1D02AA7A"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7,393</w:t>
            </w:r>
          </w:p>
        </w:tc>
        <w:tc>
          <w:tcPr>
            <w:tcW w:w="1885" w:type="dxa"/>
            <w:vAlign w:val="center"/>
            <w:hideMark/>
          </w:tcPr>
          <w:p w14:paraId="6B2C81A2" w14:textId="0A52DBD9"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2,101</w:t>
            </w:r>
          </w:p>
        </w:tc>
        <w:tc>
          <w:tcPr>
            <w:tcW w:w="1885" w:type="dxa"/>
            <w:vAlign w:val="center"/>
            <w:hideMark/>
          </w:tcPr>
          <w:p w14:paraId="2576058F" w14:textId="27C8B8EC"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39.7%</w:t>
            </w:r>
          </w:p>
        </w:tc>
      </w:tr>
      <w:tr w:rsidR="005F180B" w:rsidRPr="003A75AB" w14:paraId="50D588DA" w14:textId="77777777" w:rsidTr="004F4BA7">
        <w:tc>
          <w:tcPr>
            <w:tcW w:w="1305" w:type="dxa"/>
            <w:hideMark/>
          </w:tcPr>
          <w:p w14:paraId="52B4D85E"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65-69</w:t>
            </w:r>
          </w:p>
        </w:tc>
        <w:tc>
          <w:tcPr>
            <w:tcW w:w="1885" w:type="dxa"/>
            <w:vAlign w:val="center"/>
            <w:hideMark/>
          </w:tcPr>
          <w:p w14:paraId="7EDD5D58" w14:textId="5A6B0C33"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4,539</w:t>
            </w:r>
          </w:p>
        </w:tc>
        <w:tc>
          <w:tcPr>
            <w:tcW w:w="1885" w:type="dxa"/>
            <w:vAlign w:val="center"/>
            <w:hideMark/>
          </w:tcPr>
          <w:p w14:paraId="0D52F8F3" w14:textId="57BFF1E5"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6,276</w:t>
            </w:r>
          </w:p>
        </w:tc>
        <w:tc>
          <w:tcPr>
            <w:tcW w:w="1885" w:type="dxa"/>
            <w:vAlign w:val="center"/>
            <w:hideMark/>
          </w:tcPr>
          <w:p w14:paraId="43253F0B" w14:textId="79AFB135"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1,737</w:t>
            </w:r>
          </w:p>
        </w:tc>
        <w:tc>
          <w:tcPr>
            <w:tcW w:w="1885" w:type="dxa"/>
            <w:vAlign w:val="center"/>
            <w:hideMark/>
          </w:tcPr>
          <w:p w14:paraId="06F06EC1" w14:textId="642E4858"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38.3%</w:t>
            </w:r>
          </w:p>
        </w:tc>
      </w:tr>
      <w:tr w:rsidR="005F180B" w:rsidRPr="003A75AB" w14:paraId="69E7999A" w14:textId="77777777" w:rsidTr="004F4BA7">
        <w:tc>
          <w:tcPr>
            <w:tcW w:w="1305" w:type="dxa"/>
            <w:hideMark/>
          </w:tcPr>
          <w:p w14:paraId="2AEFE984"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70-74</w:t>
            </w:r>
          </w:p>
        </w:tc>
        <w:tc>
          <w:tcPr>
            <w:tcW w:w="1885" w:type="dxa"/>
            <w:vAlign w:val="center"/>
            <w:hideMark/>
          </w:tcPr>
          <w:p w14:paraId="50DE2A05" w14:textId="5E9A4F2E"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3,942</w:t>
            </w:r>
          </w:p>
        </w:tc>
        <w:tc>
          <w:tcPr>
            <w:tcW w:w="1885" w:type="dxa"/>
            <w:vAlign w:val="center"/>
            <w:hideMark/>
          </w:tcPr>
          <w:p w14:paraId="75FEDD13" w14:textId="60DC712C"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5,512</w:t>
            </w:r>
          </w:p>
        </w:tc>
        <w:tc>
          <w:tcPr>
            <w:tcW w:w="1885" w:type="dxa"/>
            <w:vAlign w:val="center"/>
            <w:hideMark/>
          </w:tcPr>
          <w:p w14:paraId="4D742B3F" w14:textId="7491BC2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1,570</w:t>
            </w:r>
          </w:p>
        </w:tc>
        <w:tc>
          <w:tcPr>
            <w:tcW w:w="1885" w:type="dxa"/>
            <w:vAlign w:val="center"/>
            <w:hideMark/>
          </w:tcPr>
          <w:p w14:paraId="7CABE7C6" w14:textId="15EB0A58"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39.8%</w:t>
            </w:r>
          </w:p>
        </w:tc>
      </w:tr>
      <w:tr w:rsidR="005F180B" w:rsidRPr="003A75AB" w14:paraId="2F318FD0" w14:textId="77777777" w:rsidTr="004F4BA7">
        <w:tc>
          <w:tcPr>
            <w:tcW w:w="1305" w:type="dxa"/>
            <w:hideMark/>
          </w:tcPr>
          <w:p w14:paraId="74FCA0C1"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75-79</w:t>
            </w:r>
          </w:p>
        </w:tc>
        <w:tc>
          <w:tcPr>
            <w:tcW w:w="1885" w:type="dxa"/>
            <w:vAlign w:val="center"/>
            <w:hideMark/>
          </w:tcPr>
          <w:p w14:paraId="1AAFF6F7" w14:textId="74F8890A"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3,003</w:t>
            </w:r>
          </w:p>
        </w:tc>
        <w:tc>
          <w:tcPr>
            <w:tcW w:w="1885" w:type="dxa"/>
            <w:vAlign w:val="center"/>
            <w:hideMark/>
          </w:tcPr>
          <w:p w14:paraId="6BA2161A" w14:textId="7DAE31E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4,708</w:t>
            </w:r>
          </w:p>
        </w:tc>
        <w:tc>
          <w:tcPr>
            <w:tcW w:w="1885" w:type="dxa"/>
            <w:vAlign w:val="center"/>
            <w:hideMark/>
          </w:tcPr>
          <w:p w14:paraId="4436E260" w14:textId="1EBC5849"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1,705</w:t>
            </w:r>
          </w:p>
        </w:tc>
        <w:tc>
          <w:tcPr>
            <w:tcW w:w="1885" w:type="dxa"/>
            <w:vAlign w:val="center"/>
            <w:hideMark/>
          </w:tcPr>
          <w:p w14:paraId="08974B54" w14:textId="3A93B060"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56.8%</w:t>
            </w:r>
          </w:p>
        </w:tc>
      </w:tr>
      <w:tr w:rsidR="005F180B" w:rsidRPr="003A75AB" w14:paraId="5B53D6D9" w14:textId="77777777" w:rsidTr="004F4BA7">
        <w:tc>
          <w:tcPr>
            <w:tcW w:w="1305" w:type="dxa"/>
            <w:hideMark/>
          </w:tcPr>
          <w:p w14:paraId="1B66DE2E"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80-84</w:t>
            </w:r>
          </w:p>
        </w:tc>
        <w:tc>
          <w:tcPr>
            <w:tcW w:w="1885" w:type="dxa"/>
            <w:vAlign w:val="center"/>
            <w:hideMark/>
          </w:tcPr>
          <w:p w14:paraId="5466465A" w14:textId="4EE2342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2,322</w:t>
            </w:r>
          </w:p>
        </w:tc>
        <w:tc>
          <w:tcPr>
            <w:tcW w:w="1885" w:type="dxa"/>
            <w:vAlign w:val="center"/>
            <w:hideMark/>
          </w:tcPr>
          <w:p w14:paraId="72A5DB03" w14:textId="56F6CD59"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3,534</w:t>
            </w:r>
          </w:p>
        </w:tc>
        <w:tc>
          <w:tcPr>
            <w:tcW w:w="1885" w:type="dxa"/>
            <w:vAlign w:val="center"/>
            <w:hideMark/>
          </w:tcPr>
          <w:p w14:paraId="5FCFE6A4" w14:textId="5530B6BB"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1,212</w:t>
            </w:r>
          </w:p>
        </w:tc>
        <w:tc>
          <w:tcPr>
            <w:tcW w:w="1885" w:type="dxa"/>
            <w:vAlign w:val="center"/>
            <w:hideMark/>
          </w:tcPr>
          <w:p w14:paraId="45D018CA" w14:textId="48DF173F"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52.2%</w:t>
            </w:r>
          </w:p>
        </w:tc>
      </w:tr>
      <w:tr w:rsidR="005F180B" w:rsidRPr="003A75AB" w14:paraId="795D05ED" w14:textId="77777777" w:rsidTr="004F4BA7">
        <w:tc>
          <w:tcPr>
            <w:tcW w:w="1305" w:type="dxa"/>
            <w:hideMark/>
          </w:tcPr>
          <w:p w14:paraId="3A661807" w14:textId="77777777" w:rsidR="0021172F" w:rsidRPr="004F4BA7" w:rsidRDefault="0021172F" w:rsidP="0021172F">
            <w:pPr>
              <w:keepNext/>
              <w:widowControl w:val="0"/>
              <w:rPr>
                <w:rFonts w:ascii="Arial Narrow" w:hAnsi="Arial Narrow" w:cstheme="minorHAnsi"/>
                <w:sz w:val="24"/>
                <w:szCs w:val="24"/>
              </w:rPr>
            </w:pPr>
            <w:r w:rsidRPr="004F4BA7">
              <w:rPr>
                <w:rFonts w:ascii="Arial Narrow" w:hAnsi="Arial Narrow" w:cstheme="minorHAnsi"/>
                <w:sz w:val="24"/>
                <w:szCs w:val="24"/>
              </w:rPr>
              <w:t>85+</w:t>
            </w:r>
          </w:p>
        </w:tc>
        <w:tc>
          <w:tcPr>
            <w:tcW w:w="1885" w:type="dxa"/>
            <w:vAlign w:val="center"/>
            <w:hideMark/>
          </w:tcPr>
          <w:p w14:paraId="79B48C2C" w14:textId="318BBAA2"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2,786</w:t>
            </w:r>
          </w:p>
        </w:tc>
        <w:tc>
          <w:tcPr>
            <w:tcW w:w="1885" w:type="dxa"/>
            <w:vAlign w:val="center"/>
            <w:hideMark/>
          </w:tcPr>
          <w:p w14:paraId="1E7266B4" w14:textId="58839E29"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4,552</w:t>
            </w:r>
          </w:p>
        </w:tc>
        <w:tc>
          <w:tcPr>
            <w:tcW w:w="1885" w:type="dxa"/>
            <w:vAlign w:val="center"/>
            <w:hideMark/>
          </w:tcPr>
          <w:p w14:paraId="25DABE77" w14:textId="4C576568"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1,766</w:t>
            </w:r>
          </w:p>
        </w:tc>
        <w:tc>
          <w:tcPr>
            <w:tcW w:w="1885" w:type="dxa"/>
            <w:vAlign w:val="center"/>
            <w:hideMark/>
          </w:tcPr>
          <w:p w14:paraId="53C9A21D" w14:textId="4FDA30CE" w:rsidR="0021172F" w:rsidRPr="004F4BA7" w:rsidRDefault="0021172F" w:rsidP="003A75AB">
            <w:pPr>
              <w:keepNext/>
              <w:jc w:val="center"/>
              <w:rPr>
                <w:rFonts w:ascii="Arial Narrow" w:hAnsi="Arial Narrow" w:cstheme="minorHAnsi"/>
                <w:color w:val="000000"/>
                <w:sz w:val="24"/>
                <w:szCs w:val="24"/>
              </w:rPr>
            </w:pPr>
            <w:r w:rsidRPr="004F4BA7">
              <w:rPr>
                <w:rFonts w:ascii="Arial Narrow" w:hAnsi="Arial Narrow" w:cstheme="minorHAnsi"/>
                <w:color w:val="000000"/>
                <w:sz w:val="24"/>
                <w:szCs w:val="24"/>
              </w:rPr>
              <w:t>63.4%</w:t>
            </w:r>
          </w:p>
        </w:tc>
      </w:tr>
      <w:tr w:rsidR="005F180B" w:rsidRPr="003A75AB" w14:paraId="1CF9B95A" w14:textId="77777777" w:rsidTr="004F4BA7">
        <w:tc>
          <w:tcPr>
            <w:tcW w:w="1305" w:type="dxa"/>
            <w:hideMark/>
          </w:tcPr>
          <w:p w14:paraId="00B95BAC" w14:textId="77777777" w:rsidR="0021172F" w:rsidRPr="004F4BA7" w:rsidRDefault="0021172F" w:rsidP="0021172F">
            <w:pPr>
              <w:keepNext/>
              <w:widowControl w:val="0"/>
              <w:rPr>
                <w:rFonts w:ascii="Arial Narrow" w:hAnsi="Arial Narrow" w:cstheme="minorHAnsi"/>
                <w:b/>
                <w:bCs/>
                <w:sz w:val="24"/>
                <w:szCs w:val="24"/>
              </w:rPr>
            </w:pPr>
            <w:r w:rsidRPr="004F4BA7">
              <w:rPr>
                <w:rFonts w:ascii="Arial Narrow" w:hAnsi="Arial Narrow" w:cstheme="minorHAnsi"/>
                <w:b/>
                <w:bCs/>
                <w:sz w:val="24"/>
                <w:szCs w:val="24"/>
              </w:rPr>
              <w:t>Total</w:t>
            </w:r>
          </w:p>
        </w:tc>
        <w:tc>
          <w:tcPr>
            <w:tcW w:w="1885" w:type="dxa"/>
            <w:vAlign w:val="center"/>
            <w:hideMark/>
          </w:tcPr>
          <w:p w14:paraId="61FE91A6" w14:textId="008F2981" w:rsidR="0021172F" w:rsidRPr="004F4BA7" w:rsidRDefault="0021172F" w:rsidP="003A75AB">
            <w:pPr>
              <w:keepNext/>
              <w:jc w:val="center"/>
              <w:rPr>
                <w:rFonts w:ascii="Arial Narrow" w:hAnsi="Arial Narrow" w:cstheme="minorHAnsi"/>
                <w:b/>
                <w:bCs/>
                <w:color w:val="000000"/>
                <w:sz w:val="24"/>
                <w:szCs w:val="24"/>
              </w:rPr>
            </w:pPr>
            <w:r w:rsidRPr="004F4BA7">
              <w:rPr>
                <w:rFonts w:ascii="Arial Narrow" w:hAnsi="Arial Narrow" w:cstheme="minorHAnsi"/>
                <w:b/>
                <w:bCs/>
                <w:color w:val="000000"/>
                <w:sz w:val="24"/>
                <w:szCs w:val="24"/>
              </w:rPr>
              <w:t>138,896</w:t>
            </w:r>
          </w:p>
        </w:tc>
        <w:tc>
          <w:tcPr>
            <w:tcW w:w="1885" w:type="dxa"/>
            <w:vAlign w:val="center"/>
            <w:hideMark/>
          </w:tcPr>
          <w:p w14:paraId="7E268809" w14:textId="0F37E51A" w:rsidR="0021172F" w:rsidRPr="004F4BA7" w:rsidRDefault="0021172F" w:rsidP="003A75AB">
            <w:pPr>
              <w:keepNext/>
              <w:jc w:val="center"/>
              <w:rPr>
                <w:rFonts w:ascii="Arial Narrow" w:hAnsi="Arial Narrow" w:cstheme="minorHAnsi"/>
                <w:b/>
                <w:bCs/>
                <w:color w:val="000000"/>
                <w:sz w:val="24"/>
                <w:szCs w:val="24"/>
              </w:rPr>
            </w:pPr>
            <w:r w:rsidRPr="004F4BA7">
              <w:rPr>
                <w:rFonts w:ascii="Arial Narrow" w:hAnsi="Arial Narrow" w:cstheme="minorHAnsi"/>
                <w:b/>
                <w:bCs/>
                <w:color w:val="000000"/>
                <w:sz w:val="24"/>
                <w:szCs w:val="24"/>
              </w:rPr>
              <w:t>167,214</w:t>
            </w:r>
          </w:p>
        </w:tc>
        <w:tc>
          <w:tcPr>
            <w:tcW w:w="1885" w:type="dxa"/>
            <w:vAlign w:val="center"/>
            <w:hideMark/>
          </w:tcPr>
          <w:p w14:paraId="273DBACE" w14:textId="6E5CC280" w:rsidR="0021172F" w:rsidRPr="004F4BA7" w:rsidRDefault="0021172F" w:rsidP="003A75AB">
            <w:pPr>
              <w:keepNext/>
              <w:jc w:val="center"/>
              <w:rPr>
                <w:rFonts w:ascii="Arial Narrow" w:hAnsi="Arial Narrow" w:cstheme="minorHAnsi"/>
                <w:b/>
                <w:bCs/>
                <w:color w:val="000000"/>
                <w:sz w:val="24"/>
                <w:szCs w:val="24"/>
              </w:rPr>
            </w:pPr>
            <w:r w:rsidRPr="004F4BA7">
              <w:rPr>
                <w:rFonts w:ascii="Arial Narrow" w:hAnsi="Arial Narrow" w:cstheme="minorHAnsi"/>
                <w:b/>
                <w:bCs/>
                <w:color w:val="000000"/>
                <w:sz w:val="24"/>
                <w:szCs w:val="24"/>
              </w:rPr>
              <w:t>28,318</w:t>
            </w:r>
          </w:p>
        </w:tc>
        <w:tc>
          <w:tcPr>
            <w:tcW w:w="1885" w:type="dxa"/>
            <w:vAlign w:val="center"/>
            <w:hideMark/>
          </w:tcPr>
          <w:p w14:paraId="06343C4B" w14:textId="1D549C42" w:rsidR="0021172F" w:rsidRPr="004F4BA7" w:rsidRDefault="0021172F" w:rsidP="003A75AB">
            <w:pPr>
              <w:keepNext/>
              <w:jc w:val="center"/>
              <w:rPr>
                <w:rFonts w:ascii="Arial Narrow" w:hAnsi="Arial Narrow" w:cstheme="minorHAnsi"/>
                <w:b/>
                <w:bCs/>
                <w:color w:val="000000"/>
                <w:sz w:val="24"/>
                <w:szCs w:val="24"/>
              </w:rPr>
            </w:pPr>
            <w:r w:rsidRPr="004F4BA7">
              <w:rPr>
                <w:rFonts w:ascii="Arial Narrow" w:hAnsi="Arial Narrow" w:cstheme="minorHAnsi"/>
                <w:b/>
                <w:bCs/>
                <w:color w:val="000000"/>
                <w:sz w:val="24"/>
                <w:szCs w:val="24"/>
              </w:rPr>
              <w:t>20.4%</w:t>
            </w:r>
          </w:p>
        </w:tc>
      </w:tr>
    </w:tbl>
    <w:p w14:paraId="33487CB3"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7EE4B20B" w14:textId="77777777" w:rsidR="00270765" w:rsidRPr="003E6243" w:rsidRDefault="00270765" w:rsidP="003D5E23">
      <w:pPr>
        <w:pStyle w:val="Tableheading"/>
        <w:numPr>
          <w:ilvl w:val="0"/>
          <w:numId w:val="0"/>
        </w:numPr>
        <w:ind w:left="794"/>
      </w:pPr>
      <w:r w:rsidRPr="003E6243">
        <w:t>Population change 2020 to 2040 by broad age bands linked to Standard Method – Cambridge</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1FF3FF3E" w14:textId="77777777" w:rsidTr="004F4BA7">
        <w:tc>
          <w:tcPr>
            <w:tcW w:w="1305" w:type="dxa"/>
          </w:tcPr>
          <w:p w14:paraId="268F5A17" w14:textId="77777777" w:rsidR="00270765" w:rsidRPr="004F4BA7" w:rsidRDefault="00270765" w:rsidP="0087660C">
            <w:pPr>
              <w:keepNext/>
              <w:rPr>
                <w:rFonts w:ascii="Arial Narrow" w:hAnsi="Arial Narrow"/>
                <w:sz w:val="24"/>
                <w:szCs w:val="24"/>
              </w:rPr>
            </w:pPr>
          </w:p>
        </w:tc>
        <w:tc>
          <w:tcPr>
            <w:tcW w:w="1885" w:type="dxa"/>
            <w:vAlign w:val="center"/>
            <w:hideMark/>
          </w:tcPr>
          <w:p w14:paraId="647FF534" w14:textId="77777777" w:rsidR="00270765" w:rsidRPr="004F4BA7" w:rsidRDefault="00270765"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1BEEA55C" w14:textId="77777777" w:rsidR="00270765" w:rsidRPr="004F4BA7" w:rsidRDefault="00270765"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2D4A6941" w14:textId="0102C5EA" w:rsidR="00270765" w:rsidRPr="004F4BA7" w:rsidRDefault="00270765"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1AB4AA3F" w14:textId="626F5F86" w:rsidR="00270765" w:rsidRPr="004F4BA7" w:rsidRDefault="00270765"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62569ACF" w14:textId="77777777" w:rsidTr="004F4BA7">
        <w:tc>
          <w:tcPr>
            <w:tcW w:w="1305" w:type="dxa"/>
            <w:hideMark/>
          </w:tcPr>
          <w:p w14:paraId="6E93A485"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Under 16</w:t>
            </w:r>
          </w:p>
        </w:tc>
        <w:tc>
          <w:tcPr>
            <w:tcW w:w="1885" w:type="dxa"/>
            <w:vAlign w:val="center"/>
            <w:hideMark/>
          </w:tcPr>
          <w:p w14:paraId="311B6898" w14:textId="51FB573C"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22,051</w:t>
            </w:r>
          </w:p>
        </w:tc>
        <w:tc>
          <w:tcPr>
            <w:tcW w:w="1885" w:type="dxa"/>
            <w:vAlign w:val="center"/>
            <w:hideMark/>
          </w:tcPr>
          <w:p w14:paraId="038866D0" w14:textId="324E68AC"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28,016</w:t>
            </w:r>
          </w:p>
        </w:tc>
        <w:tc>
          <w:tcPr>
            <w:tcW w:w="1885" w:type="dxa"/>
            <w:vAlign w:val="center"/>
            <w:hideMark/>
          </w:tcPr>
          <w:p w14:paraId="22DCFA01" w14:textId="05125A17"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5,965</w:t>
            </w:r>
          </w:p>
        </w:tc>
        <w:tc>
          <w:tcPr>
            <w:tcW w:w="1885" w:type="dxa"/>
            <w:vAlign w:val="center"/>
            <w:hideMark/>
          </w:tcPr>
          <w:p w14:paraId="126FB3EF" w14:textId="2C16E266"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27.1%</w:t>
            </w:r>
          </w:p>
        </w:tc>
      </w:tr>
      <w:tr w:rsidR="005F180B" w:rsidRPr="003A75AB" w14:paraId="5843527A" w14:textId="77777777" w:rsidTr="004F4BA7">
        <w:tc>
          <w:tcPr>
            <w:tcW w:w="1305" w:type="dxa"/>
            <w:hideMark/>
          </w:tcPr>
          <w:p w14:paraId="2F7DDFE0"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16-64</w:t>
            </w:r>
          </w:p>
        </w:tc>
        <w:tc>
          <w:tcPr>
            <w:tcW w:w="1885" w:type="dxa"/>
            <w:vAlign w:val="center"/>
            <w:hideMark/>
          </w:tcPr>
          <w:p w14:paraId="0B0264B4" w14:textId="04F825D2"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100,255</w:t>
            </w:r>
          </w:p>
        </w:tc>
        <w:tc>
          <w:tcPr>
            <w:tcW w:w="1885" w:type="dxa"/>
            <w:vAlign w:val="center"/>
            <w:hideMark/>
          </w:tcPr>
          <w:p w14:paraId="75DDF613" w14:textId="3ECF96B2"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114,616</w:t>
            </w:r>
          </w:p>
        </w:tc>
        <w:tc>
          <w:tcPr>
            <w:tcW w:w="1885" w:type="dxa"/>
            <w:vAlign w:val="center"/>
            <w:hideMark/>
          </w:tcPr>
          <w:p w14:paraId="5F3628F1" w14:textId="3CD5075A"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14,362</w:t>
            </w:r>
          </w:p>
        </w:tc>
        <w:tc>
          <w:tcPr>
            <w:tcW w:w="1885" w:type="dxa"/>
            <w:vAlign w:val="center"/>
            <w:hideMark/>
          </w:tcPr>
          <w:p w14:paraId="3BCD9113" w14:textId="5387D59F"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14.3%</w:t>
            </w:r>
          </w:p>
        </w:tc>
      </w:tr>
      <w:tr w:rsidR="005F180B" w:rsidRPr="003A75AB" w14:paraId="148EE677" w14:textId="77777777" w:rsidTr="004F4BA7">
        <w:tc>
          <w:tcPr>
            <w:tcW w:w="1305" w:type="dxa"/>
            <w:hideMark/>
          </w:tcPr>
          <w:p w14:paraId="29C00496"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65+</w:t>
            </w:r>
          </w:p>
        </w:tc>
        <w:tc>
          <w:tcPr>
            <w:tcW w:w="1885" w:type="dxa"/>
            <w:vAlign w:val="center"/>
            <w:hideMark/>
          </w:tcPr>
          <w:p w14:paraId="467CC868" w14:textId="1D1B0B02"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16,591</w:t>
            </w:r>
          </w:p>
        </w:tc>
        <w:tc>
          <w:tcPr>
            <w:tcW w:w="1885" w:type="dxa"/>
            <w:vAlign w:val="center"/>
            <w:hideMark/>
          </w:tcPr>
          <w:p w14:paraId="3C21166C" w14:textId="318201D3"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24,582</w:t>
            </w:r>
          </w:p>
        </w:tc>
        <w:tc>
          <w:tcPr>
            <w:tcW w:w="1885" w:type="dxa"/>
            <w:vAlign w:val="center"/>
            <w:hideMark/>
          </w:tcPr>
          <w:p w14:paraId="5C660280" w14:textId="638CDB09"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7,991</w:t>
            </w:r>
          </w:p>
        </w:tc>
        <w:tc>
          <w:tcPr>
            <w:tcW w:w="1885" w:type="dxa"/>
            <w:vAlign w:val="center"/>
            <w:hideMark/>
          </w:tcPr>
          <w:p w14:paraId="507ADD76" w14:textId="1862CEB7"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48.2%</w:t>
            </w:r>
          </w:p>
        </w:tc>
      </w:tr>
      <w:tr w:rsidR="005F180B" w:rsidRPr="003A75AB" w14:paraId="14A57DB5" w14:textId="77777777" w:rsidTr="004F4BA7">
        <w:tc>
          <w:tcPr>
            <w:tcW w:w="1305" w:type="dxa"/>
            <w:hideMark/>
          </w:tcPr>
          <w:p w14:paraId="492C1A9A" w14:textId="77777777" w:rsidR="00C2129B" w:rsidRPr="004F4BA7" w:rsidRDefault="00C2129B" w:rsidP="00C2129B">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3C0568B4" w14:textId="21A10611"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138,896</w:t>
            </w:r>
          </w:p>
        </w:tc>
        <w:tc>
          <w:tcPr>
            <w:tcW w:w="1885" w:type="dxa"/>
            <w:vAlign w:val="center"/>
            <w:hideMark/>
          </w:tcPr>
          <w:p w14:paraId="368E844D" w14:textId="39728DDF"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167,214</w:t>
            </w:r>
          </w:p>
        </w:tc>
        <w:tc>
          <w:tcPr>
            <w:tcW w:w="1885" w:type="dxa"/>
            <w:vAlign w:val="center"/>
            <w:hideMark/>
          </w:tcPr>
          <w:p w14:paraId="14765FAF" w14:textId="7AB979BA"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28,318</w:t>
            </w:r>
          </w:p>
        </w:tc>
        <w:tc>
          <w:tcPr>
            <w:tcW w:w="1885" w:type="dxa"/>
            <w:vAlign w:val="center"/>
            <w:hideMark/>
          </w:tcPr>
          <w:p w14:paraId="1C416AA8" w14:textId="387FCCFB"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20.4%</w:t>
            </w:r>
          </w:p>
        </w:tc>
      </w:tr>
    </w:tbl>
    <w:p w14:paraId="2BD457F4"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0C3F0542" w14:textId="77777777" w:rsidR="009107FE" w:rsidRPr="003E6243" w:rsidRDefault="009107FE" w:rsidP="003D5E23">
      <w:pPr>
        <w:pStyle w:val="Tableheading"/>
        <w:numPr>
          <w:ilvl w:val="0"/>
          <w:numId w:val="0"/>
        </w:numPr>
        <w:ind w:left="794"/>
      </w:pPr>
      <w:r w:rsidRPr="003E6243">
        <w:lastRenderedPageBreak/>
        <w:t xml:space="preserve">Older </w:t>
      </w:r>
      <w:r w:rsidR="000D2A90" w:rsidRPr="003E6243">
        <w:t xml:space="preserve">persons </w:t>
      </w:r>
      <w:r w:rsidRPr="003E6243">
        <w:t>change 2020 to 2040 by age bands linked to Standard Method – Cambridge</w:t>
      </w:r>
    </w:p>
    <w:tbl>
      <w:tblPr>
        <w:tblStyle w:val="TableGridLight1"/>
        <w:tblW w:w="8845" w:type="dxa"/>
        <w:tblInd w:w="794" w:type="dxa"/>
        <w:tblLook w:val="04A0" w:firstRow="1" w:lastRow="0" w:firstColumn="1" w:lastColumn="0" w:noHBand="0" w:noVBand="1"/>
      </w:tblPr>
      <w:tblGrid>
        <w:gridCol w:w="1769"/>
        <w:gridCol w:w="1769"/>
        <w:gridCol w:w="1769"/>
        <w:gridCol w:w="1769"/>
        <w:gridCol w:w="1769"/>
      </w:tblGrid>
      <w:tr w:rsidR="003A75AB" w:rsidRPr="003A75AB" w14:paraId="7E1740CA" w14:textId="77777777" w:rsidTr="003A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68B971BE" w14:textId="77777777" w:rsidR="009107FE" w:rsidRPr="004F4BA7" w:rsidRDefault="009107FE" w:rsidP="003E6243">
            <w:pPr>
              <w:keepNext/>
              <w:spacing w:line="300" w:lineRule="auto"/>
              <w:rPr>
                <w:color w:val="auto"/>
                <w:lang w:eastAsia="en-GB"/>
              </w:rPr>
            </w:pPr>
            <w:r w:rsidRPr="004F4BA7">
              <w:rPr>
                <w:color w:val="auto"/>
                <w:lang w:eastAsia="en-GB"/>
              </w:rPr>
              <w:t> </w:t>
            </w:r>
          </w:p>
        </w:tc>
        <w:tc>
          <w:tcPr>
            <w:tcW w:w="1769" w:type="dxa"/>
            <w:hideMark/>
          </w:tcPr>
          <w:p w14:paraId="2D4D6BC7" w14:textId="77777777" w:rsidR="009107FE" w:rsidRPr="004F4BA7" w:rsidRDefault="009107FE" w:rsidP="003E6243">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2020</w:t>
            </w:r>
          </w:p>
        </w:tc>
        <w:tc>
          <w:tcPr>
            <w:tcW w:w="1769" w:type="dxa"/>
            <w:hideMark/>
          </w:tcPr>
          <w:p w14:paraId="0E2C7E66" w14:textId="77777777" w:rsidR="009107FE" w:rsidRPr="004F4BA7" w:rsidRDefault="009107FE" w:rsidP="003E6243">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w:t>
            </w:r>
          </w:p>
        </w:tc>
        <w:tc>
          <w:tcPr>
            <w:tcW w:w="1769" w:type="dxa"/>
            <w:hideMark/>
          </w:tcPr>
          <w:p w14:paraId="5BF9BF02" w14:textId="77777777" w:rsidR="009107FE" w:rsidRPr="004F4BA7" w:rsidRDefault="009107FE" w:rsidP="003E6243">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Change</w:t>
            </w:r>
          </w:p>
        </w:tc>
        <w:tc>
          <w:tcPr>
            <w:tcW w:w="1769" w:type="dxa"/>
            <w:hideMark/>
          </w:tcPr>
          <w:p w14:paraId="17219329" w14:textId="300C9E8B" w:rsidR="009107FE" w:rsidRPr="004F4BA7" w:rsidRDefault="009107FE" w:rsidP="003E6243">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xml:space="preserve">% </w:t>
            </w:r>
            <w:r w:rsidR="00552654" w:rsidRPr="004F4BA7">
              <w:rPr>
                <w:color w:val="auto"/>
                <w:lang w:eastAsia="en-GB"/>
              </w:rPr>
              <w:t>C</w:t>
            </w:r>
            <w:r w:rsidRPr="004F4BA7">
              <w:rPr>
                <w:color w:val="auto"/>
                <w:lang w:eastAsia="en-GB"/>
              </w:rPr>
              <w:t>hange</w:t>
            </w:r>
          </w:p>
        </w:tc>
      </w:tr>
      <w:tr w:rsidR="003A75AB" w:rsidRPr="003A75AB" w14:paraId="291B82D4"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5D1D8EBA" w14:textId="77777777" w:rsidR="0030608F" w:rsidRPr="004F4BA7" w:rsidRDefault="0030608F" w:rsidP="003E6243">
            <w:pPr>
              <w:keepNext/>
              <w:spacing w:line="300" w:lineRule="auto"/>
              <w:rPr>
                <w:color w:val="auto"/>
                <w:lang w:eastAsia="en-GB"/>
              </w:rPr>
            </w:pPr>
            <w:r w:rsidRPr="004F4BA7">
              <w:rPr>
                <w:color w:val="auto"/>
                <w:lang w:eastAsia="en-GB"/>
              </w:rPr>
              <w:t>Under 65</w:t>
            </w:r>
          </w:p>
        </w:tc>
        <w:tc>
          <w:tcPr>
            <w:tcW w:w="1769" w:type="dxa"/>
            <w:hideMark/>
          </w:tcPr>
          <w:p w14:paraId="51F94D76" w14:textId="19E78F21"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122,306</w:t>
            </w:r>
          </w:p>
        </w:tc>
        <w:tc>
          <w:tcPr>
            <w:tcW w:w="1769" w:type="dxa"/>
            <w:hideMark/>
          </w:tcPr>
          <w:p w14:paraId="641D842D" w14:textId="636AA593"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142,632</w:t>
            </w:r>
          </w:p>
        </w:tc>
        <w:tc>
          <w:tcPr>
            <w:tcW w:w="1769" w:type="dxa"/>
            <w:hideMark/>
          </w:tcPr>
          <w:p w14:paraId="5B64AA28" w14:textId="0D5EE846"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20,327</w:t>
            </w:r>
          </w:p>
        </w:tc>
        <w:tc>
          <w:tcPr>
            <w:tcW w:w="1769" w:type="dxa"/>
            <w:hideMark/>
          </w:tcPr>
          <w:p w14:paraId="3FE0AB61" w14:textId="0D01802D"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16.6%</w:t>
            </w:r>
          </w:p>
        </w:tc>
      </w:tr>
      <w:tr w:rsidR="003A75AB" w:rsidRPr="003A75AB" w14:paraId="5C667DBE"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1F76C9A6" w14:textId="77777777" w:rsidR="0030608F" w:rsidRPr="004F4BA7" w:rsidRDefault="0030608F" w:rsidP="003E6243">
            <w:pPr>
              <w:keepNext/>
              <w:spacing w:line="300" w:lineRule="auto"/>
              <w:rPr>
                <w:color w:val="auto"/>
                <w:lang w:eastAsia="en-GB"/>
              </w:rPr>
            </w:pPr>
            <w:r w:rsidRPr="004F4BA7">
              <w:rPr>
                <w:color w:val="auto"/>
                <w:lang w:eastAsia="en-GB"/>
              </w:rPr>
              <w:t>65-74</w:t>
            </w:r>
          </w:p>
        </w:tc>
        <w:tc>
          <w:tcPr>
            <w:tcW w:w="1769" w:type="dxa"/>
            <w:hideMark/>
          </w:tcPr>
          <w:p w14:paraId="2B22957C" w14:textId="0D9F0169"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8,481</w:t>
            </w:r>
          </w:p>
        </w:tc>
        <w:tc>
          <w:tcPr>
            <w:tcW w:w="1769" w:type="dxa"/>
            <w:hideMark/>
          </w:tcPr>
          <w:p w14:paraId="68CD8804" w14:textId="2805E26D"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11,788</w:t>
            </w:r>
          </w:p>
        </w:tc>
        <w:tc>
          <w:tcPr>
            <w:tcW w:w="1769" w:type="dxa"/>
            <w:hideMark/>
          </w:tcPr>
          <w:p w14:paraId="2FE7F6B8" w14:textId="04CC3BCE"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3,307</w:t>
            </w:r>
          </w:p>
        </w:tc>
        <w:tc>
          <w:tcPr>
            <w:tcW w:w="1769" w:type="dxa"/>
            <w:hideMark/>
          </w:tcPr>
          <w:p w14:paraId="70F0AE95" w14:textId="2A1EF6E6"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39.0%</w:t>
            </w:r>
          </w:p>
        </w:tc>
      </w:tr>
      <w:tr w:rsidR="003A75AB" w:rsidRPr="003A75AB" w14:paraId="1F2CC382"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62F2C65A" w14:textId="77777777" w:rsidR="0030608F" w:rsidRPr="004F4BA7" w:rsidRDefault="0030608F" w:rsidP="003E6243">
            <w:pPr>
              <w:keepNext/>
              <w:spacing w:line="300" w:lineRule="auto"/>
              <w:rPr>
                <w:color w:val="auto"/>
                <w:lang w:eastAsia="en-GB"/>
              </w:rPr>
            </w:pPr>
            <w:r w:rsidRPr="004F4BA7">
              <w:rPr>
                <w:color w:val="auto"/>
                <w:lang w:eastAsia="en-GB"/>
              </w:rPr>
              <w:t>75-84</w:t>
            </w:r>
          </w:p>
        </w:tc>
        <w:tc>
          <w:tcPr>
            <w:tcW w:w="1769" w:type="dxa"/>
            <w:hideMark/>
          </w:tcPr>
          <w:p w14:paraId="16B04CDB" w14:textId="00F29DB7"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5,324</w:t>
            </w:r>
          </w:p>
        </w:tc>
        <w:tc>
          <w:tcPr>
            <w:tcW w:w="1769" w:type="dxa"/>
            <w:hideMark/>
          </w:tcPr>
          <w:p w14:paraId="04811F17" w14:textId="769925E2"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8,242</w:t>
            </w:r>
          </w:p>
        </w:tc>
        <w:tc>
          <w:tcPr>
            <w:tcW w:w="1769" w:type="dxa"/>
            <w:hideMark/>
          </w:tcPr>
          <w:p w14:paraId="68926B4D" w14:textId="6C4F35FA"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2,918</w:t>
            </w:r>
          </w:p>
        </w:tc>
        <w:tc>
          <w:tcPr>
            <w:tcW w:w="1769" w:type="dxa"/>
            <w:hideMark/>
          </w:tcPr>
          <w:p w14:paraId="542B60C8" w14:textId="35D6AC56"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54.8%</w:t>
            </w:r>
          </w:p>
        </w:tc>
      </w:tr>
      <w:tr w:rsidR="003A75AB" w:rsidRPr="003A75AB" w14:paraId="1B9909B6"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13550674" w14:textId="77777777" w:rsidR="0030608F" w:rsidRPr="004F4BA7" w:rsidRDefault="0030608F" w:rsidP="003E6243">
            <w:pPr>
              <w:keepNext/>
              <w:spacing w:line="300" w:lineRule="auto"/>
              <w:rPr>
                <w:color w:val="auto"/>
                <w:lang w:eastAsia="en-GB"/>
              </w:rPr>
            </w:pPr>
            <w:r w:rsidRPr="004F4BA7">
              <w:rPr>
                <w:color w:val="auto"/>
                <w:lang w:eastAsia="en-GB"/>
              </w:rPr>
              <w:t>85+</w:t>
            </w:r>
          </w:p>
        </w:tc>
        <w:tc>
          <w:tcPr>
            <w:tcW w:w="1769" w:type="dxa"/>
            <w:hideMark/>
          </w:tcPr>
          <w:p w14:paraId="3FE55AC5" w14:textId="079E241B"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2,786</w:t>
            </w:r>
          </w:p>
        </w:tc>
        <w:tc>
          <w:tcPr>
            <w:tcW w:w="1769" w:type="dxa"/>
            <w:hideMark/>
          </w:tcPr>
          <w:p w14:paraId="5CD80E1B" w14:textId="58DBD083"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4,552</w:t>
            </w:r>
          </w:p>
        </w:tc>
        <w:tc>
          <w:tcPr>
            <w:tcW w:w="1769" w:type="dxa"/>
            <w:hideMark/>
          </w:tcPr>
          <w:p w14:paraId="67A21A24" w14:textId="03DB0DFB"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1,766</w:t>
            </w:r>
          </w:p>
        </w:tc>
        <w:tc>
          <w:tcPr>
            <w:tcW w:w="1769" w:type="dxa"/>
            <w:hideMark/>
          </w:tcPr>
          <w:p w14:paraId="50D1CC57" w14:textId="66ACCC86"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63.4%</w:t>
            </w:r>
          </w:p>
        </w:tc>
      </w:tr>
      <w:tr w:rsidR="003A75AB" w:rsidRPr="003A75AB" w14:paraId="19A56F8B"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5916585E" w14:textId="77777777" w:rsidR="0030608F" w:rsidRPr="004F4BA7" w:rsidRDefault="0030608F" w:rsidP="003E6243">
            <w:pPr>
              <w:keepNext/>
              <w:spacing w:line="300" w:lineRule="auto"/>
              <w:rPr>
                <w:color w:val="auto"/>
                <w:lang w:eastAsia="en-GB"/>
              </w:rPr>
            </w:pPr>
            <w:r w:rsidRPr="004F4BA7">
              <w:rPr>
                <w:color w:val="auto"/>
                <w:lang w:eastAsia="en-GB"/>
              </w:rPr>
              <w:t>Total</w:t>
            </w:r>
          </w:p>
        </w:tc>
        <w:tc>
          <w:tcPr>
            <w:tcW w:w="1769" w:type="dxa"/>
            <w:hideMark/>
          </w:tcPr>
          <w:p w14:paraId="4948F267" w14:textId="0E2F0BA5"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138,896</w:t>
            </w:r>
          </w:p>
        </w:tc>
        <w:tc>
          <w:tcPr>
            <w:tcW w:w="1769" w:type="dxa"/>
            <w:hideMark/>
          </w:tcPr>
          <w:p w14:paraId="0E88349C" w14:textId="3DDE800C"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167,214</w:t>
            </w:r>
          </w:p>
        </w:tc>
        <w:tc>
          <w:tcPr>
            <w:tcW w:w="1769" w:type="dxa"/>
            <w:hideMark/>
          </w:tcPr>
          <w:p w14:paraId="1A56FA53" w14:textId="1BE334A9"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28,318</w:t>
            </w:r>
          </w:p>
        </w:tc>
        <w:tc>
          <w:tcPr>
            <w:tcW w:w="1769" w:type="dxa"/>
            <w:hideMark/>
          </w:tcPr>
          <w:p w14:paraId="15CDF7BB" w14:textId="76680B3C"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20.4%</w:t>
            </w:r>
          </w:p>
        </w:tc>
      </w:tr>
      <w:tr w:rsidR="003A75AB" w:rsidRPr="003A75AB" w14:paraId="01D8EC77"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7AB4DA38" w14:textId="77777777" w:rsidR="0030608F" w:rsidRPr="004F4BA7" w:rsidRDefault="0030608F" w:rsidP="003E6243">
            <w:pPr>
              <w:keepNext/>
              <w:spacing w:line="300" w:lineRule="auto"/>
              <w:rPr>
                <w:color w:val="auto"/>
                <w:lang w:eastAsia="en-GB"/>
              </w:rPr>
            </w:pPr>
            <w:r w:rsidRPr="004F4BA7">
              <w:rPr>
                <w:color w:val="auto"/>
                <w:lang w:eastAsia="en-GB"/>
              </w:rPr>
              <w:t>65+</w:t>
            </w:r>
          </w:p>
        </w:tc>
        <w:tc>
          <w:tcPr>
            <w:tcW w:w="1769" w:type="dxa"/>
            <w:hideMark/>
          </w:tcPr>
          <w:p w14:paraId="0724956D" w14:textId="108406D1"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16,591</w:t>
            </w:r>
          </w:p>
        </w:tc>
        <w:tc>
          <w:tcPr>
            <w:tcW w:w="1769" w:type="dxa"/>
            <w:hideMark/>
          </w:tcPr>
          <w:p w14:paraId="21852C79" w14:textId="340649E2"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24,582</w:t>
            </w:r>
          </w:p>
        </w:tc>
        <w:tc>
          <w:tcPr>
            <w:tcW w:w="1769" w:type="dxa"/>
            <w:hideMark/>
          </w:tcPr>
          <w:p w14:paraId="0D07E870" w14:textId="704D214A"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7,991</w:t>
            </w:r>
          </w:p>
        </w:tc>
        <w:tc>
          <w:tcPr>
            <w:tcW w:w="1769" w:type="dxa"/>
            <w:hideMark/>
          </w:tcPr>
          <w:p w14:paraId="036CD94C" w14:textId="5A030AF1" w:rsidR="0030608F" w:rsidRPr="004F4BA7" w:rsidRDefault="0030608F" w:rsidP="003E6243">
            <w:pPr>
              <w:keepNext/>
              <w:spacing w:line="300" w:lineRule="auto"/>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rPr>
              <w:t>48.2%</w:t>
            </w:r>
          </w:p>
        </w:tc>
      </w:tr>
    </w:tbl>
    <w:p w14:paraId="79F43904" w14:textId="77777777" w:rsidR="009107FE" w:rsidRPr="00B35A8B" w:rsidRDefault="009107FE" w:rsidP="009107FE">
      <w:pPr>
        <w:spacing w:after="120" w:line="360" w:lineRule="auto"/>
        <w:ind w:left="794"/>
        <w:rPr>
          <w:sz w:val="24"/>
          <w:szCs w:val="24"/>
        </w:rPr>
      </w:pPr>
      <w:r w:rsidRPr="00B35A8B">
        <w:rPr>
          <w:sz w:val="24"/>
          <w:szCs w:val="24"/>
        </w:rPr>
        <w:t>Source: Demographic projections</w:t>
      </w:r>
    </w:p>
    <w:p w14:paraId="293C399B" w14:textId="77777777" w:rsidR="00270765" w:rsidRPr="003E6243" w:rsidRDefault="00270765" w:rsidP="003D5E23">
      <w:pPr>
        <w:pStyle w:val="Tableheading"/>
        <w:numPr>
          <w:ilvl w:val="0"/>
          <w:numId w:val="0"/>
        </w:numPr>
        <w:ind w:left="794"/>
      </w:pPr>
      <w:r w:rsidRPr="003E6243">
        <w:t xml:space="preserve">Population change 2020 to 2040 by five-year age bands linked to Standard Method – East Cambridgeshire </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7128CA6E" w14:textId="77777777" w:rsidTr="004F4BA7">
        <w:tc>
          <w:tcPr>
            <w:tcW w:w="1305" w:type="dxa"/>
          </w:tcPr>
          <w:p w14:paraId="067AB020" w14:textId="77777777" w:rsidR="009107FE" w:rsidRPr="004F4BA7" w:rsidRDefault="009107FE" w:rsidP="009107FE">
            <w:pPr>
              <w:keepNext/>
              <w:rPr>
                <w:rFonts w:ascii="Arial Narrow" w:hAnsi="Arial Narrow"/>
                <w:sz w:val="24"/>
                <w:szCs w:val="24"/>
              </w:rPr>
            </w:pPr>
          </w:p>
        </w:tc>
        <w:tc>
          <w:tcPr>
            <w:tcW w:w="1885" w:type="dxa"/>
            <w:vAlign w:val="center"/>
            <w:hideMark/>
          </w:tcPr>
          <w:p w14:paraId="2BC373AC"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0439623B"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287A359F" w14:textId="0FD1B31B"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7367D379" w14:textId="6F2B18FA"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3F466375" w14:textId="77777777" w:rsidTr="004F4BA7">
        <w:tc>
          <w:tcPr>
            <w:tcW w:w="1305" w:type="dxa"/>
            <w:hideMark/>
          </w:tcPr>
          <w:p w14:paraId="44EAD95E"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Under 5</w:t>
            </w:r>
          </w:p>
        </w:tc>
        <w:tc>
          <w:tcPr>
            <w:tcW w:w="1885" w:type="dxa"/>
            <w:vAlign w:val="center"/>
            <w:hideMark/>
          </w:tcPr>
          <w:p w14:paraId="00A1CB49" w14:textId="41C7B18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5,103</w:t>
            </w:r>
          </w:p>
        </w:tc>
        <w:tc>
          <w:tcPr>
            <w:tcW w:w="1885" w:type="dxa"/>
            <w:vAlign w:val="center"/>
            <w:hideMark/>
          </w:tcPr>
          <w:p w14:paraId="5A0064B8" w14:textId="24F1F95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6,516</w:t>
            </w:r>
          </w:p>
        </w:tc>
        <w:tc>
          <w:tcPr>
            <w:tcW w:w="1885" w:type="dxa"/>
            <w:vAlign w:val="center"/>
            <w:hideMark/>
          </w:tcPr>
          <w:p w14:paraId="5C24BF55" w14:textId="71F8012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1,413</w:t>
            </w:r>
          </w:p>
        </w:tc>
        <w:tc>
          <w:tcPr>
            <w:tcW w:w="1885" w:type="dxa"/>
            <w:vAlign w:val="center"/>
            <w:hideMark/>
          </w:tcPr>
          <w:p w14:paraId="08CD190B" w14:textId="52523BD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27.7%</w:t>
            </w:r>
          </w:p>
        </w:tc>
      </w:tr>
      <w:tr w:rsidR="005F180B" w:rsidRPr="003A75AB" w14:paraId="25B2151F" w14:textId="77777777" w:rsidTr="004F4BA7">
        <w:tc>
          <w:tcPr>
            <w:tcW w:w="1305" w:type="dxa"/>
            <w:hideMark/>
          </w:tcPr>
          <w:p w14:paraId="0A625CA5"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5-9</w:t>
            </w:r>
          </w:p>
        </w:tc>
        <w:tc>
          <w:tcPr>
            <w:tcW w:w="1885" w:type="dxa"/>
            <w:vAlign w:val="center"/>
            <w:hideMark/>
          </w:tcPr>
          <w:p w14:paraId="7A88D0F2" w14:textId="37CEAA4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5,824</w:t>
            </w:r>
          </w:p>
        </w:tc>
        <w:tc>
          <w:tcPr>
            <w:tcW w:w="1885" w:type="dxa"/>
            <w:vAlign w:val="center"/>
            <w:hideMark/>
          </w:tcPr>
          <w:p w14:paraId="6DC4DE27" w14:textId="0E684E3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6,628</w:t>
            </w:r>
          </w:p>
        </w:tc>
        <w:tc>
          <w:tcPr>
            <w:tcW w:w="1885" w:type="dxa"/>
            <w:vAlign w:val="center"/>
            <w:hideMark/>
          </w:tcPr>
          <w:p w14:paraId="348B8351" w14:textId="528CC88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804</w:t>
            </w:r>
          </w:p>
        </w:tc>
        <w:tc>
          <w:tcPr>
            <w:tcW w:w="1885" w:type="dxa"/>
            <w:vAlign w:val="center"/>
            <w:hideMark/>
          </w:tcPr>
          <w:p w14:paraId="67398BB9" w14:textId="7DF5C04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13.8%</w:t>
            </w:r>
          </w:p>
        </w:tc>
      </w:tr>
      <w:tr w:rsidR="005F180B" w:rsidRPr="003A75AB" w14:paraId="2F6F51C1" w14:textId="77777777" w:rsidTr="004F4BA7">
        <w:tc>
          <w:tcPr>
            <w:tcW w:w="1305" w:type="dxa"/>
            <w:hideMark/>
          </w:tcPr>
          <w:p w14:paraId="3BE102BB"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10-14</w:t>
            </w:r>
          </w:p>
        </w:tc>
        <w:tc>
          <w:tcPr>
            <w:tcW w:w="1885" w:type="dxa"/>
            <w:vAlign w:val="center"/>
            <w:hideMark/>
          </w:tcPr>
          <w:p w14:paraId="423289D0" w14:textId="57DD55F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5,713</w:t>
            </w:r>
          </w:p>
        </w:tc>
        <w:tc>
          <w:tcPr>
            <w:tcW w:w="1885" w:type="dxa"/>
            <w:vAlign w:val="center"/>
            <w:hideMark/>
          </w:tcPr>
          <w:p w14:paraId="27DDCE26" w14:textId="6137517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6,558</w:t>
            </w:r>
          </w:p>
        </w:tc>
        <w:tc>
          <w:tcPr>
            <w:tcW w:w="1885" w:type="dxa"/>
            <w:vAlign w:val="center"/>
            <w:hideMark/>
          </w:tcPr>
          <w:p w14:paraId="033A5CA1" w14:textId="223D750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845</w:t>
            </w:r>
          </w:p>
        </w:tc>
        <w:tc>
          <w:tcPr>
            <w:tcW w:w="1885" w:type="dxa"/>
            <w:vAlign w:val="center"/>
            <w:hideMark/>
          </w:tcPr>
          <w:p w14:paraId="71003147" w14:textId="2ABEB6B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14.8%</w:t>
            </w:r>
          </w:p>
        </w:tc>
      </w:tr>
      <w:tr w:rsidR="005F180B" w:rsidRPr="003A75AB" w14:paraId="603ABFEC" w14:textId="77777777" w:rsidTr="004F4BA7">
        <w:tc>
          <w:tcPr>
            <w:tcW w:w="1305" w:type="dxa"/>
            <w:hideMark/>
          </w:tcPr>
          <w:p w14:paraId="5CA02550"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15-19</w:t>
            </w:r>
          </w:p>
        </w:tc>
        <w:tc>
          <w:tcPr>
            <w:tcW w:w="1885" w:type="dxa"/>
            <w:vAlign w:val="center"/>
            <w:hideMark/>
          </w:tcPr>
          <w:p w14:paraId="06C463DB" w14:textId="7173DD3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4,762</w:t>
            </w:r>
          </w:p>
        </w:tc>
        <w:tc>
          <w:tcPr>
            <w:tcW w:w="1885" w:type="dxa"/>
            <w:vAlign w:val="center"/>
            <w:hideMark/>
          </w:tcPr>
          <w:p w14:paraId="37376A5A" w14:textId="04FAB8A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6,095</w:t>
            </w:r>
          </w:p>
        </w:tc>
        <w:tc>
          <w:tcPr>
            <w:tcW w:w="1885" w:type="dxa"/>
            <w:vAlign w:val="center"/>
            <w:hideMark/>
          </w:tcPr>
          <w:p w14:paraId="63F7D576" w14:textId="218A127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1,333</w:t>
            </w:r>
          </w:p>
        </w:tc>
        <w:tc>
          <w:tcPr>
            <w:tcW w:w="1885" w:type="dxa"/>
            <w:vAlign w:val="center"/>
            <w:hideMark/>
          </w:tcPr>
          <w:p w14:paraId="35C4F6BF" w14:textId="48F3437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28.0%</w:t>
            </w:r>
          </w:p>
        </w:tc>
      </w:tr>
      <w:tr w:rsidR="005F180B" w:rsidRPr="003A75AB" w14:paraId="635DBCDF" w14:textId="77777777" w:rsidTr="004F4BA7">
        <w:tc>
          <w:tcPr>
            <w:tcW w:w="1305" w:type="dxa"/>
            <w:hideMark/>
          </w:tcPr>
          <w:p w14:paraId="48E1A5F6"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20-24</w:t>
            </w:r>
          </w:p>
        </w:tc>
        <w:tc>
          <w:tcPr>
            <w:tcW w:w="1885" w:type="dxa"/>
            <w:vAlign w:val="center"/>
            <w:hideMark/>
          </w:tcPr>
          <w:p w14:paraId="13A8B76B" w14:textId="3770C73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3,992</w:t>
            </w:r>
          </w:p>
        </w:tc>
        <w:tc>
          <w:tcPr>
            <w:tcW w:w="1885" w:type="dxa"/>
            <w:vAlign w:val="center"/>
            <w:hideMark/>
          </w:tcPr>
          <w:p w14:paraId="4A9150AC" w14:textId="7C9824C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5,158</w:t>
            </w:r>
          </w:p>
        </w:tc>
        <w:tc>
          <w:tcPr>
            <w:tcW w:w="1885" w:type="dxa"/>
            <w:vAlign w:val="center"/>
            <w:hideMark/>
          </w:tcPr>
          <w:p w14:paraId="43D0B74B" w14:textId="73C8F52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1,165</w:t>
            </w:r>
          </w:p>
        </w:tc>
        <w:tc>
          <w:tcPr>
            <w:tcW w:w="1885" w:type="dxa"/>
            <w:vAlign w:val="center"/>
            <w:hideMark/>
          </w:tcPr>
          <w:p w14:paraId="391485CC" w14:textId="7F7114C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29.2%</w:t>
            </w:r>
          </w:p>
        </w:tc>
      </w:tr>
      <w:tr w:rsidR="005F180B" w:rsidRPr="003A75AB" w14:paraId="5CAA2BD2" w14:textId="77777777" w:rsidTr="004F4BA7">
        <w:tc>
          <w:tcPr>
            <w:tcW w:w="1305" w:type="dxa"/>
            <w:hideMark/>
          </w:tcPr>
          <w:p w14:paraId="1E23A815"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25-29</w:t>
            </w:r>
          </w:p>
        </w:tc>
        <w:tc>
          <w:tcPr>
            <w:tcW w:w="1885" w:type="dxa"/>
            <w:vAlign w:val="center"/>
            <w:hideMark/>
          </w:tcPr>
          <w:p w14:paraId="58F3E4C6" w14:textId="3036369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4,833</w:t>
            </w:r>
          </w:p>
        </w:tc>
        <w:tc>
          <w:tcPr>
            <w:tcW w:w="1885" w:type="dxa"/>
            <w:vAlign w:val="center"/>
            <w:hideMark/>
          </w:tcPr>
          <w:p w14:paraId="1F9C7425" w14:textId="2AD9DA5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6,236</w:t>
            </w:r>
          </w:p>
        </w:tc>
        <w:tc>
          <w:tcPr>
            <w:tcW w:w="1885" w:type="dxa"/>
            <w:vAlign w:val="center"/>
            <w:hideMark/>
          </w:tcPr>
          <w:p w14:paraId="50207EB7" w14:textId="0298E82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1,403</w:t>
            </w:r>
          </w:p>
        </w:tc>
        <w:tc>
          <w:tcPr>
            <w:tcW w:w="1885" w:type="dxa"/>
            <w:vAlign w:val="center"/>
            <w:hideMark/>
          </w:tcPr>
          <w:p w14:paraId="09AA1311" w14:textId="3F0F301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29.0%</w:t>
            </w:r>
          </w:p>
        </w:tc>
      </w:tr>
      <w:tr w:rsidR="005F180B" w:rsidRPr="003A75AB" w14:paraId="4D334936" w14:textId="77777777" w:rsidTr="004F4BA7">
        <w:tc>
          <w:tcPr>
            <w:tcW w:w="1305" w:type="dxa"/>
            <w:hideMark/>
          </w:tcPr>
          <w:p w14:paraId="075FFD6C"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30-34</w:t>
            </w:r>
          </w:p>
        </w:tc>
        <w:tc>
          <w:tcPr>
            <w:tcW w:w="1885" w:type="dxa"/>
            <w:vAlign w:val="center"/>
            <w:hideMark/>
          </w:tcPr>
          <w:p w14:paraId="0889BB74" w14:textId="44B5530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5,702</w:t>
            </w:r>
          </w:p>
        </w:tc>
        <w:tc>
          <w:tcPr>
            <w:tcW w:w="1885" w:type="dxa"/>
            <w:vAlign w:val="center"/>
            <w:hideMark/>
          </w:tcPr>
          <w:p w14:paraId="26E912DB" w14:textId="7B3F0E8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6,652</w:t>
            </w:r>
          </w:p>
        </w:tc>
        <w:tc>
          <w:tcPr>
            <w:tcW w:w="1885" w:type="dxa"/>
            <w:vAlign w:val="center"/>
            <w:hideMark/>
          </w:tcPr>
          <w:p w14:paraId="56851A7F" w14:textId="3D1C585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950</w:t>
            </w:r>
          </w:p>
        </w:tc>
        <w:tc>
          <w:tcPr>
            <w:tcW w:w="1885" w:type="dxa"/>
            <w:vAlign w:val="center"/>
            <w:hideMark/>
          </w:tcPr>
          <w:p w14:paraId="4B566A27" w14:textId="03759D4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16.7%</w:t>
            </w:r>
          </w:p>
        </w:tc>
      </w:tr>
      <w:tr w:rsidR="005F180B" w:rsidRPr="003A75AB" w14:paraId="6B5871E9" w14:textId="77777777" w:rsidTr="004F4BA7">
        <w:tc>
          <w:tcPr>
            <w:tcW w:w="1305" w:type="dxa"/>
            <w:hideMark/>
          </w:tcPr>
          <w:p w14:paraId="438C7DCD"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35-39</w:t>
            </w:r>
          </w:p>
        </w:tc>
        <w:tc>
          <w:tcPr>
            <w:tcW w:w="1885" w:type="dxa"/>
            <w:vAlign w:val="center"/>
            <w:hideMark/>
          </w:tcPr>
          <w:p w14:paraId="7FC2EB80" w14:textId="521EA16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6,360</w:t>
            </w:r>
          </w:p>
        </w:tc>
        <w:tc>
          <w:tcPr>
            <w:tcW w:w="1885" w:type="dxa"/>
            <w:vAlign w:val="center"/>
            <w:hideMark/>
          </w:tcPr>
          <w:p w14:paraId="73D17905" w14:textId="7C23B22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6,704</w:t>
            </w:r>
          </w:p>
        </w:tc>
        <w:tc>
          <w:tcPr>
            <w:tcW w:w="1885" w:type="dxa"/>
            <w:vAlign w:val="center"/>
            <w:hideMark/>
          </w:tcPr>
          <w:p w14:paraId="461CA7D5" w14:textId="00758C8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343</w:t>
            </w:r>
          </w:p>
        </w:tc>
        <w:tc>
          <w:tcPr>
            <w:tcW w:w="1885" w:type="dxa"/>
            <w:vAlign w:val="center"/>
            <w:hideMark/>
          </w:tcPr>
          <w:p w14:paraId="545F6953" w14:textId="389D10A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5.4%</w:t>
            </w:r>
          </w:p>
        </w:tc>
      </w:tr>
      <w:tr w:rsidR="005F180B" w:rsidRPr="003A75AB" w14:paraId="5A645C97" w14:textId="77777777" w:rsidTr="004F4BA7">
        <w:tc>
          <w:tcPr>
            <w:tcW w:w="1305" w:type="dxa"/>
            <w:hideMark/>
          </w:tcPr>
          <w:p w14:paraId="3B16F2E7"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40-44</w:t>
            </w:r>
          </w:p>
        </w:tc>
        <w:tc>
          <w:tcPr>
            <w:tcW w:w="1885" w:type="dxa"/>
            <w:vAlign w:val="center"/>
            <w:hideMark/>
          </w:tcPr>
          <w:p w14:paraId="7A715A1C" w14:textId="7C94A8F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6,345</w:t>
            </w:r>
          </w:p>
        </w:tc>
        <w:tc>
          <w:tcPr>
            <w:tcW w:w="1885" w:type="dxa"/>
            <w:vAlign w:val="center"/>
            <w:hideMark/>
          </w:tcPr>
          <w:p w14:paraId="699AEE56" w14:textId="6E21F56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7,344</w:t>
            </w:r>
          </w:p>
        </w:tc>
        <w:tc>
          <w:tcPr>
            <w:tcW w:w="1885" w:type="dxa"/>
            <w:vAlign w:val="center"/>
            <w:hideMark/>
          </w:tcPr>
          <w:p w14:paraId="77B65758" w14:textId="27D1225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998</w:t>
            </w:r>
          </w:p>
        </w:tc>
        <w:tc>
          <w:tcPr>
            <w:tcW w:w="1885" w:type="dxa"/>
            <w:vAlign w:val="center"/>
            <w:hideMark/>
          </w:tcPr>
          <w:p w14:paraId="2941BFB5" w14:textId="1D1FA2C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15.7%</w:t>
            </w:r>
          </w:p>
        </w:tc>
      </w:tr>
      <w:tr w:rsidR="005F180B" w:rsidRPr="003A75AB" w14:paraId="45D67309" w14:textId="77777777" w:rsidTr="004F4BA7">
        <w:tc>
          <w:tcPr>
            <w:tcW w:w="1305" w:type="dxa"/>
            <w:hideMark/>
          </w:tcPr>
          <w:p w14:paraId="574104E4"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45-49</w:t>
            </w:r>
          </w:p>
        </w:tc>
        <w:tc>
          <w:tcPr>
            <w:tcW w:w="1885" w:type="dxa"/>
            <w:vAlign w:val="center"/>
            <w:hideMark/>
          </w:tcPr>
          <w:p w14:paraId="74657837" w14:textId="61B3613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6,658</w:t>
            </w:r>
          </w:p>
        </w:tc>
        <w:tc>
          <w:tcPr>
            <w:tcW w:w="1885" w:type="dxa"/>
            <w:vAlign w:val="center"/>
            <w:hideMark/>
          </w:tcPr>
          <w:p w14:paraId="73C1CA91" w14:textId="39A6318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7,621</w:t>
            </w:r>
          </w:p>
        </w:tc>
        <w:tc>
          <w:tcPr>
            <w:tcW w:w="1885" w:type="dxa"/>
            <w:vAlign w:val="center"/>
            <w:hideMark/>
          </w:tcPr>
          <w:p w14:paraId="6C850ECA" w14:textId="37C810F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964</w:t>
            </w:r>
          </w:p>
        </w:tc>
        <w:tc>
          <w:tcPr>
            <w:tcW w:w="1885" w:type="dxa"/>
            <w:vAlign w:val="center"/>
            <w:hideMark/>
          </w:tcPr>
          <w:p w14:paraId="47954DCC" w14:textId="113FC1A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14.5%</w:t>
            </w:r>
          </w:p>
        </w:tc>
      </w:tr>
      <w:tr w:rsidR="005F180B" w:rsidRPr="003A75AB" w14:paraId="29447104" w14:textId="77777777" w:rsidTr="004F4BA7">
        <w:tc>
          <w:tcPr>
            <w:tcW w:w="1305" w:type="dxa"/>
            <w:hideMark/>
          </w:tcPr>
          <w:p w14:paraId="4F07F7A3"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50-54</w:t>
            </w:r>
          </w:p>
        </w:tc>
        <w:tc>
          <w:tcPr>
            <w:tcW w:w="1885" w:type="dxa"/>
            <w:vAlign w:val="center"/>
            <w:hideMark/>
          </w:tcPr>
          <w:p w14:paraId="7FB3FA1C" w14:textId="55F4E90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6,549</w:t>
            </w:r>
          </w:p>
        </w:tc>
        <w:tc>
          <w:tcPr>
            <w:tcW w:w="1885" w:type="dxa"/>
            <w:vAlign w:val="center"/>
            <w:hideMark/>
          </w:tcPr>
          <w:p w14:paraId="368EF278" w14:textId="2F9D793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7,675</w:t>
            </w:r>
          </w:p>
        </w:tc>
        <w:tc>
          <w:tcPr>
            <w:tcW w:w="1885" w:type="dxa"/>
            <w:vAlign w:val="center"/>
            <w:hideMark/>
          </w:tcPr>
          <w:p w14:paraId="24F8A775" w14:textId="473FA5C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1,125</w:t>
            </w:r>
          </w:p>
        </w:tc>
        <w:tc>
          <w:tcPr>
            <w:tcW w:w="1885" w:type="dxa"/>
            <w:vAlign w:val="center"/>
            <w:hideMark/>
          </w:tcPr>
          <w:p w14:paraId="723D0061" w14:textId="6FC837C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17.2%</w:t>
            </w:r>
          </w:p>
        </w:tc>
      </w:tr>
      <w:tr w:rsidR="005F180B" w:rsidRPr="003A75AB" w14:paraId="62E494A6" w14:textId="77777777" w:rsidTr="004F4BA7">
        <w:tc>
          <w:tcPr>
            <w:tcW w:w="1305" w:type="dxa"/>
            <w:hideMark/>
          </w:tcPr>
          <w:p w14:paraId="41B06FF5"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55-59</w:t>
            </w:r>
          </w:p>
        </w:tc>
        <w:tc>
          <w:tcPr>
            <w:tcW w:w="1885" w:type="dxa"/>
            <w:vAlign w:val="center"/>
            <w:hideMark/>
          </w:tcPr>
          <w:p w14:paraId="28C3EB1D" w14:textId="6F10E81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6,126</w:t>
            </w:r>
          </w:p>
        </w:tc>
        <w:tc>
          <w:tcPr>
            <w:tcW w:w="1885" w:type="dxa"/>
            <w:vAlign w:val="center"/>
            <w:hideMark/>
          </w:tcPr>
          <w:p w14:paraId="7F1F7A98" w14:textId="76A4C50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7,341</w:t>
            </w:r>
          </w:p>
        </w:tc>
        <w:tc>
          <w:tcPr>
            <w:tcW w:w="1885" w:type="dxa"/>
            <w:vAlign w:val="center"/>
            <w:hideMark/>
          </w:tcPr>
          <w:p w14:paraId="75AF08DC" w14:textId="2A283F9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1,215</w:t>
            </w:r>
          </w:p>
        </w:tc>
        <w:tc>
          <w:tcPr>
            <w:tcW w:w="1885" w:type="dxa"/>
            <w:vAlign w:val="center"/>
            <w:hideMark/>
          </w:tcPr>
          <w:p w14:paraId="56F3D2A3" w14:textId="651C62C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19.8%</w:t>
            </w:r>
          </w:p>
        </w:tc>
      </w:tr>
      <w:tr w:rsidR="005F180B" w:rsidRPr="003A75AB" w14:paraId="2576EA3B" w14:textId="77777777" w:rsidTr="004F4BA7">
        <w:tc>
          <w:tcPr>
            <w:tcW w:w="1305" w:type="dxa"/>
            <w:hideMark/>
          </w:tcPr>
          <w:p w14:paraId="7627918C"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60-64</w:t>
            </w:r>
          </w:p>
        </w:tc>
        <w:tc>
          <w:tcPr>
            <w:tcW w:w="1885" w:type="dxa"/>
            <w:vAlign w:val="center"/>
            <w:hideMark/>
          </w:tcPr>
          <w:p w14:paraId="6707A19E" w14:textId="0D06BE8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5,380</w:t>
            </w:r>
          </w:p>
        </w:tc>
        <w:tc>
          <w:tcPr>
            <w:tcW w:w="1885" w:type="dxa"/>
            <w:vAlign w:val="center"/>
            <w:hideMark/>
          </w:tcPr>
          <w:p w14:paraId="2AD00AAF" w14:textId="56C8A83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6,858</w:t>
            </w:r>
          </w:p>
        </w:tc>
        <w:tc>
          <w:tcPr>
            <w:tcW w:w="1885" w:type="dxa"/>
            <w:vAlign w:val="center"/>
            <w:hideMark/>
          </w:tcPr>
          <w:p w14:paraId="0A369EB7" w14:textId="6AE96DD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1,478</w:t>
            </w:r>
          </w:p>
        </w:tc>
        <w:tc>
          <w:tcPr>
            <w:tcW w:w="1885" w:type="dxa"/>
            <w:vAlign w:val="center"/>
            <w:hideMark/>
          </w:tcPr>
          <w:p w14:paraId="6C737C5D" w14:textId="1828A01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27.5%</w:t>
            </w:r>
          </w:p>
        </w:tc>
      </w:tr>
      <w:tr w:rsidR="005F180B" w:rsidRPr="003A75AB" w14:paraId="147D3F0E" w14:textId="77777777" w:rsidTr="004F4BA7">
        <w:tc>
          <w:tcPr>
            <w:tcW w:w="1305" w:type="dxa"/>
            <w:hideMark/>
          </w:tcPr>
          <w:p w14:paraId="5E04A961"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65-69</w:t>
            </w:r>
          </w:p>
        </w:tc>
        <w:tc>
          <w:tcPr>
            <w:tcW w:w="1885" w:type="dxa"/>
            <w:vAlign w:val="center"/>
            <w:hideMark/>
          </w:tcPr>
          <w:p w14:paraId="73E2E72B" w14:textId="6993308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4,828</w:t>
            </w:r>
          </w:p>
        </w:tc>
        <w:tc>
          <w:tcPr>
            <w:tcW w:w="1885" w:type="dxa"/>
            <w:vAlign w:val="center"/>
            <w:hideMark/>
          </w:tcPr>
          <w:p w14:paraId="62CB6344" w14:textId="1F9E23A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6,895</w:t>
            </w:r>
          </w:p>
        </w:tc>
        <w:tc>
          <w:tcPr>
            <w:tcW w:w="1885" w:type="dxa"/>
            <w:vAlign w:val="center"/>
            <w:hideMark/>
          </w:tcPr>
          <w:p w14:paraId="2FAC1147" w14:textId="10CB3BD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2,067</w:t>
            </w:r>
          </w:p>
        </w:tc>
        <w:tc>
          <w:tcPr>
            <w:tcW w:w="1885" w:type="dxa"/>
            <w:vAlign w:val="center"/>
            <w:hideMark/>
          </w:tcPr>
          <w:p w14:paraId="771FA802" w14:textId="5FC2EC4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42.8%</w:t>
            </w:r>
          </w:p>
        </w:tc>
      </w:tr>
      <w:tr w:rsidR="005F180B" w:rsidRPr="003A75AB" w14:paraId="2D72C94B" w14:textId="77777777" w:rsidTr="004F4BA7">
        <w:tc>
          <w:tcPr>
            <w:tcW w:w="1305" w:type="dxa"/>
            <w:hideMark/>
          </w:tcPr>
          <w:p w14:paraId="23E8A5F9"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70-74</w:t>
            </w:r>
          </w:p>
        </w:tc>
        <w:tc>
          <w:tcPr>
            <w:tcW w:w="1885" w:type="dxa"/>
            <w:vAlign w:val="center"/>
            <w:hideMark/>
          </w:tcPr>
          <w:p w14:paraId="2F34098A" w14:textId="53EF962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4,858</w:t>
            </w:r>
          </w:p>
        </w:tc>
        <w:tc>
          <w:tcPr>
            <w:tcW w:w="1885" w:type="dxa"/>
            <w:vAlign w:val="center"/>
            <w:hideMark/>
          </w:tcPr>
          <w:p w14:paraId="7A5EC2EE" w14:textId="2960CDC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6,639</w:t>
            </w:r>
          </w:p>
        </w:tc>
        <w:tc>
          <w:tcPr>
            <w:tcW w:w="1885" w:type="dxa"/>
            <w:vAlign w:val="center"/>
            <w:hideMark/>
          </w:tcPr>
          <w:p w14:paraId="20690F76" w14:textId="01C43E0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1,781</w:t>
            </w:r>
          </w:p>
        </w:tc>
        <w:tc>
          <w:tcPr>
            <w:tcW w:w="1885" w:type="dxa"/>
            <w:vAlign w:val="center"/>
            <w:hideMark/>
          </w:tcPr>
          <w:p w14:paraId="7982E407" w14:textId="608CD62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36.7%</w:t>
            </w:r>
          </w:p>
        </w:tc>
      </w:tr>
      <w:tr w:rsidR="005F180B" w:rsidRPr="003A75AB" w14:paraId="7E4EC05D" w14:textId="77777777" w:rsidTr="004F4BA7">
        <w:tc>
          <w:tcPr>
            <w:tcW w:w="1305" w:type="dxa"/>
            <w:hideMark/>
          </w:tcPr>
          <w:p w14:paraId="27A119B0"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75-79</w:t>
            </w:r>
          </w:p>
        </w:tc>
        <w:tc>
          <w:tcPr>
            <w:tcW w:w="1885" w:type="dxa"/>
            <w:vAlign w:val="center"/>
            <w:hideMark/>
          </w:tcPr>
          <w:p w14:paraId="6A634DCD" w14:textId="160186A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3,449</w:t>
            </w:r>
          </w:p>
        </w:tc>
        <w:tc>
          <w:tcPr>
            <w:tcW w:w="1885" w:type="dxa"/>
            <w:vAlign w:val="center"/>
            <w:hideMark/>
          </w:tcPr>
          <w:p w14:paraId="7EAC9BA4" w14:textId="5398247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5,798</w:t>
            </w:r>
          </w:p>
        </w:tc>
        <w:tc>
          <w:tcPr>
            <w:tcW w:w="1885" w:type="dxa"/>
            <w:vAlign w:val="center"/>
            <w:hideMark/>
          </w:tcPr>
          <w:p w14:paraId="3EDBF18B" w14:textId="0EBAC01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2,349</w:t>
            </w:r>
          </w:p>
        </w:tc>
        <w:tc>
          <w:tcPr>
            <w:tcW w:w="1885" w:type="dxa"/>
            <w:vAlign w:val="center"/>
            <w:hideMark/>
          </w:tcPr>
          <w:p w14:paraId="16CE2ADB" w14:textId="2D691A2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68.1%</w:t>
            </w:r>
          </w:p>
        </w:tc>
      </w:tr>
      <w:tr w:rsidR="005F180B" w:rsidRPr="003A75AB" w14:paraId="550C0DDB" w14:textId="77777777" w:rsidTr="004F4BA7">
        <w:tc>
          <w:tcPr>
            <w:tcW w:w="1305" w:type="dxa"/>
            <w:hideMark/>
          </w:tcPr>
          <w:p w14:paraId="2E36A174"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80-84</w:t>
            </w:r>
          </w:p>
        </w:tc>
        <w:tc>
          <w:tcPr>
            <w:tcW w:w="1885" w:type="dxa"/>
            <w:vAlign w:val="center"/>
            <w:hideMark/>
          </w:tcPr>
          <w:p w14:paraId="00DCA7C0" w14:textId="341D79E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2,475</w:t>
            </w:r>
          </w:p>
        </w:tc>
        <w:tc>
          <w:tcPr>
            <w:tcW w:w="1885" w:type="dxa"/>
            <w:vAlign w:val="center"/>
            <w:hideMark/>
          </w:tcPr>
          <w:p w14:paraId="2C1C249A" w14:textId="69D95E3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4,282</w:t>
            </w:r>
          </w:p>
        </w:tc>
        <w:tc>
          <w:tcPr>
            <w:tcW w:w="1885" w:type="dxa"/>
            <w:vAlign w:val="center"/>
            <w:hideMark/>
          </w:tcPr>
          <w:p w14:paraId="4EB4F619" w14:textId="2825880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1,806</w:t>
            </w:r>
          </w:p>
        </w:tc>
        <w:tc>
          <w:tcPr>
            <w:tcW w:w="1885" w:type="dxa"/>
            <w:vAlign w:val="center"/>
            <w:hideMark/>
          </w:tcPr>
          <w:p w14:paraId="0F51ED5F" w14:textId="42DF9F3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73.0%</w:t>
            </w:r>
          </w:p>
        </w:tc>
      </w:tr>
      <w:tr w:rsidR="005F180B" w:rsidRPr="003A75AB" w14:paraId="49034E9B" w14:textId="77777777" w:rsidTr="004F4BA7">
        <w:tc>
          <w:tcPr>
            <w:tcW w:w="1305" w:type="dxa"/>
            <w:hideMark/>
          </w:tcPr>
          <w:p w14:paraId="4A7C7B2D"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85+</w:t>
            </w:r>
          </w:p>
        </w:tc>
        <w:tc>
          <w:tcPr>
            <w:tcW w:w="1885" w:type="dxa"/>
            <w:vAlign w:val="center"/>
            <w:hideMark/>
          </w:tcPr>
          <w:p w14:paraId="248E476A" w14:textId="17EB45A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2,430</w:t>
            </w:r>
          </w:p>
        </w:tc>
        <w:tc>
          <w:tcPr>
            <w:tcW w:w="1885" w:type="dxa"/>
            <w:vAlign w:val="center"/>
            <w:hideMark/>
          </w:tcPr>
          <w:p w14:paraId="01566DBA" w14:textId="37DB5D7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4,831</w:t>
            </w:r>
          </w:p>
        </w:tc>
        <w:tc>
          <w:tcPr>
            <w:tcW w:w="1885" w:type="dxa"/>
            <w:vAlign w:val="center"/>
            <w:hideMark/>
          </w:tcPr>
          <w:p w14:paraId="6BBC1F3B" w14:textId="759CD97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2,401</w:t>
            </w:r>
          </w:p>
        </w:tc>
        <w:tc>
          <w:tcPr>
            <w:tcW w:w="1885" w:type="dxa"/>
            <w:vAlign w:val="center"/>
            <w:hideMark/>
          </w:tcPr>
          <w:p w14:paraId="2B071026" w14:textId="1D4ECDF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98.8%</w:t>
            </w:r>
          </w:p>
        </w:tc>
      </w:tr>
      <w:tr w:rsidR="005F180B" w:rsidRPr="003A75AB" w14:paraId="783B707B" w14:textId="77777777" w:rsidTr="004F4BA7">
        <w:tc>
          <w:tcPr>
            <w:tcW w:w="1305" w:type="dxa"/>
            <w:hideMark/>
          </w:tcPr>
          <w:p w14:paraId="1EEB711E" w14:textId="77777777" w:rsidR="0021172F" w:rsidRPr="004F4BA7" w:rsidRDefault="0021172F" w:rsidP="0021172F">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495F5973" w14:textId="7341728B"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91,389</w:t>
            </w:r>
          </w:p>
        </w:tc>
        <w:tc>
          <w:tcPr>
            <w:tcW w:w="1885" w:type="dxa"/>
            <w:vAlign w:val="center"/>
            <w:hideMark/>
          </w:tcPr>
          <w:p w14:paraId="69F76A8A" w14:textId="5AA3FD1E"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115,831</w:t>
            </w:r>
          </w:p>
        </w:tc>
        <w:tc>
          <w:tcPr>
            <w:tcW w:w="1885" w:type="dxa"/>
            <w:vAlign w:val="center"/>
            <w:hideMark/>
          </w:tcPr>
          <w:p w14:paraId="53BF2133" w14:textId="60325CEF"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24,442</w:t>
            </w:r>
          </w:p>
        </w:tc>
        <w:tc>
          <w:tcPr>
            <w:tcW w:w="1885" w:type="dxa"/>
            <w:vAlign w:val="center"/>
            <w:hideMark/>
          </w:tcPr>
          <w:p w14:paraId="66697F09" w14:textId="07243264"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26.7%</w:t>
            </w:r>
          </w:p>
        </w:tc>
      </w:tr>
    </w:tbl>
    <w:p w14:paraId="1B571453"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76B36E85" w14:textId="77777777" w:rsidR="00270765" w:rsidRPr="003E6243" w:rsidRDefault="00270765" w:rsidP="003D5E23">
      <w:pPr>
        <w:pStyle w:val="Tableheading"/>
        <w:numPr>
          <w:ilvl w:val="0"/>
          <w:numId w:val="0"/>
        </w:numPr>
        <w:ind w:left="794"/>
      </w:pPr>
      <w:r w:rsidRPr="003E6243">
        <w:t>Population change 2020 to 2040 by broad age bands linked to Standard Method – East Cambridgeshire</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141"/>
        <w:gridCol w:w="2141"/>
        <w:gridCol w:w="1629"/>
        <w:gridCol w:w="1629"/>
      </w:tblGrid>
      <w:tr w:rsidR="005F180B" w:rsidRPr="003A75AB" w14:paraId="72E993C9" w14:textId="77777777" w:rsidTr="004F4BA7">
        <w:tc>
          <w:tcPr>
            <w:tcW w:w="0" w:type="dxa"/>
          </w:tcPr>
          <w:p w14:paraId="5CA3D143" w14:textId="77777777" w:rsidR="009107FE" w:rsidRPr="004F4BA7" w:rsidRDefault="009107FE" w:rsidP="009107FE">
            <w:pPr>
              <w:keepNext/>
              <w:rPr>
                <w:rFonts w:ascii="Arial Narrow" w:hAnsi="Arial Narrow"/>
                <w:sz w:val="24"/>
                <w:szCs w:val="24"/>
              </w:rPr>
            </w:pPr>
          </w:p>
        </w:tc>
        <w:tc>
          <w:tcPr>
            <w:tcW w:w="0" w:type="dxa"/>
            <w:vAlign w:val="center"/>
            <w:hideMark/>
          </w:tcPr>
          <w:p w14:paraId="139FD561"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0" w:type="dxa"/>
            <w:vAlign w:val="center"/>
            <w:hideMark/>
          </w:tcPr>
          <w:p w14:paraId="75C99C23"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0" w:type="dxa"/>
            <w:vAlign w:val="center"/>
            <w:hideMark/>
          </w:tcPr>
          <w:p w14:paraId="5277E9DE" w14:textId="750E4C21"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0" w:type="dxa"/>
            <w:vAlign w:val="center"/>
            <w:hideMark/>
          </w:tcPr>
          <w:p w14:paraId="5D53CCED" w14:textId="636A30E5"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16FABD58" w14:textId="77777777" w:rsidTr="004F4BA7">
        <w:tc>
          <w:tcPr>
            <w:tcW w:w="0" w:type="dxa"/>
            <w:hideMark/>
          </w:tcPr>
          <w:p w14:paraId="05D7713F"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Under 16</w:t>
            </w:r>
          </w:p>
        </w:tc>
        <w:tc>
          <w:tcPr>
            <w:tcW w:w="0" w:type="dxa"/>
            <w:vAlign w:val="center"/>
            <w:hideMark/>
          </w:tcPr>
          <w:p w14:paraId="35202EAB" w14:textId="12ADD995"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17,681</w:t>
            </w:r>
          </w:p>
        </w:tc>
        <w:tc>
          <w:tcPr>
            <w:tcW w:w="0" w:type="dxa"/>
            <w:vAlign w:val="center"/>
            <w:hideMark/>
          </w:tcPr>
          <w:p w14:paraId="2EAB131D" w14:textId="3280E5E6"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21,002</w:t>
            </w:r>
          </w:p>
        </w:tc>
        <w:tc>
          <w:tcPr>
            <w:tcW w:w="0" w:type="dxa"/>
            <w:vAlign w:val="center"/>
            <w:hideMark/>
          </w:tcPr>
          <w:p w14:paraId="740913D4" w14:textId="28A07C04"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3,321</w:t>
            </w:r>
          </w:p>
        </w:tc>
        <w:tc>
          <w:tcPr>
            <w:tcW w:w="0" w:type="dxa"/>
            <w:vAlign w:val="center"/>
            <w:hideMark/>
          </w:tcPr>
          <w:p w14:paraId="1B4A931F" w14:textId="2FC27BC6"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18.8%</w:t>
            </w:r>
          </w:p>
        </w:tc>
      </w:tr>
      <w:tr w:rsidR="005F180B" w:rsidRPr="003A75AB" w14:paraId="7CB24CC2" w14:textId="77777777" w:rsidTr="004F4BA7">
        <w:tc>
          <w:tcPr>
            <w:tcW w:w="0" w:type="dxa"/>
            <w:hideMark/>
          </w:tcPr>
          <w:p w14:paraId="2C3E8B79"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16-64</w:t>
            </w:r>
          </w:p>
        </w:tc>
        <w:tc>
          <w:tcPr>
            <w:tcW w:w="0" w:type="dxa"/>
            <w:vAlign w:val="center"/>
            <w:hideMark/>
          </w:tcPr>
          <w:p w14:paraId="767964C4" w14:textId="531317FF"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55,667</w:t>
            </w:r>
          </w:p>
        </w:tc>
        <w:tc>
          <w:tcPr>
            <w:tcW w:w="0" w:type="dxa"/>
            <w:vAlign w:val="center"/>
            <w:hideMark/>
          </w:tcPr>
          <w:p w14:paraId="2A1B9BCE" w14:textId="1E8C6CE7"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66,384</w:t>
            </w:r>
          </w:p>
        </w:tc>
        <w:tc>
          <w:tcPr>
            <w:tcW w:w="0" w:type="dxa"/>
            <w:vAlign w:val="center"/>
            <w:hideMark/>
          </w:tcPr>
          <w:p w14:paraId="0034F732" w14:textId="0C3A968A"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10,717</w:t>
            </w:r>
          </w:p>
        </w:tc>
        <w:tc>
          <w:tcPr>
            <w:tcW w:w="0" w:type="dxa"/>
            <w:vAlign w:val="center"/>
            <w:hideMark/>
          </w:tcPr>
          <w:p w14:paraId="0AFBE5FA" w14:textId="3EADDD96"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19.3%</w:t>
            </w:r>
          </w:p>
        </w:tc>
      </w:tr>
      <w:tr w:rsidR="005F180B" w:rsidRPr="003A75AB" w14:paraId="0A98D85B" w14:textId="77777777" w:rsidTr="004F4BA7">
        <w:tc>
          <w:tcPr>
            <w:tcW w:w="0" w:type="dxa"/>
            <w:hideMark/>
          </w:tcPr>
          <w:p w14:paraId="5F37ABBF"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65+</w:t>
            </w:r>
          </w:p>
        </w:tc>
        <w:tc>
          <w:tcPr>
            <w:tcW w:w="0" w:type="dxa"/>
            <w:vAlign w:val="center"/>
            <w:hideMark/>
          </w:tcPr>
          <w:p w14:paraId="75C4A410" w14:textId="2F1A98D6"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18,041</w:t>
            </w:r>
          </w:p>
        </w:tc>
        <w:tc>
          <w:tcPr>
            <w:tcW w:w="0" w:type="dxa"/>
            <w:vAlign w:val="center"/>
            <w:hideMark/>
          </w:tcPr>
          <w:p w14:paraId="13D6E650" w14:textId="2A661F50"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28,445</w:t>
            </w:r>
          </w:p>
        </w:tc>
        <w:tc>
          <w:tcPr>
            <w:tcW w:w="0" w:type="dxa"/>
            <w:vAlign w:val="center"/>
            <w:hideMark/>
          </w:tcPr>
          <w:p w14:paraId="364E3F23" w14:textId="6FC8EA17"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10,404</w:t>
            </w:r>
          </w:p>
        </w:tc>
        <w:tc>
          <w:tcPr>
            <w:tcW w:w="0" w:type="dxa"/>
            <w:vAlign w:val="center"/>
            <w:hideMark/>
          </w:tcPr>
          <w:p w14:paraId="72D904C4" w14:textId="09C979F5"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57.7%</w:t>
            </w:r>
          </w:p>
        </w:tc>
      </w:tr>
      <w:tr w:rsidR="005F180B" w:rsidRPr="003A75AB" w14:paraId="194BFA81" w14:textId="77777777" w:rsidTr="004F4BA7">
        <w:tc>
          <w:tcPr>
            <w:tcW w:w="0" w:type="dxa"/>
            <w:hideMark/>
          </w:tcPr>
          <w:p w14:paraId="24B0C5FF" w14:textId="77777777" w:rsidR="00C2129B" w:rsidRPr="004F4BA7" w:rsidRDefault="00C2129B" w:rsidP="00C2129B">
            <w:pPr>
              <w:keepNext/>
              <w:widowControl w:val="0"/>
              <w:rPr>
                <w:rFonts w:ascii="Arial Narrow" w:hAnsi="Arial Narrow"/>
                <w:b/>
                <w:bCs/>
                <w:sz w:val="24"/>
                <w:szCs w:val="24"/>
              </w:rPr>
            </w:pPr>
            <w:r w:rsidRPr="004F4BA7">
              <w:rPr>
                <w:rFonts w:ascii="Arial Narrow" w:hAnsi="Arial Narrow"/>
                <w:b/>
                <w:bCs/>
                <w:sz w:val="24"/>
                <w:szCs w:val="24"/>
              </w:rPr>
              <w:t>Total</w:t>
            </w:r>
          </w:p>
        </w:tc>
        <w:tc>
          <w:tcPr>
            <w:tcW w:w="0" w:type="dxa"/>
            <w:vAlign w:val="center"/>
            <w:hideMark/>
          </w:tcPr>
          <w:p w14:paraId="2CA87E30" w14:textId="11585A63"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91,389</w:t>
            </w:r>
          </w:p>
        </w:tc>
        <w:tc>
          <w:tcPr>
            <w:tcW w:w="0" w:type="dxa"/>
            <w:vAlign w:val="center"/>
            <w:hideMark/>
          </w:tcPr>
          <w:p w14:paraId="56FDB3E7" w14:textId="05904C27"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115,831</w:t>
            </w:r>
          </w:p>
        </w:tc>
        <w:tc>
          <w:tcPr>
            <w:tcW w:w="0" w:type="dxa"/>
            <w:vAlign w:val="center"/>
            <w:hideMark/>
          </w:tcPr>
          <w:p w14:paraId="5DEB9529" w14:textId="0BC632E3"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24,442</w:t>
            </w:r>
          </w:p>
        </w:tc>
        <w:tc>
          <w:tcPr>
            <w:tcW w:w="0" w:type="dxa"/>
            <w:vAlign w:val="center"/>
            <w:hideMark/>
          </w:tcPr>
          <w:p w14:paraId="31C6237B" w14:textId="4D9AE337"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26.7%</w:t>
            </w:r>
          </w:p>
        </w:tc>
      </w:tr>
    </w:tbl>
    <w:p w14:paraId="12D5F205"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34B26469" w14:textId="77777777" w:rsidR="000D2A90" w:rsidRPr="003E6243" w:rsidRDefault="000D2A90" w:rsidP="003D5E23">
      <w:pPr>
        <w:pStyle w:val="Tableheading"/>
        <w:numPr>
          <w:ilvl w:val="0"/>
          <w:numId w:val="0"/>
        </w:numPr>
        <w:ind w:left="794"/>
      </w:pPr>
      <w:r w:rsidRPr="003E6243">
        <w:lastRenderedPageBreak/>
        <w:t>Older persons change 2020 to 2040 by age bands linked to Standard Method – East Cambs</w:t>
      </w:r>
    </w:p>
    <w:tbl>
      <w:tblPr>
        <w:tblStyle w:val="TableGridLight1"/>
        <w:tblW w:w="8845" w:type="dxa"/>
        <w:tblInd w:w="794" w:type="dxa"/>
        <w:tblLook w:val="04A0" w:firstRow="1" w:lastRow="0" w:firstColumn="1" w:lastColumn="0" w:noHBand="0" w:noVBand="1"/>
      </w:tblPr>
      <w:tblGrid>
        <w:gridCol w:w="1769"/>
        <w:gridCol w:w="1769"/>
        <w:gridCol w:w="1769"/>
        <w:gridCol w:w="1769"/>
        <w:gridCol w:w="1769"/>
      </w:tblGrid>
      <w:tr w:rsidR="00291D89" w:rsidRPr="00C2129B" w14:paraId="25B5633F" w14:textId="77777777" w:rsidTr="004F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3AC2EBA2" w14:textId="77777777" w:rsidR="000D2A90" w:rsidRPr="004F4BA7" w:rsidRDefault="000D2A90" w:rsidP="008B0419">
            <w:pPr>
              <w:keepNext/>
              <w:spacing w:line="300" w:lineRule="auto"/>
              <w:rPr>
                <w:color w:val="auto"/>
                <w:lang w:eastAsia="en-GB"/>
              </w:rPr>
            </w:pPr>
            <w:r w:rsidRPr="004F4BA7">
              <w:rPr>
                <w:color w:val="auto"/>
                <w:lang w:eastAsia="en-GB"/>
              </w:rPr>
              <w:t> </w:t>
            </w:r>
          </w:p>
        </w:tc>
        <w:tc>
          <w:tcPr>
            <w:tcW w:w="1769" w:type="dxa"/>
            <w:hideMark/>
          </w:tcPr>
          <w:p w14:paraId="62D6775F"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2020</w:t>
            </w:r>
          </w:p>
        </w:tc>
        <w:tc>
          <w:tcPr>
            <w:tcW w:w="1769" w:type="dxa"/>
            <w:hideMark/>
          </w:tcPr>
          <w:p w14:paraId="58AE6954"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w:t>
            </w:r>
          </w:p>
        </w:tc>
        <w:tc>
          <w:tcPr>
            <w:tcW w:w="1769" w:type="dxa"/>
            <w:hideMark/>
          </w:tcPr>
          <w:p w14:paraId="360B91FC"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Change</w:t>
            </w:r>
          </w:p>
        </w:tc>
        <w:tc>
          <w:tcPr>
            <w:tcW w:w="1769" w:type="dxa"/>
            <w:hideMark/>
          </w:tcPr>
          <w:p w14:paraId="74EC3B8C" w14:textId="7BE2A79D"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xml:space="preserve">% </w:t>
            </w:r>
            <w:r w:rsidR="00552654" w:rsidRPr="004F4BA7">
              <w:rPr>
                <w:color w:val="auto"/>
                <w:lang w:eastAsia="en-GB"/>
              </w:rPr>
              <w:t>C</w:t>
            </w:r>
            <w:r w:rsidRPr="004F4BA7">
              <w:rPr>
                <w:color w:val="auto"/>
                <w:lang w:eastAsia="en-GB"/>
              </w:rPr>
              <w:t>hange</w:t>
            </w:r>
          </w:p>
        </w:tc>
      </w:tr>
      <w:tr w:rsidR="0030608F" w:rsidRPr="00C2129B" w14:paraId="5AA715C0"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3AAD2541" w14:textId="77777777" w:rsidR="0030608F" w:rsidRPr="00C2129B" w:rsidRDefault="0030608F" w:rsidP="008B0419">
            <w:pPr>
              <w:keepNext/>
              <w:spacing w:line="300" w:lineRule="auto"/>
              <w:rPr>
                <w:color w:val="000000"/>
                <w:lang w:eastAsia="en-GB"/>
              </w:rPr>
            </w:pPr>
            <w:r w:rsidRPr="00C2129B">
              <w:rPr>
                <w:color w:val="000000"/>
                <w:lang w:eastAsia="en-GB"/>
              </w:rPr>
              <w:t>Under 65</w:t>
            </w:r>
          </w:p>
        </w:tc>
        <w:tc>
          <w:tcPr>
            <w:tcW w:w="1769" w:type="dxa"/>
            <w:hideMark/>
          </w:tcPr>
          <w:p w14:paraId="1F7AFF63" w14:textId="4A0B8A06"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73,348</w:t>
            </w:r>
          </w:p>
        </w:tc>
        <w:tc>
          <w:tcPr>
            <w:tcW w:w="1769" w:type="dxa"/>
            <w:hideMark/>
          </w:tcPr>
          <w:p w14:paraId="4CA44B76" w14:textId="186C40C2"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87,386</w:t>
            </w:r>
          </w:p>
        </w:tc>
        <w:tc>
          <w:tcPr>
            <w:tcW w:w="1769" w:type="dxa"/>
            <w:hideMark/>
          </w:tcPr>
          <w:p w14:paraId="55EFC72E" w14:textId="0BFD08B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14,038</w:t>
            </w:r>
          </w:p>
        </w:tc>
        <w:tc>
          <w:tcPr>
            <w:tcW w:w="1769" w:type="dxa"/>
            <w:hideMark/>
          </w:tcPr>
          <w:p w14:paraId="6AB91D54" w14:textId="05448E88"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19.1%</w:t>
            </w:r>
          </w:p>
        </w:tc>
      </w:tr>
      <w:tr w:rsidR="0030608F" w:rsidRPr="00C2129B" w14:paraId="78BACCAC"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56FA58B7" w14:textId="77777777" w:rsidR="0030608F" w:rsidRPr="00C2129B" w:rsidRDefault="0030608F" w:rsidP="008B0419">
            <w:pPr>
              <w:keepNext/>
              <w:spacing w:line="300" w:lineRule="auto"/>
              <w:rPr>
                <w:color w:val="000000"/>
                <w:lang w:eastAsia="en-GB"/>
              </w:rPr>
            </w:pPr>
            <w:r w:rsidRPr="00C2129B">
              <w:rPr>
                <w:color w:val="000000"/>
                <w:lang w:eastAsia="en-GB"/>
              </w:rPr>
              <w:t>65-74</w:t>
            </w:r>
          </w:p>
        </w:tc>
        <w:tc>
          <w:tcPr>
            <w:tcW w:w="1769" w:type="dxa"/>
            <w:hideMark/>
          </w:tcPr>
          <w:p w14:paraId="5D2A48E2" w14:textId="321CAB68"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9,687</w:t>
            </w:r>
          </w:p>
        </w:tc>
        <w:tc>
          <w:tcPr>
            <w:tcW w:w="1769" w:type="dxa"/>
            <w:hideMark/>
          </w:tcPr>
          <w:p w14:paraId="3A3AEF3A" w14:textId="10E890DF"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13,534</w:t>
            </w:r>
          </w:p>
        </w:tc>
        <w:tc>
          <w:tcPr>
            <w:tcW w:w="1769" w:type="dxa"/>
            <w:hideMark/>
          </w:tcPr>
          <w:p w14:paraId="01F857D8" w14:textId="450A778E"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3,848</w:t>
            </w:r>
          </w:p>
        </w:tc>
        <w:tc>
          <w:tcPr>
            <w:tcW w:w="1769" w:type="dxa"/>
            <w:hideMark/>
          </w:tcPr>
          <w:p w14:paraId="2F4EAFCB" w14:textId="3D99536F"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39.7%</w:t>
            </w:r>
          </w:p>
        </w:tc>
      </w:tr>
      <w:tr w:rsidR="0030608F" w:rsidRPr="00C2129B" w14:paraId="41FAA15A"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314ACFBB" w14:textId="77777777" w:rsidR="0030608F" w:rsidRPr="00C2129B" w:rsidRDefault="0030608F" w:rsidP="008B0419">
            <w:pPr>
              <w:keepNext/>
              <w:spacing w:line="300" w:lineRule="auto"/>
              <w:rPr>
                <w:color w:val="000000"/>
                <w:lang w:eastAsia="en-GB"/>
              </w:rPr>
            </w:pPr>
            <w:r w:rsidRPr="00C2129B">
              <w:rPr>
                <w:color w:val="000000"/>
                <w:lang w:eastAsia="en-GB"/>
              </w:rPr>
              <w:t>75-84</w:t>
            </w:r>
          </w:p>
        </w:tc>
        <w:tc>
          <w:tcPr>
            <w:tcW w:w="1769" w:type="dxa"/>
            <w:hideMark/>
          </w:tcPr>
          <w:p w14:paraId="1E100C7B" w14:textId="3E22A2C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5,924</w:t>
            </w:r>
          </w:p>
        </w:tc>
        <w:tc>
          <w:tcPr>
            <w:tcW w:w="1769" w:type="dxa"/>
            <w:hideMark/>
          </w:tcPr>
          <w:p w14:paraId="68BB9276" w14:textId="51CBF493"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10,079</w:t>
            </w:r>
          </w:p>
        </w:tc>
        <w:tc>
          <w:tcPr>
            <w:tcW w:w="1769" w:type="dxa"/>
            <w:hideMark/>
          </w:tcPr>
          <w:p w14:paraId="7EEEB984" w14:textId="18729966"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4,155</w:t>
            </w:r>
          </w:p>
        </w:tc>
        <w:tc>
          <w:tcPr>
            <w:tcW w:w="1769" w:type="dxa"/>
            <w:hideMark/>
          </w:tcPr>
          <w:p w14:paraId="274FF870" w14:textId="7F73AA67"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70.1%</w:t>
            </w:r>
          </w:p>
        </w:tc>
      </w:tr>
      <w:tr w:rsidR="0030608F" w:rsidRPr="00C2129B" w14:paraId="45C3BB88"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470CCA2B" w14:textId="77777777" w:rsidR="0030608F" w:rsidRPr="00C2129B" w:rsidRDefault="0030608F" w:rsidP="008B0419">
            <w:pPr>
              <w:keepNext/>
              <w:spacing w:line="300" w:lineRule="auto"/>
              <w:rPr>
                <w:color w:val="000000"/>
                <w:lang w:eastAsia="en-GB"/>
              </w:rPr>
            </w:pPr>
            <w:r w:rsidRPr="00C2129B">
              <w:rPr>
                <w:color w:val="000000"/>
                <w:lang w:eastAsia="en-GB"/>
              </w:rPr>
              <w:t>85+</w:t>
            </w:r>
          </w:p>
        </w:tc>
        <w:tc>
          <w:tcPr>
            <w:tcW w:w="1769" w:type="dxa"/>
            <w:hideMark/>
          </w:tcPr>
          <w:p w14:paraId="50B4B09B" w14:textId="135D3525"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2,430</w:t>
            </w:r>
          </w:p>
        </w:tc>
        <w:tc>
          <w:tcPr>
            <w:tcW w:w="1769" w:type="dxa"/>
            <w:hideMark/>
          </w:tcPr>
          <w:p w14:paraId="3EE8141C" w14:textId="79CC8C80"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4,831</w:t>
            </w:r>
          </w:p>
        </w:tc>
        <w:tc>
          <w:tcPr>
            <w:tcW w:w="1769" w:type="dxa"/>
            <w:hideMark/>
          </w:tcPr>
          <w:p w14:paraId="68583BEE" w14:textId="37371651"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2,401</w:t>
            </w:r>
          </w:p>
        </w:tc>
        <w:tc>
          <w:tcPr>
            <w:tcW w:w="1769" w:type="dxa"/>
            <w:hideMark/>
          </w:tcPr>
          <w:p w14:paraId="1BFFF76C" w14:textId="575FF92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98.8%</w:t>
            </w:r>
          </w:p>
        </w:tc>
      </w:tr>
      <w:tr w:rsidR="0030608F" w:rsidRPr="00C2129B" w14:paraId="5D1A8AAC"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00FE2D52" w14:textId="77777777" w:rsidR="0030608F" w:rsidRPr="004F4BA7" w:rsidRDefault="0030608F" w:rsidP="008B0419">
            <w:pPr>
              <w:keepNext/>
              <w:spacing w:line="300" w:lineRule="auto"/>
              <w:rPr>
                <w:b/>
                <w:bCs/>
                <w:color w:val="000000"/>
                <w:lang w:eastAsia="en-GB"/>
              </w:rPr>
            </w:pPr>
            <w:r w:rsidRPr="004F4BA7">
              <w:rPr>
                <w:b/>
                <w:bCs/>
                <w:color w:val="000000"/>
                <w:lang w:eastAsia="en-GB"/>
              </w:rPr>
              <w:t>Total</w:t>
            </w:r>
          </w:p>
        </w:tc>
        <w:tc>
          <w:tcPr>
            <w:tcW w:w="1769" w:type="dxa"/>
            <w:hideMark/>
          </w:tcPr>
          <w:p w14:paraId="321D5F42" w14:textId="17E6B500"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91,389</w:t>
            </w:r>
          </w:p>
        </w:tc>
        <w:tc>
          <w:tcPr>
            <w:tcW w:w="1769" w:type="dxa"/>
            <w:hideMark/>
          </w:tcPr>
          <w:p w14:paraId="2BDC30DC" w14:textId="08BA7454"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115,831</w:t>
            </w:r>
          </w:p>
        </w:tc>
        <w:tc>
          <w:tcPr>
            <w:tcW w:w="1769" w:type="dxa"/>
            <w:hideMark/>
          </w:tcPr>
          <w:p w14:paraId="394B2AA5" w14:textId="44B13EE2"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24,442</w:t>
            </w:r>
          </w:p>
        </w:tc>
        <w:tc>
          <w:tcPr>
            <w:tcW w:w="1769" w:type="dxa"/>
            <w:hideMark/>
          </w:tcPr>
          <w:p w14:paraId="13AFDF69" w14:textId="5EC631A7"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26.7%</w:t>
            </w:r>
          </w:p>
        </w:tc>
      </w:tr>
      <w:tr w:rsidR="0030608F" w:rsidRPr="00C2129B" w14:paraId="56295B5A"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5E46C5EB" w14:textId="77777777" w:rsidR="0030608F" w:rsidRPr="00C2129B" w:rsidRDefault="0030608F" w:rsidP="008B0419">
            <w:pPr>
              <w:keepNext/>
              <w:spacing w:line="300" w:lineRule="auto"/>
              <w:rPr>
                <w:color w:val="000000"/>
                <w:lang w:eastAsia="en-GB"/>
              </w:rPr>
            </w:pPr>
            <w:r w:rsidRPr="00C2129B">
              <w:rPr>
                <w:color w:val="000000"/>
                <w:lang w:eastAsia="en-GB"/>
              </w:rPr>
              <w:t>65+</w:t>
            </w:r>
          </w:p>
        </w:tc>
        <w:tc>
          <w:tcPr>
            <w:tcW w:w="1769" w:type="dxa"/>
            <w:hideMark/>
          </w:tcPr>
          <w:p w14:paraId="5C23B59D" w14:textId="61E94607"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18,041</w:t>
            </w:r>
          </w:p>
        </w:tc>
        <w:tc>
          <w:tcPr>
            <w:tcW w:w="1769" w:type="dxa"/>
            <w:hideMark/>
          </w:tcPr>
          <w:p w14:paraId="60FB41CB" w14:textId="4D305821"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28,445</w:t>
            </w:r>
          </w:p>
        </w:tc>
        <w:tc>
          <w:tcPr>
            <w:tcW w:w="1769" w:type="dxa"/>
            <w:hideMark/>
          </w:tcPr>
          <w:p w14:paraId="2217E8F5" w14:textId="52B1BECE"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10,404</w:t>
            </w:r>
          </w:p>
        </w:tc>
        <w:tc>
          <w:tcPr>
            <w:tcW w:w="1769" w:type="dxa"/>
            <w:hideMark/>
          </w:tcPr>
          <w:p w14:paraId="0A50BB2D" w14:textId="07F1D65B"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57.7%</w:t>
            </w:r>
          </w:p>
        </w:tc>
      </w:tr>
    </w:tbl>
    <w:p w14:paraId="0BA279C5" w14:textId="77777777" w:rsidR="000D2A90" w:rsidRPr="00B35A8B" w:rsidRDefault="000D2A90" w:rsidP="000D2A90">
      <w:pPr>
        <w:spacing w:after="120" w:line="360" w:lineRule="auto"/>
        <w:ind w:left="794"/>
        <w:rPr>
          <w:sz w:val="24"/>
          <w:szCs w:val="24"/>
        </w:rPr>
      </w:pPr>
      <w:r w:rsidRPr="00B35A8B">
        <w:rPr>
          <w:sz w:val="24"/>
          <w:szCs w:val="24"/>
        </w:rPr>
        <w:t>Source: Demographic projections</w:t>
      </w:r>
    </w:p>
    <w:p w14:paraId="19C718EC" w14:textId="77777777" w:rsidR="00270765" w:rsidRPr="003E6243" w:rsidRDefault="00270765" w:rsidP="003D5E23">
      <w:pPr>
        <w:pStyle w:val="Tableheading"/>
        <w:numPr>
          <w:ilvl w:val="0"/>
          <w:numId w:val="0"/>
        </w:numPr>
        <w:ind w:left="794"/>
      </w:pPr>
      <w:r w:rsidRPr="003E6243">
        <w:t>Population change 2020 to 2040 by five-year age bands linked to Standard Method – Fenland</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C2129B" w14:paraId="22D9D7E8" w14:textId="77777777" w:rsidTr="004F4BA7">
        <w:tc>
          <w:tcPr>
            <w:tcW w:w="1305" w:type="dxa"/>
          </w:tcPr>
          <w:p w14:paraId="0613D61A" w14:textId="77777777" w:rsidR="009107FE" w:rsidRPr="004F4BA7" w:rsidRDefault="009107FE" w:rsidP="009107FE">
            <w:pPr>
              <w:keepNext/>
              <w:rPr>
                <w:rFonts w:ascii="Arial Narrow" w:hAnsi="Arial Narrow"/>
                <w:sz w:val="24"/>
                <w:szCs w:val="24"/>
              </w:rPr>
            </w:pPr>
          </w:p>
        </w:tc>
        <w:tc>
          <w:tcPr>
            <w:tcW w:w="1885" w:type="dxa"/>
            <w:vAlign w:val="center"/>
            <w:hideMark/>
          </w:tcPr>
          <w:p w14:paraId="4209580C"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7B838B77"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008A3C89" w14:textId="5E647AD3"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52410140" w14:textId="41453DDA"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C2129B" w14:paraId="313A296A" w14:textId="77777777" w:rsidTr="004F4BA7">
        <w:tc>
          <w:tcPr>
            <w:tcW w:w="1305" w:type="dxa"/>
            <w:hideMark/>
          </w:tcPr>
          <w:p w14:paraId="1A3CB48D"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Under 5</w:t>
            </w:r>
          </w:p>
        </w:tc>
        <w:tc>
          <w:tcPr>
            <w:tcW w:w="1885" w:type="dxa"/>
            <w:vAlign w:val="center"/>
            <w:hideMark/>
          </w:tcPr>
          <w:p w14:paraId="25E753D3" w14:textId="63B91BA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5,512</w:t>
            </w:r>
          </w:p>
        </w:tc>
        <w:tc>
          <w:tcPr>
            <w:tcW w:w="1885" w:type="dxa"/>
            <w:vAlign w:val="center"/>
            <w:hideMark/>
          </w:tcPr>
          <w:p w14:paraId="36878DE2" w14:textId="4F66B12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6,316</w:t>
            </w:r>
          </w:p>
        </w:tc>
        <w:tc>
          <w:tcPr>
            <w:tcW w:w="1885" w:type="dxa"/>
            <w:vAlign w:val="center"/>
            <w:hideMark/>
          </w:tcPr>
          <w:p w14:paraId="095AF4D7" w14:textId="31A71D0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804</w:t>
            </w:r>
          </w:p>
        </w:tc>
        <w:tc>
          <w:tcPr>
            <w:tcW w:w="1885" w:type="dxa"/>
            <w:vAlign w:val="center"/>
            <w:hideMark/>
          </w:tcPr>
          <w:p w14:paraId="016F9880" w14:textId="73126D8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14.6%</w:t>
            </w:r>
          </w:p>
        </w:tc>
      </w:tr>
      <w:tr w:rsidR="005F180B" w:rsidRPr="00C2129B" w14:paraId="3382FF6A" w14:textId="77777777" w:rsidTr="004F4BA7">
        <w:tc>
          <w:tcPr>
            <w:tcW w:w="1305" w:type="dxa"/>
            <w:hideMark/>
          </w:tcPr>
          <w:p w14:paraId="1F5382DB"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5-9</w:t>
            </w:r>
          </w:p>
        </w:tc>
        <w:tc>
          <w:tcPr>
            <w:tcW w:w="1885" w:type="dxa"/>
            <w:vAlign w:val="center"/>
            <w:hideMark/>
          </w:tcPr>
          <w:p w14:paraId="61CFC524" w14:textId="25011D9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5,930</w:t>
            </w:r>
          </w:p>
        </w:tc>
        <w:tc>
          <w:tcPr>
            <w:tcW w:w="1885" w:type="dxa"/>
            <w:vAlign w:val="center"/>
            <w:hideMark/>
          </w:tcPr>
          <w:p w14:paraId="7ACAD366" w14:textId="36D9681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6,244</w:t>
            </w:r>
          </w:p>
        </w:tc>
        <w:tc>
          <w:tcPr>
            <w:tcW w:w="1885" w:type="dxa"/>
            <w:vAlign w:val="center"/>
            <w:hideMark/>
          </w:tcPr>
          <w:p w14:paraId="521CE5FE" w14:textId="4D7B680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315</w:t>
            </w:r>
          </w:p>
        </w:tc>
        <w:tc>
          <w:tcPr>
            <w:tcW w:w="1885" w:type="dxa"/>
            <w:vAlign w:val="center"/>
            <w:hideMark/>
          </w:tcPr>
          <w:p w14:paraId="39B01784" w14:textId="1253232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5.3%</w:t>
            </w:r>
          </w:p>
        </w:tc>
      </w:tr>
      <w:tr w:rsidR="005F180B" w:rsidRPr="00C2129B" w14:paraId="0E55AD38" w14:textId="77777777" w:rsidTr="004F4BA7">
        <w:tc>
          <w:tcPr>
            <w:tcW w:w="1305" w:type="dxa"/>
            <w:hideMark/>
          </w:tcPr>
          <w:p w14:paraId="438D64E4"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10-14</w:t>
            </w:r>
          </w:p>
        </w:tc>
        <w:tc>
          <w:tcPr>
            <w:tcW w:w="1885" w:type="dxa"/>
            <w:vAlign w:val="center"/>
            <w:hideMark/>
          </w:tcPr>
          <w:p w14:paraId="22646170" w14:textId="1A772DC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5,610</w:t>
            </w:r>
          </w:p>
        </w:tc>
        <w:tc>
          <w:tcPr>
            <w:tcW w:w="1885" w:type="dxa"/>
            <w:vAlign w:val="center"/>
            <w:hideMark/>
          </w:tcPr>
          <w:p w14:paraId="7FFABAA9" w14:textId="6924437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6,238</w:t>
            </w:r>
          </w:p>
        </w:tc>
        <w:tc>
          <w:tcPr>
            <w:tcW w:w="1885" w:type="dxa"/>
            <w:vAlign w:val="center"/>
            <w:hideMark/>
          </w:tcPr>
          <w:p w14:paraId="50D7CF58" w14:textId="2F3D4F6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629</w:t>
            </w:r>
          </w:p>
        </w:tc>
        <w:tc>
          <w:tcPr>
            <w:tcW w:w="1885" w:type="dxa"/>
            <w:vAlign w:val="center"/>
            <w:hideMark/>
          </w:tcPr>
          <w:p w14:paraId="023A36D1" w14:textId="5E1CD39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11.2%</w:t>
            </w:r>
          </w:p>
        </w:tc>
      </w:tr>
      <w:tr w:rsidR="005F180B" w:rsidRPr="00C2129B" w14:paraId="0DF747D3" w14:textId="77777777" w:rsidTr="004F4BA7">
        <w:tc>
          <w:tcPr>
            <w:tcW w:w="1305" w:type="dxa"/>
            <w:hideMark/>
          </w:tcPr>
          <w:p w14:paraId="07E30727"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15-19</w:t>
            </w:r>
          </w:p>
        </w:tc>
        <w:tc>
          <w:tcPr>
            <w:tcW w:w="1885" w:type="dxa"/>
            <w:vAlign w:val="center"/>
            <w:hideMark/>
          </w:tcPr>
          <w:p w14:paraId="2B962A6D" w14:textId="12EE8DF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5,163</w:t>
            </w:r>
          </w:p>
        </w:tc>
        <w:tc>
          <w:tcPr>
            <w:tcW w:w="1885" w:type="dxa"/>
            <w:vAlign w:val="center"/>
            <w:hideMark/>
          </w:tcPr>
          <w:p w14:paraId="3AE66779" w14:textId="64C9207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6,123</w:t>
            </w:r>
          </w:p>
        </w:tc>
        <w:tc>
          <w:tcPr>
            <w:tcW w:w="1885" w:type="dxa"/>
            <w:vAlign w:val="center"/>
            <w:hideMark/>
          </w:tcPr>
          <w:p w14:paraId="341C5890" w14:textId="12EF1FA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960</w:t>
            </w:r>
          </w:p>
        </w:tc>
        <w:tc>
          <w:tcPr>
            <w:tcW w:w="1885" w:type="dxa"/>
            <w:vAlign w:val="center"/>
            <w:hideMark/>
          </w:tcPr>
          <w:p w14:paraId="3E7E4A5B" w14:textId="0D6C173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18.6%</w:t>
            </w:r>
          </w:p>
        </w:tc>
      </w:tr>
      <w:tr w:rsidR="005F180B" w:rsidRPr="00C2129B" w14:paraId="069CFD4A" w14:textId="77777777" w:rsidTr="004F4BA7">
        <w:tc>
          <w:tcPr>
            <w:tcW w:w="1305" w:type="dxa"/>
            <w:hideMark/>
          </w:tcPr>
          <w:p w14:paraId="628B170F"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20-24</w:t>
            </w:r>
          </w:p>
        </w:tc>
        <w:tc>
          <w:tcPr>
            <w:tcW w:w="1885" w:type="dxa"/>
            <w:vAlign w:val="center"/>
            <w:hideMark/>
          </w:tcPr>
          <w:p w14:paraId="0D007724" w14:textId="06C3869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5,212</w:t>
            </w:r>
          </w:p>
        </w:tc>
        <w:tc>
          <w:tcPr>
            <w:tcW w:w="1885" w:type="dxa"/>
            <w:vAlign w:val="center"/>
            <w:hideMark/>
          </w:tcPr>
          <w:p w14:paraId="65E747A3" w14:textId="160F91D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5,703</w:t>
            </w:r>
          </w:p>
        </w:tc>
        <w:tc>
          <w:tcPr>
            <w:tcW w:w="1885" w:type="dxa"/>
            <w:vAlign w:val="center"/>
            <w:hideMark/>
          </w:tcPr>
          <w:p w14:paraId="74B434D1" w14:textId="6E59F0E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491</w:t>
            </w:r>
          </w:p>
        </w:tc>
        <w:tc>
          <w:tcPr>
            <w:tcW w:w="1885" w:type="dxa"/>
            <w:vAlign w:val="center"/>
            <w:hideMark/>
          </w:tcPr>
          <w:p w14:paraId="405B38C0" w14:textId="0B7B3F3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9.4%</w:t>
            </w:r>
          </w:p>
        </w:tc>
      </w:tr>
      <w:tr w:rsidR="005F180B" w:rsidRPr="00C2129B" w14:paraId="59EDF1BB" w14:textId="77777777" w:rsidTr="004F4BA7">
        <w:tc>
          <w:tcPr>
            <w:tcW w:w="1305" w:type="dxa"/>
            <w:hideMark/>
          </w:tcPr>
          <w:p w14:paraId="4FADA3B3"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25-29</w:t>
            </w:r>
          </w:p>
        </w:tc>
        <w:tc>
          <w:tcPr>
            <w:tcW w:w="1885" w:type="dxa"/>
            <w:vAlign w:val="center"/>
            <w:hideMark/>
          </w:tcPr>
          <w:p w14:paraId="536DDD1F" w14:textId="1235A39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6,181</w:t>
            </w:r>
          </w:p>
        </w:tc>
        <w:tc>
          <w:tcPr>
            <w:tcW w:w="1885" w:type="dxa"/>
            <w:vAlign w:val="center"/>
            <w:hideMark/>
          </w:tcPr>
          <w:p w14:paraId="38C8D8F6" w14:textId="2ED078B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6,835</w:t>
            </w:r>
          </w:p>
        </w:tc>
        <w:tc>
          <w:tcPr>
            <w:tcW w:w="1885" w:type="dxa"/>
            <w:vAlign w:val="center"/>
            <w:hideMark/>
          </w:tcPr>
          <w:p w14:paraId="0C382206" w14:textId="0EB4078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654</w:t>
            </w:r>
          </w:p>
        </w:tc>
        <w:tc>
          <w:tcPr>
            <w:tcW w:w="1885" w:type="dxa"/>
            <w:vAlign w:val="center"/>
            <w:hideMark/>
          </w:tcPr>
          <w:p w14:paraId="607DECAF" w14:textId="2B91BA5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10.6%</w:t>
            </w:r>
          </w:p>
        </w:tc>
      </w:tr>
      <w:tr w:rsidR="005F180B" w:rsidRPr="00C2129B" w14:paraId="19C43057" w14:textId="77777777" w:rsidTr="004F4BA7">
        <w:tc>
          <w:tcPr>
            <w:tcW w:w="1305" w:type="dxa"/>
            <w:hideMark/>
          </w:tcPr>
          <w:p w14:paraId="185F6BF3"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30-34</w:t>
            </w:r>
          </w:p>
        </w:tc>
        <w:tc>
          <w:tcPr>
            <w:tcW w:w="1885" w:type="dxa"/>
            <w:vAlign w:val="center"/>
            <w:hideMark/>
          </w:tcPr>
          <w:p w14:paraId="1FBD1B07" w14:textId="10A6252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6,344</w:t>
            </w:r>
          </w:p>
        </w:tc>
        <w:tc>
          <w:tcPr>
            <w:tcW w:w="1885" w:type="dxa"/>
            <w:vAlign w:val="center"/>
            <w:hideMark/>
          </w:tcPr>
          <w:p w14:paraId="34C2958A" w14:textId="50EAF2B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6,820</w:t>
            </w:r>
          </w:p>
        </w:tc>
        <w:tc>
          <w:tcPr>
            <w:tcW w:w="1885" w:type="dxa"/>
            <w:vAlign w:val="center"/>
            <w:hideMark/>
          </w:tcPr>
          <w:p w14:paraId="27EF993D" w14:textId="606E829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476</w:t>
            </w:r>
          </w:p>
        </w:tc>
        <w:tc>
          <w:tcPr>
            <w:tcW w:w="1885" w:type="dxa"/>
            <w:vAlign w:val="center"/>
            <w:hideMark/>
          </w:tcPr>
          <w:p w14:paraId="2DD6854A" w14:textId="0A94BD7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7.5%</w:t>
            </w:r>
          </w:p>
        </w:tc>
      </w:tr>
      <w:tr w:rsidR="005F180B" w:rsidRPr="00C2129B" w14:paraId="2BB29F7B" w14:textId="77777777" w:rsidTr="004F4BA7">
        <w:tc>
          <w:tcPr>
            <w:tcW w:w="1305" w:type="dxa"/>
            <w:hideMark/>
          </w:tcPr>
          <w:p w14:paraId="167F45E3"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35-39</w:t>
            </w:r>
          </w:p>
        </w:tc>
        <w:tc>
          <w:tcPr>
            <w:tcW w:w="1885" w:type="dxa"/>
            <w:vAlign w:val="center"/>
            <w:hideMark/>
          </w:tcPr>
          <w:p w14:paraId="2BA8C57F" w14:textId="0735333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6,122</w:t>
            </w:r>
          </w:p>
        </w:tc>
        <w:tc>
          <w:tcPr>
            <w:tcW w:w="1885" w:type="dxa"/>
            <w:vAlign w:val="center"/>
            <w:hideMark/>
          </w:tcPr>
          <w:p w14:paraId="04AD5D2D" w14:textId="1EFA3BD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6,347</w:t>
            </w:r>
          </w:p>
        </w:tc>
        <w:tc>
          <w:tcPr>
            <w:tcW w:w="1885" w:type="dxa"/>
            <w:vAlign w:val="center"/>
            <w:hideMark/>
          </w:tcPr>
          <w:p w14:paraId="09DC3821" w14:textId="00D67AC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225</w:t>
            </w:r>
          </w:p>
        </w:tc>
        <w:tc>
          <w:tcPr>
            <w:tcW w:w="1885" w:type="dxa"/>
            <w:vAlign w:val="center"/>
            <w:hideMark/>
          </w:tcPr>
          <w:p w14:paraId="606206FA" w14:textId="3F31E03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3.7%</w:t>
            </w:r>
          </w:p>
        </w:tc>
      </w:tr>
      <w:tr w:rsidR="005F180B" w:rsidRPr="00C2129B" w14:paraId="09C4CAAF" w14:textId="77777777" w:rsidTr="004F4BA7">
        <w:tc>
          <w:tcPr>
            <w:tcW w:w="1305" w:type="dxa"/>
            <w:hideMark/>
          </w:tcPr>
          <w:p w14:paraId="7E9CF26B"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40-44</w:t>
            </w:r>
          </w:p>
        </w:tc>
        <w:tc>
          <w:tcPr>
            <w:tcW w:w="1885" w:type="dxa"/>
            <w:vAlign w:val="center"/>
            <w:hideMark/>
          </w:tcPr>
          <w:p w14:paraId="660CF0AC" w14:textId="777289D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5,746</w:t>
            </w:r>
          </w:p>
        </w:tc>
        <w:tc>
          <w:tcPr>
            <w:tcW w:w="1885" w:type="dxa"/>
            <w:vAlign w:val="center"/>
            <w:hideMark/>
          </w:tcPr>
          <w:p w14:paraId="1979F5CA" w14:textId="001F2B2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6,676</w:t>
            </w:r>
          </w:p>
        </w:tc>
        <w:tc>
          <w:tcPr>
            <w:tcW w:w="1885" w:type="dxa"/>
            <w:vAlign w:val="center"/>
            <w:hideMark/>
          </w:tcPr>
          <w:p w14:paraId="76D71129" w14:textId="46C7C24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930</w:t>
            </w:r>
          </w:p>
        </w:tc>
        <w:tc>
          <w:tcPr>
            <w:tcW w:w="1885" w:type="dxa"/>
            <w:vAlign w:val="center"/>
            <w:hideMark/>
          </w:tcPr>
          <w:p w14:paraId="33BA3660" w14:textId="7875C7D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16.2%</w:t>
            </w:r>
          </w:p>
        </w:tc>
      </w:tr>
      <w:tr w:rsidR="005F180B" w:rsidRPr="00C2129B" w14:paraId="237B7311" w14:textId="77777777" w:rsidTr="004F4BA7">
        <w:tc>
          <w:tcPr>
            <w:tcW w:w="1305" w:type="dxa"/>
            <w:hideMark/>
          </w:tcPr>
          <w:p w14:paraId="5DA04BD4"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45-49</w:t>
            </w:r>
          </w:p>
        </w:tc>
        <w:tc>
          <w:tcPr>
            <w:tcW w:w="1885" w:type="dxa"/>
            <w:vAlign w:val="center"/>
            <w:hideMark/>
          </w:tcPr>
          <w:p w14:paraId="6989DCF4" w14:textId="59811A8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6,663</w:t>
            </w:r>
          </w:p>
        </w:tc>
        <w:tc>
          <w:tcPr>
            <w:tcW w:w="1885" w:type="dxa"/>
            <w:vAlign w:val="center"/>
            <w:hideMark/>
          </w:tcPr>
          <w:p w14:paraId="68EE6DC8" w14:textId="48E2FA7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7,147</w:t>
            </w:r>
          </w:p>
        </w:tc>
        <w:tc>
          <w:tcPr>
            <w:tcW w:w="1885" w:type="dxa"/>
            <w:vAlign w:val="center"/>
            <w:hideMark/>
          </w:tcPr>
          <w:p w14:paraId="1DF67623" w14:textId="46AF902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484</w:t>
            </w:r>
          </w:p>
        </w:tc>
        <w:tc>
          <w:tcPr>
            <w:tcW w:w="1885" w:type="dxa"/>
            <w:vAlign w:val="center"/>
            <w:hideMark/>
          </w:tcPr>
          <w:p w14:paraId="131EE673" w14:textId="5839273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7.3%</w:t>
            </w:r>
          </w:p>
        </w:tc>
      </w:tr>
      <w:tr w:rsidR="005F180B" w:rsidRPr="00C2129B" w14:paraId="768D89C7" w14:textId="77777777" w:rsidTr="004F4BA7">
        <w:tc>
          <w:tcPr>
            <w:tcW w:w="1305" w:type="dxa"/>
            <w:hideMark/>
          </w:tcPr>
          <w:p w14:paraId="51FA09DF"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50-54</w:t>
            </w:r>
          </w:p>
        </w:tc>
        <w:tc>
          <w:tcPr>
            <w:tcW w:w="1885" w:type="dxa"/>
            <w:vAlign w:val="center"/>
            <w:hideMark/>
          </w:tcPr>
          <w:p w14:paraId="0059A0C8" w14:textId="23A2520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7,272</w:t>
            </w:r>
          </w:p>
        </w:tc>
        <w:tc>
          <w:tcPr>
            <w:tcW w:w="1885" w:type="dxa"/>
            <w:vAlign w:val="center"/>
            <w:hideMark/>
          </w:tcPr>
          <w:p w14:paraId="0979DA4C" w14:textId="2531C9B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7,554</w:t>
            </w:r>
          </w:p>
        </w:tc>
        <w:tc>
          <w:tcPr>
            <w:tcW w:w="1885" w:type="dxa"/>
            <w:vAlign w:val="center"/>
            <w:hideMark/>
          </w:tcPr>
          <w:p w14:paraId="22B84D96" w14:textId="0214059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282</w:t>
            </w:r>
          </w:p>
        </w:tc>
        <w:tc>
          <w:tcPr>
            <w:tcW w:w="1885" w:type="dxa"/>
            <w:vAlign w:val="center"/>
            <w:hideMark/>
          </w:tcPr>
          <w:p w14:paraId="13852949" w14:textId="552632D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3.9%</w:t>
            </w:r>
          </w:p>
        </w:tc>
      </w:tr>
      <w:tr w:rsidR="005F180B" w:rsidRPr="00C2129B" w14:paraId="35BD9DB2" w14:textId="77777777" w:rsidTr="004F4BA7">
        <w:tc>
          <w:tcPr>
            <w:tcW w:w="1305" w:type="dxa"/>
            <w:hideMark/>
          </w:tcPr>
          <w:p w14:paraId="2EEB9EF4"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55-59</w:t>
            </w:r>
          </w:p>
        </w:tc>
        <w:tc>
          <w:tcPr>
            <w:tcW w:w="1885" w:type="dxa"/>
            <w:vAlign w:val="center"/>
            <w:hideMark/>
          </w:tcPr>
          <w:p w14:paraId="203DB80E" w14:textId="357A220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7,319</w:t>
            </w:r>
          </w:p>
        </w:tc>
        <w:tc>
          <w:tcPr>
            <w:tcW w:w="1885" w:type="dxa"/>
            <w:vAlign w:val="center"/>
            <w:hideMark/>
          </w:tcPr>
          <w:p w14:paraId="7ACABA83" w14:textId="29792E6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7,633</w:t>
            </w:r>
          </w:p>
        </w:tc>
        <w:tc>
          <w:tcPr>
            <w:tcW w:w="1885" w:type="dxa"/>
            <w:vAlign w:val="center"/>
            <w:hideMark/>
          </w:tcPr>
          <w:p w14:paraId="4E623417" w14:textId="27BD927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314</w:t>
            </w:r>
          </w:p>
        </w:tc>
        <w:tc>
          <w:tcPr>
            <w:tcW w:w="1885" w:type="dxa"/>
            <w:vAlign w:val="center"/>
            <w:hideMark/>
          </w:tcPr>
          <w:p w14:paraId="287543FA" w14:textId="2EA861B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4.3%</w:t>
            </w:r>
          </w:p>
        </w:tc>
      </w:tr>
      <w:tr w:rsidR="005F180B" w:rsidRPr="00C2129B" w14:paraId="589CA306" w14:textId="77777777" w:rsidTr="004F4BA7">
        <w:tc>
          <w:tcPr>
            <w:tcW w:w="1305" w:type="dxa"/>
            <w:hideMark/>
          </w:tcPr>
          <w:p w14:paraId="46578144"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60-64</w:t>
            </w:r>
          </w:p>
        </w:tc>
        <w:tc>
          <w:tcPr>
            <w:tcW w:w="1885" w:type="dxa"/>
            <w:vAlign w:val="center"/>
            <w:hideMark/>
          </w:tcPr>
          <w:p w14:paraId="2606F21C" w14:textId="0CB9100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6,500</w:t>
            </w:r>
          </w:p>
        </w:tc>
        <w:tc>
          <w:tcPr>
            <w:tcW w:w="1885" w:type="dxa"/>
            <w:vAlign w:val="center"/>
            <w:hideMark/>
          </w:tcPr>
          <w:p w14:paraId="7382DEEE" w14:textId="32A7D97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7,388</w:t>
            </w:r>
          </w:p>
        </w:tc>
        <w:tc>
          <w:tcPr>
            <w:tcW w:w="1885" w:type="dxa"/>
            <w:vAlign w:val="center"/>
            <w:hideMark/>
          </w:tcPr>
          <w:p w14:paraId="7EAF4A97" w14:textId="6C4F9C8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888</w:t>
            </w:r>
          </w:p>
        </w:tc>
        <w:tc>
          <w:tcPr>
            <w:tcW w:w="1885" w:type="dxa"/>
            <w:vAlign w:val="center"/>
            <w:hideMark/>
          </w:tcPr>
          <w:p w14:paraId="25CD860F" w14:textId="11EFC5D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13.7%</w:t>
            </w:r>
          </w:p>
        </w:tc>
      </w:tr>
      <w:tr w:rsidR="005F180B" w:rsidRPr="00C2129B" w14:paraId="034553B9" w14:textId="77777777" w:rsidTr="004F4BA7">
        <w:tc>
          <w:tcPr>
            <w:tcW w:w="1305" w:type="dxa"/>
            <w:hideMark/>
          </w:tcPr>
          <w:p w14:paraId="0C26F227"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65-69</w:t>
            </w:r>
          </w:p>
        </w:tc>
        <w:tc>
          <w:tcPr>
            <w:tcW w:w="1885" w:type="dxa"/>
            <w:vAlign w:val="center"/>
            <w:hideMark/>
          </w:tcPr>
          <w:p w14:paraId="4D2474E5" w14:textId="368566C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6,203</w:t>
            </w:r>
          </w:p>
        </w:tc>
        <w:tc>
          <w:tcPr>
            <w:tcW w:w="1885" w:type="dxa"/>
            <w:vAlign w:val="center"/>
            <w:hideMark/>
          </w:tcPr>
          <w:p w14:paraId="0AA54DE9" w14:textId="36C4B76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7,969</w:t>
            </w:r>
          </w:p>
        </w:tc>
        <w:tc>
          <w:tcPr>
            <w:tcW w:w="1885" w:type="dxa"/>
            <w:vAlign w:val="center"/>
            <w:hideMark/>
          </w:tcPr>
          <w:p w14:paraId="02AA9986" w14:textId="33BE00A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1,766</w:t>
            </w:r>
          </w:p>
        </w:tc>
        <w:tc>
          <w:tcPr>
            <w:tcW w:w="1885" w:type="dxa"/>
            <w:vAlign w:val="center"/>
            <w:hideMark/>
          </w:tcPr>
          <w:p w14:paraId="65D04DCB" w14:textId="1B2CE78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28.5%</w:t>
            </w:r>
          </w:p>
        </w:tc>
      </w:tr>
      <w:tr w:rsidR="005F180B" w:rsidRPr="00C2129B" w14:paraId="2862FADA" w14:textId="77777777" w:rsidTr="004F4BA7">
        <w:tc>
          <w:tcPr>
            <w:tcW w:w="1305" w:type="dxa"/>
            <w:hideMark/>
          </w:tcPr>
          <w:p w14:paraId="15A984B3"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70-74</w:t>
            </w:r>
          </w:p>
        </w:tc>
        <w:tc>
          <w:tcPr>
            <w:tcW w:w="1885" w:type="dxa"/>
            <w:vAlign w:val="center"/>
            <w:hideMark/>
          </w:tcPr>
          <w:p w14:paraId="23548C1E" w14:textId="24BA26F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6,127</w:t>
            </w:r>
          </w:p>
        </w:tc>
        <w:tc>
          <w:tcPr>
            <w:tcW w:w="1885" w:type="dxa"/>
            <w:vAlign w:val="center"/>
            <w:hideMark/>
          </w:tcPr>
          <w:p w14:paraId="7D901125" w14:textId="1475A92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8,036</w:t>
            </w:r>
          </w:p>
        </w:tc>
        <w:tc>
          <w:tcPr>
            <w:tcW w:w="1885" w:type="dxa"/>
            <w:vAlign w:val="center"/>
            <w:hideMark/>
          </w:tcPr>
          <w:p w14:paraId="1AEEA5C4" w14:textId="5903D00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1,910</w:t>
            </w:r>
          </w:p>
        </w:tc>
        <w:tc>
          <w:tcPr>
            <w:tcW w:w="1885" w:type="dxa"/>
            <w:vAlign w:val="center"/>
            <w:hideMark/>
          </w:tcPr>
          <w:p w14:paraId="505A0447" w14:textId="024F9EF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31.2%</w:t>
            </w:r>
          </w:p>
        </w:tc>
      </w:tr>
      <w:tr w:rsidR="005F180B" w:rsidRPr="00C2129B" w14:paraId="45F29410" w14:textId="77777777" w:rsidTr="004F4BA7">
        <w:tc>
          <w:tcPr>
            <w:tcW w:w="1305" w:type="dxa"/>
            <w:hideMark/>
          </w:tcPr>
          <w:p w14:paraId="783E359D"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75-79</w:t>
            </w:r>
          </w:p>
        </w:tc>
        <w:tc>
          <w:tcPr>
            <w:tcW w:w="1885" w:type="dxa"/>
            <w:vAlign w:val="center"/>
            <w:hideMark/>
          </w:tcPr>
          <w:p w14:paraId="059BBFA0" w14:textId="43923E8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4,471</w:t>
            </w:r>
          </w:p>
        </w:tc>
        <w:tc>
          <w:tcPr>
            <w:tcW w:w="1885" w:type="dxa"/>
            <w:vAlign w:val="center"/>
            <w:hideMark/>
          </w:tcPr>
          <w:p w14:paraId="43130CB4" w14:textId="5C76726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7,085</w:t>
            </w:r>
          </w:p>
        </w:tc>
        <w:tc>
          <w:tcPr>
            <w:tcW w:w="1885" w:type="dxa"/>
            <w:vAlign w:val="center"/>
            <w:hideMark/>
          </w:tcPr>
          <w:p w14:paraId="4CDB3C57" w14:textId="470EC4D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2,614</w:t>
            </w:r>
          </w:p>
        </w:tc>
        <w:tc>
          <w:tcPr>
            <w:tcW w:w="1885" w:type="dxa"/>
            <w:vAlign w:val="center"/>
            <w:hideMark/>
          </w:tcPr>
          <w:p w14:paraId="11A6C57A" w14:textId="1CA2182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58.5%</w:t>
            </w:r>
          </w:p>
        </w:tc>
      </w:tr>
      <w:tr w:rsidR="005F180B" w:rsidRPr="00C2129B" w14:paraId="6BC15739" w14:textId="77777777" w:rsidTr="004F4BA7">
        <w:tc>
          <w:tcPr>
            <w:tcW w:w="1305" w:type="dxa"/>
            <w:hideMark/>
          </w:tcPr>
          <w:p w14:paraId="0627133E"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80-84</w:t>
            </w:r>
          </w:p>
        </w:tc>
        <w:tc>
          <w:tcPr>
            <w:tcW w:w="1885" w:type="dxa"/>
            <w:vAlign w:val="center"/>
            <w:hideMark/>
          </w:tcPr>
          <w:p w14:paraId="2419D471" w14:textId="1185D59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3,188</w:t>
            </w:r>
          </w:p>
        </w:tc>
        <w:tc>
          <w:tcPr>
            <w:tcW w:w="1885" w:type="dxa"/>
            <w:vAlign w:val="center"/>
            <w:hideMark/>
          </w:tcPr>
          <w:p w14:paraId="0DF7BF42" w14:textId="566066A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5,026</w:t>
            </w:r>
          </w:p>
        </w:tc>
        <w:tc>
          <w:tcPr>
            <w:tcW w:w="1885" w:type="dxa"/>
            <w:vAlign w:val="center"/>
            <w:hideMark/>
          </w:tcPr>
          <w:p w14:paraId="7470F009" w14:textId="4B503D7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1,838</w:t>
            </w:r>
          </w:p>
        </w:tc>
        <w:tc>
          <w:tcPr>
            <w:tcW w:w="1885" w:type="dxa"/>
            <w:vAlign w:val="center"/>
            <w:hideMark/>
          </w:tcPr>
          <w:p w14:paraId="2BB577CA" w14:textId="6051C0C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57.7%</w:t>
            </w:r>
          </w:p>
        </w:tc>
      </w:tr>
      <w:tr w:rsidR="005F180B" w:rsidRPr="00C2129B" w14:paraId="6BF020A6" w14:textId="77777777" w:rsidTr="004F4BA7">
        <w:tc>
          <w:tcPr>
            <w:tcW w:w="1305" w:type="dxa"/>
            <w:hideMark/>
          </w:tcPr>
          <w:p w14:paraId="733C138D"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85+</w:t>
            </w:r>
          </w:p>
        </w:tc>
        <w:tc>
          <w:tcPr>
            <w:tcW w:w="1885" w:type="dxa"/>
            <w:vAlign w:val="center"/>
            <w:hideMark/>
          </w:tcPr>
          <w:p w14:paraId="62C6ED26" w14:textId="3B5EBE3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3,188</w:t>
            </w:r>
          </w:p>
        </w:tc>
        <w:tc>
          <w:tcPr>
            <w:tcW w:w="1885" w:type="dxa"/>
            <w:vAlign w:val="center"/>
            <w:hideMark/>
          </w:tcPr>
          <w:p w14:paraId="0484BE6C" w14:textId="3CB3DE8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5,879</w:t>
            </w:r>
          </w:p>
        </w:tc>
        <w:tc>
          <w:tcPr>
            <w:tcW w:w="1885" w:type="dxa"/>
            <w:vAlign w:val="center"/>
            <w:hideMark/>
          </w:tcPr>
          <w:p w14:paraId="7389F31F" w14:textId="5B6BE03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2,691</w:t>
            </w:r>
          </w:p>
        </w:tc>
        <w:tc>
          <w:tcPr>
            <w:tcW w:w="1885" w:type="dxa"/>
            <w:vAlign w:val="center"/>
            <w:hideMark/>
          </w:tcPr>
          <w:p w14:paraId="0E40EDD1" w14:textId="462F255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84.4%</w:t>
            </w:r>
          </w:p>
        </w:tc>
      </w:tr>
      <w:tr w:rsidR="005F180B" w:rsidRPr="00C2129B" w14:paraId="0C7DEF09" w14:textId="77777777" w:rsidTr="004F4BA7">
        <w:tc>
          <w:tcPr>
            <w:tcW w:w="1305" w:type="dxa"/>
            <w:hideMark/>
          </w:tcPr>
          <w:p w14:paraId="76216335" w14:textId="77777777" w:rsidR="0021172F" w:rsidRPr="004F4BA7" w:rsidRDefault="0021172F" w:rsidP="0021172F">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79E7DF76" w14:textId="19B94258"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102,749</w:t>
            </w:r>
          </w:p>
        </w:tc>
        <w:tc>
          <w:tcPr>
            <w:tcW w:w="1885" w:type="dxa"/>
            <w:vAlign w:val="center"/>
            <w:hideMark/>
          </w:tcPr>
          <w:p w14:paraId="4F74B1C5" w14:textId="7332F079"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121,020</w:t>
            </w:r>
          </w:p>
        </w:tc>
        <w:tc>
          <w:tcPr>
            <w:tcW w:w="1885" w:type="dxa"/>
            <w:vAlign w:val="center"/>
            <w:hideMark/>
          </w:tcPr>
          <w:p w14:paraId="4AD4AECE" w14:textId="04404F3E"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18,270</w:t>
            </w:r>
          </w:p>
        </w:tc>
        <w:tc>
          <w:tcPr>
            <w:tcW w:w="1885" w:type="dxa"/>
            <w:vAlign w:val="center"/>
            <w:hideMark/>
          </w:tcPr>
          <w:p w14:paraId="5C42DF50" w14:textId="322CA59C"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17.8%</w:t>
            </w:r>
          </w:p>
        </w:tc>
      </w:tr>
    </w:tbl>
    <w:p w14:paraId="5647E01E"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1E6DD36A" w14:textId="77777777" w:rsidR="00270765" w:rsidRPr="003E6243" w:rsidRDefault="00270765" w:rsidP="003D5E23">
      <w:pPr>
        <w:pStyle w:val="Tableheading"/>
        <w:numPr>
          <w:ilvl w:val="0"/>
          <w:numId w:val="0"/>
        </w:numPr>
        <w:ind w:left="794"/>
      </w:pPr>
      <w:r w:rsidRPr="003E6243">
        <w:t>Population change 2020 to 2040 by broad age bands linked to Standard Method – Fenland</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0CFC29E6" w14:textId="77777777" w:rsidTr="004F4BA7">
        <w:tc>
          <w:tcPr>
            <w:tcW w:w="1305" w:type="dxa"/>
          </w:tcPr>
          <w:p w14:paraId="76544E4A" w14:textId="77777777" w:rsidR="009107FE" w:rsidRPr="004F4BA7" w:rsidRDefault="009107FE" w:rsidP="009107FE">
            <w:pPr>
              <w:keepNext/>
              <w:rPr>
                <w:rFonts w:ascii="Arial Narrow" w:hAnsi="Arial Narrow"/>
                <w:b/>
                <w:bCs/>
                <w:sz w:val="24"/>
                <w:szCs w:val="24"/>
              </w:rPr>
            </w:pPr>
          </w:p>
        </w:tc>
        <w:tc>
          <w:tcPr>
            <w:tcW w:w="1885" w:type="dxa"/>
            <w:vAlign w:val="center"/>
            <w:hideMark/>
          </w:tcPr>
          <w:p w14:paraId="1B4C6359"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5C8C078D"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030A8B3C" w14:textId="46BBCD2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468C3C90" w14:textId="1862ABF0"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048F9499" w14:textId="77777777" w:rsidTr="004F4BA7">
        <w:tc>
          <w:tcPr>
            <w:tcW w:w="1305" w:type="dxa"/>
            <w:hideMark/>
          </w:tcPr>
          <w:p w14:paraId="40E00EE8"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Under 16</w:t>
            </w:r>
          </w:p>
        </w:tc>
        <w:tc>
          <w:tcPr>
            <w:tcW w:w="1885" w:type="dxa"/>
            <w:vAlign w:val="center"/>
            <w:hideMark/>
          </w:tcPr>
          <w:p w14:paraId="6EA8B684" w14:textId="75DA3254"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18,073</w:t>
            </w:r>
          </w:p>
        </w:tc>
        <w:tc>
          <w:tcPr>
            <w:tcW w:w="1885" w:type="dxa"/>
            <w:vAlign w:val="center"/>
            <w:hideMark/>
          </w:tcPr>
          <w:p w14:paraId="596ED6CB" w14:textId="4EC9A67E"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20,071</w:t>
            </w:r>
          </w:p>
        </w:tc>
        <w:tc>
          <w:tcPr>
            <w:tcW w:w="1885" w:type="dxa"/>
            <w:vAlign w:val="center"/>
            <w:hideMark/>
          </w:tcPr>
          <w:p w14:paraId="0C3318DE" w14:textId="290511DB"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1,998</w:t>
            </w:r>
          </w:p>
        </w:tc>
        <w:tc>
          <w:tcPr>
            <w:tcW w:w="1885" w:type="dxa"/>
            <w:vAlign w:val="center"/>
            <w:hideMark/>
          </w:tcPr>
          <w:p w14:paraId="1F4DBE70" w14:textId="428ACF7B"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11.1%</w:t>
            </w:r>
          </w:p>
        </w:tc>
      </w:tr>
      <w:tr w:rsidR="005F180B" w:rsidRPr="003A75AB" w14:paraId="155E6438" w14:textId="77777777" w:rsidTr="004F4BA7">
        <w:tc>
          <w:tcPr>
            <w:tcW w:w="1305" w:type="dxa"/>
            <w:hideMark/>
          </w:tcPr>
          <w:p w14:paraId="1344771E"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16-64</w:t>
            </w:r>
          </w:p>
        </w:tc>
        <w:tc>
          <w:tcPr>
            <w:tcW w:w="1885" w:type="dxa"/>
            <w:vAlign w:val="center"/>
            <w:hideMark/>
          </w:tcPr>
          <w:p w14:paraId="449A82F4" w14:textId="6246821D"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61,501</w:t>
            </w:r>
          </w:p>
        </w:tc>
        <w:tc>
          <w:tcPr>
            <w:tcW w:w="1885" w:type="dxa"/>
            <w:vAlign w:val="center"/>
            <w:hideMark/>
          </w:tcPr>
          <w:p w14:paraId="769EA84C" w14:textId="45FA89F9"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66,955</w:t>
            </w:r>
          </w:p>
        </w:tc>
        <w:tc>
          <w:tcPr>
            <w:tcW w:w="1885" w:type="dxa"/>
            <w:vAlign w:val="center"/>
            <w:hideMark/>
          </w:tcPr>
          <w:p w14:paraId="3FAB6DC3" w14:textId="378BDD77"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5,454</w:t>
            </w:r>
          </w:p>
        </w:tc>
        <w:tc>
          <w:tcPr>
            <w:tcW w:w="1885" w:type="dxa"/>
            <w:vAlign w:val="center"/>
            <w:hideMark/>
          </w:tcPr>
          <w:p w14:paraId="2E9E98F3" w14:textId="0BBBE710"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8.9%</w:t>
            </w:r>
          </w:p>
        </w:tc>
      </w:tr>
      <w:tr w:rsidR="005F180B" w:rsidRPr="003A75AB" w14:paraId="0BA015E8" w14:textId="77777777" w:rsidTr="004F4BA7">
        <w:tc>
          <w:tcPr>
            <w:tcW w:w="1305" w:type="dxa"/>
            <w:hideMark/>
          </w:tcPr>
          <w:p w14:paraId="613765D3"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65+</w:t>
            </w:r>
          </w:p>
        </w:tc>
        <w:tc>
          <w:tcPr>
            <w:tcW w:w="1885" w:type="dxa"/>
            <w:vAlign w:val="center"/>
            <w:hideMark/>
          </w:tcPr>
          <w:p w14:paraId="254A334F" w14:textId="429C1991"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23,176</w:t>
            </w:r>
          </w:p>
        </w:tc>
        <w:tc>
          <w:tcPr>
            <w:tcW w:w="1885" w:type="dxa"/>
            <w:vAlign w:val="center"/>
            <w:hideMark/>
          </w:tcPr>
          <w:p w14:paraId="2A9F2781" w14:textId="798DB7D3"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33,994</w:t>
            </w:r>
          </w:p>
        </w:tc>
        <w:tc>
          <w:tcPr>
            <w:tcW w:w="1885" w:type="dxa"/>
            <w:vAlign w:val="center"/>
            <w:hideMark/>
          </w:tcPr>
          <w:p w14:paraId="36BB567B" w14:textId="4CD205EC"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10,818</w:t>
            </w:r>
          </w:p>
        </w:tc>
        <w:tc>
          <w:tcPr>
            <w:tcW w:w="1885" w:type="dxa"/>
            <w:vAlign w:val="center"/>
            <w:hideMark/>
          </w:tcPr>
          <w:p w14:paraId="4BF185A0" w14:textId="303A1AB5"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46.7%</w:t>
            </w:r>
          </w:p>
        </w:tc>
      </w:tr>
      <w:tr w:rsidR="005F180B" w:rsidRPr="003A75AB" w14:paraId="51877552" w14:textId="77777777" w:rsidTr="004F4BA7">
        <w:tc>
          <w:tcPr>
            <w:tcW w:w="1305" w:type="dxa"/>
            <w:hideMark/>
          </w:tcPr>
          <w:p w14:paraId="17752366" w14:textId="77777777" w:rsidR="00C2129B" w:rsidRPr="004F4BA7" w:rsidRDefault="00C2129B" w:rsidP="00C2129B">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03DBC9CA" w14:textId="401F61C7"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102,749</w:t>
            </w:r>
          </w:p>
        </w:tc>
        <w:tc>
          <w:tcPr>
            <w:tcW w:w="1885" w:type="dxa"/>
            <w:vAlign w:val="center"/>
            <w:hideMark/>
          </w:tcPr>
          <w:p w14:paraId="21D8F3AC" w14:textId="0EF6E8D6"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121,020</w:t>
            </w:r>
          </w:p>
        </w:tc>
        <w:tc>
          <w:tcPr>
            <w:tcW w:w="1885" w:type="dxa"/>
            <w:vAlign w:val="center"/>
            <w:hideMark/>
          </w:tcPr>
          <w:p w14:paraId="1B08C42F" w14:textId="314F0F8B"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18,270</w:t>
            </w:r>
          </w:p>
        </w:tc>
        <w:tc>
          <w:tcPr>
            <w:tcW w:w="1885" w:type="dxa"/>
            <w:vAlign w:val="center"/>
            <w:hideMark/>
          </w:tcPr>
          <w:p w14:paraId="3A5B097B" w14:textId="38F71874"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17.8%</w:t>
            </w:r>
          </w:p>
        </w:tc>
      </w:tr>
    </w:tbl>
    <w:p w14:paraId="54ACA91F"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7EE0FE66" w14:textId="77777777" w:rsidR="000D2A90" w:rsidRPr="003E6243" w:rsidRDefault="000D2A90" w:rsidP="003D5E23">
      <w:pPr>
        <w:pStyle w:val="Tableheading"/>
        <w:numPr>
          <w:ilvl w:val="0"/>
          <w:numId w:val="0"/>
        </w:numPr>
        <w:ind w:left="794"/>
      </w:pPr>
      <w:r w:rsidRPr="003E6243">
        <w:lastRenderedPageBreak/>
        <w:t>Older persons change 2020 to 2040 by age bands linked to Standard Method – Fenland</w:t>
      </w:r>
    </w:p>
    <w:tbl>
      <w:tblPr>
        <w:tblStyle w:val="TableGridLight1"/>
        <w:tblW w:w="8845" w:type="dxa"/>
        <w:tblInd w:w="794" w:type="dxa"/>
        <w:tblLook w:val="04A0" w:firstRow="1" w:lastRow="0" w:firstColumn="1" w:lastColumn="0" w:noHBand="0" w:noVBand="1"/>
      </w:tblPr>
      <w:tblGrid>
        <w:gridCol w:w="1769"/>
        <w:gridCol w:w="1769"/>
        <w:gridCol w:w="1769"/>
        <w:gridCol w:w="1769"/>
        <w:gridCol w:w="1769"/>
      </w:tblGrid>
      <w:tr w:rsidR="00291D89" w:rsidRPr="00C2129B" w14:paraId="4AB4BC5E" w14:textId="77777777" w:rsidTr="004F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188C7DBA" w14:textId="77777777" w:rsidR="000D2A90" w:rsidRPr="004F4BA7" w:rsidRDefault="000D2A90" w:rsidP="008B0419">
            <w:pPr>
              <w:keepNext/>
              <w:spacing w:line="300" w:lineRule="auto"/>
              <w:rPr>
                <w:color w:val="auto"/>
                <w:lang w:eastAsia="en-GB"/>
              </w:rPr>
            </w:pPr>
            <w:r w:rsidRPr="004F4BA7">
              <w:rPr>
                <w:color w:val="auto"/>
                <w:lang w:eastAsia="en-GB"/>
              </w:rPr>
              <w:t> </w:t>
            </w:r>
          </w:p>
        </w:tc>
        <w:tc>
          <w:tcPr>
            <w:tcW w:w="1769" w:type="dxa"/>
            <w:hideMark/>
          </w:tcPr>
          <w:p w14:paraId="60C006FC"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2020</w:t>
            </w:r>
          </w:p>
        </w:tc>
        <w:tc>
          <w:tcPr>
            <w:tcW w:w="1769" w:type="dxa"/>
            <w:hideMark/>
          </w:tcPr>
          <w:p w14:paraId="41D8D726"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w:t>
            </w:r>
          </w:p>
        </w:tc>
        <w:tc>
          <w:tcPr>
            <w:tcW w:w="1769" w:type="dxa"/>
            <w:hideMark/>
          </w:tcPr>
          <w:p w14:paraId="36C2B255"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Change</w:t>
            </w:r>
          </w:p>
        </w:tc>
        <w:tc>
          <w:tcPr>
            <w:tcW w:w="1769" w:type="dxa"/>
            <w:hideMark/>
          </w:tcPr>
          <w:p w14:paraId="66404570" w14:textId="1C6AE491"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xml:space="preserve">% </w:t>
            </w:r>
            <w:r w:rsidR="00552654" w:rsidRPr="004F4BA7">
              <w:rPr>
                <w:color w:val="auto"/>
                <w:lang w:eastAsia="en-GB"/>
              </w:rPr>
              <w:t>C</w:t>
            </w:r>
            <w:r w:rsidRPr="004F4BA7">
              <w:rPr>
                <w:color w:val="auto"/>
                <w:lang w:eastAsia="en-GB"/>
              </w:rPr>
              <w:t>hange</w:t>
            </w:r>
          </w:p>
        </w:tc>
      </w:tr>
      <w:tr w:rsidR="0030608F" w:rsidRPr="00C2129B" w14:paraId="5E09D2A7"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12AB4475" w14:textId="77777777" w:rsidR="0030608F" w:rsidRPr="00C2129B" w:rsidRDefault="0030608F" w:rsidP="008B0419">
            <w:pPr>
              <w:keepNext/>
              <w:spacing w:line="300" w:lineRule="auto"/>
              <w:rPr>
                <w:color w:val="000000"/>
                <w:lang w:eastAsia="en-GB"/>
              </w:rPr>
            </w:pPr>
            <w:r w:rsidRPr="00C2129B">
              <w:rPr>
                <w:color w:val="000000"/>
                <w:lang w:eastAsia="en-GB"/>
              </w:rPr>
              <w:t>Under 65</w:t>
            </w:r>
          </w:p>
        </w:tc>
        <w:tc>
          <w:tcPr>
            <w:tcW w:w="1769" w:type="dxa"/>
            <w:hideMark/>
          </w:tcPr>
          <w:p w14:paraId="4F6DFBF8" w14:textId="7A71F3F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79,573</w:t>
            </w:r>
          </w:p>
        </w:tc>
        <w:tc>
          <w:tcPr>
            <w:tcW w:w="1769" w:type="dxa"/>
            <w:hideMark/>
          </w:tcPr>
          <w:p w14:paraId="49682D2A" w14:textId="00A9B5DC"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87,026</w:t>
            </w:r>
          </w:p>
        </w:tc>
        <w:tc>
          <w:tcPr>
            <w:tcW w:w="1769" w:type="dxa"/>
            <w:hideMark/>
          </w:tcPr>
          <w:p w14:paraId="3C997674" w14:textId="09B26C1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7,452</w:t>
            </w:r>
          </w:p>
        </w:tc>
        <w:tc>
          <w:tcPr>
            <w:tcW w:w="1769" w:type="dxa"/>
            <w:hideMark/>
          </w:tcPr>
          <w:p w14:paraId="666223F1" w14:textId="1CE9D73F"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9.4%</w:t>
            </w:r>
          </w:p>
        </w:tc>
      </w:tr>
      <w:tr w:rsidR="0030608F" w:rsidRPr="00C2129B" w14:paraId="35A59AC5"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39E34568" w14:textId="77777777" w:rsidR="0030608F" w:rsidRPr="00C2129B" w:rsidRDefault="0030608F" w:rsidP="008B0419">
            <w:pPr>
              <w:keepNext/>
              <w:spacing w:line="300" w:lineRule="auto"/>
              <w:rPr>
                <w:color w:val="000000"/>
                <w:lang w:eastAsia="en-GB"/>
              </w:rPr>
            </w:pPr>
            <w:r w:rsidRPr="00C2129B">
              <w:rPr>
                <w:color w:val="000000"/>
                <w:lang w:eastAsia="en-GB"/>
              </w:rPr>
              <w:t>65-74</w:t>
            </w:r>
          </w:p>
        </w:tc>
        <w:tc>
          <w:tcPr>
            <w:tcW w:w="1769" w:type="dxa"/>
            <w:hideMark/>
          </w:tcPr>
          <w:p w14:paraId="5EEA8078" w14:textId="51F35AE6"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12,330</w:t>
            </w:r>
          </w:p>
        </w:tc>
        <w:tc>
          <w:tcPr>
            <w:tcW w:w="1769" w:type="dxa"/>
            <w:hideMark/>
          </w:tcPr>
          <w:p w14:paraId="654F65B1" w14:textId="7FF304ED"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16,005</w:t>
            </w:r>
          </w:p>
        </w:tc>
        <w:tc>
          <w:tcPr>
            <w:tcW w:w="1769" w:type="dxa"/>
            <w:hideMark/>
          </w:tcPr>
          <w:p w14:paraId="31FD18EF" w14:textId="2910F8AD"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3,675</w:t>
            </w:r>
          </w:p>
        </w:tc>
        <w:tc>
          <w:tcPr>
            <w:tcW w:w="1769" w:type="dxa"/>
            <w:hideMark/>
          </w:tcPr>
          <w:p w14:paraId="55B2564D" w14:textId="054B6BC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29.8%</w:t>
            </w:r>
          </w:p>
        </w:tc>
      </w:tr>
      <w:tr w:rsidR="0030608F" w:rsidRPr="00C2129B" w14:paraId="1BEA470B"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2D2F4664" w14:textId="77777777" w:rsidR="0030608F" w:rsidRPr="00C2129B" w:rsidRDefault="0030608F" w:rsidP="008B0419">
            <w:pPr>
              <w:keepNext/>
              <w:spacing w:line="300" w:lineRule="auto"/>
              <w:rPr>
                <w:color w:val="000000"/>
                <w:lang w:eastAsia="en-GB"/>
              </w:rPr>
            </w:pPr>
            <w:r w:rsidRPr="00C2129B">
              <w:rPr>
                <w:color w:val="000000"/>
                <w:lang w:eastAsia="en-GB"/>
              </w:rPr>
              <w:t>75-84</w:t>
            </w:r>
          </w:p>
        </w:tc>
        <w:tc>
          <w:tcPr>
            <w:tcW w:w="1769" w:type="dxa"/>
            <w:hideMark/>
          </w:tcPr>
          <w:p w14:paraId="09AC4778" w14:textId="3972CE1E"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7,659</w:t>
            </w:r>
          </w:p>
        </w:tc>
        <w:tc>
          <w:tcPr>
            <w:tcW w:w="1769" w:type="dxa"/>
            <w:hideMark/>
          </w:tcPr>
          <w:p w14:paraId="313E719B" w14:textId="045A3569"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12,110</w:t>
            </w:r>
          </w:p>
        </w:tc>
        <w:tc>
          <w:tcPr>
            <w:tcW w:w="1769" w:type="dxa"/>
            <w:hideMark/>
          </w:tcPr>
          <w:p w14:paraId="439904D3" w14:textId="13BFAED3"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4,452</w:t>
            </w:r>
          </w:p>
        </w:tc>
        <w:tc>
          <w:tcPr>
            <w:tcW w:w="1769" w:type="dxa"/>
            <w:hideMark/>
          </w:tcPr>
          <w:p w14:paraId="605AF15C" w14:textId="3BA2988A"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58.1%</w:t>
            </w:r>
          </w:p>
        </w:tc>
      </w:tr>
      <w:tr w:rsidR="0030608F" w:rsidRPr="00C2129B" w14:paraId="4C5B5DE5"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05B424B3" w14:textId="77777777" w:rsidR="0030608F" w:rsidRPr="00C2129B" w:rsidRDefault="0030608F" w:rsidP="008B0419">
            <w:pPr>
              <w:keepNext/>
              <w:spacing w:line="300" w:lineRule="auto"/>
              <w:rPr>
                <w:color w:val="000000"/>
                <w:lang w:eastAsia="en-GB"/>
              </w:rPr>
            </w:pPr>
            <w:r w:rsidRPr="00C2129B">
              <w:rPr>
                <w:color w:val="000000"/>
                <w:lang w:eastAsia="en-GB"/>
              </w:rPr>
              <w:t>85+</w:t>
            </w:r>
          </w:p>
        </w:tc>
        <w:tc>
          <w:tcPr>
            <w:tcW w:w="1769" w:type="dxa"/>
            <w:hideMark/>
          </w:tcPr>
          <w:p w14:paraId="6AF0A73D" w14:textId="67C2AF56"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3,188</w:t>
            </w:r>
          </w:p>
        </w:tc>
        <w:tc>
          <w:tcPr>
            <w:tcW w:w="1769" w:type="dxa"/>
            <w:hideMark/>
          </w:tcPr>
          <w:p w14:paraId="2D4CC28D" w14:textId="32CD61D7"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5,879</w:t>
            </w:r>
          </w:p>
        </w:tc>
        <w:tc>
          <w:tcPr>
            <w:tcW w:w="1769" w:type="dxa"/>
            <w:hideMark/>
          </w:tcPr>
          <w:p w14:paraId="74D06A92" w14:textId="0C2F48A7"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2,691</w:t>
            </w:r>
          </w:p>
        </w:tc>
        <w:tc>
          <w:tcPr>
            <w:tcW w:w="1769" w:type="dxa"/>
            <w:hideMark/>
          </w:tcPr>
          <w:p w14:paraId="7A954A96" w14:textId="0D02F674"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84.4%</w:t>
            </w:r>
          </w:p>
        </w:tc>
      </w:tr>
      <w:tr w:rsidR="0030608F" w:rsidRPr="00C2129B" w14:paraId="563BFB01"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682DE857" w14:textId="77777777" w:rsidR="0030608F" w:rsidRPr="004F4BA7" w:rsidRDefault="0030608F" w:rsidP="008B0419">
            <w:pPr>
              <w:keepNext/>
              <w:spacing w:line="300" w:lineRule="auto"/>
              <w:rPr>
                <w:b/>
                <w:bCs/>
                <w:color w:val="000000"/>
                <w:lang w:eastAsia="en-GB"/>
              </w:rPr>
            </w:pPr>
            <w:r w:rsidRPr="004F4BA7">
              <w:rPr>
                <w:b/>
                <w:bCs/>
                <w:color w:val="000000"/>
                <w:lang w:eastAsia="en-GB"/>
              </w:rPr>
              <w:t>Total</w:t>
            </w:r>
          </w:p>
        </w:tc>
        <w:tc>
          <w:tcPr>
            <w:tcW w:w="1769" w:type="dxa"/>
            <w:hideMark/>
          </w:tcPr>
          <w:p w14:paraId="44373CC1" w14:textId="45B57411"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102,749</w:t>
            </w:r>
          </w:p>
        </w:tc>
        <w:tc>
          <w:tcPr>
            <w:tcW w:w="1769" w:type="dxa"/>
            <w:hideMark/>
          </w:tcPr>
          <w:p w14:paraId="16228837" w14:textId="5D32854B"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121,020</w:t>
            </w:r>
          </w:p>
        </w:tc>
        <w:tc>
          <w:tcPr>
            <w:tcW w:w="1769" w:type="dxa"/>
            <w:hideMark/>
          </w:tcPr>
          <w:p w14:paraId="45D06020" w14:textId="76307545"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18,270</w:t>
            </w:r>
          </w:p>
        </w:tc>
        <w:tc>
          <w:tcPr>
            <w:tcW w:w="1769" w:type="dxa"/>
            <w:hideMark/>
          </w:tcPr>
          <w:p w14:paraId="660483AA" w14:textId="3C0FCEE7"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000000"/>
              </w:rPr>
            </w:pPr>
            <w:r w:rsidRPr="004F4BA7">
              <w:rPr>
                <w:b/>
                <w:bCs/>
                <w:color w:val="000000"/>
              </w:rPr>
              <w:t>17.8%</w:t>
            </w:r>
          </w:p>
        </w:tc>
      </w:tr>
      <w:tr w:rsidR="0030608F" w:rsidRPr="00C2129B" w14:paraId="5E86A303"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561944EE" w14:textId="77777777" w:rsidR="0030608F" w:rsidRPr="00C2129B" w:rsidRDefault="0030608F" w:rsidP="008B0419">
            <w:pPr>
              <w:keepNext/>
              <w:spacing w:line="300" w:lineRule="auto"/>
              <w:rPr>
                <w:color w:val="000000"/>
                <w:lang w:eastAsia="en-GB"/>
              </w:rPr>
            </w:pPr>
            <w:r w:rsidRPr="00C2129B">
              <w:rPr>
                <w:color w:val="000000"/>
                <w:lang w:eastAsia="en-GB"/>
              </w:rPr>
              <w:t>65+</w:t>
            </w:r>
          </w:p>
        </w:tc>
        <w:tc>
          <w:tcPr>
            <w:tcW w:w="1769" w:type="dxa"/>
            <w:hideMark/>
          </w:tcPr>
          <w:p w14:paraId="22764A0F" w14:textId="4581510E"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23,176</w:t>
            </w:r>
          </w:p>
        </w:tc>
        <w:tc>
          <w:tcPr>
            <w:tcW w:w="1769" w:type="dxa"/>
            <w:hideMark/>
          </w:tcPr>
          <w:p w14:paraId="2F03F4FF" w14:textId="0D0F5776"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33,994</w:t>
            </w:r>
          </w:p>
        </w:tc>
        <w:tc>
          <w:tcPr>
            <w:tcW w:w="1769" w:type="dxa"/>
            <w:hideMark/>
          </w:tcPr>
          <w:p w14:paraId="45DAA26B" w14:textId="209B0763"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10,818</w:t>
            </w:r>
          </w:p>
        </w:tc>
        <w:tc>
          <w:tcPr>
            <w:tcW w:w="1769" w:type="dxa"/>
            <w:hideMark/>
          </w:tcPr>
          <w:p w14:paraId="6F95BD28" w14:textId="7677194F" w:rsidR="0030608F" w:rsidRPr="00C2129B"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000000"/>
              </w:rPr>
            </w:pPr>
            <w:r w:rsidRPr="003E6243">
              <w:rPr>
                <w:color w:val="000000"/>
              </w:rPr>
              <w:t>46.7%</w:t>
            </w:r>
          </w:p>
        </w:tc>
      </w:tr>
    </w:tbl>
    <w:p w14:paraId="6E28911D" w14:textId="77777777" w:rsidR="000D2A90" w:rsidRPr="00B35A8B" w:rsidRDefault="000D2A90" w:rsidP="000D2A90">
      <w:pPr>
        <w:spacing w:after="120" w:line="360" w:lineRule="auto"/>
        <w:ind w:left="794"/>
        <w:rPr>
          <w:sz w:val="24"/>
          <w:szCs w:val="24"/>
        </w:rPr>
      </w:pPr>
      <w:r w:rsidRPr="00B35A8B">
        <w:rPr>
          <w:sz w:val="24"/>
          <w:szCs w:val="24"/>
        </w:rPr>
        <w:t>Source: Demographic projections</w:t>
      </w:r>
    </w:p>
    <w:p w14:paraId="2205A5A6" w14:textId="3DD0BE2F" w:rsidR="00270765" w:rsidRPr="003E6243" w:rsidRDefault="00270765" w:rsidP="003D5E23">
      <w:pPr>
        <w:pStyle w:val="Tableheading"/>
        <w:numPr>
          <w:ilvl w:val="0"/>
          <w:numId w:val="0"/>
        </w:numPr>
        <w:ind w:left="794"/>
      </w:pPr>
      <w:r w:rsidRPr="003E6243">
        <w:t>Population change 2020 to 2040 by five-year age bands linked to Standard Method – Hunt</w:t>
      </w:r>
      <w:r w:rsidR="003A2EF8">
        <w:t>ingdonshire</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769"/>
        <w:gridCol w:w="1769"/>
        <w:gridCol w:w="1769"/>
        <w:gridCol w:w="1769"/>
      </w:tblGrid>
      <w:tr w:rsidR="005F180B" w:rsidRPr="003A75AB" w14:paraId="4A9C154B" w14:textId="77777777" w:rsidTr="004F4BA7">
        <w:tc>
          <w:tcPr>
            <w:tcW w:w="1769" w:type="dxa"/>
            <w:vAlign w:val="center"/>
          </w:tcPr>
          <w:p w14:paraId="4DB0A2AD" w14:textId="77777777" w:rsidR="009107FE" w:rsidRPr="004F4BA7" w:rsidRDefault="009107FE" w:rsidP="003A75AB">
            <w:pPr>
              <w:keepNext/>
              <w:rPr>
                <w:rFonts w:ascii="Arial Narrow" w:hAnsi="Arial Narrow"/>
                <w:sz w:val="24"/>
                <w:szCs w:val="24"/>
              </w:rPr>
            </w:pPr>
          </w:p>
        </w:tc>
        <w:tc>
          <w:tcPr>
            <w:tcW w:w="1769" w:type="dxa"/>
            <w:vAlign w:val="center"/>
            <w:hideMark/>
          </w:tcPr>
          <w:p w14:paraId="0C5DAABB"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769" w:type="dxa"/>
            <w:vAlign w:val="center"/>
            <w:hideMark/>
          </w:tcPr>
          <w:p w14:paraId="006B8049"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769" w:type="dxa"/>
            <w:vAlign w:val="center"/>
            <w:hideMark/>
          </w:tcPr>
          <w:p w14:paraId="37251469" w14:textId="1DADDB22"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769" w:type="dxa"/>
            <w:vAlign w:val="center"/>
            <w:hideMark/>
          </w:tcPr>
          <w:p w14:paraId="248CDA36" w14:textId="4BCF4200"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1B58B17B" w14:textId="77777777" w:rsidTr="004F4BA7">
        <w:tc>
          <w:tcPr>
            <w:tcW w:w="1769" w:type="dxa"/>
            <w:vAlign w:val="center"/>
            <w:hideMark/>
          </w:tcPr>
          <w:p w14:paraId="60E9C99E"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Under 5</w:t>
            </w:r>
          </w:p>
        </w:tc>
        <w:tc>
          <w:tcPr>
            <w:tcW w:w="1769" w:type="dxa"/>
            <w:vAlign w:val="center"/>
            <w:hideMark/>
          </w:tcPr>
          <w:p w14:paraId="03E89768" w14:textId="5212DC5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10,214</w:t>
            </w:r>
          </w:p>
        </w:tc>
        <w:tc>
          <w:tcPr>
            <w:tcW w:w="1769" w:type="dxa"/>
            <w:vAlign w:val="center"/>
            <w:hideMark/>
          </w:tcPr>
          <w:p w14:paraId="0D051E91" w14:textId="389AE99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12,064</w:t>
            </w:r>
          </w:p>
        </w:tc>
        <w:tc>
          <w:tcPr>
            <w:tcW w:w="1769" w:type="dxa"/>
            <w:vAlign w:val="center"/>
            <w:hideMark/>
          </w:tcPr>
          <w:p w14:paraId="1872537B" w14:textId="29FF26D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1,850</w:t>
            </w:r>
          </w:p>
        </w:tc>
        <w:tc>
          <w:tcPr>
            <w:tcW w:w="1769" w:type="dxa"/>
            <w:vAlign w:val="center"/>
            <w:hideMark/>
          </w:tcPr>
          <w:p w14:paraId="74F94F00" w14:textId="3C828ED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18.1%</w:t>
            </w:r>
          </w:p>
        </w:tc>
      </w:tr>
      <w:tr w:rsidR="005F180B" w:rsidRPr="003A75AB" w14:paraId="643D9BC6" w14:textId="77777777" w:rsidTr="004F4BA7">
        <w:tc>
          <w:tcPr>
            <w:tcW w:w="1769" w:type="dxa"/>
            <w:vAlign w:val="center"/>
            <w:hideMark/>
          </w:tcPr>
          <w:p w14:paraId="349D868A"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5-9</w:t>
            </w:r>
          </w:p>
        </w:tc>
        <w:tc>
          <w:tcPr>
            <w:tcW w:w="1769" w:type="dxa"/>
            <w:vAlign w:val="center"/>
            <w:hideMark/>
          </w:tcPr>
          <w:p w14:paraId="1A3F2138" w14:textId="77AE2AB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11,051</w:t>
            </w:r>
          </w:p>
        </w:tc>
        <w:tc>
          <w:tcPr>
            <w:tcW w:w="1769" w:type="dxa"/>
            <w:vAlign w:val="center"/>
            <w:hideMark/>
          </w:tcPr>
          <w:p w14:paraId="02EA26F5" w14:textId="6FAA78B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11,919</w:t>
            </w:r>
          </w:p>
        </w:tc>
        <w:tc>
          <w:tcPr>
            <w:tcW w:w="1769" w:type="dxa"/>
            <w:vAlign w:val="center"/>
            <w:hideMark/>
          </w:tcPr>
          <w:p w14:paraId="6BE52EA9" w14:textId="79E4E4A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869</w:t>
            </w:r>
          </w:p>
        </w:tc>
        <w:tc>
          <w:tcPr>
            <w:tcW w:w="1769" w:type="dxa"/>
            <w:vAlign w:val="center"/>
            <w:hideMark/>
          </w:tcPr>
          <w:p w14:paraId="523C094C" w14:textId="5D24F07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7.9%</w:t>
            </w:r>
          </w:p>
        </w:tc>
      </w:tr>
      <w:tr w:rsidR="005F180B" w:rsidRPr="003A75AB" w14:paraId="5AF6E9AE" w14:textId="77777777" w:rsidTr="004F4BA7">
        <w:tc>
          <w:tcPr>
            <w:tcW w:w="1769" w:type="dxa"/>
            <w:vAlign w:val="center"/>
            <w:hideMark/>
          </w:tcPr>
          <w:p w14:paraId="2A8DDBBD"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10-14</w:t>
            </w:r>
          </w:p>
        </w:tc>
        <w:tc>
          <w:tcPr>
            <w:tcW w:w="1769" w:type="dxa"/>
            <w:vAlign w:val="center"/>
            <w:hideMark/>
          </w:tcPr>
          <w:p w14:paraId="1F33AF37" w14:textId="6D29498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10,707</w:t>
            </w:r>
          </w:p>
        </w:tc>
        <w:tc>
          <w:tcPr>
            <w:tcW w:w="1769" w:type="dxa"/>
            <w:vAlign w:val="center"/>
            <w:hideMark/>
          </w:tcPr>
          <w:p w14:paraId="1CD58462" w14:textId="63F6095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11,483</w:t>
            </w:r>
          </w:p>
        </w:tc>
        <w:tc>
          <w:tcPr>
            <w:tcW w:w="1769" w:type="dxa"/>
            <w:vAlign w:val="center"/>
            <w:hideMark/>
          </w:tcPr>
          <w:p w14:paraId="46446E4E" w14:textId="70D15E6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776</w:t>
            </w:r>
          </w:p>
        </w:tc>
        <w:tc>
          <w:tcPr>
            <w:tcW w:w="1769" w:type="dxa"/>
            <w:vAlign w:val="center"/>
            <w:hideMark/>
          </w:tcPr>
          <w:p w14:paraId="4A4883D9" w14:textId="2B1F11F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7.2%</w:t>
            </w:r>
          </w:p>
        </w:tc>
      </w:tr>
      <w:tr w:rsidR="005F180B" w:rsidRPr="003A75AB" w14:paraId="7AF0AD53" w14:textId="77777777" w:rsidTr="004F4BA7">
        <w:tc>
          <w:tcPr>
            <w:tcW w:w="1769" w:type="dxa"/>
            <w:vAlign w:val="center"/>
            <w:hideMark/>
          </w:tcPr>
          <w:p w14:paraId="4D6FADD9"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15-19</w:t>
            </w:r>
          </w:p>
        </w:tc>
        <w:tc>
          <w:tcPr>
            <w:tcW w:w="1769" w:type="dxa"/>
            <w:vAlign w:val="center"/>
            <w:hideMark/>
          </w:tcPr>
          <w:p w14:paraId="506D3E6A" w14:textId="6679678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9,754</w:t>
            </w:r>
          </w:p>
        </w:tc>
        <w:tc>
          <w:tcPr>
            <w:tcW w:w="1769" w:type="dxa"/>
            <w:vAlign w:val="center"/>
            <w:hideMark/>
          </w:tcPr>
          <w:p w14:paraId="0A004785" w14:textId="5A86BF3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10,345</w:t>
            </w:r>
          </w:p>
        </w:tc>
        <w:tc>
          <w:tcPr>
            <w:tcW w:w="1769" w:type="dxa"/>
            <w:vAlign w:val="center"/>
            <w:hideMark/>
          </w:tcPr>
          <w:p w14:paraId="47C47915" w14:textId="7E62EB9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592</w:t>
            </w:r>
          </w:p>
        </w:tc>
        <w:tc>
          <w:tcPr>
            <w:tcW w:w="1769" w:type="dxa"/>
            <w:vAlign w:val="center"/>
            <w:hideMark/>
          </w:tcPr>
          <w:p w14:paraId="5765E435" w14:textId="33F4B95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6.1%</w:t>
            </w:r>
          </w:p>
        </w:tc>
      </w:tr>
      <w:tr w:rsidR="005F180B" w:rsidRPr="003A75AB" w14:paraId="52C6BEE1" w14:textId="77777777" w:rsidTr="004F4BA7">
        <w:tc>
          <w:tcPr>
            <w:tcW w:w="1769" w:type="dxa"/>
            <w:vAlign w:val="center"/>
            <w:hideMark/>
          </w:tcPr>
          <w:p w14:paraId="7E3654D1"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20-24</w:t>
            </w:r>
          </w:p>
        </w:tc>
        <w:tc>
          <w:tcPr>
            <w:tcW w:w="1769" w:type="dxa"/>
            <w:vAlign w:val="center"/>
            <w:hideMark/>
          </w:tcPr>
          <w:p w14:paraId="0560C5F3" w14:textId="4E768B4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8,967</w:t>
            </w:r>
          </w:p>
        </w:tc>
        <w:tc>
          <w:tcPr>
            <w:tcW w:w="1769" w:type="dxa"/>
            <w:vAlign w:val="center"/>
            <w:hideMark/>
          </w:tcPr>
          <w:p w14:paraId="6C969DAB" w14:textId="34CA12B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9,368</w:t>
            </w:r>
          </w:p>
        </w:tc>
        <w:tc>
          <w:tcPr>
            <w:tcW w:w="1769" w:type="dxa"/>
            <w:vAlign w:val="center"/>
            <w:hideMark/>
          </w:tcPr>
          <w:p w14:paraId="692B9145" w14:textId="473D9E5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402</w:t>
            </w:r>
          </w:p>
        </w:tc>
        <w:tc>
          <w:tcPr>
            <w:tcW w:w="1769" w:type="dxa"/>
            <w:vAlign w:val="center"/>
            <w:hideMark/>
          </w:tcPr>
          <w:p w14:paraId="4770F07D" w14:textId="21F187D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4.5%</w:t>
            </w:r>
          </w:p>
        </w:tc>
      </w:tr>
      <w:tr w:rsidR="005F180B" w:rsidRPr="003A75AB" w14:paraId="5DDC7E5D" w14:textId="77777777" w:rsidTr="004F4BA7">
        <w:tc>
          <w:tcPr>
            <w:tcW w:w="1769" w:type="dxa"/>
            <w:vAlign w:val="center"/>
            <w:hideMark/>
          </w:tcPr>
          <w:p w14:paraId="2D95A4EA"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25-29</w:t>
            </w:r>
          </w:p>
        </w:tc>
        <w:tc>
          <w:tcPr>
            <w:tcW w:w="1769" w:type="dxa"/>
            <w:vAlign w:val="center"/>
            <w:hideMark/>
          </w:tcPr>
          <w:p w14:paraId="60E4836A" w14:textId="49F4269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10,664</w:t>
            </w:r>
          </w:p>
        </w:tc>
        <w:tc>
          <w:tcPr>
            <w:tcW w:w="1769" w:type="dxa"/>
            <w:vAlign w:val="center"/>
            <w:hideMark/>
          </w:tcPr>
          <w:p w14:paraId="3992749E" w14:textId="3678EAC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12,644</w:t>
            </w:r>
          </w:p>
        </w:tc>
        <w:tc>
          <w:tcPr>
            <w:tcW w:w="1769" w:type="dxa"/>
            <w:vAlign w:val="center"/>
            <w:hideMark/>
          </w:tcPr>
          <w:p w14:paraId="42909595" w14:textId="57D4E86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1,980</w:t>
            </w:r>
          </w:p>
        </w:tc>
        <w:tc>
          <w:tcPr>
            <w:tcW w:w="1769" w:type="dxa"/>
            <w:vAlign w:val="center"/>
            <w:hideMark/>
          </w:tcPr>
          <w:p w14:paraId="3FC75A35" w14:textId="1DE3C1A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18.6%</w:t>
            </w:r>
          </w:p>
        </w:tc>
      </w:tr>
      <w:tr w:rsidR="005F180B" w:rsidRPr="003A75AB" w14:paraId="3AB68C83" w14:textId="77777777" w:rsidTr="004F4BA7">
        <w:tc>
          <w:tcPr>
            <w:tcW w:w="1769" w:type="dxa"/>
            <w:vAlign w:val="center"/>
            <w:hideMark/>
          </w:tcPr>
          <w:p w14:paraId="6EE8B131"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30-34</w:t>
            </w:r>
          </w:p>
        </w:tc>
        <w:tc>
          <w:tcPr>
            <w:tcW w:w="1769" w:type="dxa"/>
            <w:vAlign w:val="center"/>
            <w:hideMark/>
          </w:tcPr>
          <w:p w14:paraId="6FE284DB" w14:textId="4588290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11,972</w:t>
            </w:r>
          </w:p>
        </w:tc>
        <w:tc>
          <w:tcPr>
            <w:tcW w:w="1769" w:type="dxa"/>
            <w:vAlign w:val="center"/>
            <w:hideMark/>
          </w:tcPr>
          <w:p w14:paraId="600FC0AA" w14:textId="139A24A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13,485</w:t>
            </w:r>
          </w:p>
        </w:tc>
        <w:tc>
          <w:tcPr>
            <w:tcW w:w="1769" w:type="dxa"/>
            <w:vAlign w:val="center"/>
            <w:hideMark/>
          </w:tcPr>
          <w:p w14:paraId="575F2461" w14:textId="1B7D800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1,512</w:t>
            </w:r>
          </w:p>
        </w:tc>
        <w:tc>
          <w:tcPr>
            <w:tcW w:w="1769" w:type="dxa"/>
            <w:vAlign w:val="center"/>
            <w:hideMark/>
          </w:tcPr>
          <w:p w14:paraId="78038948" w14:textId="38A5401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12.6%</w:t>
            </w:r>
          </w:p>
        </w:tc>
      </w:tr>
      <w:tr w:rsidR="005F180B" w:rsidRPr="003A75AB" w14:paraId="0A3F8545" w14:textId="77777777" w:rsidTr="004F4BA7">
        <w:tc>
          <w:tcPr>
            <w:tcW w:w="1769" w:type="dxa"/>
            <w:vAlign w:val="center"/>
            <w:hideMark/>
          </w:tcPr>
          <w:p w14:paraId="08395316"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35-39</w:t>
            </w:r>
          </w:p>
        </w:tc>
        <w:tc>
          <w:tcPr>
            <w:tcW w:w="1769" w:type="dxa"/>
            <w:vAlign w:val="center"/>
            <w:hideMark/>
          </w:tcPr>
          <w:p w14:paraId="1A353023" w14:textId="3698B15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11,699</w:t>
            </w:r>
          </w:p>
        </w:tc>
        <w:tc>
          <w:tcPr>
            <w:tcW w:w="1769" w:type="dxa"/>
            <w:vAlign w:val="center"/>
            <w:hideMark/>
          </w:tcPr>
          <w:p w14:paraId="05846A96" w14:textId="1AD8EBB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13,337</w:t>
            </w:r>
          </w:p>
        </w:tc>
        <w:tc>
          <w:tcPr>
            <w:tcW w:w="1769" w:type="dxa"/>
            <w:vAlign w:val="center"/>
            <w:hideMark/>
          </w:tcPr>
          <w:p w14:paraId="43F9B4FD" w14:textId="0ED6B3E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1,639</w:t>
            </w:r>
          </w:p>
        </w:tc>
        <w:tc>
          <w:tcPr>
            <w:tcW w:w="1769" w:type="dxa"/>
            <w:vAlign w:val="center"/>
            <w:hideMark/>
          </w:tcPr>
          <w:p w14:paraId="5DA12619" w14:textId="5DC06D2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14.0%</w:t>
            </w:r>
          </w:p>
        </w:tc>
      </w:tr>
      <w:tr w:rsidR="005F180B" w:rsidRPr="003A75AB" w14:paraId="7013D3EB" w14:textId="77777777" w:rsidTr="004F4BA7">
        <w:tc>
          <w:tcPr>
            <w:tcW w:w="1769" w:type="dxa"/>
            <w:vAlign w:val="center"/>
            <w:hideMark/>
          </w:tcPr>
          <w:p w14:paraId="41E86908"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40-44</w:t>
            </w:r>
          </w:p>
        </w:tc>
        <w:tc>
          <w:tcPr>
            <w:tcW w:w="1769" w:type="dxa"/>
            <w:vAlign w:val="center"/>
            <w:hideMark/>
          </w:tcPr>
          <w:p w14:paraId="0C121DE5" w14:textId="31A818E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11,946</w:t>
            </w:r>
          </w:p>
        </w:tc>
        <w:tc>
          <w:tcPr>
            <w:tcW w:w="1769" w:type="dxa"/>
            <w:vAlign w:val="center"/>
            <w:hideMark/>
          </w:tcPr>
          <w:p w14:paraId="2E118055" w14:textId="18CFA5B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14,079</w:t>
            </w:r>
          </w:p>
        </w:tc>
        <w:tc>
          <w:tcPr>
            <w:tcW w:w="1769" w:type="dxa"/>
            <w:vAlign w:val="center"/>
            <w:hideMark/>
          </w:tcPr>
          <w:p w14:paraId="707501CF" w14:textId="7116255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2,133</w:t>
            </w:r>
          </w:p>
        </w:tc>
        <w:tc>
          <w:tcPr>
            <w:tcW w:w="1769" w:type="dxa"/>
            <w:vAlign w:val="center"/>
            <w:hideMark/>
          </w:tcPr>
          <w:p w14:paraId="53D36699" w14:textId="79A45B9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17.9%</w:t>
            </w:r>
          </w:p>
        </w:tc>
      </w:tr>
      <w:tr w:rsidR="005F180B" w:rsidRPr="003A75AB" w14:paraId="1BE94B72" w14:textId="77777777" w:rsidTr="004F4BA7">
        <w:tc>
          <w:tcPr>
            <w:tcW w:w="1769" w:type="dxa"/>
            <w:vAlign w:val="center"/>
            <w:hideMark/>
          </w:tcPr>
          <w:p w14:paraId="43B5E47E"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45-49</w:t>
            </w:r>
          </w:p>
        </w:tc>
        <w:tc>
          <w:tcPr>
            <w:tcW w:w="1769" w:type="dxa"/>
            <w:vAlign w:val="center"/>
            <w:hideMark/>
          </w:tcPr>
          <w:p w14:paraId="340B9502" w14:textId="315AA4F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12,872</w:t>
            </w:r>
          </w:p>
        </w:tc>
        <w:tc>
          <w:tcPr>
            <w:tcW w:w="1769" w:type="dxa"/>
            <w:vAlign w:val="center"/>
            <w:hideMark/>
          </w:tcPr>
          <w:p w14:paraId="3B604265" w14:textId="7D779455"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13,928</w:t>
            </w:r>
          </w:p>
        </w:tc>
        <w:tc>
          <w:tcPr>
            <w:tcW w:w="1769" w:type="dxa"/>
            <w:vAlign w:val="center"/>
            <w:hideMark/>
          </w:tcPr>
          <w:p w14:paraId="76E00045" w14:textId="6F8283B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1,056</w:t>
            </w:r>
          </w:p>
        </w:tc>
        <w:tc>
          <w:tcPr>
            <w:tcW w:w="1769" w:type="dxa"/>
            <w:vAlign w:val="center"/>
            <w:hideMark/>
          </w:tcPr>
          <w:p w14:paraId="0A774045" w14:textId="7D036FEC"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8.2%</w:t>
            </w:r>
          </w:p>
        </w:tc>
      </w:tr>
      <w:tr w:rsidR="005F180B" w:rsidRPr="003A75AB" w14:paraId="355C41AD" w14:textId="77777777" w:rsidTr="004F4BA7">
        <w:tc>
          <w:tcPr>
            <w:tcW w:w="1769" w:type="dxa"/>
            <w:vAlign w:val="center"/>
            <w:hideMark/>
          </w:tcPr>
          <w:p w14:paraId="6000069D"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50-54</w:t>
            </w:r>
          </w:p>
        </w:tc>
        <w:tc>
          <w:tcPr>
            <w:tcW w:w="1769" w:type="dxa"/>
            <w:vAlign w:val="center"/>
            <w:hideMark/>
          </w:tcPr>
          <w:p w14:paraId="7C0AA9B2" w14:textId="07E9A15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13,529</w:t>
            </w:r>
          </w:p>
        </w:tc>
        <w:tc>
          <w:tcPr>
            <w:tcW w:w="1769" w:type="dxa"/>
            <w:vAlign w:val="center"/>
            <w:hideMark/>
          </w:tcPr>
          <w:p w14:paraId="401D0AC0" w14:textId="28DFD3D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14,108</w:t>
            </w:r>
          </w:p>
        </w:tc>
        <w:tc>
          <w:tcPr>
            <w:tcW w:w="1769" w:type="dxa"/>
            <w:vAlign w:val="center"/>
            <w:hideMark/>
          </w:tcPr>
          <w:p w14:paraId="35322F9B" w14:textId="2DCE7FE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579</w:t>
            </w:r>
          </w:p>
        </w:tc>
        <w:tc>
          <w:tcPr>
            <w:tcW w:w="1769" w:type="dxa"/>
            <w:vAlign w:val="center"/>
            <w:hideMark/>
          </w:tcPr>
          <w:p w14:paraId="61592E90" w14:textId="660E700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4.3%</w:t>
            </w:r>
          </w:p>
        </w:tc>
      </w:tr>
      <w:tr w:rsidR="005F180B" w:rsidRPr="003A75AB" w14:paraId="0964FCEA" w14:textId="77777777" w:rsidTr="004F4BA7">
        <w:tc>
          <w:tcPr>
            <w:tcW w:w="1769" w:type="dxa"/>
            <w:vAlign w:val="center"/>
            <w:hideMark/>
          </w:tcPr>
          <w:p w14:paraId="2F504AE3"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55-59</w:t>
            </w:r>
          </w:p>
        </w:tc>
        <w:tc>
          <w:tcPr>
            <w:tcW w:w="1769" w:type="dxa"/>
            <w:vAlign w:val="center"/>
            <w:hideMark/>
          </w:tcPr>
          <w:p w14:paraId="3655B36B" w14:textId="52EBA61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12,776</w:t>
            </w:r>
          </w:p>
        </w:tc>
        <w:tc>
          <w:tcPr>
            <w:tcW w:w="1769" w:type="dxa"/>
            <w:vAlign w:val="center"/>
            <w:hideMark/>
          </w:tcPr>
          <w:p w14:paraId="10D0D841" w14:textId="45A2727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13,438</w:t>
            </w:r>
          </w:p>
        </w:tc>
        <w:tc>
          <w:tcPr>
            <w:tcW w:w="1769" w:type="dxa"/>
            <w:vAlign w:val="center"/>
            <w:hideMark/>
          </w:tcPr>
          <w:p w14:paraId="3704FAEC" w14:textId="040E013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662</w:t>
            </w:r>
          </w:p>
        </w:tc>
        <w:tc>
          <w:tcPr>
            <w:tcW w:w="1769" w:type="dxa"/>
            <w:vAlign w:val="center"/>
            <w:hideMark/>
          </w:tcPr>
          <w:p w14:paraId="551B0A3F" w14:textId="2852825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5.2%</w:t>
            </w:r>
          </w:p>
        </w:tc>
      </w:tr>
      <w:tr w:rsidR="005F180B" w:rsidRPr="003A75AB" w14:paraId="55D642C2" w14:textId="77777777" w:rsidTr="004F4BA7">
        <w:tc>
          <w:tcPr>
            <w:tcW w:w="1769" w:type="dxa"/>
            <w:vAlign w:val="center"/>
            <w:hideMark/>
          </w:tcPr>
          <w:p w14:paraId="02475150"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60-64</w:t>
            </w:r>
          </w:p>
        </w:tc>
        <w:tc>
          <w:tcPr>
            <w:tcW w:w="1769" w:type="dxa"/>
            <w:vAlign w:val="center"/>
            <w:hideMark/>
          </w:tcPr>
          <w:p w14:paraId="0507154D" w14:textId="005EFCC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11,088</w:t>
            </w:r>
          </w:p>
        </w:tc>
        <w:tc>
          <w:tcPr>
            <w:tcW w:w="1769" w:type="dxa"/>
            <w:vAlign w:val="center"/>
            <w:hideMark/>
          </w:tcPr>
          <w:p w14:paraId="7BC8D708" w14:textId="5714287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12,840</w:t>
            </w:r>
          </w:p>
        </w:tc>
        <w:tc>
          <w:tcPr>
            <w:tcW w:w="1769" w:type="dxa"/>
            <w:vAlign w:val="center"/>
            <w:hideMark/>
          </w:tcPr>
          <w:p w14:paraId="62EE373F" w14:textId="3B617D0E"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1,752</w:t>
            </w:r>
          </w:p>
        </w:tc>
        <w:tc>
          <w:tcPr>
            <w:tcW w:w="1769" w:type="dxa"/>
            <w:vAlign w:val="center"/>
            <w:hideMark/>
          </w:tcPr>
          <w:p w14:paraId="67CA456D" w14:textId="260754CF"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15.8%</w:t>
            </w:r>
          </w:p>
        </w:tc>
      </w:tr>
      <w:tr w:rsidR="005F180B" w:rsidRPr="003A75AB" w14:paraId="43CD980C" w14:textId="77777777" w:rsidTr="004F4BA7">
        <w:tc>
          <w:tcPr>
            <w:tcW w:w="1769" w:type="dxa"/>
            <w:vAlign w:val="center"/>
            <w:hideMark/>
          </w:tcPr>
          <w:p w14:paraId="17CBF65A"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65-69</w:t>
            </w:r>
          </w:p>
        </w:tc>
        <w:tc>
          <w:tcPr>
            <w:tcW w:w="1769" w:type="dxa"/>
            <w:vAlign w:val="center"/>
            <w:hideMark/>
          </w:tcPr>
          <w:p w14:paraId="06B6A76D" w14:textId="6B2B675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9,460</w:t>
            </w:r>
          </w:p>
        </w:tc>
        <w:tc>
          <w:tcPr>
            <w:tcW w:w="1769" w:type="dxa"/>
            <w:vAlign w:val="center"/>
            <w:hideMark/>
          </w:tcPr>
          <w:p w14:paraId="2841B413" w14:textId="7B286BF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12,902</w:t>
            </w:r>
          </w:p>
        </w:tc>
        <w:tc>
          <w:tcPr>
            <w:tcW w:w="1769" w:type="dxa"/>
            <w:vAlign w:val="center"/>
            <w:hideMark/>
          </w:tcPr>
          <w:p w14:paraId="7BA60E92" w14:textId="58C2E12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3,442</w:t>
            </w:r>
          </w:p>
        </w:tc>
        <w:tc>
          <w:tcPr>
            <w:tcW w:w="1769" w:type="dxa"/>
            <w:vAlign w:val="center"/>
            <w:hideMark/>
          </w:tcPr>
          <w:p w14:paraId="2C89F6CB" w14:textId="4743BFA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36.4%</w:t>
            </w:r>
          </w:p>
        </w:tc>
      </w:tr>
      <w:tr w:rsidR="005F180B" w:rsidRPr="003A75AB" w14:paraId="5A444A1B" w14:textId="77777777" w:rsidTr="004F4BA7">
        <w:tc>
          <w:tcPr>
            <w:tcW w:w="1769" w:type="dxa"/>
            <w:vAlign w:val="center"/>
            <w:hideMark/>
          </w:tcPr>
          <w:p w14:paraId="414ED715"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70-74</w:t>
            </w:r>
          </w:p>
        </w:tc>
        <w:tc>
          <w:tcPr>
            <w:tcW w:w="1769" w:type="dxa"/>
            <w:vAlign w:val="center"/>
            <w:hideMark/>
          </w:tcPr>
          <w:p w14:paraId="089E087D" w14:textId="0D1D2006"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9,668</w:t>
            </w:r>
          </w:p>
        </w:tc>
        <w:tc>
          <w:tcPr>
            <w:tcW w:w="1769" w:type="dxa"/>
            <w:vAlign w:val="center"/>
            <w:hideMark/>
          </w:tcPr>
          <w:p w14:paraId="31B85E4E" w14:textId="3162474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12,671</w:t>
            </w:r>
          </w:p>
        </w:tc>
        <w:tc>
          <w:tcPr>
            <w:tcW w:w="1769" w:type="dxa"/>
            <w:vAlign w:val="center"/>
            <w:hideMark/>
          </w:tcPr>
          <w:p w14:paraId="0906A756" w14:textId="2255DC2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3,004</w:t>
            </w:r>
          </w:p>
        </w:tc>
        <w:tc>
          <w:tcPr>
            <w:tcW w:w="1769" w:type="dxa"/>
            <w:vAlign w:val="center"/>
            <w:hideMark/>
          </w:tcPr>
          <w:p w14:paraId="5F4E4F47" w14:textId="47DCA0C9"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31.1%</w:t>
            </w:r>
          </w:p>
        </w:tc>
      </w:tr>
      <w:tr w:rsidR="005F180B" w:rsidRPr="003A75AB" w14:paraId="37BB7C74" w14:textId="77777777" w:rsidTr="004F4BA7">
        <w:tc>
          <w:tcPr>
            <w:tcW w:w="1769" w:type="dxa"/>
            <w:vAlign w:val="center"/>
            <w:hideMark/>
          </w:tcPr>
          <w:p w14:paraId="08DBDC8E"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75-79</w:t>
            </w:r>
          </w:p>
        </w:tc>
        <w:tc>
          <w:tcPr>
            <w:tcW w:w="1769" w:type="dxa"/>
            <w:vAlign w:val="center"/>
            <w:hideMark/>
          </w:tcPr>
          <w:p w14:paraId="75A8F8E4" w14:textId="76111602"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6,633</w:t>
            </w:r>
          </w:p>
        </w:tc>
        <w:tc>
          <w:tcPr>
            <w:tcW w:w="1769" w:type="dxa"/>
            <w:vAlign w:val="center"/>
            <w:hideMark/>
          </w:tcPr>
          <w:p w14:paraId="6E6143B4" w14:textId="08864683"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10,994</w:t>
            </w:r>
          </w:p>
        </w:tc>
        <w:tc>
          <w:tcPr>
            <w:tcW w:w="1769" w:type="dxa"/>
            <w:vAlign w:val="center"/>
            <w:hideMark/>
          </w:tcPr>
          <w:p w14:paraId="246F3A6B" w14:textId="224BC5C4"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4,361</w:t>
            </w:r>
          </w:p>
        </w:tc>
        <w:tc>
          <w:tcPr>
            <w:tcW w:w="1769" w:type="dxa"/>
            <w:vAlign w:val="center"/>
            <w:hideMark/>
          </w:tcPr>
          <w:p w14:paraId="5A20CF3F" w14:textId="4FEEB031"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65.8%</w:t>
            </w:r>
          </w:p>
        </w:tc>
      </w:tr>
      <w:tr w:rsidR="005F180B" w:rsidRPr="003A75AB" w14:paraId="508AACC8" w14:textId="77777777" w:rsidTr="004F4BA7">
        <w:tc>
          <w:tcPr>
            <w:tcW w:w="1769" w:type="dxa"/>
            <w:vAlign w:val="center"/>
            <w:hideMark/>
          </w:tcPr>
          <w:p w14:paraId="2EA23C71"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80-84</w:t>
            </w:r>
          </w:p>
        </w:tc>
        <w:tc>
          <w:tcPr>
            <w:tcW w:w="1769" w:type="dxa"/>
            <w:vAlign w:val="center"/>
            <w:hideMark/>
          </w:tcPr>
          <w:p w14:paraId="20F58DC6" w14:textId="12EA264A"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4,412</w:t>
            </w:r>
          </w:p>
        </w:tc>
        <w:tc>
          <w:tcPr>
            <w:tcW w:w="1769" w:type="dxa"/>
            <w:vAlign w:val="center"/>
            <w:hideMark/>
          </w:tcPr>
          <w:p w14:paraId="074CACCA" w14:textId="3BCB9A3B"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8,267</w:t>
            </w:r>
          </w:p>
        </w:tc>
        <w:tc>
          <w:tcPr>
            <w:tcW w:w="1769" w:type="dxa"/>
            <w:vAlign w:val="center"/>
            <w:hideMark/>
          </w:tcPr>
          <w:p w14:paraId="238D7C47" w14:textId="0CE8AFDD"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3,855</w:t>
            </w:r>
          </w:p>
        </w:tc>
        <w:tc>
          <w:tcPr>
            <w:tcW w:w="1769" w:type="dxa"/>
            <w:vAlign w:val="center"/>
            <w:hideMark/>
          </w:tcPr>
          <w:p w14:paraId="05E580CB" w14:textId="55AF7060"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87.4%</w:t>
            </w:r>
          </w:p>
        </w:tc>
      </w:tr>
      <w:tr w:rsidR="005F180B" w:rsidRPr="003A75AB" w14:paraId="5BA220EA" w14:textId="77777777" w:rsidTr="004F4BA7">
        <w:tc>
          <w:tcPr>
            <w:tcW w:w="1769" w:type="dxa"/>
            <w:vAlign w:val="center"/>
            <w:hideMark/>
          </w:tcPr>
          <w:p w14:paraId="731367F8" w14:textId="77777777" w:rsidR="0021172F" w:rsidRPr="004F4BA7" w:rsidRDefault="0021172F" w:rsidP="003A75AB">
            <w:pPr>
              <w:keepNext/>
              <w:widowControl w:val="0"/>
              <w:rPr>
                <w:rFonts w:ascii="Arial Narrow" w:hAnsi="Arial Narrow"/>
                <w:sz w:val="24"/>
                <w:szCs w:val="24"/>
              </w:rPr>
            </w:pPr>
            <w:r w:rsidRPr="004F4BA7">
              <w:rPr>
                <w:rFonts w:ascii="Arial Narrow" w:hAnsi="Arial Narrow"/>
                <w:sz w:val="24"/>
                <w:szCs w:val="24"/>
              </w:rPr>
              <w:t>85+</w:t>
            </w:r>
          </w:p>
        </w:tc>
        <w:tc>
          <w:tcPr>
            <w:tcW w:w="1769" w:type="dxa"/>
            <w:vAlign w:val="center"/>
            <w:hideMark/>
          </w:tcPr>
          <w:p w14:paraId="4A8883D6" w14:textId="4676EA7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3,578</w:t>
            </w:r>
          </w:p>
        </w:tc>
        <w:tc>
          <w:tcPr>
            <w:tcW w:w="1769" w:type="dxa"/>
            <w:vAlign w:val="center"/>
            <w:hideMark/>
          </w:tcPr>
          <w:p w14:paraId="72369490" w14:textId="5B0DBE08"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9,324</w:t>
            </w:r>
          </w:p>
        </w:tc>
        <w:tc>
          <w:tcPr>
            <w:tcW w:w="1769" w:type="dxa"/>
            <w:vAlign w:val="center"/>
            <w:hideMark/>
          </w:tcPr>
          <w:p w14:paraId="32EE40C4" w14:textId="39401AD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5,746</w:t>
            </w:r>
          </w:p>
        </w:tc>
        <w:tc>
          <w:tcPr>
            <w:tcW w:w="1769" w:type="dxa"/>
            <w:vAlign w:val="center"/>
            <w:hideMark/>
          </w:tcPr>
          <w:p w14:paraId="79375AC5" w14:textId="6B526D17" w:rsidR="0021172F" w:rsidRPr="004F4BA7" w:rsidRDefault="0021172F" w:rsidP="003A75AB">
            <w:pPr>
              <w:keepNext/>
              <w:jc w:val="center"/>
              <w:rPr>
                <w:rFonts w:ascii="Arial Narrow" w:hAnsi="Arial Narrow"/>
                <w:color w:val="000000"/>
                <w:sz w:val="24"/>
                <w:szCs w:val="24"/>
              </w:rPr>
            </w:pPr>
            <w:r w:rsidRPr="004F4BA7">
              <w:rPr>
                <w:rFonts w:ascii="Arial Narrow" w:hAnsi="Arial Narrow"/>
                <w:color w:val="000000"/>
                <w:sz w:val="24"/>
                <w:szCs w:val="24"/>
              </w:rPr>
              <w:t>160.6%</w:t>
            </w:r>
          </w:p>
        </w:tc>
      </w:tr>
      <w:tr w:rsidR="005F180B" w:rsidRPr="003A75AB" w14:paraId="55058155" w14:textId="77777777" w:rsidTr="004F4BA7">
        <w:tc>
          <w:tcPr>
            <w:tcW w:w="1769" w:type="dxa"/>
            <w:vAlign w:val="center"/>
            <w:hideMark/>
          </w:tcPr>
          <w:p w14:paraId="75D599D4" w14:textId="77777777" w:rsidR="0021172F" w:rsidRPr="004F4BA7" w:rsidRDefault="0021172F" w:rsidP="003A75AB">
            <w:pPr>
              <w:keepNext/>
              <w:widowControl w:val="0"/>
              <w:rPr>
                <w:rFonts w:ascii="Arial Narrow" w:hAnsi="Arial Narrow"/>
                <w:b/>
                <w:bCs/>
                <w:sz w:val="24"/>
                <w:szCs w:val="24"/>
              </w:rPr>
            </w:pPr>
            <w:r w:rsidRPr="004F4BA7">
              <w:rPr>
                <w:rFonts w:ascii="Arial Narrow" w:hAnsi="Arial Narrow"/>
                <w:b/>
                <w:bCs/>
                <w:sz w:val="24"/>
                <w:szCs w:val="24"/>
              </w:rPr>
              <w:t>Total</w:t>
            </w:r>
          </w:p>
        </w:tc>
        <w:tc>
          <w:tcPr>
            <w:tcW w:w="1769" w:type="dxa"/>
            <w:vAlign w:val="center"/>
            <w:hideMark/>
          </w:tcPr>
          <w:p w14:paraId="1E7B5EA4" w14:textId="542FF408"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180,989</w:t>
            </w:r>
          </w:p>
        </w:tc>
        <w:tc>
          <w:tcPr>
            <w:tcW w:w="1769" w:type="dxa"/>
            <w:vAlign w:val="center"/>
            <w:hideMark/>
          </w:tcPr>
          <w:p w14:paraId="7DEA8088" w14:textId="4EB1A74E"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217,198</w:t>
            </w:r>
          </w:p>
        </w:tc>
        <w:tc>
          <w:tcPr>
            <w:tcW w:w="1769" w:type="dxa"/>
            <w:vAlign w:val="center"/>
            <w:hideMark/>
          </w:tcPr>
          <w:p w14:paraId="2851E223" w14:textId="106C315B"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36,209</w:t>
            </w:r>
          </w:p>
        </w:tc>
        <w:tc>
          <w:tcPr>
            <w:tcW w:w="1769" w:type="dxa"/>
            <w:vAlign w:val="center"/>
            <w:hideMark/>
          </w:tcPr>
          <w:p w14:paraId="685D0E96" w14:textId="21AE379E" w:rsidR="0021172F" w:rsidRPr="004F4BA7" w:rsidRDefault="0021172F"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20.0%</w:t>
            </w:r>
          </w:p>
        </w:tc>
      </w:tr>
    </w:tbl>
    <w:p w14:paraId="4F3F88D9"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5371C70B" w14:textId="0C99C2F2" w:rsidR="00270765" w:rsidRPr="003E6243" w:rsidRDefault="00270765" w:rsidP="003D5E23">
      <w:pPr>
        <w:pStyle w:val="Tableheading"/>
        <w:numPr>
          <w:ilvl w:val="0"/>
          <w:numId w:val="0"/>
        </w:numPr>
        <w:ind w:left="794"/>
      </w:pPr>
      <w:r w:rsidRPr="003E6243">
        <w:t>Population change 2020 to 2040 by broad age bands linked to Standard Method – Hunt</w:t>
      </w:r>
      <w:r w:rsidR="003A2EF8">
        <w:t>ingdonshire</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721EEFE3" w14:textId="77777777" w:rsidTr="004F4BA7">
        <w:tc>
          <w:tcPr>
            <w:tcW w:w="1305" w:type="dxa"/>
          </w:tcPr>
          <w:p w14:paraId="4EEDE582" w14:textId="77777777" w:rsidR="009107FE" w:rsidRPr="004F4BA7" w:rsidRDefault="009107FE" w:rsidP="009107FE">
            <w:pPr>
              <w:keepNext/>
              <w:rPr>
                <w:rFonts w:ascii="Arial Narrow" w:hAnsi="Arial Narrow"/>
                <w:sz w:val="24"/>
                <w:szCs w:val="24"/>
              </w:rPr>
            </w:pPr>
          </w:p>
        </w:tc>
        <w:tc>
          <w:tcPr>
            <w:tcW w:w="1885" w:type="dxa"/>
            <w:vAlign w:val="center"/>
            <w:hideMark/>
          </w:tcPr>
          <w:p w14:paraId="178A9760"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3ADE0DF9"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73CAE9F6" w14:textId="3F01B9F1"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4A7E80C5" w14:textId="6923E419"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2A7A2A1F" w14:textId="77777777" w:rsidTr="004F4BA7">
        <w:tc>
          <w:tcPr>
            <w:tcW w:w="1305" w:type="dxa"/>
            <w:hideMark/>
          </w:tcPr>
          <w:p w14:paraId="27E5CE01"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Under 16</w:t>
            </w:r>
          </w:p>
        </w:tc>
        <w:tc>
          <w:tcPr>
            <w:tcW w:w="1885" w:type="dxa"/>
            <w:vAlign w:val="center"/>
            <w:hideMark/>
          </w:tcPr>
          <w:p w14:paraId="361CBDA0" w14:textId="33986DC8"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34,050</w:t>
            </w:r>
          </w:p>
        </w:tc>
        <w:tc>
          <w:tcPr>
            <w:tcW w:w="1885" w:type="dxa"/>
            <w:vAlign w:val="center"/>
            <w:hideMark/>
          </w:tcPr>
          <w:p w14:paraId="07A384FC" w14:textId="3425EB9E"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37,708</w:t>
            </w:r>
          </w:p>
        </w:tc>
        <w:tc>
          <w:tcPr>
            <w:tcW w:w="1885" w:type="dxa"/>
            <w:vAlign w:val="center"/>
            <w:hideMark/>
          </w:tcPr>
          <w:p w14:paraId="27317391" w14:textId="2DCCE770"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3,657</w:t>
            </w:r>
          </w:p>
        </w:tc>
        <w:tc>
          <w:tcPr>
            <w:tcW w:w="1885" w:type="dxa"/>
            <w:vAlign w:val="center"/>
            <w:hideMark/>
          </w:tcPr>
          <w:p w14:paraId="2F2B481C" w14:textId="28D781C4"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10.7%</w:t>
            </w:r>
          </w:p>
        </w:tc>
      </w:tr>
      <w:tr w:rsidR="005F180B" w:rsidRPr="003A75AB" w14:paraId="0EE35806" w14:textId="77777777" w:rsidTr="004F4BA7">
        <w:tc>
          <w:tcPr>
            <w:tcW w:w="1305" w:type="dxa"/>
            <w:hideMark/>
          </w:tcPr>
          <w:p w14:paraId="2BAEB9D6"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16-64</w:t>
            </w:r>
          </w:p>
        </w:tc>
        <w:tc>
          <w:tcPr>
            <w:tcW w:w="1885" w:type="dxa"/>
            <w:vAlign w:val="center"/>
            <w:hideMark/>
          </w:tcPr>
          <w:p w14:paraId="691C00A9" w14:textId="6E99FA04"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113,189</w:t>
            </w:r>
          </w:p>
        </w:tc>
        <w:tc>
          <w:tcPr>
            <w:tcW w:w="1885" w:type="dxa"/>
            <w:vAlign w:val="center"/>
            <w:hideMark/>
          </w:tcPr>
          <w:p w14:paraId="72523CE4" w14:textId="2419660A"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125,333</w:t>
            </w:r>
          </w:p>
        </w:tc>
        <w:tc>
          <w:tcPr>
            <w:tcW w:w="1885" w:type="dxa"/>
            <w:vAlign w:val="center"/>
            <w:hideMark/>
          </w:tcPr>
          <w:p w14:paraId="57F6ED70" w14:textId="7D6C4766"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12,144</w:t>
            </w:r>
          </w:p>
        </w:tc>
        <w:tc>
          <w:tcPr>
            <w:tcW w:w="1885" w:type="dxa"/>
            <w:vAlign w:val="center"/>
            <w:hideMark/>
          </w:tcPr>
          <w:p w14:paraId="36FFD035" w14:textId="3DFC15FB"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10.7%</w:t>
            </w:r>
          </w:p>
        </w:tc>
      </w:tr>
      <w:tr w:rsidR="005F180B" w:rsidRPr="003A75AB" w14:paraId="17356700" w14:textId="77777777" w:rsidTr="004F4BA7">
        <w:tc>
          <w:tcPr>
            <w:tcW w:w="1305" w:type="dxa"/>
            <w:hideMark/>
          </w:tcPr>
          <w:p w14:paraId="42B49EB1"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65+</w:t>
            </w:r>
          </w:p>
        </w:tc>
        <w:tc>
          <w:tcPr>
            <w:tcW w:w="1885" w:type="dxa"/>
            <w:vAlign w:val="center"/>
            <w:hideMark/>
          </w:tcPr>
          <w:p w14:paraId="2638D534" w14:textId="0AE416D4"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33,750</w:t>
            </w:r>
          </w:p>
        </w:tc>
        <w:tc>
          <w:tcPr>
            <w:tcW w:w="1885" w:type="dxa"/>
            <w:vAlign w:val="center"/>
            <w:hideMark/>
          </w:tcPr>
          <w:p w14:paraId="6D57EAC1" w14:textId="6B4C71EB"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54,158</w:t>
            </w:r>
          </w:p>
        </w:tc>
        <w:tc>
          <w:tcPr>
            <w:tcW w:w="1885" w:type="dxa"/>
            <w:vAlign w:val="center"/>
            <w:hideMark/>
          </w:tcPr>
          <w:p w14:paraId="60D5D729" w14:textId="6EBB3955"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20,408</w:t>
            </w:r>
          </w:p>
        </w:tc>
        <w:tc>
          <w:tcPr>
            <w:tcW w:w="1885" w:type="dxa"/>
            <w:vAlign w:val="center"/>
            <w:hideMark/>
          </w:tcPr>
          <w:p w14:paraId="06AC3337" w14:textId="1F93608D" w:rsidR="00C2129B" w:rsidRPr="004F4BA7" w:rsidRDefault="00C2129B" w:rsidP="003A75AB">
            <w:pPr>
              <w:keepNext/>
              <w:jc w:val="center"/>
              <w:rPr>
                <w:rFonts w:ascii="Arial Narrow" w:hAnsi="Arial Narrow"/>
                <w:color w:val="000000"/>
                <w:sz w:val="24"/>
                <w:szCs w:val="24"/>
              </w:rPr>
            </w:pPr>
            <w:r w:rsidRPr="004F4BA7">
              <w:rPr>
                <w:rFonts w:ascii="Arial Narrow" w:hAnsi="Arial Narrow"/>
                <w:color w:val="000000"/>
                <w:sz w:val="24"/>
                <w:szCs w:val="24"/>
              </w:rPr>
              <w:t>60.5%</w:t>
            </w:r>
          </w:p>
        </w:tc>
      </w:tr>
      <w:tr w:rsidR="005F180B" w:rsidRPr="003A75AB" w14:paraId="2CD0F7AF" w14:textId="77777777" w:rsidTr="004F4BA7">
        <w:tc>
          <w:tcPr>
            <w:tcW w:w="1305" w:type="dxa"/>
            <w:hideMark/>
          </w:tcPr>
          <w:p w14:paraId="76BD304E" w14:textId="77777777" w:rsidR="00C2129B" w:rsidRPr="004F4BA7" w:rsidRDefault="00C2129B" w:rsidP="00C2129B">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52F32136" w14:textId="73EBBFA3"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180,989</w:t>
            </w:r>
          </w:p>
        </w:tc>
        <w:tc>
          <w:tcPr>
            <w:tcW w:w="1885" w:type="dxa"/>
            <w:vAlign w:val="center"/>
            <w:hideMark/>
          </w:tcPr>
          <w:p w14:paraId="544DFEA4" w14:textId="1302F875"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217,198</w:t>
            </w:r>
          </w:p>
        </w:tc>
        <w:tc>
          <w:tcPr>
            <w:tcW w:w="1885" w:type="dxa"/>
            <w:vAlign w:val="center"/>
            <w:hideMark/>
          </w:tcPr>
          <w:p w14:paraId="4F2EB43E" w14:textId="740258B3"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36,209</w:t>
            </w:r>
          </w:p>
        </w:tc>
        <w:tc>
          <w:tcPr>
            <w:tcW w:w="1885" w:type="dxa"/>
            <w:vAlign w:val="center"/>
            <w:hideMark/>
          </w:tcPr>
          <w:p w14:paraId="4DC5801F" w14:textId="1911ADB6" w:rsidR="00C2129B" w:rsidRPr="004F4BA7" w:rsidRDefault="00C2129B" w:rsidP="003A75AB">
            <w:pPr>
              <w:keepNext/>
              <w:jc w:val="center"/>
              <w:rPr>
                <w:rFonts w:ascii="Arial Narrow" w:hAnsi="Arial Narrow"/>
                <w:b/>
                <w:bCs/>
                <w:color w:val="000000"/>
                <w:sz w:val="24"/>
                <w:szCs w:val="24"/>
              </w:rPr>
            </w:pPr>
            <w:r w:rsidRPr="004F4BA7">
              <w:rPr>
                <w:rFonts w:ascii="Arial Narrow" w:hAnsi="Arial Narrow"/>
                <w:b/>
                <w:bCs/>
                <w:color w:val="000000"/>
                <w:sz w:val="24"/>
                <w:szCs w:val="24"/>
              </w:rPr>
              <w:t>20.0%</w:t>
            </w:r>
          </w:p>
        </w:tc>
      </w:tr>
    </w:tbl>
    <w:p w14:paraId="67BAC6EB"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036E171E" w14:textId="68437255" w:rsidR="000D2A90" w:rsidRPr="003E6243" w:rsidRDefault="000D2A90" w:rsidP="003D5E23">
      <w:pPr>
        <w:pStyle w:val="Tableheading"/>
        <w:numPr>
          <w:ilvl w:val="0"/>
          <w:numId w:val="0"/>
        </w:numPr>
        <w:ind w:left="794"/>
      </w:pPr>
      <w:r w:rsidRPr="003E6243">
        <w:lastRenderedPageBreak/>
        <w:t>Older persons change 2020 to 2040 by age bands linked to Standard Method – Hunt</w:t>
      </w:r>
      <w:r w:rsidR="003A2EF8">
        <w:t>ingdonshire</w:t>
      </w:r>
    </w:p>
    <w:tbl>
      <w:tblPr>
        <w:tblStyle w:val="TableGridLight1"/>
        <w:tblW w:w="8845" w:type="dxa"/>
        <w:tblInd w:w="794" w:type="dxa"/>
        <w:tblLook w:val="04A0" w:firstRow="1" w:lastRow="0" w:firstColumn="1" w:lastColumn="0" w:noHBand="0" w:noVBand="1"/>
      </w:tblPr>
      <w:tblGrid>
        <w:gridCol w:w="1769"/>
        <w:gridCol w:w="1769"/>
        <w:gridCol w:w="1769"/>
        <w:gridCol w:w="1769"/>
        <w:gridCol w:w="1769"/>
      </w:tblGrid>
      <w:tr w:rsidR="003A75AB" w:rsidRPr="003A75AB" w14:paraId="5ED645CB" w14:textId="77777777" w:rsidTr="004F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31798309" w14:textId="77777777" w:rsidR="000D2A90" w:rsidRPr="004F4BA7" w:rsidRDefault="000D2A90" w:rsidP="008B0419">
            <w:pPr>
              <w:keepNext/>
              <w:spacing w:line="300" w:lineRule="auto"/>
              <w:rPr>
                <w:color w:val="auto"/>
                <w:lang w:eastAsia="en-GB"/>
              </w:rPr>
            </w:pPr>
            <w:r w:rsidRPr="004F4BA7">
              <w:rPr>
                <w:color w:val="auto"/>
                <w:lang w:eastAsia="en-GB"/>
              </w:rPr>
              <w:t> </w:t>
            </w:r>
          </w:p>
        </w:tc>
        <w:tc>
          <w:tcPr>
            <w:tcW w:w="1769" w:type="dxa"/>
            <w:hideMark/>
          </w:tcPr>
          <w:p w14:paraId="1DA4BF65" w14:textId="77777777" w:rsidR="000D2A90" w:rsidRPr="004F4BA7" w:rsidRDefault="000D2A90" w:rsidP="003A75AB">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2020</w:t>
            </w:r>
          </w:p>
        </w:tc>
        <w:tc>
          <w:tcPr>
            <w:tcW w:w="1769" w:type="dxa"/>
            <w:hideMark/>
          </w:tcPr>
          <w:p w14:paraId="544F5856" w14:textId="77777777" w:rsidR="000D2A90" w:rsidRPr="004F4BA7" w:rsidRDefault="000D2A90" w:rsidP="003A75AB">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w:t>
            </w:r>
          </w:p>
        </w:tc>
        <w:tc>
          <w:tcPr>
            <w:tcW w:w="1769" w:type="dxa"/>
            <w:hideMark/>
          </w:tcPr>
          <w:p w14:paraId="02FCC27F" w14:textId="77777777" w:rsidR="000D2A90" w:rsidRPr="004F4BA7" w:rsidRDefault="000D2A90" w:rsidP="003A75AB">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Change</w:t>
            </w:r>
          </w:p>
        </w:tc>
        <w:tc>
          <w:tcPr>
            <w:tcW w:w="1769" w:type="dxa"/>
            <w:hideMark/>
          </w:tcPr>
          <w:p w14:paraId="35BE4127" w14:textId="20F274B7" w:rsidR="000D2A90" w:rsidRPr="004F4BA7" w:rsidRDefault="000D2A90" w:rsidP="003A75AB">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xml:space="preserve">% </w:t>
            </w:r>
            <w:r w:rsidR="00552654" w:rsidRPr="004F4BA7">
              <w:rPr>
                <w:color w:val="auto"/>
                <w:lang w:eastAsia="en-GB"/>
              </w:rPr>
              <w:t>C</w:t>
            </w:r>
            <w:r w:rsidRPr="004F4BA7">
              <w:rPr>
                <w:color w:val="auto"/>
                <w:lang w:eastAsia="en-GB"/>
              </w:rPr>
              <w:t>hange</w:t>
            </w:r>
          </w:p>
        </w:tc>
      </w:tr>
      <w:tr w:rsidR="003A75AB" w:rsidRPr="003A75AB" w14:paraId="62A92897"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5D40584F" w14:textId="77777777" w:rsidR="0030608F" w:rsidRPr="004F4BA7" w:rsidRDefault="0030608F" w:rsidP="008B0419">
            <w:pPr>
              <w:keepNext/>
              <w:spacing w:line="300" w:lineRule="auto"/>
              <w:rPr>
                <w:color w:val="auto"/>
                <w:lang w:eastAsia="en-GB"/>
              </w:rPr>
            </w:pPr>
            <w:r w:rsidRPr="004F4BA7">
              <w:rPr>
                <w:color w:val="auto"/>
                <w:lang w:eastAsia="en-GB"/>
              </w:rPr>
              <w:t>Under 65</w:t>
            </w:r>
          </w:p>
        </w:tc>
        <w:tc>
          <w:tcPr>
            <w:tcW w:w="1769" w:type="dxa"/>
            <w:hideMark/>
          </w:tcPr>
          <w:p w14:paraId="0888A731" w14:textId="5641DB22"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147,239</w:t>
            </w:r>
          </w:p>
        </w:tc>
        <w:tc>
          <w:tcPr>
            <w:tcW w:w="1769" w:type="dxa"/>
            <w:hideMark/>
          </w:tcPr>
          <w:p w14:paraId="7D82CA21" w14:textId="37809426"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163,041</w:t>
            </w:r>
          </w:p>
        </w:tc>
        <w:tc>
          <w:tcPr>
            <w:tcW w:w="1769" w:type="dxa"/>
            <w:hideMark/>
          </w:tcPr>
          <w:p w14:paraId="1D915132" w14:textId="5AC045C0"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15,802</w:t>
            </w:r>
          </w:p>
        </w:tc>
        <w:tc>
          <w:tcPr>
            <w:tcW w:w="1769" w:type="dxa"/>
            <w:hideMark/>
          </w:tcPr>
          <w:p w14:paraId="6AE4B2B8" w14:textId="1D40CFB0"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10.7%</w:t>
            </w:r>
          </w:p>
        </w:tc>
      </w:tr>
      <w:tr w:rsidR="003A75AB" w:rsidRPr="003A75AB" w14:paraId="5521C3F4"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0E870A7E" w14:textId="77777777" w:rsidR="0030608F" w:rsidRPr="004F4BA7" w:rsidRDefault="0030608F" w:rsidP="008B0419">
            <w:pPr>
              <w:keepNext/>
              <w:spacing w:line="300" w:lineRule="auto"/>
              <w:rPr>
                <w:color w:val="auto"/>
                <w:lang w:eastAsia="en-GB"/>
              </w:rPr>
            </w:pPr>
            <w:r w:rsidRPr="004F4BA7">
              <w:rPr>
                <w:color w:val="auto"/>
                <w:lang w:eastAsia="en-GB"/>
              </w:rPr>
              <w:t>65-74</w:t>
            </w:r>
          </w:p>
        </w:tc>
        <w:tc>
          <w:tcPr>
            <w:tcW w:w="1769" w:type="dxa"/>
            <w:hideMark/>
          </w:tcPr>
          <w:p w14:paraId="6DAA2AE2" w14:textId="5A6C4CDB"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19,127</w:t>
            </w:r>
          </w:p>
        </w:tc>
        <w:tc>
          <w:tcPr>
            <w:tcW w:w="1769" w:type="dxa"/>
            <w:hideMark/>
          </w:tcPr>
          <w:p w14:paraId="343C1943" w14:textId="07CD5710"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25,573</w:t>
            </w:r>
          </w:p>
        </w:tc>
        <w:tc>
          <w:tcPr>
            <w:tcW w:w="1769" w:type="dxa"/>
            <w:hideMark/>
          </w:tcPr>
          <w:p w14:paraId="00A1EE3E" w14:textId="6B91AAB2"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6,446</w:t>
            </w:r>
          </w:p>
        </w:tc>
        <w:tc>
          <w:tcPr>
            <w:tcW w:w="1769" w:type="dxa"/>
            <w:hideMark/>
          </w:tcPr>
          <w:p w14:paraId="5F3D7E43" w14:textId="4E4E5D1C"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33.7%</w:t>
            </w:r>
          </w:p>
        </w:tc>
      </w:tr>
      <w:tr w:rsidR="003A75AB" w:rsidRPr="003A75AB" w14:paraId="1148388F"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0B67575D" w14:textId="77777777" w:rsidR="0030608F" w:rsidRPr="004F4BA7" w:rsidRDefault="0030608F" w:rsidP="008B0419">
            <w:pPr>
              <w:keepNext/>
              <w:spacing w:line="300" w:lineRule="auto"/>
              <w:rPr>
                <w:color w:val="auto"/>
                <w:lang w:eastAsia="en-GB"/>
              </w:rPr>
            </w:pPr>
            <w:r w:rsidRPr="004F4BA7">
              <w:rPr>
                <w:color w:val="auto"/>
                <w:lang w:eastAsia="en-GB"/>
              </w:rPr>
              <w:t>75-84</w:t>
            </w:r>
          </w:p>
        </w:tc>
        <w:tc>
          <w:tcPr>
            <w:tcW w:w="1769" w:type="dxa"/>
            <w:hideMark/>
          </w:tcPr>
          <w:p w14:paraId="168F3798" w14:textId="2F56CB1F"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11,045</w:t>
            </w:r>
          </w:p>
        </w:tc>
        <w:tc>
          <w:tcPr>
            <w:tcW w:w="1769" w:type="dxa"/>
            <w:hideMark/>
          </w:tcPr>
          <w:p w14:paraId="0F548D86" w14:textId="2FBB36D6"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19,261</w:t>
            </w:r>
          </w:p>
        </w:tc>
        <w:tc>
          <w:tcPr>
            <w:tcW w:w="1769" w:type="dxa"/>
            <w:hideMark/>
          </w:tcPr>
          <w:p w14:paraId="39C61636" w14:textId="3C3369AA"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8,216</w:t>
            </w:r>
          </w:p>
        </w:tc>
        <w:tc>
          <w:tcPr>
            <w:tcW w:w="1769" w:type="dxa"/>
            <w:hideMark/>
          </w:tcPr>
          <w:p w14:paraId="7F4EE8DC" w14:textId="34DD5E71"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74.4%</w:t>
            </w:r>
          </w:p>
        </w:tc>
      </w:tr>
      <w:tr w:rsidR="003A75AB" w:rsidRPr="003A75AB" w14:paraId="62380195"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1AAE8A83" w14:textId="77777777" w:rsidR="0030608F" w:rsidRPr="004F4BA7" w:rsidRDefault="0030608F" w:rsidP="008B0419">
            <w:pPr>
              <w:keepNext/>
              <w:spacing w:line="300" w:lineRule="auto"/>
              <w:rPr>
                <w:color w:val="auto"/>
                <w:lang w:eastAsia="en-GB"/>
              </w:rPr>
            </w:pPr>
            <w:r w:rsidRPr="004F4BA7">
              <w:rPr>
                <w:color w:val="auto"/>
                <w:lang w:eastAsia="en-GB"/>
              </w:rPr>
              <w:t>85+</w:t>
            </w:r>
          </w:p>
        </w:tc>
        <w:tc>
          <w:tcPr>
            <w:tcW w:w="1769" w:type="dxa"/>
            <w:hideMark/>
          </w:tcPr>
          <w:p w14:paraId="35047EC9" w14:textId="2B7CDD22"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3,578</w:t>
            </w:r>
          </w:p>
        </w:tc>
        <w:tc>
          <w:tcPr>
            <w:tcW w:w="1769" w:type="dxa"/>
            <w:hideMark/>
          </w:tcPr>
          <w:p w14:paraId="0880AB88" w14:textId="703C3126"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9,324</w:t>
            </w:r>
          </w:p>
        </w:tc>
        <w:tc>
          <w:tcPr>
            <w:tcW w:w="1769" w:type="dxa"/>
            <w:hideMark/>
          </w:tcPr>
          <w:p w14:paraId="4B4130F6" w14:textId="503669CD"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5,746</w:t>
            </w:r>
          </w:p>
        </w:tc>
        <w:tc>
          <w:tcPr>
            <w:tcW w:w="1769" w:type="dxa"/>
            <w:hideMark/>
          </w:tcPr>
          <w:p w14:paraId="1F001BD2" w14:textId="5285C5FF"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160.6%</w:t>
            </w:r>
          </w:p>
        </w:tc>
      </w:tr>
      <w:tr w:rsidR="003A75AB" w:rsidRPr="003A75AB" w14:paraId="773E1370"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19A1971C" w14:textId="77777777" w:rsidR="0030608F" w:rsidRPr="004F4BA7" w:rsidRDefault="0030608F" w:rsidP="008B0419">
            <w:pPr>
              <w:keepNext/>
              <w:spacing w:line="300" w:lineRule="auto"/>
              <w:rPr>
                <w:b/>
                <w:bCs/>
                <w:color w:val="auto"/>
                <w:lang w:eastAsia="en-GB"/>
              </w:rPr>
            </w:pPr>
            <w:r w:rsidRPr="004F4BA7">
              <w:rPr>
                <w:b/>
                <w:bCs/>
                <w:color w:val="auto"/>
                <w:lang w:eastAsia="en-GB"/>
              </w:rPr>
              <w:t>Total</w:t>
            </w:r>
          </w:p>
        </w:tc>
        <w:tc>
          <w:tcPr>
            <w:tcW w:w="1769" w:type="dxa"/>
            <w:hideMark/>
          </w:tcPr>
          <w:p w14:paraId="672EC8D0" w14:textId="7109B062"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180,989</w:t>
            </w:r>
          </w:p>
        </w:tc>
        <w:tc>
          <w:tcPr>
            <w:tcW w:w="1769" w:type="dxa"/>
            <w:hideMark/>
          </w:tcPr>
          <w:p w14:paraId="08DAC3E2" w14:textId="475DB7FB"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217,198</w:t>
            </w:r>
          </w:p>
        </w:tc>
        <w:tc>
          <w:tcPr>
            <w:tcW w:w="1769" w:type="dxa"/>
            <w:hideMark/>
          </w:tcPr>
          <w:p w14:paraId="4B99734B" w14:textId="7167EB34"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36,209</w:t>
            </w:r>
          </w:p>
        </w:tc>
        <w:tc>
          <w:tcPr>
            <w:tcW w:w="1769" w:type="dxa"/>
            <w:hideMark/>
          </w:tcPr>
          <w:p w14:paraId="58E8D4F1" w14:textId="3AB70D9F" w:rsidR="0030608F" w:rsidRPr="004F4BA7" w:rsidRDefault="0030608F" w:rsidP="003A75AB">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20.0%</w:t>
            </w:r>
          </w:p>
        </w:tc>
      </w:tr>
      <w:tr w:rsidR="003A75AB" w:rsidRPr="0061251C" w14:paraId="572E1642" w14:textId="77777777" w:rsidTr="004F4BA7">
        <w:tc>
          <w:tcPr>
            <w:cnfStyle w:val="001000000000" w:firstRow="0" w:lastRow="0" w:firstColumn="1" w:lastColumn="0" w:oddVBand="0" w:evenVBand="0" w:oddHBand="0" w:evenHBand="0" w:firstRowFirstColumn="0" w:firstRowLastColumn="0" w:lastRowFirstColumn="0" w:lastRowLastColumn="0"/>
            <w:tcW w:w="1769" w:type="dxa"/>
            <w:hideMark/>
          </w:tcPr>
          <w:p w14:paraId="237CB37D" w14:textId="77777777" w:rsidR="000D2A90" w:rsidRPr="004F4BA7" w:rsidRDefault="000D2A90" w:rsidP="008B0419">
            <w:pPr>
              <w:keepNext/>
              <w:spacing w:line="300" w:lineRule="auto"/>
              <w:rPr>
                <w:color w:val="auto"/>
                <w:lang w:eastAsia="en-GB"/>
              </w:rPr>
            </w:pPr>
            <w:r w:rsidRPr="004F4BA7">
              <w:rPr>
                <w:color w:val="auto"/>
                <w:lang w:eastAsia="en-GB"/>
              </w:rPr>
              <w:t>65+</w:t>
            </w:r>
          </w:p>
        </w:tc>
        <w:tc>
          <w:tcPr>
            <w:tcW w:w="1769" w:type="dxa"/>
            <w:hideMark/>
          </w:tcPr>
          <w:p w14:paraId="01FE895F" w14:textId="0EB3DA20" w:rsidR="000D2A90" w:rsidRPr="004F4BA7" w:rsidRDefault="005E25FC"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33,750</w:t>
            </w:r>
          </w:p>
        </w:tc>
        <w:tc>
          <w:tcPr>
            <w:tcW w:w="1769" w:type="dxa"/>
            <w:hideMark/>
          </w:tcPr>
          <w:p w14:paraId="1CE8B584" w14:textId="24C3B5AC" w:rsidR="000D2A90" w:rsidRPr="004F4BA7" w:rsidRDefault="005E25FC" w:rsidP="003A75AB">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54,158</w:t>
            </w:r>
          </w:p>
        </w:tc>
        <w:tc>
          <w:tcPr>
            <w:tcW w:w="1769" w:type="dxa"/>
            <w:hideMark/>
          </w:tcPr>
          <w:p w14:paraId="26883EAE" w14:textId="031D5C3B" w:rsidR="000D2A90" w:rsidRPr="004F4BA7" w:rsidRDefault="005E25FC" w:rsidP="0061251C">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20,408</w:t>
            </w:r>
          </w:p>
        </w:tc>
        <w:tc>
          <w:tcPr>
            <w:tcW w:w="1769" w:type="dxa"/>
            <w:hideMark/>
          </w:tcPr>
          <w:p w14:paraId="53D96CC1" w14:textId="1868079F" w:rsidR="000D2A90" w:rsidRPr="004F4BA7" w:rsidRDefault="005E25FC" w:rsidP="0061251C">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60.5%</w:t>
            </w:r>
          </w:p>
        </w:tc>
      </w:tr>
    </w:tbl>
    <w:p w14:paraId="1E18BC44" w14:textId="77777777" w:rsidR="000D2A90" w:rsidRPr="00B35A8B" w:rsidRDefault="000D2A90" w:rsidP="000D2A90">
      <w:pPr>
        <w:spacing w:after="120" w:line="360" w:lineRule="auto"/>
        <w:ind w:left="794"/>
        <w:rPr>
          <w:sz w:val="24"/>
          <w:szCs w:val="24"/>
        </w:rPr>
      </w:pPr>
      <w:r w:rsidRPr="00B35A8B">
        <w:rPr>
          <w:sz w:val="24"/>
          <w:szCs w:val="24"/>
        </w:rPr>
        <w:t>Source: Demographic projections</w:t>
      </w:r>
    </w:p>
    <w:p w14:paraId="35FB51D3" w14:textId="77777777" w:rsidR="00270765" w:rsidRPr="003E6243" w:rsidRDefault="00270765" w:rsidP="003D5E23">
      <w:pPr>
        <w:pStyle w:val="Tableheading"/>
        <w:numPr>
          <w:ilvl w:val="0"/>
          <w:numId w:val="0"/>
        </w:numPr>
        <w:ind w:left="794"/>
      </w:pPr>
      <w:r w:rsidRPr="003E6243">
        <w:t>Population change 2020 to 2040 by five-year age bands linked to Standard Method – South Camb</w:t>
      </w:r>
      <w:r w:rsidR="000D2A90" w:rsidRPr="003E6243">
        <w:t>s</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3A75AB" w:rsidRPr="0061251C" w14:paraId="06118BFC" w14:textId="77777777" w:rsidTr="004F4BA7">
        <w:tc>
          <w:tcPr>
            <w:tcW w:w="1305" w:type="dxa"/>
          </w:tcPr>
          <w:p w14:paraId="057ECC52" w14:textId="77777777" w:rsidR="009107FE" w:rsidRPr="004F4BA7" w:rsidRDefault="009107FE" w:rsidP="009107FE">
            <w:pPr>
              <w:keepNext/>
              <w:rPr>
                <w:rFonts w:ascii="Arial Narrow" w:hAnsi="Arial Narrow"/>
                <w:color w:val="auto"/>
                <w:sz w:val="24"/>
                <w:szCs w:val="24"/>
              </w:rPr>
            </w:pPr>
          </w:p>
        </w:tc>
        <w:tc>
          <w:tcPr>
            <w:tcW w:w="1885" w:type="dxa"/>
            <w:vAlign w:val="center"/>
            <w:hideMark/>
          </w:tcPr>
          <w:p w14:paraId="6C710FE5" w14:textId="77777777" w:rsidR="009107FE" w:rsidRPr="004F4BA7" w:rsidRDefault="009107FE" w:rsidP="004F4BA7">
            <w:pPr>
              <w:keepNext/>
              <w:widowControl w:val="0"/>
              <w:jc w:val="center"/>
              <w:rPr>
                <w:rFonts w:ascii="Arial Narrow" w:hAnsi="Arial Narrow"/>
                <w:b/>
                <w:bCs/>
                <w:color w:val="auto"/>
                <w:sz w:val="24"/>
                <w:szCs w:val="24"/>
              </w:rPr>
            </w:pPr>
            <w:r w:rsidRPr="004F4BA7">
              <w:rPr>
                <w:rFonts w:ascii="Arial Narrow" w:hAnsi="Arial Narrow"/>
                <w:b/>
                <w:bCs/>
                <w:color w:val="auto"/>
                <w:sz w:val="24"/>
                <w:szCs w:val="24"/>
              </w:rPr>
              <w:t>Population 2020</w:t>
            </w:r>
          </w:p>
        </w:tc>
        <w:tc>
          <w:tcPr>
            <w:tcW w:w="1885" w:type="dxa"/>
            <w:vAlign w:val="center"/>
            <w:hideMark/>
          </w:tcPr>
          <w:p w14:paraId="487BC78A" w14:textId="77777777" w:rsidR="009107FE" w:rsidRPr="004F4BA7" w:rsidRDefault="009107FE" w:rsidP="004F4BA7">
            <w:pPr>
              <w:keepNext/>
              <w:widowControl w:val="0"/>
              <w:jc w:val="center"/>
              <w:rPr>
                <w:rFonts w:ascii="Arial Narrow" w:hAnsi="Arial Narrow"/>
                <w:b/>
                <w:bCs/>
                <w:color w:val="auto"/>
                <w:sz w:val="24"/>
                <w:szCs w:val="24"/>
              </w:rPr>
            </w:pPr>
            <w:r w:rsidRPr="004F4BA7">
              <w:rPr>
                <w:rFonts w:ascii="Arial Narrow" w:hAnsi="Arial Narrow"/>
                <w:b/>
                <w:bCs/>
                <w:color w:val="auto"/>
                <w:sz w:val="24"/>
                <w:szCs w:val="24"/>
              </w:rPr>
              <w:t>Population 2040</w:t>
            </w:r>
          </w:p>
        </w:tc>
        <w:tc>
          <w:tcPr>
            <w:tcW w:w="1885" w:type="dxa"/>
            <w:vAlign w:val="center"/>
            <w:hideMark/>
          </w:tcPr>
          <w:p w14:paraId="4FA2E301" w14:textId="20CFCFD3" w:rsidR="009107FE" w:rsidRPr="004F4BA7" w:rsidRDefault="009107FE" w:rsidP="004F4BA7">
            <w:pPr>
              <w:keepNext/>
              <w:widowControl w:val="0"/>
              <w:jc w:val="center"/>
              <w:rPr>
                <w:rFonts w:ascii="Arial Narrow" w:hAnsi="Arial Narrow"/>
                <w:b/>
                <w:bCs/>
                <w:color w:val="auto"/>
                <w:sz w:val="24"/>
                <w:szCs w:val="24"/>
              </w:rPr>
            </w:pPr>
            <w:r w:rsidRPr="004F4BA7">
              <w:rPr>
                <w:rFonts w:ascii="Arial Narrow" w:hAnsi="Arial Narrow"/>
                <w:b/>
                <w:bCs/>
                <w:color w:val="auto"/>
                <w:sz w:val="24"/>
                <w:szCs w:val="24"/>
              </w:rPr>
              <w:t>Change</w:t>
            </w:r>
          </w:p>
        </w:tc>
        <w:tc>
          <w:tcPr>
            <w:tcW w:w="1885" w:type="dxa"/>
            <w:vAlign w:val="center"/>
            <w:hideMark/>
          </w:tcPr>
          <w:p w14:paraId="36EB9074" w14:textId="10745DF6" w:rsidR="009107FE" w:rsidRPr="004F4BA7" w:rsidRDefault="009107FE" w:rsidP="004F4BA7">
            <w:pPr>
              <w:keepNext/>
              <w:widowControl w:val="0"/>
              <w:jc w:val="center"/>
              <w:rPr>
                <w:rFonts w:ascii="Arial Narrow" w:hAnsi="Arial Narrow"/>
                <w:b/>
                <w:bCs/>
                <w:color w:val="auto"/>
                <w:sz w:val="24"/>
                <w:szCs w:val="24"/>
              </w:rPr>
            </w:pPr>
            <w:r w:rsidRPr="004F4BA7">
              <w:rPr>
                <w:rFonts w:ascii="Arial Narrow" w:hAnsi="Arial Narrow"/>
                <w:b/>
                <w:bCs/>
                <w:color w:val="auto"/>
                <w:sz w:val="24"/>
                <w:szCs w:val="24"/>
              </w:rPr>
              <w:t xml:space="preserve">% </w:t>
            </w:r>
            <w:r w:rsidR="00552654" w:rsidRPr="004F4BA7">
              <w:rPr>
                <w:rFonts w:ascii="Arial Narrow" w:hAnsi="Arial Narrow"/>
                <w:b/>
                <w:bCs/>
                <w:color w:val="auto"/>
                <w:sz w:val="24"/>
                <w:szCs w:val="24"/>
              </w:rPr>
              <w:t>C</w:t>
            </w:r>
            <w:r w:rsidRPr="004F4BA7">
              <w:rPr>
                <w:rFonts w:ascii="Arial Narrow" w:hAnsi="Arial Narrow"/>
                <w:b/>
                <w:bCs/>
                <w:color w:val="auto"/>
                <w:sz w:val="24"/>
                <w:szCs w:val="24"/>
              </w:rPr>
              <w:t>hange</w:t>
            </w:r>
          </w:p>
        </w:tc>
      </w:tr>
      <w:tr w:rsidR="003A75AB" w:rsidRPr="0061251C" w14:paraId="42ACA3C2" w14:textId="77777777" w:rsidTr="004F4BA7">
        <w:tc>
          <w:tcPr>
            <w:tcW w:w="1305" w:type="dxa"/>
            <w:hideMark/>
          </w:tcPr>
          <w:p w14:paraId="6A33EDDA"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Under 5</w:t>
            </w:r>
          </w:p>
        </w:tc>
        <w:tc>
          <w:tcPr>
            <w:tcW w:w="1885" w:type="dxa"/>
            <w:vAlign w:val="center"/>
            <w:hideMark/>
          </w:tcPr>
          <w:p w14:paraId="6538C3F2" w14:textId="1B925D9D"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9,148</w:t>
            </w:r>
          </w:p>
        </w:tc>
        <w:tc>
          <w:tcPr>
            <w:tcW w:w="1885" w:type="dxa"/>
            <w:vAlign w:val="center"/>
            <w:hideMark/>
          </w:tcPr>
          <w:p w14:paraId="4DC20F81" w14:textId="591E032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11,657</w:t>
            </w:r>
          </w:p>
        </w:tc>
        <w:tc>
          <w:tcPr>
            <w:tcW w:w="1885" w:type="dxa"/>
            <w:vAlign w:val="center"/>
            <w:hideMark/>
          </w:tcPr>
          <w:p w14:paraId="28D9939E" w14:textId="6F6B2AE8"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2,509</w:t>
            </w:r>
          </w:p>
        </w:tc>
        <w:tc>
          <w:tcPr>
            <w:tcW w:w="1885" w:type="dxa"/>
            <w:vAlign w:val="center"/>
            <w:hideMark/>
          </w:tcPr>
          <w:p w14:paraId="3E00E060" w14:textId="7D59F44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27.4%</w:t>
            </w:r>
          </w:p>
        </w:tc>
      </w:tr>
      <w:tr w:rsidR="003A75AB" w:rsidRPr="0061251C" w14:paraId="6206A494" w14:textId="77777777" w:rsidTr="004F4BA7">
        <w:tc>
          <w:tcPr>
            <w:tcW w:w="1305" w:type="dxa"/>
            <w:hideMark/>
          </w:tcPr>
          <w:p w14:paraId="74131DFE"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5-9</w:t>
            </w:r>
          </w:p>
        </w:tc>
        <w:tc>
          <w:tcPr>
            <w:tcW w:w="1885" w:type="dxa"/>
            <w:vAlign w:val="center"/>
            <w:hideMark/>
          </w:tcPr>
          <w:p w14:paraId="1C729548" w14:textId="7EFD1424"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10,415</w:t>
            </w:r>
          </w:p>
        </w:tc>
        <w:tc>
          <w:tcPr>
            <w:tcW w:w="1885" w:type="dxa"/>
            <w:vAlign w:val="center"/>
            <w:hideMark/>
          </w:tcPr>
          <w:p w14:paraId="72D5B64E" w14:textId="4DFAACE0"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12,003</w:t>
            </w:r>
          </w:p>
        </w:tc>
        <w:tc>
          <w:tcPr>
            <w:tcW w:w="1885" w:type="dxa"/>
            <w:vAlign w:val="center"/>
            <w:hideMark/>
          </w:tcPr>
          <w:p w14:paraId="0BBFD5A9" w14:textId="24C6FAB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1,588</w:t>
            </w:r>
          </w:p>
        </w:tc>
        <w:tc>
          <w:tcPr>
            <w:tcW w:w="1885" w:type="dxa"/>
            <w:vAlign w:val="center"/>
            <w:hideMark/>
          </w:tcPr>
          <w:p w14:paraId="597469AB" w14:textId="008C5908"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15.3%</w:t>
            </w:r>
          </w:p>
        </w:tc>
      </w:tr>
      <w:tr w:rsidR="003A75AB" w:rsidRPr="0061251C" w14:paraId="4C887998" w14:textId="77777777" w:rsidTr="004F4BA7">
        <w:tc>
          <w:tcPr>
            <w:tcW w:w="1305" w:type="dxa"/>
            <w:hideMark/>
          </w:tcPr>
          <w:p w14:paraId="33E4AB57"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10-14</w:t>
            </w:r>
          </w:p>
        </w:tc>
        <w:tc>
          <w:tcPr>
            <w:tcW w:w="1885" w:type="dxa"/>
            <w:vAlign w:val="center"/>
            <w:hideMark/>
          </w:tcPr>
          <w:p w14:paraId="668DFFD2" w14:textId="23403DA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10,614</w:t>
            </w:r>
          </w:p>
        </w:tc>
        <w:tc>
          <w:tcPr>
            <w:tcW w:w="1885" w:type="dxa"/>
            <w:vAlign w:val="center"/>
            <w:hideMark/>
          </w:tcPr>
          <w:p w14:paraId="709C059C" w14:textId="72892C64"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11,990</w:t>
            </w:r>
          </w:p>
        </w:tc>
        <w:tc>
          <w:tcPr>
            <w:tcW w:w="1885" w:type="dxa"/>
            <w:vAlign w:val="center"/>
            <w:hideMark/>
          </w:tcPr>
          <w:p w14:paraId="2C902836" w14:textId="1378FB0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1,375</w:t>
            </w:r>
          </w:p>
        </w:tc>
        <w:tc>
          <w:tcPr>
            <w:tcW w:w="1885" w:type="dxa"/>
            <w:vAlign w:val="center"/>
            <w:hideMark/>
          </w:tcPr>
          <w:p w14:paraId="316360E2" w14:textId="234396D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13.0%</w:t>
            </w:r>
          </w:p>
        </w:tc>
      </w:tr>
      <w:tr w:rsidR="003A75AB" w:rsidRPr="0061251C" w14:paraId="64FEB039" w14:textId="77777777" w:rsidTr="004F4BA7">
        <w:tc>
          <w:tcPr>
            <w:tcW w:w="1305" w:type="dxa"/>
            <w:hideMark/>
          </w:tcPr>
          <w:p w14:paraId="2AAD9E9A"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15-19</w:t>
            </w:r>
          </w:p>
        </w:tc>
        <w:tc>
          <w:tcPr>
            <w:tcW w:w="1885" w:type="dxa"/>
            <w:vAlign w:val="center"/>
            <w:hideMark/>
          </w:tcPr>
          <w:p w14:paraId="61AA4060" w14:textId="72FF42C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9,176</w:t>
            </w:r>
          </w:p>
        </w:tc>
        <w:tc>
          <w:tcPr>
            <w:tcW w:w="1885" w:type="dxa"/>
            <w:vAlign w:val="center"/>
            <w:hideMark/>
          </w:tcPr>
          <w:p w14:paraId="5B74992F" w14:textId="45B273E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10,971</w:t>
            </w:r>
          </w:p>
        </w:tc>
        <w:tc>
          <w:tcPr>
            <w:tcW w:w="1885" w:type="dxa"/>
            <w:vAlign w:val="center"/>
            <w:hideMark/>
          </w:tcPr>
          <w:p w14:paraId="23259903" w14:textId="6A1494F8"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1,795</w:t>
            </w:r>
          </w:p>
        </w:tc>
        <w:tc>
          <w:tcPr>
            <w:tcW w:w="1885" w:type="dxa"/>
            <w:vAlign w:val="center"/>
            <w:hideMark/>
          </w:tcPr>
          <w:p w14:paraId="746BC202" w14:textId="32A3CF34"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19.6%</w:t>
            </w:r>
          </w:p>
        </w:tc>
      </w:tr>
      <w:tr w:rsidR="003A75AB" w:rsidRPr="0061251C" w14:paraId="5E6C66B0" w14:textId="77777777" w:rsidTr="004F4BA7">
        <w:tc>
          <w:tcPr>
            <w:tcW w:w="1305" w:type="dxa"/>
            <w:hideMark/>
          </w:tcPr>
          <w:p w14:paraId="19BB7152"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20-24</w:t>
            </w:r>
          </w:p>
        </w:tc>
        <w:tc>
          <w:tcPr>
            <w:tcW w:w="1885" w:type="dxa"/>
            <w:vAlign w:val="center"/>
            <w:hideMark/>
          </w:tcPr>
          <w:p w14:paraId="46F71EDF" w14:textId="5150C0F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6,855</w:t>
            </w:r>
          </w:p>
        </w:tc>
        <w:tc>
          <w:tcPr>
            <w:tcW w:w="1885" w:type="dxa"/>
            <w:vAlign w:val="center"/>
            <w:hideMark/>
          </w:tcPr>
          <w:p w14:paraId="116820D0" w14:textId="220719E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8,543</w:t>
            </w:r>
          </w:p>
        </w:tc>
        <w:tc>
          <w:tcPr>
            <w:tcW w:w="1885" w:type="dxa"/>
            <w:vAlign w:val="center"/>
            <w:hideMark/>
          </w:tcPr>
          <w:p w14:paraId="62BF9032" w14:textId="057A3EF1"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1,689</w:t>
            </w:r>
          </w:p>
        </w:tc>
        <w:tc>
          <w:tcPr>
            <w:tcW w:w="1885" w:type="dxa"/>
            <w:vAlign w:val="center"/>
            <w:hideMark/>
          </w:tcPr>
          <w:p w14:paraId="6A0BB6B0" w14:textId="3DCD4C9D"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24.6%</w:t>
            </w:r>
          </w:p>
        </w:tc>
      </w:tr>
      <w:tr w:rsidR="003A75AB" w:rsidRPr="0061251C" w14:paraId="473DA97E" w14:textId="77777777" w:rsidTr="004F4BA7">
        <w:tc>
          <w:tcPr>
            <w:tcW w:w="1305" w:type="dxa"/>
            <w:hideMark/>
          </w:tcPr>
          <w:p w14:paraId="7FAC453A"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25-29</w:t>
            </w:r>
          </w:p>
        </w:tc>
        <w:tc>
          <w:tcPr>
            <w:tcW w:w="1885" w:type="dxa"/>
            <w:vAlign w:val="center"/>
            <w:hideMark/>
          </w:tcPr>
          <w:p w14:paraId="0EE8B35D" w14:textId="0800EB3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8,281</w:t>
            </w:r>
          </w:p>
        </w:tc>
        <w:tc>
          <w:tcPr>
            <w:tcW w:w="1885" w:type="dxa"/>
            <w:vAlign w:val="center"/>
            <w:hideMark/>
          </w:tcPr>
          <w:p w14:paraId="1035C2D7" w14:textId="264B8D9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11,035</w:t>
            </w:r>
          </w:p>
        </w:tc>
        <w:tc>
          <w:tcPr>
            <w:tcW w:w="1885" w:type="dxa"/>
            <w:vAlign w:val="center"/>
            <w:hideMark/>
          </w:tcPr>
          <w:p w14:paraId="79807397" w14:textId="3B82DA8E"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2,754</w:t>
            </w:r>
          </w:p>
        </w:tc>
        <w:tc>
          <w:tcPr>
            <w:tcW w:w="1885" w:type="dxa"/>
            <w:vAlign w:val="center"/>
            <w:hideMark/>
          </w:tcPr>
          <w:p w14:paraId="4FDF5E9E" w14:textId="26073C20"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33.3%</w:t>
            </w:r>
          </w:p>
        </w:tc>
      </w:tr>
      <w:tr w:rsidR="003A75AB" w:rsidRPr="0061251C" w14:paraId="503DFB7B" w14:textId="77777777" w:rsidTr="004F4BA7">
        <w:tc>
          <w:tcPr>
            <w:tcW w:w="1305" w:type="dxa"/>
            <w:hideMark/>
          </w:tcPr>
          <w:p w14:paraId="239C154D"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30-34</w:t>
            </w:r>
          </w:p>
        </w:tc>
        <w:tc>
          <w:tcPr>
            <w:tcW w:w="1885" w:type="dxa"/>
            <w:vAlign w:val="center"/>
            <w:hideMark/>
          </w:tcPr>
          <w:p w14:paraId="35E9EC3C" w14:textId="7E9A567D"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9,820</w:t>
            </w:r>
          </w:p>
        </w:tc>
        <w:tc>
          <w:tcPr>
            <w:tcW w:w="1885" w:type="dxa"/>
            <w:vAlign w:val="center"/>
            <w:hideMark/>
          </w:tcPr>
          <w:p w14:paraId="6A189BA7" w14:textId="01F4E277"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12,314</w:t>
            </w:r>
          </w:p>
        </w:tc>
        <w:tc>
          <w:tcPr>
            <w:tcW w:w="1885" w:type="dxa"/>
            <w:vAlign w:val="center"/>
            <w:hideMark/>
          </w:tcPr>
          <w:p w14:paraId="4D18380C" w14:textId="2AA095D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2,494</w:t>
            </w:r>
          </w:p>
        </w:tc>
        <w:tc>
          <w:tcPr>
            <w:tcW w:w="1885" w:type="dxa"/>
            <w:vAlign w:val="center"/>
            <w:hideMark/>
          </w:tcPr>
          <w:p w14:paraId="352B1128" w14:textId="6DA061A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25.4%</w:t>
            </w:r>
          </w:p>
        </w:tc>
      </w:tr>
      <w:tr w:rsidR="003A75AB" w:rsidRPr="0061251C" w14:paraId="7132FA69" w14:textId="77777777" w:rsidTr="004F4BA7">
        <w:tc>
          <w:tcPr>
            <w:tcW w:w="1305" w:type="dxa"/>
            <w:hideMark/>
          </w:tcPr>
          <w:p w14:paraId="74E57040"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35-39</w:t>
            </w:r>
          </w:p>
        </w:tc>
        <w:tc>
          <w:tcPr>
            <w:tcW w:w="1885" w:type="dxa"/>
            <w:vAlign w:val="center"/>
            <w:hideMark/>
          </w:tcPr>
          <w:p w14:paraId="21104DE6" w14:textId="3CCFDFC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10,919</w:t>
            </w:r>
          </w:p>
        </w:tc>
        <w:tc>
          <w:tcPr>
            <w:tcW w:w="1885" w:type="dxa"/>
            <w:vAlign w:val="center"/>
            <w:hideMark/>
          </w:tcPr>
          <w:p w14:paraId="098933C5" w14:textId="0DC9668F"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12,750</w:t>
            </w:r>
          </w:p>
        </w:tc>
        <w:tc>
          <w:tcPr>
            <w:tcW w:w="1885" w:type="dxa"/>
            <w:vAlign w:val="center"/>
            <w:hideMark/>
          </w:tcPr>
          <w:p w14:paraId="6F93BD6B" w14:textId="02704070"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1,831</w:t>
            </w:r>
          </w:p>
        </w:tc>
        <w:tc>
          <w:tcPr>
            <w:tcW w:w="1885" w:type="dxa"/>
            <w:vAlign w:val="center"/>
            <w:hideMark/>
          </w:tcPr>
          <w:p w14:paraId="11D69C33" w14:textId="2764BCEA"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16.8%</w:t>
            </w:r>
          </w:p>
        </w:tc>
      </w:tr>
      <w:tr w:rsidR="003A75AB" w:rsidRPr="0061251C" w14:paraId="1075D750" w14:textId="77777777" w:rsidTr="004F4BA7">
        <w:tc>
          <w:tcPr>
            <w:tcW w:w="1305" w:type="dxa"/>
            <w:hideMark/>
          </w:tcPr>
          <w:p w14:paraId="4BBD7C97"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40-44</w:t>
            </w:r>
          </w:p>
        </w:tc>
        <w:tc>
          <w:tcPr>
            <w:tcW w:w="1885" w:type="dxa"/>
            <w:vAlign w:val="center"/>
            <w:hideMark/>
          </w:tcPr>
          <w:p w14:paraId="3F617CCE" w14:textId="5EB027A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11,944</w:t>
            </w:r>
          </w:p>
        </w:tc>
        <w:tc>
          <w:tcPr>
            <w:tcW w:w="1885" w:type="dxa"/>
            <w:vAlign w:val="center"/>
            <w:hideMark/>
          </w:tcPr>
          <w:p w14:paraId="19FDBD69" w14:textId="26ED85C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14,035</w:t>
            </w:r>
          </w:p>
        </w:tc>
        <w:tc>
          <w:tcPr>
            <w:tcW w:w="1885" w:type="dxa"/>
            <w:vAlign w:val="center"/>
            <w:hideMark/>
          </w:tcPr>
          <w:p w14:paraId="36581F11" w14:textId="013152C0"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2,091</w:t>
            </w:r>
          </w:p>
        </w:tc>
        <w:tc>
          <w:tcPr>
            <w:tcW w:w="1885" w:type="dxa"/>
            <w:vAlign w:val="center"/>
            <w:hideMark/>
          </w:tcPr>
          <w:p w14:paraId="6DAC924F" w14:textId="5C40391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17.5%</w:t>
            </w:r>
          </w:p>
        </w:tc>
      </w:tr>
      <w:tr w:rsidR="003A75AB" w:rsidRPr="0061251C" w14:paraId="266147D5" w14:textId="77777777" w:rsidTr="004F4BA7">
        <w:tc>
          <w:tcPr>
            <w:tcW w:w="1305" w:type="dxa"/>
            <w:hideMark/>
          </w:tcPr>
          <w:p w14:paraId="13D1E039"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45-49</w:t>
            </w:r>
          </w:p>
        </w:tc>
        <w:tc>
          <w:tcPr>
            <w:tcW w:w="1885" w:type="dxa"/>
            <w:vAlign w:val="center"/>
            <w:hideMark/>
          </w:tcPr>
          <w:p w14:paraId="75939B1C" w14:textId="26DBCB34"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12,258</w:t>
            </w:r>
          </w:p>
        </w:tc>
        <w:tc>
          <w:tcPr>
            <w:tcW w:w="1885" w:type="dxa"/>
            <w:vAlign w:val="center"/>
            <w:hideMark/>
          </w:tcPr>
          <w:p w14:paraId="3AB2680D" w14:textId="590F5BA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14,204</w:t>
            </w:r>
          </w:p>
        </w:tc>
        <w:tc>
          <w:tcPr>
            <w:tcW w:w="1885" w:type="dxa"/>
            <w:vAlign w:val="center"/>
            <w:hideMark/>
          </w:tcPr>
          <w:p w14:paraId="694E7D55" w14:textId="3D3B5C9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1,946</w:t>
            </w:r>
          </w:p>
        </w:tc>
        <w:tc>
          <w:tcPr>
            <w:tcW w:w="1885" w:type="dxa"/>
            <w:vAlign w:val="center"/>
            <w:hideMark/>
          </w:tcPr>
          <w:p w14:paraId="032B1214" w14:textId="295B3D8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15.9%</w:t>
            </w:r>
          </w:p>
        </w:tc>
      </w:tr>
      <w:tr w:rsidR="003A75AB" w:rsidRPr="0061251C" w14:paraId="7E4973C1" w14:textId="77777777" w:rsidTr="004F4BA7">
        <w:tc>
          <w:tcPr>
            <w:tcW w:w="1305" w:type="dxa"/>
            <w:hideMark/>
          </w:tcPr>
          <w:p w14:paraId="7D0D838E"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50-54</w:t>
            </w:r>
          </w:p>
        </w:tc>
        <w:tc>
          <w:tcPr>
            <w:tcW w:w="1885" w:type="dxa"/>
            <w:vAlign w:val="center"/>
            <w:hideMark/>
          </w:tcPr>
          <w:p w14:paraId="0A7CD2E1" w14:textId="2C53705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11,735</w:t>
            </w:r>
          </w:p>
        </w:tc>
        <w:tc>
          <w:tcPr>
            <w:tcW w:w="1885" w:type="dxa"/>
            <w:vAlign w:val="center"/>
            <w:hideMark/>
          </w:tcPr>
          <w:p w14:paraId="71B2B19D" w14:textId="180A1B84"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13,653</w:t>
            </w:r>
          </w:p>
        </w:tc>
        <w:tc>
          <w:tcPr>
            <w:tcW w:w="1885" w:type="dxa"/>
            <w:vAlign w:val="center"/>
            <w:hideMark/>
          </w:tcPr>
          <w:p w14:paraId="6F54D6DB" w14:textId="56CE633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1,918</w:t>
            </w:r>
          </w:p>
        </w:tc>
        <w:tc>
          <w:tcPr>
            <w:tcW w:w="1885" w:type="dxa"/>
            <w:vAlign w:val="center"/>
            <w:hideMark/>
          </w:tcPr>
          <w:p w14:paraId="24C39575" w14:textId="46C1A4D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16.3%</w:t>
            </w:r>
          </w:p>
        </w:tc>
      </w:tr>
      <w:tr w:rsidR="003A75AB" w:rsidRPr="0061251C" w14:paraId="24D8CA53" w14:textId="77777777" w:rsidTr="004F4BA7">
        <w:tc>
          <w:tcPr>
            <w:tcW w:w="1305" w:type="dxa"/>
            <w:hideMark/>
          </w:tcPr>
          <w:p w14:paraId="62EAB38A"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55-59</w:t>
            </w:r>
          </w:p>
        </w:tc>
        <w:tc>
          <w:tcPr>
            <w:tcW w:w="1885" w:type="dxa"/>
            <w:vAlign w:val="center"/>
            <w:hideMark/>
          </w:tcPr>
          <w:p w14:paraId="60F69BDC" w14:textId="76B052D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10,953</w:t>
            </w:r>
          </w:p>
        </w:tc>
        <w:tc>
          <w:tcPr>
            <w:tcW w:w="1885" w:type="dxa"/>
            <w:vAlign w:val="center"/>
            <w:hideMark/>
          </w:tcPr>
          <w:p w14:paraId="6FC621E2" w14:textId="6567CBA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12,757</w:t>
            </w:r>
          </w:p>
        </w:tc>
        <w:tc>
          <w:tcPr>
            <w:tcW w:w="1885" w:type="dxa"/>
            <w:vAlign w:val="center"/>
            <w:hideMark/>
          </w:tcPr>
          <w:p w14:paraId="1F0EC893" w14:textId="59FC2705"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1,803</w:t>
            </w:r>
          </w:p>
        </w:tc>
        <w:tc>
          <w:tcPr>
            <w:tcW w:w="1885" w:type="dxa"/>
            <w:vAlign w:val="center"/>
            <w:hideMark/>
          </w:tcPr>
          <w:p w14:paraId="1531716B" w14:textId="3971DFD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16.5%</w:t>
            </w:r>
          </w:p>
        </w:tc>
      </w:tr>
      <w:tr w:rsidR="003A75AB" w:rsidRPr="0061251C" w14:paraId="2FE1C405" w14:textId="77777777" w:rsidTr="004F4BA7">
        <w:tc>
          <w:tcPr>
            <w:tcW w:w="1305" w:type="dxa"/>
            <w:hideMark/>
          </w:tcPr>
          <w:p w14:paraId="2BD68B53"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60-64</w:t>
            </w:r>
          </w:p>
        </w:tc>
        <w:tc>
          <w:tcPr>
            <w:tcW w:w="1885" w:type="dxa"/>
            <w:vAlign w:val="center"/>
            <w:hideMark/>
          </w:tcPr>
          <w:p w14:paraId="60ABB954" w14:textId="60A5A3C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9,383</w:t>
            </w:r>
          </w:p>
        </w:tc>
        <w:tc>
          <w:tcPr>
            <w:tcW w:w="1885" w:type="dxa"/>
            <w:vAlign w:val="center"/>
            <w:hideMark/>
          </w:tcPr>
          <w:p w14:paraId="36F1C4FA" w14:textId="4D882317"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11,867</w:t>
            </w:r>
          </w:p>
        </w:tc>
        <w:tc>
          <w:tcPr>
            <w:tcW w:w="1885" w:type="dxa"/>
            <w:vAlign w:val="center"/>
            <w:hideMark/>
          </w:tcPr>
          <w:p w14:paraId="741E6F27" w14:textId="7AB70C7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2,485</w:t>
            </w:r>
          </w:p>
        </w:tc>
        <w:tc>
          <w:tcPr>
            <w:tcW w:w="1885" w:type="dxa"/>
            <w:vAlign w:val="center"/>
            <w:hideMark/>
          </w:tcPr>
          <w:p w14:paraId="4E9B1E2F" w14:textId="134B43BA"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26.5%</w:t>
            </w:r>
          </w:p>
        </w:tc>
      </w:tr>
      <w:tr w:rsidR="003A75AB" w:rsidRPr="0061251C" w14:paraId="2292515D" w14:textId="77777777" w:rsidTr="004F4BA7">
        <w:tc>
          <w:tcPr>
            <w:tcW w:w="1305" w:type="dxa"/>
            <w:hideMark/>
          </w:tcPr>
          <w:p w14:paraId="0329D095"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65-69</w:t>
            </w:r>
          </w:p>
        </w:tc>
        <w:tc>
          <w:tcPr>
            <w:tcW w:w="1885" w:type="dxa"/>
            <w:vAlign w:val="center"/>
            <w:hideMark/>
          </w:tcPr>
          <w:p w14:paraId="763392A8" w14:textId="4971F47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8,110</w:t>
            </w:r>
          </w:p>
        </w:tc>
        <w:tc>
          <w:tcPr>
            <w:tcW w:w="1885" w:type="dxa"/>
            <w:vAlign w:val="center"/>
            <w:hideMark/>
          </w:tcPr>
          <w:p w14:paraId="338E2F85" w14:textId="33BC2E0E"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11,260</w:t>
            </w:r>
          </w:p>
        </w:tc>
        <w:tc>
          <w:tcPr>
            <w:tcW w:w="1885" w:type="dxa"/>
            <w:vAlign w:val="center"/>
            <w:hideMark/>
          </w:tcPr>
          <w:p w14:paraId="70C1CEDD" w14:textId="553FAB19"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3,150</w:t>
            </w:r>
          </w:p>
        </w:tc>
        <w:tc>
          <w:tcPr>
            <w:tcW w:w="1885" w:type="dxa"/>
            <w:vAlign w:val="center"/>
            <w:hideMark/>
          </w:tcPr>
          <w:p w14:paraId="5629F469" w14:textId="0693BA0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38.8%</w:t>
            </w:r>
          </w:p>
        </w:tc>
      </w:tr>
      <w:tr w:rsidR="003A75AB" w:rsidRPr="0061251C" w14:paraId="4C6DA20C" w14:textId="77777777" w:rsidTr="004F4BA7">
        <w:tc>
          <w:tcPr>
            <w:tcW w:w="1305" w:type="dxa"/>
            <w:hideMark/>
          </w:tcPr>
          <w:p w14:paraId="624821DE"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70-74</w:t>
            </w:r>
          </w:p>
        </w:tc>
        <w:tc>
          <w:tcPr>
            <w:tcW w:w="1885" w:type="dxa"/>
            <w:vAlign w:val="center"/>
            <w:hideMark/>
          </w:tcPr>
          <w:p w14:paraId="04482DA0" w14:textId="6C5426C8"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8,190</w:t>
            </w:r>
          </w:p>
        </w:tc>
        <w:tc>
          <w:tcPr>
            <w:tcW w:w="1885" w:type="dxa"/>
            <w:vAlign w:val="center"/>
            <w:hideMark/>
          </w:tcPr>
          <w:p w14:paraId="600AFCC9" w14:textId="7360C61B"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10,493</w:t>
            </w:r>
          </w:p>
        </w:tc>
        <w:tc>
          <w:tcPr>
            <w:tcW w:w="1885" w:type="dxa"/>
            <w:vAlign w:val="center"/>
            <w:hideMark/>
          </w:tcPr>
          <w:p w14:paraId="20908490" w14:textId="629CF8F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2,303</w:t>
            </w:r>
          </w:p>
        </w:tc>
        <w:tc>
          <w:tcPr>
            <w:tcW w:w="1885" w:type="dxa"/>
            <w:vAlign w:val="center"/>
            <w:hideMark/>
          </w:tcPr>
          <w:p w14:paraId="633A3E1C" w14:textId="3B07D8A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28.1%</w:t>
            </w:r>
          </w:p>
        </w:tc>
      </w:tr>
      <w:tr w:rsidR="003A75AB" w:rsidRPr="0061251C" w14:paraId="4C105B98" w14:textId="77777777" w:rsidTr="004F4BA7">
        <w:tc>
          <w:tcPr>
            <w:tcW w:w="1305" w:type="dxa"/>
            <w:hideMark/>
          </w:tcPr>
          <w:p w14:paraId="24EE7317"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75-79</w:t>
            </w:r>
          </w:p>
        </w:tc>
        <w:tc>
          <w:tcPr>
            <w:tcW w:w="1885" w:type="dxa"/>
            <w:vAlign w:val="center"/>
            <w:hideMark/>
          </w:tcPr>
          <w:p w14:paraId="6AC1ECD4" w14:textId="370F25A2"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5,937</w:t>
            </w:r>
          </w:p>
        </w:tc>
        <w:tc>
          <w:tcPr>
            <w:tcW w:w="1885" w:type="dxa"/>
            <w:vAlign w:val="center"/>
            <w:hideMark/>
          </w:tcPr>
          <w:p w14:paraId="2CA7790D" w14:textId="5B237CB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9,263</w:t>
            </w:r>
          </w:p>
        </w:tc>
        <w:tc>
          <w:tcPr>
            <w:tcW w:w="1885" w:type="dxa"/>
            <w:vAlign w:val="center"/>
            <w:hideMark/>
          </w:tcPr>
          <w:p w14:paraId="2FDBC11D" w14:textId="7B74292E"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3,326</w:t>
            </w:r>
          </w:p>
        </w:tc>
        <w:tc>
          <w:tcPr>
            <w:tcW w:w="1885" w:type="dxa"/>
            <w:vAlign w:val="center"/>
            <w:hideMark/>
          </w:tcPr>
          <w:p w14:paraId="1C8C43C3" w14:textId="325CCC7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56.0%</w:t>
            </w:r>
          </w:p>
        </w:tc>
      </w:tr>
      <w:tr w:rsidR="003A75AB" w:rsidRPr="0061251C" w14:paraId="1B767D13" w14:textId="77777777" w:rsidTr="004F4BA7">
        <w:tc>
          <w:tcPr>
            <w:tcW w:w="1305" w:type="dxa"/>
            <w:hideMark/>
          </w:tcPr>
          <w:p w14:paraId="2A96A233"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80-84</w:t>
            </w:r>
          </w:p>
        </w:tc>
        <w:tc>
          <w:tcPr>
            <w:tcW w:w="1885" w:type="dxa"/>
            <w:vAlign w:val="center"/>
            <w:hideMark/>
          </w:tcPr>
          <w:p w14:paraId="6FD9390B" w14:textId="2D1CA35C"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4,290</w:t>
            </w:r>
          </w:p>
        </w:tc>
        <w:tc>
          <w:tcPr>
            <w:tcW w:w="1885" w:type="dxa"/>
            <w:vAlign w:val="center"/>
            <w:hideMark/>
          </w:tcPr>
          <w:p w14:paraId="7B6E55E0" w14:textId="3EB3C7C1"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7,093</w:t>
            </w:r>
          </w:p>
        </w:tc>
        <w:tc>
          <w:tcPr>
            <w:tcW w:w="1885" w:type="dxa"/>
            <w:vAlign w:val="center"/>
            <w:hideMark/>
          </w:tcPr>
          <w:p w14:paraId="52E16E61" w14:textId="1A3B377D"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2,803</w:t>
            </w:r>
          </w:p>
        </w:tc>
        <w:tc>
          <w:tcPr>
            <w:tcW w:w="1885" w:type="dxa"/>
            <w:vAlign w:val="center"/>
            <w:hideMark/>
          </w:tcPr>
          <w:p w14:paraId="2D5470C2" w14:textId="6CCC74D3"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65.3%</w:t>
            </w:r>
          </w:p>
        </w:tc>
      </w:tr>
      <w:tr w:rsidR="003A75AB" w:rsidRPr="0061251C" w14:paraId="7EB21BBE" w14:textId="77777777" w:rsidTr="004F4BA7">
        <w:tc>
          <w:tcPr>
            <w:tcW w:w="1305" w:type="dxa"/>
            <w:hideMark/>
          </w:tcPr>
          <w:p w14:paraId="2BA8F707" w14:textId="77777777" w:rsidR="0021172F" w:rsidRPr="004F4BA7" w:rsidRDefault="0021172F" w:rsidP="0021172F">
            <w:pPr>
              <w:keepNext/>
              <w:widowControl w:val="0"/>
              <w:rPr>
                <w:rFonts w:ascii="Arial Narrow" w:hAnsi="Arial Narrow"/>
                <w:color w:val="auto"/>
                <w:sz w:val="24"/>
                <w:szCs w:val="24"/>
              </w:rPr>
            </w:pPr>
            <w:r w:rsidRPr="004F4BA7">
              <w:rPr>
                <w:rFonts w:ascii="Arial Narrow" w:hAnsi="Arial Narrow"/>
                <w:color w:val="auto"/>
                <w:sz w:val="24"/>
                <w:szCs w:val="24"/>
              </w:rPr>
              <w:t>85+</w:t>
            </w:r>
          </w:p>
        </w:tc>
        <w:tc>
          <w:tcPr>
            <w:tcW w:w="1885" w:type="dxa"/>
            <w:vAlign w:val="center"/>
            <w:hideMark/>
          </w:tcPr>
          <w:p w14:paraId="0C199912" w14:textId="7AAAA840"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4,329</w:t>
            </w:r>
          </w:p>
        </w:tc>
        <w:tc>
          <w:tcPr>
            <w:tcW w:w="1885" w:type="dxa"/>
            <w:vAlign w:val="center"/>
            <w:hideMark/>
          </w:tcPr>
          <w:p w14:paraId="4D11ECA1" w14:textId="0005AB25"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8,410</w:t>
            </w:r>
          </w:p>
        </w:tc>
        <w:tc>
          <w:tcPr>
            <w:tcW w:w="1885" w:type="dxa"/>
            <w:vAlign w:val="center"/>
            <w:hideMark/>
          </w:tcPr>
          <w:p w14:paraId="43AFB2F5" w14:textId="748362B6"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4,080</w:t>
            </w:r>
          </w:p>
        </w:tc>
        <w:tc>
          <w:tcPr>
            <w:tcW w:w="1885" w:type="dxa"/>
            <w:vAlign w:val="center"/>
            <w:hideMark/>
          </w:tcPr>
          <w:p w14:paraId="46712C02" w14:textId="083F5054" w:rsidR="0021172F" w:rsidRPr="004F4BA7" w:rsidRDefault="0021172F" w:rsidP="0061251C">
            <w:pPr>
              <w:keepNext/>
              <w:jc w:val="center"/>
              <w:rPr>
                <w:rFonts w:ascii="Arial Narrow" w:hAnsi="Arial Narrow"/>
                <w:color w:val="auto"/>
                <w:sz w:val="24"/>
                <w:szCs w:val="24"/>
              </w:rPr>
            </w:pPr>
            <w:r w:rsidRPr="004F4BA7">
              <w:rPr>
                <w:rFonts w:ascii="Arial Narrow" w:hAnsi="Arial Narrow"/>
                <w:color w:val="auto"/>
                <w:sz w:val="24"/>
                <w:szCs w:val="24"/>
              </w:rPr>
              <w:t>94.3%</w:t>
            </w:r>
          </w:p>
        </w:tc>
      </w:tr>
      <w:tr w:rsidR="003A75AB" w:rsidRPr="0061251C" w14:paraId="0EE3C1B9" w14:textId="77777777" w:rsidTr="004F4BA7">
        <w:tc>
          <w:tcPr>
            <w:tcW w:w="1305" w:type="dxa"/>
            <w:hideMark/>
          </w:tcPr>
          <w:p w14:paraId="11DF521F" w14:textId="77777777" w:rsidR="0021172F" w:rsidRPr="004F4BA7" w:rsidRDefault="0021172F" w:rsidP="0021172F">
            <w:pPr>
              <w:keepNext/>
              <w:widowControl w:val="0"/>
              <w:rPr>
                <w:rFonts w:ascii="Arial Narrow" w:hAnsi="Arial Narrow"/>
                <w:b/>
                <w:bCs/>
                <w:color w:val="auto"/>
                <w:sz w:val="24"/>
                <w:szCs w:val="24"/>
              </w:rPr>
            </w:pPr>
            <w:r w:rsidRPr="004F4BA7">
              <w:rPr>
                <w:rFonts w:ascii="Arial Narrow" w:hAnsi="Arial Narrow"/>
                <w:b/>
                <w:bCs/>
                <w:color w:val="auto"/>
                <w:sz w:val="24"/>
                <w:szCs w:val="24"/>
              </w:rPr>
              <w:t>Total</w:t>
            </w:r>
          </w:p>
        </w:tc>
        <w:tc>
          <w:tcPr>
            <w:tcW w:w="1885" w:type="dxa"/>
            <w:vAlign w:val="center"/>
            <w:hideMark/>
          </w:tcPr>
          <w:p w14:paraId="3F5E19BF" w14:textId="7FF95E2F" w:rsidR="0021172F" w:rsidRPr="004F4BA7" w:rsidRDefault="0021172F" w:rsidP="0061251C">
            <w:pPr>
              <w:keepNext/>
              <w:jc w:val="center"/>
              <w:rPr>
                <w:rFonts w:ascii="Arial Narrow" w:hAnsi="Arial Narrow"/>
                <w:b/>
                <w:bCs/>
                <w:color w:val="auto"/>
                <w:sz w:val="24"/>
                <w:szCs w:val="24"/>
              </w:rPr>
            </w:pPr>
            <w:r w:rsidRPr="004F4BA7">
              <w:rPr>
                <w:rFonts w:ascii="Arial Narrow" w:hAnsi="Arial Narrow"/>
                <w:b/>
                <w:bCs/>
                <w:color w:val="auto"/>
                <w:sz w:val="24"/>
                <w:szCs w:val="24"/>
              </w:rPr>
              <w:t>162,357</w:t>
            </w:r>
          </w:p>
        </w:tc>
        <w:tc>
          <w:tcPr>
            <w:tcW w:w="1885" w:type="dxa"/>
            <w:vAlign w:val="center"/>
            <w:hideMark/>
          </w:tcPr>
          <w:p w14:paraId="180E8DDB" w14:textId="1C9F2FB5" w:rsidR="0021172F" w:rsidRPr="004F4BA7" w:rsidRDefault="0021172F" w:rsidP="0061251C">
            <w:pPr>
              <w:keepNext/>
              <w:jc w:val="center"/>
              <w:rPr>
                <w:rFonts w:ascii="Arial Narrow" w:hAnsi="Arial Narrow"/>
                <w:b/>
                <w:bCs/>
                <w:color w:val="auto"/>
                <w:sz w:val="24"/>
                <w:szCs w:val="24"/>
              </w:rPr>
            </w:pPr>
            <w:r w:rsidRPr="004F4BA7">
              <w:rPr>
                <w:rFonts w:ascii="Arial Narrow" w:hAnsi="Arial Narrow"/>
                <w:b/>
                <w:bCs/>
                <w:color w:val="auto"/>
                <w:sz w:val="24"/>
                <w:szCs w:val="24"/>
              </w:rPr>
              <w:t>204,298</w:t>
            </w:r>
          </w:p>
        </w:tc>
        <w:tc>
          <w:tcPr>
            <w:tcW w:w="1885" w:type="dxa"/>
            <w:vAlign w:val="center"/>
            <w:hideMark/>
          </w:tcPr>
          <w:p w14:paraId="0164B965" w14:textId="21F5E555" w:rsidR="0021172F" w:rsidRPr="004F4BA7" w:rsidRDefault="0021172F" w:rsidP="0061251C">
            <w:pPr>
              <w:keepNext/>
              <w:jc w:val="center"/>
              <w:rPr>
                <w:rFonts w:ascii="Arial Narrow" w:hAnsi="Arial Narrow"/>
                <w:b/>
                <w:bCs/>
                <w:color w:val="auto"/>
                <w:sz w:val="24"/>
                <w:szCs w:val="24"/>
              </w:rPr>
            </w:pPr>
            <w:r w:rsidRPr="004F4BA7">
              <w:rPr>
                <w:rFonts w:ascii="Arial Narrow" w:hAnsi="Arial Narrow"/>
                <w:b/>
                <w:bCs/>
                <w:color w:val="auto"/>
                <w:sz w:val="24"/>
                <w:szCs w:val="24"/>
              </w:rPr>
              <w:t>41,942</w:t>
            </w:r>
          </w:p>
        </w:tc>
        <w:tc>
          <w:tcPr>
            <w:tcW w:w="1885" w:type="dxa"/>
            <w:vAlign w:val="center"/>
            <w:hideMark/>
          </w:tcPr>
          <w:p w14:paraId="1028F8F6" w14:textId="716BB8A8" w:rsidR="0021172F" w:rsidRPr="004F4BA7" w:rsidRDefault="0021172F" w:rsidP="0061251C">
            <w:pPr>
              <w:keepNext/>
              <w:jc w:val="center"/>
              <w:rPr>
                <w:rFonts w:ascii="Arial Narrow" w:hAnsi="Arial Narrow"/>
                <w:b/>
                <w:bCs/>
                <w:color w:val="auto"/>
                <w:sz w:val="24"/>
                <w:szCs w:val="24"/>
              </w:rPr>
            </w:pPr>
            <w:r w:rsidRPr="004F4BA7">
              <w:rPr>
                <w:rFonts w:ascii="Arial Narrow" w:hAnsi="Arial Narrow"/>
                <w:b/>
                <w:bCs/>
                <w:color w:val="auto"/>
                <w:sz w:val="24"/>
                <w:szCs w:val="24"/>
              </w:rPr>
              <w:t>25.8%</w:t>
            </w:r>
          </w:p>
        </w:tc>
      </w:tr>
    </w:tbl>
    <w:p w14:paraId="528B98B5"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506E2651" w14:textId="77777777" w:rsidR="00270765" w:rsidRPr="003E6243" w:rsidRDefault="00270765" w:rsidP="003D5E23">
      <w:pPr>
        <w:pStyle w:val="Tableheading"/>
        <w:numPr>
          <w:ilvl w:val="0"/>
          <w:numId w:val="0"/>
        </w:numPr>
        <w:ind w:left="794"/>
      </w:pPr>
      <w:r w:rsidRPr="003E6243">
        <w:t>Population change 2020 to 2040 by broad age bands linked to Standard Method – South Camb</w:t>
      </w:r>
      <w:r w:rsidR="000D2A90" w:rsidRPr="003E6243">
        <w:t>s</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141"/>
        <w:gridCol w:w="2141"/>
        <w:gridCol w:w="1629"/>
        <w:gridCol w:w="1629"/>
      </w:tblGrid>
      <w:tr w:rsidR="005F180B" w:rsidRPr="003A75AB" w14:paraId="3B598A4C" w14:textId="77777777" w:rsidTr="004F4BA7">
        <w:tc>
          <w:tcPr>
            <w:tcW w:w="0" w:type="dxa"/>
          </w:tcPr>
          <w:p w14:paraId="2CC0C965" w14:textId="77777777" w:rsidR="009107FE" w:rsidRPr="004F4BA7" w:rsidRDefault="009107FE" w:rsidP="009107FE">
            <w:pPr>
              <w:keepNext/>
              <w:rPr>
                <w:rFonts w:ascii="Arial Narrow" w:hAnsi="Arial Narrow"/>
                <w:sz w:val="24"/>
                <w:szCs w:val="24"/>
              </w:rPr>
            </w:pPr>
          </w:p>
        </w:tc>
        <w:tc>
          <w:tcPr>
            <w:tcW w:w="0" w:type="dxa"/>
            <w:vAlign w:val="center"/>
            <w:hideMark/>
          </w:tcPr>
          <w:p w14:paraId="7AFAE49B"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0" w:type="dxa"/>
            <w:vAlign w:val="center"/>
            <w:hideMark/>
          </w:tcPr>
          <w:p w14:paraId="06210200"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0" w:type="dxa"/>
            <w:vAlign w:val="center"/>
            <w:hideMark/>
          </w:tcPr>
          <w:p w14:paraId="3B567EDC" w14:textId="23C3357E"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0" w:type="dxa"/>
            <w:vAlign w:val="center"/>
            <w:hideMark/>
          </w:tcPr>
          <w:p w14:paraId="004D94FE" w14:textId="5B4552CC"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114CA64D" w14:textId="77777777" w:rsidTr="004F4BA7">
        <w:tc>
          <w:tcPr>
            <w:tcW w:w="0" w:type="dxa"/>
            <w:hideMark/>
          </w:tcPr>
          <w:p w14:paraId="751B5E06"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Under 16</w:t>
            </w:r>
          </w:p>
        </w:tc>
        <w:tc>
          <w:tcPr>
            <w:tcW w:w="0" w:type="dxa"/>
            <w:vAlign w:val="center"/>
            <w:hideMark/>
          </w:tcPr>
          <w:p w14:paraId="35F3014B" w14:textId="4C97E982"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32,174</w:t>
            </w:r>
          </w:p>
        </w:tc>
        <w:tc>
          <w:tcPr>
            <w:tcW w:w="0" w:type="dxa"/>
            <w:vAlign w:val="center"/>
            <w:hideMark/>
          </w:tcPr>
          <w:p w14:paraId="4685707D" w14:textId="7AE61064"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38,028</w:t>
            </w:r>
          </w:p>
        </w:tc>
        <w:tc>
          <w:tcPr>
            <w:tcW w:w="0" w:type="dxa"/>
            <w:vAlign w:val="center"/>
            <w:hideMark/>
          </w:tcPr>
          <w:p w14:paraId="083947E0" w14:textId="670FC94E"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5,854</w:t>
            </w:r>
          </w:p>
        </w:tc>
        <w:tc>
          <w:tcPr>
            <w:tcW w:w="0" w:type="dxa"/>
            <w:vAlign w:val="center"/>
            <w:hideMark/>
          </w:tcPr>
          <w:p w14:paraId="18871566" w14:textId="63AAB4A3"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18.2%</w:t>
            </w:r>
          </w:p>
        </w:tc>
      </w:tr>
      <w:tr w:rsidR="005F180B" w:rsidRPr="003A75AB" w14:paraId="1470BC9A" w14:textId="77777777" w:rsidTr="004F4BA7">
        <w:tc>
          <w:tcPr>
            <w:tcW w:w="0" w:type="dxa"/>
            <w:hideMark/>
          </w:tcPr>
          <w:p w14:paraId="44948CF2"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16-64</w:t>
            </w:r>
          </w:p>
        </w:tc>
        <w:tc>
          <w:tcPr>
            <w:tcW w:w="0" w:type="dxa"/>
            <w:vAlign w:val="center"/>
            <w:hideMark/>
          </w:tcPr>
          <w:p w14:paraId="11F009DE" w14:textId="26E0C25C"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99,327</w:t>
            </w:r>
          </w:p>
        </w:tc>
        <w:tc>
          <w:tcPr>
            <w:tcW w:w="0" w:type="dxa"/>
            <w:vAlign w:val="center"/>
            <w:hideMark/>
          </w:tcPr>
          <w:p w14:paraId="40B736FB" w14:textId="178D018A"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119,751</w:t>
            </w:r>
          </w:p>
        </w:tc>
        <w:tc>
          <w:tcPr>
            <w:tcW w:w="0" w:type="dxa"/>
            <w:vAlign w:val="center"/>
            <w:hideMark/>
          </w:tcPr>
          <w:p w14:paraId="4FC510E7" w14:textId="1780D4DD"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20,424</w:t>
            </w:r>
          </w:p>
        </w:tc>
        <w:tc>
          <w:tcPr>
            <w:tcW w:w="0" w:type="dxa"/>
            <w:vAlign w:val="center"/>
            <w:hideMark/>
          </w:tcPr>
          <w:p w14:paraId="56263FF7" w14:textId="4472F1EF"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20.6%</w:t>
            </w:r>
          </w:p>
        </w:tc>
      </w:tr>
      <w:tr w:rsidR="005F180B" w:rsidRPr="003A75AB" w14:paraId="2FDAAE52" w14:textId="77777777" w:rsidTr="004F4BA7">
        <w:tc>
          <w:tcPr>
            <w:tcW w:w="0" w:type="dxa"/>
            <w:hideMark/>
          </w:tcPr>
          <w:p w14:paraId="44001991"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65+</w:t>
            </w:r>
          </w:p>
        </w:tc>
        <w:tc>
          <w:tcPr>
            <w:tcW w:w="0" w:type="dxa"/>
            <w:vAlign w:val="center"/>
            <w:hideMark/>
          </w:tcPr>
          <w:p w14:paraId="52E19D4D" w14:textId="08B83AE4"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30,856</w:t>
            </w:r>
          </w:p>
        </w:tc>
        <w:tc>
          <w:tcPr>
            <w:tcW w:w="0" w:type="dxa"/>
            <w:vAlign w:val="center"/>
            <w:hideMark/>
          </w:tcPr>
          <w:p w14:paraId="345C73B5" w14:textId="1EB7E0DF"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46,520</w:t>
            </w:r>
          </w:p>
        </w:tc>
        <w:tc>
          <w:tcPr>
            <w:tcW w:w="0" w:type="dxa"/>
            <w:vAlign w:val="center"/>
            <w:hideMark/>
          </w:tcPr>
          <w:p w14:paraId="59CFAD56" w14:textId="0F3A8CA7"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15,663</w:t>
            </w:r>
          </w:p>
        </w:tc>
        <w:tc>
          <w:tcPr>
            <w:tcW w:w="0" w:type="dxa"/>
            <w:vAlign w:val="center"/>
            <w:hideMark/>
          </w:tcPr>
          <w:p w14:paraId="0F399A21" w14:textId="54329AA3"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50.8%</w:t>
            </w:r>
          </w:p>
        </w:tc>
      </w:tr>
      <w:tr w:rsidR="005F180B" w:rsidRPr="003A75AB" w14:paraId="2418DE99" w14:textId="77777777" w:rsidTr="004F4BA7">
        <w:tc>
          <w:tcPr>
            <w:tcW w:w="0" w:type="dxa"/>
            <w:hideMark/>
          </w:tcPr>
          <w:p w14:paraId="735E3A75" w14:textId="77777777" w:rsidR="00C2129B" w:rsidRPr="004F4BA7" w:rsidRDefault="00C2129B" w:rsidP="00C2129B">
            <w:pPr>
              <w:keepNext/>
              <w:widowControl w:val="0"/>
              <w:rPr>
                <w:rFonts w:ascii="Arial Narrow" w:hAnsi="Arial Narrow"/>
                <w:b/>
                <w:bCs/>
                <w:sz w:val="24"/>
                <w:szCs w:val="24"/>
              </w:rPr>
            </w:pPr>
            <w:r w:rsidRPr="004F4BA7">
              <w:rPr>
                <w:rFonts w:ascii="Arial Narrow" w:hAnsi="Arial Narrow"/>
                <w:b/>
                <w:bCs/>
                <w:sz w:val="24"/>
                <w:szCs w:val="24"/>
              </w:rPr>
              <w:t>Total</w:t>
            </w:r>
          </w:p>
        </w:tc>
        <w:tc>
          <w:tcPr>
            <w:tcW w:w="0" w:type="dxa"/>
            <w:vAlign w:val="center"/>
            <w:hideMark/>
          </w:tcPr>
          <w:p w14:paraId="00F57CF7" w14:textId="3463535B"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162,357</w:t>
            </w:r>
          </w:p>
        </w:tc>
        <w:tc>
          <w:tcPr>
            <w:tcW w:w="0" w:type="dxa"/>
            <w:vAlign w:val="center"/>
            <w:hideMark/>
          </w:tcPr>
          <w:p w14:paraId="64C7B6EB" w14:textId="6181925D"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204,298</w:t>
            </w:r>
          </w:p>
        </w:tc>
        <w:tc>
          <w:tcPr>
            <w:tcW w:w="0" w:type="dxa"/>
            <w:vAlign w:val="center"/>
            <w:hideMark/>
          </w:tcPr>
          <w:p w14:paraId="5CC12F23" w14:textId="42D8DE7D"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41,942</w:t>
            </w:r>
          </w:p>
        </w:tc>
        <w:tc>
          <w:tcPr>
            <w:tcW w:w="0" w:type="dxa"/>
            <w:vAlign w:val="center"/>
            <w:hideMark/>
          </w:tcPr>
          <w:p w14:paraId="7A3A27E1" w14:textId="14DC400C"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25.8%</w:t>
            </w:r>
          </w:p>
        </w:tc>
      </w:tr>
    </w:tbl>
    <w:p w14:paraId="692050CC"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17C88B50" w14:textId="77777777" w:rsidR="000D2A90" w:rsidRPr="003E6243" w:rsidRDefault="000D2A90" w:rsidP="003D5E23">
      <w:pPr>
        <w:pStyle w:val="Tableheading"/>
        <w:numPr>
          <w:ilvl w:val="0"/>
          <w:numId w:val="0"/>
        </w:numPr>
        <w:ind w:left="794"/>
      </w:pPr>
      <w:r w:rsidRPr="003E6243">
        <w:lastRenderedPageBreak/>
        <w:t>Older persons change 2020 to 2040 by age bands linked to Standard Method – South Cambs</w:t>
      </w:r>
    </w:p>
    <w:tbl>
      <w:tblPr>
        <w:tblStyle w:val="TableGridLight1"/>
        <w:tblW w:w="8845" w:type="dxa"/>
        <w:tblInd w:w="794" w:type="dxa"/>
        <w:tblLook w:val="04A0" w:firstRow="1" w:lastRow="0" w:firstColumn="1" w:lastColumn="0" w:noHBand="0" w:noVBand="1"/>
      </w:tblPr>
      <w:tblGrid>
        <w:gridCol w:w="1769"/>
        <w:gridCol w:w="1769"/>
        <w:gridCol w:w="1769"/>
        <w:gridCol w:w="1769"/>
        <w:gridCol w:w="1769"/>
      </w:tblGrid>
      <w:tr w:rsidR="003A75AB" w:rsidRPr="0061251C" w14:paraId="7BF972A3" w14:textId="77777777" w:rsidTr="003A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03953071" w14:textId="77777777" w:rsidR="000D2A90" w:rsidRPr="004F4BA7" w:rsidRDefault="000D2A90" w:rsidP="008B0419">
            <w:pPr>
              <w:keepNext/>
              <w:spacing w:line="300" w:lineRule="auto"/>
              <w:rPr>
                <w:color w:val="auto"/>
                <w:lang w:eastAsia="en-GB"/>
              </w:rPr>
            </w:pPr>
            <w:r w:rsidRPr="004F4BA7">
              <w:rPr>
                <w:color w:val="auto"/>
                <w:lang w:eastAsia="en-GB"/>
              </w:rPr>
              <w:t> </w:t>
            </w:r>
          </w:p>
        </w:tc>
        <w:tc>
          <w:tcPr>
            <w:tcW w:w="1769" w:type="dxa"/>
            <w:hideMark/>
          </w:tcPr>
          <w:p w14:paraId="0D701142"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2020</w:t>
            </w:r>
          </w:p>
        </w:tc>
        <w:tc>
          <w:tcPr>
            <w:tcW w:w="1769" w:type="dxa"/>
            <w:hideMark/>
          </w:tcPr>
          <w:p w14:paraId="1F52B8EA"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w:t>
            </w:r>
          </w:p>
        </w:tc>
        <w:tc>
          <w:tcPr>
            <w:tcW w:w="1769" w:type="dxa"/>
            <w:hideMark/>
          </w:tcPr>
          <w:p w14:paraId="438CBBBB"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Change</w:t>
            </w:r>
          </w:p>
        </w:tc>
        <w:tc>
          <w:tcPr>
            <w:tcW w:w="1769" w:type="dxa"/>
            <w:hideMark/>
          </w:tcPr>
          <w:p w14:paraId="090ABCCB" w14:textId="0D86514D"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xml:space="preserve">% </w:t>
            </w:r>
            <w:r w:rsidR="00552654" w:rsidRPr="004F4BA7">
              <w:rPr>
                <w:color w:val="auto"/>
                <w:lang w:eastAsia="en-GB"/>
              </w:rPr>
              <w:t>C</w:t>
            </w:r>
            <w:r w:rsidRPr="004F4BA7">
              <w:rPr>
                <w:color w:val="auto"/>
                <w:lang w:eastAsia="en-GB"/>
              </w:rPr>
              <w:t>hange</w:t>
            </w:r>
          </w:p>
        </w:tc>
      </w:tr>
      <w:tr w:rsidR="003A75AB" w:rsidRPr="0061251C" w14:paraId="2E93D758"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2BAFCE94" w14:textId="77777777" w:rsidR="0030608F" w:rsidRPr="004F4BA7" w:rsidRDefault="0030608F" w:rsidP="008B0419">
            <w:pPr>
              <w:keepNext/>
              <w:spacing w:line="300" w:lineRule="auto"/>
              <w:rPr>
                <w:color w:val="auto"/>
                <w:lang w:eastAsia="en-GB"/>
              </w:rPr>
            </w:pPr>
            <w:r w:rsidRPr="004F4BA7">
              <w:rPr>
                <w:color w:val="auto"/>
                <w:lang w:eastAsia="en-GB"/>
              </w:rPr>
              <w:t>Under 65</w:t>
            </w:r>
          </w:p>
        </w:tc>
        <w:tc>
          <w:tcPr>
            <w:tcW w:w="1769" w:type="dxa"/>
            <w:hideMark/>
          </w:tcPr>
          <w:p w14:paraId="1294C4E2" w14:textId="6091CFA5"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131,500</w:t>
            </w:r>
          </w:p>
        </w:tc>
        <w:tc>
          <w:tcPr>
            <w:tcW w:w="1769" w:type="dxa"/>
            <w:hideMark/>
          </w:tcPr>
          <w:p w14:paraId="7051BFA8" w14:textId="54D7CB20"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157,779</w:t>
            </w:r>
          </w:p>
        </w:tc>
        <w:tc>
          <w:tcPr>
            <w:tcW w:w="1769" w:type="dxa"/>
            <w:hideMark/>
          </w:tcPr>
          <w:p w14:paraId="0B327AA8" w14:textId="759870D3"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26,278</w:t>
            </w:r>
          </w:p>
        </w:tc>
        <w:tc>
          <w:tcPr>
            <w:tcW w:w="1769" w:type="dxa"/>
            <w:hideMark/>
          </w:tcPr>
          <w:p w14:paraId="2A9844CB" w14:textId="07D28958"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20.0%</w:t>
            </w:r>
          </w:p>
        </w:tc>
      </w:tr>
      <w:tr w:rsidR="003A75AB" w:rsidRPr="0061251C" w14:paraId="5C39AB32"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78B91C43" w14:textId="77777777" w:rsidR="0030608F" w:rsidRPr="004F4BA7" w:rsidRDefault="0030608F" w:rsidP="008B0419">
            <w:pPr>
              <w:keepNext/>
              <w:spacing w:line="300" w:lineRule="auto"/>
              <w:rPr>
                <w:color w:val="auto"/>
                <w:lang w:eastAsia="en-GB"/>
              </w:rPr>
            </w:pPr>
            <w:r w:rsidRPr="004F4BA7">
              <w:rPr>
                <w:color w:val="auto"/>
                <w:lang w:eastAsia="en-GB"/>
              </w:rPr>
              <w:t>65-74</w:t>
            </w:r>
          </w:p>
        </w:tc>
        <w:tc>
          <w:tcPr>
            <w:tcW w:w="1769" w:type="dxa"/>
            <w:hideMark/>
          </w:tcPr>
          <w:p w14:paraId="707E399D" w14:textId="32EBBB54"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16,300</w:t>
            </w:r>
          </w:p>
        </w:tc>
        <w:tc>
          <w:tcPr>
            <w:tcW w:w="1769" w:type="dxa"/>
            <w:hideMark/>
          </w:tcPr>
          <w:p w14:paraId="35751EDE" w14:textId="187E4E80"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21,754</w:t>
            </w:r>
          </w:p>
        </w:tc>
        <w:tc>
          <w:tcPr>
            <w:tcW w:w="1769" w:type="dxa"/>
            <w:hideMark/>
          </w:tcPr>
          <w:p w14:paraId="692DF49A" w14:textId="409634D4"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5,453</w:t>
            </w:r>
          </w:p>
        </w:tc>
        <w:tc>
          <w:tcPr>
            <w:tcW w:w="1769" w:type="dxa"/>
            <w:hideMark/>
          </w:tcPr>
          <w:p w14:paraId="230D9C80" w14:textId="5D7588EC"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33.5%</w:t>
            </w:r>
          </w:p>
        </w:tc>
      </w:tr>
      <w:tr w:rsidR="003A75AB" w:rsidRPr="0061251C" w14:paraId="6D4BC1E5"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2B698F0F" w14:textId="77777777" w:rsidR="0030608F" w:rsidRPr="004F4BA7" w:rsidRDefault="0030608F" w:rsidP="008B0419">
            <w:pPr>
              <w:keepNext/>
              <w:spacing w:line="300" w:lineRule="auto"/>
              <w:rPr>
                <w:color w:val="auto"/>
                <w:lang w:eastAsia="en-GB"/>
              </w:rPr>
            </w:pPr>
            <w:r w:rsidRPr="004F4BA7">
              <w:rPr>
                <w:color w:val="auto"/>
                <w:lang w:eastAsia="en-GB"/>
              </w:rPr>
              <w:t>75-84</w:t>
            </w:r>
          </w:p>
        </w:tc>
        <w:tc>
          <w:tcPr>
            <w:tcW w:w="1769" w:type="dxa"/>
            <w:hideMark/>
          </w:tcPr>
          <w:p w14:paraId="0BA1E986" w14:textId="0112B2C2"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10,227</w:t>
            </w:r>
          </w:p>
        </w:tc>
        <w:tc>
          <w:tcPr>
            <w:tcW w:w="1769" w:type="dxa"/>
            <w:hideMark/>
          </w:tcPr>
          <w:p w14:paraId="5D88808F" w14:textId="215A424E"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16,356</w:t>
            </w:r>
          </w:p>
        </w:tc>
        <w:tc>
          <w:tcPr>
            <w:tcW w:w="1769" w:type="dxa"/>
            <w:hideMark/>
          </w:tcPr>
          <w:p w14:paraId="58B8E7B5" w14:textId="1EAE70D9"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6,130</w:t>
            </w:r>
          </w:p>
        </w:tc>
        <w:tc>
          <w:tcPr>
            <w:tcW w:w="1769" w:type="dxa"/>
            <w:hideMark/>
          </w:tcPr>
          <w:p w14:paraId="489DEAF6" w14:textId="252BE563"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59.9%</w:t>
            </w:r>
          </w:p>
        </w:tc>
      </w:tr>
      <w:tr w:rsidR="003A75AB" w:rsidRPr="0061251C" w14:paraId="25E4EF14"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0E5A68ED" w14:textId="77777777" w:rsidR="0030608F" w:rsidRPr="004F4BA7" w:rsidRDefault="0030608F" w:rsidP="008B0419">
            <w:pPr>
              <w:keepNext/>
              <w:spacing w:line="300" w:lineRule="auto"/>
              <w:rPr>
                <w:color w:val="auto"/>
                <w:lang w:eastAsia="en-GB"/>
              </w:rPr>
            </w:pPr>
            <w:r w:rsidRPr="004F4BA7">
              <w:rPr>
                <w:color w:val="auto"/>
                <w:lang w:eastAsia="en-GB"/>
              </w:rPr>
              <w:t>85+</w:t>
            </w:r>
          </w:p>
        </w:tc>
        <w:tc>
          <w:tcPr>
            <w:tcW w:w="1769" w:type="dxa"/>
            <w:hideMark/>
          </w:tcPr>
          <w:p w14:paraId="3D7813F4" w14:textId="200BD56B"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4,329</w:t>
            </w:r>
          </w:p>
        </w:tc>
        <w:tc>
          <w:tcPr>
            <w:tcW w:w="1769" w:type="dxa"/>
            <w:hideMark/>
          </w:tcPr>
          <w:p w14:paraId="42A258E6" w14:textId="0107242B"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8,410</w:t>
            </w:r>
          </w:p>
        </w:tc>
        <w:tc>
          <w:tcPr>
            <w:tcW w:w="1769" w:type="dxa"/>
            <w:hideMark/>
          </w:tcPr>
          <w:p w14:paraId="6939408D" w14:textId="0A03453D"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4,080</w:t>
            </w:r>
          </w:p>
        </w:tc>
        <w:tc>
          <w:tcPr>
            <w:tcW w:w="1769" w:type="dxa"/>
            <w:hideMark/>
          </w:tcPr>
          <w:p w14:paraId="546E489F" w14:textId="3A83F0CE"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94.3%</w:t>
            </w:r>
          </w:p>
        </w:tc>
      </w:tr>
      <w:tr w:rsidR="003A75AB" w:rsidRPr="0061251C" w14:paraId="754A4FCD"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5AB49AA5" w14:textId="77777777" w:rsidR="0030608F" w:rsidRPr="004F4BA7" w:rsidRDefault="0030608F" w:rsidP="008B0419">
            <w:pPr>
              <w:keepNext/>
              <w:spacing w:line="300" w:lineRule="auto"/>
              <w:rPr>
                <w:b/>
                <w:bCs/>
                <w:color w:val="auto"/>
                <w:lang w:eastAsia="en-GB"/>
              </w:rPr>
            </w:pPr>
            <w:r w:rsidRPr="004F4BA7">
              <w:rPr>
                <w:b/>
                <w:bCs/>
                <w:color w:val="auto"/>
                <w:lang w:eastAsia="en-GB"/>
              </w:rPr>
              <w:t>Total</w:t>
            </w:r>
          </w:p>
        </w:tc>
        <w:tc>
          <w:tcPr>
            <w:tcW w:w="1769" w:type="dxa"/>
            <w:hideMark/>
          </w:tcPr>
          <w:p w14:paraId="5D9D979D" w14:textId="72B9E44A"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162,357</w:t>
            </w:r>
          </w:p>
        </w:tc>
        <w:tc>
          <w:tcPr>
            <w:tcW w:w="1769" w:type="dxa"/>
            <w:hideMark/>
          </w:tcPr>
          <w:p w14:paraId="01CE3C8D" w14:textId="6077DE1F"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204,298</w:t>
            </w:r>
          </w:p>
        </w:tc>
        <w:tc>
          <w:tcPr>
            <w:tcW w:w="1769" w:type="dxa"/>
            <w:hideMark/>
          </w:tcPr>
          <w:p w14:paraId="5FF5B0E2" w14:textId="7191332F"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41,942</w:t>
            </w:r>
          </w:p>
        </w:tc>
        <w:tc>
          <w:tcPr>
            <w:tcW w:w="1769" w:type="dxa"/>
            <w:hideMark/>
          </w:tcPr>
          <w:p w14:paraId="6F8FA8C4" w14:textId="6A658FCD"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25.8%</w:t>
            </w:r>
          </w:p>
        </w:tc>
      </w:tr>
      <w:tr w:rsidR="003A75AB" w:rsidRPr="0061251C" w14:paraId="413C081E"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3EE45B31" w14:textId="77777777" w:rsidR="0030608F" w:rsidRPr="004F4BA7" w:rsidRDefault="0030608F" w:rsidP="008B0419">
            <w:pPr>
              <w:keepNext/>
              <w:spacing w:line="300" w:lineRule="auto"/>
              <w:rPr>
                <w:color w:val="auto"/>
                <w:lang w:eastAsia="en-GB"/>
              </w:rPr>
            </w:pPr>
            <w:r w:rsidRPr="004F4BA7">
              <w:rPr>
                <w:color w:val="auto"/>
                <w:lang w:eastAsia="en-GB"/>
              </w:rPr>
              <w:t>65+</w:t>
            </w:r>
          </w:p>
        </w:tc>
        <w:tc>
          <w:tcPr>
            <w:tcW w:w="1769" w:type="dxa"/>
            <w:hideMark/>
          </w:tcPr>
          <w:p w14:paraId="598B3A0B" w14:textId="554AA3E2"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30,856</w:t>
            </w:r>
          </w:p>
        </w:tc>
        <w:tc>
          <w:tcPr>
            <w:tcW w:w="1769" w:type="dxa"/>
            <w:hideMark/>
          </w:tcPr>
          <w:p w14:paraId="4D3EB0A1" w14:textId="2B7DEAF9"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46,520</w:t>
            </w:r>
          </w:p>
        </w:tc>
        <w:tc>
          <w:tcPr>
            <w:tcW w:w="1769" w:type="dxa"/>
            <w:hideMark/>
          </w:tcPr>
          <w:p w14:paraId="790AFB42" w14:textId="18AC0C14"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15,663</w:t>
            </w:r>
          </w:p>
        </w:tc>
        <w:tc>
          <w:tcPr>
            <w:tcW w:w="1769" w:type="dxa"/>
            <w:hideMark/>
          </w:tcPr>
          <w:p w14:paraId="35560CF6" w14:textId="1B5828E5"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50.8%</w:t>
            </w:r>
          </w:p>
        </w:tc>
      </w:tr>
    </w:tbl>
    <w:p w14:paraId="37103D11" w14:textId="77777777" w:rsidR="000D2A90" w:rsidRPr="00B35A8B" w:rsidRDefault="000D2A90" w:rsidP="000D2A90">
      <w:pPr>
        <w:spacing w:after="120" w:line="360" w:lineRule="auto"/>
        <w:ind w:left="794"/>
        <w:rPr>
          <w:sz w:val="24"/>
          <w:szCs w:val="24"/>
        </w:rPr>
      </w:pPr>
      <w:r w:rsidRPr="00B35A8B">
        <w:rPr>
          <w:sz w:val="24"/>
          <w:szCs w:val="24"/>
        </w:rPr>
        <w:t>Source: Demographic projections</w:t>
      </w:r>
    </w:p>
    <w:p w14:paraId="73EBA59F" w14:textId="77777777" w:rsidR="00270765" w:rsidRPr="003E6243" w:rsidRDefault="00270765" w:rsidP="003D5E23">
      <w:pPr>
        <w:pStyle w:val="Tableheading"/>
        <w:numPr>
          <w:ilvl w:val="0"/>
          <w:numId w:val="0"/>
        </w:numPr>
        <w:ind w:left="794"/>
      </w:pPr>
      <w:r w:rsidRPr="003E6243">
        <w:t>Population change 2020 to 2040 by five-year age bands linked to Standard Method – W Suffolk</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0770CE91" w14:textId="77777777" w:rsidTr="004F4BA7">
        <w:tc>
          <w:tcPr>
            <w:tcW w:w="1305" w:type="dxa"/>
          </w:tcPr>
          <w:p w14:paraId="323DCD5B" w14:textId="77777777" w:rsidR="009107FE" w:rsidRPr="004F4BA7" w:rsidRDefault="009107FE" w:rsidP="009107FE">
            <w:pPr>
              <w:keepNext/>
              <w:rPr>
                <w:rFonts w:ascii="Arial Narrow" w:hAnsi="Arial Narrow"/>
                <w:sz w:val="24"/>
                <w:szCs w:val="24"/>
              </w:rPr>
            </w:pPr>
          </w:p>
        </w:tc>
        <w:tc>
          <w:tcPr>
            <w:tcW w:w="1885" w:type="dxa"/>
            <w:vAlign w:val="center"/>
            <w:hideMark/>
          </w:tcPr>
          <w:p w14:paraId="07FBFAFF"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68D8C16E"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5E818D06" w14:textId="31F47B63"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2B0C06E2" w14:textId="74E9ADBE"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219AFC77" w14:textId="77777777" w:rsidTr="004F4BA7">
        <w:tc>
          <w:tcPr>
            <w:tcW w:w="1305" w:type="dxa"/>
            <w:hideMark/>
          </w:tcPr>
          <w:p w14:paraId="0DB14893"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Under 5</w:t>
            </w:r>
          </w:p>
        </w:tc>
        <w:tc>
          <w:tcPr>
            <w:tcW w:w="1885" w:type="dxa"/>
            <w:vAlign w:val="center"/>
            <w:hideMark/>
          </w:tcPr>
          <w:p w14:paraId="6539F635" w14:textId="2025939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11,205</w:t>
            </w:r>
          </w:p>
        </w:tc>
        <w:tc>
          <w:tcPr>
            <w:tcW w:w="1885" w:type="dxa"/>
            <w:vAlign w:val="center"/>
            <w:hideMark/>
          </w:tcPr>
          <w:p w14:paraId="7BA7420A" w14:textId="5C9AC1E5"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13,073</w:t>
            </w:r>
          </w:p>
        </w:tc>
        <w:tc>
          <w:tcPr>
            <w:tcW w:w="1885" w:type="dxa"/>
            <w:vAlign w:val="center"/>
            <w:hideMark/>
          </w:tcPr>
          <w:p w14:paraId="5A9D8453" w14:textId="380D4C14"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1,868</w:t>
            </w:r>
          </w:p>
        </w:tc>
        <w:tc>
          <w:tcPr>
            <w:tcW w:w="1885" w:type="dxa"/>
            <w:vAlign w:val="center"/>
            <w:hideMark/>
          </w:tcPr>
          <w:p w14:paraId="67EA4662" w14:textId="712C659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16.7%</w:t>
            </w:r>
          </w:p>
        </w:tc>
      </w:tr>
      <w:tr w:rsidR="005F180B" w:rsidRPr="003A75AB" w14:paraId="2D244CA1" w14:textId="77777777" w:rsidTr="004F4BA7">
        <w:tc>
          <w:tcPr>
            <w:tcW w:w="1305" w:type="dxa"/>
            <w:hideMark/>
          </w:tcPr>
          <w:p w14:paraId="51D4130F"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5-9</w:t>
            </w:r>
          </w:p>
        </w:tc>
        <w:tc>
          <w:tcPr>
            <w:tcW w:w="1885" w:type="dxa"/>
            <w:vAlign w:val="center"/>
            <w:hideMark/>
          </w:tcPr>
          <w:p w14:paraId="4FEBF845" w14:textId="4F42594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10,979</w:t>
            </w:r>
          </w:p>
        </w:tc>
        <w:tc>
          <w:tcPr>
            <w:tcW w:w="1885" w:type="dxa"/>
            <w:vAlign w:val="center"/>
            <w:hideMark/>
          </w:tcPr>
          <w:p w14:paraId="2AA05665" w14:textId="3F66CEC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12,772</w:t>
            </w:r>
          </w:p>
        </w:tc>
        <w:tc>
          <w:tcPr>
            <w:tcW w:w="1885" w:type="dxa"/>
            <w:vAlign w:val="center"/>
            <w:hideMark/>
          </w:tcPr>
          <w:p w14:paraId="641F26AC" w14:textId="6617A306"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1,793</w:t>
            </w:r>
          </w:p>
        </w:tc>
        <w:tc>
          <w:tcPr>
            <w:tcW w:w="1885" w:type="dxa"/>
            <w:vAlign w:val="center"/>
            <w:hideMark/>
          </w:tcPr>
          <w:p w14:paraId="1A1B875A" w14:textId="33D60B4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16.3%</w:t>
            </w:r>
          </w:p>
        </w:tc>
      </w:tr>
      <w:tr w:rsidR="005F180B" w:rsidRPr="003A75AB" w14:paraId="582F7388" w14:textId="77777777" w:rsidTr="004F4BA7">
        <w:tc>
          <w:tcPr>
            <w:tcW w:w="1305" w:type="dxa"/>
            <w:hideMark/>
          </w:tcPr>
          <w:p w14:paraId="649C9A85"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10-14</w:t>
            </w:r>
          </w:p>
        </w:tc>
        <w:tc>
          <w:tcPr>
            <w:tcW w:w="1885" w:type="dxa"/>
            <w:vAlign w:val="center"/>
            <w:hideMark/>
          </w:tcPr>
          <w:p w14:paraId="66E0DEF1" w14:textId="357A6992"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10,288</w:t>
            </w:r>
          </w:p>
        </w:tc>
        <w:tc>
          <w:tcPr>
            <w:tcW w:w="1885" w:type="dxa"/>
            <w:vAlign w:val="center"/>
            <w:hideMark/>
          </w:tcPr>
          <w:p w14:paraId="5BD5C2B4" w14:textId="3430DF4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11,953</w:t>
            </w:r>
          </w:p>
        </w:tc>
        <w:tc>
          <w:tcPr>
            <w:tcW w:w="1885" w:type="dxa"/>
            <w:vAlign w:val="center"/>
            <w:hideMark/>
          </w:tcPr>
          <w:p w14:paraId="329B5699" w14:textId="51F28D72"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1,665</w:t>
            </w:r>
          </w:p>
        </w:tc>
        <w:tc>
          <w:tcPr>
            <w:tcW w:w="1885" w:type="dxa"/>
            <w:vAlign w:val="center"/>
            <w:hideMark/>
          </w:tcPr>
          <w:p w14:paraId="0C55F1F1" w14:textId="6129226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16.2%</w:t>
            </w:r>
          </w:p>
        </w:tc>
      </w:tr>
      <w:tr w:rsidR="005F180B" w:rsidRPr="003A75AB" w14:paraId="1D05BD27" w14:textId="77777777" w:rsidTr="004F4BA7">
        <w:tc>
          <w:tcPr>
            <w:tcW w:w="1305" w:type="dxa"/>
            <w:hideMark/>
          </w:tcPr>
          <w:p w14:paraId="2F6FFF1A"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15-19</w:t>
            </w:r>
          </w:p>
        </w:tc>
        <w:tc>
          <w:tcPr>
            <w:tcW w:w="1885" w:type="dxa"/>
            <w:vAlign w:val="center"/>
            <w:hideMark/>
          </w:tcPr>
          <w:p w14:paraId="769A41FD" w14:textId="0219E16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9,123</w:t>
            </w:r>
          </w:p>
        </w:tc>
        <w:tc>
          <w:tcPr>
            <w:tcW w:w="1885" w:type="dxa"/>
            <w:vAlign w:val="center"/>
            <w:hideMark/>
          </w:tcPr>
          <w:p w14:paraId="16E273EF" w14:textId="35E7E17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11,208</w:t>
            </w:r>
          </w:p>
        </w:tc>
        <w:tc>
          <w:tcPr>
            <w:tcW w:w="1885" w:type="dxa"/>
            <w:vAlign w:val="center"/>
            <w:hideMark/>
          </w:tcPr>
          <w:p w14:paraId="08865665" w14:textId="1BC05D0F"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2,084</w:t>
            </w:r>
          </w:p>
        </w:tc>
        <w:tc>
          <w:tcPr>
            <w:tcW w:w="1885" w:type="dxa"/>
            <w:vAlign w:val="center"/>
            <w:hideMark/>
          </w:tcPr>
          <w:p w14:paraId="24AD0782" w14:textId="3DBECAFC"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22.8%</w:t>
            </w:r>
          </w:p>
        </w:tc>
      </w:tr>
      <w:tr w:rsidR="005F180B" w:rsidRPr="003A75AB" w14:paraId="65553CCE" w14:textId="77777777" w:rsidTr="004F4BA7">
        <w:tc>
          <w:tcPr>
            <w:tcW w:w="1305" w:type="dxa"/>
            <w:hideMark/>
          </w:tcPr>
          <w:p w14:paraId="00363A1E"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20-24</w:t>
            </w:r>
          </w:p>
        </w:tc>
        <w:tc>
          <w:tcPr>
            <w:tcW w:w="1885" w:type="dxa"/>
            <w:vAlign w:val="center"/>
            <w:hideMark/>
          </w:tcPr>
          <w:p w14:paraId="3B60462C" w14:textId="0D7036FC"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10,267</w:t>
            </w:r>
          </w:p>
        </w:tc>
        <w:tc>
          <w:tcPr>
            <w:tcW w:w="1885" w:type="dxa"/>
            <w:vAlign w:val="center"/>
            <w:hideMark/>
          </w:tcPr>
          <w:p w14:paraId="7770E571" w14:textId="24FA07FD"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11,878</w:t>
            </w:r>
          </w:p>
        </w:tc>
        <w:tc>
          <w:tcPr>
            <w:tcW w:w="1885" w:type="dxa"/>
            <w:vAlign w:val="center"/>
            <w:hideMark/>
          </w:tcPr>
          <w:p w14:paraId="411F1803" w14:textId="27112F5B"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1,611</w:t>
            </w:r>
          </w:p>
        </w:tc>
        <w:tc>
          <w:tcPr>
            <w:tcW w:w="1885" w:type="dxa"/>
            <w:vAlign w:val="center"/>
            <w:hideMark/>
          </w:tcPr>
          <w:p w14:paraId="60E8FD96" w14:textId="5952839C"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15.7%</w:t>
            </w:r>
          </w:p>
        </w:tc>
      </w:tr>
      <w:tr w:rsidR="005F180B" w:rsidRPr="003A75AB" w14:paraId="0E92D478" w14:textId="77777777" w:rsidTr="004F4BA7">
        <w:tc>
          <w:tcPr>
            <w:tcW w:w="1305" w:type="dxa"/>
            <w:hideMark/>
          </w:tcPr>
          <w:p w14:paraId="120A9876"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25-29</w:t>
            </w:r>
          </w:p>
        </w:tc>
        <w:tc>
          <w:tcPr>
            <w:tcW w:w="1885" w:type="dxa"/>
            <w:vAlign w:val="center"/>
            <w:hideMark/>
          </w:tcPr>
          <w:p w14:paraId="3B879061" w14:textId="4D8FD16F"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12,578</w:t>
            </w:r>
          </w:p>
        </w:tc>
        <w:tc>
          <w:tcPr>
            <w:tcW w:w="1885" w:type="dxa"/>
            <w:vAlign w:val="center"/>
            <w:hideMark/>
          </w:tcPr>
          <w:p w14:paraId="5ABAA4D7" w14:textId="21628065"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13,472</w:t>
            </w:r>
          </w:p>
        </w:tc>
        <w:tc>
          <w:tcPr>
            <w:tcW w:w="1885" w:type="dxa"/>
            <w:vAlign w:val="center"/>
            <w:hideMark/>
          </w:tcPr>
          <w:p w14:paraId="4552B082" w14:textId="5AE459D6"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894</w:t>
            </w:r>
          </w:p>
        </w:tc>
        <w:tc>
          <w:tcPr>
            <w:tcW w:w="1885" w:type="dxa"/>
            <w:vAlign w:val="center"/>
            <w:hideMark/>
          </w:tcPr>
          <w:p w14:paraId="104A545B" w14:textId="05575AF6"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7.1%</w:t>
            </w:r>
          </w:p>
        </w:tc>
      </w:tr>
      <w:tr w:rsidR="005F180B" w:rsidRPr="003A75AB" w14:paraId="2D55E331" w14:textId="77777777" w:rsidTr="004F4BA7">
        <w:tc>
          <w:tcPr>
            <w:tcW w:w="1305" w:type="dxa"/>
            <w:hideMark/>
          </w:tcPr>
          <w:p w14:paraId="31EDB5EB"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30-34</w:t>
            </w:r>
          </w:p>
        </w:tc>
        <w:tc>
          <w:tcPr>
            <w:tcW w:w="1885" w:type="dxa"/>
            <w:vAlign w:val="center"/>
            <w:hideMark/>
          </w:tcPr>
          <w:p w14:paraId="0768C64D" w14:textId="0349384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12,512</w:t>
            </w:r>
          </w:p>
        </w:tc>
        <w:tc>
          <w:tcPr>
            <w:tcW w:w="1885" w:type="dxa"/>
            <w:vAlign w:val="center"/>
            <w:hideMark/>
          </w:tcPr>
          <w:p w14:paraId="598C27DA" w14:textId="2B00DC61"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13,509</w:t>
            </w:r>
          </w:p>
        </w:tc>
        <w:tc>
          <w:tcPr>
            <w:tcW w:w="1885" w:type="dxa"/>
            <w:vAlign w:val="center"/>
            <w:hideMark/>
          </w:tcPr>
          <w:p w14:paraId="70E1B2A7" w14:textId="5B132DE3"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997</w:t>
            </w:r>
          </w:p>
        </w:tc>
        <w:tc>
          <w:tcPr>
            <w:tcW w:w="1885" w:type="dxa"/>
            <w:vAlign w:val="center"/>
            <w:hideMark/>
          </w:tcPr>
          <w:p w14:paraId="1D8FB66B" w14:textId="09D4343C"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8.0%</w:t>
            </w:r>
          </w:p>
        </w:tc>
      </w:tr>
      <w:tr w:rsidR="005F180B" w:rsidRPr="003A75AB" w14:paraId="726E1D08" w14:textId="77777777" w:rsidTr="004F4BA7">
        <w:tc>
          <w:tcPr>
            <w:tcW w:w="1305" w:type="dxa"/>
            <w:hideMark/>
          </w:tcPr>
          <w:p w14:paraId="52F98ABE"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35-39</w:t>
            </w:r>
          </w:p>
        </w:tc>
        <w:tc>
          <w:tcPr>
            <w:tcW w:w="1885" w:type="dxa"/>
            <w:vAlign w:val="center"/>
            <w:hideMark/>
          </w:tcPr>
          <w:p w14:paraId="4A4C80DA" w14:textId="2CE4A25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11,591</w:t>
            </w:r>
          </w:p>
        </w:tc>
        <w:tc>
          <w:tcPr>
            <w:tcW w:w="1885" w:type="dxa"/>
            <w:vAlign w:val="center"/>
            <w:hideMark/>
          </w:tcPr>
          <w:p w14:paraId="73F7FF43" w14:textId="5A339999"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12,023</w:t>
            </w:r>
          </w:p>
        </w:tc>
        <w:tc>
          <w:tcPr>
            <w:tcW w:w="1885" w:type="dxa"/>
            <w:vAlign w:val="center"/>
            <w:hideMark/>
          </w:tcPr>
          <w:p w14:paraId="0C08A5E7" w14:textId="089867D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431</w:t>
            </w:r>
          </w:p>
        </w:tc>
        <w:tc>
          <w:tcPr>
            <w:tcW w:w="1885" w:type="dxa"/>
            <w:vAlign w:val="center"/>
            <w:hideMark/>
          </w:tcPr>
          <w:p w14:paraId="42D14C6F" w14:textId="59D3593F"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3.7%</w:t>
            </w:r>
          </w:p>
        </w:tc>
      </w:tr>
      <w:tr w:rsidR="005F180B" w:rsidRPr="003A75AB" w14:paraId="18ED25C2" w14:textId="77777777" w:rsidTr="004F4BA7">
        <w:tc>
          <w:tcPr>
            <w:tcW w:w="1305" w:type="dxa"/>
            <w:hideMark/>
          </w:tcPr>
          <w:p w14:paraId="055CAC87"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40-44</w:t>
            </w:r>
          </w:p>
        </w:tc>
        <w:tc>
          <w:tcPr>
            <w:tcW w:w="1885" w:type="dxa"/>
            <w:vAlign w:val="center"/>
            <w:hideMark/>
          </w:tcPr>
          <w:p w14:paraId="4F536AD1" w14:textId="1C13B90E"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10,483</w:t>
            </w:r>
          </w:p>
        </w:tc>
        <w:tc>
          <w:tcPr>
            <w:tcW w:w="1885" w:type="dxa"/>
            <w:vAlign w:val="center"/>
            <w:hideMark/>
          </w:tcPr>
          <w:p w14:paraId="4E35C178" w14:textId="3BAF088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11,514</w:t>
            </w:r>
          </w:p>
        </w:tc>
        <w:tc>
          <w:tcPr>
            <w:tcW w:w="1885" w:type="dxa"/>
            <w:vAlign w:val="center"/>
            <w:hideMark/>
          </w:tcPr>
          <w:p w14:paraId="7F4C07DC" w14:textId="44E716F5"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1,031</w:t>
            </w:r>
          </w:p>
        </w:tc>
        <w:tc>
          <w:tcPr>
            <w:tcW w:w="1885" w:type="dxa"/>
            <w:vAlign w:val="center"/>
            <w:hideMark/>
          </w:tcPr>
          <w:p w14:paraId="22D67903" w14:textId="70688EC4"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9.8%</w:t>
            </w:r>
          </w:p>
        </w:tc>
      </w:tr>
      <w:tr w:rsidR="005F180B" w:rsidRPr="003A75AB" w14:paraId="02BB9E6A" w14:textId="77777777" w:rsidTr="004F4BA7">
        <w:tc>
          <w:tcPr>
            <w:tcW w:w="1305" w:type="dxa"/>
            <w:hideMark/>
          </w:tcPr>
          <w:p w14:paraId="5CCE49C2"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45-49</w:t>
            </w:r>
          </w:p>
        </w:tc>
        <w:tc>
          <w:tcPr>
            <w:tcW w:w="1885" w:type="dxa"/>
            <w:vAlign w:val="center"/>
            <w:hideMark/>
          </w:tcPr>
          <w:p w14:paraId="70F07FD9" w14:textId="7639E644"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11,229</w:t>
            </w:r>
          </w:p>
        </w:tc>
        <w:tc>
          <w:tcPr>
            <w:tcW w:w="1885" w:type="dxa"/>
            <w:vAlign w:val="center"/>
            <w:hideMark/>
          </w:tcPr>
          <w:p w14:paraId="5565A902" w14:textId="2643C2A7"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12,089</w:t>
            </w:r>
          </w:p>
        </w:tc>
        <w:tc>
          <w:tcPr>
            <w:tcW w:w="1885" w:type="dxa"/>
            <w:vAlign w:val="center"/>
            <w:hideMark/>
          </w:tcPr>
          <w:p w14:paraId="38119143" w14:textId="108F5591"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859</w:t>
            </w:r>
          </w:p>
        </w:tc>
        <w:tc>
          <w:tcPr>
            <w:tcW w:w="1885" w:type="dxa"/>
            <w:vAlign w:val="center"/>
            <w:hideMark/>
          </w:tcPr>
          <w:p w14:paraId="14FE8186" w14:textId="65D2476F"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7.7%</w:t>
            </w:r>
          </w:p>
        </w:tc>
      </w:tr>
      <w:tr w:rsidR="005F180B" w:rsidRPr="003A75AB" w14:paraId="43574981" w14:textId="77777777" w:rsidTr="004F4BA7">
        <w:tc>
          <w:tcPr>
            <w:tcW w:w="1305" w:type="dxa"/>
            <w:hideMark/>
          </w:tcPr>
          <w:p w14:paraId="72B90CD7"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50-54</w:t>
            </w:r>
          </w:p>
        </w:tc>
        <w:tc>
          <w:tcPr>
            <w:tcW w:w="1885" w:type="dxa"/>
            <w:vAlign w:val="center"/>
            <w:hideMark/>
          </w:tcPr>
          <w:p w14:paraId="402E8720" w14:textId="4F0B4A29"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12,188</w:t>
            </w:r>
          </w:p>
        </w:tc>
        <w:tc>
          <w:tcPr>
            <w:tcW w:w="1885" w:type="dxa"/>
            <w:vAlign w:val="center"/>
            <w:hideMark/>
          </w:tcPr>
          <w:p w14:paraId="54029A22" w14:textId="7F28E2C1"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11,824</w:t>
            </w:r>
          </w:p>
        </w:tc>
        <w:tc>
          <w:tcPr>
            <w:tcW w:w="1885" w:type="dxa"/>
            <w:vAlign w:val="center"/>
            <w:hideMark/>
          </w:tcPr>
          <w:p w14:paraId="02DFFD72" w14:textId="5E8FFA7A"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-364</w:t>
            </w:r>
          </w:p>
        </w:tc>
        <w:tc>
          <w:tcPr>
            <w:tcW w:w="1885" w:type="dxa"/>
            <w:vAlign w:val="center"/>
            <w:hideMark/>
          </w:tcPr>
          <w:p w14:paraId="660AB1E3" w14:textId="258FD49F"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-3.0%</w:t>
            </w:r>
          </w:p>
        </w:tc>
      </w:tr>
      <w:tr w:rsidR="005F180B" w:rsidRPr="003A75AB" w14:paraId="51CA79BF" w14:textId="77777777" w:rsidTr="004F4BA7">
        <w:tc>
          <w:tcPr>
            <w:tcW w:w="1305" w:type="dxa"/>
            <w:hideMark/>
          </w:tcPr>
          <w:p w14:paraId="06ABA3E5"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55-59</w:t>
            </w:r>
          </w:p>
        </w:tc>
        <w:tc>
          <w:tcPr>
            <w:tcW w:w="1885" w:type="dxa"/>
            <w:vAlign w:val="center"/>
            <w:hideMark/>
          </w:tcPr>
          <w:p w14:paraId="01BB4D5B" w14:textId="19DC8D0A"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11,708</w:t>
            </w:r>
          </w:p>
        </w:tc>
        <w:tc>
          <w:tcPr>
            <w:tcW w:w="1885" w:type="dxa"/>
            <w:vAlign w:val="center"/>
            <w:hideMark/>
          </w:tcPr>
          <w:p w14:paraId="09934247" w14:textId="3D1B71BB"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11,837</w:t>
            </w:r>
          </w:p>
        </w:tc>
        <w:tc>
          <w:tcPr>
            <w:tcW w:w="1885" w:type="dxa"/>
            <w:vAlign w:val="center"/>
            <w:hideMark/>
          </w:tcPr>
          <w:p w14:paraId="71624355" w14:textId="60E6D625"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129</w:t>
            </w:r>
          </w:p>
        </w:tc>
        <w:tc>
          <w:tcPr>
            <w:tcW w:w="1885" w:type="dxa"/>
            <w:vAlign w:val="center"/>
            <w:hideMark/>
          </w:tcPr>
          <w:p w14:paraId="61BE04C9" w14:textId="12B220A9"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w:t>
            </w:r>
          </w:p>
        </w:tc>
      </w:tr>
      <w:tr w:rsidR="005F180B" w:rsidRPr="003A75AB" w14:paraId="31478473" w14:textId="77777777" w:rsidTr="004F4BA7">
        <w:tc>
          <w:tcPr>
            <w:tcW w:w="1305" w:type="dxa"/>
            <w:hideMark/>
          </w:tcPr>
          <w:p w14:paraId="5FAD6F59"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60-64</w:t>
            </w:r>
          </w:p>
        </w:tc>
        <w:tc>
          <w:tcPr>
            <w:tcW w:w="1885" w:type="dxa"/>
            <w:vAlign w:val="center"/>
            <w:hideMark/>
          </w:tcPr>
          <w:p w14:paraId="1B9596CE" w14:textId="569BB75A"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10,273</w:t>
            </w:r>
          </w:p>
        </w:tc>
        <w:tc>
          <w:tcPr>
            <w:tcW w:w="1885" w:type="dxa"/>
            <w:vAlign w:val="center"/>
            <w:hideMark/>
          </w:tcPr>
          <w:p w14:paraId="54C71EC6" w14:textId="602134E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11,705</w:t>
            </w:r>
          </w:p>
        </w:tc>
        <w:tc>
          <w:tcPr>
            <w:tcW w:w="1885" w:type="dxa"/>
            <w:vAlign w:val="center"/>
            <w:hideMark/>
          </w:tcPr>
          <w:p w14:paraId="75F465C5" w14:textId="74F7A29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1,431</w:t>
            </w:r>
          </w:p>
        </w:tc>
        <w:tc>
          <w:tcPr>
            <w:tcW w:w="1885" w:type="dxa"/>
            <w:vAlign w:val="center"/>
            <w:hideMark/>
          </w:tcPr>
          <w:p w14:paraId="3BF14096" w14:textId="5B2458EF"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13.9%</w:t>
            </w:r>
          </w:p>
        </w:tc>
      </w:tr>
      <w:tr w:rsidR="005F180B" w:rsidRPr="003A75AB" w14:paraId="034F73CE" w14:textId="77777777" w:rsidTr="004F4BA7">
        <w:tc>
          <w:tcPr>
            <w:tcW w:w="1305" w:type="dxa"/>
            <w:hideMark/>
          </w:tcPr>
          <w:p w14:paraId="1FB0EDF8"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65-69</w:t>
            </w:r>
          </w:p>
        </w:tc>
        <w:tc>
          <w:tcPr>
            <w:tcW w:w="1885" w:type="dxa"/>
            <w:vAlign w:val="center"/>
            <w:hideMark/>
          </w:tcPr>
          <w:p w14:paraId="61A613CA" w14:textId="1C74B4F3"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9,485</w:t>
            </w:r>
          </w:p>
        </w:tc>
        <w:tc>
          <w:tcPr>
            <w:tcW w:w="1885" w:type="dxa"/>
            <w:vAlign w:val="center"/>
            <w:hideMark/>
          </w:tcPr>
          <w:p w14:paraId="3B521E46" w14:textId="444E85E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12,320</w:t>
            </w:r>
          </w:p>
        </w:tc>
        <w:tc>
          <w:tcPr>
            <w:tcW w:w="1885" w:type="dxa"/>
            <w:vAlign w:val="center"/>
            <w:hideMark/>
          </w:tcPr>
          <w:p w14:paraId="586040DD" w14:textId="1372B3AD"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2,835</w:t>
            </w:r>
          </w:p>
        </w:tc>
        <w:tc>
          <w:tcPr>
            <w:tcW w:w="1885" w:type="dxa"/>
            <w:vAlign w:val="center"/>
            <w:hideMark/>
          </w:tcPr>
          <w:p w14:paraId="7FA54B87" w14:textId="3263AA66"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29.9%</w:t>
            </w:r>
          </w:p>
        </w:tc>
      </w:tr>
      <w:tr w:rsidR="005F180B" w:rsidRPr="003A75AB" w14:paraId="2E4F4862" w14:textId="77777777" w:rsidTr="004F4BA7">
        <w:tc>
          <w:tcPr>
            <w:tcW w:w="1305" w:type="dxa"/>
            <w:hideMark/>
          </w:tcPr>
          <w:p w14:paraId="1A1A5FC2"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70-74</w:t>
            </w:r>
          </w:p>
        </w:tc>
        <w:tc>
          <w:tcPr>
            <w:tcW w:w="1885" w:type="dxa"/>
            <w:vAlign w:val="center"/>
            <w:hideMark/>
          </w:tcPr>
          <w:p w14:paraId="00D8589E" w14:textId="17CF2990"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10,062</w:t>
            </w:r>
          </w:p>
        </w:tc>
        <w:tc>
          <w:tcPr>
            <w:tcW w:w="1885" w:type="dxa"/>
            <w:vAlign w:val="center"/>
            <w:hideMark/>
          </w:tcPr>
          <w:p w14:paraId="06CC664A" w14:textId="017A308A"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12,557</w:t>
            </w:r>
          </w:p>
        </w:tc>
        <w:tc>
          <w:tcPr>
            <w:tcW w:w="1885" w:type="dxa"/>
            <w:vAlign w:val="center"/>
            <w:hideMark/>
          </w:tcPr>
          <w:p w14:paraId="6A7CE3E5" w14:textId="47A4CC97"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2,495</w:t>
            </w:r>
          </w:p>
        </w:tc>
        <w:tc>
          <w:tcPr>
            <w:tcW w:w="1885" w:type="dxa"/>
            <w:vAlign w:val="center"/>
            <w:hideMark/>
          </w:tcPr>
          <w:p w14:paraId="543FCAAE" w14:textId="18498803"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24.8%</w:t>
            </w:r>
          </w:p>
        </w:tc>
      </w:tr>
      <w:tr w:rsidR="005F180B" w:rsidRPr="003A75AB" w14:paraId="455682C5" w14:textId="77777777" w:rsidTr="004F4BA7">
        <w:tc>
          <w:tcPr>
            <w:tcW w:w="1305" w:type="dxa"/>
            <w:hideMark/>
          </w:tcPr>
          <w:p w14:paraId="3298A2E8"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75-79</w:t>
            </w:r>
          </w:p>
        </w:tc>
        <w:tc>
          <w:tcPr>
            <w:tcW w:w="1885" w:type="dxa"/>
            <w:vAlign w:val="center"/>
            <w:hideMark/>
          </w:tcPr>
          <w:p w14:paraId="24AE66D0" w14:textId="57F3A126"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7,348</w:t>
            </w:r>
          </w:p>
        </w:tc>
        <w:tc>
          <w:tcPr>
            <w:tcW w:w="1885" w:type="dxa"/>
            <w:vAlign w:val="center"/>
            <w:hideMark/>
          </w:tcPr>
          <w:p w14:paraId="51AB0CCF" w14:textId="387A0247"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11,123</w:t>
            </w:r>
          </w:p>
        </w:tc>
        <w:tc>
          <w:tcPr>
            <w:tcW w:w="1885" w:type="dxa"/>
            <w:vAlign w:val="center"/>
            <w:hideMark/>
          </w:tcPr>
          <w:p w14:paraId="2A173379" w14:textId="54C0FEB8"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3,775</w:t>
            </w:r>
          </w:p>
        </w:tc>
        <w:tc>
          <w:tcPr>
            <w:tcW w:w="1885" w:type="dxa"/>
            <w:vAlign w:val="center"/>
            <w:hideMark/>
          </w:tcPr>
          <w:p w14:paraId="571E6D5E" w14:textId="0AF8AD97"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51.4%</w:t>
            </w:r>
          </w:p>
        </w:tc>
      </w:tr>
      <w:tr w:rsidR="005F180B" w:rsidRPr="003A75AB" w14:paraId="204AAC23" w14:textId="77777777" w:rsidTr="004F4BA7">
        <w:tc>
          <w:tcPr>
            <w:tcW w:w="1305" w:type="dxa"/>
            <w:hideMark/>
          </w:tcPr>
          <w:p w14:paraId="22E38E51"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80-84</w:t>
            </w:r>
          </w:p>
        </w:tc>
        <w:tc>
          <w:tcPr>
            <w:tcW w:w="1885" w:type="dxa"/>
            <w:vAlign w:val="center"/>
            <w:hideMark/>
          </w:tcPr>
          <w:p w14:paraId="0ED78F99" w14:textId="7FE0EAB5"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5,333</w:t>
            </w:r>
          </w:p>
        </w:tc>
        <w:tc>
          <w:tcPr>
            <w:tcW w:w="1885" w:type="dxa"/>
            <w:vAlign w:val="center"/>
            <w:hideMark/>
          </w:tcPr>
          <w:p w14:paraId="7EAC8FB5" w14:textId="7299233A"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8,378</w:t>
            </w:r>
          </w:p>
        </w:tc>
        <w:tc>
          <w:tcPr>
            <w:tcW w:w="1885" w:type="dxa"/>
            <w:vAlign w:val="center"/>
            <w:hideMark/>
          </w:tcPr>
          <w:p w14:paraId="3D121C9F" w14:textId="77E96F03"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3,045</w:t>
            </w:r>
          </w:p>
        </w:tc>
        <w:tc>
          <w:tcPr>
            <w:tcW w:w="1885" w:type="dxa"/>
            <w:vAlign w:val="center"/>
            <w:hideMark/>
          </w:tcPr>
          <w:p w14:paraId="7AE0E1FD" w14:textId="5154CB89"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57.1%</w:t>
            </w:r>
          </w:p>
        </w:tc>
      </w:tr>
      <w:tr w:rsidR="005F180B" w:rsidRPr="003A75AB" w14:paraId="36C95AB8" w14:textId="77777777" w:rsidTr="004F4BA7">
        <w:tc>
          <w:tcPr>
            <w:tcW w:w="1305" w:type="dxa"/>
            <w:hideMark/>
          </w:tcPr>
          <w:p w14:paraId="6BBA6CB1" w14:textId="77777777" w:rsidR="0021172F" w:rsidRPr="004F4BA7" w:rsidRDefault="0021172F" w:rsidP="0021172F">
            <w:pPr>
              <w:keepNext/>
              <w:widowControl w:val="0"/>
              <w:rPr>
                <w:rFonts w:ascii="Arial Narrow" w:hAnsi="Arial Narrow"/>
                <w:sz w:val="24"/>
                <w:szCs w:val="24"/>
              </w:rPr>
            </w:pPr>
            <w:r w:rsidRPr="004F4BA7">
              <w:rPr>
                <w:rFonts w:ascii="Arial Narrow" w:hAnsi="Arial Narrow"/>
                <w:sz w:val="24"/>
                <w:szCs w:val="24"/>
              </w:rPr>
              <w:t>85+</w:t>
            </w:r>
          </w:p>
        </w:tc>
        <w:tc>
          <w:tcPr>
            <w:tcW w:w="1885" w:type="dxa"/>
            <w:vAlign w:val="center"/>
            <w:hideMark/>
          </w:tcPr>
          <w:p w14:paraId="69E8A20F" w14:textId="3D1133F1"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5,333</w:t>
            </w:r>
          </w:p>
        </w:tc>
        <w:tc>
          <w:tcPr>
            <w:tcW w:w="1885" w:type="dxa"/>
            <w:vAlign w:val="center"/>
            <w:hideMark/>
          </w:tcPr>
          <w:p w14:paraId="1C9DF8B0" w14:textId="580270FA"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11,032</w:t>
            </w:r>
          </w:p>
        </w:tc>
        <w:tc>
          <w:tcPr>
            <w:tcW w:w="1885" w:type="dxa"/>
            <w:vAlign w:val="center"/>
            <w:hideMark/>
          </w:tcPr>
          <w:p w14:paraId="735A263E" w14:textId="70B50B26"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5,699</w:t>
            </w:r>
          </w:p>
        </w:tc>
        <w:tc>
          <w:tcPr>
            <w:tcW w:w="1885" w:type="dxa"/>
            <w:vAlign w:val="center"/>
            <w:hideMark/>
          </w:tcPr>
          <w:p w14:paraId="6479FC1A" w14:textId="6C7992F5" w:rsidR="0021172F" w:rsidRPr="004F4BA7" w:rsidRDefault="0021172F" w:rsidP="0061251C">
            <w:pPr>
              <w:keepNext/>
              <w:jc w:val="center"/>
              <w:rPr>
                <w:rFonts w:ascii="Arial Narrow" w:hAnsi="Arial Narrow"/>
                <w:color w:val="000000"/>
                <w:sz w:val="24"/>
                <w:szCs w:val="24"/>
              </w:rPr>
            </w:pPr>
            <w:r w:rsidRPr="004F4BA7">
              <w:rPr>
                <w:rFonts w:ascii="Arial Narrow" w:hAnsi="Arial Narrow"/>
                <w:color w:val="000000"/>
                <w:sz w:val="24"/>
                <w:szCs w:val="24"/>
              </w:rPr>
              <w:t>106.8%</w:t>
            </w:r>
          </w:p>
        </w:tc>
      </w:tr>
      <w:tr w:rsidR="005F180B" w:rsidRPr="003A75AB" w14:paraId="66465231" w14:textId="77777777" w:rsidTr="004F4BA7">
        <w:tc>
          <w:tcPr>
            <w:tcW w:w="1305" w:type="dxa"/>
            <w:hideMark/>
          </w:tcPr>
          <w:p w14:paraId="65AA268C" w14:textId="77777777" w:rsidR="0021172F" w:rsidRPr="004F4BA7" w:rsidRDefault="0021172F" w:rsidP="0021172F">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4B95C3AB" w14:textId="0F07BF69" w:rsidR="0021172F" w:rsidRPr="004F4BA7" w:rsidRDefault="0021172F"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181,986</w:t>
            </w:r>
          </w:p>
        </w:tc>
        <w:tc>
          <w:tcPr>
            <w:tcW w:w="1885" w:type="dxa"/>
            <w:vAlign w:val="center"/>
            <w:hideMark/>
          </w:tcPr>
          <w:p w14:paraId="4B8045CC" w14:textId="3746E31B" w:rsidR="0021172F" w:rsidRPr="004F4BA7" w:rsidRDefault="0021172F"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214,265</w:t>
            </w:r>
          </w:p>
        </w:tc>
        <w:tc>
          <w:tcPr>
            <w:tcW w:w="1885" w:type="dxa"/>
            <w:vAlign w:val="center"/>
            <w:hideMark/>
          </w:tcPr>
          <w:p w14:paraId="13027250" w14:textId="358352FC" w:rsidR="0021172F" w:rsidRPr="004F4BA7" w:rsidRDefault="0021172F"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32,279</w:t>
            </w:r>
          </w:p>
        </w:tc>
        <w:tc>
          <w:tcPr>
            <w:tcW w:w="1885" w:type="dxa"/>
            <w:vAlign w:val="center"/>
            <w:hideMark/>
          </w:tcPr>
          <w:p w14:paraId="5FE81A50" w14:textId="21BD7D51" w:rsidR="0021172F" w:rsidRPr="004F4BA7" w:rsidRDefault="0021172F"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17.7%</w:t>
            </w:r>
          </w:p>
        </w:tc>
      </w:tr>
    </w:tbl>
    <w:p w14:paraId="32CC078E"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584A9FB0" w14:textId="77777777" w:rsidR="00270765" w:rsidRPr="003E6243" w:rsidRDefault="00270765" w:rsidP="003D5E23">
      <w:pPr>
        <w:pStyle w:val="Tableheading"/>
        <w:numPr>
          <w:ilvl w:val="0"/>
          <w:numId w:val="0"/>
        </w:numPr>
        <w:ind w:left="794"/>
      </w:pPr>
      <w:r w:rsidRPr="003E6243">
        <w:t>Population change 2020 to 2040 by broad age bands linked to Standard Method – W Suffolk</w:t>
      </w:r>
    </w:p>
    <w:tbl>
      <w:tblPr>
        <w:tblW w:w="8845"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885"/>
        <w:gridCol w:w="1885"/>
        <w:gridCol w:w="1885"/>
        <w:gridCol w:w="1885"/>
      </w:tblGrid>
      <w:tr w:rsidR="005F180B" w:rsidRPr="003A75AB" w14:paraId="2C12B481" w14:textId="77777777" w:rsidTr="004F4BA7">
        <w:tc>
          <w:tcPr>
            <w:tcW w:w="1305" w:type="dxa"/>
          </w:tcPr>
          <w:p w14:paraId="41DCF941" w14:textId="77777777" w:rsidR="009107FE" w:rsidRPr="004F4BA7" w:rsidRDefault="009107FE" w:rsidP="009107FE">
            <w:pPr>
              <w:keepNext/>
              <w:rPr>
                <w:rFonts w:ascii="Arial Narrow" w:hAnsi="Arial Narrow"/>
                <w:sz w:val="24"/>
                <w:szCs w:val="24"/>
              </w:rPr>
            </w:pPr>
          </w:p>
        </w:tc>
        <w:tc>
          <w:tcPr>
            <w:tcW w:w="1885" w:type="dxa"/>
            <w:vAlign w:val="center"/>
            <w:hideMark/>
          </w:tcPr>
          <w:p w14:paraId="5553160B"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2020</w:t>
            </w:r>
          </w:p>
        </w:tc>
        <w:tc>
          <w:tcPr>
            <w:tcW w:w="1885" w:type="dxa"/>
            <w:vAlign w:val="center"/>
            <w:hideMark/>
          </w:tcPr>
          <w:p w14:paraId="6F817F42" w14:textId="7777777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Population 2040</w:t>
            </w:r>
          </w:p>
        </w:tc>
        <w:tc>
          <w:tcPr>
            <w:tcW w:w="1885" w:type="dxa"/>
            <w:vAlign w:val="center"/>
            <w:hideMark/>
          </w:tcPr>
          <w:p w14:paraId="55FBE9F5" w14:textId="03482AD7"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Change</w:t>
            </w:r>
          </w:p>
        </w:tc>
        <w:tc>
          <w:tcPr>
            <w:tcW w:w="1885" w:type="dxa"/>
            <w:vAlign w:val="center"/>
            <w:hideMark/>
          </w:tcPr>
          <w:p w14:paraId="3C4B33E5" w14:textId="43BB49C2" w:rsidR="009107FE" w:rsidRPr="004F4BA7" w:rsidRDefault="009107FE" w:rsidP="004F4BA7">
            <w:pPr>
              <w:keepNext/>
              <w:widowControl w:val="0"/>
              <w:jc w:val="center"/>
              <w:rPr>
                <w:rFonts w:ascii="Arial Narrow" w:hAnsi="Arial Narrow"/>
                <w:b/>
                <w:bCs/>
                <w:sz w:val="24"/>
                <w:szCs w:val="24"/>
              </w:rPr>
            </w:pPr>
            <w:r w:rsidRPr="004F4BA7">
              <w:rPr>
                <w:rFonts w:ascii="Arial Narrow" w:hAnsi="Arial Narrow"/>
                <w:b/>
                <w:bCs/>
                <w:sz w:val="24"/>
                <w:szCs w:val="24"/>
              </w:rPr>
              <w:t xml:space="preserve">% </w:t>
            </w:r>
            <w:r w:rsidR="00552654" w:rsidRPr="004F4BA7">
              <w:rPr>
                <w:rFonts w:ascii="Arial Narrow" w:hAnsi="Arial Narrow"/>
                <w:b/>
                <w:bCs/>
                <w:sz w:val="24"/>
                <w:szCs w:val="24"/>
              </w:rPr>
              <w:t>C</w:t>
            </w:r>
            <w:r w:rsidRPr="004F4BA7">
              <w:rPr>
                <w:rFonts w:ascii="Arial Narrow" w:hAnsi="Arial Narrow"/>
                <w:b/>
                <w:bCs/>
                <w:sz w:val="24"/>
                <w:szCs w:val="24"/>
              </w:rPr>
              <w:t>hange</w:t>
            </w:r>
          </w:p>
        </w:tc>
      </w:tr>
      <w:tr w:rsidR="005F180B" w:rsidRPr="003A75AB" w14:paraId="54681A04" w14:textId="77777777" w:rsidTr="004F4BA7">
        <w:tc>
          <w:tcPr>
            <w:tcW w:w="1305" w:type="dxa"/>
            <w:hideMark/>
          </w:tcPr>
          <w:p w14:paraId="64A38A4F"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Under 16</w:t>
            </w:r>
          </w:p>
        </w:tc>
        <w:tc>
          <w:tcPr>
            <w:tcW w:w="1885" w:type="dxa"/>
            <w:vAlign w:val="center"/>
            <w:hideMark/>
          </w:tcPr>
          <w:p w14:paraId="70FDE38B" w14:textId="7D7D50AF"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34,340</w:t>
            </w:r>
          </w:p>
        </w:tc>
        <w:tc>
          <w:tcPr>
            <w:tcW w:w="1885" w:type="dxa"/>
            <w:vAlign w:val="center"/>
            <w:hideMark/>
          </w:tcPr>
          <w:p w14:paraId="570F4C72" w14:textId="4B8D359F"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40,128</w:t>
            </w:r>
          </w:p>
        </w:tc>
        <w:tc>
          <w:tcPr>
            <w:tcW w:w="1885" w:type="dxa"/>
            <w:vAlign w:val="center"/>
            <w:hideMark/>
          </w:tcPr>
          <w:p w14:paraId="00F4A27C" w14:textId="034EEBE8"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5,788</w:t>
            </w:r>
          </w:p>
        </w:tc>
        <w:tc>
          <w:tcPr>
            <w:tcW w:w="1885" w:type="dxa"/>
            <w:vAlign w:val="center"/>
            <w:hideMark/>
          </w:tcPr>
          <w:p w14:paraId="440A2632" w14:textId="05BCE047"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16.9%</w:t>
            </w:r>
          </w:p>
        </w:tc>
      </w:tr>
      <w:tr w:rsidR="005F180B" w:rsidRPr="003A75AB" w14:paraId="59D0DC34" w14:textId="77777777" w:rsidTr="004F4BA7">
        <w:tc>
          <w:tcPr>
            <w:tcW w:w="1305" w:type="dxa"/>
            <w:hideMark/>
          </w:tcPr>
          <w:p w14:paraId="38BAE631"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16-64</w:t>
            </w:r>
          </w:p>
        </w:tc>
        <w:tc>
          <w:tcPr>
            <w:tcW w:w="1885" w:type="dxa"/>
            <w:vAlign w:val="center"/>
            <w:hideMark/>
          </w:tcPr>
          <w:p w14:paraId="751DBE5D" w14:textId="39F4B1BA"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110,085</w:t>
            </w:r>
          </w:p>
        </w:tc>
        <w:tc>
          <w:tcPr>
            <w:tcW w:w="1885" w:type="dxa"/>
            <w:vAlign w:val="center"/>
            <w:hideMark/>
          </w:tcPr>
          <w:p w14:paraId="111CEA74" w14:textId="7B53044C"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118,728</w:t>
            </w:r>
          </w:p>
        </w:tc>
        <w:tc>
          <w:tcPr>
            <w:tcW w:w="1885" w:type="dxa"/>
            <w:vAlign w:val="center"/>
            <w:hideMark/>
          </w:tcPr>
          <w:p w14:paraId="1D5B1093" w14:textId="3AD8E36D"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8,642</w:t>
            </w:r>
          </w:p>
        </w:tc>
        <w:tc>
          <w:tcPr>
            <w:tcW w:w="1885" w:type="dxa"/>
            <w:vAlign w:val="center"/>
            <w:hideMark/>
          </w:tcPr>
          <w:p w14:paraId="4997A63A" w14:textId="2D99A457"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7.9%</w:t>
            </w:r>
          </w:p>
        </w:tc>
      </w:tr>
      <w:tr w:rsidR="005F180B" w:rsidRPr="003A75AB" w14:paraId="26138DCC" w14:textId="77777777" w:rsidTr="004F4BA7">
        <w:tc>
          <w:tcPr>
            <w:tcW w:w="1305" w:type="dxa"/>
            <w:hideMark/>
          </w:tcPr>
          <w:p w14:paraId="3C9CAEA0" w14:textId="77777777" w:rsidR="00C2129B" w:rsidRPr="004F4BA7" w:rsidRDefault="00C2129B" w:rsidP="00C2129B">
            <w:pPr>
              <w:keepNext/>
              <w:widowControl w:val="0"/>
              <w:rPr>
                <w:rFonts w:ascii="Arial Narrow" w:hAnsi="Arial Narrow"/>
                <w:sz w:val="24"/>
                <w:szCs w:val="24"/>
              </w:rPr>
            </w:pPr>
            <w:r w:rsidRPr="004F4BA7">
              <w:rPr>
                <w:rFonts w:ascii="Arial Narrow" w:hAnsi="Arial Narrow"/>
                <w:sz w:val="24"/>
                <w:szCs w:val="24"/>
              </w:rPr>
              <w:t>65+</w:t>
            </w:r>
          </w:p>
        </w:tc>
        <w:tc>
          <w:tcPr>
            <w:tcW w:w="1885" w:type="dxa"/>
            <w:vAlign w:val="center"/>
            <w:hideMark/>
          </w:tcPr>
          <w:p w14:paraId="61E41401" w14:textId="7A426BFA"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37,561</w:t>
            </w:r>
          </w:p>
        </w:tc>
        <w:tc>
          <w:tcPr>
            <w:tcW w:w="1885" w:type="dxa"/>
            <w:vAlign w:val="center"/>
            <w:hideMark/>
          </w:tcPr>
          <w:p w14:paraId="05E04914" w14:textId="613555DF"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55,410</w:t>
            </w:r>
          </w:p>
        </w:tc>
        <w:tc>
          <w:tcPr>
            <w:tcW w:w="1885" w:type="dxa"/>
            <w:vAlign w:val="center"/>
            <w:hideMark/>
          </w:tcPr>
          <w:p w14:paraId="08602829" w14:textId="562C362F"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17,849</w:t>
            </w:r>
          </w:p>
        </w:tc>
        <w:tc>
          <w:tcPr>
            <w:tcW w:w="1885" w:type="dxa"/>
            <w:vAlign w:val="center"/>
            <w:hideMark/>
          </w:tcPr>
          <w:p w14:paraId="6BF16098" w14:textId="792791AC" w:rsidR="00C2129B" w:rsidRPr="004F4BA7" w:rsidRDefault="00C2129B" w:rsidP="0061251C">
            <w:pPr>
              <w:keepNext/>
              <w:jc w:val="center"/>
              <w:rPr>
                <w:rFonts w:ascii="Arial Narrow" w:hAnsi="Arial Narrow"/>
                <w:color w:val="000000"/>
                <w:sz w:val="24"/>
                <w:szCs w:val="24"/>
              </w:rPr>
            </w:pPr>
            <w:r w:rsidRPr="004F4BA7">
              <w:rPr>
                <w:rFonts w:ascii="Arial Narrow" w:hAnsi="Arial Narrow"/>
                <w:color w:val="000000"/>
                <w:sz w:val="24"/>
                <w:szCs w:val="24"/>
              </w:rPr>
              <w:t>47.5%</w:t>
            </w:r>
          </w:p>
        </w:tc>
      </w:tr>
      <w:tr w:rsidR="005F180B" w:rsidRPr="003A75AB" w14:paraId="2FD619C4" w14:textId="77777777" w:rsidTr="004F4BA7">
        <w:tc>
          <w:tcPr>
            <w:tcW w:w="1305" w:type="dxa"/>
            <w:hideMark/>
          </w:tcPr>
          <w:p w14:paraId="57339836" w14:textId="77777777" w:rsidR="00C2129B" w:rsidRPr="004F4BA7" w:rsidRDefault="00C2129B" w:rsidP="00C2129B">
            <w:pPr>
              <w:keepNext/>
              <w:widowControl w:val="0"/>
              <w:rPr>
                <w:rFonts w:ascii="Arial Narrow" w:hAnsi="Arial Narrow"/>
                <w:b/>
                <w:bCs/>
                <w:sz w:val="24"/>
                <w:szCs w:val="24"/>
              </w:rPr>
            </w:pPr>
            <w:r w:rsidRPr="004F4BA7">
              <w:rPr>
                <w:rFonts w:ascii="Arial Narrow" w:hAnsi="Arial Narrow"/>
                <w:b/>
                <w:bCs/>
                <w:sz w:val="24"/>
                <w:szCs w:val="24"/>
              </w:rPr>
              <w:t>Total</w:t>
            </w:r>
          </w:p>
        </w:tc>
        <w:tc>
          <w:tcPr>
            <w:tcW w:w="1885" w:type="dxa"/>
            <w:vAlign w:val="center"/>
            <w:hideMark/>
          </w:tcPr>
          <w:p w14:paraId="716325EF" w14:textId="3C469523"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181,986</w:t>
            </w:r>
          </w:p>
        </w:tc>
        <w:tc>
          <w:tcPr>
            <w:tcW w:w="1885" w:type="dxa"/>
            <w:vAlign w:val="center"/>
            <w:hideMark/>
          </w:tcPr>
          <w:p w14:paraId="03B32542" w14:textId="7AD4320F"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214,265</w:t>
            </w:r>
          </w:p>
        </w:tc>
        <w:tc>
          <w:tcPr>
            <w:tcW w:w="1885" w:type="dxa"/>
            <w:vAlign w:val="center"/>
            <w:hideMark/>
          </w:tcPr>
          <w:p w14:paraId="0AA909F4" w14:textId="39915B31"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32,279</w:t>
            </w:r>
          </w:p>
        </w:tc>
        <w:tc>
          <w:tcPr>
            <w:tcW w:w="1885" w:type="dxa"/>
            <w:vAlign w:val="center"/>
            <w:hideMark/>
          </w:tcPr>
          <w:p w14:paraId="11EF993B" w14:textId="18643674" w:rsidR="00C2129B" w:rsidRPr="004F4BA7" w:rsidRDefault="00C2129B" w:rsidP="0061251C">
            <w:pPr>
              <w:keepNext/>
              <w:jc w:val="center"/>
              <w:rPr>
                <w:rFonts w:ascii="Arial Narrow" w:hAnsi="Arial Narrow"/>
                <w:b/>
                <w:bCs/>
                <w:color w:val="000000"/>
                <w:sz w:val="24"/>
                <w:szCs w:val="24"/>
              </w:rPr>
            </w:pPr>
            <w:r w:rsidRPr="004F4BA7">
              <w:rPr>
                <w:rFonts w:ascii="Arial Narrow" w:hAnsi="Arial Narrow"/>
                <w:b/>
                <w:bCs/>
                <w:color w:val="000000"/>
                <w:sz w:val="24"/>
                <w:szCs w:val="24"/>
              </w:rPr>
              <w:t>17.7%</w:t>
            </w:r>
          </w:p>
        </w:tc>
      </w:tr>
    </w:tbl>
    <w:p w14:paraId="43A749EC" w14:textId="77777777" w:rsidR="00270765" w:rsidRPr="00B35A8B" w:rsidRDefault="00270765" w:rsidP="00270765">
      <w:pPr>
        <w:spacing w:after="120" w:line="360" w:lineRule="auto"/>
        <w:ind w:left="794"/>
        <w:rPr>
          <w:sz w:val="24"/>
          <w:szCs w:val="24"/>
        </w:rPr>
      </w:pPr>
      <w:r w:rsidRPr="00B35A8B">
        <w:rPr>
          <w:sz w:val="24"/>
          <w:szCs w:val="24"/>
        </w:rPr>
        <w:t>Source: Demographic projections</w:t>
      </w:r>
    </w:p>
    <w:p w14:paraId="03CBB4C9" w14:textId="77777777" w:rsidR="000D2A90" w:rsidRPr="003E6243" w:rsidRDefault="000D2A90" w:rsidP="003D5E23">
      <w:pPr>
        <w:pStyle w:val="Tableheading"/>
        <w:numPr>
          <w:ilvl w:val="0"/>
          <w:numId w:val="0"/>
        </w:numPr>
        <w:ind w:left="794"/>
      </w:pPr>
      <w:r w:rsidRPr="003E6243">
        <w:lastRenderedPageBreak/>
        <w:t>Older persons change 2020 to 2040 by age bands linked to Standard Method – W Suffolk</w:t>
      </w:r>
    </w:p>
    <w:tbl>
      <w:tblPr>
        <w:tblStyle w:val="TableGridLight1"/>
        <w:tblW w:w="8845" w:type="dxa"/>
        <w:tblInd w:w="794" w:type="dxa"/>
        <w:tblLook w:val="04A0" w:firstRow="1" w:lastRow="0" w:firstColumn="1" w:lastColumn="0" w:noHBand="0" w:noVBand="1"/>
      </w:tblPr>
      <w:tblGrid>
        <w:gridCol w:w="1769"/>
        <w:gridCol w:w="1769"/>
        <w:gridCol w:w="1769"/>
        <w:gridCol w:w="1769"/>
        <w:gridCol w:w="1769"/>
      </w:tblGrid>
      <w:tr w:rsidR="003A75AB" w:rsidRPr="0061251C" w14:paraId="2FE0D28A" w14:textId="77777777" w:rsidTr="003A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hideMark/>
          </w:tcPr>
          <w:p w14:paraId="38E33286" w14:textId="77777777" w:rsidR="000D2A90" w:rsidRPr="004F4BA7" w:rsidRDefault="000D2A90" w:rsidP="008B0419">
            <w:pPr>
              <w:keepNext/>
              <w:spacing w:line="300" w:lineRule="auto"/>
              <w:rPr>
                <w:color w:val="auto"/>
                <w:lang w:eastAsia="en-GB"/>
              </w:rPr>
            </w:pPr>
            <w:r w:rsidRPr="004F4BA7">
              <w:rPr>
                <w:color w:val="auto"/>
                <w:lang w:eastAsia="en-GB"/>
              </w:rPr>
              <w:t> </w:t>
            </w:r>
          </w:p>
        </w:tc>
        <w:tc>
          <w:tcPr>
            <w:tcW w:w="1769" w:type="dxa"/>
            <w:hideMark/>
          </w:tcPr>
          <w:p w14:paraId="7F161EA9"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2020</w:t>
            </w:r>
          </w:p>
        </w:tc>
        <w:tc>
          <w:tcPr>
            <w:tcW w:w="1769" w:type="dxa"/>
            <w:hideMark/>
          </w:tcPr>
          <w:p w14:paraId="0EA32D63"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2040</w:t>
            </w:r>
          </w:p>
        </w:tc>
        <w:tc>
          <w:tcPr>
            <w:tcW w:w="1769" w:type="dxa"/>
            <w:hideMark/>
          </w:tcPr>
          <w:p w14:paraId="2510E956" w14:textId="77777777"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Change</w:t>
            </w:r>
          </w:p>
        </w:tc>
        <w:tc>
          <w:tcPr>
            <w:tcW w:w="1769" w:type="dxa"/>
            <w:hideMark/>
          </w:tcPr>
          <w:p w14:paraId="14D44ED4" w14:textId="03097B83" w:rsidR="000D2A90" w:rsidRPr="004F4BA7" w:rsidRDefault="000D2A90" w:rsidP="008B0419">
            <w:pPr>
              <w:keepNext/>
              <w:spacing w:line="300" w:lineRule="auto"/>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 xml:space="preserve">% </w:t>
            </w:r>
            <w:r w:rsidR="00552654" w:rsidRPr="004F4BA7">
              <w:rPr>
                <w:color w:val="auto"/>
                <w:lang w:eastAsia="en-GB"/>
              </w:rPr>
              <w:t>C</w:t>
            </w:r>
            <w:r w:rsidRPr="004F4BA7">
              <w:rPr>
                <w:color w:val="auto"/>
                <w:lang w:eastAsia="en-GB"/>
              </w:rPr>
              <w:t>hange</w:t>
            </w:r>
          </w:p>
        </w:tc>
      </w:tr>
      <w:tr w:rsidR="003A75AB" w:rsidRPr="0061251C" w14:paraId="26641AE5"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5EF9C276" w14:textId="77777777" w:rsidR="0030608F" w:rsidRPr="004F4BA7" w:rsidRDefault="0030608F" w:rsidP="008B0419">
            <w:pPr>
              <w:keepNext/>
              <w:spacing w:line="300" w:lineRule="auto"/>
              <w:rPr>
                <w:color w:val="auto"/>
                <w:lang w:eastAsia="en-GB"/>
              </w:rPr>
            </w:pPr>
            <w:r w:rsidRPr="004F4BA7">
              <w:rPr>
                <w:color w:val="auto"/>
                <w:lang w:eastAsia="en-GB"/>
              </w:rPr>
              <w:t>Under 65</w:t>
            </w:r>
          </w:p>
        </w:tc>
        <w:tc>
          <w:tcPr>
            <w:tcW w:w="1769" w:type="dxa"/>
            <w:hideMark/>
          </w:tcPr>
          <w:p w14:paraId="2EA609E7" w14:textId="5789B6D6"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144,425</w:t>
            </w:r>
          </w:p>
        </w:tc>
        <w:tc>
          <w:tcPr>
            <w:tcW w:w="1769" w:type="dxa"/>
            <w:hideMark/>
          </w:tcPr>
          <w:p w14:paraId="32D69F03" w14:textId="59382082"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158,855</w:t>
            </w:r>
          </w:p>
        </w:tc>
        <w:tc>
          <w:tcPr>
            <w:tcW w:w="1769" w:type="dxa"/>
            <w:hideMark/>
          </w:tcPr>
          <w:p w14:paraId="6E9F037D" w14:textId="5944033A"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14,430</w:t>
            </w:r>
          </w:p>
        </w:tc>
        <w:tc>
          <w:tcPr>
            <w:tcW w:w="1769" w:type="dxa"/>
            <w:hideMark/>
          </w:tcPr>
          <w:p w14:paraId="6555C499" w14:textId="213CA668"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10.0%</w:t>
            </w:r>
          </w:p>
        </w:tc>
      </w:tr>
      <w:tr w:rsidR="003A75AB" w:rsidRPr="0061251C" w14:paraId="450596AA"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69687996" w14:textId="77777777" w:rsidR="0030608F" w:rsidRPr="004F4BA7" w:rsidRDefault="0030608F" w:rsidP="008B0419">
            <w:pPr>
              <w:keepNext/>
              <w:spacing w:line="300" w:lineRule="auto"/>
              <w:rPr>
                <w:color w:val="auto"/>
                <w:lang w:eastAsia="en-GB"/>
              </w:rPr>
            </w:pPr>
            <w:r w:rsidRPr="004F4BA7">
              <w:rPr>
                <w:color w:val="auto"/>
                <w:lang w:eastAsia="en-GB"/>
              </w:rPr>
              <w:t>65-74</w:t>
            </w:r>
          </w:p>
        </w:tc>
        <w:tc>
          <w:tcPr>
            <w:tcW w:w="1769" w:type="dxa"/>
            <w:hideMark/>
          </w:tcPr>
          <w:p w14:paraId="680D6ABF" w14:textId="2EC8B18F"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19,547</w:t>
            </w:r>
          </w:p>
        </w:tc>
        <w:tc>
          <w:tcPr>
            <w:tcW w:w="1769" w:type="dxa"/>
            <w:hideMark/>
          </w:tcPr>
          <w:p w14:paraId="65C519DF" w14:textId="64508341"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24,877</w:t>
            </w:r>
          </w:p>
        </w:tc>
        <w:tc>
          <w:tcPr>
            <w:tcW w:w="1769" w:type="dxa"/>
            <w:hideMark/>
          </w:tcPr>
          <w:p w14:paraId="557E5CD9" w14:textId="7FC83950"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5,330</w:t>
            </w:r>
          </w:p>
        </w:tc>
        <w:tc>
          <w:tcPr>
            <w:tcW w:w="1769" w:type="dxa"/>
            <w:hideMark/>
          </w:tcPr>
          <w:p w14:paraId="6BBCCCB1" w14:textId="3F4BB710"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27.3%</w:t>
            </w:r>
          </w:p>
        </w:tc>
      </w:tr>
      <w:tr w:rsidR="003A75AB" w:rsidRPr="0061251C" w14:paraId="46793DA6"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0271D50C" w14:textId="77777777" w:rsidR="0030608F" w:rsidRPr="004F4BA7" w:rsidRDefault="0030608F" w:rsidP="008B0419">
            <w:pPr>
              <w:keepNext/>
              <w:spacing w:line="300" w:lineRule="auto"/>
              <w:rPr>
                <w:color w:val="auto"/>
                <w:lang w:eastAsia="en-GB"/>
              </w:rPr>
            </w:pPr>
            <w:r w:rsidRPr="004F4BA7">
              <w:rPr>
                <w:color w:val="auto"/>
                <w:lang w:eastAsia="en-GB"/>
              </w:rPr>
              <w:t>75-84</w:t>
            </w:r>
          </w:p>
        </w:tc>
        <w:tc>
          <w:tcPr>
            <w:tcW w:w="1769" w:type="dxa"/>
            <w:hideMark/>
          </w:tcPr>
          <w:p w14:paraId="6406E64E" w14:textId="56BAA42C"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12,681</w:t>
            </w:r>
          </w:p>
        </w:tc>
        <w:tc>
          <w:tcPr>
            <w:tcW w:w="1769" w:type="dxa"/>
            <w:hideMark/>
          </w:tcPr>
          <w:p w14:paraId="77BE19F9" w14:textId="51391123"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19,501</w:t>
            </w:r>
          </w:p>
        </w:tc>
        <w:tc>
          <w:tcPr>
            <w:tcW w:w="1769" w:type="dxa"/>
            <w:hideMark/>
          </w:tcPr>
          <w:p w14:paraId="52F75BEB" w14:textId="15534DCD"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6,820</w:t>
            </w:r>
          </w:p>
        </w:tc>
        <w:tc>
          <w:tcPr>
            <w:tcW w:w="1769" w:type="dxa"/>
            <w:hideMark/>
          </w:tcPr>
          <w:p w14:paraId="768E26F3" w14:textId="37DC5C08"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53.8%</w:t>
            </w:r>
          </w:p>
        </w:tc>
      </w:tr>
      <w:tr w:rsidR="003A75AB" w:rsidRPr="0061251C" w14:paraId="0252B0CF"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343EEF6F" w14:textId="77777777" w:rsidR="0030608F" w:rsidRPr="004F4BA7" w:rsidRDefault="0030608F" w:rsidP="008B0419">
            <w:pPr>
              <w:keepNext/>
              <w:spacing w:line="300" w:lineRule="auto"/>
              <w:rPr>
                <w:color w:val="auto"/>
                <w:lang w:eastAsia="en-GB"/>
              </w:rPr>
            </w:pPr>
            <w:r w:rsidRPr="004F4BA7">
              <w:rPr>
                <w:color w:val="auto"/>
                <w:lang w:eastAsia="en-GB"/>
              </w:rPr>
              <w:t>85+</w:t>
            </w:r>
          </w:p>
        </w:tc>
        <w:tc>
          <w:tcPr>
            <w:tcW w:w="1769" w:type="dxa"/>
            <w:hideMark/>
          </w:tcPr>
          <w:p w14:paraId="6D743EE7" w14:textId="1BC37F57"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5,333</w:t>
            </w:r>
          </w:p>
        </w:tc>
        <w:tc>
          <w:tcPr>
            <w:tcW w:w="1769" w:type="dxa"/>
            <w:hideMark/>
          </w:tcPr>
          <w:p w14:paraId="1F9E0BFF" w14:textId="35F8FDAE"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11,032</w:t>
            </w:r>
          </w:p>
        </w:tc>
        <w:tc>
          <w:tcPr>
            <w:tcW w:w="1769" w:type="dxa"/>
            <w:hideMark/>
          </w:tcPr>
          <w:p w14:paraId="0D3EF4A8" w14:textId="2C28C438"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5,699</w:t>
            </w:r>
          </w:p>
        </w:tc>
        <w:tc>
          <w:tcPr>
            <w:tcW w:w="1769" w:type="dxa"/>
            <w:hideMark/>
          </w:tcPr>
          <w:p w14:paraId="433C7B4A" w14:textId="32FC612D"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106.8%</w:t>
            </w:r>
          </w:p>
        </w:tc>
      </w:tr>
      <w:tr w:rsidR="003A75AB" w:rsidRPr="0061251C" w14:paraId="01C742C8"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3955B065" w14:textId="77777777" w:rsidR="0030608F" w:rsidRPr="004F4BA7" w:rsidRDefault="0030608F" w:rsidP="008B0419">
            <w:pPr>
              <w:keepNext/>
              <w:spacing w:line="300" w:lineRule="auto"/>
              <w:rPr>
                <w:b/>
                <w:bCs/>
                <w:color w:val="auto"/>
                <w:lang w:eastAsia="en-GB"/>
              </w:rPr>
            </w:pPr>
            <w:r w:rsidRPr="004F4BA7">
              <w:rPr>
                <w:b/>
                <w:bCs/>
                <w:color w:val="auto"/>
                <w:lang w:eastAsia="en-GB"/>
              </w:rPr>
              <w:t>Total</w:t>
            </w:r>
          </w:p>
        </w:tc>
        <w:tc>
          <w:tcPr>
            <w:tcW w:w="1769" w:type="dxa"/>
            <w:hideMark/>
          </w:tcPr>
          <w:p w14:paraId="275CD934" w14:textId="1728C41B"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181,986</w:t>
            </w:r>
          </w:p>
        </w:tc>
        <w:tc>
          <w:tcPr>
            <w:tcW w:w="1769" w:type="dxa"/>
            <w:hideMark/>
          </w:tcPr>
          <w:p w14:paraId="30056773" w14:textId="11F80199"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214,265</w:t>
            </w:r>
          </w:p>
        </w:tc>
        <w:tc>
          <w:tcPr>
            <w:tcW w:w="1769" w:type="dxa"/>
            <w:hideMark/>
          </w:tcPr>
          <w:p w14:paraId="5A5E6C29" w14:textId="7262107D"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32,279</w:t>
            </w:r>
          </w:p>
        </w:tc>
        <w:tc>
          <w:tcPr>
            <w:tcW w:w="1769" w:type="dxa"/>
            <w:hideMark/>
          </w:tcPr>
          <w:p w14:paraId="73684260" w14:textId="371F774F"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b/>
                <w:bCs/>
                <w:color w:val="auto"/>
              </w:rPr>
            </w:pPr>
            <w:r w:rsidRPr="004F4BA7">
              <w:rPr>
                <w:b/>
                <w:bCs/>
                <w:color w:val="auto"/>
              </w:rPr>
              <w:t>17.7%</w:t>
            </w:r>
          </w:p>
        </w:tc>
      </w:tr>
      <w:tr w:rsidR="003A75AB" w:rsidRPr="0061251C" w14:paraId="5260173C" w14:textId="77777777" w:rsidTr="003A75AB">
        <w:tc>
          <w:tcPr>
            <w:cnfStyle w:val="001000000000" w:firstRow="0" w:lastRow="0" w:firstColumn="1" w:lastColumn="0" w:oddVBand="0" w:evenVBand="0" w:oddHBand="0" w:evenHBand="0" w:firstRowFirstColumn="0" w:firstRowLastColumn="0" w:lastRowFirstColumn="0" w:lastRowLastColumn="0"/>
            <w:tcW w:w="1769" w:type="dxa"/>
            <w:hideMark/>
          </w:tcPr>
          <w:p w14:paraId="5459A754" w14:textId="77777777" w:rsidR="0030608F" w:rsidRPr="004F4BA7" w:rsidRDefault="0030608F" w:rsidP="008B0419">
            <w:pPr>
              <w:keepNext/>
              <w:spacing w:line="300" w:lineRule="auto"/>
              <w:rPr>
                <w:color w:val="auto"/>
                <w:lang w:eastAsia="en-GB"/>
              </w:rPr>
            </w:pPr>
            <w:r w:rsidRPr="004F4BA7">
              <w:rPr>
                <w:color w:val="auto"/>
                <w:lang w:eastAsia="en-GB"/>
              </w:rPr>
              <w:t>65+</w:t>
            </w:r>
          </w:p>
        </w:tc>
        <w:tc>
          <w:tcPr>
            <w:tcW w:w="1769" w:type="dxa"/>
            <w:hideMark/>
          </w:tcPr>
          <w:p w14:paraId="0E7535F6" w14:textId="4D30DAC1"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37,561</w:t>
            </w:r>
          </w:p>
        </w:tc>
        <w:tc>
          <w:tcPr>
            <w:tcW w:w="1769" w:type="dxa"/>
            <w:hideMark/>
          </w:tcPr>
          <w:p w14:paraId="41A3CCD3" w14:textId="6644FBC6"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55,410</w:t>
            </w:r>
          </w:p>
        </w:tc>
        <w:tc>
          <w:tcPr>
            <w:tcW w:w="1769" w:type="dxa"/>
            <w:hideMark/>
          </w:tcPr>
          <w:p w14:paraId="43F585CE" w14:textId="481D77E0"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17,849</w:t>
            </w:r>
          </w:p>
        </w:tc>
        <w:tc>
          <w:tcPr>
            <w:tcW w:w="1769" w:type="dxa"/>
            <w:hideMark/>
          </w:tcPr>
          <w:p w14:paraId="3D1B10CB" w14:textId="2D8CADB5" w:rsidR="0030608F" w:rsidRPr="004F4BA7" w:rsidRDefault="0030608F" w:rsidP="008B0419">
            <w:pPr>
              <w:keepNext/>
              <w:spacing w:line="300" w:lineRule="auto"/>
              <w:cnfStyle w:val="000000000000" w:firstRow="0" w:lastRow="0" w:firstColumn="0" w:lastColumn="0" w:oddVBand="0" w:evenVBand="0" w:oddHBand="0" w:evenHBand="0" w:firstRowFirstColumn="0" w:firstRowLastColumn="0" w:lastRowFirstColumn="0" w:lastRowLastColumn="0"/>
              <w:rPr>
                <w:color w:val="auto"/>
              </w:rPr>
            </w:pPr>
            <w:r w:rsidRPr="004F4BA7">
              <w:rPr>
                <w:color w:val="auto"/>
              </w:rPr>
              <w:t>47.5%</w:t>
            </w:r>
          </w:p>
        </w:tc>
      </w:tr>
    </w:tbl>
    <w:p w14:paraId="4B682A52" w14:textId="77777777" w:rsidR="000D2A90" w:rsidRPr="00B35A8B" w:rsidRDefault="000D2A90" w:rsidP="000D2A90">
      <w:pPr>
        <w:spacing w:after="120" w:line="360" w:lineRule="auto"/>
        <w:ind w:left="794"/>
        <w:rPr>
          <w:sz w:val="24"/>
          <w:szCs w:val="24"/>
        </w:rPr>
      </w:pPr>
      <w:r w:rsidRPr="00B35A8B">
        <w:rPr>
          <w:sz w:val="24"/>
          <w:szCs w:val="24"/>
        </w:rPr>
        <w:t>Source: Demographic projections</w:t>
      </w:r>
    </w:p>
    <w:p w14:paraId="762C573D" w14:textId="77777777" w:rsidR="00270765" w:rsidRPr="003E6243" w:rsidRDefault="00270765">
      <w:pPr>
        <w:spacing w:after="200"/>
        <w:rPr>
          <w:highlight w:val="yellow"/>
        </w:rPr>
      </w:pPr>
    </w:p>
    <w:p w14:paraId="25CAE2E3" w14:textId="77777777" w:rsidR="00BF6995" w:rsidRDefault="00BF6995">
      <w:pPr>
        <w:spacing w:after="200"/>
        <w:rPr>
          <w:b/>
          <w:bCs/>
        </w:rPr>
      </w:pPr>
      <w:r>
        <w:rPr>
          <w:b/>
          <w:bCs/>
        </w:rPr>
        <w:br w:type="page"/>
      </w:r>
    </w:p>
    <w:p w14:paraId="786D79BA" w14:textId="77777777" w:rsidR="00C7292A" w:rsidRPr="00B35A8B" w:rsidRDefault="00C7292A" w:rsidP="00C7292A">
      <w:pPr>
        <w:pStyle w:val="Appendices"/>
        <w:rPr>
          <w:sz w:val="24"/>
          <w:szCs w:val="32"/>
        </w:rPr>
      </w:pPr>
      <w:bookmarkStart w:id="48" w:name="_Toc79590832"/>
      <w:r w:rsidRPr="00B35A8B">
        <w:rPr>
          <w:sz w:val="24"/>
          <w:szCs w:val="32"/>
        </w:rPr>
        <w:lastRenderedPageBreak/>
        <w:t>District Summaries</w:t>
      </w:r>
      <w:bookmarkEnd w:id="48"/>
      <w:r w:rsidRPr="00B35A8B">
        <w:rPr>
          <w:sz w:val="24"/>
          <w:szCs w:val="32"/>
        </w:rPr>
        <w:t xml:space="preserve"> </w:t>
      </w:r>
    </w:p>
    <w:p w14:paraId="2E0268BC" w14:textId="77777777" w:rsidR="00C7292A" w:rsidRPr="000A4214" w:rsidRDefault="00C7292A" w:rsidP="007D0FBF">
      <w:pPr>
        <w:pStyle w:val="11Bodytext"/>
      </w:pPr>
      <w:bookmarkStart w:id="49" w:name="_Hlk54943385"/>
      <w:r w:rsidRPr="000A4214">
        <w:t xml:space="preserve">The following text provides the principal points of evidence and findings set out in the Housing Needs of Specific Groups study for Cambridgeshire and West Suffolk authorities. </w:t>
      </w:r>
    </w:p>
    <w:p w14:paraId="526C6407" w14:textId="77777777" w:rsidR="00C71E60" w:rsidRPr="001B0740" w:rsidRDefault="00C71E60" w:rsidP="00B35A8B">
      <w:pPr>
        <w:pStyle w:val="Heading2"/>
      </w:pPr>
      <w:r w:rsidRPr="001B0740">
        <w:t>Cambridge</w:t>
      </w:r>
    </w:p>
    <w:p w14:paraId="234633A4" w14:textId="77777777" w:rsidR="00C71E60" w:rsidRPr="001B0740" w:rsidRDefault="00C71E60" w:rsidP="00C71E60">
      <w:pPr>
        <w:ind w:firstLine="426"/>
        <w:rPr>
          <w:color w:val="0093D5"/>
        </w:rPr>
      </w:pPr>
    </w:p>
    <w:p w14:paraId="5737DEE9" w14:textId="77777777" w:rsidR="00C71E60" w:rsidRPr="001B0740" w:rsidRDefault="00C71E60" w:rsidP="00B35A8B">
      <w:pPr>
        <w:pStyle w:val="Heading3"/>
      </w:pPr>
      <w:r w:rsidRPr="001B0740">
        <w:t>Demographic Baseline</w:t>
      </w:r>
    </w:p>
    <w:p w14:paraId="721ABD43" w14:textId="77777777" w:rsidR="00C71E60" w:rsidRPr="000A4214" w:rsidRDefault="00C71E60" w:rsidP="007D0FBF">
      <w:pPr>
        <w:pStyle w:val="11Bodytext"/>
      </w:pPr>
      <w:r w:rsidRPr="000A4214">
        <w:t>The total population of Cambridge is 124,800 persons as of mid-2019</w:t>
      </w:r>
      <w:r w:rsidRPr="000A4214">
        <w:rPr>
          <w:rStyle w:val="FootnoteReference"/>
          <w:vertAlign w:val="baseline"/>
        </w:rPr>
        <w:footnoteReference w:id="64"/>
      </w:r>
      <w:r w:rsidRPr="000A4214">
        <w:t xml:space="preserve">. Since 1991 the population has grown by 18% with an average annual growth rate of 0.6%. There is a total of 55,731 dwellings across Cambridge as </w:t>
      </w:r>
      <w:proofErr w:type="gramStart"/>
      <w:r w:rsidRPr="000A4214">
        <w:t>at</w:t>
      </w:r>
      <w:proofErr w:type="gramEnd"/>
      <w:r w:rsidRPr="000A4214">
        <w:t xml:space="preserve"> 31st March 2020. Since 2011 population change in Cambridge has been predominantly driven by international migration and natural change.</w:t>
      </w:r>
    </w:p>
    <w:p w14:paraId="34E8743A" w14:textId="1DD3F083" w:rsidR="00C71E60" w:rsidRPr="001B0740" w:rsidRDefault="00C71E60" w:rsidP="007D0FBF">
      <w:pPr>
        <w:pStyle w:val="11Bodytext"/>
      </w:pPr>
      <w:r w:rsidRPr="001B0740">
        <w:t>Linked to the University</w:t>
      </w:r>
      <w:r w:rsidR="008065C4">
        <w:t xml:space="preserve"> of</w:t>
      </w:r>
      <w:r w:rsidRPr="001B0740">
        <w:t xml:space="preserve"> Cambridge</w:t>
      </w:r>
      <w:r w:rsidR="00522D6F">
        <w:t>, the City</w:t>
      </w:r>
      <w:r w:rsidRPr="001B0740">
        <w:t xml:space="preserve"> has a significantly higher proportion of people aged 15-29 years old in comparison to the other HMA authorities.  Conversely</w:t>
      </w:r>
      <w:r w:rsidR="008065C4">
        <w:t>,</w:t>
      </w:r>
      <w:r w:rsidRPr="001B0740">
        <w:t xml:space="preserve"> it has a lower proportion of people in every age cohort over 45 years old compared to the other HMA authorities. </w:t>
      </w:r>
    </w:p>
    <w:p w14:paraId="54BFADC9" w14:textId="77777777" w:rsidR="00C71E60" w:rsidRPr="001B0740" w:rsidRDefault="00C71E60" w:rsidP="008E5DB4">
      <w:pPr>
        <w:ind w:left="426"/>
      </w:pPr>
    </w:p>
    <w:p w14:paraId="587AD441" w14:textId="77777777" w:rsidR="00C71E60" w:rsidRPr="001B0740" w:rsidRDefault="00C71E60" w:rsidP="00B35A8B">
      <w:pPr>
        <w:pStyle w:val="Heading3"/>
      </w:pPr>
      <w:r w:rsidRPr="001B0740">
        <w:t xml:space="preserve">Market Signals </w:t>
      </w:r>
    </w:p>
    <w:p w14:paraId="2323FB1D" w14:textId="66BE939A" w:rsidR="00C71E60" w:rsidRPr="000A4214" w:rsidRDefault="00C71E60" w:rsidP="007D0FBF">
      <w:pPr>
        <w:pStyle w:val="11Bodytext"/>
      </w:pPr>
      <w:r w:rsidRPr="000A4214">
        <w:t>The median house price in Cambridge is £440,000. This is 91% above the national average and 56% above the regional average. Over the last 10 years, Cambridge has seen an increase in median house prices of 59.3% compared to 27.6% nationally, and 42.5% regionally.</w:t>
      </w:r>
    </w:p>
    <w:p w14:paraId="73C49492" w14:textId="3F28C1FB" w:rsidR="00C71E60" w:rsidRPr="000A4214" w:rsidRDefault="00C71E60" w:rsidP="007D0FBF">
      <w:pPr>
        <w:pStyle w:val="11Bodytext"/>
      </w:pPr>
      <w:r w:rsidRPr="000A4214">
        <w:t xml:space="preserve">Median rental prices within the private rented sector across Cambridge are £1,200 </w:t>
      </w:r>
      <w:r w:rsidR="003855B6" w:rsidRPr="000A4214">
        <w:t>per calendar month</w:t>
      </w:r>
      <w:r w:rsidRPr="000A4214">
        <w:t xml:space="preserve">. This is above the national and regional equivalents of £695 and £795 respectively. Cambridge has a median </w:t>
      </w:r>
      <w:r w:rsidR="008065C4" w:rsidRPr="000A4214">
        <w:t>workplace-</w:t>
      </w:r>
      <w:r w:rsidRPr="000A4214">
        <w:t>based affordability ratio of 12.76 compared to 9.47 for the East of England and 7.83 nationally.</w:t>
      </w:r>
    </w:p>
    <w:p w14:paraId="57849BE0" w14:textId="704899C8" w:rsidR="00C71E60" w:rsidRPr="000A4214" w:rsidRDefault="00C71E60" w:rsidP="007D0FBF">
      <w:pPr>
        <w:pStyle w:val="11Bodytext"/>
      </w:pPr>
      <w:r w:rsidRPr="000A4214">
        <w:lastRenderedPageBreak/>
        <w:t xml:space="preserve">Between 2001 and 2011 Cambridge saw the proportion of residents living in over-occupied properties increase by 27.7%. This is </w:t>
      </w:r>
      <w:r w:rsidR="008065C4" w:rsidRPr="000A4214">
        <w:t xml:space="preserve">a </w:t>
      </w:r>
      <w:r w:rsidRPr="000A4214">
        <w:t xml:space="preserve">greater increase than the national (32.3%) and regional (35.6%) equivalents. </w:t>
      </w:r>
    </w:p>
    <w:p w14:paraId="21DF1BF7" w14:textId="77777777" w:rsidR="00C71E60" w:rsidRPr="001B0740" w:rsidRDefault="00C71E60" w:rsidP="00B35A8B">
      <w:pPr>
        <w:pStyle w:val="Heading3"/>
        <w:rPr>
          <w:color w:val="0093D5"/>
        </w:rPr>
      </w:pPr>
      <w:r w:rsidRPr="001B0740">
        <w:t>Local Housing Need</w:t>
      </w:r>
    </w:p>
    <w:p w14:paraId="0DF97AD7" w14:textId="04E94DD5" w:rsidR="00C71E60" w:rsidRPr="001B0740" w:rsidRDefault="00C71E60" w:rsidP="007D0FBF">
      <w:pPr>
        <w:pStyle w:val="11Bodytext"/>
      </w:pPr>
      <w:r w:rsidRPr="001B0740">
        <w:t>Step 1 of the standard method currently draws on the 2014-based household projections which set out a household growth of 425 per annum over the period 2020-2030 across Cambridge.</w:t>
      </w:r>
    </w:p>
    <w:p w14:paraId="5351EE69" w14:textId="2768E378" w:rsidR="00C71E60" w:rsidRPr="001B0740" w:rsidRDefault="00C71E60" w:rsidP="007D0FBF">
      <w:pPr>
        <w:pStyle w:val="11Bodytext"/>
      </w:pPr>
      <w:r w:rsidRPr="001B0740">
        <w:t>Step 2 of the standard method increases the Housing Need based on local affordability. Using the prescribed formula, the local affordability ratio results in</w:t>
      </w:r>
      <w:r w:rsidRPr="001B0740">
        <w:rPr>
          <w:color w:val="FF0000"/>
        </w:rPr>
        <w:t xml:space="preserve"> </w:t>
      </w:r>
      <w:r w:rsidRPr="001B0740">
        <w:t>an uplift of 55%. This increases the need by 233 to 658.</w:t>
      </w:r>
    </w:p>
    <w:p w14:paraId="3090C81F" w14:textId="75C6862E" w:rsidR="00C71E60" w:rsidRPr="001B0740" w:rsidRDefault="00C71E60" w:rsidP="007D0FBF">
      <w:pPr>
        <w:pStyle w:val="11Bodytext"/>
      </w:pPr>
      <w:r w:rsidRPr="001B0740">
        <w:t xml:space="preserve">To ensure deliverability, Step 3 of the standard method caps the uplifts in Step 2. This is effectively not applied in Cambridge due to the age of the Local Plan and the target set out </w:t>
      </w:r>
      <w:r w:rsidR="00941854">
        <w:t>therein</w:t>
      </w:r>
      <w:r w:rsidRPr="001B0740">
        <w:t xml:space="preserve">. </w:t>
      </w:r>
    </w:p>
    <w:p w14:paraId="42E92CAA" w14:textId="27CAE6A4" w:rsidR="00C71E60" w:rsidRPr="001B0740" w:rsidRDefault="00C71E60" w:rsidP="007D0FBF">
      <w:pPr>
        <w:pStyle w:val="11Bodytext"/>
      </w:pPr>
      <w:r w:rsidRPr="001B0740">
        <w:t xml:space="preserve">Based on the standard method Cambridge’s housing need is 658 dwellings per annum. Although calculated over the 2020-2030 period it can be applied across the plan period and responds to historic under-delivery. </w:t>
      </w:r>
    </w:p>
    <w:p w14:paraId="06635C43" w14:textId="5A4362F5" w:rsidR="00C71E60" w:rsidRPr="001B0740" w:rsidRDefault="00C71E60" w:rsidP="007D0FBF">
      <w:pPr>
        <w:pStyle w:val="11Bodytext"/>
      </w:pPr>
      <w:r w:rsidRPr="001B0740">
        <w:t xml:space="preserve">A scenario has been modelled whereby household formation rates are </w:t>
      </w:r>
      <w:r w:rsidR="00F4359E">
        <w:t>increas</w:t>
      </w:r>
      <w:r w:rsidR="00F4359E" w:rsidRPr="001B0740">
        <w:t xml:space="preserve">ed </w:t>
      </w:r>
      <w:r w:rsidRPr="001B0740">
        <w:t>and population growth increased to fill these homes. This sees an additional 28,318 people in Cambridge over the period 2020-2040.</w:t>
      </w:r>
    </w:p>
    <w:p w14:paraId="443D06F8" w14:textId="2F9BB0A1" w:rsidR="00C71E60" w:rsidRPr="001B0740" w:rsidRDefault="00C71E60" w:rsidP="00B35A8B">
      <w:pPr>
        <w:pStyle w:val="Heading3"/>
      </w:pPr>
      <w:r w:rsidRPr="001B0740">
        <w:t>Affordable Housing Need</w:t>
      </w:r>
    </w:p>
    <w:p w14:paraId="6236E03F" w14:textId="7D64DB23" w:rsidR="00C71E60" w:rsidRPr="00E079F9" w:rsidRDefault="00C71E60" w:rsidP="007D0FBF">
      <w:pPr>
        <w:pStyle w:val="11Bodytext"/>
      </w:pPr>
      <w:r w:rsidRPr="00E079F9">
        <w:t xml:space="preserve">The analysis shows that 314 households per annum will require affordable housing to rent between 2020 and 2040. This equates to around 48% of the overall need although such a calculation should be treated with caution as it contains an element of double counting </w:t>
      </w:r>
      <w:proofErr w:type="gramStart"/>
      <w:r w:rsidRPr="00E079F9">
        <w:t>i.e.</w:t>
      </w:r>
      <w:proofErr w:type="gramEnd"/>
      <w:r w:rsidRPr="00E079F9">
        <w:t xml:space="preserve"> both include newly forming households.</w:t>
      </w:r>
    </w:p>
    <w:p w14:paraId="062E5FA5" w14:textId="15EF8060" w:rsidR="00C71E60" w:rsidRPr="00E079F9" w:rsidRDefault="00C71E60" w:rsidP="007D0FBF">
      <w:pPr>
        <w:pStyle w:val="11Bodytext"/>
      </w:pPr>
      <w:r w:rsidRPr="00E079F9">
        <w:t xml:space="preserve">Based purely on affordability around 78% should be social rent and 22% affordable rent. It is not recommended that the Councils have a rigid policy for the split between social and affordable rent housing on this basis alone. The analysis is clear that both </w:t>
      </w:r>
      <w:r w:rsidRPr="00E079F9">
        <w:lastRenderedPageBreak/>
        <w:t>tenures of homes are likely to be required in all areas, this should be brought together with other considerations outlined above, should the Council wish to implement a Local Plan policy.</w:t>
      </w:r>
    </w:p>
    <w:p w14:paraId="3C563326" w14:textId="7F851625" w:rsidR="00C71E60" w:rsidRPr="00E079F9" w:rsidRDefault="00C71E60" w:rsidP="007D0FBF">
      <w:pPr>
        <w:pStyle w:val="11Bodytext"/>
      </w:pPr>
      <w:r w:rsidRPr="00E079F9">
        <w:t xml:space="preserve">There is a requirement in the NPPF for at least 10% of all new homes on </w:t>
      </w:r>
      <w:r w:rsidR="0018108C" w:rsidRPr="00E079F9">
        <w:t xml:space="preserve">major </w:t>
      </w:r>
      <w:r w:rsidRPr="00E079F9">
        <w:t>sites</w:t>
      </w:r>
      <w:r w:rsidR="0018108C" w:rsidRPr="00E079F9">
        <w:rPr>
          <w:rStyle w:val="FootnoteReference"/>
          <w:vertAlign w:val="baseline"/>
        </w:rPr>
        <w:footnoteReference w:id="65"/>
      </w:r>
      <w:r w:rsidRPr="00E079F9">
        <w:t xml:space="preserve"> to be affordable home ownership properties unless it would significantly prejudice the ability to meet the identified affordable housing needs of specific groups. Given the relative scale of need for affordable housing to rent (314 per annum) compared to affordable home ownership (199 per annum) it seems reasonable to suggest that Cambridge could consider seeking 10% of all housing (on </w:t>
      </w:r>
      <w:r w:rsidR="0018108C" w:rsidRPr="00E079F9">
        <w:t xml:space="preserve">major </w:t>
      </w:r>
      <w:r w:rsidRPr="00E079F9">
        <w:t xml:space="preserve">sites) to be affordable home ownership (as set out in the NPPF) unless this would prejudice meeting the needs of other groups. </w:t>
      </w:r>
    </w:p>
    <w:p w14:paraId="4071C5C7" w14:textId="7E3D704B" w:rsidR="00C71E60" w:rsidRPr="00E079F9" w:rsidRDefault="00C71E60" w:rsidP="007D0FBF">
      <w:pPr>
        <w:pStyle w:val="11Bodytext"/>
      </w:pPr>
      <w:r w:rsidRPr="00E079F9">
        <w:t xml:space="preserve">Given that affordable housing delivery will be curtailed by viability it will ultimately be a choice for the Council to make in relation to the split between social and affordable rent and affordable home ownership products.   In making this choice they should consider a wide range of factors including </w:t>
      </w:r>
      <w:r w:rsidR="008065C4" w:rsidRPr="00E079F9">
        <w:t xml:space="preserve">the </w:t>
      </w:r>
      <w:r w:rsidRPr="00E079F9">
        <w:t xml:space="preserve">local priority (dealing with </w:t>
      </w:r>
      <w:r w:rsidR="008065C4" w:rsidRPr="00E079F9">
        <w:t xml:space="preserve">the </w:t>
      </w:r>
      <w:r w:rsidRPr="00E079F9">
        <w:t>acute need or promoting home-ownership) and the viability of different products.</w:t>
      </w:r>
    </w:p>
    <w:p w14:paraId="6443577A" w14:textId="0EF820FF" w:rsidR="00C71E60" w:rsidRPr="00E079F9" w:rsidRDefault="00C71E60" w:rsidP="007D0FBF">
      <w:pPr>
        <w:pStyle w:val="11Bodytext"/>
      </w:pPr>
      <w:r w:rsidRPr="00E079F9">
        <w:t xml:space="preserve">If the Council does seek to provide 10% of housing as affordable home </w:t>
      </w:r>
      <w:r w:rsidR="00B945E7" w:rsidRPr="00E079F9">
        <w:t>ownership,</w:t>
      </w:r>
      <w:r w:rsidRPr="00E079F9">
        <w:t xml:space="preserve"> then it is suggested that shared ownership is the most appropriate tenure. This is due to the lower deposit requirements and lower overall costs (given that the rent would also be subsidised).</w:t>
      </w:r>
    </w:p>
    <w:p w14:paraId="067FC149" w14:textId="77777777" w:rsidR="00C71E60" w:rsidRPr="001B0740" w:rsidRDefault="00C71E60" w:rsidP="00B35A8B">
      <w:pPr>
        <w:pStyle w:val="Heading3"/>
      </w:pPr>
      <w:r w:rsidRPr="001B0740">
        <w:t>Housing Mix</w:t>
      </w:r>
    </w:p>
    <w:p w14:paraId="5E7F170D" w14:textId="77777777" w:rsidR="00C71E60" w:rsidRPr="001B0740" w:rsidRDefault="00C71E60" w:rsidP="007D0FBF">
      <w:pPr>
        <w:pStyle w:val="11Bodytext"/>
      </w:pPr>
      <w:r w:rsidRPr="001B0740">
        <w:t xml:space="preserve">The following mix of homes size by tenure is suggested as a strategic mix for Cambridge </w:t>
      </w:r>
      <w:r>
        <w:t>for</w:t>
      </w:r>
      <w:r w:rsidRPr="001B0740">
        <w:t xml:space="preserve"> the 2020-2040 period.</w:t>
      </w:r>
    </w:p>
    <w:p w14:paraId="4CA4308D" w14:textId="77777777" w:rsidR="00C71E60" w:rsidRPr="001B0740" w:rsidRDefault="00C71E60" w:rsidP="008E5DB4">
      <w:pPr>
        <w:ind w:left="426"/>
      </w:pPr>
    </w:p>
    <w:tbl>
      <w:tblPr>
        <w:tblStyle w:val="TableGridLight1"/>
        <w:tblW w:w="8788" w:type="dxa"/>
        <w:tblInd w:w="846" w:type="dxa"/>
        <w:tblLook w:val="04A0" w:firstRow="1" w:lastRow="0" w:firstColumn="1" w:lastColumn="0" w:noHBand="0" w:noVBand="1"/>
      </w:tblPr>
      <w:tblGrid>
        <w:gridCol w:w="1555"/>
        <w:gridCol w:w="1646"/>
        <w:gridCol w:w="2793"/>
        <w:gridCol w:w="2794"/>
      </w:tblGrid>
      <w:tr w:rsidR="0061251C" w:rsidRPr="0061251C" w14:paraId="4231B22A" w14:textId="77777777" w:rsidTr="00B35A8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1E78177" w14:textId="77777777" w:rsidR="00C71E60" w:rsidRPr="004F4BA7" w:rsidRDefault="00C71E60" w:rsidP="00C71E60">
            <w:pPr>
              <w:rPr>
                <w:color w:val="auto"/>
                <w:lang w:eastAsia="en-GB"/>
              </w:rPr>
            </w:pPr>
            <w:r w:rsidRPr="004F4BA7">
              <w:rPr>
                <w:color w:val="auto"/>
                <w:lang w:eastAsia="en-GB"/>
              </w:rPr>
              <w:t>Size</w:t>
            </w:r>
          </w:p>
        </w:tc>
        <w:tc>
          <w:tcPr>
            <w:tcW w:w="1646" w:type="dxa"/>
            <w:noWrap/>
            <w:hideMark/>
          </w:tcPr>
          <w:p w14:paraId="395E8FD1"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793" w:type="dxa"/>
            <w:noWrap/>
            <w:hideMark/>
          </w:tcPr>
          <w:p w14:paraId="7BC019BE"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794" w:type="dxa"/>
            <w:noWrap/>
            <w:hideMark/>
          </w:tcPr>
          <w:p w14:paraId="13A87F8B"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61251C" w:rsidRPr="0061251C" w14:paraId="337D308B" w14:textId="77777777" w:rsidTr="00B35A8B">
        <w:trPr>
          <w:trHeight w:val="274"/>
        </w:trPr>
        <w:tc>
          <w:tcPr>
            <w:cnfStyle w:val="001000000000" w:firstRow="0" w:lastRow="0" w:firstColumn="1" w:lastColumn="0" w:oddVBand="0" w:evenVBand="0" w:oddHBand="0" w:evenHBand="0" w:firstRowFirstColumn="0" w:firstRowLastColumn="0" w:lastRowFirstColumn="0" w:lastRowLastColumn="0"/>
            <w:tcW w:w="1555" w:type="dxa"/>
            <w:hideMark/>
          </w:tcPr>
          <w:p w14:paraId="078CD7B8" w14:textId="77777777" w:rsidR="00C71E60" w:rsidRPr="004F4BA7" w:rsidRDefault="00C71E60" w:rsidP="00C71E60">
            <w:pPr>
              <w:rPr>
                <w:color w:val="auto"/>
                <w:lang w:eastAsia="en-GB"/>
              </w:rPr>
            </w:pPr>
            <w:r w:rsidRPr="004F4BA7">
              <w:rPr>
                <w:color w:val="auto"/>
                <w:lang w:eastAsia="en-GB"/>
              </w:rPr>
              <w:t>1-bedroom</w:t>
            </w:r>
          </w:p>
        </w:tc>
        <w:tc>
          <w:tcPr>
            <w:tcW w:w="1646" w:type="dxa"/>
            <w:hideMark/>
          </w:tcPr>
          <w:p w14:paraId="413C54E2"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793" w:type="dxa"/>
            <w:hideMark/>
          </w:tcPr>
          <w:p w14:paraId="42912DEE"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10-20%</w:t>
            </w:r>
          </w:p>
        </w:tc>
        <w:tc>
          <w:tcPr>
            <w:tcW w:w="2794" w:type="dxa"/>
            <w:hideMark/>
          </w:tcPr>
          <w:p w14:paraId="569BD668"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r>
      <w:tr w:rsidR="0061251C" w:rsidRPr="0061251C" w14:paraId="5E66268E" w14:textId="77777777" w:rsidTr="00B35A8B">
        <w:trPr>
          <w:trHeight w:val="274"/>
        </w:trPr>
        <w:tc>
          <w:tcPr>
            <w:cnfStyle w:val="001000000000" w:firstRow="0" w:lastRow="0" w:firstColumn="1" w:lastColumn="0" w:oddVBand="0" w:evenVBand="0" w:oddHBand="0" w:evenHBand="0" w:firstRowFirstColumn="0" w:firstRowLastColumn="0" w:lastRowFirstColumn="0" w:lastRowLastColumn="0"/>
            <w:tcW w:w="1555" w:type="dxa"/>
            <w:hideMark/>
          </w:tcPr>
          <w:p w14:paraId="64BC1963" w14:textId="77777777" w:rsidR="00C71E60" w:rsidRPr="004F4BA7" w:rsidRDefault="00C71E60" w:rsidP="00C71E60">
            <w:pPr>
              <w:rPr>
                <w:color w:val="auto"/>
                <w:lang w:eastAsia="en-GB"/>
              </w:rPr>
            </w:pPr>
            <w:r w:rsidRPr="004F4BA7">
              <w:rPr>
                <w:color w:val="auto"/>
                <w:lang w:eastAsia="en-GB"/>
              </w:rPr>
              <w:t>2-bedrooms</w:t>
            </w:r>
          </w:p>
        </w:tc>
        <w:tc>
          <w:tcPr>
            <w:tcW w:w="1646" w:type="dxa"/>
            <w:hideMark/>
          </w:tcPr>
          <w:p w14:paraId="1F26E374"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793" w:type="dxa"/>
            <w:hideMark/>
          </w:tcPr>
          <w:p w14:paraId="31F08F9D"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c>
          <w:tcPr>
            <w:tcW w:w="2794" w:type="dxa"/>
            <w:hideMark/>
          </w:tcPr>
          <w:p w14:paraId="74C255E5"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61251C" w:rsidRPr="0061251C" w14:paraId="0C2454AA" w14:textId="77777777" w:rsidTr="00B35A8B">
        <w:trPr>
          <w:trHeight w:val="274"/>
        </w:trPr>
        <w:tc>
          <w:tcPr>
            <w:cnfStyle w:val="001000000000" w:firstRow="0" w:lastRow="0" w:firstColumn="1" w:lastColumn="0" w:oddVBand="0" w:evenVBand="0" w:oddHBand="0" w:evenHBand="0" w:firstRowFirstColumn="0" w:firstRowLastColumn="0" w:lastRowFirstColumn="0" w:lastRowLastColumn="0"/>
            <w:tcW w:w="1555" w:type="dxa"/>
            <w:hideMark/>
          </w:tcPr>
          <w:p w14:paraId="0FE1F2E0" w14:textId="77777777" w:rsidR="00C71E60" w:rsidRPr="004F4BA7" w:rsidRDefault="00C71E60" w:rsidP="00C71E60">
            <w:pPr>
              <w:rPr>
                <w:color w:val="auto"/>
                <w:lang w:eastAsia="en-GB"/>
              </w:rPr>
            </w:pPr>
            <w:r w:rsidRPr="004F4BA7">
              <w:rPr>
                <w:color w:val="auto"/>
                <w:lang w:eastAsia="en-GB"/>
              </w:rPr>
              <w:t>3-bedrooms</w:t>
            </w:r>
          </w:p>
        </w:tc>
        <w:tc>
          <w:tcPr>
            <w:tcW w:w="1646" w:type="dxa"/>
            <w:hideMark/>
          </w:tcPr>
          <w:p w14:paraId="6A2F3451"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793" w:type="dxa"/>
            <w:hideMark/>
          </w:tcPr>
          <w:p w14:paraId="2FF7096D"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c>
          <w:tcPr>
            <w:tcW w:w="2794" w:type="dxa"/>
            <w:hideMark/>
          </w:tcPr>
          <w:p w14:paraId="33317A0F"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r>
      <w:tr w:rsidR="0061251C" w:rsidRPr="0061251C" w14:paraId="2786B2C5" w14:textId="77777777" w:rsidTr="00B35A8B">
        <w:trPr>
          <w:trHeight w:val="274"/>
        </w:trPr>
        <w:tc>
          <w:tcPr>
            <w:cnfStyle w:val="001000000000" w:firstRow="0" w:lastRow="0" w:firstColumn="1" w:lastColumn="0" w:oddVBand="0" w:evenVBand="0" w:oddHBand="0" w:evenHBand="0" w:firstRowFirstColumn="0" w:firstRowLastColumn="0" w:lastRowFirstColumn="0" w:lastRowLastColumn="0"/>
            <w:tcW w:w="1555" w:type="dxa"/>
            <w:hideMark/>
          </w:tcPr>
          <w:p w14:paraId="68D0AE9C" w14:textId="77777777" w:rsidR="00C71E60" w:rsidRPr="004F4BA7" w:rsidRDefault="00C71E60" w:rsidP="00C71E60">
            <w:pPr>
              <w:rPr>
                <w:color w:val="auto"/>
                <w:lang w:eastAsia="en-GB"/>
              </w:rPr>
            </w:pPr>
            <w:r w:rsidRPr="004F4BA7">
              <w:rPr>
                <w:color w:val="auto"/>
                <w:lang w:eastAsia="en-GB"/>
              </w:rPr>
              <w:t>4+-bedrooms</w:t>
            </w:r>
          </w:p>
        </w:tc>
        <w:tc>
          <w:tcPr>
            <w:tcW w:w="1646" w:type="dxa"/>
            <w:hideMark/>
          </w:tcPr>
          <w:p w14:paraId="28C780FF"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c>
          <w:tcPr>
            <w:tcW w:w="2793" w:type="dxa"/>
            <w:hideMark/>
          </w:tcPr>
          <w:p w14:paraId="08AC86D0"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5-15%</w:t>
            </w:r>
          </w:p>
        </w:tc>
        <w:tc>
          <w:tcPr>
            <w:tcW w:w="2794" w:type="dxa"/>
            <w:hideMark/>
          </w:tcPr>
          <w:p w14:paraId="5DBC9AAC"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088AD1B4" w14:textId="20E42F8F" w:rsidR="00C71E60" w:rsidRPr="001B0740" w:rsidRDefault="00C71E60" w:rsidP="007D0FBF">
      <w:pPr>
        <w:pStyle w:val="11Bodytext"/>
      </w:pPr>
      <w:r w:rsidRPr="001B0740">
        <w:lastRenderedPageBreak/>
        <w:t>The mix identified above should inform</w:t>
      </w:r>
      <w:r>
        <w:t xml:space="preserve"> the preparation of</w:t>
      </w:r>
      <w:r w:rsidRPr="001B0740">
        <w:t xml:space="preserve"> strategic policies. However, in applying the mix to individual development sites </w:t>
      </w:r>
      <w:r>
        <w:t xml:space="preserve">the policies should be flexible enough to have </w:t>
      </w:r>
      <w:r w:rsidRPr="001B0740">
        <w:t>regard to the nature of the site and character of the area, and to up-to-date evidence of need</w:t>
      </w:r>
      <w:r>
        <w:t xml:space="preserve"> (such as the housing register)</w:t>
      </w:r>
      <w:r w:rsidRPr="001B0740">
        <w:t xml:space="preserve"> as well as the existing mix and turnover of properties at the local level. The Councils should also monitor the mix of housing delivered</w:t>
      </w:r>
      <w:r w:rsidR="00442A4E">
        <w:t xml:space="preserve"> and respond accordingly</w:t>
      </w:r>
      <w:r>
        <w:t xml:space="preserve"> so that the strategic mix requirements are closely met</w:t>
      </w:r>
      <w:r w:rsidRPr="001B0740">
        <w:t>.</w:t>
      </w:r>
    </w:p>
    <w:p w14:paraId="7C032FF9" w14:textId="77777777" w:rsidR="00C71E60" w:rsidRPr="001B0740" w:rsidRDefault="00C71E60" w:rsidP="00D25D86">
      <w:pPr>
        <w:pStyle w:val="Heading3"/>
      </w:pPr>
      <w:r w:rsidRPr="001B0740">
        <w:t>Older and disabled people need</w:t>
      </w:r>
    </w:p>
    <w:p w14:paraId="1669D588" w14:textId="13D39CB5" w:rsidR="00C71E60" w:rsidRPr="001B0740" w:rsidRDefault="00C71E60" w:rsidP="007D0FBF">
      <w:pPr>
        <w:pStyle w:val="11Bodytext"/>
      </w:pPr>
      <w:r w:rsidRPr="001B0740">
        <w:t>There is projected to be a 58% increase in the population aged 75</w:t>
      </w:r>
      <w:r w:rsidR="00D903D5">
        <w:t xml:space="preserve"> and</w:t>
      </w:r>
      <w:r w:rsidRPr="001B0740">
        <w:t xml:space="preserve"> over </w:t>
      </w:r>
      <w:r w:rsidR="00D903D5">
        <w:t xml:space="preserve">between </w:t>
      </w:r>
      <w:r w:rsidRPr="001B0740">
        <w:t>2020-2040 across Cambridge. Based on prevalence rates and the identified population growth of those aged 75</w:t>
      </w:r>
      <w:r w:rsidR="00D903D5">
        <w:t xml:space="preserve"> and over</w:t>
      </w:r>
      <w:r w:rsidRPr="001B0740">
        <w:t xml:space="preserve"> we have identified the following surplus/shortfall in specialist housing for older people by 2040 as follows:</w:t>
      </w:r>
    </w:p>
    <w:tbl>
      <w:tblPr>
        <w:tblStyle w:val="TableGridLight1"/>
        <w:tblW w:w="8582" w:type="dxa"/>
        <w:tblInd w:w="846" w:type="dxa"/>
        <w:tblLook w:val="04A0" w:firstRow="1" w:lastRow="0" w:firstColumn="1" w:lastColumn="0" w:noHBand="0" w:noVBand="1"/>
      </w:tblPr>
      <w:tblGrid>
        <w:gridCol w:w="3343"/>
        <w:gridCol w:w="2619"/>
        <w:gridCol w:w="2620"/>
      </w:tblGrid>
      <w:tr w:rsidR="00956DC6" w:rsidRPr="00956DC6" w14:paraId="4738067C" w14:textId="77777777" w:rsidTr="00956DC6">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343" w:type="dxa"/>
            <w:hideMark/>
          </w:tcPr>
          <w:p w14:paraId="739D3BAB" w14:textId="77777777" w:rsidR="00956DC6" w:rsidRPr="00956DC6" w:rsidRDefault="00956DC6" w:rsidP="00956DC6">
            <w:pPr>
              <w:rPr>
                <w:bCs/>
                <w:color w:val="auto"/>
                <w:lang w:eastAsia="en-GB"/>
              </w:rPr>
            </w:pPr>
            <w:r w:rsidRPr="00956DC6">
              <w:rPr>
                <w:bCs/>
                <w:color w:val="auto"/>
                <w:lang w:eastAsia="en-GB"/>
              </w:rPr>
              <w:t>Type</w:t>
            </w:r>
          </w:p>
        </w:tc>
        <w:tc>
          <w:tcPr>
            <w:tcW w:w="2619" w:type="dxa"/>
            <w:hideMark/>
          </w:tcPr>
          <w:p w14:paraId="72070821"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Tenure</w:t>
            </w:r>
          </w:p>
        </w:tc>
        <w:tc>
          <w:tcPr>
            <w:tcW w:w="2620" w:type="dxa"/>
            <w:hideMark/>
          </w:tcPr>
          <w:p w14:paraId="12CFC151"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Cambridge</w:t>
            </w:r>
          </w:p>
        </w:tc>
      </w:tr>
      <w:tr w:rsidR="00956DC6" w:rsidRPr="00956DC6" w14:paraId="4C5502CC" w14:textId="77777777" w:rsidTr="00956DC6">
        <w:trPr>
          <w:trHeight w:val="41"/>
        </w:trPr>
        <w:tc>
          <w:tcPr>
            <w:cnfStyle w:val="001000000000" w:firstRow="0" w:lastRow="0" w:firstColumn="1" w:lastColumn="0" w:oddVBand="0" w:evenVBand="0" w:oddHBand="0" w:evenHBand="0" w:firstRowFirstColumn="0" w:firstRowLastColumn="0" w:lastRowFirstColumn="0" w:lastRowLastColumn="0"/>
            <w:tcW w:w="3343" w:type="dxa"/>
            <w:hideMark/>
          </w:tcPr>
          <w:p w14:paraId="4B5D9684" w14:textId="76580E7D" w:rsidR="00956DC6" w:rsidRPr="00956DC6" w:rsidRDefault="00956DC6" w:rsidP="00956DC6">
            <w:pPr>
              <w:jc w:val="center"/>
              <w:rPr>
                <w:color w:val="auto"/>
                <w:lang w:eastAsia="en-GB"/>
              </w:rPr>
            </w:pPr>
            <w:r w:rsidRPr="00956DC6">
              <w:rPr>
                <w:color w:val="auto"/>
                <w:lang w:eastAsia="en-GB"/>
              </w:rPr>
              <w:t>Housing with support</w:t>
            </w:r>
          </w:p>
        </w:tc>
        <w:tc>
          <w:tcPr>
            <w:tcW w:w="2619" w:type="dxa"/>
            <w:hideMark/>
          </w:tcPr>
          <w:p w14:paraId="60642D21"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620" w:type="dxa"/>
            <w:hideMark/>
          </w:tcPr>
          <w:p w14:paraId="7E242965"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-289</w:t>
            </w:r>
          </w:p>
        </w:tc>
      </w:tr>
      <w:tr w:rsidR="00956DC6" w:rsidRPr="00956DC6" w14:paraId="4FA5BE82" w14:textId="77777777" w:rsidTr="00956DC6">
        <w:trPr>
          <w:trHeight w:val="69"/>
        </w:trPr>
        <w:tc>
          <w:tcPr>
            <w:cnfStyle w:val="001000000000" w:firstRow="0" w:lastRow="0" w:firstColumn="1" w:lastColumn="0" w:oddVBand="0" w:evenVBand="0" w:oddHBand="0" w:evenHBand="0" w:firstRowFirstColumn="0" w:firstRowLastColumn="0" w:lastRowFirstColumn="0" w:lastRowLastColumn="0"/>
            <w:tcW w:w="3343" w:type="dxa"/>
            <w:hideMark/>
          </w:tcPr>
          <w:p w14:paraId="745936BB" w14:textId="2B30CE18" w:rsidR="00956DC6" w:rsidRPr="00956DC6" w:rsidRDefault="00956DC6" w:rsidP="00956DC6">
            <w:pPr>
              <w:jc w:val="center"/>
              <w:rPr>
                <w:color w:val="auto"/>
                <w:lang w:eastAsia="en-GB"/>
              </w:rPr>
            </w:pPr>
            <w:r w:rsidRPr="00956DC6">
              <w:rPr>
                <w:color w:val="auto"/>
                <w:lang w:eastAsia="en-GB"/>
              </w:rPr>
              <w:t>Housing with support</w:t>
            </w:r>
          </w:p>
        </w:tc>
        <w:tc>
          <w:tcPr>
            <w:tcW w:w="2619" w:type="dxa"/>
            <w:hideMark/>
          </w:tcPr>
          <w:p w14:paraId="1D958FF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620" w:type="dxa"/>
            <w:hideMark/>
          </w:tcPr>
          <w:p w14:paraId="0DC1675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643</w:t>
            </w:r>
          </w:p>
        </w:tc>
      </w:tr>
      <w:tr w:rsidR="00956DC6" w:rsidRPr="00956DC6" w14:paraId="0AFA1BEE" w14:textId="77777777" w:rsidTr="00956DC6">
        <w:trPr>
          <w:trHeight w:val="41"/>
        </w:trPr>
        <w:tc>
          <w:tcPr>
            <w:cnfStyle w:val="001000000000" w:firstRow="0" w:lastRow="0" w:firstColumn="1" w:lastColumn="0" w:oddVBand="0" w:evenVBand="0" w:oddHBand="0" w:evenHBand="0" w:firstRowFirstColumn="0" w:firstRowLastColumn="0" w:lastRowFirstColumn="0" w:lastRowLastColumn="0"/>
            <w:tcW w:w="3343" w:type="dxa"/>
            <w:hideMark/>
          </w:tcPr>
          <w:p w14:paraId="248A5586" w14:textId="0A5F2BCA" w:rsidR="00956DC6" w:rsidRPr="00956DC6" w:rsidRDefault="00956DC6" w:rsidP="00956DC6">
            <w:pPr>
              <w:jc w:val="center"/>
              <w:rPr>
                <w:color w:val="auto"/>
                <w:lang w:eastAsia="en-GB"/>
              </w:rPr>
            </w:pPr>
            <w:r w:rsidRPr="00956DC6">
              <w:rPr>
                <w:color w:val="auto"/>
                <w:lang w:eastAsia="en-GB"/>
              </w:rPr>
              <w:t>Housing with care</w:t>
            </w:r>
          </w:p>
        </w:tc>
        <w:tc>
          <w:tcPr>
            <w:tcW w:w="2619" w:type="dxa"/>
            <w:hideMark/>
          </w:tcPr>
          <w:p w14:paraId="69FFB66A"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620" w:type="dxa"/>
            <w:hideMark/>
          </w:tcPr>
          <w:p w14:paraId="1205FE51"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121</w:t>
            </w:r>
          </w:p>
        </w:tc>
      </w:tr>
      <w:tr w:rsidR="00956DC6" w:rsidRPr="00956DC6" w14:paraId="1A5BE87E" w14:textId="77777777" w:rsidTr="00956DC6">
        <w:trPr>
          <w:trHeight w:val="69"/>
        </w:trPr>
        <w:tc>
          <w:tcPr>
            <w:cnfStyle w:val="001000000000" w:firstRow="0" w:lastRow="0" w:firstColumn="1" w:lastColumn="0" w:oddVBand="0" w:evenVBand="0" w:oddHBand="0" w:evenHBand="0" w:firstRowFirstColumn="0" w:firstRowLastColumn="0" w:lastRowFirstColumn="0" w:lastRowLastColumn="0"/>
            <w:tcW w:w="3343" w:type="dxa"/>
            <w:hideMark/>
          </w:tcPr>
          <w:p w14:paraId="380E3D46" w14:textId="001F9949" w:rsidR="00956DC6" w:rsidRPr="00956DC6" w:rsidRDefault="00956DC6" w:rsidP="00956DC6">
            <w:pPr>
              <w:jc w:val="center"/>
              <w:rPr>
                <w:color w:val="auto"/>
                <w:lang w:eastAsia="en-GB"/>
              </w:rPr>
            </w:pPr>
            <w:r w:rsidRPr="00956DC6">
              <w:rPr>
                <w:color w:val="auto"/>
                <w:lang w:eastAsia="en-GB"/>
              </w:rPr>
              <w:t>Housing with care</w:t>
            </w:r>
          </w:p>
        </w:tc>
        <w:tc>
          <w:tcPr>
            <w:tcW w:w="2619" w:type="dxa"/>
            <w:hideMark/>
          </w:tcPr>
          <w:p w14:paraId="155168AB"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620" w:type="dxa"/>
            <w:hideMark/>
          </w:tcPr>
          <w:p w14:paraId="6F293179"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300</w:t>
            </w:r>
          </w:p>
        </w:tc>
      </w:tr>
      <w:tr w:rsidR="00956DC6" w:rsidRPr="00956DC6" w14:paraId="2CE9CEBD" w14:textId="77777777" w:rsidTr="00956DC6">
        <w:trPr>
          <w:trHeight w:val="41"/>
        </w:trPr>
        <w:tc>
          <w:tcPr>
            <w:cnfStyle w:val="001000000000" w:firstRow="0" w:lastRow="0" w:firstColumn="1" w:lastColumn="0" w:oddVBand="0" w:evenVBand="0" w:oddHBand="0" w:evenHBand="0" w:firstRowFirstColumn="0" w:firstRowLastColumn="0" w:lastRowFirstColumn="0" w:lastRowLastColumn="0"/>
            <w:tcW w:w="3343" w:type="dxa"/>
            <w:hideMark/>
          </w:tcPr>
          <w:p w14:paraId="52F2F53A" w14:textId="77777777" w:rsidR="00956DC6" w:rsidRPr="00956DC6" w:rsidRDefault="00956DC6" w:rsidP="00956DC6">
            <w:pPr>
              <w:jc w:val="center"/>
              <w:rPr>
                <w:color w:val="auto"/>
                <w:lang w:eastAsia="en-GB"/>
              </w:rPr>
            </w:pPr>
            <w:r w:rsidRPr="00956DC6">
              <w:rPr>
                <w:color w:val="auto"/>
                <w:lang w:eastAsia="en-GB"/>
              </w:rPr>
              <w:t>Care Bed-spaces</w:t>
            </w:r>
          </w:p>
        </w:tc>
        <w:tc>
          <w:tcPr>
            <w:tcW w:w="2619" w:type="dxa"/>
            <w:hideMark/>
          </w:tcPr>
          <w:p w14:paraId="4DB68889"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 </w:t>
            </w:r>
          </w:p>
        </w:tc>
        <w:tc>
          <w:tcPr>
            <w:tcW w:w="2620" w:type="dxa"/>
            <w:hideMark/>
          </w:tcPr>
          <w:p w14:paraId="6EA0E122"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179</w:t>
            </w:r>
          </w:p>
        </w:tc>
      </w:tr>
    </w:tbl>
    <w:p w14:paraId="62413810" w14:textId="732684EF" w:rsidR="00C71E60" w:rsidRPr="001B0740" w:rsidRDefault="00C71E60" w:rsidP="007D0FBF">
      <w:pPr>
        <w:pStyle w:val="11Bodytext"/>
      </w:pPr>
      <w:r w:rsidRPr="001B0740">
        <w:t>The number of older people with dementia is expected to increase by 55.6% from 2020 to 2040. There is also a 51.3% increase projected for those with mobility problems over the same period.</w:t>
      </w:r>
    </w:p>
    <w:p w14:paraId="4976923B" w14:textId="6A7333A5" w:rsidR="00C71E60" w:rsidRPr="001B0740" w:rsidRDefault="00C71E60" w:rsidP="007D0FBF">
      <w:pPr>
        <w:pStyle w:val="11Bodytext"/>
      </w:pPr>
      <w:r w:rsidRPr="001B0740">
        <w:t xml:space="preserve">Using data from the </w:t>
      </w:r>
      <w:r w:rsidR="00E36919">
        <w:t>EHS</w:t>
      </w:r>
      <w:r w:rsidRPr="001B0740">
        <w:t xml:space="preserve"> there is a current</w:t>
      </w:r>
      <w:r>
        <w:t xml:space="preserve"> (</w:t>
      </w:r>
      <w:r w:rsidR="00E36919">
        <w:t>298</w:t>
      </w:r>
      <w:r>
        <w:t>)</w:t>
      </w:r>
      <w:r w:rsidRPr="001B0740">
        <w:t xml:space="preserve"> and projected</w:t>
      </w:r>
      <w:r>
        <w:t xml:space="preserve"> (</w:t>
      </w:r>
      <w:r w:rsidR="00E36919">
        <w:t>537</w:t>
      </w:r>
      <w:r>
        <w:t>)</w:t>
      </w:r>
      <w:r w:rsidRPr="001B0740">
        <w:t xml:space="preserve"> need for about </w:t>
      </w:r>
      <w:r w:rsidR="00E36919">
        <w:t>836</w:t>
      </w:r>
      <w:r w:rsidR="00E36919" w:rsidRPr="001B0740">
        <w:t xml:space="preserve"> </w:t>
      </w:r>
      <w:r w:rsidRPr="001B0740">
        <w:t xml:space="preserve">wheelchair user dwellings to 2040 across Cambridge. This equates to </w:t>
      </w:r>
      <w:r w:rsidR="00E36919">
        <w:t>6.40</w:t>
      </w:r>
      <w:r w:rsidRPr="001B0740">
        <w:t xml:space="preserve">% of the total Local Housing Need. </w:t>
      </w:r>
    </w:p>
    <w:p w14:paraId="3276865C" w14:textId="77777777" w:rsidR="00353C82" w:rsidRPr="00C03AC3" w:rsidRDefault="00353C82" w:rsidP="007D0FBF">
      <w:pPr>
        <w:pStyle w:val="11Bodytext"/>
      </w:pPr>
      <w:r w:rsidRPr="00C03AC3">
        <w:t xml:space="preserve">Where viability permits, the Council should seek to deliver 100% of new homes as M4(2) compliant and at least </w:t>
      </w:r>
      <w:r>
        <w:t>10</w:t>
      </w:r>
      <w:r w:rsidRPr="00C03AC3">
        <w:t xml:space="preserve">% of new market homes and </w:t>
      </w:r>
      <w:r>
        <w:t>25</w:t>
      </w:r>
      <w:r w:rsidRPr="00C03AC3">
        <w:t xml:space="preserve">% of new affordable homes as being M4(3) compliant to meet the identified need. </w:t>
      </w:r>
    </w:p>
    <w:p w14:paraId="62748710" w14:textId="14CE8025" w:rsidR="00C71E60" w:rsidRPr="00E079F9" w:rsidRDefault="00C71E60" w:rsidP="00D25D86">
      <w:pPr>
        <w:pStyle w:val="Heading3"/>
      </w:pPr>
      <w:r w:rsidRPr="001B0740">
        <w:t xml:space="preserve">Students </w:t>
      </w:r>
    </w:p>
    <w:p w14:paraId="32B05C80" w14:textId="326127DA" w:rsidR="006937D3" w:rsidRDefault="006937D3" w:rsidP="007D0FBF">
      <w:pPr>
        <w:pStyle w:val="11Bodytext"/>
      </w:pPr>
      <w:r w:rsidRPr="00A041A7">
        <w:t xml:space="preserve">The Greater Cambridge authorities should plan to deliver a level of </w:t>
      </w:r>
      <w:r w:rsidR="00395A51">
        <w:t>purpose built student accommodation</w:t>
      </w:r>
      <w:r w:rsidR="00395A51" w:rsidRPr="00A041A7">
        <w:t xml:space="preserve"> </w:t>
      </w:r>
      <w:r w:rsidRPr="00A041A7">
        <w:t xml:space="preserve">which is at least in line with the growth of the Universities </w:t>
      </w:r>
      <w:r w:rsidRPr="00A041A7">
        <w:lastRenderedPageBreak/>
        <w:t xml:space="preserve">student body (3,571 bedspaces by 2040).  </w:t>
      </w:r>
      <w:r w:rsidR="00395A51">
        <w:t>They</w:t>
      </w:r>
      <w:r w:rsidRPr="00A041A7">
        <w:t xml:space="preserve"> should also encourage further delivery (up to 6,085 bed spaces) to encourage the release of shared housing back into the wider housing stock.</w:t>
      </w:r>
    </w:p>
    <w:p w14:paraId="32D95791" w14:textId="77777777" w:rsidR="006937D3" w:rsidRPr="008677E9" w:rsidRDefault="006937D3" w:rsidP="007D0FBF">
      <w:pPr>
        <w:pStyle w:val="11Bodytext"/>
      </w:pPr>
      <w:r w:rsidRPr="008677E9">
        <w:t>Any development being proposed which relates to purpose build student accommodation should be judged on its merits alongside an assessment of local demand.</w:t>
      </w:r>
      <w:r>
        <w:t xml:space="preserve"> </w:t>
      </w:r>
      <w:r w:rsidRPr="008677E9">
        <w:t>The developer should also demonstrate an agreement with a higher education provider.</w:t>
      </w:r>
    </w:p>
    <w:p w14:paraId="188D5902" w14:textId="77777777" w:rsidR="00C71E60" w:rsidRPr="001B0740" w:rsidRDefault="00C71E60" w:rsidP="00D25D86">
      <w:pPr>
        <w:pStyle w:val="Heading3"/>
      </w:pPr>
      <w:r w:rsidRPr="001B0740">
        <w:t>People who rent their homes</w:t>
      </w:r>
    </w:p>
    <w:p w14:paraId="1C0E9DAA" w14:textId="021DA59D" w:rsidR="00C71E60" w:rsidRPr="001B0740" w:rsidRDefault="00C71E60" w:rsidP="007D0FBF">
      <w:pPr>
        <w:pStyle w:val="11Bodytext"/>
      </w:pPr>
      <w:r w:rsidRPr="001B0740">
        <w:t xml:space="preserve">Demand for Private Rented Sector (PRS) housing increased by 68% in Cambridge over the 2001 to 2011 period. Also, the tenure is likely to provide a route to affordable housing given that the number of households in PRS claiming Housing Benefit in Cambridge is 333 in 2019. </w:t>
      </w:r>
    </w:p>
    <w:p w14:paraId="16EA8EA3" w14:textId="45B5CDE4" w:rsidR="00C71E60" w:rsidRPr="001B0740" w:rsidRDefault="00C71E60" w:rsidP="007D0FBF">
      <w:pPr>
        <w:pStyle w:val="11Bodytext"/>
      </w:pPr>
      <w:r w:rsidRPr="001B0740">
        <w:t>Notwithstanding</w:t>
      </w:r>
      <w:r w:rsidR="007564EC">
        <w:t xml:space="preserve"> this</w:t>
      </w:r>
      <w:r w:rsidRPr="001B0740">
        <w:t xml:space="preserve">, this study does not place a specific estimate on the demand for PRS in Cambridge. This is because decisions on the part of individual households to buy or rent a home in the open market is dependent on several factors which means that demand can fluctuate over time (for example the availability of government schemes such as Help to Buy). </w:t>
      </w:r>
    </w:p>
    <w:p w14:paraId="152438D2" w14:textId="2018C24E" w:rsidR="00C71E60" w:rsidRPr="001B0740" w:rsidRDefault="00C71E60" w:rsidP="007D0FBF">
      <w:pPr>
        <w:pStyle w:val="11Bodytext"/>
      </w:pPr>
      <w:r>
        <w:t xml:space="preserve">Institutional </w:t>
      </w:r>
      <w:r w:rsidRPr="001B0740">
        <w:t xml:space="preserve">Build to Rent </w:t>
      </w:r>
      <w:r>
        <w:t xml:space="preserve">investment and </w:t>
      </w:r>
      <w:r w:rsidRPr="001B0740">
        <w:t xml:space="preserve">development </w:t>
      </w:r>
      <w:r>
        <w:t xml:space="preserve">has thus far been typically focused in larger urban areas. Therefore, it is likely that </w:t>
      </w:r>
      <w:r w:rsidRPr="001B0740">
        <w:t xml:space="preserve">Cambridge </w:t>
      </w:r>
      <w:r>
        <w:t>will be the focus of such development within the HMA. Where build to rent is being proposed on a site, the policy position should be supportive, subject to the location and characteristics of the site in question and the proportion of units for affordable private rent being provided (seeking a minimum of 20%).</w:t>
      </w:r>
    </w:p>
    <w:p w14:paraId="29A49141" w14:textId="10815F45" w:rsidR="00C71E60" w:rsidRPr="001B0740" w:rsidRDefault="00C71E60" w:rsidP="00D25D86">
      <w:pPr>
        <w:pStyle w:val="Heading3"/>
      </w:pPr>
      <w:r w:rsidRPr="001B0740">
        <w:t xml:space="preserve">Self-build and custom-build housing </w:t>
      </w:r>
    </w:p>
    <w:p w14:paraId="29653099" w14:textId="77777777" w:rsidR="00C71E60" w:rsidRPr="001B0740" w:rsidRDefault="00C71E60" w:rsidP="00C71E60">
      <w:pPr>
        <w:keepNext/>
        <w:jc w:val="both"/>
        <w:rPr>
          <w:color w:val="FF0000"/>
        </w:rPr>
      </w:pPr>
    </w:p>
    <w:p w14:paraId="2A062A16" w14:textId="77777777" w:rsidR="00C71E60" w:rsidRPr="001B0740" w:rsidRDefault="00C71E60" w:rsidP="007D0FBF">
      <w:pPr>
        <w:pStyle w:val="11Bodytext"/>
      </w:pPr>
      <w:r>
        <w:t xml:space="preserve">The Council is required to permit plots for new custom and self-build homes for every new entry on to its custom and self-build register within three years of the end of each base period.  An indication of the scale of this need is taken from the current register and suggests that the </w:t>
      </w:r>
      <w:r w:rsidRPr="001B0740">
        <w:t>Greater Cambridgeshire</w:t>
      </w:r>
      <w:r>
        <w:t xml:space="preserve"> authorities</w:t>
      </w:r>
      <w:r w:rsidRPr="001B0740">
        <w:t xml:space="preserve"> (the </w:t>
      </w:r>
      <w:r>
        <w:t>C</w:t>
      </w:r>
      <w:r w:rsidRPr="001B0740">
        <w:t xml:space="preserve">ity of Cambridge and </w:t>
      </w:r>
      <w:r w:rsidRPr="001B0740">
        <w:lastRenderedPageBreak/>
        <w:t>South Cambridgeshire)</w:t>
      </w:r>
      <w:r>
        <w:t xml:space="preserve"> should permit</w:t>
      </w:r>
      <w:r w:rsidRPr="001B0740">
        <w:t xml:space="preserve"> </w:t>
      </w:r>
      <w:r>
        <w:t>147</w:t>
      </w:r>
      <w:r w:rsidRPr="001B0740">
        <w:t xml:space="preserve"> self-build plots annually</w:t>
      </w:r>
      <w:r>
        <w:t xml:space="preserve">. </w:t>
      </w:r>
      <w:r w:rsidRPr="001B0740">
        <w:t xml:space="preserve"> </w:t>
      </w:r>
      <w:r>
        <w:t>Although an alternative assessment has put this figure at up to 124 plots per annum of which 46 would be in Cambridge.</w:t>
      </w:r>
    </w:p>
    <w:p w14:paraId="498952ED" w14:textId="77777777" w:rsidR="00C71E60" w:rsidRPr="001B0740" w:rsidRDefault="00C71E60" w:rsidP="00C71E60">
      <w:pPr>
        <w:ind w:firstLine="426"/>
        <w:rPr>
          <w:b/>
          <w:bCs/>
          <w:color w:val="auto"/>
        </w:rPr>
      </w:pPr>
    </w:p>
    <w:p w14:paraId="343F2C22" w14:textId="77777777" w:rsidR="00C71E60" w:rsidRPr="001B0740" w:rsidRDefault="00C71E60" w:rsidP="00D25D86">
      <w:pPr>
        <w:pStyle w:val="Heading3"/>
      </w:pPr>
      <w:r w:rsidRPr="001B0740">
        <w:t>Service Families</w:t>
      </w:r>
    </w:p>
    <w:p w14:paraId="175E4231" w14:textId="7BFE8395" w:rsidR="00C71E60" w:rsidRPr="00A70705" w:rsidRDefault="00C71E60" w:rsidP="007D0FBF">
      <w:pPr>
        <w:pStyle w:val="11Bodytext"/>
      </w:pPr>
      <w:r w:rsidRPr="00A70705">
        <w:t xml:space="preserve">There </w:t>
      </w:r>
      <w:r w:rsidR="00B447C2">
        <w:t>is</w:t>
      </w:r>
      <w:r w:rsidR="00B447C2" w:rsidRPr="00A70705">
        <w:t xml:space="preserve"> </w:t>
      </w:r>
      <w:r w:rsidRPr="00A70705">
        <w:t xml:space="preserve">an identified demand for </w:t>
      </w:r>
      <w:r w:rsidR="00B945E7" w:rsidRPr="00A70705">
        <w:t>1- and 2-bedroom</w:t>
      </w:r>
      <w:r w:rsidRPr="00A70705">
        <w:t xml:space="preserve"> rental accommodation for military service personnel.  The majority of the demand will be located in close proximity to the base </w:t>
      </w:r>
      <w:proofErr w:type="gramStart"/>
      <w:r w:rsidRPr="00A70705">
        <w:t>i.e.</w:t>
      </w:r>
      <w:proofErr w:type="gramEnd"/>
      <w:r w:rsidRPr="00A70705">
        <w:t xml:space="preserve"> Huntingdonshire and West Suffolk.  Although younger personnel also favour urban areas such as Cambridge.</w:t>
      </w:r>
      <w:r>
        <w:t xml:space="preserve">  While this should not result in a need for a specific policy for military accommodation such developments should be supported as long as </w:t>
      </w:r>
      <w:r w:rsidR="007A6D6E">
        <w:t xml:space="preserve">they </w:t>
      </w:r>
      <w:r>
        <w:t>can demonstrate a local demand and have approval from the MOD to deliver such housing.</w:t>
      </w:r>
    </w:p>
    <w:p w14:paraId="1A27762C" w14:textId="77777777" w:rsidR="00C71E60" w:rsidRPr="001B0740" w:rsidRDefault="00C71E60" w:rsidP="00D25D86">
      <w:pPr>
        <w:pStyle w:val="Heading2"/>
      </w:pPr>
      <w:r w:rsidRPr="001B0740">
        <w:t>East Cambridgeshire</w:t>
      </w:r>
    </w:p>
    <w:p w14:paraId="76ED3AD7" w14:textId="77777777" w:rsidR="00C71E60" w:rsidRPr="001B0740" w:rsidRDefault="00C71E60" w:rsidP="00C71E60">
      <w:pPr>
        <w:ind w:firstLine="426"/>
        <w:rPr>
          <w:color w:val="0093D5"/>
        </w:rPr>
      </w:pPr>
    </w:p>
    <w:p w14:paraId="05F7478A" w14:textId="77777777" w:rsidR="00C71E60" w:rsidRPr="001B0740" w:rsidRDefault="00C71E60" w:rsidP="00D25D86">
      <w:pPr>
        <w:pStyle w:val="Heading3"/>
        <w:rPr>
          <w:color w:val="0093D5"/>
        </w:rPr>
      </w:pPr>
      <w:r w:rsidRPr="001B0740">
        <w:t>Demographic Baseline</w:t>
      </w:r>
    </w:p>
    <w:p w14:paraId="7BB1A392" w14:textId="28C2453B" w:rsidR="00C71E60" w:rsidRPr="001B0740" w:rsidRDefault="00C71E60" w:rsidP="007D0FBF">
      <w:pPr>
        <w:pStyle w:val="11Bodytext"/>
      </w:pPr>
      <w:r w:rsidRPr="001B0740">
        <w:t xml:space="preserve">The total population of East Cambridgeshire is 89,800 persons as of mid-2019. Since 1991 the population has grown by </w:t>
      </w:r>
      <w:r w:rsidRPr="001B0740">
        <w:rPr>
          <w:rFonts w:eastAsia="Times New Roman"/>
          <w:color w:val="000000"/>
          <w:lang w:eastAsia="en-GB"/>
        </w:rPr>
        <w:t>47%</w:t>
      </w:r>
      <w:r w:rsidRPr="001B0740">
        <w:t xml:space="preserve"> with an average annual growth rate of </w:t>
      </w:r>
      <w:r w:rsidRPr="001B0740">
        <w:rPr>
          <w:rFonts w:eastAsia="Times New Roman"/>
          <w:color w:val="000000"/>
          <w:lang w:eastAsia="en-GB"/>
        </w:rPr>
        <w:t>1.4</w:t>
      </w:r>
      <w:r w:rsidRPr="001B0740">
        <w:t xml:space="preserve">%. There is a total of 38,258 dwellings across East Cambridgeshire as </w:t>
      </w:r>
      <w:proofErr w:type="gramStart"/>
      <w:r w:rsidRPr="001B0740">
        <w:t>at</w:t>
      </w:r>
      <w:proofErr w:type="gramEnd"/>
      <w:r w:rsidRPr="001B0740">
        <w:t xml:space="preserve"> 31</w:t>
      </w:r>
      <w:r w:rsidRPr="001B0740">
        <w:rPr>
          <w:vertAlign w:val="superscript"/>
        </w:rPr>
        <w:t>st</w:t>
      </w:r>
      <w:r w:rsidRPr="001B0740">
        <w:t xml:space="preserve"> March 2020. Between 2001 and 2008 population growth was driven by </w:t>
      </w:r>
      <w:r w:rsidR="00DA79CA">
        <w:t>i</w:t>
      </w:r>
      <w:r w:rsidR="00DA79CA" w:rsidRPr="001B0740">
        <w:t xml:space="preserve">nternal </w:t>
      </w:r>
      <w:r w:rsidRPr="001B0740">
        <w:t>migration.  Since 2008 most components of change have been consistently positive.</w:t>
      </w:r>
    </w:p>
    <w:p w14:paraId="68DD01B0" w14:textId="78649BDF" w:rsidR="00C71E60" w:rsidRPr="001B0740" w:rsidRDefault="00C71E60" w:rsidP="007D0FBF">
      <w:pPr>
        <w:pStyle w:val="11Bodytext"/>
      </w:pPr>
      <w:r w:rsidRPr="001B0740">
        <w:t>In comparison to the other HMA authorities</w:t>
      </w:r>
      <w:r w:rsidR="008065C4">
        <w:t>,</w:t>
      </w:r>
      <w:r w:rsidRPr="001B0740">
        <w:t xml:space="preserve"> East Cambridgeshire has a relatively higher proportion of </w:t>
      </w:r>
      <w:r w:rsidR="008065C4" w:rsidRPr="001B0740">
        <w:t>school</w:t>
      </w:r>
      <w:r w:rsidR="008065C4">
        <w:t>-</w:t>
      </w:r>
      <w:r w:rsidRPr="001B0740">
        <w:t>aged people aged 5-14 years old and linked to this those aged 35 and over.  Conversely</w:t>
      </w:r>
      <w:r w:rsidR="008065C4">
        <w:t>,</w:t>
      </w:r>
      <w:r w:rsidRPr="001B0740">
        <w:t xml:space="preserve"> it has a relatively lower proportion of people in every age cohort between 20 and 34 years old. </w:t>
      </w:r>
    </w:p>
    <w:p w14:paraId="09CF9A35" w14:textId="77777777" w:rsidR="00C71E60" w:rsidRPr="001B0740" w:rsidRDefault="00C71E60" w:rsidP="00D25D86">
      <w:pPr>
        <w:pStyle w:val="Heading3"/>
      </w:pPr>
      <w:r w:rsidRPr="001B0740">
        <w:t xml:space="preserve">Market Signals </w:t>
      </w:r>
    </w:p>
    <w:p w14:paraId="76BB2E7C" w14:textId="7955AC85" w:rsidR="00C71E60" w:rsidRPr="001B0740" w:rsidRDefault="00C71E60" w:rsidP="007D0FBF">
      <w:pPr>
        <w:pStyle w:val="11Bodytext"/>
      </w:pPr>
      <w:r w:rsidRPr="001B0740">
        <w:t xml:space="preserve">The median house price in East Cambridgeshire is </w:t>
      </w:r>
      <w:r w:rsidRPr="001B0740">
        <w:rPr>
          <w:color w:val="000000"/>
        </w:rPr>
        <w:t xml:space="preserve">£290,998. </w:t>
      </w:r>
      <w:r w:rsidRPr="001B0740">
        <w:t xml:space="preserve">This is 27% above the national average and 3% </w:t>
      </w:r>
      <w:r>
        <w:t>above</w:t>
      </w:r>
      <w:r w:rsidRPr="001B0740">
        <w:t xml:space="preserve"> the regional average. Over the last 10 years, East Cambridgeshire has seen an increase in median house prices of 55.4% compared to 27.6% nationally, and 42.5% regionally.</w:t>
      </w:r>
    </w:p>
    <w:p w14:paraId="61AEC72A" w14:textId="1FA8D423" w:rsidR="00C71E60" w:rsidRPr="00E079F9" w:rsidRDefault="00C71E60" w:rsidP="007D0FBF">
      <w:pPr>
        <w:pStyle w:val="11Bodytext"/>
      </w:pPr>
      <w:r w:rsidRPr="001B0740">
        <w:lastRenderedPageBreak/>
        <w:t xml:space="preserve">Median rental prices within the private rented sector across East Cambridgeshire are £795 </w:t>
      </w:r>
      <w:r w:rsidR="00E91FCD">
        <w:t>per calendar month</w:t>
      </w:r>
      <w:r w:rsidRPr="001B0740">
        <w:t xml:space="preserve">. This is above the national equivalents of £695 and the same as the regional equivalent of £795. East Cambridgeshire has a median </w:t>
      </w:r>
      <w:r w:rsidR="008065C4" w:rsidRPr="001B0740">
        <w:t>workplace</w:t>
      </w:r>
      <w:r w:rsidR="008065C4">
        <w:t>-</w:t>
      </w:r>
      <w:r w:rsidRPr="001B0740">
        <w:t xml:space="preserve">based affordability ratio of </w:t>
      </w:r>
      <w:r w:rsidRPr="001B0740">
        <w:rPr>
          <w:rFonts w:eastAsia="Times New Roman"/>
          <w:color w:val="000000"/>
          <w:lang w:eastAsia="en-GB"/>
        </w:rPr>
        <w:t>10.24</w:t>
      </w:r>
      <w:r w:rsidRPr="001B0740">
        <w:t xml:space="preserve"> compared to </w:t>
      </w:r>
      <w:r w:rsidRPr="001B0740">
        <w:rPr>
          <w:rFonts w:eastAsia="Times New Roman"/>
          <w:color w:val="000000"/>
          <w:lang w:eastAsia="en-GB"/>
        </w:rPr>
        <w:t>9.47</w:t>
      </w:r>
      <w:r w:rsidRPr="001B0740">
        <w:t xml:space="preserve"> for the East of England and </w:t>
      </w:r>
      <w:r w:rsidRPr="001B0740">
        <w:rPr>
          <w:rFonts w:eastAsia="Times New Roman"/>
          <w:color w:val="000000"/>
          <w:lang w:eastAsia="en-GB"/>
        </w:rPr>
        <w:t xml:space="preserve">7.83 </w:t>
      </w:r>
      <w:r w:rsidRPr="001B0740">
        <w:t>nationally.</w:t>
      </w:r>
    </w:p>
    <w:p w14:paraId="001AB90E" w14:textId="2D2C6DAA" w:rsidR="00C71E60" w:rsidRPr="001B0740" w:rsidRDefault="00C71E60" w:rsidP="007D0FBF">
      <w:pPr>
        <w:pStyle w:val="11Bodytext"/>
      </w:pPr>
      <w:r w:rsidRPr="001B0740">
        <w:t xml:space="preserve">Between 2001 and 2011 East Cambridgeshire saw the proportion of residents living in over-occupied properties increase by </w:t>
      </w:r>
      <w:r w:rsidRPr="001B0740">
        <w:rPr>
          <w:rFonts w:eastAsia="Times New Roman"/>
          <w:color w:val="000000"/>
          <w:lang w:eastAsia="en-GB"/>
        </w:rPr>
        <w:t>20.7</w:t>
      </w:r>
      <w:r w:rsidRPr="001B0740">
        <w:t xml:space="preserve">%. This </w:t>
      </w:r>
      <w:r>
        <w:t>is a smaller increase than</w:t>
      </w:r>
      <w:r w:rsidRPr="001B0740">
        <w:t xml:space="preserve"> the national (32.3%) and regional (35.6%) equivalents. </w:t>
      </w:r>
    </w:p>
    <w:p w14:paraId="1C3A01F0" w14:textId="77777777" w:rsidR="00C71E60" w:rsidRPr="001B0740" w:rsidRDefault="00C71E60" w:rsidP="00D25D86">
      <w:pPr>
        <w:pStyle w:val="Heading3"/>
      </w:pPr>
      <w:r w:rsidRPr="001B0740">
        <w:t>Local Housing Need</w:t>
      </w:r>
    </w:p>
    <w:p w14:paraId="50DD3BBF" w14:textId="3468DA2C" w:rsidR="00C71E60" w:rsidRPr="001B0740" w:rsidRDefault="00C71E60" w:rsidP="007D0FBF">
      <w:pPr>
        <w:pStyle w:val="11Bodytext"/>
      </w:pPr>
      <w:r w:rsidRPr="001B0740">
        <w:t>Step 1 of the standard method currently draws on the 2014-based household projections which set out a household growth of 429 per annum over the period 2020-2030 across East Cambridgeshire.</w:t>
      </w:r>
    </w:p>
    <w:p w14:paraId="77E0506E" w14:textId="061DF4F1" w:rsidR="00C71E60" w:rsidRPr="001B0740" w:rsidRDefault="00C71E60" w:rsidP="007D0FBF">
      <w:pPr>
        <w:pStyle w:val="11Bodytext"/>
      </w:pPr>
      <w:r w:rsidRPr="001B0740">
        <w:t>Step 2 of the standard method increases the Housing Need based on local affordability. The affordability ratios</w:t>
      </w:r>
      <w:r w:rsidR="00B447C2">
        <w:t xml:space="preserve"> of East Cambridge </w:t>
      </w:r>
      <w:proofErr w:type="gramStart"/>
      <w:r w:rsidR="00B447C2">
        <w:t>is</w:t>
      </w:r>
      <w:proofErr w:type="gramEnd"/>
      <w:r w:rsidR="00B447C2">
        <w:t xml:space="preserve"> </w:t>
      </w:r>
      <w:r w:rsidR="001D2647">
        <w:t>10.2</w:t>
      </w:r>
      <w:r w:rsidRPr="001B0740">
        <w:t xml:space="preserve"> (</w:t>
      </w:r>
      <w:r w:rsidR="006770D5" w:rsidRPr="001B0740">
        <w:t>2019)</w:t>
      </w:r>
      <w:r w:rsidR="001D2647">
        <w:t>.</w:t>
      </w:r>
      <w:r w:rsidRPr="001B0740">
        <w:t xml:space="preserve"> Using the prescribed formula, the local affordability ratio results in </w:t>
      </w:r>
      <w:r w:rsidR="00095B35">
        <w:t xml:space="preserve">an </w:t>
      </w:r>
      <w:r w:rsidRPr="001B0740">
        <w:t xml:space="preserve">uplift of 39%. This increases the need by 167 to 597 dwellings per </w:t>
      </w:r>
      <w:r w:rsidR="00095B35">
        <w:t>annum</w:t>
      </w:r>
      <w:r w:rsidR="00095B35" w:rsidRPr="001B0740">
        <w:t xml:space="preserve"> </w:t>
      </w:r>
      <w:r w:rsidRPr="001B0740">
        <w:t>(</w:t>
      </w:r>
      <w:proofErr w:type="spellStart"/>
      <w:r w:rsidRPr="001B0740">
        <w:t>dpa</w:t>
      </w:r>
      <w:proofErr w:type="spellEnd"/>
      <w:r w:rsidRPr="001B0740">
        <w:t xml:space="preserve">). </w:t>
      </w:r>
    </w:p>
    <w:p w14:paraId="3DBC4BE3" w14:textId="623DD0E5" w:rsidR="00C71E60" w:rsidRPr="001B0740" w:rsidRDefault="00C71E60" w:rsidP="007D0FBF">
      <w:pPr>
        <w:pStyle w:val="11Bodytext"/>
      </w:pPr>
      <w:r w:rsidRPr="001B0740">
        <w:t xml:space="preserve">To ensure deliverability Step 3 of the standard method caps the uplifts in Step 2. This is effectively not applied in East Cambridgeshire due to the age of the Local Plan and the target set out </w:t>
      </w:r>
      <w:r w:rsidR="001D2647">
        <w:t>therein</w:t>
      </w:r>
      <w:r w:rsidRPr="001B0740">
        <w:t xml:space="preserve">. </w:t>
      </w:r>
    </w:p>
    <w:p w14:paraId="60745494" w14:textId="15E2F2D7" w:rsidR="00C71E60" w:rsidRPr="001B0740" w:rsidRDefault="00C71E60" w:rsidP="007D0FBF">
      <w:pPr>
        <w:pStyle w:val="11Bodytext"/>
      </w:pPr>
      <w:r w:rsidRPr="001B0740">
        <w:t xml:space="preserve">Based on the standard method East Cambridgeshire’s housing need is 597 dwellings per annum. Although calculated over the 2020-2030 period it can be applied across the plan period and responds to historic under-delivery. </w:t>
      </w:r>
    </w:p>
    <w:p w14:paraId="69DD8934" w14:textId="4F346991" w:rsidR="00C71E60" w:rsidRPr="001B0740" w:rsidRDefault="00C71E60" w:rsidP="007D0FBF">
      <w:pPr>
        <w:pStyle w:val="11Bodytext"/>
      </w:pPr>
      <w:r w:rsidRPr="001B0740">
        <w:t xml:space="preserve">A scenario has been modelled whereby household formation rates are improved and population growth increased to fill these homes. This sees an additional 24,442 people in East Cambridgeshire over the period 2020-2040. </w:t>
      </w:r>
    </w:p>
    <w:p w14:paraId="6BB05C12" w14:textId="77777777" w:rsidR="00C71E60" w:rsidRPr="001B0740" w:rsidRDefault="00C71E60" w:rsidP="00D25D86">
      <w:pPr>
        <w:pStyle w:val="Heading3"/>
      </w:pPr>
      <w:r w:rsidRPr="001B0740">
        <w:lastRenderedPageBreak/>
        <w:t>Affordable Housing Need</w:t>
      </w:r>
    </w:p>
    <w:p w14:paraId="31D6F442" w14:textId="65ECE1B9" w:rsidR="00C71E60" w:rsidRPr="001B0740" w:rsidRDefault="00C71E60" w:rsidP="007D0FBF">
      <w:pPr>
        <w:pStyle w:val="11Bodytext"/>
      </w:pPr>
      <w:r w:rsidRPr="001B0740">
        <w:t>The analysis shows that 215 households per annum will require affordable housing to rent between 2020 and 2040. This equates to around 36% of the overall need although such a calculation should be treated with caution as it contains an element of double counting</w:t>
      </w:r>
      <w:r>
        <w:t xml:space="preserve"> </w:t>
      </w:r>
      <w:proofErr w:type="gramStart"/>
      <w:r>
        <w:t>i.e.</w:t>
      </w:r>
      <w:proofErr w:type="gramEnd"/>
      <w:r>
        <w:t xml:space="preserve"> both include newly forming households</w:t>
      </w:r>
      <w:r w:rsidR="00E079F9">
        <w:t>.</w:t>
      </w:r>
    </w:p>
    <w:p w14:paraId="2FA90028" w14:textId="41870308" w:rsidR="00C71E60" w:rsidRPr="00E428B4" w:rsidRDefault="00C71E60" w:rsidP="007D0FBF">
      <w:pPr>
        <w:pStyle w:val="11Bodytext"/>
      </w:pPr>
      <w:r w:rsidRPr="00E428B4">
        <w:t xml:space="preserve">Based purely on affordability around 75% should be social rent and 25% affordable rent. </w:t>
      </w:r>
      <w:r>
        <w:t>I</w:t>
      </w:r>
      <w:r w:rsidRPr="00AF654D">
        <w:t>t is not recommended that the Councils have a rigid policy for the split between social and affordable rent housing</w:t>
      </w:r>
      <w:r>
        <w:t xml:space="preserve"> on this basis alone. T</w:t>
      </w:r>
      <w:r w:rsidRPr="00AF654D">
        <w:t>he analysis is clear that both tenures of homes are likely to be required in all areas</w:t>
      </w:r>
      <w:r>
        <w:t>, this should be brought together with other considerations outlined above, should the Council wish to implement a Local Plan policy.</w:t>
      </w:r>
    </w:p>
    <w:p w14:paraId="00A345CA" w14:textId="72873ACF" w:rsidR="00C71E60" w:rsidRPr="001B0740" w:rsidRDefault="00C71E60" w:rsidP="007D0FBF">
      <w:pPr>
        <w:pStyle w:val="11Bodytext"/>
      </w:pPr>
      <w:r w:rsidRPr="001B0740">
        <w:t xml:space="preserve">There is a requirement in the NPPF for at least 10% of all new homes on </w:t>
      </w:r>
      <w:r w:rsidR="001D2647">
        <w:t>major</w:t>
      </w:r>
      <w:r w:rsidR="001D2647" w:rsidRPr="001B0740">
        <w:t xml:space="preserve"> </w:t>
      </w:r>
      <w:r w:rsidRPr="001B0740">
        <w:t xml:space="preserve">sites to be affordable home ownership properties unless it would significantly prejudice the ability to meet the identified affordable housing needs of specific groups. Given the relative scale of </w:t>
      </w:r>
      <w:r>
        <w:t xml:space="preserve">need for </w:t>
      </w:r>
      <w:r w:rsidRPr="001B0740">
        <w:t>affordable housing to rent</w:t>
      </w:r>
      <w:r>
        <w:t xml:space="preserve"> (215 per annum)</w:t>
      </w:r>
      <w:r w:rsidRPr="001B0740">
        <w:t xml:space="preserve"> compared to affordable home ownership </w:t>
      </w:r>
      <w:r>
        <w:t>(39 per annum)</w:t>
      </w:r>
      <w:r w:rsidR="00746CDB">
        <w:t>, i</w:t>
      </w:r>
      <w:r w:rsidRPr="001B0740">
        <w:t xml:space="preserve">t seems reasonable to suggest that East Cambridgeshire could consider seeking no more than 10% of all housing (on </w:t>
      </w:r>
      <w:r w:rsidR="001D2647">
        <w:t>major</w:t>
      </w:r>
      <w:r w:rsidR="001D2647" w:rsidRPr="001B0740">
        <w:t xml:space="preserve"> </w:t>
      </w:r>
      <w:r w:rsidRPr="001B0740">
        <w:t xml:space="preserve">sites) to be affordable home ownership (as set out in the NPPF) unless this would prejudice meeting the needs of other groups. </w:t>
      </w:r>
    </w:p>
    <w:p w14:paraId="60152A96" w14:textId="31E8718E" w:rsidR="00C71E60" w:rsidRPr="001B0740" w:rsidRDefault="00C71E60" w:rsidP="007D0FBF">
      <w:pPr>
        <w:pStyle w:val="11Bodytext"/>
      </w:pPr>
      <w:r>
        <w:t>Given that affordable housing delivery will be curtailed by viability it will u</w:t>
      </w:r>
      <w:r w:rsidRPr="001A4A72">
        <w:t xml:space="preserve">ltimately </w:t>
      </w:r>
      <w:r>
        <w:t>be a</w:t>
      </w:r>
      <w:r w:rsidRPr="001A4A72">
        <w:t xml:space="preserve"> choice</w:t>
      </w:r>
      <w:r>
        <w:t xml:space="preserve"> for the Council to make</w:t>
      </w:r>
      <w:r w:rsidRPr="001A4A72">
        <w:t xml:space="preserve"> </w:t>
      </w:r>
      <w:r>
        <w:t xml:space="preserve">in relation to the split between social and affordable rent and affordable home ownership products.   In making this choice </w:t>
      </w:r>
      <w:r w:rsidRPr="001A4A72">
        <w:t>they</w:t>
      </w:r>
      <w:r>
        <w:t xml:space="preserve"> should</w:t>
      </w:r>
      <w:r w:rsidRPr="001A4A72">
        <w:t xml:space="preserve"> consider a wide range of factors including </w:t>
      </w:r>
      <w:r w:rsidR="008065C4">
        <w:t xml:space="preserve">the </w:t>
      </w:r>
      <w:r w:rsidRPr="001A4A72">
        <w:t xml:space="preserve">local priority (dealing with </w:t>
      </w:r>
      <w:r w:rsidR="008065C4">
        <w:t xml:space="preserve">the </w:t>
      </w:r>
      <w:r w:rsidRPr="001A4A72">
        <w:t>acute need or promoting home-ownership) and the viability of different products.</w:t>
      </w:r>
    </w:p>
    <w:p w14:paraId="270F94B9" w14:textId="4FE4D173" w:rsidR="00C71E60" w:rsidRPr="0083164E" w:rsidRDefault="00C71E60" w:rsidP="007D0FBF">
      <w:pPr>
        <w:pStyle w:val="11Bodytext"/>
      </w:pPr>
      <w:r w:rsidRPr="0083164E">
        <w:t>If the Council do</w:t>
      </w:r>
      <w:r>
        <w:t>es</w:t>
      </w:r>
      <w:r w:rsidRPr="0083164E">
        <w:t xml:space="preserve"> seek to provide 10% of housing as affordable home </w:t>
      </w:r>
      <w:r w:rsidR="00B945E7" w:rsidRPr="0083164E">
        <w:t>ownership,</w:t>
      </w:r>
      <w:r w:rsidRPr="0083164E">
        <w:t xml:space="preserve"> then it is suggested that shared ownership is the most appropriate </w:t>
      </w:r>
      <w:r>
        <w:t>tenure</w:t>
      </w:r>
      <w:r w:rsidRPr="0083164E">
        <w:t>. This is due to the lower deposit requirements and lower overall costs (given that the rent would also be subsidised).</w:t>
      </w:r>
    </w:p>
    <w:p w14:paraId="128E0208" w14:textId="77777777" w:rsidR="00C71E60" w:rsidRPr="001B0740" w:rsidRDefault="00C71E60" w:rsidP="00216BEB">
      <w:pPr>
        <w:pStyle w:val="Heading3"/>
      </w:pPr>
      <w:r w:rsidRPr="001B0740">
        <w:lastRenderedPageBreak/>
        <w:t>Housing Mix</w:t>
      </w:r>
    </w:p>
    <w:p w14:paraId="6681FE8E" w14:textId="40675635" w:rsidR="00C71E60" w:rsidRPr="001B0740" w:rsidRDefault="00C71E60" w:rsidP="007D0FBF">
      <w:pPr>
        <w:pStyle w:val="11Bodytext"/>
      </w:pPr>
      <w:r w:rsidRPr="001B0740">
        <w:t xml:space="preserve">The following mix of homes size by tenure is suggested as a strategic mix for East Cambridgeshire </w:t>
      </w:r>
      <w:r>
        <w:t>for</w:t>
      </w:r>
      <w:r w:rsidRPr="001B0740">
        <w:t xml:space="preserve"> the 2020-2040 period.</w:t>
      </w:r>
    </w:p>
    <w:tbl>
      <w:tblPr>
        <w:tblStyle w:val="TableGridLight1"/>
        <w:tblW w:w="8643" w:type="dxa"/>
        <w:tblInd w:w="846" w:type="dxa"/>
        <w:tblLayout w:type="fixed"/>
        <w:tblLook w:val="04A0" w:firstRow="1" w:lastRow="0" w:firstColumn="1" w:lastColumn="0" w:noHBand="0" w:noVBand="1"/>
      </w:tblPr>
      <w:tblGrid>
        <w:gridCol w:w="1500"/>
        <w:gridCol w:w="2381"/>
        <w:gridCol w:w="2381"/>
        <w:gridCol w:w="2381"/>
      </w:tblGrid>
      <w:tr w:rsidR="00C4126C" w:rsidRPr="00C4126C" w14:paraId="624D7E08" w14:textId="77777777" w:rsidTr="004F4BA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023861A6" w14:textId="77777777" w:rsidR="00C71E60" w:rsidRPr="004F4BA7" w:rsidRDefault="00C71E60" w:rsidP="00C71E60">
            <w:pPr>
              <w:rPr>
                <w:color w:val="auto"/>
                <w:lang w:eastAsia="en-GB"/>
              </w:rPr>
            </w:pPr>
            <w:r w:rsidRPr="004F4BA7">
              <w:rPr>
                <w:color w:val="auto"/>
                <w:lang w:eastAsia="en-GB"/>
              </w:rPr>
              <w:t>Size</w:t>
            </w:r>
          </w:p>
        </w:tc>
        <w:tc>
          <w:tcPr>
            <w:tcW w:w="2381" w:type="dxa"/>
            <w:noWrap/>
            <w:hideMark/>
          </w:tcPr>
          <w:p w14:paraId="4806C158"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381" w:type="dxa"/>
            <w:noWrap/>
            <w:hideMark/>
          </w:tcPr>
          <w:p w14:paraId="463434F9"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381" w:type="dxa"/>
            <w:noWrap/>
            <w:hideMark/>
          </w:tcPr>
          <w:p w14:paraId="5BE1036E"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C4126C" w:rsidRPr="00C4126C" w14:paraId="472C1716"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500" w:type="dxa"/>
            <w:hideMark/>
          </w:tcPr>
          <w:p w14:paraId="51E8E866" w14:textId="77777777" w:rsidR="00C71E60" w:rsidRPr="004F4BA7" w:rsidRDefault="00C71E60" w:rsidP="00C71E60">
            <w:pPr>
              <w:rPr>
                <w:color w:val="auto"/>
                <w:lang w:eastAsia="en-GB"/>
              </w:rPr>
            </w:pPr>
            <w:r w:rsidRPr="004F4BA7">
              <w:rPr>
                <w:color w:val="auto"/>
                <w:lang w:eastAsia="en-GB"/>
              </w:rPr>
              <w:t>1-bedroom</w:t>
            </w:r>
          </w:p>
        </w:tc>
        <w:tc>
          <w:tcPr>
            <w:tcW w:w="2381" w:type="dxa"/>
            <w:hideMark/>
          </w:tcPr>
          <w:p w14:paraId="6F2875AE"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381" w:type="dxa"/>
            <w:hideMark/>
          </w:tcPr>
          <w:p w14:paraId="7E37923D"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c>
          <w:tcPr>
            <w:tcW w:w="2381" w:type="dxa"/>
            <w:hideMark/>
          </w:tcPr>
          <w:p w14:paraId="34F21C15"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r>
      <w:tr w:rsidR="00C4126C" w:rsidRPr="00C4126C" w14:paraId="49CFE8A1"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500" w:type="dxa"/>
            <w:hideMark/>
          </w:tcPr>
          <w:p w14:paraId="017E8F72" w14:textId="77777777" w:rsidR="00C71E60" w:rsidRPr="004F4BA7" w:rsidRDefault="00C71E60" w:rsidP="00C71E60">
            <w:pPr>
              <w:rPr>
                <w:color w:val="auto"/>
                <w:lang w:eastAsia="en-GB"/>
              </w:rPr>
            </w:pPr>
            <w:r w:rsidRPr="004F4BA7">
              <w:rPr>
                <w:color w:val="auto"/>
                <w:lang w:eastAsia="en-GB"/>
              </w:rPr>
              <w:t>2-bedrooms</w:t>
            </w:r>
          </w:p>
        </w:tc>
        <w:tc>
          <w:tcPr>
            <w:tcW w:w="2381" w:type="dxa"/>
            <w:hideMark/>
          </w:tcPr>
          <w:p w14:paraId="6F51C3D4"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381" w:type="dxa"/>
            <w:hideMark/>
          </w:tcPr>
          <w:p w14:paraId="2ED29DCB"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c>
          <w:tcPr>
            <w:tcW w:w="2381" w:type="dxa"/>
            <w:hideMark/>
          </w:tcPr>
          <w:p w14:paraId="60FC4AD6"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C4126C" w:rsidRPr="00C4126C" w14:paraId="763118AB"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500" w:type="dxa"/>
            <w:hideMark/>
          </w:tcPr>
          <w:p w14:paraId="481C501D" w14:textId="77777777" w:rsidR="00C71E60" w:rsidRPr="004F4BA7" w:rsidRDefault="00C71E60" w:rsidP="00C71E60">
            <w:pPr>
              <w:rPr>
                <w:color w:val="auto"/>
                <w:lang w:eastAsia="en-GB"/>
              </w:rPr>
            </w:pPr>
            <w:r w:rsidRPr="004F4BA7">
              <w:rPr>
                <w:color w:val="auto"/>
                <w:lang w:eastAsia="en-GB"/>
              </w:rPr>
              <w:t>3-bedrooms</w:t>
            </w:r>
          </w:p>
        </w:tc>
        <w:tc>
          <w:tcPr>
            <w:tcW w:w="2381" w:type="dxa"/>
            <w:hideMark/>
          </w:tcPr>
          <w:p w14:paraId="013A4A65"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381" w:type="dxa"/>
            <w:hideMark/>
          </w:tcPr>
          <w:p w14:paraId="3444C0B6"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381" w:type="dxa"/>
            <w:hideMark/>
          </w:tcPr>
          <w:p w14:paraId="4CA1CC8D"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r>
      <w:tr w:rsidR="00C4126C" w:rsidRPr="00C4126C" w14:paraId="311DB979" w14:textId="77777777" w:rsidTr="004F4BA7">
        <w:trPr>
          <w:trHeight w:val="315"/>
        </w:trPr>
        <w:tc>
          <w:tcPr>
            <w:cnfStyle w:val="001000000000" w:firstRow="0" w:lastRow="0" w:firstColumn="1" w:lastColumn="0" w:oddVBand="0" w:evenVBand="0" w:oddHBand="0" w:evenHBand="0" w:firstRowFirstColumn="0" w:firstRowLastColumn="0" w:lastRowFirstColumn="0" w:lastRowLastColumn="0"/>
            <w:tcW w:w="1500" w:type="dxa"/>
            <w:hideMark/>
          </w:tcPr>
          <w:p w14:paraId="548C5FBE" w14:textId="77777777" w:rsidR="00C71E60" w:rsidRPr="004F4BA7" w:rsidRDefault="00C71E60" w:rsidP="00C71E60">
            <w:pPr>
              <w:rPr>
                <w:color w:val="auto"/>
                <w:lang w:eastAsia="en-GB"/>
              </w:rPr>
            </w:pPr>
            <w:r w:rsidRPr="004F4BA7">
              <w:rPr>
                <w:color w:val="auto"/>
                <w:lang w:eastAsia="en-GB"/>
              </w:rPr>
              <w:t>4+-bedrooms</w:t>
            </w:r>
          </w:p>
        </w:tc>
        <w:tc>
          <w:tcPr>
            <w:tcW w:w="2381" w:type="dxa"/>
            <w:hideMark/>
          </w:tcPr>
          <w:p w14:paraId="2841CD2C"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381" w:type="dxa"/>
            <w:hideMark/>
          </w:tcPr>
          <w:p w14:paraId="7F68DFF5"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5-15%</w:t>
            </w:r>
          </w:p>
        </w:tc>
        <w:tc>
          <w:tcPr>
            <w:tcW w:w="2381" w:type="dxa"/>
            <w:hideMark/>
          </w:tcPr>
          <w:p w14:paraId="7564A513"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7C012300" w14:textId="56BE1E11" w:rsidR="00C71E60" w:rsidRPr="001B0740" w:rsidRDefault="00C71E60" w:rsidP="007D0FBF">
      <w:pPr>
        <w:pStyle w:val="11Bodytext"/>
      </w:pPr>
      <w:r w:rsidRPr="001B0740">
        <w:t>The mix identified above should inform</w:t>
      </w:r>
      <w:r>
        <w:t xml:space="preserve"> the preparation of</w:t>
      </w:r>
      <w:r w:rsidRPr="001B0740">
        <w:t xml:space="preserve"> strategic policies. However, in applying the mix to individual development sites </w:t>
      </w:r>
      <w:r>
        <w:t xml:space="preserve">the policies should be flexible enough to have </w:t>
      </w:r>
      <w:r w:rsidRPr="001B0740">
        <w:t>regard to the nature of the site and character of the area, and to up-to-date evidence of need</w:t>
      </w:r>
      <w:r>
        <w:t xml:space="preserve"> (such as the housing register)</w:t>
      </w:r>
      <w:r w:rsidRPr="001B0740">
        <w:t xml:space="preserve"> as well as the existing mix and turnover of properties at the local level. </w:t>
      </w:r>
      <w:r w:rsidR="00442A4E" w:rsidRPr="001B0740">
        <w:t>The Councils should also monitor the mix of housing delivered</w:t>
      </w:r>
      <w:r w:rsidR="00442A4E">
        <w:t xml:space="preserve"> and respond accordingly so that the strategic mix requirements are closely met</w:t>
      </w:r>
      <w:r w:rsidR="00442A4E" w:rsidRPr="001B0740">
        <w:t>.</w:t>
      </w:r>
    </w:p>
    <w:p w14:paraId="2DA8B64B" w14:textId="57CDF93E" w:rsidR="00C71E60" w:rsidRPr="008E5DB4" w:rsidRDefault="00C71E60" w:rsidP="00216BEB">
      <w:pPr>
        <w:pStyle w:val="Heading3"/>
      </w:pPr>
      <w:r w:rsidRPr="001B0740">
        <w:t>Older and disabled people need</w:t>
      </w:r>
    </w:p>
    <w:p w14:paraId="3C66153E" w14:textId="0FB6947E" w:rsidR="00C71E60" w:rsidRPr="001B0740" w:rsidRDefault="00C71E60" w:rsidP="007D0FBF">
      <w:pPr>
        <w:pStyle w:val="11Bodytext"/>
      </w:pPr>
      <w:r w:rsidRPr="001B0740">
        <w:t>There is projected to be a 78% increase in the population aged 75</w:t>
      </w:r>
      <w:r w:rsidR="003079B2">
        <w:t xml:space="preserve"> and</w:t>
      </w:r>
      <w:r w:rsidR="003079B2" w:rsidRPr="001B0740">
        <w:t xml:space="preserve"> </w:t>
      </w:r>
      <w:r w:rsidRPr="001B0740">
        <w:t xml:space="preserve">over </w:t>
      </w:r>
      <w:r w:rsidR="003079B2">
        <w:t>between</w:t>
      </w:r>
      <w:r w:rsidRPr="001B0740">
        <w:t xml:space="preserve"> 2020-2040 across East Cambridgeshire. Based on prevalence rates and the identified population growth of those aged 75</w:t>
      </w:r>
      <w:r w:rsidR="003079B2">
        <w:t xml:space="preserve"> and over</w:t>
      </w:r>
      <w:r w:rsidRPr="001B0740">
        <w:t xml:space="preserve"> we have identified the following surplus/shortfall in specialist housing for older people by 2040 as follows:</w:t>
      </w:r>
    </w:p>
    <w:tbl>
      <w:tblPr>
        <w:tblStyle w:val="TableGridLight1"/>
        <w:tblW w:w="8729" w:type="dxa"/>
        <w:tblInd w:w="846" w:type="dxa"/>
        <w:tblLook w:val="04A0" w:firstRow="1" w:lastRow="0" w:firstColumn="1" w:lastColumn="0" w:noHBand="0" w:noVBand="1"/>
      </w:tblPr>
      <w:tblGrid>
        <w:gridCol w:w="2909"/>
        <w:gridCol w:w="2910"/>
        <w:gridCol w:w="2910"/>
      </w:tblGrid>
      <w:tr w:rsidR="00956DC6" w:rsidRPr="00956DC6" w14:paraId="2EC24958" w14:textId="77777777" w:rsidTr="00956D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09" w:type="dxa"/>
            <w:hideMark/>
          </w:tcPr>
          <w:p w14:paraId="5EE7D828" w14:textId="62F9CE6C" w:rsidR="00956DC6" w:rsidRPr="00956DC6" w:rsidRDefault="00956DC6" w:rsidP="00956DC6">
            <w:pPr>
              <w:rPr>
                <w:b w:val="0"/>
                <w:bCs/>
                <w:color w:val="auto"/>
                <w:lang w:eastAsia="en-GB"/>
              </w:rPr>
            </w:pPr>
            <w:r w:rsidRPr="00956DC6">
              <w:rPr>
                <w:bCs/>
                <w:color w:val="auto"/>
                <w:lang w:eastAsia="en-GB"/>
              </w:rPr>
              <w:t>Type</w:t>
            </w:r>
          </w:p>
        </w:tc>
        <w:tc>
          <w:tcPr>
            <w:tcW w:w="2910" w:type="dxa"/>
            <w:hideMark/>
          </w:tcPr>
          <w:p w14:paraId="7F5C5AC8"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Tenure</w:t>
            </w:r>
          </w:p>
        </w:tc>
        <w:tc>
          <w:tcPr>
            <w:tcW w:w="2910" w:type="dxa"/>
            <w:hideMark/>
          </w:tcPr>
          <w:p w14:paraId="1513AC36"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East Cambridgeshire</w:t>
            </w:r>
          </w:p>
        </w:tc>
      </w:tr>
      <w:tr w:rsidR="00956DC6" w:rsidRPr="00956DC6" w14:paraId="6D671E3B" w14:textId="77777777" w:rsidTr="00216BEB">
        <w:trPr>
          <w:trHeight w:val="56"/>
        </w:trPr>
        <w:tc>
          <w:tcPr>
            <w:cnfStyle w:val="001000000000" w:firstRow="0" w:lastRow="0" w:firstColumn="1" w:lastColumn="0" w:oddVBand="0" w:evenVBand="0" w:oddHBand="0" w:evenHBand="0" w:firstRowFirstColumn="0" w:firstRowLastColumn="0" w:lastRowFirstColumn="0" w:lastRowLastColumn="0"/>
            <w:tcW w:w="2909" w:type="dxa"/>
            <w:hideMark/>
          </w:tcPr>
          <w:p w14:paraId="6E847182" w14:textId="1366CAED" w:rsidR="00956DC6" w:rsidRPr="00956DC6" w:rsidRDefault="00956DC6" w:rsidP="00956DC6">
            <w:pPr>
              <w:jc w:val="center"/>
              <w:rPr>
                <w:color w:val="auto"/>
                <w:lang w:eastAsia="en-GB"/>
              </w:rPr>
            </w:pPr>
            <w:r w:rsidRPr="00956DC6">
              <w:rPr>
                <w:color w:val="auto"/>
                <w:lang w:eastAsia="en-GB"/>
              </w:rPr>
              <w:t>Housing with support</w:t>
            </w:r>
          </w:p>
        </w:tc>
        <w:tc>
          <w:tcPr>
            <w:tcW w:w="2910" w:type="dxa"/>
            <w:hideMark/>
          </w:tcPr>
          <w:p w14:paraId="6A037F6F"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10" w:type="dxa"/>
            <w:hideMark/>
          </w:tcPr>
          <w:p w14:paraId="233CC53B"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-88</w:t>
            </w:r>
          </w:p>
        </w:tc>
      </w:tr>
      <w:tr w:rsidR="00956DC6" w:rsidRPr="00956DC6" w14:paraId="731D553F" w14:textId="77777777" w:rsidTr="00216BEB">
        <w:trPr>
          <w:trHeight w:val="56"/>
        </w:trPr>
        <w:tc>
          <w:tcPr>
            <w:cnfStyle w:val="001000000000" w:firstRow="0" w:lastRow="0" w:firstColumn="1" w:lastColumn="0" w:oddVBand="0" w:evenVBand="0" w:oddHBand="0" w:evenHBand="0" w:firstRowFirstColumn="0" w:firstRowLastColumn="0" w:lastRowFirstColumn="0" w:lastRowLastColumn="0"/>
            <w:tcW w:w="2909" w:type="dxa"/>
            <w:hideMark/>
          </w:tcPr>
          <w:p w14:paraId="27FFA74F" w14:textId="6983924E" w:rsidR="00956DC6" w:rsidRPr="00956DC6" w:rsidRDefault="00956DC6" w:rsidP="00956DC6">
            <w:pPr>
              <w:jc w:val="center"/>
              <w:rPr>
                <w:color w:val="auto"/>
                <w:lang w:eastAsia="en-GB"/>
              </w:rPr>
            </w:pPr>
            <w:r w:rsidRPr="00956DC6">
              <w:rPr>
                <w:color w:val="auto"/>
                <w:lang w:eastAsia="en-GB"/>
              </w:rPr>
              <w:t>Housing with support</w:t>
            </w:r>
          </w:p>
        </w:tc>
        <w:tc>
          <w:tcPr>
            <w:tcW w:w="2910" w:type="dxa"/>
            <w:hideMark/>
          </w:tcPr>
          <w:p w14:paraId="15C24E81"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10" w:type="dxa"/>
            <w:hideMark/>
          </w:tcPr>
          <w:p w14:paraId="5A4A654E"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969</w:t>
            </w:r>
          </w:p>
        </w:tc>
      </w:tr>
      <w:tr w:rsidR="00956DC6" w:rsidRPr="00956DC6" w14:paraId="715251A0" w14:textId="77777777" w:rsidTr="00216BEB">
        <w:trPr>
          <w:trHeight w:val="56"/>
        </w:trPr>
        <w:tc>
          <w:tcPr>
            <w:cnfStyle w:val="001000000000" w:firstRow="0" w:lastRow="0" w:firstColumn="1" w:lastColumn="0" w:oddVBand="0" w:evenVBand="0" w:oddHBand="0" w:evenHBand="0" w:firstRowFirstColumn="0" w:firstRowLastColumn="0" w:lastRowFirstColumn="0" w:lastRowLastColumn="0"/>
            <w:tcW w:w="2909" w:type="dxa"/>
            <w:hideMark/>
          </w:tcPr>
          <w:p w14:paraId="475C5204" w14:textId="77909A9E" w:rsidR="00956DC6" w:rsidRPr="00956DC6" w:rsidRDefault="00956DC6" w:rsidP="00956DC6">
            <w:pPr>
              <w:jc w:val="center"/>
              <w:rPr>
                <w:color w:val="auto"/>
                <w:lang w:eastAsia="en-GB"/>
              </w:rPr>
            </w:pPr>
            <w:r w:rsidRPr="00956DC6">
              <w:rPr>
                <w:color w:val="auto"/>
                <w:lang w:eastAsia="en-GB"/>
              </w:rPr>
              <w:t>Housing with care</w:t>
            </w:r>
          </w:p>
        </w:tc>
        <w:tc>
          <w:tcPr>
            <w:tcW w:w="2910" w:type="dxa"/>
            <w:hideMark/>
          </w:tcPr>
          <w:p w14:paraId="3BC32E4F"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10" w:type="dxa"/>
            <w:hideMark/>
          </w:tcPr>
          <w:p w14:paraId="49D451C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122</w:t>
            </w:r>
          </w:p>
        </w:tc>
      </w:tr>
      <w:tr w:rsidR="00956DC6" w:rsidRPr="00956DC6" w14:paraId="1774B58D" w14:textId="77777777" w:rsidTr="00216BEB">
        <w:trPr>
          <w:trHeight w:val="56"/>
        </w:trPr>
        <w:tc>
          <w:tcPr>
            <w:cnfStyle w:val="001000000000" w:firstRow="0" w:lastRow="0" w:firstColumn="1" w:lastColumn="0" w:oddVBand="0" w:evenVBand="0" w:oddHBand="0" w:evenHBand="0" w:firstRowFirstColumn="0" w:firstRowLastColumn="0" w:lastRowFirstColumn="0" w:lastRowLastColumn="0"/>
            <w:tcW w:w="2909" w:type="dxa"/>
            <w:hideMark/>
          </w:tcPr>
          <w:p w14:paraId="7E125D82" w14:textId="018888E7" w:rsidR="00956DC6" w:rsidRPr="00956DC6" w:rsidRDefault="00956DC6" w:rsidP="00956DC6">
            <w:pPr>
              <w:jc w:val="center"/>
              <w:rPr>
                <w:color w:val="auto"/>
                <w:lang w:eastAsia="en-GB"/>
              </w:rPr>
            </w:pPr>
            <w:r w:rsidRPr="00956DC6">
              <w:rPr>
                <w:color w:val="auto"/>
                <w:lang w:eastAsia="en-GB"/>
              </w:rPr>
              <w:t>Housing with care</w:t>
            </w:r>
          </w:p>
        </w:tc>
        <w:tc>
          <w:tcPr>
            <w:tcW w:w="2910" w:type="dxa"/>
            <w:hideMark/>
          </w:tcPr>
          <w:p w14:paraId="219A4422"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10" w:type="dxa"/>
            <w:hideMark/>
          </w:tcPr>
          <w:p w14:paraId="3634823A"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271</w:t>
            </w:r>
          </w:p>
        </w:tc>
      </w:tr>
      <w:tr w:rsidR="00956DC6" w:rsidRPr="00956DC6" w14:paraId="5CB65946" w14:textId="77777777" w:rsidTr="00216BEB">
        <w:trPr>
          <w:trHeight w:val="56"/>
        </w:trPr>
        <w:tc>
          <w:tcPr>
            <w:cnfStyle w:val="001000000000" w:firstRow="0" w:lastRow="0" w:firstColumn="1" w:lastColumn="0" w:oddVBand="0" w:evenVBand="0" w:oddHBand="0" w:evenHBand="0" w:firstRowFirstColumn="0" w:firstRowLastColumn="0" w:lastRowFirstColumn="0" w:lastRowLastColumn="0"/>
            <w:tcW w:w="2909" w:type="dxa"/>
            <w:hideMark/>
          </w:tcPr>
          <w:p w14:paraId="7365AAD3" w14:textId="77777777" w:rsidR="00956DC6" w:rsidRPr="00956DC6" w:rsidRDefault="00956DC6" w:rsidP="00956DC6">
            <w:pPr>
              <w:jc w:val="center"/>
              <w:rPr>
                <w:color w:val="auto"/>
                <w:lang w:eastAsia="en-GB"/>
              </w:rPr>
            </w:pPr>
            <w:r w:rsidRPr="00956DC6">
              <w:rPr>
                <w:color w:val="auto"/>
                <w:lang w:eastAsia="en-GB"/>
              </w:rPr>
              <w:t>Care Bed-spaces</w:t>
            </w:r>
          </w:p>
        </w:tc>
        <w:tc>
          <w:tcPr>
            <w:tcW w:w="2910" w:type="dxa"/>
            <w:hideMark/>
          </w:tcPr>
          <w:p w14:paraId="1E57613B"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 </w:t>
            </w:r>
          </w:p>
        </w:tc>
        <w:tc>
          <w:tcPr>
            <w:tcW w:w="2910" w:type="dxa"/>
            <w:hideMark/>
          </w:tcPr>
          <w:p w14:paraId="1939E296"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1,145</w:t>
            </w:r>
          </w:p>
        </w:tc>
      </w:tr>
    </w:tbl>
    <w:p w14:paraId="734D6B0C" w14:textId="77777777" w:rsidR="00C71E60" w:rsidRPr="001B0740" w:rsidRDefault="00C71E60" w:rsidP="008E5DB4">
      <w:pPr>
        <w:ind w:left="426"/>
      </w:pPr>
    </w:p>
    <w:p w14:paraId="22AD11DD" w14:textId="0B04C6E3" w:rsidR="00C71E60" w:rsidRPr="001B0740" w:rsidRDefault="00C71E60" w:rsidP="007D0FBF">
      <w:pPr>
        <w:pStyle w:val="11Bodytext"/>
      </w:pPr>
      <w:r w:rsidRPr="001B0740">
        <w:t>The number of older people with dementia is expected to increase by 77.7% from 2020 to 2040. There is also a 68.9% increase projected for those with mobility problems over the same period</w:t>
      </w:r>
      <w:r w:rsidR="008E5DB4">
        <w:t>.</w:t>
      </w:r>
    </w:p>
    <w:p w14:paraId="079B3690" w14:textId="36AA6645" w:rsidR="00E36919" w:rsidRPr="001B0740" w:rsidRDefault="00E36919" w:rsidP="007D0FBF">
      <w:pPr>
        <w:pStyle w:val="11Bodytext"/>
      </w:pPr>
      <w:r w:rsidRPr="001B0740">
        <w:lastRenderedPageBreak/>
        <w:t xml:space="preserve">Using data from the </w:t>
      </w:r>
      <w:r>
        <w:t>EHS</w:t>
      </w:r>
      <w:r w:rsidRPr="001B0740">
        <w:t xml:space="preserve"> there is a current</w:t>
      </w:r>
      <w:r>
        <w:t xml:space="preserve"> (282)</w:t>
      </w:r>
      <w:r w:rsidRPr="001B0740">
        <w:t xml:space="preserve"> and projected</w:t>
      </w:r>
      <w:r>
        <w:t xml:space="preserve"> (697)</w:t>
      </w:r>
      <w:r w:rsidRPr="001B0740">
        <w:t xml:space="preserve"> need for about </w:t>
      </w:r>
      <w:r>
        <w:t xml:space="preserve">979 </w:t>
      </w:r>
      <w:r w:rsidRPr="001B0740">
        <w:t xml:space="preserve">wheelchair user dwellings to 2040 across </w:t>
      </w:r>
      <w:r>
        <w:t xml:space="preserve">East </w:t>
      </w:r>
      <w:r w:rsidRPr="001B0740">
        <w:t xml:space="preserve">Cambridge. This equates to </w:t>
      </w:r>
      <w:r>
        <w:t>8.20</w:t>
      </w:r>
      <w:r w:rsidRPr="001B0740">
        <w:t xml:space="preserve">% of the total Local Housing Need. </w:t>
      </w:r>
    </w:p>
    <w:p w14:paraId="5B73CFC4" w14:textId="77777777" w:rsidR="00353C82" w:rsidRPr="00C03AC3" w:rsidRDefault="00353C82" w:rsidP="007D0FBF">
      <w:pPr>
        <w:pStyle w:val="11Bodytext"/>
      </w:pPr>
      <w:r w:rsidRPr="00C03AC3">
        <w:t xml:space="preserve">Where viability permits, the Council should seek to deliver 100% of new homes as M4(2) compliant and at least </w:t>
      </w:r>
      <w:r>
        <w:t>10</w:t>
      </w:r>
      <w:r w:rsidRPr="00C03AC3">
        <w:t xml:space="preserve">% of new market homes and </w:t>
      </w:r>
      <w:r>
        <w:t>25</w:t>
      </w:r>
      <w:r w:rsidRPr="00C03AC3">
        <w:t xml:space="preserve">% of new affordable homes as being M4(3) compliant to meet the identified need. </w:t>
      </w:r>
    </w:p>
    <w:p w14:paraId="682C0AF3" w14:textId="77777777" w:rsidR="00C71E60" w:rsidRPr="001B0740" w:rsidRDefault="00C71E60" w:rsidP="00216BEB">
      <w:pPr>
        <w:pStyle w:val="Heading3"/>
      </w:pPr>
      <w:r w:rsidRPr="001B0740">
        <w:t>Student</w:t>
      </w:r>
    </w:p>
    <w:p w14:paraId="12CDBE80" w14:textId="77777777" w:rsidR="00C71E60" w:rsidRPr="001B0740" w:rsidRDefault="00C71E60" w:rsidP="007D0FBF">
      <w:pPr>
        <w:pStyle w:val="11Bodytext"/>
      </w:pPr>
      <w:r w:rsidRPr="001B0740">
        <w:t>No requirement has been identified for student accommodation in East Cambridgeshire.</w:t>
      </w:r>
    </w:p>
    <w:p w14:paraId="1E029C37" w14:textId="77777777" w:rsidR="00C71E60" w:rsidRPr="001B0740" w:rsidRDefault="00C71E60" w:rsidP="00216BEB">
      <w:pPr>
        <w:pStyle w:val="Heading3"/>
      </w:pPr>
      <w:r w:rsidRPr="001B0740">
        <w:t>People who rent their homes</w:t>
      </w:r>
    </w:p>
    <w:p w14:paraId="652FB6A1" w14:textId="77777777" w:rsidR="00C71E60" w:rsidRPr="001B0740" w:rsidRDefault="00C71E60" w:rsidP="008E5DB4">
      <w:pPr>
        <w:ind w:left="426"/>
      </w:pPr>
    </w:p>
    <w:p w14:paraId="6F2C89FF" w14:textId="74008E17" w:rsidR="00C71E60" w:rsidRPr="001B0740" w:rsidRDefault="00C71E60" w:rsidP="007D0FBF">
      <w:pPr>
        <w:pStyle w:val="11Bodytext"/>
      </w:pPr>
      <w:r w:rsidRPr="001B0740">
        <w:t>Demand for Private Rented Sector (PRS) housing increased by 94% in East Cambridgeshire over the 2001 to 2011 period. Also, the tenure is likely to provide a route to affordable housing given that the number of households in PRS claiming Housing Benefit in East Cambridgeshire is 397 in 2019.</w:t>
      </w:r>
    </w:p>
    <w:p w14:paraId="78CB7A24" w14:textId="58A89CD5" w:rsidR="00C71E60" w:rsidRPr="001B0740" w:rsidRDefault="00C71E60" w:rsidP="007D0FBF">
      <w:pPr>
        <w:pStyle w:val="11Bodytext"/>
      </w:pPr>
      <w:r w:rsidRPr="001B0740">
        <w:t>Notwithstanding</w:t>
      </w:r>
      <w:r w:rsidR="00BA1EDF">
        <w:t xml:space="preserve"> this</w:t>
      </w:r>
      <w:r w:rsidRPr="001B0740">
        <w:t>, this study does not place a specific estimate on the demand for PRS in East Cambridge</w:t>
      </w:r>
      <w:r w:rsidR="00BA1EDF">
        <w:t>shire</w:t>
      </w:r>
      <w:r w:rsidRPr="001B0740">
        <w:t xml:space="preserve">. This is because decisions on the part of individual households to buy or rent a home in the open market is dependent on several factors which means that demand can fluctuate over time (for example the availability of government schemes such as Help to Buy). </w:t>
      </w:r>
    </w:p>
    <w:p w14:paraId="440066AA" w14:textId="45EFC6DB" w:rsidR="00C71E60" w:rsidRPr="008E5DB4" w:rsidRDefault="00C71E60" w:rsidP="007D0FBF">
      <w:pPr>
        <w:pStyle w:val="11Bodytext"/>
      </w:pPr>
      <w:r>
        <w:t xml:space="preserve">Institutional </w:t>
      </w:r>
      <w:r w:rsidRPr="001B0740">
        <w:t xml:space="preserve">Build to Rent </w:t>
      </w:r>
      <w:r>
        <w:t xml:space="preserve">investment and </w:t>
      </w:r>
      <w:r w:rsidRPr="001B0740">
        <w:t xml:space="preserve">development </w:t>
      </w:r>
      <w:r>
        <w:t xml:space="preserve">has thus far been typically focused in larger urban areas. Therefore, it is unlikely that East </w:t>
      </w:r>
      <w:r w:rsidRPr="001B0740">
        <w:t>Cambridge</w:t>
      </w:r>
      <w:r>
        <w:t>shire</w:t>
      </w:r>
      <w:r w:rsidRPr="001B0740">
        <w:t xml:space="preserve"> </w:t>
      </w:r>
      <w:r>
        <w:t xml:space="preserve">will see much interest in this type of development. However, where build to rent is </w:t>
      </w:r>
      <w:proofErr w:type="gramStart"/>
      <w:r>
        <w:t xml:space="preserve">being </w:t>
      </w:r>
      <w:r w:rsidR="008E5DB4">
        <w:t xml:space="preserve"> </w:t>
      </w:r>
      <w:r>
        <w:t>proposed</w:t>
      </w:r>
      <w:proofErr w:type="gramEnd"/>
      <w:r>
        <w:t>, the policy position should be supportive, subject to the location and characteristics of the site in question and the proportion of units for affordable private rent being provided (seeking a minimum of 20%).</w:t>
      </w:r>
    </w:p>
    <w:p w14:paraId="5E6F50BD" w14:textId="51F89A0D" w:rsidR="00C71E60" w:rsidRPr="001B0740" w:rsidRDefault="00C71E60" w:rsidP="00216BEB">
      <w:pPr>
        <w:pStyle w:val="Heading3"/>
      </w:pPr>
      <w:r w:rsidRPr="001B0740">
        <w:t xml:space="preserve">Self-build and custom-build housing </w:t>
      </w:r>
    </w:p>
    <w:p w14:paraId="189A119B" w14:textId="77777777" w:rsidR="00C71E60" w:rsidRPr="001B0740" w:rsidRDefault="00C71E60" w:rsidP="007D0FBF">
      <w:pPr>
        <w:pStyle w:val="11Bodytext"/>
      </w:pPr>
      <w:r>
        <w:t xml:space="preserve">The Council is required to permit plots for new custom and self-build homes for every new entry on to its custom and self-build register within three years of the end of each </w:t>
      </w:r>
      <w:r>
        <w:lastRenderedPageBreak/>
        <w:t>base period.  An indication of the scale of this need is taken from the current register and suggests that East Cambridgeshire should permit</w:t>
      </w:r>
      <w:r w:rsidRPr="001B0740">
        <w:t xml:space="preserve"> </w:t>
      </w:r>
      <w:r>
        <w:t>2</w:t>
      </w:r>
      <w:r w:rsidRPr="001B0740">
        <w:t xml:space="preserve"> self-build plots annually</w:t>
      </w:r>
      <w:r>
        <w:t xml:space="preserve">. </w:t>
      </w:r>
      <w:r w:rsidRPr="001B0740">
        <w:t xml:space="preserve"> </w:t>
      </w:r>
      <w:r>
        <w:t>Although an alternative assessment has put this figure at up to 43 plots per annum.</w:t>
      </w:r>
    </w:p>
    <w:p w14:paraId="0DCA4196" w14:textId="77777777" w:rsidR="00C71E60" w:rsidRPr="001B0740" w:rsidRDefault="00C71E60" w:rsidP="00216BEB">
      <w:pPr>
        <w:pStyle w:val="Heading3"/>
      </w:pPr>
      <w:r w:rsidRPr="001B0740">
        <w:t>Service Families</w:t>
      </w:r>
    </w:p>
    <w:p w14:paraId="573FFD6F" w14:textId="7EF02D16" w:rsidR="00C71E60" w:rsidRPr="00A70705" w:rsidRDefault="00C71E60" w:rsidP="007D0FBF">
      <w:pPr>
        <w:pStyle w:val="11Bodytext"/>
      </w:pPr>
      <w:r w:rsidRPr="00A70705">
        <w:t>Given the lack of military personnel in East Cambridgeshire</w:t>
      </w:r>
      <w:r w:rsidR="008065C4">
        <w:t>,</w:t>
      </w:r>
      <w:r w:rsidRPr="00A70705">
        <w:t xml:space="preserve"> there is unlikely to be any demand for military housing in the area. </w:t>
      </w:r>
    </w:p>
    <w:p w14:paraId="57FB4522" w14:textId="77777777" w:rsidR="00C71E60" w:rsidRPr="001B0740" w:rsidRDefault="00C71E60" w:rsidP="00216BEB">
      <w:pPr>
        <w:pStyle w:val="Heading2"/>
      </w:pPr>
      <w:r w:rsidRPr="001B0740">
        <w:t>Fenland</w:t>
      </w:r>
    </w:p>
    <w:p w14:paraId="5D981D6A" w14:textId="77777777" w:rsidR="00C71E60" w:rsidRPr="001B0740" w:rsidRDefault="00C71E60" w:rsidP="00C71E60">
      <w:pPr>
        <w:ind w:firstLine="426"/>
        <w:rPr>
          <w:color w:val="0093D5"/>
        </w:rPr>
      </w:pPr>
    </w:p>
    <w:p w14:paraId="2FAD5336" w14:textId="77777777" w:rsidR="00C71E60" w:rsidRPr="001B0740" w:rsidRDefault="00C71E60" w:rsidP="00216BEB">
      <w:pPr>
        <w:pStyle w:val="Heading3"/>
      </w:pPr>
      <w:r w:rsidRPr="001B0740">
        <w:t>Demographic Baseline</w:t>
      </w:r>
    </w:p>
    <w:p w14:paraId="593E13D9" w14:textId="0170DCB5" w:rsidR="00C71E60" w:rsidRPr="001B0740" w:rsidRDefault="00C71E60" w:rsidP="007D0FBF">
      <w:pPr>
        <w:pStyle w:val="11Bodytext"/>
      </w:pPr>
      <w:r w:rsidRPr="001B0740">
        <w:t xml:space="preserve">The total population of Fenland is 101,900 persons as of mid-2019. Since 1991 the population has grown by </w:t>
      </w:r>
      <w:r w:rsidRPr="001B0740">
        <w:rPr>
          <w:rFonts w:eastAsia="Times New Roman"/>
          <w:color w:val="000000"/>
          <w:lang w:eastAsia="en-GB"/>
        </w:rPr>
        <w:t>35%</w:t>
      </w:r>
      <w:r w:rsidRPr="001B0740">
        <w:t xml:space="preserve"> with an average annual growth rate of </w:t>
      </w:r>
      <w:r w:rsidRPr="001B0740">
        <w:rPr>
          <w:rFonts w:eastAsia="Times New Roman"/>
          <w:color w:val="000000"/>
          <w:lang w:eastAsia="en-GB"/>
        </w:rPr>
        <w:t>1.1</w:t>
      </w:r>
      <w:r w:rsidRPr="001B0740">
        <w:t xml:space="preserve">%. There is a total of 45,424 dwellings across Fenland as </w:t>
      </w:r>
      <w:proofErr w:type="gramStart"/>
      <w:r w:rsidRPr="001B0740">
        <w:t>at</w:t>
      </w:r>
      <w:proofErr w:type="gramEnd"/>
      <w:r w:rsidRPr="001B0740">
        <w:t xml:space="preserve"> 31</w:t>
      </w:r>
      <w:r w:rsidRPr="001B0740">
        <w:rPr>
          <w:vertAlign w:val="superscript"/>
        </w:rPr>
        <w:t>st</w:t>
      </w:r>
      <w:r w:rsidRPr="001B0740">
        <w:t xml:space="preserve"> March 2020. Since 2001 Fenland’s population change has been driven by internal and international migration.</w:t>
      </w:r>
    </w:p>
    <w:p w14:paraId="3D8C5E9F" w14:textId="215EE28E" w:rsidR="00C71E60" w:rsidRPr="001B0740" w:rsidRDefault="00C71E60" w:rsidP="007D0FBF">
      <w:pPr>
        <w:pStyle w:val="11Bodytext"/>
      </w:pPr>
      <w:r w:rsidRPr="001B0740">
        <w:t>In comparison to the other HMA authorities</w:t>
      </w:r>
      <w:r w:rsidR="008065C4">
        <w:t>,</w:t>
      </w:r>
      <w:r w:rsidRPr="001B0740">
        <w:t xml:space="preserve"> Fenland has a relatively higher proportion of people aged 60 years old and older and those aged 25-29. Conversely</w:t>
      </w:r>
      <w:r w:rsidR="008065C4">
        <w:t>,</w:t>
      </w:r>
      <w:r w:rsidRPr="001B0740">
        <w:t xml:space="preserve"> it has </w:t>
      </w:r>
      <w:r w:rsidR="008065C4">
        <w:t xml:space="preserve">a </w:t>
      </w:r>
      <w:r w:rsidRPr="001B0740">
        <w:t xml:space="preserve">lower proportion of people in every age cohort between 40-45 years old and linked to this those aged 10-14 compared to the other HMA authorities. </w:t>
      </w:r>
    </w:p>
    <w:p w14:paraId="0152FA84" w14:textId="77777777" w:rsidR="00C71E60" w:rsidRPr="001B0740" w:rsidRDefault="00C71E60" w:rsidP="00216BEB">
      <w:pPr>
        <w:pStyle w:val="Heading3"/>
      </w:pPr>
      <w:r w:rsidRPr="001B0740">
        <w:t xml:space="preserve">Market Signals </w:t>
      </w:r>
    </w:p>
    <w:p w14:paraId="0F4FD88D" w14:textId="34A6153C" w:rsidR="00C71E60" w:rsidRPr="001B0740" w:rsidRDefault="00C71E60" w:rsidP="007D0FBF">
      <w:pPr>
        <w:pStyle w:val="11Bodytext"/>
      </w:pPr>
      <w:r w:rsidRPr="001B0740">
        <w:t>The median house price in Fenland is £</w:t>
      </w:r>
      <w:r w:rsidRPr="001B0740">
        <w:rPr>
          <w:color w:val="000000"/>
        </w:rPr>
        <w:t>184,000</w:t>
      </w:r>
      <w:r w:rsidRPr="001B0740">
        <w:t>. This is 20% below the national average and 35% below the regional average. Over the last 10 years, Fenland has seen an increase in median house prices of 35.4% compared to 27.6% nationally, and 42.5% regionally.</w:t>
      </w:r>
    </w:p>
    <w:p w14:paraId="1D6B312F" w14:textId="7CCE718D" w:rsidR="00C71E60" w:rsidRPr="008E5DB4" w:rsidRDefault="00C71E60" w:rsidP="007D0FBF">
      <w:pPr>
        <w:pStyle w:val="11Bodytext"/>
      </w:pPr>
      <w:r w:rsidRPr="001B0740">
        <w:t xml:space="preserve">Median rental prices within the private rented sector across Fenland are £600 </w:t>
      </w:r>
      <w:r w:rsidR="00043107">
        <w:t>per calendar month</w:t>
      </w:r>
      <w:r w:rsidRPr="001B0740">
        <w:t xml:space="preserve">. This is below the national and regional equivalents of £695 and £795 respectively. Fenland has a median </w:t>
      </w:r>
      <w:r w:rsidR="008065C4" w:rsidRPr="001B0740">
        <w:t>workplace</w:t>
      </w:r>
      <w:r w:rsidR="008065C4">
        <w:t>-</w:t>
      </w:r>
      <w:r w:rsidRPr="001B0740">
        <w:t xml:space="preserve">based affordability ratio of </w:t>
      </w:r>
      <w:r w:rsidR="00766A8E">
        <w:rPr>
          <w:rFonts w:eastAsia="Times New Roman"/>
          <w:color w:val="000000"/>
          <w:lang w:eastAsia="en-GB"/>
        </w:rPr>
        <w:t>8.1</w:t>
      </w:r>
      <w:r w:rsidRPr="001B0740">
        <w:t xml:space="preserve"> compared to </w:t>
      </w:r>
      <w:r w:rsidRPr="001B0740">
        <w:rPr>
          <w:rFonts w:eastAsia="Times New Roman"/>
          <w:color w:val="000000"/>
          <w:lang w:eastAsia="en-GB"/>
        </w:rPr>
        <w:t>9.47</w:t>
      </w:r>
      <w:r w:rsidRPr="001B0740">
        <w:t xml:space="preserve"> for the East of England and </w:t>
      </w:r>
      <w:r w:rsidRPr="001B0740">
        <w:rPr>
          <w:rFonts w:eastAsia="Times New Roman"/>
          <w:color w:val="000000"/>
          <w:lang w:eastAsia="en-GB"/>
        </w:rPr>
        <w:t>7.83</w:t>
      </w:r>
      <w:r w:rsidRPr="001B0740">
        <w:t xml:space="preserve"> nationally.</w:t>
      </w:r>
    </w:p>
    <w:p w14:paraId="344A8F4C" w14:textId="77777777" w:rsidR="00C71E60" w:rsidRPr="001B0740" w:rsidRDefault="00C71E60" w:rsidP="007D0FBF">
      <w:pPr>
        <w:pStyle w:val="11Bodytext"/>
      </w:pPr>
      <w:r w:rsidRPr="001B0740">
        <w:lastRenderedPageBreak/>
        <w:t xml:space="preserve">Between 2001 and 2011 Fenland saw the proportion of residents living in over-occupied properties increase by </w:t>
      </w:r>
      <w:r w:rsidRPr="001B0740">
        <w:rPr>
          <w:rFonts w:eastAsia="Times New Roman"/>
          <w:color w:val="000000"/>
          <w:lang w:eastAsia="en-GB"/>
        </w:rPr>
        <w:t>50.0</w:t>
      </w:r>
      <w:r w:rsidRPr="001B0740">
        <w:t xml:space="preserve">%. This is </w:t>
      </w:r>
      <w:r>
        <w:t>a greater increase than</w:t>
      </w:r>
      <w:r w:rsidRPr="001B0740">
        <w:t xml:space="preserve"> the national (32.3%) and regional (35.6%) equivalents. </w:t>
      </w:r>
    </w:p>
    <w:p w14:paraId="5656E61D" w14:textId="77777777" w:rsidR="00C71E60" w:rsidRPr="001B0740" w:rsidRDefault="00C71E60" w:rsidP="00216BEB">
      <w:pPr>
        <w:pStyle w:val="Heading3"/>
      </w:pPr>
      <w:r w:rsidRPr="001B0740">
        <w:t>Local Housing Need</w:t>
      </w:r>
    </w:p>
    <w:p w14:paraId="4FA9C3DC" w14:textId="6DDDB75B" w:rsidR="00C71E60" w:rsidRPr="001B0740" w:rsidRDefault="00C71E60" w:rsidP="007D0FBF">
      <w:pPr>
        <w:pStyle w:val="11Bodytext"/>
      </w:pPr>
      <w:r w:rsidRPr="001B0740">
        <w:t>Step 1 of the standard method currently draws on the 2014-based household projections which set out a household growth of 428 per annum over the period 2020-2030 across Fenland.</w:t>
      </w:r>
    </w:p>
    <w:p w14:paraId="29ADE921" w14:textId="0F6657A3" w:rsidR="00C71E60" w:rsidRPr="001B0740" w:rsidRDefault="00C71E60" w:rsidP="007D0FBF">
      <w:pPr>
        <w:pStyle w:val="11Bodytext"/>
      </w:pPr>
      <w:r w:rsidRPr="001B0740">
        <w:t xml:space="preserve">Step 2 of the standard method increases the Housing Need based on local affordability. The affordability ratios </w:t>
      </w:r>
      <w:r w:rsidR="00766A8E">
        <w:t xml:space="preserve">for Fenland </w:t>
      </w:r>
      <w:proofErr w:type="gramStart"/>
      <w:r w:rsidR="00766A8E">
        <w:t>is</w:t>
      </w:r>
      <w:proofErr w:type="gramEnd"/>
      <w:r w:rsidR="00766A8E">
        <w:t xml:space="preserve"> 8.1 </w:t>
      </w:r>
      <w:r w:rsidRPr="001B0740">
        <w:t>(</w:t>
      </w:r>
      <w:r w:rsidR="006770D5" w:rsidRPr="001B0740">
        <w:t>2019)</w:t>
      </w:r>
      <w:r w:rsidR="00766A8E">
        <w:t>.</w:t>
      </w:r>
      <w:r w:rsidRPr="001B0740">
        <w:t xml:space="preserve"> Using the prescribed formula, the local affordability ratio results in </w:t>
      </w:r>
      <w:r w:rsidR="0049448F">
        <w:t xml:space="preserve">an </w:t>
      </w:r>
      <w:r w:rsidRPr="001B0740">
        <w:t xml:space="preserve">uplift of 26%. This increases the need by 110 to 538 dwellings per </w:t>
      </w:r>
      <w:r w:rsidR="0049448F">
        <w:t>annum</w:t>
      </w:r>
      <w:r w:rsidR="0049448F" w:rsidRPr="001B0740">
        <w:t xml:space="preserve"> </w:t>
      </w:r>
      <w:r w:rsidRPr="001B0740">
        <w:t>(</w:t>
      </w:r>
      <w:proofErr w:type="spellStart"/>
      <w:r w:rsidRPr="001B0740">
        <w:t>dpa</w:t>
      </w:r>
      <w:proofErr w:type="spellEnd"/>
      <w:r w:rsidRPr="001B0740">
        <w:t xml:space="preserve">). </w:t>
      </w:r>
    </w:p>
    <w:p w14:paraId="081D204C" w14:textId="47E72B64" w:rsidR="00C71E60" w:rsidRPr="001B0740" w:rsidRDefault="00C71E60" w:rsidP="007D0FBF">
      <w:pPr>
        <w:pStyle w:val="11Bodytext"/>
      </w:pPr>
      <w:r w:rsidRPr="001B0740">
        <w:t xml:space="preserve">To ensure deliverability Step 3 of the standard method caps the uplifts in Step 2. This is effectively not applied in Fenland due to the age of the Local </w:t>
      </w:r>
      <w:proofErr w:type="spellStart"/>
      <w:r w:rsidRPr="001B0740">
        <w:t>Plansand</w:t>
      </w:r>
      <w:proofErr w:type="spellEnd"/>
      <w:r w:rsidRPr="001B0740">
        <w:t xml:space="preserve"> the target set out </w:t>
      </w:r>
      <w:r w:rsidR="00E37A46">
        <w:t>therein</w:t>
      </w:r>
      <w:r w:rsidRPr="001B0740">
        <w:t xml:space="preserve">. </w:t>
      </w:r>
    </w:p>
    <w:p w14:paraId="47340798" w14:textId="43119259" w:rsidR="00C71E60" w:rsidRPr="001B0740" w:rsidRDefault="00C71E60" w:rsidP="007D0FBF">
      <w:pPr>
        <w:pStyle w:val="11Bodytext"/>
      </w:pPr>
      <w:r w:rsidRPr="001B0740">
        <w:t xml:space="preserve">Based on the standard method Fenland’s housing need is 538 dwellings per annum. Although calculated over the 2020-2030 period it can be applied across the plan period and responds to historic under-delivery. </w:t>
      </w:r>
    </w:p>
    <w:p w14:paraId="321424B7" w14:textId="4ADFFB7D" w:rsidR="00C71E60" w:rsidRPr="001B0740" w:rsidRDefault="00C71E60" w:rsidP="007D0FBF">
      <w:pPr>
        <w:pStyle w:val="11Bodytext"/>
      </w:pPr>
      <w:r w:rsidRPr="001B0740">
        <w:t xml:space="preserve">A scenario has been modelled whereby household formation rates are improved and population growth increased to fill these homes. This sees an additional 18,270 people in Fenland over the period 2020-2040. </w:t>
      </w:r>
    </w:p>
    <w:p w14:paraId="6848D993" w14:textId="77777777" w:rsidR="00C71E60" w:rsidRPr="001B0740" w:rsidRDefault="00C71E60" w:rsidP="00216BEB">
      <w:pPr>
        <w:pStyle w:val="Heading3"/>
      </w:pPr>
      <w:r w:rsidRPr="001B0740">
        <w:t>Affordable Housing Need</w:t>
      </w:r>
    </w:p>
    <w:p w14:paraId="632507B2" w14:textId="76325160" w:rsidR="00C71E60" w:rsidRPr="001B0740" w:rsidRDefault="00C71E60" w:rsidP="007D0FBF">
      <w:pPr>
        <w:pStyle w:val="11Bodytext"/>
      </w:pPr>
      <w:r w:rsidRPr="001B0740">
        <w:t>The analysis shows that 289 households per annum will require affordable housing to rent between 2020 and 2040. This equates to around 54% of the overall need although such a calculation should be treated with caution as it contains an element of double counting</w:t>
      </w:r>
      <w:r w:rsidRPr="00E428B4">
        <w:t xml:space="preserve"> </w:t>
      </w:r>
      <w:proofErr w:type="gramStart"/>
      <w:r>
        <w:t>i.e.</w:t>
      </w:r>
      <w:proofErr w:type="gramEnd"/>
      <w:r>
        <w:t xml:space="preserve"> both include newly forming households</w:t>
      </w:r>
      <w:r w:rsidRPr="001B0740">
        <w:t>.</w:t>
      </w:r>
    </w:p>
    <w:p w14:paraId="3E7AA994" w14:textId="3B994FB4" w:rsidR="00C71E60" w:rsidRPr="001B0740" w:rsidRDefault="00C71E60" w:rsidP="007D0FBF">
      <w:pPr>
        <w:pStyle w:val="11Bodytext"/>
      </w:pPr>
      <w:r w:rsidRPr="001B0740">
        <w:t xml:space="preserve">Based purely on affordability around 77% should be social rent and 23% affordable rent. </w:t>
      </w:r>
      <w:r>
        <w:t>I</w:t>
      </w:r>
      <w:r w:rsidRPr="00AF654D">
        <w:t xml:space="preserve">t is not recommended that the Councils have a rigid policy for the split between </w:t>
      </w:r>
      <w:r w:rsidRPr="00AF654D">
        <w:lastRenderedPageBreak/>
        <w:t>social and affordable rent housing</w:t>
      </w:r>
      <w:r>
        <w:t xml:space="preserve"> on this basis alone. T</w:t>
      </w:r>
      <w:r w:rsidRPr="00AF654D">
        <w:t>he analysis is clear that both tenures of homes are likely to be required in all areas</w:t>
      </w:r>
      <w:r w:rsidR="00E37A46">
        <w:t xml:space="preserve">. </w:t>
      </w:r>
      <w:r>
        <w:t xml:space="preserve"> </w:t>
      </w:r>
      <w:r w:rsidR="00E37A46">
        <w:t>T</w:t>
      </w:r>
      <w:r>
        <w:t>his should be brought together with other considerations outlined above, should the Councils wish to implement a Local Plan policy.</w:t>
      </w:r>
    </w:p>
    <w:p w14:paraId="62781C3A" w14:textId="309EC3E9" w:rsidR="00C71E60" w:rsidRPr="001B0740" w:rsidRDefault="00C71E60" w:rsidP="007D0FBF">
      <w:pPr>
        <w:pStyle w:val="11Bodytext"/>
      </w:pPr>
      <w:r w:rsidRPr="001B0740">
        <w:t xml:space="preserve">There is a requirement in the NPPF for at least 10% of all new homes on </w:t>
      </w:r>
      <w:r w:rsidR="00DB15D5">
        <w:t xml:space="preserve">major </w:t>
      </w:r>
      <w:r w:rsidRPr="001B0740">
        <w:t xml:space="preserve">sites to be affordable home ownership properties unless it would significantly prejudice the ability to meet the identified affordable housing needs of specific groups. Given the </w:t>
      </w:r>
      <w:r>
        <w:t>lack of identified need for affordable home ownership products in</w:t>
      </w:r>
      <w:r w:rsidRPr="001B0740">
        <w:t xml:space="preserve"> Fenland</w:t>
      </w:r>
      <w:r w:rsidR="00437A3A">
        <w:t>,</w:t>
      </w:r>
      <w:r w:rsidRPr="001B0740">
        <w:t xml:space="preserve"> </w:t>
      </w:r>
      <w:r>
        <w:t>the Council sh</w:t>
      </w:r>
      <w:r w:rsidRPr="001B0740">
        <w:t xml:space="preserve">ould consider seeking </w:t>
      </w:r>
      <w:r>
        <w:t xml:space="preserve">at most </w:t>
      </w:r>
      <w:r w:rsidRPr="001B0740">
        <w:t xml:space="preserve">10% of all housing (on </w:t>
      </w:r>
      <w:r w:rsidR="00DB15D5">
        <w:t>major</w:t>
      </w:r>
      <w:r w:rsidR="00DB15D5" w:rsidRPr="001B0740">
        <w:t xml:space="preserve"> </w:t>
      </w:r>
      <w:r w:rsidRPr="001B0740">
        <w:t>sites) to be affordable home ownership (as set out in the NPPF) unless this would prejudice meeting the needs of other groups. Indeed, there could be some justification to challenge this minimum figure.</w:t>
      </w:r>
    </w:p>
    <w:p w14:paraId="09896B81" w14:textId="568568F7" w:rsidR="00C71E60" w:rsidRPr="001B0740" w:rsidRDefault="00C71E60" w:rsidP="007D0FBF">
      <w:pPr>
        <w:pStyle w:val="11Bodytext"/>
      </w:pPr>
      <w:r>
        <w:t>Given that affordable housing delivery will be curtailed by viability it will u</w:t>
      </w:r>
      <w:r w:rsidRPr="001A4A72">
        <w:t xml:space="preserve">ltimately </w:t>
      </w:r>
      <w:r>
        <w:t>be a</w:t>
      </w:r>
      <w:r w:rsidRPr="001A4A72">
        <w:t xml:space="preserve"> choice</w:t>
      </w:r>
      <w:r>
        <w:t xml:space="preserve"> for the Council to make</w:t>
      </w:r>
      <w:r w:rsidRPr="001A4A72">
        <w:t xml:space="preserve"> </w:t>
      </w:r>
      <w:r>
        <w:t xml:space="preserve">in relation to the split between social and affordable rent and affordable home ownership products.   In making this choice </w:t>
      </w:r>
      <w:r w:rsidRPr="001A4A72">
        <w:t>they</w:t>
      </w:r>
      <w:r>
        <w:t xml:space="preserve"> should</w:t>
      </w:r>
      <w:r w:rsidRPr="001A4A72">
        <w:t xml:space="preserve"> consider a wide range of factors including </w:t>
      </w:r>
      <w:r w:rsidR="008065C4">
        <w:t xml:space="preserve">the </w:t>
      </w:r>
      <w:r w:rsidRPr="001A4A72">
        <w:t xml:space="preserve">local priority (dealing with </w:t>
      </w:r>
      <w:r w:rsidR="008065C4">
        <w:t xml:space="preserve">the </w:t>
      </w:r>
      <w:r w:rsidRPr="001A4A72">
        <w:t>acute need or promoting home-ownership) and the viability of different products.</w:t>
      </w:r>
    </w:p>
    <w:p w14:paraId="77EDEB3B" w14:textId="77777777" w:rsidR="00C71E60" w:rsidRPr="0083164E" w:rsidRDefault="00C71E60" w:rsidP="007D0FBF">
      <w:pPr>
        <w:pStyle w:val="11Bodytext"/>
      </w:pPr>
      <w:r w:rsidRPr="0083164E">
        <w:t>If the Council do</w:t>
      </w:r>
      <w:r>
        <w:t>es</w:t>
      </w:r>
      <w:r w:rsidRPr="0083164E">
        <w:t xml:space="preserve"> seek to provide 10% of housing as affordable home </w:t>
      </w:r>
      <w:proofErr w:type="gramStart"/>
      <w:r w:rsidRPr="0083164E">
        <w:t>ownership</w:t>
      </w:r>
      <w:proofErr w:type="gramEnd"/>
      <w:r w:rsidRPr="0083164E">
        <w:t xml:space="preserve"> then it is suggested that shared ownership is the most appropriate </w:t>
      </w:r>
      <w:r>
        <w:t>tenure</w:t>
      </w:r>
      <w:r w:rsidRPr="0083164E">
        <w:t>. This is due to the lower deposit requirements and lower overall costs (given that the rent would also be subsidised).</w:t>
      </w:r>
    </w:p>
    <w:p w14:paraId="56A0EDA5" w14:textId="77777777" w:rsidR="00C71E60" w:rsidRPr="001B0740" w:rsidRDefault="00C71E60" w:rsidP="00216BEB">
      <w:pPr>
        <w:pStyle w:val="Heading3"/>
      </w:pPr>
      <w:r w:rsidRPr="001B0740">
        <w:t>Housing Mix</w:t>
      </w:r>
    </w:p>
    <w:p w14:paraId="353DA091" w14:textId="4D462C39" w:rsidR="00C71E60" w:rsidRPr="001B0740" w:rsidRDefault="00C71E60" w:rsidP="00216BEB">
      <w:pPr>
        <w:pStyle w:val="11Bodytext"/>
      </w:pPr>
      <w:r w:rsidRPr="001B0740">
        <w:t xml:space="preserve">The following mix of homes size by tenure is suggested as a strategic mix for Fenland </w:t>
      </w:r>
      <w:r>
        <w:t>for</w:t>
      </w:r>
      <w:r w:rsidRPr="001B0740">
        <w:t xml:space="preserve"> the 2020-2040 period.</w:t>
      </w:r>
    </w:p>
    <w:tbl>
      <w:tblPr>
        <w:tblStyle w:val="TableGridLight1"/>
        <w:tblW w:w="9228" w:type="dxa"/>
        <w:tblInd w:w="451" w:type="dxa"/>
        <w:tblLayout w:type="fixed"/>
        <w:tblLook w:val="04A0" w:firstRow="1" w:lastRow="0" w:firstColumn="1" w:lastColumn="0" w:noHBand="0" w:noVBand="1"/>
      </w:tblPr>
      <w:tblGrid>
        <w:gridCol w:w="1606"/>
        <w:gridCol w:w="2540"/>
        <w:gridCol w:w="2541"/>
        <w:gridCol w:w="2541"/>
      </w:tblGrid>
      <w:tr w:rsidR="00C4126C" w:rsidRPr="00C4126C" w14:paraId="6F7AD52B" w14:textId="77777777" w:rsidTr="004F4BA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06" w:type="dxa"/>
            <w:noWrap/>
            <w:hideMark/>
          </w:tcPr>
          <w:p w14:paraId="43031675" w14:textId="77777777" w:rsidR="00C71E60" w:rsidRPr="004F4BA7" w:rsidRDefault="00C71E60" w:rsidP="00216BEB">
            <w:pPr>
              <w:keepNext/>
              <w:rPr>
                <w:color w:val="auto"/>
                <w:lang w:eastAsia="en-GB"/>
              </w:rPr>
            </w:pPr>
            <w:r w:rsidRPr="004F4BA7">
              <w:rPr>
                <w:color w:val="auto"/>
                <w:lang w:eastAsia="en-GB"/>
              </w:rPr>
              <w:lastRenderedPageBreak/>
              <w:t>Size</w:t>
            </w:r>
          </w:p>
        </w:tc>
        <w:tc>
          <w:tcPr>
            <w:tcW w:w="2540" w:type="dxa"/>
            <w:noWrap/>
            <w:hideMark/>
          </w:tcPr>
          <w:p w14:paraId="68815181" w14:textId="77777777" w:rsidR="00C71E60" w:rsidRPr="004F4BA7" w:rsidRDefault="00C71E60" w:rsidP="00216BEB">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541" w:type="dxa"/>
            <w:noWrap/>
            <w:hideMark/>
          </w:tcPr>
          <w:p w14:paraId="4420BB3F" w14:textId="77777777" w:rsidR="00C71E60" w:rsidRPr="004F4BA7" w:rsidRDefault="00C71E60" w:rsidP="00216BEB">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541" w:type="dxa"/>
            <w:noWrap/>
            <w:hideMark/>
          </w:tcPr>
          <w:p w14:paraId="36BC439E" w14:textId="77777777" w:rsidR="00C71E60" w:rsidRPr="004F4BA7" w:rsidRDefault="00C71E60" w:rsidP="00216BEB">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C4126C" w:rsidRPr="00C4126C" w14:paraId="22BD3014" w14:textId="77777777" w:rsidTr="004F4BA7">
        <w:trPr>
          <w:trHeight w:val="332"/>
        </w:trPr>
        <w:tc>
          <w:tcPr>
            <w:cnfStyle w:val="001000000000" w:firstRow="0" w:lastRow="0" w:firstColumn="1" w:lastColumn="0" w:oddVBand="0" w:evenVBand="0" w:oddHBand="0" w:evenHBand="0" w:firstRowFirstColumn="0" w:firstRowLastColumn="0" w:lastRowFirstColumn="0" w:lastRowLastColumn="0"/>
            <w:tcW w:w="1606" w:type="dxa"/>
            <w:hideMark/>
          </w:tcPr>
          <w:p w14:paraId="5650CB7B" w14:textId="77777777" w:rsidR="00C71E60" w:rsidRPr="004F4BA7" w:rsidRDefault="00C71E60" w:rsidP="00216BEB">
            <w:pPr>
              <w:keepNext/>
              <w:rPr>
                <w:color w:val="auto"/>
                <w:lang w:eastAsia="en-GB"/>
              </w:rPr>
            </w:pPr>
            <w:r w:rsidRPr="004F4BA7">
              <w:rPr>
                <w:color w:val="auto"/>
                <w:lang w:eastAsia="en-GB"/>
              </w:rPr>
              <w:t>1-bedroom</w:t>
            </w:r>
          </w:p>
        </w:tc>
        <w:tc>
          <w:tcPr>
            <w:tcW w:w="2540" w:type="dxa"/>
            <w:hideMark/>
          </w:tcPr>
          <w:p w14:paraId="749B0712"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541" w:type="dxa"/>
            <w:hideMark/>
          </w:tcPr>
          <w:p w14:paraId="7A6B3220"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20-25%</w:t>
            </w:r>
          </w:p>
        </w:tc>
        <w:tc>
          <w:tcPr>
            <w:tcW w:w="2541" w:type="dxa"/>
            <w:hideMark/>
          </w:tcPr>
          <w:p w14:paraId="7D6EE7BD"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C4126C" w:rsidRPr="00C4126C" w14:paraId="26534730" w14:textId="77777777" w:rsidTr="004F4BA7">
        <w:trPr>
          <w:trHeight w:val="126"/>
        </w:trPr>
        <w:tc>
          <w:tcPr>
            <w:cnfStyle w:val="001000000000" w:firstRow="0" w:lastRow="0" w:firstColumn="1" w:lastColumn="0" w:oddVBand="0" w:evenVBand="0" w:oddHBand="0" w:evenHBand="0" w:firstRowFirstColumn="0" w:firstRowLastColumn="0" w:lastRowFirstColumn="0" w:lastRowLastColumn="0"/>
            <w:tcW w:w="1606" w:type="dxa"/>
            <w:hideMark/>
          </w:tcPr>
          <w:p w14:paraId="4EEA30D4" w14:textId="77777777" w:rsidR="00C71E60" w:rsidRPr="004F4BA7" w:rsidRDefault="00C71E60" w:rsidP="00216BEB">
            <w:pPr>
              <w:keepNext/>
              <w:rPr>
                <w:color w:val="auto"/>
                <w:lang w:eastAsia="en-GB"/>
              </w:rPr>
            </w:pPr>
            <w:r w:rsidRPr="004F4BA7">
              <w:rPr>
                <w:color w:val="auto"/>
                <w:lang w:eastAsia="en-GB"/>
              </w:rPr>
              <w:t>2-bedrooms</w:t>
            </w:r>
          </w:p>
        </w:tc>
        <w:tc>
          <w:tcPr>
            <w:tcW w:w="2540" w:type="dxa"/>
            <w:hideMark/>
          </w:tcPr>
          <w:p w14:paraId="09600C63"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541" w:type="dxa"/>
            <w:hideMark/>
          </w:tcPr>
          <w:p w14:paraId="44C7DD80"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c>
          <w:tcPr>
            <w:tcW w:w="2541" w:type="dxa"/>
            <w:hideMark/>
          </w:tcPr>
          <w:p w14:paraId="42893F6E"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C4126C" w:rsidRPr="00C4126C" w14:paraId="6B2644D3" w14:textId="77777777" w:rsidTr="004F4BA7">
        <w:trPr>
          <w:trHeight w:val="61"/>
        </w:trPr>
        <w:tc>
          <w:tcPr>
            <w:cnfStyle w:val="001000000000" w:firstRow="0" w:lastRow="0" w:firstColumn="1" w:lastColumn="0" w:oddVBand="0" w:evenVBand="0" w:oddHBand="0" w:evenHBand="0" w:firstRowFirstColumn="0" w:firstRowLastColumn="0" w:lastRowFirstColumn="0" w:lastRowLastColumn="0"/>
            <w:tcW w:w="1606" w:type="dxa"/>
            <w:hideMark/>
          </w:tcPr>
          <w:p w14:paraId="63DEC950" w14:textId="77777777" w:rsidR="00C71E60" w:rsidRPr="004F4BA7" w:rsidRDefault="00C71E60" w:rsidP="00216BEB">
            <w:pPr>
              <w:keepNext/>
              <w:rPr>
                <w:color w:val="auto"/>
                <w:lang w:eastAsia="en-GB"/>
              </w:rPr>
            </w:pPr>
            <w:r w:rsidRPr="004F4BA7">
              <w:rPr>
                <w:color w:val="auto"/>
                <w:lang w:eastAsia="en-GB"/>
              </w:rPr>
              <w:t>3-bedrooms</w:t>
            </w:r>
          </w:p>
        </w:tc>
        <w:tc>
          <w:tcPr>
            <w:tcW w:w="2540" w:type="dxa"/>
            <w:hideMark/>
          </w:tcPr>
          <w:p w14:paraId="74DDE9D6"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541" w:type="dxa"/>
            <w:hideMark/>
          </w:tcPr>
          <w:p w14:paraId="0060A68A"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541" w:type="dxa"/>
            <w:hideMark/>
          </w:tcPr>
          <w:p w14:paraId="16E1AFE9"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10-20%</w:t>
            </w:r>
          </w:p>
        </w:tc>
      </w:tr>
      <w:tr w:rsidR="00C4126C" w:rsidRPr="00C4126C" w14:paraId="16B75428" w14:textId="77777777" w:rsidTr="004F4BA7">
        <w:trPr>
          <w:trHeight w:val="332"/>
        </w:trPr>
        <w:tc>
          <w:tcPr>
            <w:cnfStyle w:val="001000000000" w:firstRow="0" w:lastRow="0" w:firstColumn="1" w:lastColumn="0" w:oddVBand="0" w:evenVBand="0" w:oddHBand="0" w:evenHBand="0" w:firstRowFirstColumn="0" w:firstRowLastColumn="0" w:lastRowFirstColumn="0" w:lastRowLastColumn="0"/>
            <w:tcW w:w="1606" w:type="dxa"/>
            <w:hideMark/>
          </w:tcPr>
          <w:p w14:paraId="362B504A" w14:textId="77777777" w:rsidR="00C71E60" w:rsidRPr="004F4BA7" w:rsidRDefault="00C71E60" w:rsidP="00216BEB">
            <w:pPr>
              <w:keepNext/>
              <w:rPr>
                <w:color w:val="auto"/>
                <w:lang w:eastAsia="en-GB"/>
              </w:rPr>
            </w:pPr>
            <w:r w:rsidRPr="004F4BA7">
              <w:rPr>
                <w:color w:val="auto"/>
                <w:lang w:eastAsia="en-GB"/>
              </w:rPr>
              <w:t>4+-bedrooms</w:t>
            </w:r>
          </w:p>
        </w:tc>
        <w:tc>
          <w:tcPr>
            <w:tcW w:w="2540" w:type="dxa"/>
            <w:hideMark/>
          </w:tcPr>
          <w:p w14:paraId="36B3F9AE"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541" w:type="dxa"/>
            <w:hideMark/>
          </w:tcPr>
          <w:p w14:paraId="317E5709"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5-10%</w:t>
            </w:r>
          </w:p>
        </w:tc>
        <w:tc>
          <w:tcPr>
            <w:tcW w:w="2541" w:type="dxa"/>
            <w:hideMark/>
          </w:tcPr>
          <w:p w14:paraId="56DDD168" w14:textId="77777777" w:rsidR="00C71E60" w:rsidRPr="004F4BA7" w:rsidRDefault="00C71E60" w:rsidP="00216BEB">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13B9EB12" w14:textId="3CDB6513" w:rsidR="00C71E60" w:rsidRPr="000A4214" w:rsidRDefault="00C71E60" w:rsidP="007D0FBF">
      <w:pPr>
        <w:pStyle w:val="11Bodytext"/>
      </w:pPr>
      <w:r w:rsidRPr="000A4214">
        <w:t xml:space="preserve">The mix identified above should inform the preparation of strategic policies. However, in applying the mix to individual development sites the policies should be flexible enough to have regard to the nature of the site and character of the area, and to up-to-date evidence of need (such as the housing register) as well as the existing mix and turnover of properties at the local level. </w:t>
      </w:r>
      <w:r w:rsidR="00442A4E" w:rsidRPr="000A4214">
        <w:t>The Councils should also monitor the mix of housing delivered and respond accordingly so that the strategic mix requirements are closely met.</w:t>
      </w:r>
    </w:p>
    <w:p w14:paraId="50ABD4CF" w14:textId="6F932C37" w:rsidR="00C71E60" w:rsidRPr="001B0740" w:rsidRDefault="00C71E60" w:rsidP="00216BEB">
      <w:pPr>
        <w:pStyle w:val="Heading3"/>
      </w:pPr>
      <w:r w:rsidRPr="001B0740">
        <w:t>Older and disabled people need</w:t>
      </w:r>
    </w:p>
    <w:p w14:paraId="5D6E7251" w14:textId="6E8FDE4E" w:rsidR="00C71E60" w:rsidRPr="001B0740" w:rsidRDefault="00C71E60" w:rsidP="007D0FBF">
      <w:pPr>
        <w:pStyle w:val="11Bodytext"/>
      </w:pPr>
      <w:r w:rsidRPr="001B0740">
        <w:t>There is projected to be a 66% increase in the population aged 75</w:t>
      </w:r>
      <w:r w:rsidR="00437A3A">
        <w:t xml:space="preserve"> and </w:t>
      </w:r>
      <w:r w:rsidRPr="001B0740">
        <w:t xml:space="preserve">over </w:t>
      </w:r>
      <w:r w:rsidR="00437A3A">
        <w:t xml:space="preserve">between </w:t>
      </w:r>
      <w:r w:rsidRPr="001B0740">
        <w:t>2020-2040 across Fenland. Based on prevalence rates and the identified population growth of those aged 75</w:t>
      </w:r>
      <w:r w:rsidR="00F57EDA">
        <w:t xml:space="preserve"> and over</w:t>
      </w:r>
      <w:r w:rsidRPr="001B0740">
        <w:t xml:space="preserve"> we have identified the following surplus/shortfall in specialist housing for older people by 2040 as follows:</w:t>
      </w:r>
    </w:p>
    <w:tbl>
      <w:tblPr>
        <w:tblStyle w:val="TableGridLight1"/>
        <w:tblW w:w="8789" w:type="dxa"/>
        <w:tblInd w:w="846" w:type="dxa"/>
        <w:tblLook w:val="04A0" w:firstRow="1" w:lastRow="0" w:firstColumn="1" w:lastColumn="0" w:noHBand="0" w:noVBand="1"/>
      </w:tblPr>
      <w:tblGrid>
        <w:gridCol w:w="2929"/>
        <w:gridCol w:w="2930"/>
        <w:gridCol w:w="2930"/>
      </w:tblGrid>
      <w:tr w:rsidR="00956DC6" w:rsidRPr="00956DC6" w14:paraId="56B4A750" w14:textId="77777777" w:rsidTr="00956D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9" w:type="dxa"/>
            <w:hideMark/>
          </w:tcPr>
          <w:p w14:paraId="4B553EC0" w14:textId="77777777" w:rsidR="00956DC6" w:rsidRPr="00956DC6" w:rsidRDefault="00956DC6" w:rsidP="00956DC6">
            <w:pPr>
              <w:rPr>
                <w:bCs/>
                <w:color w:val="auto"/>
                <w:lang w:eastAsia="en-GB"/>
              </w:rPr>
            </w:pPr>
            <w:r w:rsidRPr="00956DC6">
              <w:rPr>
                <w:bCs/>
                <w:color w:val="auto"/>
                <w:lang w:eastAsia="en-GB"/>
              </w:rPr>
              <w:t>Type</w:t>
            </w:r>
          </w:p>
        </w:tc>
        <w:tc>
          <w:tcPr>
            <w:tcW w:w="2930" w:type="dxa"/>
            <w:hideMark/>
          </w:tcPr>
          <w:p w14:paraId="20553361"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Tenure</w:t>
            </w:r>
          </w:p>
        </w:tc>
        <w:tc>
          <w:tcPr>
            <w:tcW w:w="2930" w:type="dxa"/>
            <w:hideMark/>
          </w:tcPr>
          <w:p w14:paraId="7FA0CBBA"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Fenland</w:t>
            </w:r>
          </w:p>
        </w:tc>
      </w:tr>
      <w:tr w:rsidR="00956DC6" w:rsidRPr="00956DC6" w14:paraId="5857D09D" w14:textId="77777777" w:rsidTr="00956DC6">
        <w:trPr>
          <w:trHeight w:val="315"/>
        </w:trPr>
        <w:tc>
          <w:tcPr>
            <w:cnfStyle w:val="001000000000" w:firstRow="0" w:lastRow="0" w:firstColumn="1" w:lastColumn="0" w:oddVBand="0" w:evenVBand="0" w:oddHBand="0" w:evenHBand="0" w:firstRowFirstColumn="0" w:firstRowLastColumn="0" w:lastRowFirstColumn="0" w:lastRowLastColumn="0"/>
            <w:tcW w:w="2929" w:type="dxa"/>
            <w:hideMark/>
          </w:tcPr>
          <w:p w14:paraId="6B8394EE" w14:textId="4C7BE4BD" w:rsidR="00956DC6" w:rsidRPr="00956DC6" w:rsidRDefault="00956DC6" w:rsidP="00956DC6">
            <w:pPr>
              <w:jc w:val="center"/>
              <w:rPr>
                <w:color w:val="auto"/>
                <w:lang w:eastAsia="en-GB"/>
              </w:rPr>
            </w:pPr>
            <w:r w:rsidRPr="00956DC6">
              <w:rPr>
                <w:color w:val="auto"/>
                <w:lang w:eastAsia="en-GB"/>
              </w:rPr>
              <w:t>Housing with support</w:t>
            </w:r>
          </w:p>
        </w:tc>
        <w:tc>
          <w:tcPr>
            <w:tcW w:w="2930" w:type="dxa"/>
            <w:hideMark/>
          </w:tcPr>
          <w:p w14:paraId="31F56BBE"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30" w:type="dxa"/>
            <w:hideMark/>
          </w:tcPr>
          <w:p w14:paraId="2F33267A"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440</w:t>
            </w:r>
          </w:p>
        </w:tc>
      </w:tr>
      <w:tr w:rsidR="00956DC6" w:rsidRPr="00956DC6" w14:paraId="2CDDB0D3" w14:textId="77777777" w:rsidTr="00956DC6">
        <w:trPr>
          <w:trHeight w:val="315"/>
        </w:trPr>
        <w:tc>
          <w:tcPr>
            <w:cnfStyle w:val="001000000000" w:firstRow="0" w:lastRow="0" w:firstColumn="1" w:lastColumn="0" w:oddVBand="0" w:evenVBand="0" w:oddHBand="0" w:evenHBand="0" w:firstRowFirstColumn="0" w:firstRowLastColumn="0" w:lastRowFirstColumn="0" w:lastRowLastColumn="0"/>
            <w:tcW w:w="2929" w:type="dxa"/>
            <w:hideMark/>
          </w:tcPr>
          <w:p w14:paraId="3BEAFD03" w14:textId="480303CC" w:rsidR="00956DC6" w:rsidRPr="00956DC6" w:rsidRDefault="00956DC6" w:rsidP="00956DC6">
            <w:pPr>
              <w:jc w:val="center"/>
              <w:rPr>
                <w:color w:val="auto"/>
                <w:lang w:eastAsia="en-GB"/>
              </w:rPr>
            </w:pPr>
            <w:r w:rsidRPr="00956DC6">
              <w:rPr>
                <w:color w:val="auto"/>
                <w:lang w:eastAsia="en-GB"/>
              </w:rPr>
              <w:t>Housing with support</w:t>
            </w:r>
          </w:p>
        </w:tc>
        <w:tc>
          <w:tcPr>
            <w:tcW w:w="2930" w:type="dxa"/>
            <w:hideMark/>
          </w:tcPr>
          <w:p w14:paraId="40F93E19"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30" w:type="dxa"/>
            <w:hideMark/>
          </w:tcPr>
          <w:p w14:paraId="34D00F0A"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1,115</w:t>
            </w:r>
          </w:p>
        </w:tc>
      </w:tr>
      <w:tr w:rsidR="00956DC6" w:rsidRPr="00956DC6" w14:paraId="14767D54" w14:textId="77777777" w:rsidTr="00956DC6">
        <w:trPr>
          <w:trHeight w:val="315"/>
        </w:trPr>
        <w:tc>
          <w:tcPr>
            <w:cnfStyle w:val="001000000000" w:firstRow="0" w:lastRow="0" w:firstColumn="1" w:lastColumn="0" w:oddVBand="0" w:evenVBand="0" w:oddHBand="0" w:evenHBand="0" w:firstRowFirstColumn="0" w:firstRowLastColumn="0" w:lastRowFirstColumn="0" w:lastRowLastColumn="0"/>
            <w:tcW w:w="2929" w:type="dxa"/>
            <w:hideMark/>
          </w:tcPr>
          <w:p w14:paraId="4FD55F59" w14:textId="36B57A7B" w:rsidR="00956DC6" w:rsidRPr="00956DC6" w:rsidRDefault="00956DC6" w:rsidP="00956DC6">
            <w:pPr>
              <w:jc w:val="center"/>
              <w:rPr>
                <w:color w:val="auto"/>
                <w:lang w:eastAsia="en-GB"/>
              </w:rPr>
            </w:pPr>
            <w:r w:rsidRPr="00956DC6">
              <w:rPr>
                <w:color w:val="auto"/>
                <w:lang w:eastAsia="en-GB"/>
              </w:rPr>
              <w:t>Housing with care</w:t>
            </w:r>
          </w:p>
        </w:tc>
        <w:tc>
          <w:tcPr>
            <w:tcW w:w="2930" w:type="dxa"/>
            <w:hideMark/>
          </w:tcPr>
          <w:p w14:paraId="47B7CB39"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30" w:type="dxa"/>
            <w:hideMark/>
          </w:tcPr>
          <w:p w14:paraId="70FC272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304</w:t>
            </w:r>
          </w:p>
        </w:tc>
      </w:tr>
      <w:tr w:rsidR="00956DC6" w:rsidRPr="00956DC6" w14:paraId="6FD0D987" w14:textId="77777777" w:rsidTr="00956DC6">
        <w:trPr>
          <w:trHeight w:val="315"/>
        </w:trPr>
        <w:tc>
          <w:tcPr>
            <w:cnfStyle w:val="001000000000" w:firstRow="0" w:lastRow="0" w:firstColumn="1" w:lastColumn="0" w:oddVBand="0" w:evenVBand="0" w:oddHBand="0" w:evenHBand="0" w:firstRowFirstColumn="0" w:firstRowLastColumn="0" w:lastRowFirstColumn="0" w:lastRowLastColumn="0"/>
            <w:tcW w:w="2929" w:type="dxa"/>
            <w:hideMark/>
          </w:tcPr>
          <w:p w14:paraId="20B2ACB3" w14:textId="6B28A490" w:rsidR="00956DC6" w:rsidRPr="00956DC6" w:rsidRDefault="00956DC6" w:rsidP="00956DC6">
            <w:pPr>
              <w:jc w:val="center"/>
              <w:rPr>
                <w:color w:val="auto"/>
                <w:lang w:eastAsia="en-GB"/>
              </w:rPr>
            </w:pPr>
            <w:r w:rsidRPr="00956DC6">
              <w:rPr>
                <w:color w:val="auto"/>
                <w:lang w:eastAsia="en-GB"/>
              </w:rPr>
              <w:t>Housing with care</w:t>
            </w:r>
          </w:p>
        </w:tc>
        <w:tc>
          <w:tcPr>
            <w:tcW w:w="2930" w:type="dxa"/>
            <w:hideMark/>
          </w:tcPr>
          <w:p w14:paraId="019816D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30" w:type="dxa"/>
            <w:hideMark/>
          </w:tcPr>
          <w:p w14:paraId="42AFDD7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377</w:t>
            </w:r>
          </w:p>
        </w:tc>
      </w:tr>
      <w:tr w:rsidR="00956DC6" w:rsidRPr="00956DC6" w14:paraId="324C6FBA" w14:textId="77777777" w:rsidTr="00956DC6">
        <w:trPr>
          <w:trHeight w:val="315"/>
        </w:trPr>
        <w:tc>
          <w:tcPr>
            <w:cnfStyle w:val="001000000000" w:firstRow="0" w:lastRow="0" w:firstColumn="1" w:lastColumn="0" w:oddVBand="0" w:evenVBand="0" w:oddHBand="0" w:evenHBand="0" w:firstRowFirstColumn="0" w:firstRowLastColumn="0" w:lastRowFirstColumn="0" w:lastRowLastColumn="0"/>
            <w:tcW w:w="2929" w:type="dxa"/>
            <w:hideMark/>
          </w:tcPr>
          <w:p w14:paraId="3A360289" w14:textId="77777777" w:rsidR="00956DC6" w:rsidRPr="00956DC6" w:rsidRDefault="00956DC6" w:rsidP="00956DC6">
            <w:pPr>
              <w:jc w:val="center"/>
              <w:rPr>
                <w:color w:val="auto"/>
                <w:lang w:eastAsia="en-GB"/>
              </w:rPr>
            </w:pPr>
            <w:r w:rsidRPr="00956DC6">
              <w:rPr>
                <w:color w:val="auto"/>
                <w:lang w:eastAsia="en-GB"/>
              </w:rPr>
              <w:t>Care Bed-spaces</w:t>
            </w:r>
          </w:p>
        </w:tc>
        <w:tc>
          <w:tcPr>
            <w:tcW w:w="2930" w:type="dxa"/>
            <w:hideMark/>
          </w:tcPr>
          <w:p w14:paraId="450C0A3A" w14:textId="113E0706"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p>
        </w:tc>
        <w:tc>
          <w:tcPr>
            <w:tcW w:w="2930" w:type="dxa"/>
            <w:hideMark/>
          </w:tcPr>
          <w:p w14:paraId="79F11F5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1,200</w:t>
            </w:r>
          </w:p>
        </w:tc>
      </w:tr>
    </w:tbl>
    <w:p w14:paraId="51CF6612" w14:textId="77777777" w:rsidR="00C71E60" w:rsidRPr="000A4214" w:rsidRDefault="00C71E60" w:rsidP="007D0FBF">
      <w:pPr>
        <w:pStyle w:val="11Bodytext"/>
      </w:pPr>
      <w:r w:rsidRPr="000A4214">
        <w:t>The number of older people with dementia is expected to increase by 65.6% from 2020 to 2040. There is also a 56.7% increase projected for those with mobility problems over the same period.</w:t>
      </w:r>
    </w:p>
    <w:p w14:paraId="4C5F4496" w14:textId="58C26DD7" w:rsidR="00E36919" w:rsidRPr="000A4214" w:rsidRDefault="00E36919" w:rsidP="007D0FBF">
      <w:pPr>
        <w:pStyle w:val="11Bodytext"/>
      </w:pPr>
      <w:r w:rsidRPr="000A4214">
        <w:t xml:space="preserve">Using data from the EHS there is a current (451) and projected (816) need for about 1,267 wheelchair user dwellings to 2040 across Fenland. This equates to 11.80% of the total Local Housing Need. </w:t>
      </w:r>
    </w:p>
    <w:p w14:paraId="4EAFB417" w14:textId="77777777" w:rsidR="00353C82" w:rsidRPr="000A4214" w:rsidRDefault="00353C82" w:rsidP="007D0FBF">
      <w:pPr>
        <w:pStyle w:val="11Bodytext"/>
      </w:pPr>
      <w:r w:rsidRPr="000A4214">
        <w:lastRenderedPageBreak/>
        <w:t xml:space="preserve">Where viability permits, the Council should seek to deliver 100% of new homes as M4(2) compliant and at least 10% of new market homes and 25% of new affordable homes as being M4(3) compliant to meet the identified need. </w:t>
      </w:r>
    </w:p>
    <w:p w14:paraId="3991AAD9" w14:textId="77777777" w:rsidR="00C71E60" w:rsidRPr="001B0740" w:rsidRDefault="00C71E60" w:rsidP="00216BEB">
      <w:pPr>
        <w:pStyle w:val="Heading3"/>
      </w:pPr>
      <w:r w:rsidRPr="001B0740">
        <w:t>Student</w:t>
      </w:r>
    </w:p>
    <w:p w14:paraId="48347227" w14:textId="223E07A3" w:rsidR="00C71E60" w:rsidRPr="001B0740" w:rsidRDefault="00C71E60" w:rsidP="007D0FBF">
      <w:pPr>
        <w:pStyle w:val="11Bodytext"/>
      </w:pPr>
      <w:r w:rsidRPr="008E5DB4">
        <w:rPr>
          <w:rStyle w:val="11BodytextChar"/>
        </w:rPr>
        <w:t>No requirement has been identified for student accommodation in Fenland.</w:t>
      </w:r>
      <w:r w:rsidR="006937D3" w:rsidRPr="008E5DB4">
        <w:rPr>
          <w:rStyle w:val="11BodytextChar"/>
        </w:rPr>
        <w:t xml:space="preserve"> But any development being proposed which relates to purpose build student accommodation should be judged on its merits alongside an assessment of local demand. The developer should also demonstrate an agreement with a higher education provider</w:t>
      </w:r>
      <w:r w:rsidR="006937D3" w:rsidRPr="008677E9">
        <w:t>.</w:t>
      </w:r>
    </w:p>
    <w:p w14:paraId="2C314634" w14:textId="77777777" w:rsidR="00C71E60" w:rsidRPr="001B0740" w:rsidRDefault="00C71E60" w:rsidP="00216BEB">
      <w:pPr>
        <w:pStyle w:val="Heading3"/>
      </w:pPr>
      <w:r w:rsidRPr="001B0740">
        <w:t>People who rent their homes</w:t>
      </w:r>
    </w:p>
    <w:p w14:paraId="78A71A11" w14:textId="14722789" w:rsidR="00C71E60" w:rsidRPr="001B0740" w:rsidRDefault="00C71E60" w:rsidP="007D0FBF">
      <w:pPr>
        <w:pStyle w:val="11Bodytext"/>
      </w:pPr>
      <w:r w:rsidRPr="001B0740">
        <w:t xml:space="preserve">Demand for Private Rented Sector (PRS) housing increased by 140% in Fenland over the 2001 to 2011 period. Also, the tenure is likely to provide a route to affordable housing given that the number of households in PRS claiming Housing Benefit in Fenland is 1,062 in 2019. </w:t>
      </w:r>
    </w:p>
    <w:p w14:paraId="3FA66D20" w14:textId="290FCE77" w:rsidR="00C71E60" w:rsidRPr="001B0740" w:rsidRDefault="00C71E60" w:rsidP="007D0FBF">
      <w:pPr>
        <w:pStyle w:val="11Bodytext"/>
      </w:pPr>
      <w:r w:rsidRPr="001B0740">
        <w:t>Notwithstanding</w:t>
      </w:r>
      <w:r w:rsidR="00443AE2">
        <w:t xml:space="preserve"> this</w:t>
      </w:r>
      <w:r w:rsidRPr="001B0740">
        <w:t xml:space="preserve">, this study does not place a specific estimate on the demand for PRS in Fenland. This is because decisions on the part of individual households to buy or rent a home in the open market is dependent on several factors which means that demand can fluctuate over time (for example the availability of government schemes such as Help to Buy). </w:t>
      </w:r>
    </w:p>
    <w:p w14:paraId="6EB52D4E" w14:textId="7EFA5036" w:rsidR="00C71E60" w:rsidRPr="00303311" w:rsidRDefault="00C71E60" w:rsidP="007D0FBF">
      <w:pPr>
        <w:pStyle w:val="11Bodytext"/>
      </w:pPr>
      <w:r>
        <w:t xml:space="preserve">Institutional </w:t>
      </w:r>
      <w:r w:rsidRPr="001B0740">
        <w:t xml:space="preserve">Build to Rent </w:t>
      </w:r>
      <w:r>
        <w:t xml:space="preserve">investment and </w:t>
      </w:r>
      <w:r w:rsidRPr="001B0740">
        <w:t xml:space="preserve">development </w:t>
      </w:r>
      <w:r>
        <w:t xml:space="preserve">has thus far been typically focused in larger urban areas. Therefore, it is unlikely that </w:t>
      </w:r>
      <w:r w:rsidR="00100ACE">
        <w:t>Fenland</w:t>
      </w:r>
      <w:r w:rsidRPr="001B0740">
        <w:t xml:space="preserve"> </w:t>
      </w:r>
      <w:r>
        <w:t>will see much interest in this type of development. However, where build to rent is being proposed, the policy position should be supportive, subject to the location and characteristics of the site in question and the proportion of units for affordable private rent being provided (seeking a minimum of 20%).</w:t>
      </w:r>
    </w:p>
    <w:p w14:paraId="5A0CBA6B" w14:textId="77777777" w:rsidR="00C71E60" w:rsidRPr="001B0740" w:rsidRDefault="00C71E60" w:rsidP="00216BEB">
      <w:pPr>
        <w:pStyle w:val="Heading3"/>
      </w:pPr>
      <w:r w:rsidRPr="001B0740">
        <w:t xml:space="preserve">Self-build and custom-build housing </w:t>
      </w:r>
    </w:p>
    <w:p w14:paraId="2133F13E" w14:textId="47C1537B" w:rsidR="00C71E60" w:rsidRPr="001B0740" w:rsidRDefault="00C71E60" w:rsidP="007D0FBF">
      <w:pPr>
        <w:pStyle w:val="11Bodytext"/>
      </w:pPr>
      <w:r>
        <w:t xml:space="preserve">The Council is required to permit plots for new custom and self-build homes for every new entry on to its custom and self-build register within three years of the end of each base period.  An indication of the scale of this need is taken from the current register </w:t>
      </w:r>
      <w:r>
        <w:lastRenderedPageBreak/>
        <w:t>and suggests that Fenland should permit</w:t>
      </w:r>
      <w:r w:rsidRPr="001B0740">
        <w:t xml:space="preserve"> </w:t>
      </w:r>
      <w:r>
        <w:t>1</w:t>
      </w:r>
      <w:r w:rsidRPr="001B0740">
        <w:t xml:space="preserve"> self-build plot annually</w:t>
      </w:r>
      <w:r>
        <w:t xml:space="preserve">. </w:t>
      </w:r>
      <w:r w:rsidRPr="001B0740">
        <w:t xml:space="preserve"> </w:t>
      </w:r>
      <w:r>
        <w:t>Although an alternative assessment has put this figure at up to 38 plots per annum.</w:t>
      </w:r>
    </w:p>
    <w:p w14:paraId="4B15A5B7" w14:textId="49DFA793" w:rsidR="00C71E60" w:rsidRPr="008E5DB4" w:rsidRDefault="00C71E60" w:rsidP="00216BEB">
      <w:pPr>
        <w:pStyle w:val="Heading3"/>
      </w:pPr>
      <w:r w:rsidRPr="001B0740">
        <w:t>Service Families</w:t>
      </w:r>
    </w:p>
    <w:p w14:paraId="188340D7" w14:textId="77777777" w:rsidR="00C71E60" w:rsidRPr="00A70705" w:rsidRDefault="00C71E60" w:rsidP="007D0FBF">
      <w:pPr>
        <w:pStyle w:val="11Bodytext"/>
      </w:pPr>
      <w:r w:rsidRPr="00A70705">
        <w:t xml:space="preserve">Given the lack of military personnel in </w:t>
      </w:r>
      <w:r>
        <w:t>Fenland</w:t>
      </w:r>
      <w:r w:rsidRPr="00A70705">
        <w:t xml:space="preserve"> there is unlikely to be any demand for military housing in the area. </w:t>
      </w:r>
    </w:p>
    <w:p w14:paraId="09CF0E60" w14:textId="77777777" w:rsidR="00C71E60" w:rsidRPr="001B0740" w:rsidRDefault="00C71E60" w:rsidP="00216BEB">
      <w:pPr>
        <w:pStyle w:val="Heading2"/>
      </w:pPr>
      <w:r w:rsidRPr="001B0740">
        <w:t>Huntingdonshire</w:t>
      </w:r>
    </w:p>
    <w:p w14:paraId="676729F3" w14:textId="77777777" w:rsidR="00C71E60" w:rsidRPr="001B0740" w:rsidRDefault="00C71E60" w:rsidP="00C71E60">
      <w:pPr>
        <w:ind w:firstLine="426"/>
        <w:rPr>
          <w:color w:val="0093D5"/>
        </w:rPr>
      </w:pPr>
    </w:p>
    <w:p w14:paraId="7BC14E81" w14:textId="77777777" w:rsidR="00C71E60" w:rsidRPr="001B0740" w:rsidRDefault="00C71E60" w:rsidP="00216BEB">
      <w:pPr>
        <w:pStyle w:val="Heading3"/>
      </w:pPr>
      <w:r w:rsidRPr="001B0740">
        <w:t>Demographic Baseline</w:t>
      </w:r>
    </w:p>
    <w:p w14:paraId="527B62F2" w14:textId="405771CD" w:rsidR="00C71E60" w:rsidRPr="001B0740" w:rsidRDefault="00C71E60" w:rsidP="007D0FBF">
      <w:pPr>
        <w:pStyle w:val="11Bodytext"/>
      </w:pPr>
      <w:r w:rsidRPr="001B0740">
        <w:t>The total population of Huntingdonshire is 178,000</w:t>
      </w:r>
      <w:r w:rsidR="00E81357">
        <w:t xml:space="preserve"> </w:t>
      </w:r>
      <w:r w:rsidRPr="001B0740">
        <w:t xml:space="preserve">persons as of mid-2019. Since 1991 the population has grown by </w:t>
      </w:r>
      <w:r w:rsidRPr="001B0740">
        <w:rPr>
          <w:rFonts w:eastAsia="Times New Roman"/>
          <w:color w:val="000000"/>
          <w:lang w:eastAsia="en-GB"/>
        </w:rPr>
        <w:t>21</w:t>
      </w:r>
      <w:r w:rsidRPr="001B0740">
        <w:t xml:space="preserve">% with an average annual growth rate of </w:t>
      </w:r>
      <w:r w:rsidRPr="001B0740">
        <w:rPr>
          <w:rFonts w:eastAsia="Times New Roman"/>
          <w:color w:val="000000"/>
          <w:lang w:eastAsia="en-GB"/>
        </w:rPr>
        <w:t>0.7</w:t>
      </w:r>
      <w:r w:rsidRPr="001B0740">
        <w:t xml:space="preserve">%. There is a total of 77,860 dwellings across Huntingdonshire as </w:t>
      </w:r>
      <w:proofErr w:type="gramStart"/>
      <w:r w:rsidRPr="001B0740">
        <w:t>at</w:t>
      </w:r>
      <w:proofErr w:type="gramEnd"/>
      <w:r w:rsidRPr="001B0740">
        <w:t xml:space="preserve"> 31</w:t>
      </w:r>
      <w:r w:rsidRPr="001B0740">
        <w:rPr>
          <w:vertAlign w:val="superscript"/>
        </w:rPr>
        <w:t>st</w:t>
      </w:r>
      <w:r w:rsidRPr="001B0740">
        <w:t xml:space="preserve"> March 2020. Since 2001 Huntingdonshire’s population change has been predominantly driven by natural change (births minus deaths) and internal migration.</w:t>
      </w:r>
    </w:p>
    <w:p w14:paraId="3D1C2936" w14:textId="75B59D23" w:rsidR="00C71E60" w:rsidRPr="001B0740" w:rsidRDefault="00C71E60" w:rsidP="007D0FBF">
      <w:pPr>
        <w:pStyle w:val="11Bodytext"/>
      </w:pPr>
      <w:r w:rsidRPr="001B0740">
        <w:t xml:space="preserve">In comparison to the </w:t>
      </w:r>
      <w:proofErr w:type="spellStart"/>
      <w:r w:rsidR="00511DB1">
        <w:t>the</w:t>
      </w:r>
      <w:proofErr w:type="spellEnd"/>
      <w:r w:rsidR="00511DB1">
        <w:t xml:space="preserve"> HMA average</w:t>
      </w:r>
      <w:r w:rsidR="008065C4">
        <w:t>,</w:t>
      </w:r>
      <w:r w:rsidRPr="001B0740">
        <w:t xml:space="preserve"> </w:t>
      </w:r>
      <w:r w:rsidR="00415A79">
        <w:t xml:space="preserve">in 2019 </w:t>
      </w:r>
      <w:r w:rsidRPr="001B0740">
        <w:t xml:space="preserve">Huntingdonshire has a slightly higher proportion of people aged 50-74 years old </w:t>
      </w:r>
      <w:r w:rsidR="00511DB1">
        <w:t>(</w:t>
      </w:r>
      <w:r w:rsidR="00415A79">
        <w:t xml:space="preserve">31.9%) </w:t>
      </w:r>
      <w:r w:rsidRPr="001B0740">
        <w:t>but a relatively lower proportion of people in the very oldest cohorts (85+)</w:t>
      </w:r>
      <w:r w:rsidR="00415A79">
        <w:t xml:space="preserve"> (2.5%)</w:t>
      </w:r>
      <w:r w:rsidRPr="001B0740">
        <w:t xml:space="preserve">.  </w:t>
      </w:r>
    </w:p>
    <w:p w14:paraId="67C1D09E" w14:textId="77777777" w:rsidR="00C71E60" w:rsidRPr="001B0740" w:rsidRDefault="00C71E60" w:rsidP="00216BEB">
      <w:pPr>
        <w:pStyle w:val="Heading3"/>
      </w:pPr>
      <w:r w:rsidRPr="001B0740">
        <w:t xml:space="preserve">Market Signals </w:t>
      </w:r>
    </w:p>
    <w:p w14:paraId="3368E05E" w14:textId="2AD1DDAF" w:rsidR="00C71E60" w:rsidRPr="001B0740" w:rsidRDefault="00C71E60" w:rsidP="007D0FBF">
      <w:pPr>
        <w:pStyle w:val="11Bodytext"/>
      </w:pPr>
      <w:r w:rsidRPr="001B0740">
        <w:t>The median house price in Huntingdonshire is £</w:t>
      </w:r>
      <w:r w:rsidRPr="001B0740">
        <w:rPr>
          <w:color w:val="000000"/>
        </w:rPr>
        <w:t xml:space="preserve">275,000. </w:t>
      </w:r>
      <w:r w:rsidRPr="001B0740">
        <w:t>This is 20% above the national average</w:t>
      </w:r>
      <w:r w:rsidR="004908CC">
        <w:t xml:space="preserve"> of £230,000</w:t>
      </w:r>
      <w:r w:rsidRPr="001B0740">
        <w:t xml:space="preserve"> and 3% below the regional average. </w:t>
      </w:r>
      <w:r w:rsidR="00671D12">
        <w:t>Between 2009 and 2019</w:t>
      </w:r>
      <w:r w:rsidRPr="001B0740">
        <w:t>, Huntingdonshire has seen an increase in median house prices of 53.4% compared to 27.6% nationally, and 42.5% regionally.</w:t>
      </w:r>
    </w:p>
    <w:p w14:paraId="5F1C03D9" w14:textId="08F28AB4" w:rsidR="00C71E60" w:rsidRPr="008E5DB4" w:rsidRDefault="00C71E60" w:rsidP="007D0FBF">
      <w:pPr>
        <w:pStyle w:val="11Bodytext"/>
      </w:pPr>
      <w:r w:rsidRPr="001B0740">
        <w:t xml:space="preserve">Median rental prices within the private rented sector across Huntingdonshire are £765 </w:t>
      </w:r>
      <w:r w:rsidR="00DE53E3">
        <w:t>per calendar month</w:t>
      </w:r>
      <w:r w:rsidRPr="001B0740">
        <w:t xml:space="preserve">. This is above the national equivalents of £695, but below the regional equivalent of £795. Huntingdonshire has a median </w:t>
      </w:r>
      <w:r w:rsidR="008065C4" w:rsidRPr="001B0740">
        <w:t>workplace</w:t>
      </w:r>
      <w:r w:rsidR="008065C4">
        <w:t>-</w:t>
      </w:r>
      <w:r w:rsidRPr="001B0740">
        <w:t xml:space="preserve">based affordability ratio of 9.31 compared to </w:t>
      </w:r>
      <w:r w:rsidRPr="001B0740">
        <w:rPr>
          <w:rFonts w:eastAsia="Times New Roman"/>
          <w:color w:val="000000"/>
          <w:lang w:eastAsia="en-GB"/>
        </w:rPr>
        <w:t>9.47</w:t>
      </w:r>
      <w:r w:rsidRPr="001B0740">
        <w:t xml:space="preserve"> for the East of England and </w:t>
      </w:r>
      <w:r w:rsidRPr="001B0740">
        <w:rPr>
          <w:rFonts w:eastAsia="Times New Roman"/>
          <w:color w:val="000000"/>
          <w:lang w:eastAsia="en-GB"/>
        </w:rPr>
        <w:t>7.83</w:t>
      </w:r>
      <w:r w:rsidRPr="001B0740">
        <w:t xml:space="preserve"> nationally.</w:t>
      </w:r>
    </w:p>
    <w:p w14:paraId="50CC7871" w14:textId="77777777" w:rsidR="00C71E60" w:rsidRPr="001B0740" w:rsidRDefault="00C71E60" w:rsidP="007D0FBF">
      <w:pPr>
        <w:pStyle w:val="11Bodytext"/>
      </w:pPr>
      <w:r w:rsidRPr="001B0740">
        <w:t xml:space="preserve">Between 2001 and 2011 Huntingdonshire saw the proportion of residents living in over-occupied properties increase by </w:t>
      </w:r>
      <w:r w:rsidRPr="001B0740">
        <w:rPr>
          <w:rFonts w:eastAsia="Times New Roman"/>
          <w:color w:val="000000"/>
          <w:lang w:eastAsia="en-GB"/>
        </w:rPr>
        <w:t>32.1</w:t>
      </w:r>
      <w:r w:rsidRPr="001B0740">
        <w:t xml:space="preserve">%. This is </w:t>
      </w:r>
      <w:r>
        <w:t>a smaller growth than</w:t>
      </w:r>
      <w:r w:rsidRPr="001B0740">
        <w:t xml:space="preserve"> the national (32.3%) and regional (35.6%) equivalents. </w:t>
      </w:r>
    </w:p>
    <w:p w14:paraId="50BE3AE0" w14:textId="55BCD473" w:rsidR="00C71E60" w:rsidRPr="001B0740" w:rsidRDefault="00C71E60" w:rsidP="00216BEB">
      <w:pPr>
        <w:pStyle w:val="Heading3"/>
      </w:pPr>
      <w:r w:rsidRPr="001B0740">
        <w:lastRenderedPageBreak/>
        <w:t>Local Housing Need</w:t>
      </w:r>
      <w:r w:rsidR="00436286">
        <w:t xml:space="preserve"> and Population Growth</w:t>
      </w:r>
    </w:p>
    <w:p w14:paraId="6EBEE0C6" w14:textId="053C370A" w:rsidR="00C71E60" w:rsidRPr="001B0740" w:rsidRDefault="00C71E60" w:rsidP="007D0FBF">
      <w:pPr>
        <w:pStyle w:val="11Bodytext"/>
      </w:pPr>
      <w:r w:rsidRPr="001B0740">
        <w:t>Step 1 of the standard method currently draws on the 2014-based household projections which set out a household growth of 733 per annum over the period 2020-2030 across Huntingdonshire.</w:t>
      </w:r>
    </w:p>
    <w:p w14:paraId="4E4CC69D" w14:textId="29B7B423" w:rsidR="00C71E60" w:rsidRPr="001B0740" w:rsidRDefault="00C71E60" w:rsidP="007D0FBF">
      <w:pPr>
        <w:pStyle w:val="11Bodytext"/>
      </w:pPr>
      <w:r w:rsidRPr="001B0740">
        <w:t>Step 2 of the standard method increases the Housing Need based on local affordability. The affordability rati</w:t>
      </w:r>
      <w:r w:rsidR="00697A61">
        <w:t>o for Huntingdonshire is 9.3</w:t>
      </w:r>
      <w:r w:rsidRPr="001B0740">
        <w:t xml:space="preserve"> (</w:t>
      </w:r>
      <w:r w:rsidR="00B945E7" w:rsidRPr="001B0740">
        <w:t>2019)</w:t>
      </w:r>
      <w:r w:rsidR="00697A61">
        <w:t>.</w:t>
      </w:r>
      <w:r w:rsidRPr="001B0740">
        <w:t xml:space="preserve"> Using the prescribed formula, the local affordability ratio results in </w:t>
      </w:r>
      <w:r w:rsidR="00D63E7E">
        <w:t xml:space="preserve">an </w:t>
      </w:r>
      <w:r w:rsidRPr="001B0740">
        <w:t xml:space="preserve">uplift of 33%. This increases the need by 243 to 976 dwellings per </w:t>
      </w:r>
      <w:r w:rsidR="00D63E7E">
        <w:t>annum</w:t>
      </w:r>
      <w:r w:rsidR="00D63E7E" w:rsidRPr="001B0740">
        <w:t xml:space="preserve"> </w:t>
      </w:r>
      <w:r w:rsidRPr="001B0740">
        <w:t>(</w:t>
      </w:r>
      <w:proofErr w:type="spellStart"/>
      <w:r w:rsidRPr="001B0740">
        <w:t>dpa</w:t>
      </w:r>
      <w:proofErr w:type="spellEnd"/>
      <w:r w:rsidRPr="001B0740">
        <w:t xml:space="preserve">). </w:t>
      </w:r>
    </w:p>
    <w:p w14:paraId="438D3158" w14:textId="3E8DFDB7" w:rsidR="00C71E60" w:rsidRPr="001B0740" w:rsidRDefault="00C71E60" w:rsidP="007D0FBF">
      <w:pPr>
        <w:pStyle w:val="11Bodytext"/>
      </w:pPr>
      <w:r w:rsidRPr="001B0740">
        <w:t xml:space="preserve">To ensure deliverability Step 3 of the standard method caps the uplifts in Step 2. This is effectively not applied in Huntingdonshire due to the age of Local Plan and the target set out </w:t>
      </w:r>
      <w:r w:rsidR="00697A61">
        <w:t>therein.</w:t>
      </w:r>
      <w:r w:rsidRPr="001B0740">
        <w:t xml:space="preserve"> </w:t>
      </w:r>
    </w:p>
    <w:p w14:paraId="2710D419" w14:textId="6B9652D2" w:rsidR="00C71E60" w:rsidRPr="001B0740" w:rsidRDefault="00C71E60" w:rsidP="007D0FBF">
      <w:pPr>
        <w:pStyle w:val="11Bodytext"/>
      </w:pPr>
      <w:r w:rsidRPr="001B0740">
        <w:t xml:space="preserve">Based on the standard method Huntingdonshire’s housing need is 976 dwellings per annum. Although calculated over the 2020-2030 period it can be applied across the plan period and responds to historic under-delivery. </w:t>
      </w:r>
    </w:p>
    <w:p w14:paraId="4BA583BF" w14:textId="2F1CBA51" w:rsidR="00C71E60" w:rsidRPr="001B0740" w:rsidRDefault="00C71E60" w:rsidP="007D0FBF">
      <w:pPr>
        <w:pStyle w:val="11Bodytext"/>
      </w:pPr>
      <w:r w:rsidRPr="001B0740">
        <w:t xml:space="preserve">A scenario has been modelled whereby household formation rates are improved and population growth increased to fill these homes. This sees an additional 36,209 people in Huntingdonshire </w:t>
      </w:r>
      <w:r w:rsidR="00BE6720">
        <w:t xml:space="preserve">District </w:t>
      </w:r>
      <w:r w:rsidRPr="001B0740">
        <w:t xml:space="preserve">over the period 2020-2040. </w:t>
      </w:r>
    </w:p>
    <w:p w14:paraId="455C6814" w14:textId="15F66A6D" w:rsidR="00C71E60" w:rsidRPr="001B0740" w:rsidRDefault="00C71E60" w:rsidP="00216BEB">
      <w:pPr>
        <w:pStyle w:val="Heading3"/>
      </w:pPr>
      <w:r w:rsidRPr="001B0740">
        <w:t>Affordable Housing Need</w:t>
      </w:r>
    </w:p>
    <w:p w14:paraId="29DEE766" w14:textId="1820DFE9" w:rsidR="00C71E60" w:rsidRPr="001B0740" w:rsidRDefault="00C71E60" w:rsidP="007D0FBF">
      <w:pPr>
        <w:pStyle w:val="11Bodytext"/>
      </w:pPr>
      <w:r w:rsidRPr="001B0740">
        <w:t>The analysis shows that 404 households per annum will require affordable housing to rent between 2020 and 2040. This equates to around 41% of the overall need although such a calculation should be treated with caution as it contains an element of double counting</w:t>
      </w:r>
      <w:r>
        <w:t xml:space="preserve"> </w:t>
      </w:r>
      <w:proofErr w:type="gramStart"/>
      <w:r>
        <w:t>i.e.</w:t>
      </w:r>
      <w:proofErr w:type="gramEnd"/>
      <w:r>
        <w:t xml:space="preserve"> both include newly forming households</w:t>
      </w:r>
      <w:r w:rsidRPr="001B0740">
        <w:t>.</w:t>
      </w:r>
    </w:p>
    <w:p w14:paraId="65B7F8C6" w14:textId="03B4C677" w:rsidR="00C71E60" w:rsidRPr="001B0740" w:rsidRDefault="00C71E60" w:rsidP="007D0FBF">
      <w:pPr>
        <w:pStyle w:val="11Bodytext"/>
      </w:pPr>
      <w:r w:rsidRPr="001B0740">
        <w:t xml:space="preserve">Based purely on affordability around 72% should be social rent and 28% affordable rent. </w:t>
      </w:r>
      <w:r>
        <w:t>I</w:t>
      </w:r>
      <w:r w:rsidRPr="00AF654D">
        <w:t>t is not recommended that the Councils have a rigid policy for the split between social and affordable rent housing</w:t>
      </w:r>
      <w:r>
        <w:t xml:space="preserve"> on this basis alone. T</w:t>
      </w:r>
      <w:r w:rsidRPr="00AF654D">
        <w:t>he analysis is clear that both tenures of homes are likely to be required in all areas</w:t>
      </w:r>
      <w:r>
        <w:t>, this should be brought together with other considerations outlined above, should the Councils wish to implement a Local Plan policy</w:t>
      </w:r>
      <w:r w:rsidRPr="001B0740">
        <w:t>.</w:t>
      </w:r>
    </w:p>
    <w:p w14:paraId="7DFDE512" w14:textId="4B1AACFE" w:rsidR="00C71E60" w:rsidRPr="001B0740" w:rsidRDefault="00C71E60" w:rsidP="007D0FBF">
      <w:pPr>
        <w:pStyle w:val="11Bodytext"/>
      </w:pPr>
      <w:r w:rsidRPr="001B0740">
        <w:lastRenderedPageBreak/>
        <w:t xml:space="preserve">There is a requirement in the NPPF for at least 10% of all new homes on </w:t>
      </w:r>
      <w:r w:rsidR="003025E3">
        <w:t>major</w:t>
      </w:r>
      <w:r w:rsidR="003025E3" w:rsidRPr="001B0740">
        <w:t xml:space="preserve"> </w:t>
      </w:r>
      <w:r w:rsidRPr="001B0740">
        <w:t xml:space="preserve">sites to be affordable home ownership properties unless it would significantly prejudice the ability to meet the identified affordable housing needs of specific groups. Given the relative scale of </w:t>
      </w:r>
      <w:r>
        <w:t xml:space="preserve">need for </w:t>
      </w:r>
      <w:r w:rsidRPr="001B0740">
        <w:t>affordable housing to rent</w:t>
      </w:r>
      <w:r>
        <w:t xml:space="preserve"> (404 per annum)</w:t>
      </w:r>
      <w:r w:rsidRPr="001B0740">
        <w:t xml:space="preserve"> compared to affordable home ownership</w:t>
      </w:r>
      <w:r>
        <w:t xml:space="preserve"> (26 per annum), i</w:t>
      </w:r>
      <w:r w:rsidRPr="001B0740">
        <w:t xml:space="preserve">t seems reasonable to suggest that Huntingdonshire could consider seeking no more than 10% of all housing (on </w:t>
      </w:r>
      <w:r w:rsidR="003025E3">
        <w:t xml:space="preserve">major </w:t>
      </w:r>
      <w:r w:rsidRPr="001B0740">
        <w:t>sites) to be affordable home ownership (as set out in the NPPF) unless this would prejudice meeting the needs of other groups.</w:t>
      </w:r>
    </w:p>
    <w:p w14:paraId="7EC3D58E" w14:textId="28C6AD6D" w:rsidR="00C71E60" w:rsidRPr="001B0740" w:rsidRDefault="00C71E60" w:rsidP="007D0FBF">
      <w:pPr>
        <w:pStyle w:val="11Bodytext"/>
      </w:pPr>
      <w:r>
        <w:t xml:space="preserve">Given that affordable housing delivery </w:t>
      </w:r>
      <w:r w:rsidR="00BE6720">
        <w:t xml:space="preserve">may </w:t>
      </w:r>
      <w:r>
        <w:t>be curtailed by viability it will u</w:t>
      </w:r>
      <w:r w:rsidRPr="001A4A72">
        <w:t xml:space="preserve">ltimately </w:t>
      </w:r>
      <w:r>
        <w:t>be a</w:t>
      </w:r>
      <w:r w:rsidRPr="001A4A72">
        <w:t xml:space="preserve"> choice</w:t>
      </w:r>
      <w:r>
        <w:t xml:space="preserve"> for the Council to make</w:t>
      </w:r>
      <w:r w:rsidRPr="001A4A72">
        <w:t xml:space="preserve"> </w:t>
      </w:r>
      <w:r>
        <w:t xml:space="preserve">in relation to the split between social and affordable rent and affordable home ownership products.   In making this choice </w:t>
      </w:r>
      <w:r w:rsidRPr="001A4A72">
        <w:t>they</w:t>
      </w:r>
      <w:r>
        <w:t xml:space="preserve"> should</w:t>
      </w:r>
      <w:r w:rsidRPr="001A4A72">
        <w:t xml:space="preserve"> consider a wide range of factors including </w:t>
      </w:r>
      <w:r w:rsidR="008065C4">
        <w:t xml:space="preserve">the </w:t>
      </w:r>
      <w:r w:rsidRPr="001A4A72">
        <w:t>local priority (dealing with acute need or promoting home-ownership) and the viability of different products.</w:t>
      </w:r>
    </w:p>
    <w:p w14:paraId="39E4AE69" w14:textId="1FB8641D" w:rsidR="00C71E60" w:rsidRPr="001B0740" w:rsidRDefault="00C71E60" w:rsidP="007D0FBF">
      <w:pPr>
        <w:pStyle w:val="11Bodytext"/>
      </w:pPr>
      <w:r>
        <w:t xml:space="preserve">Shared Ownership (due to its low deposit requirement) and </w:t>
      </w:r>
      <w:r w:rsidRPr="001B0740">
        <w:t>Discount Market Sale</w:t>
      </w:r>
      <w:r w:rsidR="00BE6720">
        <w:t xml:space="preserve"> housing</w:t>
      </w:r>
      <w:r w:rsidRPr="001B0740">
        <w:t xml:space="preserve"> are the most appropriate low-cost home ownership products as these will reach the widest and lowest-earning population base. </w:t>
      </w:r>
    </w:p>
    <w:p w14:paraId="05E8AA8A" w14:textId="1F3F5A8A" w:rsidR="00C71E60" w:rsidRPr="008E5DB4" w:rsidRDefault="00C71E60" w:rsidP="00216BEB">
      <w:pPr>
        <w:pStyle w:val="Heading3"/>
      </w:pPr>
      <w:r w:rsidRPr="001B0740">
        <w:t>Housing Mix</w:t>
      </w:r>
    </w:p>
    <w:p w14:paraId="49E31AB1" w14:textId="3A2BF2BF" w:rsidR="00C71E60" w:rsidRPr="001B0740" w:rsidRDefault="00C71E60" w:rsidP="007D0FBF">
      <w:pPr>
        <w:pStyle w:val="11Bodytext"/>
      </w:pPr>
      <w:r w:rsidRPr="001B0740">
        <w:t xml:space="preserve">The following mix of homes size by tenure is suggested as a strategic mix for Huntingdonshire </w:t>
      </w:r>
      <w:r>
        <w:t>for</w:t>
      </w:r>
      <w:r w:rsidRPr="001B0740">
        <w:t xml:space="preserve"> the 2020-2040 period.</w:t>
      </w:r>
    </w:p>
    <w:tbl>
      <w:tblPr>
        <w:tblStyle w:val="TableGridLight1"/>
        <w:tblW w:w="8930" w:type="dxa"/>
        <w:tblInd w:w="704" w:type="dxa"/>
        <w:tblLayout w:type="fixed"/>
        <w:tblLook w:val="04A0" w:firstRow="1" w:lastRow="0" w:firstColumn="1" w:lastColumn="0" w:noHBand="0" w:noVBand="1"/>
      </w:tblPr>
      <w:tblGrid>
        <w:gridCol w:w="1632"/>
        <w:gridCol w:w="2432"/>
        <w:gridCol w:w="2433"/>
        <w:gridCol w:w="2433"/>
      </w:tblGrid>
      <w:tr w:rsidR="00C4126C" w:rsidRPr="00C4126C" w14:paraId="0956F01A" w14:textId="77777777" w:rsidTr="004F4BA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32" w:type="dxa"/>
            <w:noWrap/>
            <w:hideMark/>
          </w:tcPr>
          <w:p w14:paraId="651E755E" w14:textId="77777777" w:rsidR="00C71E60" w:rsidRPr="004F4BA7" w:rsidRDefault="00C71E60" w:rsidP="00C71E60">
            <w:pPr>
              <w:rPr>
                <w:color w:val="auto"/>
                <w:lang w:eastAsia="en-GB"/>
              </w:rPr>
            </w:pPr>
            <w:r w:rsidRPr="004F4BA7">
              <w:rPr>
                <w:color w:val="auto"/>
                <w:lang w:eastAsia="en-GB"/>
              </w:rPr>
              <w:t>Size</w:t>
            </w:r>
          </w:p>
        </w:tc>
        <w:tc>
          <w:tcPr>
            <w:tcW w:w="2432" w:type="dxa"/>
            <w:noWrap/>
            <w:hideMark/>
          </w:tcPr>
          <w:p w14:paraId="5C898584" w14:textId="77777777" w:rsidR="00C71E60" w:rsidRPr="004F4BA7" w:rsidRDefault="00C71E60" w:rsidP="00956DC6">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433" w:type="dxa"/>
            <w:noWrap/>
            <w:hideMark/>
          </w:tcPr>
          <w:p w14:paraId="22D40826" w14:textId="77777777" w:rsidR="00C71E60" w:rsidRPr="004F4BA7" w:rsidRDefault="00C71E60" w:rsidP="00956DC6">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433" w:type="dxa"/>
            <w:noWrap/>
            <w:hideMark/>
          </w:tcPr>
          <w:p w14:paraId="3B496290" w14:textId="77777777" w:rsidR="00C71E60" w:rsidRPr="004F4BA7" w:rsidRDefault="00C71E60" w:rsidP="00956DC6">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C4126C" w:rsidRPr="00C4126C" w14:paraId="16362017" w14:textId="77777777" w:rsidTr="004F4BA7">
        <w:trPr>
          <w:trHeight w:val="297"/>
        </w:trPr>
        <w:tc>
          <w:tcPr>
            <w:cnfStyle w:val="001000000000" w:firstRow="0" w:lastRow="0" w:firstColumn="1" w:lastColumn="0" w:oddVBand="0" w:evenVBand="0" w:oddHBand="0" w:evenHBand="0" w:firstRowFirstColumn="0" w:firstRowLastColumn="0" w:lastRowFirstColumn="0" w:lastRowLastColumn="0"/>
            <w:tcW w:w="1632" w:type="dxa"/>
            <w:hideMark/>
          </w:tcPr>
          <w:p w14:paraId="6745DB5A" w14:textId="77777777" w:rsidR="00C71E60" w:rsidRPr="004F4BA7" w:rsidRDefault="00C71E60" w:rsidP="00C71E60">
            <w:pPr>
              <w:rPr>
                <w:color w:val="auto"/>
                <w:lang w:eastAsia="en-GB"/>
              </w:rPr>
            </w:pPr>
            <w:r w:rsidRPr="004F4BA7">
              <w:rPr>
                <w:color w:val="auto"/>
                <w:lang w:eastAsia="en-GB"/>
              </w:rPr>
              <w:t>1-bedroom</w:t>
            </w:r>
          </w:p>
        </w:tc>
        <w:tc>
          <w:tcPr>
            <w:tcW w:w="2432" w:type="dxa"/>
            <w:hideMark/>
          </w:tcPr>
          <w:p w14:paraId="7DFCF797"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433" w:type="dxa"/>
            <w:hideMark/>
          </w:tcPr>
          <w:p w14:paraId="6CB34B45"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c>
          <w:tcPr>
            <w:tcW w:w="2433" w:type="dxa"/>
            <w:hideMark/>
          </w:tcPr>
          <w:p w14:paraId="355B9A2A"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r>
      <w:tr w:rsidR="00C4126C" w:rsidRPr="00C4126C" w14:paraId="22530FED" w14:textId="77777777" w:rsidTr="004F4BA7">
        <w:trPr>
          <w:trHeight w:val="297"/>
        </w:trPr>
        <w:tc>
          <w:tcPr>
            <w:cnfStyle w:val="001000000000" w:firstRow="0" w:lastRow="0" w:firstColumn="1" w:lastColumn="0" w:oddVBand="0" w:evenVBand="0" w:oddHBand="0" w:evenHBand="0" w:firstRowFirstColumn="0" w:firstRowLastColumn="0" w:lastRowFirstColumn="0" w:lastRowLastColumn="0"/>
            <w:tcW w:w="1632" w:type="dxa"/>
            <w:hideMark/>
          </w:tcPr>
          <w:p w14:paraId="3579DC3C" w14:textId="77777777" w:rsidR="00C71E60" w:rsidRPr="004F4BA7" w:rsidRDefault="00C71E60" w:rsidP="00C71E60">
            <w:pPr>
              <w:rPr>
                <w:color w:val="auto"/>
                <w:lang w:eastAsia="en-GB"/>
              </w:rPr>
            </w:pPr>
            <w:r w:rsidRPr="004F4BA7">
              <w:rPr>
                <w:color w:val="auto"/>
                <w:lang w:eastAsia="en-GB"/>
              </w:rPr>
              <w:t>2-bedrooms</w:t>
            </w:r>
          </w:p>
        </w:tc>
        <w:tc>
          <w:tcPr>
            <w:tcW w:w="2432" w:type="dxa"/>
            <w:hideMark/>
          </w:tcPr>
          <w:p w14:paraId="1F02C762"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433" w:type="dxa"/>
            <w:hideMark/>
          </w:tcPr>
          <w:p w14:paraId="48A7CF6C"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c>
          <w:tcPr>
            <w:tcW w:w="2433" w:type="dxa"/>
            <w:hideMark/>
          </w:tcPr>
          <w:p w14:paraId="68CD2D63"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C4126C" w:rsidRPr="00C4126C" w14:paraId="46A937D4" w14:textId="77777777" w:rsidTr="004F4BA7">
        <w:trPr>
          <w:trHeight w:val="297"/>
        </w:trPr>
        <w:tc>
          <w:tcPr>
            <w:cnfStyle w:val="001000000000" w:firstRow="0" w:lastRow="0" w:firstColumn="1" w:lastColumn="0" w:oddVBand="0" w:evenVBand="0" w:oddHBand="0" w:evenHBand="0" w:firstRowFirstColumn="0" w:firstRowLastColumn="0" w:lastRowFirstColumn="0" w:lastRowLastColumn="0"/>
            <w:tcW w:w="1632" w:type="dxa"/>
            <w:hideMark/>
          </w:tcPr>
          <w:p w14:paraId="6796AC38" w14:textId="77777777" w:rsidR="00C71E60" w:rsidRPr="004F4BA7" w:rsidRDefault="00C71E60" w:rsidP="00C71E60">
            <w:pPr>
              <w:rPr>
                <w:color w:val="auto"/>
                <w:lang w:eastAsia="en-GB"/>
              </w:rPr>
            </w:pPr>
            <w:r w:rsidRPr="004F4BA7">
              <w:rPr>
                <w:color w:val="auto"/>
                <w:lang w:eastAsia="en-GB"/>
              </w:rPr>
              <w:t>3-bedrooms</w:t>
            </w:r>
          </w:p>
        </w:tc>
        <w:tc>
          <w:tcPr>
            <w:tcW w:w="2432" w:type="dxa"/>
            <w:hideMark/>
          </w:tcPr>
          <w:p w14:paraId="1A59D83B"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433" w:type="dxa"/>
            <w:hideMark/>
          </w:tcPr>
          <w:p w14:paraId="03C91AE4"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433" w:type="dxa"/>
            <w:hideMark/>
          </w:tcPr>
          <w:p w14:paraId="55194CEE"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r>
      <w:tr w:rsidR="00C4126C" w:rsidRPr="00C4126C" w14:paraId="4A6B78E9" w14:textId="77777777" w:rsidTr="004F4BA7">
        <w:trPr>
          <w:trHeight w:val="297"/>
        </w:trPr>
        <w:tc>
          <w:tcPr>
            <w:cnfStyle w:val="001000000000" w:firstRow="0" w:lastRow="0" w:firstColumn="1" w:lastColumn="0" w:oddVBand="0" w:evenVBand="0" w:oddHBand="0" w:evenHBand="0" w:firstRowFirstColumn="0" w:firstRowLastColumn="0" w:lastRowFirstColumn="0" w:lastRowLastColumn="0"/>
            <w:tcW w:w="1632" w:type="dxa"/>
            <w:hideMark/>
          </w:tcPr>
          <w:p w14:paraId="64CF9309" w14:textId="77777777" w:rsidR="00C71E60" w:rsidRPr="004F4BA7" w:rsidRDefault="00C71E60" w:rsidP="00C71E60">
            <w:pPr>
              <w:rPr>
                <w:color w:val="auto"/>
                <w:lang w:eastAsia="en-GB"/>
              </w:rPr>
            </w:pPr>
            <w:r w:rsidRPr="004F4BA7">
              <w:rPr>
                <w:color w:val="auto"/>
                <w:lang w:eastAsia="en-GB"/>
              </w:rPr>
              <w:t>4+-bedrooms</w:t>
            </w:r>
          </w:p>
        </w:tc>
        <w:tc>
          <w:tcPr>
            <w:tcW w:w="2432" w:type="dxa"/>
            <w:hideMark/>
          </w:tcPr>
          <w:p w14:paraId="0A48A401"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p>
        </w:tc>
        <w:tc>
          <w:tcPr>
            <w:tcW w:w="2433" w:type="dxa"/>
            <w:hideMark/>
          </w:tcPr>
          <w:p w14:paraId="1FC864C6"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5-15%</w:t>
            </w:r>
          </w:p>
        </w:tc>
        <w:tc>
          <w:tcPr>
            <w:tcW w:w="2433" w:type="dxa"/>
            <w:hideMark/>
          </w:tcPr>
          <w:p w14:paraId="65CED26C" w14:textId="77777777" w:rsidR="00C71E60" w:rsidRPr="004F4BA7" w:rsidRDefault="00C71E60"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6381B093" w14:textId="432204CA" w:rsidR="00C71E60" w:rsidRPr="001B0740" w:rsidRDefault="00C71E60" w:rsidP="007D0FBF">
      <w:pPr>
        <w:pStyle w:val="11Bodytext"/>
      </w:pPr>
      <w:r w:rsidRPr="001B0740">
        <w:t>The mix identified above should inform</w:t>
      </w:r>
      <w:r>
        <w:t xml:space="preserve"> the preparation of</w:t>
      </w:r>
      <w:r w:rsidRPr="001B0740">
        <w:t xml:space="preserve"> strategic policies. However, in applying the mix to individual development sites </w:t>
      </w:r>
      <w:r>
        <w:t xml:space="preserve">the policies should be flexible enough to have </w:t>
      </w:r>
      <w:r w:rsidRPr="001B0740">
        <w:t>regard to the nature of the site and character of the area, and to up-to-date evidence of need</w:t>
      </w:r>
      <w:r>
        <w:t xml:space="preserve"> (such as the housing register)</w:t>
      </w:r>
      <w:r w:rsidRPr="001B0740">
        <w:t xml:space="preserve"> as well as the existing mix and turnover of properties at the local level. </w:t>
      </w:r>
      <w:r w:rsidR="00442A4E" w:rsidRPr="001B0740">
        <w:t xml:space="preserve">The Councils should also monitor the mix </w:t>
      </w:r>
      <w:r w:rsidR="00442A4E" w:rsidRPr="001B0740">
        <w:lastRenderedPageBreak/>
        <w:t>of housing delivered</w:t>
      </w:r>
      <w:r w:rsidR="00442A4E">
        <w:t xml:space="preserve"> and respond accordingly so that the strategic mix requirements are closely met</w:t>
      </w:r>
      <w:r w:rsidR="00442A4E" w:rsidRPr="001B0740">
        <w:t>.</w:t>
      </w:r>
    </w:p>
    <w:p w14:paraId="2F5DCD59" w14:textId="430C5E35" w:rsidR="00C71E60" w:rsidRPr="001B0740" w:rsidRDefault="00C71E60" w:rsidP="00216BEB">
      <w:pPr>
        <w:pStyle w:val="Heading3"/>
        <w:rPr>
          <w:color w:val="0093D5"/>
        </w:rPr>
      </w:pPr>
      <w:r w:rsidRPr="001B0740">
        <w:t xml:space="preserve">Older and disabled people </w:t>
      </w:r>
    </w:p>
    <w:p w14:paraId="6F93A48C" w14:textId="0C76615D" w:rsidR="00C71E60" w:rsidRPr="001B0740" w:rsidRDefault="00C71E60" w:rsidP="007D0FBF">
      <w:pPr>
        <w:pStyle w:val="11Bodytext"/>
      </w:pPr>
      <w:r w:rsidRPr="001B0740">
        <w:t>There is projected to be a 95% increase in the population aged 75</w:t>
      </w:r>
      <w:r w:rsidR="00D82D15">
        <w:t xml:space="preserve"> and </w:t>
      </w:r>
      <w:r w:rsidRPr="001B0740">
        <w:t>over 2020-2040 across Huntingdonshire. Based on prevalence rates and the identified population growth of those aged 75</w:t>
      </w:r>
      <w:r w:rsidR="00D82D15">
        <w:t xml:space="preserve"> and over</w:t>
      </w:r>
      <w:r w:rsidRPr="001B0740">
        <w:t xml:space="preserve"> we have identified the following surplus/shortfall in specialist housing for older people by 2040 as follows:</w:t>
      </w:r>
    </w:p>
    <w:tbl>
      <w:tblPr>
        <w:tblStyle w:val="TableGridLight1"/>
        <w:tblW w:w="8930" w:type="dxa"/>
        <w:tblInd w:w="704" w:type="dxa"/>
        <w:tblLook w:val="04A0" w:firstRow="1" w:lastRow="0" w:firstColumn="1" w:lastColumn="0" w:noHBand="0" w:noVBand="1"/>
      </w:tblPr>
      <w:tblGrid>
        <w:gridCol w:w="2976"/>
        <w:gridCol w:w="2977"/>
        <w:gridCol w:w="2977"/>
      </w:tblGrid>
      <w:tr w:rsidR="00956DC6" w:rsidRPr="00956DC6" w14:paraId="7B771C90" w14:textId="77777777" w:rsidTr="00956D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6" w:type="dxa"/>
            <w:hideMark/>
          </w:tcPr>
          <w:p w14:paraId="4161E26D" w14:textId="77777777" w:rsidR="00956DC6" w:rsidRPr="00956DC6" w:rsidRDefault="00956DC6" w:rsidP="00956DC6">
            <w:pPr>
              <w:rPr>
                <w:bCs/>
                <w:color w:val="auto"/>
                <w:lang w:eastAsia="en-GB"/>
              </w:rPr>
            </w:pPr>
            <w:r w:rsidRPr="00956DC6">
              <w:rPr>
                <w:bCs/>
                <w:color w:val="auto"/>
                <w:lang w:eastAsia="en-GB"/>
              </w:rPr>
              <w:t>Type</w:t>
            </w:r>
          </w:p>
        </w:tc>
        <w:tc>
          <w:tcPr>
            <w:tcW w:w="2977" w:type="dxa"/>
            <w:hideMark/>
          </w:tcPr>
          <w:p w14:paraId="633835BB"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Tenure</w:t>
            </w:r>
          </w:p>
        </w:tc>
        <w:tc>
          <w:tcPr>
            <w:tcW w:w="2977" w:type="dxa"/>
            <w:hideMark/>
          </w:tcPr>
          <w:p w14:paraId="7E72215E"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Huntingdonshire</w:t>
            </w:r>
          </w:p>
        </w:tc>
      </w:tr>
      <w:tr w:rsidR="00956DC6" w:rsidRPr="00956DC6" w14:paraId="01BAD5DC"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76" w:type="dxa"/>
            <w:hideMark/>
          </w:tcPr>
          <w:p w14:paraId="238FC59D" w14:textId="2AF3E848" w:rsidR="00956DC6" w:rsidRPr="00956DC6" w:rsidRDefault="00956DC6" w:rsidP="00956DC6">
            <w:pPr>
              <w:jc w:val="center"/>
              <w:rPr>
                <w:color w:val="auto"/>
                <w:lang w:eastAsia="en-GB"/>
              </w:rPr>
            </w:pPr>
            <w:r w:rsidRPr="00956DC6">
              <w:rPr>
                <w:color w:val="auto"/>
                <w:lang w:eastAsia="en-GB"/>
              </w:rPr>
              <w:t>Housing with support</w:t>
            </w:r>
          </w:p>
        </w:tc>
        <w:tc>
          <w:tcPr>
            <w:tcW w:w="2977" w:type="dxa"/>
            <w:hideMark/>
          </w:tcPr>
          <w:p w14:paraId="5D9CD0E7"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77" w:type="dxa"/>
            <w:hideMark/>
          </w:tcPr>
          <w:p w14:paraId="640728F3"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194</w:t>
            </w:r>
          </w:p>
        </w:tc>
      </w:tr>
      <w:tr w:rsidR="00956DC6" w:rsidRPr="00956DC6" w14:paraId="75D4DB87"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76" w:type="dxa"/>
            <w:hideMark/>
          </w:tcPr>
          <w:p w14:paraId="77AB1BC1" w14:textId="6A22E493" w:rsidR="00956DC6" w:rsidRPr="00956DC6" w:rsidRDefault="00956DC6" w:rsidP="00956DC6">
            <w:pPr>
              <w:jc w:val="center"/>
              <w:rPr>
                <w:color w:val="auto"/>
                <w:lang w:eastAsia="en-GB"/>
              </w:rPr>
            </w:pPr>
            <w:r w:rsidRPr="00956DC6">
              <w:rPr>
                <w:color w:val="auto"/>
                <w:lang w:eastAsia="en-GB"/>
              </w:rPr>
              <w:t>Housing with support</w:t>
            </w:r>
          </w:p>
        </w:tc>
        <w:tc>
          <w:tcPr>
            <w:tcW w:w="2977" w:type="dxa"/>
            <w:hideMark/>
          </w:tcPr>
          <w:p w14:paraId="7A54BC37"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77" w:type="dxa"/>
            <w:hideMark/>
          </w:tcPr>
          <w:p w14:paraId="1FC5798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1,533</w:t>
            </w:r>
          </w:p>
        </w:tc>
      </w:tr>
      <w:tr w:rsidR="00956DC6" w:rsidRPr="00956DC6" w14:paraId="719C4FBB"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76" w:type="dxa"/>
            <w:hideMark/>
          </w:tcPr>
          <w:p w14:paraId="01F6CAEC" w14:textId="57A7D41C" w:rsidR="00956DC6" w:rsidRPr="00956DC6" w:rsidRDefault="00956DC6" w:rsidP="00956DC6">
            <w:pPr>
              <w:jc w:val="center"/>
              <w:rPr>
                <w:color w:val="auto"/>
                <w:lang w:eastAsia="en-GB"/>
              </w:rPr>
            </w:pPr>
            <w:r w:rsidRPr="00956DC6">
              <w:rPr>
                <w:color w:val="auto"/>
                <w:lang w:eastAsia="en-GB"/>
              </w:rPr>
              <w:t>Housing with care</w:t>
            </w:r>
          </w:p>
        </w:tc>
        <w:tc>
          <w:tcPr>
            <w:tcW w:w="2977" w:type="dxa"/>
            <w:hideMark/>
          </w:tcPr>
          <w:p w14:paraId="73D3836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77" w:type="dxa"/>
            <w:hideMark/>
          </w:tcPr>
          <w:p w14:paraId="1464945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371</w:t>
            </w:r>
          </w:p>
        </w:tc>
      </w:tr>
      <w:tr w:rsidR="00956DC6" w:rsidRPr="00956DC6" w14:paraId="7F286787"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76" w:type="dxa"/>
            <w:hideMark/>
          </w:tcPr>
          <w:p w14:paraId="14ABAF9F" w14:textId="5C8127E9" w:rsidR="00956DC6" w:rsidRPr="00956DC6" w:rsidRDefault="00956DC6" w:rsidP="00956DC6">
            <w:pPr>
              <w:jc w:val="center"/>
              <w:rPr>
                <w:color w:val="auto"/>
                <w:lang w:eastAsia="en-GB"/>
              </w:rPr>
            </w:pPr>
            <w:r w:rsidRPr="00956DC6">
              <w:rPr>
                <w:color w:val="auto"/>
                <w:lang w:eastAsia="en-GB"/>
              </w:rPr>
              <w:t>Housing with care</w:t>
            </w:r>
          </w:p>
        </w:tc>
        <w:tc>
          <w:tcPr>
            <w:tcW w:w="2977" w:type="dxa"/>
            <w:hideMark/>
          </w:tcPr>
          <w:p w14:paraId="197D35D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77" w:type="dxa"/>
            <w:hideMark/>
          </w:tcPr>
          <w:p w14:paraId="7386383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635</w:t>
            </w:r>
          </w:p>
        </w:tc>
      </w:tr>
      <w:tr w:rsidR="00956DC6" w:rsidRPr="00956DC6" w14:paraId="6B741B22"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76" w:type="dxa"/>
            <w:hideMark/>
          </w:tcPr>
          <w:p w14:paraId="4C18B17C" w14:textId="77777777" w:rsidR="00956DC6" w:rsidRPr="00956DC6" w:rsidRDefault="00956DC6" w:rsidP="00956DC6">
            <w:pPr>
              <w:jc w:val="center"/>
              <w:rPr>
                <w:color w:val="auto"/>
                <w:lang w:eastAsia="en-GB"/>
              </w:rPr>
            </w:pPr>
            <w:r w:rsidRPr="00956DC6">
              <w:rPr>
                <w:color w:val="auto"/>
                <w:lang w:eastAsia="en-GB"/>
              </w:rPr>
              <w:t>Care Bed-spaces</w:t>
            </w:r>
          </w:p>
        </w:tc>
        <w:tc>
          <w:tcPr>
            <w:tcW w:w="2977" w:type="dxa"/>
            <w:hideMark/>
          </w:tcPr>
          <w:p w14:paraId="6A5DBD3B" w14:textId="61E50B81"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p>
        </w:tc>
        <w:tc>
          <w:tcPr>
            <w:tcW w:w="2977" w:type="dxa"/>
            <w:hideMark/>
          </w:tcPr>
          <w:p w14:paraId="293182CF"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1,803</w:t>
            </w:r>
          </w:p>
        </w:tc>
      </w:tr>
    </w:tbl>
    <w:p w14:paraId="6E016AA1" w14:textId="265A9778" w:rsidR="00C71E60" w:rsidRPr="008E5DB4" w:rsidRDefault="00C71E60" w:rsidP="007D0FBF">
      <w:pPr>
        <w:pStyle w:val="11Bodytext"/>
      </w:pPr>
      <w:r w:rsidRPr="008E5DB4">
        <w:t>The number of older people with dementia is expected to increase by 102.5% from 2020 to 2040. There is also an 85.4% increase projected for those with mobility problems over the same period.</w:t>
      </w:r>
    </w:p>
    <w:p w14:paraId="32AC715D" w14:textId="1D878DB8" w:rsidR="00E36919" w:rsidRPr="008E5DB4" w:rsidRDefault="00E36919" w:rsidP="007D0FBF">
      <w:pPr>
        <w:pStyle w:val="11Bodytext"/>
      </w:pPr>
      <w:r w:rsidRPr="008E5DB4">
        <w:t xml:space="preserve">Using data from the EHS there is a current (502) and projected (1,360) need for about 1,862 wheelchair user dwellings to 2040 across Huntingdonshire. This equates to 9.50% of the total Local Housing Need. </w:t>
      </w:r>
    </w:p>
    <w:p w14:paraId="23D1561E" w14:textId="77777777" w:rsidR="00353C82" w:rsidRPr="008E5DB4" w:rsidRDefault="00353C82" w:rsidP="007D0FBF">
      <w:pPr>
        <w:pStyle w:val="11Bodytext"/>
      </w:pPr>
      <w:r w:rsidRPr="008E5DB4">
        <w:t xml:space="preserve">Where viability permits, the Council should seek to deliver 100% of new homes as M4(2) compliant and at least 10% of new market homes and 25% of new affordable homes as being M4(3) compliant to meet the identified need. </w:t>
      </w:r>
    </w:p>
    <w:p w14:paraId="70F8D8D3" w14:textId="193ED601" w:rsidR="00C71E60" w:rsidRPr="001B0740" w:rsidRDefault="00C71E60" w:rsidP="00216BEB">
      <w:pPr>
        <w:pStyle w:val="Heading3"/>
      </w:pPr>
      <w:r w:rsidRPr="001B0740">
        <w:t>Student</w:t>
      </w:r>
      <w:r w:rsidR="00436286">
        <w:t xml:space="preserve"> Accom</w:t>
      </w:r>
      <w:r w:rsidR="00BA7B1F">
        <w:t>m</w:t>
      </w:r>
      <w:r w:rsidR="00436286">
        <w:t>odation</w:t>
      </w:r>
    </w:p>
    <w:p w14:paraId="2B1873AC" w14:textId="5286AAC5" w:rsidR="00C71E60" w:rsidRPr="001B0740" w:rsidRDefault="00C71E60" w:rsidP="007D0FBF">
      <w:pPr>
        <w:pStyle w:val="11Bodytext"/>
      </w:pPr>
      <w:r w:rsidRPr="001B0740">
        <w:t>No requirement has been identified for student accommodation in Huntingdonshire.</w:t>
      </w:r>
      <w:r w:rsidR="006937D3" w:rsidRPr="006937D3">
        <w:t xml:space="preserve"> </w:t>
      </w:r>
      <w:r w:rsidR="006937D3">
        <w:t>But a</w:t>
      </w:r>
      <w:r w:rsidR="006937D3" w:rsidRPr="008677E9">
        <w:t>ny development being proposed which relates to purpose build student accommodation should be judged on its merits alongside an assessment of local demand.</w:t>
      </w:r>
      <w:r w:rsidR="006937D3">
        <w:t xml:space="preserve"> </w:t>
      </w:r>
      <w:r w:rsidR="006937D3" w:rsidRPr="008677E9">
        <w:t>The developer should also demonstrate an agreement with a higher education provider.</w:t>
      </w:r>
    </w:p>
    <w:p w14:paraId="641A5138" w14:textId="77777777" w:rsidR="00C71E60" w:rsidRPr="001B0740" w:rsidRDefault="00C71E60" w:rsidP="008E5DB4">
      <w:pPr>
        <w:ind w:left="426"/>
      </w:pPr>
    </w:p>
    <w:p w14:paraId="60AAB2F9" w14:textId="59250FB2" w:rsidR="00C71E60" w:rsidRPr="001B0740" w:rsidRDefault="00C71E60" w:rsidP="00216BEB">
      <w:pPr>
        <w:pStyle w:val="Heading3"/>
      </w:pPr>
      <w:r w:rsidRPr="001B0740">
        <w:t>People who rent their homes</w:t>
      </w:r>
      <w:r w:rsidR="00550EBB">
        <w:t xml:space="preserve"> in the private sector</w:t>
      </w:r>
    </w:p>
    <w:p w14:paraId="31FCE09B" w14:textId="3DDEA0D2" w:rsidR="00C71E60" w:rsidRPr="001B0740" w:rsidRDefault="00C71E60" w:rsidP="007D0FBF">
      <w:pPr>
        <w:pStyle w:val="11Bodytext"/>
      </w:pPr>
      <w:r w:rsidRPr="001B0740">
        <w:t xml:space="preserve">Demand for Private Rented Sector (PRS) housing increased by 106% in Huntingdonshire over the 2001 to 2011 period. Also, the tenure is likely to provide a route to affordable housing given that the number of households in PRS claiming Housing Benefit in Huntingdonshire is 738 in 2019. </w:t>
      </w:r>
    </w:p>
    <w:p w14:paraId="639021C9" w14:textId="72A1A9D8" w:rsidR="00C71E60" w:rsidRPr="001B0740" w:rsidRDefault="00C71E60" w:rsidP="007D0FBF">
      <w:pPr>
        <w:pStyle w:val="11Bodytext"/>
      </w:pPr>
      <w:r w:rsidRPr="001B0740">
        <w:t>Notwithstanding</w:t>
      </w:r>
      <w:r w:rsidR="00301D99">
        <w:t xml:space="preserve"> this</w:t>
      </w:r>
      <w:r w:rsidRPr="001B0740">
        <w:t xml:space="preserve">, this study does not place a specific estimate on the demand for PRS in Huntingdonshire. This is because decisions on the part of individual households to buy or rent a home in the open market </w:t>
      </w:r>
      <w:r w:rsidR="00550EBB">
        <w:t xml:space="preserve">are </w:t>
      </w:r>
      <w:r w:rsidRPr="001B0740">
        <w:t xml:space="preserve">dependent on several factors which means that demand can fluctuate over time (for example the availability of government schemes such as Help to Buy). </w:t>
      </w:r>
    </w:p>
    <w:p w14:paraId="2B6CFFE7" w14:textId="353456D7" w:rsidR="00C71E60" w:rsidRPr="00303311" w:rsidRDefault="00C71E60" w:rsidP="007D0FBF">
      <w:pPr>
        <w:pStyle w:val="11Bodytext"/>
      </w:pPr>
      <w:r>
        <w:t xml:space="preserve">Institutional </w:t>
      </w:r>
      <w:r w:rsidRPr="001B0740">
        <w:t xml:space="preserve">Build to Rent </w:t>
      </w:r>
      <w:r>
        <w:t xml:space="preserve">investment and </w:t>
      </w:r>
      <w:r w:rsidRPr="001B0740">
        <w:t xml:space="preserve">development </w:t>
      </w:r>
      <w:r>
        <w:t xml:space="preserve">has thus far been typically focused in larger urban areas. Therefore, it is unlikely that </w:t>
      </w:r>
      <w:proofErr w:type="gramStart"/>
      <w:r w:rsidR="00301D99">
        <w:t>Huntingdonshire</w:t>
      </w:r>
      <w:r w:rsidRPr="001B0740">
        <w:t xml:space="preserve">  </w:t>
      </w:r>
      <w:r>
        <w:t>will</w:t>
      </w:r>
      <w:proofErr w:type="gramEnd"/>
      <w:r>
        <w:t xml:space="preserve"> see much interest in this type of development. However, where build to rent is being proposed, the policy position should be supportive, subject to the location and characteristics of the site in question and the proportion of units for affordable private rent being provided (seeking a minimum of 20%).</w:t>
      </w:r>
    </w:p>
    <w:p w14:paraId="53E46FF5" w14:textId="77777777" w:rsidR="00C71E60" w:rsidRPr="001B0740" w:rsidRDefault="00C71E60" w:rsidP="00216BEB">
      <w:pPr>
        <w:pStyle w:val="Heading3"/>
      </w:pPr>
      <w:r w:rsidRPr="001B0740">
        <w:t xml:space="preserve">Self-build and custom-build housing </w:t>
      </w:r>
    </w:p>
    <w:p w14:paraId="2CE546C1" w14:textId="33F44814" w:rsidR="00C71E60" w:rsidRPr="001B0740" w:rsidRDefault="00C71E60" w:rsidP="007D0FBF">
      <w:pPr>
        <w:pStyle w:val="11Bodytext"/>
      </w:pPr>
      <w:r>
        <w:t>The Council is required to permit plots for new custom and self-build homes for every new entry on its custom and self-build register within three years of the end of each base period.  An indication of the scale of this need is taken from the current register and suggests that Huntingdonshire should permit</w:t>
      </w:r>
      <w:r w:rsidRPr="001B0740">
        <w:t xml:space="preserve"> </w:t>
      </w:r>
      <w:r w:rsidR="001820D2">
        <w:t>5</w:t>
      </w:r>
      <w:r>
        <w:t>4</w:t>
      </w:r>
      <w:r w:rsidRPr="001B0740">
        <w:t xml:space="preserve"> self-build plots annually</w:t>
      </w:r>
      <w:r>
        <w:t xml:space="preserve">. </w:t>
      </w:r>
      <w:r w:rsidRPr="001B0740">
        <w:t xml:space="preserve"> </w:t>
      </w:r>
      <w:r>
        <w:t>Although an alternative assessment has put this figure at up to 69 plots per annum.</w:t>
      </w:r>
    </w:p>
    <w:p w14:paraId="69653F4C" w14:textId="77777777" w:rsidR="00C71E60" w:rsidRPr="001B0740" w:rsidRDefault="00C71E60" w:rsidP="00216BEB">
      <w:pPr>
        <w:pStyle w:val="Heading3"/>
      </w:pPr>
      <w:r w:rsidRPr="001B0740">
        <w:t>Service Families</w:t>
      </w:r>
    </w:p>
    <w:p w14:paraId="0E6B9CE6" w14:textId="77777777" w:rsidR="00C71E60" w:rsidRPr="00A70705" w:rsidRDefault="00C71E60" w:rsidP="007D0FBF">
      <w:pPr>
        <w:pStyle w:val="11Bodytext"/>
      </w:pPr>
      <w:r w:rsidRPr="008E5DB4">
        <w:rPr>
          <w:rStyle w:val="11BodytextChar"/>
        </w:rPr>
        <w:t xml:space="preserve">There was an identified demand for 1 and 2 bedroom rental accommodation for military service personnel.  The majority of the demand will be located in close proximity to the base </w:t>
      </w:r>
      <w:proofErr w:type="gramStart"/>
      <w:r w:rsidRPr="008E5DB4">
        <w:rPr>
          <w:rStyle w:val="11BodytextChar"/>
        </w:rPr>
        <w:t>i.e.</w:t>
      </w:r>
      <w:proofErr w:type="gramEnd"/>
      <w:r w:rsidRPr="008E5DB4">
        <w:rPr>
          <w:rStyle w:val="11BodytextChar"/>
        </w:rPr>
        <w:t xml:space="preserve"> Huntingdonshire and West Suffolk.  While this should not result in a need for a specific policy for military accommodation such developments </w:t>
      </w:r>
      <w:r w:rsidRPr="008E5DB4">
        <w:rPr>
          <w:rStyle w:val="11BodytextChar"/>
        </w:rPr>
        <w:lastRenderedPageBreak/>
        <w:t>should be supported as long as can demonstrate a local demand and have approval from the MOD to deliver such housing</w:t>
      </w:r>
      <w:r>
        <w:t>.</w:t>
      </w:r>
    </w:p>
    <w:p w14:paraId="25A08F8B" w14:textId="77777777" w:rsidR="00C71E60" w:rsidRPr="001B0740" w:rsidRDefault="00C71E60" w:rsidP="00216BEB">
      <w:pPr>
        <w:pStyle w:val="Heading2"/>
      </w:pPr>
      <w:r w:rsidRPr="001B0740">
        <w:t xml:space="preserve">South Cambridgeshire </w:t>
      </w:r>
    </w:p>
    <w:p w14:paraId="1BAF949A" w14:textId="77777777" w:rsidR="00C71E60" w:rsidRPr="001B0740" w:rsidRDefault="00C71E60" w:rsidP="00C71E60">
      <w:pPr>
        <w:ind w:firstLine="426"/>
        <w:rPr>
          <w:color w:val="0093D5"/>
        </w:rPr>
      </w:pPr>
    </w:p>
    <w:p w14:paraId="39E487E6" w14:textId="77777777" w:rsidR="00C71E60" w:rsidRPr="001B0740" w:rsidRDefault="00C71E60" w:rsidP="00216BEB">
      <w:pPr>
        <w:pStyle w:val="Heading3"/>
      </w:pPr>
      <w:r w:rsidRPr="001B0740">
        <w:t>Demographic Baseline</w:t>
      </w:r>
    </w:p>
    <w:p w14:paraId="63919B2D" w14:textId="6C4A11A7" w:rsidR="00C71E60" w:rsidRPr="001B0740" w:rsidRDefault="00C71E60" w:rsidP="007D0FBF">
      <w:pPr>
        <w:pStyle w:val="11Bodytext"/>
      </w:pPr>
      <w:r w:rsidRPr="001B0740">
        <w:t xml:space="preserve">The total population of South Cambridgeshire is 159,100 persons as of mid-2019. Since 1991 the population has grown by </w:t>
      </w:r>
      <w:r w:rsidRPr="001B0740">
        <w:rPr>
          <w:rFonts w:eastAsia="Times New Roman"/>
          <w:color w:val="000000"/>
          <w:lang w:eastAsia="en-GB"/>
        </w:rPr>
        <w:t>29</w:t>
      </w:r>
      <w:r w:rsidRPr="001B0740">
        <w:t xml:space="preserve">% with an average annual growth rate of </w:t>
      </w:r>
      <w:r w:rsidRPr="001B0740">
        <w:rPr>
          <w:rFonts w:eastAsia="Times New Roman"/>
          <w:color w:val="000000"/>
          <w:lang w:eastAsia="en-GB"/>
        </w:rPr>
        <w:t>1.0</w:t>
      </w:r>
      <w:r w:rsidRPr="001B0740">
        <w:t xml:space="preserve">%. There is a total of 68,579 dwellings across South Cambridgeshire as </w:t>
      </w:r>
      <w:proofErr w:type="gramStart"/>
      <w:r w:rsidRPr="001B0740">
        <w:t>at</w:t>
      </w:r>
      <w:proofErr w:type="gramEnd"/>
      <w:r w:rsidRPr="001B0740">
        <w:t xml:space="preserve"> 31</w:t>
      </w:r>
      <w:r w:rsidRPr="001B0740">
        <w:rPr>
          <w:vertAlign w:val="superscript"/>
        </w:rPr>
        <w:t>st</w:t>
      </w:r>
      <w:r w:rsidRPr="001B0740">
        <w:t xml:space="preserve"> March 2020. Since 2001 South Cambridgeshire’s population change has been driven by internal </w:t>
      </w:r>
      <w:r w:rsidR="00F677AC">
        <w:t xml:space="preserve">migration </w:t>
      </w:r>
      <w:r w:rsidRPr="001B0740">
        <w:t>and to a lesser extent natural change (births minus deaths)</w:t>
      </w:r>
      <w:r w:rsidR="008E5DB4">
        <w:t>.</w:t>
      </w:r>
    </w:p>
    <w:p w14:paraId="63FB0B86" w14:textId="77777777" w:rsidR="00C71E60" w:rsidRPr="001B0740" w:rsidRDefault="00C71E60" w:rsidP="007D0FBF">
      <w:pPr>
        <w:pStyle w:val="11Bodytext"/>
      </w:pPr>
      <w:r w:rsidRPr="001B0740">
        <w:t xml:space="preserve">In comparison to the other HMA authorities South Cambridgeshire has a higher proportion of people aged 45-54 and linked to this also those aged 5-14.  Conversely, it has a lower proportion of people aged between 20 and 35 years old compared to the national average. </w:t>
      </w:r>
    </w:p>
    <w:p w14:paraId="6AB91E88" w14:textId="77777777" w:rsidR="00C71E60" w:rsidRPr="001B0740" w:rsidRDefault="00C71E60" w:rsidP="00216BEB">
      <w:pPr>
        <w:pStyle w:val="Heading3"/>
      </w:pPr>
      <w:r w:rsidRPr="001B0740">
        <w:t xml:space="preserve">Market Signals </w:t>
      </w:r>
    </w:p>
    <w:p w14:paraId="2AC7FE11" w14:textId="54D13E9A" w:rsidR="00C71E60" w:rsidRPr="001B0740" w:rsidRDefault="00C71E60" w:rsidP="007D0FBF">
      <w:pPr>
        <w:pStyle w:val="11Bodytext"/>
      </w:pPr>
      <w:r w:rsidRPr="001B0740">
        <w:t>The median house price in South Cambridgeshire is £</w:t>
      </w:r>
      <w:r w:rsidRPr="001B0740">
        <w:rPr>
          <w:color w:val="000000"/>
        </w:rPr>
        <w:t xml:space="preserve">360,000. </w:t>
      </w:r>
      <w:r w:rsidRPr="001B0740">
        <w:t>This is 57% above the national average and 27% above the regional average. Over the last 10 years, South Cambridgeshire has seen an increase in median house prices of 54.3% compared to 27.6% nationally, and 42.5% regionally.</w:t>
      </w:r>
    </w:p>
    <w:p w14:paraId="778F900C" w14:textId="2AB32271" w:rsidR="00C71E60" w:rsidRPr="008E5DB4" w:rsidRDefault="00C71E60" w:rsidP="007D0FBF">
      <w:pPr>
        <w:pStyle w:val="11Bodytext"/>
      </w:pPr>
      <w:r w:rsidRPr="001B0740">
        <w:t xml:space="preserve">Median rental prices within the private rented sector across South Cambridgeshire are £950 </w:t>
      </w:r>
      <w:r w:rsidR="00F677AC">
        <w:t>per calendar month</w:t>
      </w:r>
      <w:r w:rsidR="00F677AC" w:rsidRPr="001B0740">
        <w:t xml:space="preserve"> </w:t>
      </w:r>
      <w:r w:rsidRPr="001B0740">
        <w:t xml:space="preserve">which is above the national and regional equivalents of £695 and £795 respectively. South Cambridgeshire has a median </w:t>
      </w:r>
      <w:r w:rsidR="008065C4" w:rsidRPr="001B0740">
        <w:t>workplace</w:t>
      </w:r>
      <w:r w:rsidR="008065C4">
        <w:t>-</w:t>
      </w:r>
      <w:r w:rsidRPr="001B0740">
        <w:t xml:space="preserve">based affordability ratio of </w:t>
      </w:r>
      <w:r w:rsidRPr="001B0740">
        <w:rPr>
          <w:rFonts w:eastAsia="Times New Roman"/>
          <w:color w:val="000000"/>
          <w:lang w:eastAsia="en-GB"/>
        </w:rPr>
        <w:t>9.78</w:t>
      </w:r>
      <w:r w:rsidRPr="001B0740">
        <w:t xml:space="preserve"> compared to </w:t>
      </w:r>
      <w:r w:rsidRPr="001B0740">
        <w:rPr>
          <w:rFonts w:eastAsia="Times New Roman"/>
          <w:color w:val="000000"/>
          <w:lang w:eastAsia="en-GB"/>
        </w:rPr>
        <w:t>9.47</w:t>
      </w:r>
      <w:r w:rsidRPr="001B0740">
        <w:t xml:space="preserve"> for the East of England and </w:t>
      </w:r>
      <w:r w:rsidRPr="001B0740">
        <w:rPr>
          <w:rFonts w:eastAsia="Times New Roman"/>
          <w:color w:val="000000"/>
          <w:lang w:eastAsia="en-GB"/>
        </w:rPr>
        <w:t>7.83</w:t>
      </w:r>
      <w:r w:rsidRPr="001B0740">
        <w:t xml:space="preserve"> nationally.</w:t>
      </w:r>
    </w:p>
    <w:p w14:paraId="5996058F" w14:textId="2CEC1B6F" w:rsidR="00C71E60" w:rsidRPr="001B0740" w:rsidRDefault="00C71E60" w:rsidP="007D0FBF">
      <w:pPr>
        <w:pStyle w:val="11Bodytext"/>
      </w:pPr>
      <w:r w:rsidRPr="001B0740">
        <w:t xml:space="preserve">Between 2001 and 2011 South Cambridgeshire saw the proportion of residents living in over-occupied properties increase by </w:t>
      </w:r>
      <w:r w:rsidRPr="001B0740">
        <w:rPr>
          <w:rFonts w:eastAsia="Times New Roman"/>
          <w:color w:val="000000"/>
          <w:lang w:eastAsia="en-GB"/>
        </w:rPr>
        <w:t>52.4</w:t>
      </w:r>
      <w:r w:rsidRPr="001B0740">
        <w:t xml:space="preserve">%. This is </w:t>
      </w:r>
      <w:r>
        <w:t>larger growth than</w:t>
      </w:r>
      <w:r w:rsidRPr="001B0740">
        <w:t xml:space="preserve"> the national (32.3%) and regional (35.6%) equivalents. </w:t>
      </w:r>
    </w:p>
    <w:p w14:paraId="60C64D80" w14:textId="77777777" w:rsidR="00C71E60" w:rsidRPr="001B0740" w:rsidRDefault="00C71E60" w:rsidP="00216BEB">
      <w:pPr>
        <w:pStyle w:val="Heading3"/>
      </w:pPr>
      <w:r w:rsidRPr="001B0740">
        <w:t>Local Housing Need</w:t>
      </w:r>
    </w:p>
    <w:p w14:paraId="32981C50" w14:textId="77777777" w:rsidR="00C71E60" w:rsidRPr="001B0740" w:rsidRDefault="00C71E60" w:rsidP="00C71E60">
      <w:pPr>
        <w:ind w:firstLine="426"/>
        <w:rPr>
          <w:color w:val="0093D5"/>
        </w:rPr>
      </w:pPr>
    </w:p>
    <w:p w14:paraId="0E18BDD3" w14:textId="5162D12B" w:rsidR="00C71E60" w:rsidRPr="001B0740" w:rsidRDefault="00C71E60" w:rsidP="007D0FBF">
      <w:pPr>
        <w:pStyle w:val="11Bodytext"/>
      </w:pPr>
      <w:r w:rsidRPr="001B0740">
        <w:lastRenderedPageBreak/>
        <w:t>Step 1 of the standard method currently draws on the 2014-based household projections which set out a household growth of 797 per annum over the period 2020-2030 across South Cambridgeshire.</w:t>
      </w:r>
    </w:p>
    <w:p w14:paraId="67864490" w14:textId="23E90150" w:rsidR="00C71E60" w:rsidRPr="001B0740" w:rsidRDefault="00C71E60" w:rsidP="007D0FBF">
      <w:pPr>
        <w:pStyle w:val="11Bodytext"/>
      </w:pPr>
      <w:r w:rsidRPr="001B0740">
        <w:t>Step 2 of the standard method increases the Housing Need based on local affordability. The affordability ratio</w:t>
      </w:r>
      <w:r w:rsidR="001820D2">
        <w:t xml:space="preserve"> for South Cambridgeshire is </w:t>
      </w:r>
      <w:r w:rsidR="00786FBE">
        <w:t>9.8</w:t>
      </w:r>
      <w:r w:rsidRPr="001B0740">
        <w:t xml:space="preserve"> (2019)</w:t>
      </w:r>
      <w:r w:rsidR="00786FBE">
        <w:t>.</w:t>
      </w:r>
      <w:r w:rsidRPr="001B0740">
        <w:t xml:space="preserve"> Using the prescribed formula, the local affordability ratio results in uplifts of 36%. This increases the need by 288 to 1,085 dwellings per </w:t>
      </w:r>
      <w:r w:rsidR="00AE11DD">
        <w:t>annum</w:t>
      </w:r>
      <w:r w:rsidRPr="001B0740">
        <w:t xml:space="preserve"> (</w:t>
      </w:r>
      <w:proofErr w:type="spellStart"/>
      <w:r w:rsidRPr="001B0740">
        <w:t>dpa</w:t>
      </w:r>
      <w:proofErr w:type="spellEnd"/>
      <w:r w:rsidRPr="001B0740">
        <w:t xml:space="preserve">). </w:t>
      </w:r>
    </w:p>
    <w:p w14:paraId="39231159" w14:textId="49C02814" w:rsidR="00C71E60" w:rsidRPr="001B0740" w:rsidRDefault="00C71E60" w:rsidP="007D0FBF">
      <w:pPr>
        <w:pStyle w:val="11Bodytext"/>
      </w:pPr>
      <w:r w:rsidRPr="001B0740">
        <w:t xml:space="preserve">To ensure deliverability Step 3 of the standard method caps the uplifts in Step 2. This is effectively not applied in South Cambridgeshire due to the age of the Local Plan and the target set out </w:t>
      </w:r>
      <w:r w:rsidR="00786FBE">
        <w:t>therein</w:t>
      </w:r>
      <w:r w:rsidRPr="001B0740">
        <w:t xml:space="preserve">. </w:t>
      </w:r>
    </w:p>
    <w:p w14:paraId="43A72B5C" w14:textId="3574C576" w:rsidR="00C71E60" w:rsidRPr="001B0740" w:rsidRDefault="00C71E60" w:rsidP="007D0FBF">
      <w:pPr>
        <w:pStyle w:val="11Bodytext"/>
      </w:pPr>
      <w:r w:rsidRPr="001B0740">
        <w:t xml:space="preserve">Based on the standard method South Cambridgeshire’s housing need is 1,085 dwellings per annum. Although calculated over the 2020-2030 period it can be applied across the plan period and responds to historic under-delivery. </w:t>
      </w:r>
    </w:p>
    <w:p w14:paraId="014DF52C" w14:textId="140DAE01" w:rsidR="00C71E60" w:rsidRPr="008E5DB4" w:rsidRDefault="00C71E60" w:rsidP="007D0FBF">
      <w:pPr>
        <w:pStyle w:val="11Bodytext"/>
      </w:pPr>
      <w:r w:rsidRPr="001B0740">
        <w:t xml:space="preserve">A scenario has been modelled whereby household formation rates are improved and population growth increased to fill these homes. This sees an additional 41,942 people in South Cambridgeshire over the period 2020-2040. </w:t>
      </w:r>
    </w:p>
    <w:p w14:paraId="7CD67B7A" w14:textId="3E348E90" w:rsidR="00C71E60" w:rsidRPr="001B0740" w:rsidRDefault="00C71E60" w:rsidP="00216BEB">
      <w:pPr>
        <w:pStyle w:val="Heading3"/>
      </w:pPr>
      <w:r w:rsidRPr="001B0740">
        <w:t>Affordable Housing Need</w:t>
      </w:r>
    </w:p>
    <w:p w14:paraId="70739D41" w14:textId="7F8FA410" w:rsidR="00C71E60" w:rsidRPr="001B0740" w:rsidRDefault="00C71E60" w:rsidP="007D0FBF">
      <w:pPr>
        <w:pStyle w:val="11Bodytext"/>
      </w:pPr>
      <w:r w:rsidRPr="001B0740">
        <w:t>The analysis shows that 435 households per annum will require affordable housing to rent between 2020 and 2040. This equates to around 40% of the overall need although such a calculation should be treated with caution as it contains an element of double counting</w:t>
      </w:r>
      <w:r>
        <w:t xml:space="preserve"> </w:t>
      </w:r>
      <w:proofErr w:type="gramStart"/>
      <w:r>
        <w:t>i.e.</w:t>
      </w:r>
      <w:proofErr w:type="gramEnd"/>
      <w:r>
        <w:t xml:space="preserve"> both include newly forming households</w:t>
      </w:r>
      <w:r w:rsidRPr="001B0740">
        <w:t>.</w:t>
      </w:r>
    </w:p>
    <w:p w14:paraId="1E64A94C" w14:textId="26AA70CC" w:rsidR="00C71E60" w:rsidRPr="001B0740" w:rsidRDefault="00C71E60" w:rsidP="007D0FBF">
      <w:pPr>
        <w:pStyle w:val="11Bodytext"/>
      </w:pPr>
      <w:r w:rsidRPr="001B0740">
        <w:t xml:space="preserve">Based purely on affordability around 74% should be social rent and 26% affordable rent. </w:t>
      </w:r>
      <w:r>
        <w:t>I</w:t>
      </w:r>
      <w:r w:rsidRPr="00AF654D">
        <w:t>t is not recommended that the Councils have a rigid policy for the split between social and affordable rent housing</w:t>
      </w:r>
      <w:r>
        <w:t xml:space="preserve"> on this basis alone. T</w:t>
      </w:r>
      <w:r w:rsidRPr="00AF654D">
        <w:t>he analysis is clear that both tenures of homes are likely to be required in all areas</w:t>
      </w:r>
      <w:r>
        <w:t>, this should be brought together with other considerations outlined above, should the Council wish to implement a Local Plan policy.</w:t>
      </w:r>
    </w:p>
    <w:p w14:paraId="4EF55EB9" w14:textId="5CC6E673" w:rsidR="00C71E60" w:rsidRPr="001B0740" w:rsidRDefault="00C71E60" w:rsidP="007D0FBF">
      <w:pPr>
        <w:pStyle w:val="11Bodytext"/>
      </w:pPr>
      <w:r w:rsidRPr="001B0740">
        <w:lastRenderedPageBreak/>
        <w:t xml:space="preserve">There is a requirement in the NPPF for at least 10% of all new homes on </w:t>
      </w:r>
      <w:r w:rsidR="00786FBE">
        <w:t>major</w:t>
      </w:r>
      <w:r w:rsidR="00786FBE" w:rsidRPr="001B0740">
        <w:t xml:space="preserve"> </w:t>
      </w:r>
      <w:r w:rsidRPr="001B0740">
        <w:t xml:space="preserve">sites to be affordable home ownership properties unless it would significantly prejudice the ability to meet the identified affordable housing needs of specific groups. Given the </w:t>
      </w:r>
      <w:r>
        <w:t xml:space="preserve">relative </w:t>
      </w:r>
      <w:r w:rsidRPr="001B0740">
        <w:t>scale</w:t>
      </w:r>
      <w:r>
        <w:t xml:space="preserve"> need for </w:t>
      </w:r>
      <w:r w:rsidRPr="001B0740">
        <w:t>affordable housing to rent</w:t>
      </w:r>
      <w:r>
        <w:t xml:space="preserve"> (435 per annum)</w:t>
      </w:r>
      <w:r w:rsidRPr="001B0740">
        <w:t xml:space="preserve"> compared to affordable home ownership</w:t>
      </w:r>
      <w:r>
        <w:t xml:space="preserve"> (105 per annum), i</w:t>
      </w:r>
      <w:r w:rsidRPr="001B0740">
        <w:t xml:space="preserve">t seems reasonable to suggest that South Cambridgeshire could consider seeking 10% of all housing (on </w:t>
      </w:r>
      <w:r w:rsidR="00786FBE">
        <w:t>major</w:t>
      </w:r>
      <w:r w:rsidR="00786FBE" w:rsidRPr="001B0740">
        <w:t xml:space="preserve"> </w:t>
      </w:r>
      <w:r w:rsidRPr="001B0740">
        <w:t xml:space="preserve">sites) to be affordable home ownership (as set out in the NPPF) unless this would prejudice meeting the needs of other groups. </w:t>
      </w:r>
    </w:p>
    <w:p w14:paraId="48039800" w14:textId="44FB9DE6" w:rsidR="00C71E60" w:rsidRPr="001B0740" w:rsidRDefault="00C71E60" w:rsidP="007D0FBF">
      <w:pPr>
        <w:pStyle w:val="11Bodytext"/>
      </w:pPr>
      <w:r>
        <w:t>Given that affordable housing delivery will be curtailed by viability it will u</w:t>
      </w:r>
      <w:r w:rsidRPr="001A4A72">
        <w:t xml:space="preserve">ltimately </w:t>
      </w:r>
      <w:r>
        <w:t>be a</w:t>
      </w:r>
      <w:r w:rsidRPr="001A4A72">
        <w:t xml:space="preserve"> choice</w:t>
      </w:r>
      <w:r>
        <w:t xml:space="preserve"> for the Council to make</w:t>
      </w:r>
      <w:r w:rsidRPr="001A4A72">
        <w:t xml:space="preserve"> </w:t>
      </w:r>
      <w:r>
        <w:t xml:space="preserve">in relation to the split between social and affordable rent and affordable home ownership products.   In making this choice </w:t>
      </w:r>
      <w:r w:rsidRPr="001A4A72">
        <w:t>they</w:t>
      </w:r>
      <w:r>
        <w:t xml:space="preserve"> should</w:t>
      </w:r>
      <w:r w:rsidRPr="001A4A72">
        <w:t xml:space="preserve"> consider a wide range of factors including </w:t>
      </w:r>
      <w:r w:rsidR="008065C4">
        <w:t xml:space="preserve">the </w:t>
      </w:r>
      <w:r w:rsidRPr="001A4A72">
        <w:t xml:space="preserve">local priority (dealing with </w:t>
      </w:r>
      <w:r w:rsidR="008065C4">
        <w:t xml:space="preserve">the </w:t>
      </w:r>
      <w:r w:rsidRPr="001A4A72">
        <w:t>acute need</w:t>
      </w:r>
      <w:r w:rsidR="00485505">
        <w:t xml:space="preserve"> versus the need to provide a wider range of housing options </w:t>
      </w:r>
      <w:r w:rsidR="004F4A32">
        <w:t>targeted at a range of income levels</w:t>
      </w:r>
      <w:r w:rsidRPr="001A4A72">
        <w:t>) and the viability of different products.</w:t>
      </w:r>
    </w:p>
    <w:p w14:paraId="4CEB2672" w14:textId="1D88F89C" w:rsidR="00C71E60" w:rsidRPr="0083164E" w:rsidRDefault="00C71E60" w:rsidP="007D0FBF">
      <w:pPr>
        <w:pStyle w:val="11Bodytext"/>
      </w:pPr>
      <w:r w:rsidRPr="0083164E">
        <w:t>If the Council do</w:t>
      </w:r>
      <w:r>
        <w:t>es</w:t>
      </w:r>
      <w:r w:rsidRPr="0083164E">
        <w:t xml:space="preserve"> seek to provide 10% of housing as affordable home </w:t>
      </w:r>
      <w:r w:rsidR="00B945E7" w:rsidRPr="0083164E">
        <w:t>ownership,</w:t>
      </w:r>
      <w:r w:rsidRPr="0083164E">
        <w:t xml:space="preserve"> then it is suggested that shared ownership</w:t>
      </w:r>
      <w:r w:rsidR="009B170E">
        <w:t xml:space="preserve"> (and possibly rent to buy)</w:t>
      </w:r>
      <w:r w:rsidRPr="0083164E">
        <w:t xml:space="preserve"> </w:t>
      </w:r>
      <w:r w:rsidR="009B170E">
        <w:t>is the most</w:t>
      </w:r>
      <w:r w:rsidRPr="0083164E">
        <w:t xml:space="preserve"> appropriate </w:t>
      </w:r>
      <w:r>
        <w:t>tenure</w:t>
      </w:r>
      <w:r w:rsidRPr="0083164E">
        <w:t xml:space="preserve">. </w:t>
      </w:r>
      <w:r w:rsidR="009B170E">
        <w:t>Shared Ownership requires a</w:t>
      </w:r>
      <w:r w:rsidRPr="0083164E">
        <w:t xml:space="preserve"> lower deposit and</w:t>
      </w:r>
      <w:r w:rsidR="009B170E">
        <w:t xml:space="preserve"> involves</w:t>
      </w:r>
      <w:r w:rsidRPr="0083164E">
        <w:t xml:space="preserve"> lower overall costs (given that the rent would also be subsidised).</w:t>
      </w:r>
    </w:p>
    <w:p w14:paraId="3E9E099D" w14:textId="77777777" w:rsidR="00C71E60" w:rsidRPr="001B0740" w:rsidRDefault="00C71E60" w:rsidP="00216BEB">
      <w:pPr>
        <w:pStyle w:val="Heading3"/>
        <w:rPr>
          <w:color w:val="0093D5"/>
        </w:rPr>
      </w:pPr>
      <w:r w:rsidRPr="001B0740">
        <w:t>Housing Mix</w:t>
      </w:r>
    </w:p>
    <w:p w14:paraId="6D92BAB2" w14:textId="3501D888" w:rsidR="00C71E60" w:rsidRPr="001B0740" w:rsidRDefault="00C71E60" w:rsidP="007D0FBF">
      <w:pPr>
        <w:pStyle w:val="11Bodytext"/>
      </w:pPr>
      <w:r w:rsidRPr="001B0740">
        <w:t xml:space="preserve">The following mix of homes size by tenure is suggested as a strategic mix for South Cambridgeshire </w:t>
      </w:r>
      <w:r>
        <w:t>for</w:t>
      </w:r>
      <w:r w:rsidRPr="001B0740">
        <w:t xml:space="preserve"> the 2020-2040 period.</w:t>
      </w:r>
    </w:p>
    <w:tbl>
      <w:tblPr>
        <w:tblStyle w:val="TableGridLight1"/>
        <w:tblW w:w="8930" w:type="dxa"/>
        <w:tblInd w:w="846" w:type="dxa"/>
        <w:tblLayout w:type="fixed"/>
        <w:tblLook w:val="04A0" w:firstRow="1" w:lastRow="0" w:firstColumn="1" w:lastColumn="0" w:noHBand="0" w:noVBand="1"/>
      </w:tblPr>
      <w:tblGrid>
        <w:gridCol w:w="1614"/>
        <w:gridCol w:w="2438"/>
        <w:gridCol w:w="2439"/>
        <w:gridCol w:w="2439"/>
      </w:tblGrid>
      <w:tr w:rsidR="00C4126C" w:rsidRPr="00C4126C" w14:paraId="766E253A" w14:textId="77777777" w:rsidTr="004F4BA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614" w:type="dxa"/>
            <w:noWrap/>
            <w:hideMark/>
          </w:tcPr>
          <w:p w14:paraId="7D43E0CA" w14:textId="77777777" w:rsidR="00C71E60" w:rsidRPr="004F4BA7" w:rsidRDefault="00C71E60" w:rsidP="00C71E60">
            <w:pPr>
              <w:rPr>
                <w:color w:val="auto"/>
                <w:lang w:eastAsia="en-GB"/>
              </w:rPr>
            </w:pPr>
            <w:r w:rsidRPr="004F4BA7">
              <w:rPr>
                <w:color w:val="auto"/>
                <w:lang w:eastAsia="en-GB"/>
              </w:rPr>
              <w:t>Size</w:t>
            </w:r>
          </w:p>
        </w:tc>
        <w:tc>
          <w:tcPr>
            <w:tcW w:w="2438" w:type="dxa"/>
            <w:noWrap/>
            <w:hideMark/>
          </w:tcPr>
          <w:p w14:paraId="30139EC5"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439" w:type="dxa"/>
            <w:noWrap/>
            <w:hideMark/>
          </w:tcPr>
          <w:p w14:paraId="7BBEA8EE"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439" w:type="dxa"/>
            <w:noWrap/>
            <w:hideMark/>
          </w:tcPr>
          <w:p w14:paraId="5C63A998" w14:textId="77777777" w:rsidR="00C71E60" w:rsidRPr="004F4BA7" w:rsidRDefault="00C71E60" w:rsidP="00C71E60">
            <w:pPr>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C4126C" w:rsidRPr="00C4126C" w14:paraId="55E85844" w14:textId="77777777" w:rsidTr="004F4BA7">
        <w:trPr>
          <w:trHeight w:val="352"/>
        </w:trPr>
        <w:tc>
          <w:tcPr>
            <w:cnfStyle w:val="001000000000" w:firstRow="0" w:lastRow="0" w:firstColumn="1" w:lastColumn="0" w:oddVBand="0" w:evenVBand="0" w:oddHBand="0" w:evenHBand="0" w:firstRowFirstColumn="0" w:firstRowLastColumn="0" w:lastRowFirstColumn="0" w:lastRowLastColumn="0"/>
            <w:tcW w:w="1614" w:type="dxa"/>
            <w:hideMark/>
          </w:tcPr>
          <w:p w14:paraId="7A970951" w14:textId="77777777" w:rsidR="00C71E60" w:rsidRPr="004F4BA7" w:rsidRDefault="00C71E60" w:rsidP="00C71E60">
            <w:pPr>
              <w:rPr>
                <w:color w:val="auto"/>
                <w:lang w:eastAsia="en-GB"/>
              </w:rPr>
            </w:pPr>
            <w:r w:rsidRPr="004F4BA7">
              <w:rPr>
                <w:color w:val="auto"/>
                <w:lang w:eastAsia="en-GB"/>
              </w:rPr>
              <w:t>1-bedroom</w:t>
            </w:r>
          </w:p>
        </w:tc>
        <w:tc>
          <w:tcPr>
            <w:tcW w:w="2438" w:type="dxa"/>
            <w:hideMark/>
          </w:tcPr>
          <w:p w14:paraId="0F4D7452"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439" w:type="dxa"/>
            <w:hideMark/>
          </w:tcPr>
          <w:p w14:paraId="29742610"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10-20%</w:t>
            </w:r>
          </w:p>
        </w:tc>
        <w:tc>
          <w:tcPr>
            <w:tcW w:w="2439" w:type="dxa"/>
            <w:hideMark/>
          </w:tcPr>
          <w:p w14:paraId="67E4F719"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r>
      <w:tr w:rsidR="00C4126C" w:rsidRPr="00C4126C" w14:paraId="60A61F10" w14:textId="77777777" w:rsidTr="004F4BA7">
        <w:trPr>
          <w:trHeight w:val="352"/>
        </w:trPr>
        <w:tc>
          <w:tcPr>
            <w:cnfStyle w:val="001000000000" w:firstRow="0" w:lastRow="0" w:firstColumn="1" w:lastColumn="0" w:oddVBand="0" w:evenVBand="0" w:oddHBand="0" w:evenHBand="0" w:firstRowFirstColumn="0" w:firstRowLastColumn="0" w:lastRowFirstColumn="0" w:lastRowLastColumn="0"/>
            <w:tcW w:w="1614" w:type="dxa"/>
            <w:hideMark/>
          </w:tcPr>
          <w:p w14:paraId="4D8F0EE8" w14:textId="77777777" w:rsidR="00C71E60" w:rsidRPr="004F4BA7" w:rsidRDefault="00C71E60" w:rsidP="00C71E60">
            <w:pPr>
              <w:rPr>
                <w:color w:val="auto"/>
                <w:lang w:eastAsia="en-GB"/>
              </w:rPr>
            </w:pPr>
            <w:r w:rsidRPr="004F4BA7">
              <w:rPr>
                <w:color w:val="auto"/>
                <w:lang w:eastAsia="en-GB"/>
              </w:rPr>
              <w:t>2-bedrooms</w:t>
            </w:r>
          </w:p>
        </w:tc>
        <w:tc>
          <w:tcPr>
            <w:tcW w:w="2438" w:type="dxa"/>
            <w:hideMark/>
          </w:tcPr>
          <w:p w14:paraId="043BAAD5"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439" w:type="dxa"/>
            <w:hideMark/>
          </w:tcPr>
          <w:p w14:paraId="00156AF9"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c>
          <w:tcPr>
            <w:tcW w:w="2439" w:type="dxa"/>
            <w:hideMark/>
          </w:tcPr>
          <w:p w14:paraId="50B591C5"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35-45%</w:t>
            </w:r>
          </w:p>
        </w:tc>
      </w:tr>
      <w:tr w:rsidR="00C4126C" w:rsidRPr="00C4126C" w14:paraId="40B20226" w14:textId="77777777" w:rsidTr="004F4BA7">
        <w:trPr>
          <w:trHeight w:val="352"/>
        </w:trPr>
        <w:tc>
          <w:tcPr>
            <w:cnfStyle w:val="001000000000" w:firstRow="0" w:lastRow="0" w:firstColumn="1" w:lastColumn="0" w:oddVBand="0" w:evenVBand="0" w:oddHBand="0" w:evenHBand="0" w:firstRowFirstColumn="0" w:firstRowLastColumn="0" w:lastRowFirstColumn="0" w:lastRowLastColumn="0"/>
            <w:tcW w:w="1614" w:type="dxa"/>
            <w:hideMark/>
          </w:tcPr>
          <w:p w14:paraId="600290E3" w14:textId="77777777" w:rsidR="00C71E60" w:rsidRPr="004F4BA7" w:rsidRDefault="00C71E60" w:rsidP="00C71E60">
            <w:pPr>
              <w:rPr>
                <w:color w:val="auto"/>
                <w:lang w:eastAsia="en-GB"/>
              </w:rPr>
            </w:pPr>
            <w:r w:rsidRPr="004F4BA7">
              <w:rPr>
                <w:color w:val="auto"/>
                <w:lang w:eastAsia="en-GB"/>
              </w:rPr>
              <w:t>3-bedrooms</w:t>
            </w:r>
          </w:p>
        </w:tc>
        <w:tc>
          <w:tcPr>
            <w:tcW w:w="2438" w:type="dxa"/>
            <w:hideMark/>
          </w:tcPr>
          <w:p w14:paraId="5D7D39C4"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439" w:type="dxa"/>
            <w:hideMark/>
          </w:tcPr>
          <w:p w14:paraId="281E0439"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c>
          <w:tcPr>
            <w:tcW w:w="2439" w:type="dxa"/>
            <w:hideMark/>
          </w:tcPr>
          <w:p w14:paraId="2294C764"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r>
      <w:tr w:rsidR="00C4126C" w:rsidRPr="00C4126C" w14:paraId="737A0A8B" w14:textId="77777777" w:rsidTr="004F4BA7">
        <w:trPr>
          <w:trHeight w:val="352"/>
        </w:trPr>
        <w:tc>
          <w:tcPr>
            <w:cnfStyle w:val="001000000000" w:firstRow="0" w:lastRow="0" w:firstColumn="1" w:lastColumn="0" w:oddVBand="0" w:evenVBand="0" w:oddHBand="0" w:evenHBand="0" w:firstRowFirstColumn="0" w:firstRowLastColumn="0" w:lastRowFirstColumn="0" w:lastRowLastColumn="0"/>
            <w:tcW w:w="1614" w:type="dxa"/>
            <w:hideMark/>
          </w:tcPr>
          <w:p w14:paraId="080935D6" w14:textId="77777777" w:rsidR="00C71E60" w:rsidRPr="004F4BA7" w:rsidRDefault="00C71E60" w:rsidP="00C71E60">
            <w:pPr>
              <w:rPr>
                <w:color w:val="auto"/>
                <w:lang w:eastAsia="en-GB"/>
              </w:rPr>
            </w:pPr>
            <w:r w:rsidRPr="004F4BA7">
              <w:rPr>
                <w:color w:val="auto"/>
                <w:lang w:eastAsia="en-GB"/>
              </w:rPr>
              <w:t>4+-bedrooms</w:t>
            </w:r>
          </w:p>
        </w:tc>
        <w:tc>
          <w:tcPr>
            <w:tcW w:w="2438" w:type="dxa"/>
            <w:hideMark/>
          </w:tcPr>
          <w:p w14:paraId="646317E6"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c>
          <w:tcPr>
            <w:tcW w:w="2439" w:type="dxa"/>
            <w:hideMark/>
          </w:tcPr>
          <w:p w14:paraId="4898C57F"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5-15%</w:t>
            </w:r>
          </w:p>
        </w:tc>
        <w:tc>
          <w:tcPr>
            <w:tcW w:w="2439" w:type="dxa"/>
            <w:hideMark/>
          </w:tcPr>
          <w:p w14:paraId="27DD650A" w14:textId="77777777" w:rsidR="00C71E60" w:rsidRPr="004F4BA7" w:rsidRDefault="00C71E60" w:rsidP="00C71E60">
            <w:pPr>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2BF37580" w14:textId="77777777" w:rsidR="00C71E60" w:rsidRPr="001B0740" w:rsidRDefault="00C71E60" w:rsidP="008E5DB4">
      <w:pPr>
        <w:ind w:left="426" w:hanging="426"/>
      </w:pPr>
    </w:p>
    <w:p w14:paraId="35EF84D8" w14:textId="22DCB2DF" w:rsidR="00C71E60" w:rsidRPr="001B0740" w:rsidRDefault="00C71E60" w:rsidP="007D0FBF">
      <w:pPr>
        <w:pStyle w:val="11Bodytext"/>
      </w:pPr>
      <w:r w:rsidRPr="001B0740">
        <w:t>The mix identified above should inform</w:t>
      </w:r>
      <w:r>
        <w:t xml:space="preserve"> the preparation of</w:t>
      </w:r>
      <w:r w:rsidRPr="001B0740">
        <w:t xml:space="preserve"> strategic policies. However, in applying the mix to individual development sites </w:t>
      </w:r>
      <w:r>
        <w:t xml:space="preserve">the policies should be flexible </w:t>
      </w:r>
      <w:r>
        <w:lastRenderedPageBreak/>
        <w:t xml:space="preserve">enough to have </w:t>
      </w:r>
      <w:r w:rsidRPr="001B0740">
        <w:t>regard to the nature of the site and character of the area, and to up-to-date evidence of need</w:t>
      </w:r>
      <w:r>
        <w:t xml:space="preserve"> (such as the housing register)</w:t>
      </w:r>
      <w:r w:rsidRPr="001B0740">
        <w:t xml:space="preserve"> as well as the existing mix and turnover of properties at the local level. </w:t>
      </w:r>
      <w:r w:rsidR="00442A4E" w:rsidRPr="001B0740">
        <w:t>The Council should also monitor the mix of housing delivered</w:t>
      </w:r>
      <w:r w:rsidR="00442A4E">
        <w:t xml:space="preserve"> and respond accordingly so that the strategic mix requirements are closely met</w:t>
      </w:r>
      <w:r w:rsidR="00442A4E" w:rsidRPr="001B0740">
        <w:t>.</w:t>
      </w:r>
    </w:p>
    <w:p w14:paraId="07F91623" w14:textId="2D49F80C" w:rsidR="00C71E60" w:rsidRPr="001B0740" w:rsidRDefault="00C71E60" w:rsidP="00216BEB">
      <w:pPr>
        <w:pStyle w:val="Heading3"/>
      </w:pPr>
      <w:r w:rsidRPr="001B0740">
        <w:t>Older and disabled people need</w:t>
      </w:r>
    </w:p>
    <w:p w14:paraId="2D24502A" w14:textId="7513BAE2" w:rsidR="00C71E60" w:rsidRPr="001B0740" w:rsidRDefault="00C71E60" w:rsidP="007D0FBF">
      <w:pPr>
        <w:pStyle w:val="11Bodytext"/>
      </w:pPr>
      <w:r w:rsidRPr="001B0740">
        <w:t>There is projected to be a 70% increase in the population aged 75</w:t>
      </w:r>
      <w:r w:rsidR="008142AD">
        <w:t xml:space="preserve"> and</w:t>
      </w:r>
      <w:r w:rsidRPr="001B0740">
        <w:t xml:space="preserve"> over </w:t>
      </w:r>
      <w:r w:rsidR="008142AD">
        <w:t xml:space="preserve">between </w:t>
      </w:r>
      <w:r w:rsidRPr="001B0740">
        <w:t>2020-2040 across South Cambridgeshire. Based on prevalence rates and the identified population growth of those aged 75</w:t>
      </w:r>
      <w:r w:rsidR="008142AD">
        <w:t xml:space="preserve"> and over</w:t>
      </w:r>
      <w:r w:rsidRPr="001B0740">
        <w:t xml:space="preserve"> we have identified the following surplus/shortfall in specialist housing for older people</w:t>
      </w:r>
      <w:r w:rsidR="009B170E">
        <w:t xml:space="preserve"> (a negative figure denotes a surplus)</w:t>
      </w:r>
      <w:r w:rsidRPr="001B0740">
        <w:t xml:space="preserve"> by 2040 as follows:</w:t>
      </w:r>
    </w:p>
    <w:p w14:paraId="6524189F" w14:textId="77777777" w:rsidR="00C71E60" w:rsidRPr="001B0740" w:rsidRDefault="00C71E60" w:rsidP="008E5DB4">
      <w:pPr>
        <w:ind w:left="426" w:hanging="426"/>
      </w:pPr>
    </w:p>
    <w:tbl>
      <w:tblPr>
        <w:tblStyle w:val="TableGridLight1"/>
        <w:tblW w:w="8788" w:type="dxa"/>
        <w:tblInd w:w="846" w:type="dxa"/>
        <w:tblLook w:val="04A0" w:firstRow="1" w:lastRow="0" w:firstColumn="1" w:lastColumn="0" w:noHBand="0" w:noVBand="1"/>
      </w:tblPr>
      <w:tblGrid>
        <w:gridCol w:w="2929"/>
        <w:gridCol w:w="2929"/>
        <w:gridCol w:w="2930"/>
      </w:tblGrid>
      <w:tr w:rsidR="00956DC6" w:rsidRPr="00956DC6" w14:paraId="613CF8F7" w14:textId="77777777" w:rsidTr="00956D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29" w:type="dxa"/>
            <w:hideMark/>
          </w:tcPr>
          <w:p w14:paraId="5A2C8A15" w14:textId="77777777" w:rsidR="00956DC6" w:rsidRPr="00956DC6" w:rsidRDefault="00956DC6" w:rsidP="00956DC6">
            <w:pPr>
              <w:rPr>
                <w:bCs/>
                <w:color w:val="auto"/>
                <w:lang w:eastAsia="en-GB"/>
              </w:rPr>
            </w:pPr>
            <w:r w:rsidRPr="00956DC6">
              <w:rPr>
                <w:bCs/>
                <w:color w:val="auto"/>
                <w:lang w:eastAsia="en-GB"/>
              </w:rPr>
              <w:t>Type</w:t>
            </w:r>
          </w:p>
        </w:tc>
        <w:tc>
          <w:tcPr>
            <w:tcW w:w="2929" w:type="dxa"/>
            <w:hideMark/>
          </w:tcPr>
          <w:p w14:paraId="79BA224A"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Tenure</w:t>
            </w:r>
          </w:p>
        </w:tc>
        <w:tc>
          <w:tcPr>
            <w:tcW w:w="2930" w:type="dxa"/>
            <w:hideMark/>
          </w:tcPr>
          <w:p w14:paraId="74C268D7"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South Cambridgeshire</w:t>
            </w:r>
          </w:p>
        </w:tc>
      </w:tr>
      <w:tr w:rsidR="00956DC6" w:rsidRPr="00956DC6" w14:paraId="215B363D"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29" w:type="dxa"/>
            <w:hideMark/>
          </w:tcPr>
          <w:p w14:paraId="7B27F51E" w14:textId="17E8B361" w:rsidR="00956DC6" w:rsidRPr="00956DC6" w:rsidRDefault="00956DC6" w:rsidP="00956DC6">
            <w:pPr>
              <w:jc w:val="center"/>
              <w:rPr>
                <w:color w:val="auto"/>
                <w:lang w:eastAsia="en-GB"/>
              </w:rPr>
            </w:pPr>
            <w:r w:rsidRPr="00956DC6">
              <w:rPr>
                <w:color w:val="auto"/>
                <w:lang w:eastAsia="en-GB"/>
              </w:rPr>
              <w:t>Housing with support</w:t>
            </w:r>
          </w:p>
        </w:tc>
        <w:tc>
          <w:tcPr>
            <w:tcW w:w="2929" w:type="dxa"/>
            <w:hideMark/>
          </w:tcPr>
          <w:p w14:paraId="46F3747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30" w:type="dxa"/>
            <w:hideMark/>
          </w:tcPr>
          <w:p w14:paraId="04C8AB2B"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-502</w:t>
            </w:r>
          </w:p>
        </w:tc>
      </w:tr>
      <w:tr w:rsidR="00956DC6" w:rsidRPr="00956DC6" w14:paraId="31A152D9"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29" w:type="dxa"/>
            <w:hideMark/>
          </w:tcPr>
          <w:p w14:paraId="433C7CAE" w14:textId="55364ECD" w:rsidR="00956DC6" w:rsidRPr="00956DC6" w:rsidRDefault="00956DC6" w:rsidP="00956DC6">
            <w:pPr>
              <w:jc w:val="center"/>
              <w:rPr>
                <w:color w:val="auto"/>
                <w:lang w:eastAsia="en-GB"/>
              </w:rPr>
            </w:pPr>
            <w:r w:rsidRPr="00956DC6">
              <w:rPr>
                <w:color w:val="auto"/>
                <w:lang w:eastAsia="en-GB"/>
              </w:rPr>
              <w:t>Housing with support</w:t>
            </w:r>
          </w:p>
        </w:tc>
        <w:tc>
          <w:tcPr>
            <w:tcW w:w="2929" w:type="dxa"/>
            <w:hideMark/>
          </w:tcPr>
          <w:p w14:paraId="0287F3BC"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30" w:type="dxa"/>
            <w:hideMark/>
          </w:tcPr>
          <w:p w14:paraId="349E229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1,447</w:t>
            </w:r>
          </w:p>
        </w:tc>
      </w:tr>
      <w:tr w:rsidR="00956DC6" w:rsidRPr="00956DC6" w14:paraId="76F8CDF2"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29" w:type="dxa"/>
            <w:hideMark/>
          </w:tcPr>
          <w:p w14:paraId="14F41977" w14:textId="1F7A0204" w:rsidR="00956DC6" w:rsidRPr="00956DC6" w:rsidRDefault="00956DC6" w:rsidP="00956DC6">
            <w:pPr>
              <w:jc w:val="center"/>
              <w:rPr>
                <w:color w:val="auto"/>
                <w:lang w:eastAsia="en-GB"/>
              </w:rPr>
            </w:pPr>
            <w:r w:rsidRPr="00956DC6">
              <w:rPr>
                <w:color w:val="auto"/>
                <w:lang w:eastAsia="en-GB"/>
              </w:rPr>
              <w:t>Housing with care</w:t>
            </w:r>
          </w:p>
        </w:tc>
        <w:tc>
          <w:tcPr>
            <w:tcW w:w="2929" w:type="dxa"/>
            <w:hideMark/>
          </w:tcPr>
          <w:p w14:paraId="73819A6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930" w:type="dxa"/>
            <w:hideMark/>
          </w:tcPr>
          <w:p w14:paraId="4E0D801E"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192</w:t>
            </w:r>
          </w:p>
        </w:tc>
      </w:tr>
      <w:tr w:rsidR="00956DC6" w:rsidRPr="00956DC6" w14:paraId="30E4FAA5"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29" w:type="dxa"/>
            <w:hideMark/>
          </w:tcPr>
          <w:p w14:paraId="4201AEF5" w14:textId="26AC0A61" w:rsidR="00956DC6" w:rsidRPr="00956DC6" w:rsidRDefault="00956DC6" w:rsidP="00956DC6">
            <w:pPr>
              <w:jc w:val="center"/>
              <w:rPr>
                <w:color w:val="auto"/>
                <w:lang w:eastAsia="en-GB"/>
              </w:rPr>
            </w:pPr>
            <w:r w:rsidRPr="00956DC6">
              <w:rPr>
                <w:color w:val="auto"/>
                <w:lang w:eastAsia="en-GB"/>
              </w:rPr>
              <w:t>Housing with care</w:t>
            </w:r>
          </w:p>
        </w:tc>
        <w:tc>
          <w:tcPr>
            <w:tcW w:w="2929" w:type="dxa"/>
            <w:hideMark/>
          </w:tcPr>
          <w:p w14:paraId="55A1B229"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930" w:type="dxa"/>
            <w:hideMark/>
          </w:tcPr>
          <w:p w14:paraId="373CC1D6"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473</w:t>
            </w:r>
          </w:p>
        </w:tc>
      </w:tr>
      <w:tr w:rsidR="00956DC6" w:rsidRPr="00956DC6" w14:paraId="3607C8B6"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929" w:type="dxa"/>
            <w:hideMark/>
          </w:tcPr>
          <w:p w14:paraId="5B7065DB" w14:textId="77777777" w:rsidR="00956DC6" w:rsidRPr="00956DC6" w:rsidRDefault="00956DC6" w:rsidP="00956DC6">
            <w:pPr>
              <w:jc w:val="center"/>
              <w:rPr>
                <w:color w:val="auto"/>
                <w:lang w:eastAsia="en-GB"/>
              </w:rPr>
            </w:pPr>
            <w:r w:rsidRPr="00956DC6">
              <w:rPr>
                <w:color w:val="auto"/>
                <w:lang w:eastAsia="en-GB"/>
              </w:rPr>
              <w:t>Care Bed-spaces</w:t>
            </w:r>
          </w:p>
        </w:tc>
        <w:tc>
          <w:tcPr>
            <w:tcW w:w="2929" w:type="dxa"/>
            <w:hideMark/>
          </w:tcPr>
          <w:p w14:paraId="02005B34" w14:textId="3116E42F"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p>
        </w:tc>
        <w:tc>
          <w:tcPr>
            <w:tcW w:w="2930" w:type="dxa"/>
            <w:hideMark/>
          </w:tcPr>
          <w:p w14:paraId="62B788CB"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1,613</w:t>
            </w:r>
          </w:p>
        </w:tc>
      </w:tr>
    </w:tbl>
    <w:p w14:paraId="7ECF7441" w14:textId="77777777" w:rsidR="00C71E60" w:rsidRPr="001B0740" w:rsidRDefault="00C71E60" w:rsidP="00956DC6">
      <w:pPr>
        <w:pStyle w:val="ListParagraph"/>
        <w:numPr>
          <w:ilvl w:val="0"/>
          <w:numId w:val="0"/>
        </w:numPr>
        <w:ind w:left="426"/>
      </w:pPr>
    </w:p>
    <w:p w14:paraId="178D060D" w14:textId="6D4A37CF" w:rsidR="00C71E60" w:rsidRPr="001B0740" w:rsidRDefault="00C71E60" w:rsidP="007D0FBF">
      <w:pPr>
        <w:pStyle w:val="11Bodytext"/>
      </w:pPr>
      <w:r w:rsidRPr="001B0740">
        <w:t>The number of older people with dementia is expected to increase by 71.9% from 2020 to 2040. There is also a 62.1% increase projected for those with mobility problems over the same period.</w:t>
      </w:r>
    </w:p>
    <w:p w14:paraId="2E13FEBC" w14:textId="517C45D9" w:rsidR="00E36919" w:rsidRPr="001B0740" w:rsidRDefault="00E36919" w:rsidP="007D0FBF">
      <w:pPr>
        <w:pStyle w:val="11Bodytext"/>
      </w:pPr>
      <w:r w:rsidRPr="001B0740">
        <w:t xml:space="preserve">Using data from the </w:t>
      </w:r>
      <w:r>
        <w:t>EHS</w:t>
      </w:r>
      <w:r w:rsidRPr="001B0740">
        <w:t xml:space="preserve"> there is a current</w:t>
      </w:r>
      <w:r>
        <w:t xml:space="preserve"> (428)</w:t>
      </w:r>
      <w:r w:rsidRPr="001B0740">
        <w:t xml:space="preserve"> and projected</w:t>
      </w:r>
      <w:r>
        <w:t xml:space="preserve"> (1,003)</w:t>
      </w:r>
      <w:r w:rsidRPr="001B0740">
        <w:t xml:space="preserve"> need for about </w:t>
      </w:r>
      <w:r>
        <w:t xml:space="preserve">1,430 </w:t>
      </w:r>
      <w:r w:rsidRPr="001B0740">
        <w:t xml:space="preserve">wheelchair user dwellings to 2040 across </w:t>
      </w:r>
      <w:r>
        <w:t>South Cambridgeshire</w:t>
      </w:r>
      <w:r w:rsidRPr="001B0740">
        <w:t xml:space="preserve">. This equates to </w:t>
      </w:r>
      <w:r>
        <w:t>6.60</w:t>
      </w:r>
      <w:r w:rsidRPr="001B0740">
        <w:t xml:space="preserve">% of the total Local Housing Need. </w:t>
      </w:r>
    </w:p>
    <w:p w14:paraId="4281F53D" w14:textId="77777777" w:rsidR="00353C82" w:rsidRPr="00C03AC3" w:rsidRDefault="00353C82" w:rsidP="007D0FBF">
      <w:pPr>
        <w:pStyle w:val="11Bodytext"/>
      </w:pPr>
      <w:r w:rsidRPr="00C03AC3">
        <w:t xml:space="preserve">Where viability permits, the Council should seek to deliver 100% of new homes as M4(2) compliant and at least </w:t>
      </w:r>
      <w:r>
        <w:t>10</w:t>
      </w:r>
      <w:r w:rsidRPr="00C03AC3">
        <w:t xml:space="preserve">% of new market homes and </w:t>
      </w:r>
      <w:r>
        <w:t>25</w:t>
      </w:r>
      <w:r w:rsidRPr="00C03AC3">
        <w:t xml:space="preserve">% of new affordable homes as being M4(3) compliant to meet the identified need. </w:t>
      </w:r>
    </w:p>
    <w:p w14:paraId="41C57C81" w14:textId="77777777" w:rsidR="00C71E60" w:rsidRPr="001B0740" w:rsidRDefault="00C71E60" w:rsidP="00216BEB">
      <w:pPr>
        <w:pStyle w:val="Heading3"/>
      </w:pPr>
      <w:r w:rsidRPr="001B0740">
        <w:lastRenderedPageBreak/>
        <w:t>Student</w:t>
      </w:r>
    </w:p>
    <w:p w14:paraId="527E855D" w14:textId="1DFCDBD1" w:rsidR="006937D3" w:rsidRDefault="006937D3" w:rsidP="007D0FBF">
      <w:pPr>
        <w:pStyle w:val="11Bodytext"/>
      </w:pPr>
      <w:r w:rsidRPr="00100659">
        <w:t xml:space="preserve">The Greater Cambridge authorities should plan to deliver a level of </w:t>
      </w:r>
      <w:r w:rsidR="002B5568">
        <w:t>purpose built student accommodation</w:t>
      </w:r>
      <w:r w:rsidR="002B5568" w:rsidRPr="00100659">
        <w:t xml:space="preserve"> </w:t>
      </w:r>
      <w:r w:rsidRPr="00100659">
        <w:t>which is at least in line with the growth of the Universities student body (3,571 bedspaces by 2040).  It should also encourage further delivery (up to 6,085 bed spaces) to encourage the release of shared housing back into the wider housing stock.</w:t>
      </w:r>
    </w:p>
    <w:p w14:paraId="5ACF22CA" w14:textId="77777777" w:rsidR="006937D3" w:rsidRPr="008677E9" w:rsidRDefault="006937D3" w:rsidP="007D0FBF">
      <w:pPr>
        <w:pStyle w:val="11Bodytext"/>
      </w:pPr>
      <w:r w:rsidRPr="008677E9">
        <w:t>Any development being proposed which relates to purpose build student accommodation should be judged on its merits alongside an assessment of local demand.</w:t>
      </w:r>
      <w:r>
        <w:t xml:space="preserve"> </w:t>
      </w:r>
      <w:r w:rsidRPr="008677E9">
        <w:t>The developer should also demonstrate an agreement with a higher education provider.</w:t>
      </w:r>
    </w:p>
    <w:p w14:paraId="2B10220B" w14:textId="1BF0BD19" w:rsidR="00C71E60" w:rsidRPr="008E5DB4" w:rsidRDefault="00C71E60" w:rsidP="00216BEB">
      <w:pPr>
        <w:pStyle w:val="Heading3"/>
      </w:pPr>
      <w:r w:rsidRPr="001B0740">
        <w:t>People who rent their homes</w:t>
      </w:r>
    </w:p>
    <w:p w14:paraId="284FCF1F" w14:textId="62DDB5C8" w:rsidR="00C71E60" w:rsidRPr="001B0740" w:rsidRDefault="00C71E60" w:rsidP="007D0FBF">
      <w:pPr>
        <w:pStyle w:val="11Bodytext"/>
      </w:pPr>
      <w:r w:rsidRPr="001B0740">
        <w:t xml:space="preserve">Demand for Private Rented Sector (PRS) housing increased by 113% in South Cambridgeshire over the 2001 to 2011 period. Also, the tenure is likely to provide a route to affordable housing given that the number of households in PRS claiming Housing Benefit in South Cambridgeshire is 357 in 2019. </w:t>
      </w:r>
    </w:p>
    <w:p w14:paraId="09782703" w14:textId="4D310767" w:rsidR="00C71E60" w:rsidRPr="001B0740" w:rsidRDefault="00C71E60" w:rsidP="007D0FBF">
      <w:pPr>
        <w:pStyle w:val="11Bodytext"/>
      </w:pPr>
      <w:r w:rsidRPr="001B0740">
        <w:t xml:space="preserve">Notwithstanding, this study does not place a specific estimate on the demand for PRS in South Cambridgeshire. This is because decisions on the part of individual households to buy or rent a home in the open market is dependent on several factors which means that demand can fluctuate over time (for example the availability of government schemes such as Help to Buy). </w:t>
      </w:r>
    </w:p>
    <w:p w14:paraId="617D6352" w14:textId="2C620A6F" w:rsidR="00C71E60" w:rsidRPr="00303311" w:rsidRDefault="00C71E60" w:rsidP="007D0FBF">
      <w:pPr>
        <w:pStyle w:val="11Bodytext"/>
      </w:pPr>
      <w:r>
        <w:t xml:space="preserve">Institutional </w:t>
      </w:r>
      <w:r w:rsidRPr="001B0740">
        <w:t xml:space="preserve">Build to Rent </w:t>
      </w:r>
      <w:r>
        <w:t xml:space="preserve">investment and </w:t>
      </w:r>
      <w:r w:rsidRPr="001B0740">
        <w:t xml:space="preserve">development </w:t>
      </w:r>
      <w:r>
        <w:t>has thus far been typically focused in larger urban areas</w:t>
      </w:r>
      <w:r w:rsidR="002524BC">
        <w:t xml:space="preserve"> able to offer an infrastructure-rich environment</w:t>
      </w:r>
      <w:r>
        <w:t xml:space="preserve">. Therefore, it is likely that South </w:t>
      </w:r>
      <w:r w:rsidRPr="001B0740">
        <w:t>Cambridge</w:t>
      </w:r>
      <w:r>
        <w:t>shire</w:t>
      </w:r>
      <w:r w:rsidRPr="001B0740">
        <w:t xml:space="preserve"> </w:t>
      </w:r>
      <w:r>
        <w:t>will see some interest in this type of development in the towns and villages around Cambridge. Where build to rent is being proposed, the policy position should be supportive, subject to the location and characteristics of the site in question and the proportion of units for affordable private rent being provided (seeking a minimum of 20%).</w:t>
      </w:r>
    </w:p>
    <w:p w14:paraId="2DD0ACCF" w14:textId="77777777" w:rsidR="00C71E60" w:rsidRPr="001B0740" w:rsidRDefault="00C71E60" w:rsidP="00216BEB">
      <w:pPr>
        <w:pStyle w:val="Heading3"/>
      </w:pPr>
      <w:r w:rsidRPr="001B0740">
        <w:lastRenderedPageBreak/>
        <w:t xml:space="preserve">Self-build and custom-build housing </w:t>
      </w:r>
    </w:p>
    <w:p w14:paraId="58FC9F87" w14:textId="77777777" w:rsidR="00C71E60" w:rsidRPr="001B0740" w:rsidRDefault="00C71E60" w:rsidP="007D0FBF">
      <w:pPr>
        <w:pStyle w:val="11Bodytext"/>
      </w:pPr>
      <w:r>
        <w:t xml:space="preserve">The Council is required to permit plots for new custom and self-build homes for every new entry on to its custom and self-build register within three years of the end of each base period.  An indication of the scale of this need is taken from the current register and suggests that the </w:t>
      </w:r>
      <w:r w:rsidRPr="001B0740">
        <w:t>Greater Cambridgeshire</w:t>
      </w:r>
      <w:r>
        <w:t xml:space="preserve"> authorities</w:t>
      </w:r>
      <w:r w:rsidRPr="001B0740">
        <w:t xml:space="preserve"> (the </w:t>
      </w:r>
      <w:r>
        <w:t>C</w:t>
      </w:r>
      <w:r w:rsidRPr="001B0740">
        <w:t>ity of Cambridge and South Cambridgeshire)</w:t>
      </w:r>
      <w:r>
        <w:t xml:space="preserve"> should permit</w:t>
      </w:r>
      <w:r w:rsidRPr="001B0740">
        <w:t xml:space="preserve"> </w:t>
      </w:r>
      <w:r>
        <w:t>147</w:t>
      </w:r>
      <w:r w:rsidRPr="001B0740">
        <w:t xml:space="preserve"> self-build plots annually</w:t>
      </w:r>
      <w:r>
        <w:t xml:space="preserve">. </w:t>
      </w:r>
      <w:r w:rsidRPr="001B0740">
        <w:t xml:space="preserve"> </w:t>
      </w:r>
      <w:r>
        <w:t>Although an alternative assessment has put this figure at up to 124 plots per annum of which 78 would be in South Cambridgeshire.</w:t>
      </w:r>
    </w:p>
    <w:p w14:paraId="61E0B403" w14:textId="77777777" w:rsidR="00C71E60" w:rsidRPr="001B0740" w:rsidRDefault="00C71E60" w:rsidP="00216BEB">
      <w:pPr>
        <w:pStyle w:val="Heading3"/>
      </w:pPr>
      <w:r w:rsidRPr="001B0740">
        <w:t>Service Families</w:t>
      </w:r>
    </w:p>
    <w:p w14:paraId="731CE671" w14:textId="3F9D6284" w:rsidR="00C71E60" w:rsidRPr="00A70705" w:rsidRDefault="00C71E60" w:rsidP="007D0FBF">
      <w:pPr>
        <w:pStyle w:val="11Bodytext"/>
      </w:pPr>
      <w:r w:rsidRPr="00A70705">
        <w:t xml:space="preserve">Given the lack of military personnel in </w:t>
      </w:r>
      <w:r w:rsidR="002524BC">
        <w:t xml:space="preserve">South </w:t>
      </w:r>
      <w:proofErr w:type="spellStart"/>
      <w:r w:rsidR="002524BC">
        <w:t>Cambridgehire</w:t>
      </w:r>
      <w:proofErr w:type="spellEnd"/>
      <w:r w:rsidR="002524BC" w:rsidRPr="00A70705">
        <w:t xml:space="preserve"> </w:t>
      </w:r>
      <w:r w:rsidRPr="00A70705">
        <w:t xml:space="preserve">there is unlikely to be any demand for military housing in the area. </w:t>
      </w:r>
    </w:p>
    <w:p w14:paraId="33B0693F" w14:textId="77777777" w:rsidR="00C71E60" w:rsidRPr="001B0740" w:rsidRDefault="00C71E60" w:rsidP="00216BEB">
      <w:pPr>
        <w:pStyle w:val="Heading2"/>
      </w:pPr>
      <w:r w:rsidRPr="001B0740">
        <w:t>West Suffolk</w:t>
      </w:r>
    </w:p>
    <w:p w14:paraId="11C2671D" w14:textId="77777777" w:rsidR="00C71E60" w:rsidRPr="001B0740" w:rsidRDefault="00C71E60" w:rsidP="00C71E60">
      <w:pPr>
        <w:ind w:firstLine="426"/>
        <w:rPr>
          <w:color w:val="0093D5"/>
        </w:rPr>
      </w:pPr>
    </w:p>
    <w:p w14:paraId="69FA731D" w14:textId="77777777" w:rsidR="00C71E60" w:rsidRPr="001B0740" w:rsidRDefault="00C71E60" w:rsidP="00216BEB">
      <w:pPr>
        <w:pStyle w:val="Heading3"/>
      </w:pPr>
      <w:r w:rsidRPr="001B0740">
        <w:t>Demographic Baseline</w:t>
      </w:r>
    </w:p>
    <w:p w14:paraId="25049C1E" w14:textId="458BC31A" w:rsidR="00C71E60" w:rsidRPr="001B0740" w:rsidRDefault="00C71E60" w:rsidP="007D0FBF">
      <w:pPr>
        <w:pStyle w:val="11Bodytext"/>
      </w:pPr>
      <w:r w:rsidRPr="001B0740">
        <w:t xml:space="preserve">The total population of West Suffolk is 179,000 persons as of mid-2019. Since 1991 the population has grown by 19% with an average annual growth rate of 0.6%. There is a total of 80,422 dwellings across West Suffolk as </w:t>
      </w:r>
      <w:proofErr w:type="gramStart"/>
      <w:r w:rsidRPr="001B0740">
        <w:t>at</w:t>
      </w:r>
      <w:proofErr w:type="gramEnd"/>
      <w:r w:rsidRPr="001B0740">
        <w:t xml:space="preserve"> 31</w:t>
      </w:r>
      <w:r w:rsidRPr="001B0740">
        <w:rPr>
          <w:vertAlign w:val="superscript"/>
        </w:rPr>
        <w:t>st</w:t>
      </w:r>
      <w:r w:rsidRPr="001B0740">
        <w:t xml:space="preserve"> March 2020. Since 2001 West Suffolk’s population change has been driven by internal migration and natural change (births minus deaths).</w:t>
      </w:r>
    </w:p>
    <w:p w14:paraId="3CE5EDF6" w14:textId="00914C4E" w:rsidR="00C71E60" w:rsidRPr="001B0740" w:rsidRDefault="00C71E60" w:rsidP="007D0FBF">
      <w:pPr>
        <w:pStyle w:val="11Bodytext"/>
      </w:pPr>
      <w:r w:rsidRPr="001B0740">
        <w:t>In comparison to the other HMA authorities</w:t>
      </w:r>
      <w:r w:rsidR="008065C4">
        <w:t>,</w:t>
      </w:r>
      <w:r w:rsidRPr="001B0740">
        <w:t xml:space="preserve"> West Suffolk has a relatively higher proportion of people aged 25-34 and linked to this those under 10 years old. The area also has a relative</w:t>
      </w:r>
      <w:r w:rsidR="008065C4">
        <w:t>ly</w:t>
      </w:r>
      <w:r w:rsidRPr="001B0740">
        <w:t xml:space="preserve"> high percentage of those aged 65 and over.</w:t>
      </w:r>
    </w:p>
    <w:p w14:paraId="3E530F82" w14:textId="77777777" w:rsidR="00C71E60" w:rsidRPr="001B0740" w:rsidRDefault="00C71E60" w:rsidP="00216BEB">
      <w:pPr>
        <w:pStyle w:val="Heading3"/>
      </w:pPr>
      <w:r w:rsidRPr="001B0740">
        <w:t xml:space="preserve">Market Signals </w:t>
      </w:r>
    </w:p>
    <w:p w14:paraId="65CFB06B" w14:textId="0B06A6C7" w:rsidR="00C71E60" w:rsidRPr="001B0740" w:rsidRDefault="00C71E60" w:rsidP="007D0FBF">
      <w:pPr>
        <w:pStyle w:val="11Bodytext"/>
      </w:pPr>
      <w:r w:rsidRPr="001B0740">
        <w:t xml:space="preserve">The median house price in West Suffolk is </w:t>
      </w:r>
      <w:r w:rsidRPr="001B0740">
        <w:rPr>
          <w:color w:val="000000"/>
        </w:rPr>
        <w:t xml:space="preserve">£251,000. This </w:t>
      </w:r>
      <w:r w:rsidRPr="001B0740">
        <w:t>is 9% above the national average and 11% below the regional average. Over the last 10 years, West Suffolk has seen an increase in median house prices of 50.2% compared to 27.6% nationally, and 42.5% regionally.</w:t>
      </w:r>
    </w:p>
    <w:p w14:paraId="55278B49" w14:textId="4E232327" w:rsidR="00C71E60" w:rsidRPr="008E5DB4" w:rsidRDefault="00C71E60" w:rsidP="007D0FBF">
      <w:pPr>
        <w:pStyle w:val="11Bodytext"/>
      </w:pPr>
      <w:r w:rsidRPr="001B0740">
        <w:t xml:space="preserve">Median rental prices within the private rented sector across West Suffolk are £850 </w:t>
      </w:r>
      <w:r w:rsidR="00D412B3">
        <w:t>per calendar month</w:t>
      </w:r>
      <w:r w:rsidRPr="001B0740">
        <w:t xml:space="preserve">. This is above the national and regional equivalents of £695 and </w:t>
      </w:r>
      <w:r w:rsidRPr="001B0740">
        <w:lastRenderedPageBreak/>
        <w:t xml:space="preserve">£795 respectively. West Suffolk has a median </w:t>
      </w:r>
      <w:r w:rsidR="008065C4" w:rsidRPr="001B0740">
        <w:t>workplace</w:t>
      </w:r>
      <w:r w:rsidR="008065C4">
        <w:t>-</w:t>
      </w:r>
      <w:r w:rsidRPr="001B0740">
        <w:t xml:space="preserve">based affordability ratio of </w:t>
      </w:r>
      <w:r w:rsidRPr="001B0740">
        <w:rPr>
          <w:rFonts w:eastAsia="Times New Roman"/>
          <w:color w:val="000000"/>
          <w:lang w:eastAsia="en-GB"/>
        </w:rPr>
        <w:t>9.07</w:t>
      </w:r>
      <w:r w:rsidR="00D412B3">
        <w:rPr>
          <w:rFonts w:eastAsia="Times New Roman"/>
          <w:color w:val="000000"/>
          <w:lang w:eastAsia="en-GB"/>
        </w:rPr>
        <w:t xml:space="preserve"> </w:t>
      </w:r>
      <w:r w:rsidRPr="001B0740">
        <w:t xml:space="preserve">compared to </w:t>
      </w:r>
      <w:r w:rsidRPr="001B0740">
        <w:rPr>
          <w:rFonts w:eastAsia="Times New Roman"/>
          <w:color w:val="000000"/>
          <w:lang w:eastAsia="en-GB"/>
        </w:rPr>
        <w:t>9.47</w:t>
      </w:r>
      <w:r w:rsidRPr="001B0740">
        <w:t xml:space="preserve"> for the East of England and </w:t>
      </w:r>
      <w:r w:rsidRPr="001B0740">
        <w:rPr>
          <w:rFonts w:eastAsia="Times New Roman"/>
          <w:color w:val="000000"/>
          <w:lang w:eastAsia="en-GB"/>
        </w:rPr>
        <w:t>7.83</w:t>
      </w:r>
      <w:r w:rsidRPr="001B0740">
        <w:t xml:space="preserve"> nationally.</w:t>
      </w:r>
    </w:p>
    <w:p w14:paraId="691754BF" w14:textId="15ABF451" w:rsidR="00C71E60" w:rsidRPr="001B0740" w:rsidRDefault="00C71E60" w:rsidP="007D0FBF">
      <w:pPr>
        <w:pStyle w:val="11Bodytext"/>
      </w:pPr>
      <w:r w:rsidRPr="001B0740">
        <w:t xml:space="preserve">Between 2001 and 2011 West Suffolk saw the proportion of residents living in over-occupied properties increase by </w:t>
      </w:r>
      <w:r w:rsidRPr="001B0740">
        <w:rPr>
          <w:rFonts w:eastAsia="Times New Roman"/>
          <w:color w:val="000000"/>
          <w:lang w:eastAsia="en-GB"/>
        </w:rPr>
        <w:t>45.3</w:t>
      </w:r>
      <w:r w:rsidRPr="001B0740">
        <w:t xml:space="preserve">%. This is </w:t>
      </w:r>
      <w:r>
        <w:t>larger growth than</w:t>
      </w:r>
      <w:r w:rsidRPr="001B0740">
        <w:t xml:space="preserve"> the national (32.3%) and regional (35.6%) equivalents. </w:t>
      </w:r>
    </w:p>
    <w:p w14:paraId="0BB8F17E" w14:textId="77777777" w:rsidR="00C71E60" w:rsidRPr="001B0740" w:rsidRDefault="00C71E60" w:rsidP="00216BEB">
      <w:pPr>
        <w:pStyle w:val="Heading3"/>
      </w:pPr>
      <w:r w:rsidRPr="001B0740">
        <w:t>Local Housing Need</w:t>
      </w:r>
    </w:p>
    <w:p w14:paraId="770A28F4" w14:textId="7E5AFD61" w:rsidR="00C71E60" w:rsidRPr="001B0740" w:rsidRDefault="00C71E60" w:rsidP="007D0FBF">
      <w:pPr>
        <w:pStyle w:val="11Bodytext"/>
      </w:pPr>
      <w:r w:rsidRPr="001B0740">
        <w:t xml:space="preserve">Step 1 of the standard method currently draws on the 2014-based household projections which set out a household growth of 608 per annum over the period 2020-2030 across </w:t>
      </w:r>
      <w:r w:rsidR="00313287">
        <w:t xml:space="preserve">Former Forest </w:t>
      </w:r>
      <w:proofErr w:type="spellStart"/>
      <w:r w:rsidR="00313287">
        <w:t>Heath</w:t>
      </w:r>
      <w:r w:rsidRPr="001B0740">
        <w:t>and</w:t>
      </w:r>
      <w:proofErr w:type="spellEnd"/>
      <w:r w:rsidRPr="001B0740">
        <w:t xml:space="preserve"> St Edmundsbury.</w:t>
      </w:r>
    </w:p>
    <w:p w14:paraId="23CB4257" w14:textId="03903F3A" w:rsidR="00C71E60" w:rsidRPr="001B0740" w:rsidRDefault="00C71E60" w:rsidP="007D0FBF">
      <w:pPr>
        <w:pStyle w:val="11Bodytext"/>
      </w:pPr>
      <w:r w:rsidRPr="001B0740">
        <w:t xml:space="preserve">Step 2 of the standard method increases the Housing Need based on local affordability. The affordability ratios in West Suffolk (2019) using the prescribed formula uplifts the need by 32%. This increases the need by 193 to 800 dwellings per </w:t>
      </w:r>
      <w:r w:rsidR="00D412B3">
        <w:t>annum</w:t>
      </w:r>
      <w:r w:rsidR="00D412B3" w:rsidRPr="001B0740">
        <w:t xml:space="preserve"> </w:t>
      </w:r>
      <w:r w:rsidRPr="001B0740">
        <w:t>(</w:t>
      </w:r>
      <w:proofErr w:type="spellStart"/>
      <w:r w:rsidRPr="001B0740">
        <w:t>dpa</w:t>
      </w:r>
      <w:proofErr w:type="spellEnd"/>
      <w:r w:rsidRPr="001B0740">
        <w:t xml:space="preserve">). </w:t>
      </w:r>
    </w:p>
    <w:p w14:paraId="32C798C0" w14:textId="21507B3B" w:rsidR="00C71E60" w:rsidRPr="001B0740" w:rsidRDefault="00C71E60" w:rsidP="007D0FBF">
      <w:pPr>
        <w:pStyle w:val="11Bodytext"/>
      </w:pPr>
      <w:r w:rsidRPr="001B0740">
        <w:t xml:space="preserve">To ensure deliverability Step 3 of the standard method caps the uplifts in Step 2. This is effectively not applied in West Suffolk due to the age of the Local Plan and the target set out </w:t>
      </w:r>
      <w:r w:rsidR="002524BC">
        <w:t>therein</w:t>
      </w:r>
      <w:r w:rsidRPr="001B0740">
        <w:t xml:space="preserve">. </w:t>
      </w:r>
    </w:p>
    <w:p w14:paraId="49DBA13E" w14:textId="24EB0194" w:rsidR="00C71E60" w:rsidRPr="001B0740" w:rsidRDefault="00C71E60" w:rsidP="007D0FBF">
      <w:pPr>
        <w:pStyle w:val="11Bodytext"/>
      </w:pPr>
      <w:r w:rsidRPr="001B0740">
        <w:t xml:space="preserve">Based on the standard method West Suffolk’s housing need is 800 dwellings per annum. Although calculated over the 2020-2030 period it can be applied across the plan period and responds to historic under-delivery. </w:t>
      </w:r>
    </w:p>
    <w:p w14:paraId="09C5990D" w14:textId="77777777" w:rsidR="00C71E60" w:rsidRPr="001B0740" w:rsidRDefault="00C71E60" w:rsidP="007D0FBF">
      <w:pPr>
        <w:pStyle w:val="11Bodytext"/>
      </w:pPr>
      <w:r w:rsidRPr="001B0740">
        <w:t xml:space="preserve">A scenario has been modelled whereby household formation rates are improved and population growth increased to fill these homes.  This sees an additional 32,279 people in the West Suffolk over the period 2020-2040. </w:t>
      </w:r>
    </w:p>
    <w:p w14:paraId="5AAA440F" w14:textId="02C975F5" w:rsidR="00C71E60" w:rsidRPr="001B0740" w:rsidRDefault="00C71E60" w:rsidP="00216BEB">
      <w:pPr>
        <w:pStyle w:val="Heading3"/>
      </w:pPr>
      <w:r>
        <w:t>A</w:t>
      </w:r>
      <w:r w:rsidRPr="001B0740">
        <w:t>ffordable Housing Need</w:t>
      </w:r>
    </w:p>
    <w:p w14:paraId="4D25A997" w14:textId="3E9ABF73" w:rsidR="00C71E60" w:rsidRPr="001B0740" w:rsidRDefault="00C71E60" w:rsidP="007D0FBF">
      <w:pPr>
        <w:pStyle w:val="11Bodytext"/>
      </w:pPr>
      <w:r w:rsidRPr="001B0740">
        <w:t>The analysis shows that 409 households per annum will require affordable housing to rent between 2020 and 2040. This equates to around 51% of the overall need although such a calculation should be treated with caution as it contains an element of double counting</w:t>
      </w:r>
      <w:r>
        <w:t xml:space="preserve"> </w:t>
      </w:r>
      <w:proofErr w:type="gramStart"/>
      <w:r>
        <w:t>i.e.</w:t>
      </w:r>
      <w:proofErr w:type="gramEnd"/>
      <w:r>
        <w:t xml:space="preserve"> both include newly forming households</w:t>
      </w:r>
      <w:r w:rsidRPr="001B0740">
        <w:t>.</w:t>
      </w:r>
    </w:p>
    <w:p w14:paraId="30559A2B" w14:textId="3DD8764E" w:rsidR="00C71E60" w:rsidRPr="001B0740" w:rsidRDefault="00C71E60" w:rsidP="007D0FBF">
      <w:pPr>
        <w:pStyle w:val="11Bodytext"/>
      </w:pPr>
      <w:r w:rsidRPr="001B0740">
        <w:lastRenderedPageBreak/>
        <w:t xml:space="preserve">Based purely on affordability around 78% should be social rent and 22% affordable rent. </w:t>
      </w:r>
      <w:r>
        <w:t>I</w:t>
      </w:r>
      <w:r w:rsidRPr="00AF654D">
        <w:t>t is not recommended that the Councils have a rigid policy for the split between social and affordable rent housing</w:t>
      </w:r>
      <w:r>
        <w:t xml:space="preserve"> on this basis alone. T</w:t>
      </w:r>
      <w:r w:rsidRPr="00AF654D">
        <w:t>he analysis is clear that both tenures of homes are likely to be required in all areas</w:t>
      </w:r>
      <w:r>
        <w:t>, this should be brought together with other considerations outlined above, should the Councils wish to implement a Local Plan policy.</w:t>
      </w:r>
    </w:p>
    <w:p w14:paraId="449696C2" w14:textId="16A92DEE" w:rsidR="00C71E60" w:rsidRPr="001B0740" w:rsidRDefault="00C71E60" w:rsidP="007D0FBF">
      <w:pPr>
        <w:pStyle w:val="11Bodytext"/>
      </w:pPr>
      <w:r w:rsidRPr="001B0740">
        <w:t xml:space="preserve">There is a requirement in the NPPF for at least 10% of all new homes on </w:t>
      </w:r>
      <w:r w:rsidR="002524BC">
        <w:t>major</w:t>
      </w:r>
      <w:r w:rsidR="002524BC" w:rsidRPr="001B0740">
        <w:t xml:space="preserve"> </w:t>
      </w:r>
      <w:r w:rsidRPr="001B0740">
        <w:t>sites to be affordable home ownership properties unless it would significantly prejudice the ability to meet the identified affordable housing needs of specific groups.</w:t>
      </w:r>
      <w:r w:rsidR="0052468F">
        <w:t xml:space="preserve"> </w:t>
      </w:r>
      <w:r w:rsidRPr="001B0740">
        <w:t xml:space="preserve">Given the </w:t>
      </w:r>
      <w:r>
        <w:t>lack of identified need for affordable home ownership products</w:t>
      </w:r>
      <w:r w:rsidR="008065C4">
        <w:t>,</w:t>
      </w:r>
      <w:r>
        <w:t xml:space="preserve"> i</w:t>
      </w:r>
      <w:r w:rsidRPr="001B0740">
        <w:t xml:space="preserve">t seems reasonable to suggest that West Suffolk could consider seeking </w:t>
      </w:r>
      <w:r>
        <w:t>at most</w:t>
      </w:r>
      <w:r w:rsidRPr="001B0740">
        <w:t xml:space="preserve"> 10% of all housing (on </w:t>
      </w:r>
      <w:r w:rsidR="002524BC">
        <w:t>major</w:t>
      </w:r>
      <w:r w:rsidR="002524BC" w:rsidRPr="001B0740">
        <w:t xml:space="preserve"> </w:t>
      </w:r>
      <w:r w:rsidRPr="001B0740">
        <w:t>sites) to be affordable home ownership (as set out in the NPPF) unless this would prejudice meeting the needs of other groups. Indeed, there could be some justification to challenge this minimum figure</w:t>
      </w:r>
      <w:r w:rsidR="008E5DB4">
        <w:t>.</w:t>
      </w:r>
    </w:p>
    <w:p w14:paraId="223BC3C6" w14:textId="294238AF" w:rsidR="00C71E60" w:rsidRPr="001B0740" w:rsidRDefault="00C71E60" w:rsidP="007D0FBF">
      <w:pPr>
        <w:pStyle w:val="11Bodytext"/>
      </w:pPr>
      <w:r>
        <w:t>Given that affordable housing delivery will be curtailed by viability it will u</w:t>
      </w:r>
      <w:r w:rsidRPr="001A4A72">
        <w:t xml:space="preserve">ltimately </w:t>
      </w:r>
      <w:r>
        <w:t>be a</w:t>
      </w:r>
      <w:r w:rsidRPr="001A4A72">
        <w:t xml:space="preserve"> choice</w:t>
      </w:r>
      <w:r>
        <w:t xml:space="preserve"> for the Council to make</w:t>
      </w:r>
      <w:r w:rsidRPr="001A4A72">
        <w:t xml:space="preserve"> </w:t>
      </w:r>
      <w:r>
        <w:t xml:space="preserve">in relation to the split between social and affordable rent and affordable home ownership products.   In making this choice </w:t>
      </w:r>
      <w:r w:rsidRPr="001A4A72">
        <w:t>they</w:t>
      </w:r>
      <w:r>
        <w:t xml:space="preserve"> should</w:t>
      </w:r>
      <w:r w:rsidRPr="001A4A72">
        <w:t xml:space="preserve"> consider a wide range of factors including </w:t>
      </w:r>
      <w:r w:rsidR="008065C4">
        <w:t xml:space="preserve">the </w:t>
      </w:r>
      <w:r w:rsidRPr="001A4A72">
        <w:t xml:space="preserve">local priority (dealing with </w:t>
      </w:r>
      <w:r w:rsidR="008065C4">
        <w:t xml:space="preserve">the </w:t>
      </w:r>
      <w:r w:rsidRPr="001A4A72">
        <w:t>acute need or promoting home-ownership) and the viability of different products.</w:t>
      </w:r>
    </w:p>
    <w:p w14:paraId="69D24A2F" w14:textId="77777777" w:rsidR="00C71E60" w:rsidRPr="0083164E" w:rsidRDefault="00C71E60" w:rsidP="007D0FBF">
      <w:pPr>
        <w:pStyle w:val="11Bodytext"/>
      </w:pPr>
      <w:r w:rsidRPr="0083164E">
        <w:t>If the Council do</w:t>
      </w:r>
      <w:r>
        <w:t>es</w:t>
      </w:r>
      <w:r w:rsidRPr="0083164E">
        <w:t xml:space="preserve"> seek to provide 10% of housing as affordable home </w:t>
      </w:r>
      <w:proofErr w:type="gramStart"/>
      <w:r w:rsidRPr="0083164E">
        <w:t>ownership</w:t>
      </w:r>
      <w:proofErr w:type="gramEnd"/>
      <w:r w:rsidRPr="0083164E">
        <w:t xml:space="preserve"> then it is suggested that shared ownership is the most appropriate </w:t>
      </w:r>
      <w:r>
        <w:t>tenure</w:t>
      </w:r>
      <w:r w:rsidRPr="0083164E">
        <w:t>. This is due to the lower deposit requirements and lower overall costs (given that the rent would also be subsidised).</w:t>
      </w:r>
    </w:p>
    <w:p w14:paraId="76413FAA" w14:textId="74FB3F46" w:rsidR="00C71E60" w:rsidRPr="001B0740" w:rsidRDefault="00C71E60" w:rsidP="00216BEB">
      <w:pPr>
        <w:pStyle w:val="Heading3"/>
      </w:pPr>
      <w:r w:rsidRPr="001B0740">
        <w:t>Housing Mix</w:t>
      </w:r>
    </w:p>
    <w:p w14:paraId="2FB4AB05" w14:textId="2304A6D9" w:rsidR="00C71E60" w:rsidRPr="001B0740" w:rsidRDefault="00C71E60" w:rsidP="007D0FBF">
      <w:pPr>
        <w:pStyle w:val="11Bodytext"/>
      </w:pPr>
      <w:r w:rsidRPr="001B0740">
        <w:t xml:space="preserve">The following mix of homes size by tenure is suggested as a strategic mix for West Suffolk </w:t>
      </w:r>
      <w:r>
        <w:t>for</w:t>
      </w:r>
      <w:r w:rsidRPr="001B0740">
        <w:t xml:space="preserve"> the 2020-2040 period.</w:t>
      </w:r>
    </w:p>
    <w:p w14:paraId="4111B296" w14:textId="77777777" w:rsidR="00C71E60" w:rsidRPr="001B0740" w:rsidRDefault="00C71E60" w:rsidP="008E5DB4">
      <w:pPr>
        <w:ind w:left="426"/>
      </w:pPr>
    </w:p>
    <w:tbl>
      <w:tblPr>
        <w:tblStyle w:val="TableGridLight1"/>
        <w:tblW w:w="8788" w:type="dxa"/>
        <w:tblInd w:w="846" w:type="dxa"/>
        <w:tblLayout w:type="fixed"/>
        <w:tblLook w:val="04A0" w:firstRow="1" w:lastRow="0" w:firstColumn="1" w:lastColumn="0" w:noHBand="0" w:noVBand="1"/>
      </w:tblPr>
      <w:tblGrid>
        <w:gridCol w:w="1629"/>
        <w:gridCol w:w="2386"/>
        <w:gridCol w:w="2386"/>
        <w:gridCol w:w="2387"/>
      </w:tblGrid>
      <w:tr w:rsidR="00C4126C" w:rsidRPr="00C4126C" w14:paraId="60341D43" w14:textId="77777777" w:rsidTr="004F4BA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629" w:type="dxa"/>
            <w:noWrap/>
            <w:hideMark/>
          </w:tcPr>
          <w:p w14:paraId="5EFD012D" w14:textId="77777777" w:rsidR="00C71E60" w:rsidRPr="004F4BA7" w:rsidRDefault="00C71E60" w:rsidP="000A484C">
            <w:pPr>
              <w:keepNext/>
              <w:rPr>
                <w:color w:val="auto"/>
                <w:lang w:eastAsia="en-GB"/>
              </w:rPr>
            </w:pPr>
            <w:r w:rsidRPr="004F4BA7">
              <w:rPr>
                <w:color w:val="auto"/>
                <w:lang w:eastAsia="en-GB"/>
              </w:rPr>
              <w:lastRenderedPageBreak/>
              <w:t>Size</w:t>
            </w:r>
          </w:p>
        </w:tc>
        <w:tc>
          <w:tcPr>
            <w:tcW w:w="2386" w:type="dxa"/>
            <w:noWrap/>
            <w:hideMark/>
          </w:tcPr>
          <w:p w14:paraId="2B230FA3" w14:textId="77777777" w:rsidR="00C71E60" w:rsidRPr="004F4BA7" w:rsidRDefault="00C71E60" w:rsidP="000A484C">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Market</w:t>
            </w:r>
          </w:p>
        </w:tc>
        <w:tc>
          <w:tcPr>
            <w:tcW w:w="2386" w:type="dxa"/>
            <w:noWrap/>
            <w:hideMark/>
          </w:tcPr>
          <w:p w14:paraId="7B1BB674" w14:textId="77777777" w:rsidR="00C71E60" w:rsidRPr="004F4BA7" w:rsidRDefault="00C71E60" w:rsidP="000A484C">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Buy</w:t>
            </w:r>
          </w:p>
        </w:tc>
        <w:tc>
          <w:tcPr>
            <w:tcW w:w="2387" w:type="dxa"/>
            <w:noWrap/>
            <w:hideMark/>
          </w:tcPr>
          <w:p w14:paraId="713382F6" w14:textId="77777777" w:rsidR="00C71E60" w:rsidRPr="004F4BA7" w:rsidRDefault="00C71E60" w:rsidP="000A484C">
            <w:pPr>
              <w:keepNext/>
              <w:cnfStyle w:val="100000000000" w:firstRow="1"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Affordable Homes to Rent</w:t>
            </w:r>
          </w:p>
        </w:tc>
      </w:tr>
      <w:tr w:rsidR="00C4126C" w:rsidRPr="00C4126C" w14:paraId="4B1DBEEE"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629" w:type="dxa"/>
            <w:hideMark/>
          </w:tcPr>
          <w:p w14:paraId="4A5383F5" w14:textId="77777777" w:rsidR="00C71E60" w:rsidRPr="004F4BA7" w:rsidRDefault="00C71E60" w:rsidP="000A484C">
            <w:pPr>
              <w:keepNext/>
              <w:rPr>
                <w:color w:val="auto"/>
                <w:lang w:eastAsia="en-GB"/>
              </w:rPr>
            </w:pPr>
            <w:r w:rsidRPr="004F4BA7">
              <w:rPr>
                <w:color w:val="auto"/>
                <w:lang w:eastAsia="en-GB"/>
              </w:rPr>
              <w:t>1-bedroom</w:t>
            </w:r>
          </w:p>
        </w:tc>
        <w:tc>
          <w:tcPr>
            <w:tcW w:w="2386" w:type="dxa"/>
            <w:hideMark/>
          </w:tcPr>
          <w:p w14:paraId="00FA2812" w14:textId="77777777"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c>
          <w:tcPr>
            <w:tcW w:w="2386" w:type="dxa"/>
            <w:hideMark/>
          </w:tcPr>
          <w:p w14:paraId="17DFFAC1" w14:textId="77777777"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p>
        </w:tc>
        <w:tc>
          <w:tcPr>
            <w:tcW w:w="2387" w:type="dxa"/>
            <w:hideMark/>
          </w:tcPr>
          <w:p w14:paraId="06A38B25" w14:textId="77777777"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p>
        </w:tc>
      </w:tr>
      <w:tr w:rsidR="00C4126C" w:rsidRPr="00C4126C" w14:paraId="0FD5BAB4"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629" w:type="dxa"/>
            <w:hideMark/>
          </w:tcPr>
          <w:p w14:paraId="4F32804C" w14:textId="77777777" w:rsidR="00C71E60" w:rsidRPr="004F4BA7" w:rsidRDefault="00C71E60" w:rsidP="000A484C">
            <w:pPr>
              <w:keepNext/>
              <w:rPr>
                <w:color w:val="auto"/>
                <w:lang w:eastAsia="en-GB"/>
              </w:rPr>
            </w:pPr>
            <w:r w:rsidRPr="004F4BA7">
              <w:rPr>
                <w:color w:val="auto"/>
                <w:lang w:eastAsia="en-GB"/>
              </w:rPr>
              <w:t>2-bedrooms</w:t>
            </w:r>
          </w:p>
        </w:tc>
        <w:tc>
          <w:tcPr>
            <w:tcW w:w="2386" w:type="dxa"/>
            <w:hideMark/>
          </w:tcPr>
          <w:p w14:paraId="5F70BEDF" w14:textId="0481A46F"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w:t>
            </w:r>
            <w:r w:rsidR="0045006B" w:rsidRPr="004F4BA7">
              <w:rPr>
                <w:color w:val="auto"/>
                <w:lang w:eastAsia="en-GB"/>
              </w:rPr>
              <w:t>5-35</w:t>
            </w:r>
            <w:r w:rsidRPr="004F4BA7">
              <w:rPr>
                <w:color w:val="auto"/>
                <w:lang w:eastAsia="en-GB"/>
              </w:rPr>
              <w:t>%</w:t>
            </w:r>
          </w:p>
        </w:tc>
        <w:tc>
          <w:tcPr>
            <w:tcW w:w="2386" w:type="dxa"/>
            <w:hideMark/>
          </w:tcPr>
          <w:p w14:paraId="035753FF" w14:textId="7C8DE261" w:rsidR="00C71E60" w:rsidRPr="004F4BA7" w:rsidRDefault="00762419"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r w:rsidR="00C71E60" w:rsidRPr="004F4BA7">
              <w:rPr>
                <w:color w:val="auto"/>
                <w:lang w:eastAsia="en-GB"/>
              </w:rPr>
              <w:t>%</w:t>
            </w:r>
          </w:p>
        </w:tc>
        <w:tc>
          <w:tcPr>
            <w:tcW w:w="2387" w:type="dxa"/>
            <w:hideMark/>
          </w:tcPr>
          <w:p w14:paraId="483E0F17" w14:textId="6A329BF2" w:rsidR="00C71E60" w:rsidRPr="004F4BA7" w:rsidRDefault="00762419"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30-40</w:t>
            </w:r>
            <w:r w:rsidR="00C71E60" w:rsidRPr="004F4BA7">
              <w:rPr>
                <w:color w:val="auto"/>
                <w:lang w:eastAsia="en-GB"/>
              </w:rPr>
              <w:t>%</w:t>
            </w:r>
          </w:p>
        </w:tc>
      </w:tr>
      <w:tr w:rsidR="00C4126C" w:rsidRPr="00C4126C" w14:paraId="2CAAFFE9"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629" w:type="dxa"/>
            <w:hideMark/>
          </w:tcPr>
          <w:p w14:paraId="15683A99" w14:textId="77777777" w:rsidR="00C71E60" w:rsidRPr="004F4BA7" w:rsidRDefault="00C71E60" w:rsidP="000A484C">
            <w:pPr>
              <w:keepNext/>
              <w:rPr>
                <w:color w:val="auto"/>
                <w:lang w:eastAsia="en-GB"/>
              </w:rPr>
            </w:pPr>
            <w:r w:rsidRPr="004F4BA7">
              <w:rPr>
                <w:color w:val="auto"/>
                <w:lang w:eastAsia="en-GB"/>
              </w:rPr>
              <w:t>3-bedrooms</w:t>
            </w:r>
          </w:p>
        </w:tc>
        <w:tc>
          <w:tcPr>
            <w:tcW w:w="2386" w:type="dxa"/>
            <w:hideMark/>
          </w:tcPr>
          <w:p w14:paraId="5A9CC3B1" w14:textId="77777777"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40-50%</w:t>
            </w:r>
          </w:p>
        </w:tc>
        <w:tc>
          <w:tcPr>
            <w:tcW w:w="2386" w:type="dxa"/>
            <w:hideMark/>
          </w:tcPr>
          <w:p w14:paraId="4B0C3B69" w14:textId="77777777"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25-35%</w:t>
            </w:r>
          </w:p>
        </w:tc>
        <w:tc>
          <w:tcPr>
            <w:tcW w:w="2387" w:type="dxa"/>
            <w:hideMark/>
          </w:tcPr>
          <w:p w14:paraId="2F500A61" w14:textId="329584BB" w:rsidR="00C71E60" w:rsidRPr="004F4BA7" w:rsidRDefault="00762419"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20-30</w:t>
            </w:r>
            <w:r w:rsidR="00C71E60" w:rsidRPr="004F4BA7">
              <w:rPr>
                <w:color w:val="auto"/>
                <w:lang w:eastAsia="en-GB"/>
              </w:rPr>
              <w:t>%</w:t>
            </w:r>
          </w:p>
        </w:tc>
      </w:tr>
      <w:tr w:rsidR="00C4126C" w:rsidRPr="00C4126C" w14:paraId="53724FFA" w14:textId="77777777" w:rsidTr="004F4BA7">
        <w:trPr>
          <w:trHeight w:val="319"/>
        </w:trPr>
        <w:tc>
          <w:tcPr>
            <w:cnfStyle w:val="001000000000" w:firstRow="0" w:lastRow="0" w:firstColumn="1" w:lastColumn="0" w:oddVBand="0" w:evenVBand="0" w:oddHBand="0" w:evenHBand="0" w:firstRowFirstColumn="0" w:firstRowLastColumn="0" w:lastRowFirstColumn="0" w:lastRowLastColumn="0"/>
            <w:tcW w:w="1629" w:type="dxa"/>
            <w:hideMark/>
          </w:tcPr>
          <w:p w14:paraId="37284ADD" w14:textId="77777777" w:rsidR="00C71E60" w:rsidRPr="004F4BA7" w:rsidRDefault="00C71E60" w:rsidP="000A484C">
            <w:pPr>
              <w:keepNext/>
              <w:rPr>
                <w:color w:val="auto"/>
                <w:lang w:eastAsia="en-GB"/>
              </w:rPr>
            </w:pPr>
            <w:r w:rsidRPr="004F4BA7">
              <w:rPr>
                <w:color w:val="auto"/>
                <w:lang w:eastAsia="en-GB"/>
              </w:rPr>
              <w:t>4+-bedrooms</w:t>
            </w:r>
          </w:p>
        </w:tc>
        <w:tc>
          <w:tcPr>
            <w:tcW w:w="2386" w:type="dxa"/>
            <w:hideMark/>
          </w:tcPr>
          <w:p w14:paraId="1FCCC320" w14:textId="2D11D067" w:rsidR="00C71E60" w:rsidRPr="004F4BA7" w:rsidRDefault="00762419"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15-25</w:t>
            </w:r>
            <w:r w:rsidR="00C71E60" w:rsidRPr="004F4BA7">
              <w:rPr>
                <w:color w:val="auto"/>
                <w:lang w:eastAsia="en-GB"/>
              </w:rPr>
              <w:t>%</w:t>
            </w:r>
          </w:p>
        </w:tc>
        <w:tc>
          <w:tcPr>
            <w:tcW w:w="2386" w:type="dxa"/>
            <w:hideMark/>
          </w:tcPr>
          <w:p w14:paraId="0D665701" w14:textId="1F74CA6C" w:rsidR="00C71E60" w:rsidRPr="004F4BA7" w:rsidRDefault="00762419"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r w:rsidR="00C71E60" w:rsidRPr="004F4BA7">
              <w:rPr>
                <w:color w:val="auto"/>
                <w:lang w:eastAsia="en-GB"/>
              </w:rPr>
              <w:t>%</w:t>
            </w:r>
          </w:p>
        </w:tc>
        <w:tc>
          <w:tcPr>
            <w:tcW w:w="2387" w:type="dxa"/>
            <w:hideMark/>
          </w:tcPr>
          <w:p w14:paraId="2A247391" w14:textId="77777777" w:rsidR="00C71E60" w:rsidRPr="004F4BA7" w:rsidRDefault="00C71E60" w:rsidP="000A484C">
            <w:pPr>
              <w:keepNext/>
              <w:cnfStyle w:val="000000000000" w:firstRow="0" w:lastRow="0" w:firstColumn="0" w:lastColumn="0" w:oddVBand="0" w:evenVBand="0" w:oddHBand="0" w:evenHBand="0" w:firstRowFirstColumn="0" w:firstRowLastColumn="0" w:lastRowFirstColumn="0" w:lastRowLastColumn="0"/>
              <w:rPr>
                <w:color w:val="auto"/>
                <w:lang w:eastAsia="en-GB"/>
              </w:rPr>
            </w:pPr>
            <w:r w:rsidRPr="004F4BA7">
              <w:rPr>
                <w:color w:val="auto"/>
                <w:lang w:eastAsia="en-GB"/>
              </w:rPr>
              <w:t>0-10%</w:t>
            </w:r>
          </w:p>
        </w:tc>
      </w:tr>
    </w:tbl>
    <w:p w14:paraId="6372FC8A" w14:textId="77777777" w:rsidR="00C71E60" w:rsidRPr="001B0740" w:rsidRDefault="00C71E60" w:rsidP="008E5DB4">
      <w:pPr>
        <w:ind w:left="426"/>
      </w:pPr>
    </w:p>
    <w:p w14:paraId="4D4F285A" w14:textId="7259A8B3" w:rsidR="00C71E60" w:rsidRPr="001B0740" w:rsidRDefault="00C71E60" w:rsidP="007D0FBF">
      <w:pPr>
        <w:pStyle w:val="11Bodytext"/>
      </w:pPr>
      <w:r w:rsidRPr="001B0740">
        <w:t>The mix identified above should inform</w:t>
      </w:r>
      <w:r>
        <w:t xml:space="preserve"> the preparation of</w:t>
      </w:r>
      <w:r w:rsidRPr="001B0740">
        <w:t xml:space="preserve"> strategic policies. However, in applying the mix to individual development sites </w:t>
      </w:r>
      <w:r>
        <w:t xml:space="preserve">the policies should be flexible enough to have </w:t>
      </w:r>
      <w:r w:rsidRPr="001B0740">
        <w:t>regard to the nature of the site and character of the area, and to up-to-date evidence of need</w:t>
      </w:r>
      <w:r>
        <w:t xml:space="preserve"> (such as the housing register)</w:t>
      </w:r>
      <w:r w:rsidRPr="001B0740">
        <w:t xml:space="preserve"> as well as the existing mix and turnover of properties at the local level. </w:t>
      </w:r>
      <w:r w:rsidR="00442A4E" w:rsidRPr="001B0740">
        <w:t>The Councils should also monitor the mix of housing delivered</w:t>
      </w:r>
      <w:r w:rsidR="00442A4E">
        <w:t xml:space="preserve"> and respond accordingly so that the strategic mix requirements are closely met</w:t>
      </w:r>
      <w:r w:rsidR="00442A4E" w:rsidRPr="001B0740">
        <w:t>.</w:t>
      </w:r>
    </w:p>
    <w:p w14:paraId="594192A3" w14:textId="77777777" w:rsidR="00C71E60" w:rsidRPr="001B0740" w:rsidRDefault="00C71E60" w:rsidP="00216BEB">
      <w:pPr>
        <w:pStyle w:val="Heading3"/>
      </w:pPr>
      <w:r w:rsidRPr="001B0740">
        <w:t>Older and disabled people need</w:t>
      </w:r>
    </w:p>
    <w:p w14:paraId="6D748038" w14:textId="64C0F557" w:rsidR="00C71E60" w:rsidRPr="001B0740" w:rsidRDefault="00C71E60" w:rsidP="007D0FBF">
      <w:pPr>
        <w:pStyle w:val="11Bodytext"/>
      </w:pPr>
      <w:r w:rsidRPr="001B0740">
        <w:t>There is projected to be a 69% increase in the population aged 75</w:t>
      </w:r>
      <w:r w:rsidR="000A7A4D">
        <w:t xml:space="preserve"> and </w:t>
      </w:r>
      <w:r w:rsidRPr="001B0740">
        <w:t xml:space="preserve">over </w:t>
      </w:r>
      <w:r w:rsidR="000A7A4D">
        <w:t xml:space="preserve">between </w:t>
      </w:r>
      <w:r w:rsidRPr="001B0740">
        <w:t xml:space="preserve">2020-2040 across West Suffolk. Based on prevalence rates and the identified population growth of those aged 75 </w:t>
      </w:r>
      <w:r w:rsidR="000A7A4D">
        <w:t>and over</w:t>
      </w:r>
      <w:r w:rsidRPr="001B0740">
        <w:t xml:space="preserve"> we have identified the following surplus/shortfall in specialist housing for older people by 2040 as follows:</w:t>
      </w:r>
    </w:p>
    <w:tbl>
      <w:tblPr>
        <w:tblStyle w:val="TableGridLight1"/>
        <w:tblW w:w="8646" w:type="dxa"/>
        <w:tblInd w:w="846" w:type="dxa"/>
        <w:tblLook w:val="04A0" w:firstRow="1" w:lastRow="0" w:firstColumn="1" w:lastColumn="0" w:noHBand="0" w:noVBand="1"/>
      </w:tblPr>
      <w:tblGrid>
        <w:gridCol w:w="2882"/>
        <w:gridCol w:w="2882"/>
        <w:gridCol w:w="2882"/>
      </w:tblGrid>
      <w:tr w:rsidR="00956DC6" w:rsidRPr="00956DC6" w14:paraId="0F6C1D71" w14:textId="77777777" w:rsidTr="00956DC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82" w:type="dxa"/>
            <w:hideMark/>
          </w:tcPr>
          <w:p w14:paraId="0E292BEE" w14:textId="77777777" w:rsidR="00956DC6" w:rsidRPr="00956DC6" w:rsidRDefault="00956DC6" w:rsidP="00956DC6">
            <w:pPr>
              <w:rPr>
                <w:bCs/>
                <w:color w:val="auto"/>
                <w:lang w:eastAsia="en-GB"/>
              </w:rPr>
            </w:pPr>
            <w:r w:rsidRPr="00956DC6">
              <w:rPr>
                <w:bCs/>
                <w:color w:val="auto"/>
                <w:lang w:eastAsia="en-GB"/>
              </w:rPr>
              <w:t>Type</w:t>
            </w:r>
          </w:p>
        </w:tc>
        <w:tc>
          <w:tcPr>
            <w:tcW w:w="2882" w:type="dxa"/>
            <w:hideMark/>
          </w:tcPr>
          <w:p w14:paraId="5C870255"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Tenure</w:t>
            </w:r>
          </w:p>
        </w:tc>
        <w:tc>
          <w:tcPr>
            <w:tcW w:w="2882" w:type="dxa"/>
            <w:hideMark/>
          </w:tcPr>
          <w:p w14:paraId="42714B8C" w14:textId="77777777" w:rsidR="00956DC6" w:rsidRPr="00956DC6" w:rsidRDefault="00956DC6" w:rsidP="00956DC6">
            <w:pPr>
              <w:cnfStyle w:val="100000000000" w:firstRow="1" w:lastRow="0" w:firstColumn="0" w:lastColumn="0" w:oddVBand="0" w:evenVBand="0" w:oddHBand="0" w:evenHBand="0" w:firstRowFirstColumn="0" w:firstRowLastColumn="0" w:lastRowFirstColumn="0" w:lastRowLastColumn="0"/>
              <w:rPr>
                <w:bCs/>
                <w:color w:val="auto"/>
                <w:lang w:eastAsia="en-GB"/>
              </w:rPr>
            </w:pPr>
            <w:r w:rsidRPr="00956DC6">
              <w:rPr>
                <w:bCs/>
                <w:color w:val="auto"/>
                <w:lang w:eastAsia="en-GB"/>
              </w:rPr>
              <w:t>West Suffolk</w:t>
            </w:r>
          </w:p>
        </w:tc>
      </w:tr>
      <w:tr w:rsidR="00956DC6" w:rsidRPr="00956DC6" w14:paraId="290AC6F5"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882" w:type="dxa"/>
            <w:hideMark/>
          </w:tcPr>
          <w:p w14:paraId="41B23AE3" w14:textId="7E5EBAC1" w:rsidR="00956DC6" w:rsidRPr="00956DC6" w:rsidRDefault="00956DC6" w:rsidP="00956DC6">
            <w:pPr>
              <w:jc w:val="center"/>
              <w:rPr>
                <w:color w:val="auto"/>
                <w:lang w:eastAsia="en-GB"/>
              </w:rPr>
            </w:pPr>
            <w:r w:rsidRPr="00956DC6">
              <w:rPr>
                <w:color w:val="auto"/>
                <w:lang w:eastAsia="en-GB"/>
              </w:rPr>
              <w:t>Housing with support</w:t>
            </w:r>
          </w:p>
        </w:tc>
        <w:tc>
          <w:tcPr>
            <w:tcW w:w="2882" w:type="dxa"/>
            <w:hideMark/>
          </w:tcPr>
          <w:p w14:paraId="6D89F133"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882" w:type="dxa"/>
            <w:hideMark/>
          </w:tcPr>
          <w:p w14:paraId="5FF73074"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483</w:t>
            </w:r>
          </w:p>
        </w:tc>
      </w:tr>
      <w:tr w:rsidR="00956DC6" w:rsidRPr="00956DC6" w14:paraId="444B9074"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882" w:type="dxa"/>
            <w:hideMark/>
          </w:tcPr>
          <w:p w14:paraId="1D7F5F4D" w14:textId="132F8729" w:rsidR="00956DC6" w:rsidRPr="00956DC6" w:rsidRDefault="00956DC6" w:rsidP="00956DC6">
            <w:pPr>
              <w:jc w:val="center"/>
              <w:rPr>
                <w:color w:val="auto"/>
                <w:lang w:eastAsia="en-GB"/>
              </w:rPr>
            </w:pPr>
            <w:r w:rsidRPr="00956DC6">
              <w:rPr>
                <w:color w:val="auto"/>
                <w:lang w:eastAsia="en-GB"/>
              </w:rPr>
              <w:t>Housing with support</w:t>
            </w:r>
          </w:p>
        </w:tc>
        <w:tc>
          <w:tcPr>
            <w:tcW w:w="2882" w:type="dxa"/>
            <w:hideMark/>
          </w:tcPr>
          <w:p w14:paraId="3A77CC96"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882" w:type="dxa"/>
            <w:hideMark/>
          </w:tcPr>
          <w:p w14:paraId="20F0788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1,697</w:t>
            </w:r>
          </w:p>
        </w:tc>
      </w:tr>
      <w:tr w:rsidR="00956DC6" w:rsidRPr="00956DC6" w14:paraId="30C2DC80"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882" w:type="dxa"/>
            <w:hideMark/>
          </w:tcPr>
          <w:p w14:paraId="21F196B2" w14:textId="2160EBEA" w:rsidR="00956DC6" w:rsidRPr="00956DC6" w:rsidRDefault="00956DC6" w:rsidP="00956DC6">
            <w:pPr>
              <w:jc w:val="center"/>
              <w:rPr>
                <w:color w:val="auto"/>
                <w:lang w:eastAsia="en-GB"/>
              </w:rPr>
            </w:pPr>
            <w:r w:rsidRPr="00956DC6">
              <w:rPr>
                <w:color w:val="auto"/>
                <w:lang w:eastAsia="en-GB"/>
              </w:rPr>
              <w:t>Housing with care</w:t>
            </w:r>
          </w:p>
        </w:tc>
        <w:tc>
          <w:tcPr>
            <w:tcW w:w="2882" w:type="dxa"/>
            <w:hideMark/>
          </w:tcPr>
          <w:p w14:paraId="4C2EFB5D"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Rented</w:t>
            </w:r>
          </w:p>
        </w:tc>
        <w:tc>
          <w:tcPr>
            <w:tcW w:w="2882" w:type="dxa"/>
            <w:hideMark/>
          </w:tcPr>
          <w:p w14:paraId="416DEA50"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434</w:t>
            </w:r>
          </w:p>
        </w:tc>
      </w:tr>
      <w:tr w:rsidR="00956DC6" w:rsidRPr="00956DC6" w14:paraId="4B34B600"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882" w:type="dxa"/>
            <w:hideMark/>
          </w:tcPr>
          <w:p w14:paraId="3E91E162" w14:textId="1E473671" w:rsidR="00956DC6" w:rsidRPr="00956DC6" w:rsidRDefault="00956DC6" w:rsidP="00956DC6">
            <w:pPr>
              <w:jc w:val="center"/>
              <w:rPr>
                <w:color w:val="auto"/>
                <w:lang w:eastAsia="en-GB"/>
              </w:rPr>
            </w:pPr>
            <w:r w:rsidRPr="00956DC6">
              <w:rPr>
                <w:color w:val="auto"/>
                <w:lang w:eastAsia="en-GB"/>
              </w:rPr>
              <w:t>Housing with care</w:t>
            </w:r>
          </w:p>
        </w:tc>
        <w:tc>
          <w:tcPr>
            <w:tcW w:w="2882" w:type="dxa"/>
            <w:hideMark/>
          </w:tcPr>
          <w:p w14:paraId="7D803FFE"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Leasehold</w:t>
            </w:r>
          </w:p>
        </w:tc>
        <w:tc>
          <w:tcPr>
            <w:tcW w:w="2882" w:type="dxa"/>
            <w:hideMark/>
          </w:tcPr>
          <w:p w14:paraId="3C23F9D8"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562</w:t>
            </w:r>
          </w:p>
        </w:tc>
      </w:tr>
      <w:tr w:rsidR="00956DC6" w:rsidRPr="00956DC6" w14:paraId="72522BFF" w14:textId="77777777" w:rsidTr="00956DC6">
        <w:trPr>
          <w:trHeight w:val="397"/>
        </w:trPr>
        <w:tc>
          <w:tcPr>
            <w:cnfStyle w:val="001000000000" w:firstRow="0" w:lastRow="0" w:firstColumn="1" w:lastColumn="0" w:oddVBand="0" w:evenVBand="0" w:oddHBand="0" w:evenHBand="0" w:firstRowFirstColumn="0" w:firstRowLastColumn="0" w:lastRowFirstColumn="0" w:lastRowLastColumn="0"/>
            <w:tcW w:w="2882" w:type="dxa"/>
            <w:hideMark/>
          </w:tcPr>
          <w:p w14:paraId="4036F25F" w14:textId="77777777" w:rsidR="00956DC6" w:rsidRPr="00956DC6" w:rsidRDefault="00956DC6" w:rsidP="00956DC6">
            <w:pPr>
              <w:jc w:val="center"/>
              <w:rPr>
                <w:color w:val="auto"/>
                <w:lang w:eastAsia="en-GB"/>
              </w:rPr>
            </w:pPr>
            <w:r w:rsidRPr="00956DC6">
              <w:rPr>
                <w:color w:val="auto"/>
                <w:lang w:eastAsia="en-GB"/>
              </w:rPr>
              <w:t>Care Bed-spaces</w:t>
            </w:r>
          </w:p>
        </w:tc>
        <w:tc>
          <w:tcPr>
            <w:tcW w:w="2882" w:type="dxa"/>
            <w:hideMark/>
          </w:tcPr>
          <w:p w14:paraId="16FCEE39" w14:textId="2D005D00"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p>
        </w:tc>
        <w:tc>
          <w:tcPr>
            <w:tcW w:w="2882" w:type="dxa"/>
            <w:hideMark/>
          </w:tcPr>
          <w:p w14:paraId="004BADAB" w14:textId="77777777" w:rsidR="00956DC6" w:rsidRPr="00956DC6" w:rsidRDefault="00956DC6" w:rsidP="00956DC6">
            <w:pPr>
              <w:cnfStyle w:val="000000000000" w:firstRow="0" w:lastRow="0" w:firstColumn="0" w:lastColumn="0" w:oddVBand="0" w:evenVBand="0" w:oddHBand="0" w:evenHBand="0" w:firstRowFirstColumn="0" w:firstRowLastColumn="0" w:lastRowFirstColumn="0" w:lastRowLastColumn="0"/>
              <w:rPr>
                <w:color w:val="auto"/>
                <w:lang w:eastAsia="en-GB"/>
              </w:rPr>
            </w:pPr>
            <w:r w:rsidRPr="00956DC6">
              <w:rPr>
                <w:color w:val="auto"/>
                <w:lang w:eastAsia="en-GB"/>
              </w:rPr>
              <w:t>1,761</w:t>
            </w:r>
          </w:p>
        </w:tc>
      </w:tr>
    </w:tbl>
    <w:p w14:paraId="2967CEF8" w14:textId="77777777" w:rsidR="00C71E60" w:rsidRPr="001B0740" w:rsidRDefault="00C71E60" w:rsidP="00956DC6">
      <w:pPr>
        <w:pStyle w:val="ListParagraph"/>
        <w:numPr>
          <w:ilvl w:val="0"/>
          <w:numId w:val="0"/>
        </w:numPr>
        <w:ind w:left="426"/>
      </w:pPr>
    </w:p>
    <w:p w14:paraId="08153F74" w14:textId="3F41B921" w:rsidR="00C71E60" w:rsidRPr="001B0740" w:rsidRDefault="00C71E60" w:rsidP="007D0FBF">
      <w:pPr>
        <w:pStyle w:val="11Bodytext"/>
      </w:pPr>
      <w:r w:rsidRPr="001B0740">
        <w:t>The number of older people with dementia is expected to increase by 64.6% from 2020 to 2040. There is also a 62.5% increase projected for those with mobility problems over the same period.</w:t>
      </w:r>
    </w:p>
    <w:p w14:paraId="0DE0883C" w14:textId="334A1216" w:rsidR="00E36919" w:rsidRPr="001B0740" w:rsidRDefault="00E36919" w:rsidP="007D0FBF">
      <w:pPr>
        <w:pStyle w:val="11Bodytext"/>
      </w:pPr>
      <w:r w:rsidRPr="001B0740">
        <w:lastRenderedPageBreak/>
        <w:t xml:space="preserve">Using data from the </w:t>
      </w:r>
      <w:r>
        <w:t>EHS</w:t>
      </w:r>
      <w:r w:rsidRPr="001B0740">
        <w:t xml:space="preserve"> there is a current</w:t>
      </w:r>
      <w:r>
        <w:t xml:space="preserve"> (592)</w:t>
      </w:r>
      <w:r w:rsidRPr="001B0740">
        <w:t xml:space="preserve"> and projected</w:t>
      </w:r>
      <w:r>
        <w:t xml:space="preserve"> (1,280)</w:t>
      </w:r>
      <w:r w:rsidRPr="001B0740">
        <w:t xml:space="preserve"> need for about </w:t>
      </w:r>
      <w:r>
        <w:t xml:space="preserve">1,872 </w:t>
      </w:r>
      <w:r w:rsidRPr="001B0740">
        <w:t xml:space="preserve">wheelchair user dwellings to 2040 across </w:t>
      </w:r>
      <w:r>
        <w:t>South Cambridgeshire</w:t>
      </w:r>
      <w:r w:rsidRPr="001B0740">
        <w:t xml:space="preserve">. This equates to </w:t>
      </w:r>
      <w:r>
        <w:t>11.70</w:t>
      </w:r>
      <w:r w:rsidRPr="001B0740">
        <w:t xml:space="preserve">% of the total Local Housing Need. </w:t>
      </w:r>
    </w:p>
    <w:p w14:paraId="1C8C3CA5" w14:textId="354FB6AA" w:rsidR="00353C82" w:rsidRPr="00C03AC3" w:rsidRDefault="00353C82" w:rsidP="007D0FBF">
      <w:pPr>
        <w:pStyle w:val="11Bodytext"/>
      </w:pPr>
      <w:r w:rsidRPr="00C03AC3">
        <w:t xml:space="preserve">Where viability permits, the Council should seek to deliver 100% of new homes as M4(2) compliant and at least </w:t>
      </w:r>
      <w:r>
        <w:t>10</w:t>
      </w:r>
      <w:r w:rsidRPr="00C03AC3">
        <w:t xml:space="preserve">% of new market homes and </w:t>
      </w:r>
      <w:r>
        <w:t>25</w:t>
      </w:r>
      <w:r w:rsidRPr="00C03AC3">
        <w:t xml:space="preserve">% of new affordable homes as being M4(3) compliant to meet the identified need. </w:t>
      </w:r>
    </w:p>
    <w:p w14:paraId="3F6BAD64" w14:textId="77777777" w:rsidR="00C71E60" w:rsidRPr="001B0740" w:rsidRDefault="00C71E60" w:rsidP="00216BEB">
      <w:pPr>
        <w:pStyle w:val="Heading3"/>
      </w:pPr>
      <w:r w:rsidRPr="001B0740">
        <w:t>Student</w:t>
      </w:r>
    </w:p>
    <w:p w14:paraId="74996662" w14:textId="02C62459" w:rsidR="00C71E60" w:rsidRDefault="00C71E60" w:rsidP="007D0FBF">
      <w:pPr>
        <w:pStyle w:val="11Bodytext"/>
      </w:pPr>
      <w:r w:rsidRPr="008E5DB4">
        <w:rPr>
          <w:rStyle w:val="11BodytextChar"/>
        </w:rPr>
        <w:t xml:space="preserve">No requirement has been identified for student accommodation in West Suffolk, although growth at the University Campus may necessitate consideration for it. </w:t>
      </w:r>
      <w:r w:rsidR="006937D3" w:rsidRPr="008E5DB4">
        <w:rPr>
          <w:rStyle w:val="11BodytextChar"/>
        </w:rPr>
        <w:t>But any development being proposed which relates to purpose build student accommodation should be judged on its merits alongside an assessment of local demand. The developer should also demonstrate an agreement with a higher education provider</w:t>
      </w:r>
      <w:r w:rsidR="006937D3" w:rsidRPr="008677E9">
        <w:t>.</w:t>
      </w:r>
    </w:p>
    <w:p w14:paraId="75A8C861" w14:textId="259D8EE7" w:rsidR="00C71E60" w:rsidRPr="001B0740" w:rsidRDefault="00C71E60" w:rsidP="00216BEB">
      <w:pPr>
        <w:pStyle w:val="Heading3"/>
      </w:pPr>
      <w:r w:rsidRPr="001B0740">
        <w:t>People who rent their homes</w:t>
      </w:r>
    </w:p>
    <w:p w14:paraId="091B2630" w14:textId="2D1B1939" w:rsidR="00C71E60" w:rsidRPr="001B0740" w:rsidRDefault="00C71E60" w:rsidP="007D0FBF">
      <w:pPr>
        <w:pStyle w:val="11Bodytext"/>
      </w:pPr>
      <w:r w:rsidRPr="001B0740">
        <w:t xml:space="preserve">Demand for Private Rented Sector (PRS) housing increased by 115% in West Suffolk over the 2001 to 2011 period. Also, the tenure is likely to provide a route to affordable housing given that the number of households in PRS claiming Housing Benefit in West Suffolk is 1,051 in 2019. </w:t>
      </w:r>
    </w:p>
    <w:p w14:paraId="71BA4001" w14:textId="0F783C21" w:rsidR="00C71E60" w:rsidRPr="001B0740" w:rsidRDefault="00C71E60" w:rsidP="007D0FBF">
      <w:pPr>
        <w:pStyle w:val="11Bodytext"/>
      </w:pPr>
      <w:r w:rsidRPr="001B0740">
        <w:t xml:space="preserve">Notwithstanding, this study does not place a specific estimate on the demand for PRS in West Suffolk. This is because decisions on the part of individual households to buy or rent a home in the open market is dependent on several factors which means that demand can fluctuate over time (for example the availability of government schemes such as Help to Buy). </w:t>
      </w:r>
    </w:p>
    <w:p w14:paraId="113651E3" w14:textId="77777777" w:rsidR="00C71E60" w:rsidRPr="00303311" w:rsidRDefault="00C71E60" w:rsidP="007D0FBF">
      <w:pPr>
        <w:pStyle w:val="11Bodytext"/>
      </w:pPr>
      <w:r>
        <w:t xml:space="preserve">Institutional </w:t>
      </w:r>
      <w:r w:rsidRPr="001B0740">
        <w:t xml:space="preserve">Build to Rent </w:t>
      </w:r>
      <w:r>
        <w:t xml:space="preserve">investment and </w:t>
      </w:r>
      <w:r w:rsidRPr="001B0740">
        <w:t xml:space="preserve">development </w:t>
      </w:r>
      <w:r>
        <w:t>has thus far been typically focused in larger urban areas. Therefore, it is unlikely that West Suffolk</w:t>
      </w:r>
      <w:r w:rsidRPr="001B0740">
        <w:t xml:space="preserve"> </w:t>
      </w:r>
      <w:r>
        <w:t xml:space="preserve">will see much interest in this type of development. That said the sizable and transient military population in the area may attract some interest and where build to rent is being proposed, the policy position should be supportive, subject to the location and </w:t>
      </w:r>
      <w:r>
        <w:lastRenderedPageBreak/>
        <w:t>characteristics of the site in question and the proportion of units for affordable private rent being provided (seeking a minimum of 20%).</w:t>
      </w:r>
    </w:p>
    <w:p w14:paraId="7A8BD7C4" w14:textId="461AD3C6" w:rsidR="00C71E60" w:rsidRPr="001B0740" w:rsidRDefault="00C71E60" w:rsidP="00216BEB">
      <w:pPr>
        <w:pStyle w:val="Heading3"/>
      </w:pPr>
      <w:r w:rsidRPr="001B0740">
        <w:t xml:space="preserve">Self-build and custom-build housing </w:t>
      </w:r>
    </w:p>
    <w:p w14:paraId="414E52B9" w14:textId="0A1A7DC1" w:rsidR="00BA7B1F" w:rsidRDefault="00C71E60" w:rsidP="007D0FBF">
      <w:pPr>
        <w:pStyle w:val="11Bodytext"/>
      </w:pPr>
      <w:r>
        <w:t xml:space="preserve">The </w:t>
      </w:r>
      <w:r w:rsidRPr="008E6E40">
        <w:t>Council is required to permit plots for new custom and self-build homes for every new entry on to its custom and self-build register within three years of the end of each base period.  An indication of the scale of this need is taken from the current register and suggests that West Suffolk should permit 27 self-build plots annually</w:t>
      </w:r>
    </w:p>
    <w:p w14:paraId="2D49A69F" w14:textId="77777777" w:rsidR="00C71E60" w:rsidRPr="001B0740" w:rsidRDefault="00C71E60" w:rsidP="00216BEB">
      <w:pPr>
        <w:pStyle w:val="Heading3"/>
      </w:pPr>
      <w:r w:rsidRPr="001B0740">
        <w:t>Service Families</w:t>
      </w:r>
    </w:p>
    <w:p w14:paraId="2E83B747" w14:textId="2E5F2ABE" w:rsidR="00C71E60" w:rsidRPr="00A70705" w:rsidRDefault="00C71E60" w:rsidP="007D0FBF">
      <w:pPr>
        <w:pStyle w:val="11Bodytext"/>
      </w:pPr>
      <w:r w:rsidRPr="00A70705">
        <w:t xml:space="preserve">There was an identified demand for </w:t>
      </w:r>
      <w:r w:rsidR="00B945E7" w:rsidRPr="00A70705">
        <w:t>1- and 2-bedroom</w:t>
      </w:r>
      <w:r w:rsidRPr="00A70705">
        <w:t xml:space="preserve"> </w:t>
      </w:r>
      <w:r w:rsidR="00694F99">
        <w:t xml:space="preserve">and family </w:t>
      </w:r>
      <w:r w:rsidRPr="00A70705">
        <w:t xml:space="preserve">rental accommodation for military service personnel.  The majority of the demand will be located in close proximity to the base </w:t>
      </w:r>
      <w:proofErr w:type="gramStart"/>
      <w:r w:rsidRPr="00A70705">
        <w:t>i.e.</w:t>
      </w:r>
      <w:proofErr w:type="gramEnd"/>
      <w:r w:rsidRPr="00A70705">
        <w:t xml:space="preserve"> Huntingdonshire and West Suffolk.  </w:t>
      </w:r>
      <w:r>
        <w:t>While this should not result in a need for a specific policy for military accommodation such developments should be supported as long as can demonstrate a local demand and have approval from the MOD to deliver such housing.</w:t>
      </w:r>
    </w:p>
    <w:p w14:paraId="0E1AF03E" w14:textId="77777777" w:rsidR="00C71E60" w:rsidRPr="001B0740" w:rsidRDefault="00C71E60" w:rsidP="00C71E60">
      <w:pPr>
        <w:keepNext/>
        <w:jc w:val="both"/>
      </w:pPr>
    </w:p>
    <w:p w14:paraId="3A7F3F02" w14:textId="77777777" w:rsidR="00C71E60" w:rsidRPr="001B0740" w:rsidRDefault="00C71E60" w:rsidP="00C71E60">
      <w:pPr>
        <w:keepNext/>
        <w:jc w:val="both"/>
      </w:pPr>
    </w:p>
    <w:p w14:paraId="3EA10A51" w14:textId="77777777" w:rsidR="00C71E60" w:rsidRPr="001B0740" w:rsidRDefault="00C71E60" w:rsidP="00C71E60"/>
    <w:bookmarkEnd w:id="49"/>
    <w:p w14:paraId="7FEA292E" w14:textId="77777777" w:rsidR="00C7292A" w:rsidRDefault="00C7292A">
      <w:pPr>
        <w:spacing w:after="200"/>
        <w:rPr>
          <w:b/>
          <w:bCs/>
        </w:rPr>
      </w:pPr>
      <w:r>
        <w:rPr>
          <w:b/>
          <w:bCs/>
        </w:rPr>
        <w:br w:type="page"/>
      </w:r>
    </w:p>
    <w:p w14:paraId="3EDB1812" w14:textId="2AAD0AAE" w:rsidR="00297D48" w:rsidRPr="000A484C" w:rsidRDefault="00297D48" w:rsidP="000A484C">
      <w:pPr>
        <w:pStyle w:val="Appendices"/>
        <w:rPr>
          <w:rFonts w:asciiTheme="minorHAnsi" w:hAnsiTheme="minorHAnsi" w:cstheme="minorHAnsi"/>
          <w:szCs w:val="20"/>
        </w:rPr>
      </w:pPr>
      <w:bookmarkStart w:id="50" w:name="_Toc79590833"/>
      <w:r w:rsidRPr="000A484C">
        <w:rPr>
          <w:b/>
          <w:bCs/>
        </w:rPr>
        <w:lastRenderedPageBreak/>
        <w:t>Glossary</w:t>
      </w:r>
      <w:bookmarkEnd w:id="50"/>
      <w:r w:rsidRPr="000A484C">
        <w:rPr>
          <w:b/>
          <w:bCs/>
        </w:rPr>
        <w:t xml:space="preserve"> </w:t>
      </w:r>
    </w:p>
    <w:p w14:paraId="76372FFF" w14:textId="77777777" w:rsidR="00297D48" w:rsidRDefault="00297D48" w:rsidP="004D5A5B">
      <w:pPr>
        <w:pStyle w:val="Heading2"/>
      </w:pPr>
      <w:r>
        <w:t>Acronyms</w:t>
      </w:r>
    </w:p>
    <w:p w14:paraId="3E393216" w14:textId="77777777" w:rsidR="00297D48" w:rsidRDefault="00297D48" w:rsidP="00297D48">
      <w:pPr>
        <w:pStyle w:val="Subheadingbold"/>
        <w:spacing w:line="240" w:lineRule="auto"/>
        <w:rPr>
          <w:rFonts w:asciiTheme="minorHAnsi" w:hAnsiTheme="minorHAnsi" w:cstheme="minorHAnsi"/>
          <w:szCs w:val="20"/>
        </w:rPr>
      </w:pPr>
    </w:p>
    <w:tbl>
      <w:tblPr>
        <w:tblW w:w="9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7497"/>
      </w:tblGrid>
      <w:tr w:rsidR="00297D48" w14:paraId="063E284F"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334357E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AHO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3990E216"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Affordable Home Ownership</w:t>
            </w:r>
          </w:p>
        </w:tc>
      </w:tr>
      <w:tr w:rsidR="00297D48" w14:paraId="24378318"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199D08A9"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AMR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38620A72"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Authority Monitoring Report </w:t>
            </w:r>
          </w:p>
        </w:tc>
      </w:tr>
      <w:tr w:rsidR="00297D48" w14:paraId="49F9A38C"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0ACF4BB"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AR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6356894"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Affordable Rent </w:t>
            </w:r>
          </w:p>
        </w:tc>
      </w:tr>
      <w:tr w:rsidR="00297D48" w14:paraId="580D27F5"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9041686"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ASHE</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CE0D30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Annual Survey of Hours and Earnings </w:t>
            </w:r>
          </w:p>
        </w:tc>
      </w:tr>
      <w:tr w:rsidR="00297D48" w14:paraId="6D2DB49A"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BC2CFA1"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BTR</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4BA3FD00"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Build to Rent</w:t>
            </w:r>
          </w:p>
        </w:tc>
      </w:tr>
      <w:tr w:rsidR="00297D48" w14:paraId="70DB7B45" w14:textId="77777777" w:rsidTr="00297D48">
        <w:trPr>
          <w:trHeight w:val="272"/>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D765C5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BWNWCE</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10C1AB76"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The Board of the West and North West Cambridge Estates </w:t>
            </w:r>
          </w:p>
        </w:tc>
      </w:tr>
      <w:tr w:rsidR="00297D48" w14:paraId="37E901C4"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vAlign w:val="bottom"/>
            <w:hideMark/>
          </w:tcPr>
          <w:p w14:paraId="2F15091E"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CIL</w:t>
            </w:r>
          </w:p>
        </w:tc>
        <w:tc>
          <w:tcPr>
            <w:tcW w:w="7497" w:type="dxa"/>
            <w:tcBorders>
              <w:top w:val="single" w:sz="4" w:space="0" w:color="auto"/>
              <w:left w:val="single" w:sz="4" w:space="0" w:color="auto"/>
              <w:bottom w:val="single" w:sz="4" w:space="0" w:color="auto"/>
              <w:right w:val="single" w:sz="4" w:space="0" w:color="auto"/>
            </w:tcBorders>
            <w:vAlign w:val="center"/>
            <w:hideMark/>
          </w:tcPr>
          <w:p w14:paraId="550B91E6" w14:textId="77777777" w:rsidR="00297D48" w:rsidRDefault="00297D48">
            <w:pPr>
              <w:rPr>
                <w:rFonts w:asciiTheme="minorHAnsi" w:eastAsia="Times New Roman" w:hAnsiTheme="minorHAnsi" w:cstheme="minorHAnsi"/>
                <w:color w:val="0B0C0C"/>
                <w:lang w:val="en-US" w:eastAsia="en-GB"/>
              </w:rPr>
            </w:pPr>
            <w:r>
              <w:rPr>
                <w:rFonts w:asciiTheme="minorHAnsi" w:eastAsia="Times New Roman" w:hAnsiTheme="minorHAnsi" w:cstheme="minorHAnsi"/>
                <w:color w:val="0B0C0C"/>
                <w:lang w:val="en-US" w:eastAsia="en-GB"/>
              </w:rPr>
              <w:t>Community Infrastructure Levy</w:t>
            </w:r>
          </w:p>
        </w:tc>
      </w:tr>
      <w:tr w:rsidR="00297D48" w14:paraId="722234B2"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0F5948C"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CSB</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68507841"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Custom and self-build </w:t>
            </w:r>
          </w:p>
        </w:tc>
      </w:tr>
      <w:tr w:rsidR="00297D48" w14:paraId="217CE034"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254C893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DCLG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4393397"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Department for Communities and Local Government</w:t>
            </w:r>
          </w:p>
        </w:tc>
      </w:tr>
      <w:tr w:rsidR="00297D48" w14:paraId="22674971"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EB1F525" w14:textId="77777777" w:rsidR="00297D48" w:rsidRDefault="00297D48">
            <w:pPr>
              <w:rPr>
                <w:rFonts w:asciiTheme="minorHAnsi" w:eastAsia="Times New Roman" w:hAnsiTheme="minorHAnsi" w:cstheme="minorHAnsi"/>
                <w:color w:val="000000"/>
                <w:lang w:val="en-US" w:eastAsia="en-GB"/>
              </w:rPr>
            </w:pPr>
            <w:proofErr w:type="spellStart"/>
            <w:r>
              <w:rPr>
                <w:rFonts w:asciiTheme="minorHAnsi" w:eastAsia="Times New Roman" w:hAnsiTheme="minorHAnsi" w:cstheme="minorHAnsi"/>
                <w:color w:val="000000"/>
                <w:lang w:val="en-US" w:eastAsia="en-GB"/>
              </w:rPr>
              <w:t>dpa</w:t>
            </w:r>
            <w:proofErr w:type="spellEnd"/>
            <w:r>
              <w:rPr>
                <w:rFonts w:asciiTheme="minorHAnsi" w:eastAsia="Times New Roman" w:hAnsiTheme="minorHAnsi" w:cstheme="minorHAnsi"/>
                <w:color w:val="000000"/>
                <w:lang w:val="en-US" w:eastAsia="en-GB"/>
              </w:rPr>
              <w:t xml:space="preserve">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1C166682"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Dwellings per Annum </w:t>
            </w:r>
          </w:p>
        </w:tc>
      </w:tr>
      <w:tr w:rsidR="00297D48" w14:paraId="52A74DA9"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6F794113"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EHS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19C26B9E"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English Housing Survey </w:t>
            </w:r>
          </w:p>
        </w:tc>
      </w:tr>
      <w:tr w:rsidR="00297D48" w14:paraId="21D2205C"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775B2E3F"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HESA</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00A2FA3"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Higher Education Statistics Agency</w:t>
            </w:r>
          </w:p>
        </w:tc>
      </w:tr>
      <w:tr w:rsidR="007B4C19" w14:paraId="7E360AA0"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tcPr>
          <w:p w14:paraId="37D4B86F" w14:textId="207FFB10" w:rsidR="007B4C19" w:rsidRDefault="007B4C19">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HFR</w:t>
            </w:r>
          </w:p>
        </w:tc>
        <w:tc>
          <w:tcPr>
            <w:tcW w:w="7497" w:type="dxa"/>
            <w:tcBorders>
              <w:top w:val="single" w:sz="4" w:space="0" w:color="auto"/>
              <w:left w:val="single" w:sz="4" w:space="0" w:color="auto"/>
              <w:bottom w:val="single" w:sz="4" w:space="0" w:color="auto"/>
              <w:right w:val="single" w:sz="4" w:space="0" w:color="auto"/>
            </w:tcBorders>
            <w:noWrap/>
            <w:vAlign w:val="bottom"/>
          </w:tcPr>
          <w:p w14:paraId="76B44E8A" w14:textId="74DD2263" w:rsidR="007B4C19" w:rsidRDefault="007B4C19">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Household Formation Rate</w:t>
            </w:r>
          </w:p>
        </w:tc>
      </w:tr>
      <w:tr w:rsidR="00297D48" w14:paraId="4DAFDA35"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15304058"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HMA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72125B0"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Housing Market Area </w:t>
            </w:r>
          </w:p>
        </w:tc>
      </w:tr>
      <w:tr w:rsidR="00297D48" w14:paraId="55BE59FD"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6E52F419"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HMO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F6B62E8"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Houses in Multiple Occupation </w:t>
            </w:r>
          </w:p>
        </w:tc>
      </w:tr>
      <w:tr w:rsidR="00297D48" w14:paraId="154D91C1"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28F148F"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HRP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461456A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Household Reference Person</w:t>
            </w:r>
          </w:p>
        </w:tc>
      </w:tr>
      <w:tr w:rsidR="00297D48" w14:paraId="4C95386D"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5BDD42FF"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IMD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52601F15"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Index of Multiple Deprivation </w:t>
            </w:r>
          </w:p>
        </w:tc>
      </w:tr>
      <w:tr w:rsidR="00297D48" w14:paraId="1FFB4CC7"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13A29899"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JGC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5FC4E7BE"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Justin Gardner Consulting </w:t>
            </w:r>
          </w:p>
        </w:tc>
      </w:tr>
      <w:tr w:rsidR="00297D48" w14:paraId="27E37145"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6BD1F3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LAHS</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206398A3"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Local Authority Housing Statistics</w:t>
            </w:r>
          </w:p>
        </w:tc>
      </w:tr>
      <w:tr w:rsidR="00297D48" w14:paraId="5A920190"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5B7D258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LHA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6B1688FB"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Local Housing Allowance </w:t>
            </w:r>
          </w:p>
        </w:tc>
      </w:tr>
      <w:tr w:rsidR="00297D48" w14:paraId="1BA1B432"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2E52DF3C"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LHN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3C4AC62E"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Local Housing Need </w:t>
            </w:r>
          </w:p>
        </w:tc>
      </w:tr>
      <w:tr w:rsidR="00297D48" w14:paraId="53C2B709"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258AA1B5"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LPA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526A516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Local Planning Authority </w:t>
            </w:r>
          </w:p>
        </w:tc>
      </w:tr>
      <w:tr w:rsidR="00297D48" w14:paraId="465501C5"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6FF4B872"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LQ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1A54E800"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Lower Quartile </w:t>
            </w:r>
          </w:p>
        </w:tc>
      </w:tr>
      <w:tr w:rsidR="00297D48" w14:paraId="2CE5C604"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631BE21"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LTHPD</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D57D07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Long-Term Health Problem or Disability </w:t>
            </w:r>
          </w:p>
        </w:tc>
      </w:tr>
      <w:tr w:rsidR="00297D48" w14:paraId="57A3C422"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05EA5E4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MHCLG</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B305118"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Ministry of Housing, Communities and Local Government</w:t>
            </w:r>
          </w:p>
        </w:tc>
      </w:tr>
      <w:tr w:rsidR="00297D48" w14:paraId="52CAA72E"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0A831F4"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MOD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F91432C"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Ministry of </w:t>
            </w:r>
            <w:proofErr w:type="spellStart"/>
            <w:r>
              <w:rPr>
                <w:rFonts w:asciiTheme="minorHAnsi" w:eastAsia="Times New Roman" w:hAnsiTheme="minorHAnsi" w:cstheme="minorHAnsi"/>
                <w:color w:val="000000"/>
                <w:lang w:val="en-US" w:eastAsia="en-GB"/>
              </w:rPr>
              <w:t>Defence</w:t>
            </w:r>
            <w:proofErr w:type="spellEnd"/>
          </w:p>
        </w:tc>
      </w:tr>
      <w:tr w:rsidR="00297D48" w14:paraId="021854AF"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37C7264"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MSOA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183D48A3"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Middle Layer Super Output Area </w:t>
            </w:r>
          </w:p>
        </w:tc>
      </w:tr>
      <w:tr w:rsidR="00297D48" w14:paraId="1F062681"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7A756B47"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MYE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5A17B5C"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Mid-Year Population Estimates </w:t>
            </w:r>
          </w:p>
        </w:tc>
      </w:tr>
      <w:tr w:rsidR="00297D48" w14:paraId="4CB3387E"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9FFF18A" w14:textId="77777777" w:rsidR="00297D48" w:rsidRDefault="00297D48">
            <w:pPr>
              <w:rPr>
                <w:rFonts w:asciiTheme="minorHAnsi" w:eastAsia="Times New Roman" w:hAnsiTheme="minorHAnsi" w:cstheme="minorHAnsi"/>
                <w:color w:val="000000"/>
                <w:lang w:val="en-US" w:eastAsia="en-GB"/>
              </w:rPr>
            </w:pPr>
            <w:proofErr w:type="spellStart"/>
            <w:r>
              <w:rPr>
                <w:rFonts w:asciiTheme="minorHAnsi" w:eastAsia="Times New Roman" w:hAnsiTheme="minorHAnsi" w:cstheme="minorHAnsi"/>
                <w:color w:val="000000"/>
                <w:lang w:val="en-US" w:eastAsia="en-GB"/>
              </w:rPr>
              <w:t>NaCSBA</w:t>
            </w:r>
            <w:proofErr w:type="spellEnd"/>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AE20A54"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National Custom and Self-Build Association</w:t>
            </w:r>
          </w:p>
        </w:tc>
      </w:tr>
      <w:tr w:rsidR="00297D48" w14:paraId="2FC02696"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128B1CE8"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NPPF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DE0AFAB" w14:textId="77777777" w:rsidR="00297D48" w:rsidRDefault="00297D48">
            <w:pPr>
              <w:rPr>
                <w:rFonts w:asciiTheme="minorHAnsi" w:eastAsia="Times New Roman" w:hAnsiTheme="minorHAnsi" w:cstheme="minorHAnsi"/>
                <w:color w:val="222222"/>
                <w:lang w:val="en-US" w:eastAsia="en-GB"/>
              </w:rPr>
            </w:pPr>
            <w:r>
              <w:rPr>
                <w:rFonts w:asciiTheme="minorHAnsi" w:eastAsia="Times New Roman" w:hAnsiTheme="minorHAnsi" w:cstheme="minorHAnsi"/>
                <w:color w:val="222222"/>
                <w:lang w:val="en-US" w:eastAsia="en-GB"/>
              </w:rPr>
              <w:t>National Planning Policy Framework</w:t>
            </w:r>
          </w:p>
        </w:tc>
      </w:tr>
      <w:tr w:rsidR="00297D48" w14:paraId="5C093BA4"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79951EE2"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OAN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68CEAE7F"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Objectively Assessed Housing Need </w:t>
            </w:r>
          </w:p>
        </w:tc>
      </w:tr>
      <w:tr w:rsidR="00297D48" w14:paraId="5A092400"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6941E5EE"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OMV</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201ED61F"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Open Market Value </w:t>
            </w:r>
          </w:p>
        </w:tc>
      </w:tr>
      <w:tr w:rsidR="00297D48" w14:paraId="13A8C92F"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2BB6EB71"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ONS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237326EB"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Office for National Statistics</w:t>
            </w:r>
          </w:p>
        </w:tc>
      </w:tr>
      <w:tr w:rsidR="00297D48" w14:paraId="5EB9AC0A"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D3AD24F"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PPG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64A3106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Planning Practice Guidance </w:t>
            </w:r>
          </w:p>
        </w:tc>
      </w:tr>
      <w:tr w:rsidR="00297D48" w14:paraId="71E6071B"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1409ED4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PR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5BE16B80"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Patient Register </w:t>
            </w:r>
          </w:p>
        </w:tc>
      </w:tr>
      <w:tr w:rsidR="00297D48" w14:paraId="63864E03"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20AB8F72"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PRS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0AACCF9"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Private Rented Sector </w:t>
            </w:r>
          </w:p>
        </w:tc>
      </w:tr>
      <w:tr w:rsidR="00297D48" w14:paraId="5F9D13C0"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326BB61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RAF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69363506" w14:textId="4B7F8BAE"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Royal Air</w:t>
            </w:r>
            <w:r w:rsidR="00CF7B7D">
              <w:rPr>
                <w:rFonts w:asciiTheme="minorHAnsi" w:eastAsia="Times New Roman" w:hAnsiTheme="minorHAnsi" w:cstheme="minorHAnsi"/>
                <w:color w:val="000000"/>
                <w:lang w:val="en-US" w:eastAsia="en-GB"/>
              </w:rPr>
              <w:t xml:space="preserve"> F</w:t>
            </w:r>
            <w:r>
              <w:rPr>
                <w:rFonts w:asciiTheme="minorHAnsi" w:eastAsia="Times New Roman" w:hAnsiTheme="minorHAnsi" w:cstheme="minorHAnsi"/>
                <w:color w:val="000000"/>
                <w:lang w:val="en-US" w:eastAsia="en-GB"/>
              </w:rPr>
              <w:t xml:space="preserve">orce </w:t>
            </w:r>
          </w:p>
        </w:tc>
      </w:tr>
      <w:tr w:rsidR="00297D48" w14:paraId="28AF7B64"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280B8E29"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SHMA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5E597377"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Strategic Housing Market Assessment </w:t>
            </w:r>
          </w:p>
        </w:tc>
      </w:tr>
      <w:tr w:rsidR="00297D48" w14:paraId="48D8D859"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6F1D7907"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SNHP</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58B8E93E"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Sub-National Household Population </w:t>
            </w:r>
          </w:p>
        </w:tc>
      </w:tr>
      <w:tr w:rsidR="00297D48" w14:paraId="06FF7AF9"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41F0AC98"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SNPP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491A0A07"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Sub-National Population Projections </w:t>
            </w:r>
          </w:p>
        </w:tc>
      </w:tr>
      <w:tr w:rsidR="00297D48" w14:paraId="4E216138"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121D606D"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USAFE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0C08F165"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United States Air Forces in Europe – Air Forces Africa</w:t>
            </w:r>
          </w:p>
        </w:tc>
      </w:tr>
      <w:tr w:rsidR="00297D48" w14:paraId="5CFE9E3E" w14:textId="77777777" w:rsidTr="00297D48">
        <w:trPr>
          <w:trHeight w:val="260"/>
        </w:trPr>
        <w:tc>
          <w:tcPr>
            <w:tcW w:w="1801" w:type="dxa"/>
            <w:tcBorders>
              <w:top w:val="single" w:sz="4" w:space="0" w:color="auto"/>
              <w:left w:val="single" w:sz="4" w:space="0" w:color="auto"/>
              <w:bottom w:val="single" w:sz="4" w:space="0" w:color="auto"/>
              <w:right w:val="single" w:sz="4" w:space="0" w:color="auto"/>
            </w:tcBorders>
            <w:noWrap/>
            <w:vAlign w:val="bottom"/>
            <w:hideMark/>
          </w:tcPr>
          <w:p w14:paraId="719B7DA7"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VOA </w:t>
            </w:r>
          </w:p>
        </w:tc>
        <w:tc>
          <w:tcPr>
            <w:tcW w:w="7497" w:type="dxa"/>
            <w:tcBorders>
              <w:top w:val="single" w:sz="4" w:space="0" w:color="auto"/>
              <w:left w:val="single" w:sz="4" w:space="0" w:color="auto"/>
              <w:bottom w:val="single" w:sz="4" w:space="0" w:color="auto"/>
              <w:right w:val="single" w:sz="4" w:space="0" w:color="auto"/>
            </w:tcBorders>
            <w:noWrap/>
            <w:vAlign w:val="bottom"/>
            <w:hideMark/>
          </w:tcPr>
          <w:p w14:paraId="7530677A" w14:textId="77777777" w:rsidR="00297D48" w:rsidRDefault="00297D48">
            <w:pPr>
              <w:rPr>
                <w:rFonts w:asciiTheme="minorHAnsi" w:eastAsia="Times New Roman" w:hAnsiTheme="minorHAnsi" w:cstheme="minorHAnsi"/>
                <w:color w:val="000000"/>
                <w:lang w:val="en-US" w:eastAsia="en-GB"/>
              </w:rPr>
            </w:pPr>
            <w:r>
              <w:rPr>
                <w:rFonts w:asciiTheme="minorHAnsi" w:eastAsia="Times New Roman" w:hAnsiTheme="minorHAnsi" w:cstheme="minorHAnsi"/>
                <w:color w:val="000000"/>
                <w:lang w:val="en-US" w:eastAsia="en-GB"/>
              </w:rPr>
              <w:t xml:space="preserve">Valuations Office Agency </w:t>
            </w:r>
          </w:p>
        </w:tc>
      </w:tr>
    </w:tbl>
    <w:p w14:paraId="1D38D602" w14:textId="77777777" w:rsidR="00297D48" w:rsidRDefault="00297D48" w:rsidP="000A484C">
      <w:pPr>
        <w:pStyle w:val="Subheadingbold"/>
        <w:ind w:left="0" w:firstLine="0"/>
      </w:pPr>
    </w:p>
    <w:p w14:paraId="2876DD86" w14:textId="77777777" w:rsidR="00297D48" w:rsidRDefault="00297D48" w:rsidP="004D5A5B">
      <w:pPr>
        <w:pStyle w:val="Heading2"/>
        <w:ind w:left="0"/>
      </w:pPr>
      <w:r>
        <w:t>Terms and Definitions</w:t>
      </w:r>
      <w:r>
        <w:rPr>
          <w:rStyle w:val="FootnoteReference"/>
        </w:rPr>
        <w:footnoteReference w:id="66"/>
      </w:r>
      <w:r>
        <w:t xml:space="preserve"> </w:t>
      </w:r>
    </w:p>
    <w:p w14:paraId="731D2C80" w14:textId="77777777" w:rsidR="00297D48" w:rsidRDefault="00297D48" w:rsidP="00297D48">
      <w:pPr>
        <w:pStyle w:val="Subheadingbol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404"/>
      </w:tblGrid>
      <w:tr w:rsidR="00297D48" w14:paraId="02EF0B44" w14:textId="77777777" w:rsidTr="00297D48">
        <w:trPr>
          <w:trHeight w:val="803"/>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41412E00"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Affordability Ratio</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7C8E8772"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Affordability ratios are calculated by dividing house prices by gross annual workplace or residence-based earnings. Higher ratios indicate less affordable housing. Workplace-based affordability ratios are used in the standard method.</w:t>
            </w:r>
          </w:p>
        </w:tc>
      </w:tr>
      <w:tr w:rsidR="00297D48" w14:paraId="3125EFAF" w14:textId="77777777" w:rsidTr="00297D48">
        <w:trPr>
          <w:trHeight w:val="810"/>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278FE414"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Affordable Home Ownership</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562DABD5" w14:textId="77777777" w:rsidR="00297D48" w:rsidRDefault="00297D48">
            <w:pPr>
              <w:rPr>
                <w:rFonts w:asciiTheme="minorHAnsi" w:eastAsia="Times New Roman" w:hAnsiTheme="minorHAnsi" w:cstheme="minorHAnsi"/>
                <w:color w:val="auto"/>
                <w:lang w:val="en-US" w:eastAsia="en-GB"/>
              </w:rPr>
            </w:pPr>
            <w:r>
              <w:rPr>
                <w:rFonts w:asciiTheme="minorHAnsi" w:hAnsiTheme="minorHAnsi" w:cstheme="minorHAnsi"/>
                <w:color w:val="auto"/>
                <w:shd w:val="clear" w:color="auto" w:fill="FFFFFF"/>
                <w:lang w:val="en-US"/>
              </w:rPr>
              <w:t>Housing which is deemed affordable to those with a median household income or below as rated by the national government (or a local government) and is recognized by the housing affordability index.</w:t>
            </w:r>
          </w:p>
        </w:tc>
      </w:tr>
      <w:tr w:rsidR="00297D48" w14:paraId="18FA5FB8" w14:textId="77777777" w:rsidTr="00297D48">
        <w:trPr>
          <w:trHeight w:val="820"/>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1768D63B"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Affordable Housing</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2BEF5E1E" w14:textId="771E5D36" w:rsidR="00297D48" w:rsidRDefault="00297D48">
            <w:pPr>
              <w:rPr>
                <w:rFonts w:asciiTheme="minorHAnsi" w:eastAsia="Times New Roman" w:hAnsiTheme="minorHAnsi" w:cstheme="minorHAnsi"/>
                <w:color w:val="auto"/>
                <w:lang w:val="en-US" w:eastAsia="en-GB"/>
              </w:rPr>
            </w:pPr>
            <w:r>
              <w:rPr>
                <w:rFonts w:asciiTheme="minorHAnsi" w:hAnsiTheme="minorHAnsi" w:cstheme="minorHAnsi"/>
                <w:color w:val="0B0C0C"/>
                <w:shd w:val="clear" w:color="auto" w:fill="FFFFFF"/>
                <w:lang w:val="en-US"/>
              </w:rPr>
              <w:t xml:space="preserve">Housing for sale or rent for those whose needs are not met by the market (including housing that provides a </w:t>
            </w:r>
            <w:r w:rsidR="00B945E7">
              <w:rPr>
                <w:rFonts w:asciiTheme="minorHAnsi" w:hAnsiTheme="minorHAnsi" w:cstheme="minorHAnsi"/>
                <w:color w:val="0B0C0C"/>
                <w:shd w:val="clear" w:color="auto" w:fill="FFFFFF"/>
                <w:lang w:val="en-US"/>
              </w:rPr>
              <w:t>subsidized</w:t>
            </w:r>
            <w:r>
              <w:rPr>
                <w:rFonts w:asciiTheme="minorHAnsi" w:hAnsiTheme="minorHAnsi" w:cstheme="minorHAnsi"/>
                <w:color w:val="0B0C0C"/>
                <w:shd w:val="clear" w:color="auto" w:fill="FFFFFF"/>
                <w:lang w:val="en-US"/>
              </w:rPr>
              <w:t xml:space="preserve"> route to home ownership and/or is for essential local workers). </w:t>
            </w:r>
          </w:p>
        </w:tc>
      </w:tr>
      <w:tr w:rsidR="00297D48" w14:paraId="0272A95A" w14:textId="77777777" w:rsidTr="00297D48">
        <w:trPr>
          <w:trHeight w:val="831"/>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5836DFDF"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Affordable Housing Need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4C375989" w14:textId="3085E3A5" w:rsidR="00297D48" w:rsidRDefault="00297D48">
            <w:pPr>
              <w:rPr>
                <w:rFonts w:asciiTheme="minorHAnsi" w:eastAsia="Times New Roman" w:hAnsiTheme="minorHAnsi" w:cstheme="minorHAnsi"/>
                <w:color w:val="auto"/>
                <w:lang w:val="en-US" w:eastAsia="en-GB"/>
              </w:rPr>
            </w:pPr>
            <w:r>
              <w:rPr>
                <w:rFonts w:asciiTheme="minorHAnsi" w:eastAsia="Arial" w:hAnsiTheme="minorHAnsi" w:cstheme="minorHAnsi"/>
                <w:color w:val="auto"/>
                <w:lang w:val="en-US" w:eastAsia="en-GB"/>
              </w:rPr>
              <w:t>Compares prices and rents with the incomes of households to establish what proportion of households can meet their needs in the market, and what proportion require</w:t>
            </w:r>
            <w:r w:rsidR="008065C4">
              <w:rPr>
                <w:rFonts w:asciiTheme="minorHAnsi" w:eastAsia="Arial" w:hAnsiTheme="minorHAnsi" w:cstheme="minorHAnsi"/>
                <w:color w:val="auto"/>
                <w:lang w:val="en-US" w:eastAsia="en-GB"/>
              </w:rPr>
              <w:t xml:space="preserve"> to</w:t>
            </w:r>
            <w:r>
              <w:rPr>
                <w:rFonts w:asciiTheme="minorHAnsi" w:eastAsia="Arial" w:hAnsiTheme="minorHAnsi" w:cstheme="minorHAnsi"/>
                <w:color w:val="auto"/>
                <w:lang w:val="en-US" w:eastAsia="en-GB"/>
              </w:rPr>
              <w:t xml:space="preserve"> support.</w:t>
            </w:r>
          </w:p>
        </w:tc>
      </w:tr>
      <w:tr w:rsidR="00297D48" w14:paraId="0BE54FC1" w14:textId="77777777" w:rsidTr="00297D48">
        <w:trPr>
          <w:trHeight w:val="4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03D7873D"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Build to Rent</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7E6BE2B6" w14:textId="46CC189A"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Purpose-built market housing that is typically 100% rented out. </w:t>
            </w:r>
          </w:p>
        </w:tc>
      </w:tr>
      <w:tr w:rsidR="00297D48" w14:paraId="0A65D297" w14:textId="77777777" w:rsidTr="00297D48">
        <w:trPr>
          <w:trHeight w:val="377"/>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77315C2D"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Dependent Child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3BAA2BF9"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Any person aged 0 to 15 in a household (</w:t>
            </w:r>
            <w:proofErr w:type="gramStart"/>
            <w:r>
              <w:rPr>
                <w:rFonts w:asciiTheme="minorHAnsi" w:eastAsia="Times New Roman" w:hAnsiTheme="minorHAnsi" w:cstheme="minorHAnsi"/>
                <w:color w:val="auto"/>
                <w:lang w:val="en-US" w:eastAsia="en-GB"/>
              </w:rPr>
              <w:t>whether or not</w:t>
            </w:r>
            <w:proofErr w:type="gramEnd"/>
            <w:r>
              <w:rPr>
                <w:rFonts w:asciiTheme="minorHAnsi" w:eastAsia="Times New Roman" w:hAnsiTheme="minorHAnsi" w:cstheme="minorHAnsi"/>
                <w:color w:val="auto"/>
                <w:lang w:val="en-US" w:eastAsia="en-GB"/>
              </w:rPr>
              <w:t xml:space="preserve"> in a family).</w:t>
            </w:r>
          </w:p>
        </w:tc>
      </w:tr>
      <w:tr w:rsidR="00297D48" w14:paraId="2208634E" w14:textId="77777777" w:rsidTr="00297D48">
        <w:trPr>
          <w:trHeight w:val="609"/>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7F4CAA3E"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Discount Market Sale</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3B2BFFFD"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 low-cost home ownership product where a new-build property is purchased at a discounted price.</w:t>
            </w:r>
          </w:p>
        </w:tc>
      </w:tr>
      <w:tr w:rsidR="00297D48" w14:paraId="2926D406" w14:textId="77777777" w:rsidTr="00297D48">
        <w:trPr>
          <w:trHeight w:val="609"/>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36D66B5F"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Domestic Migration</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5AE1F2A7" w14:textId="254F5DF0" w:rsidR="00297D48" w:rsidRDefault="00E5257C">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Also known as internal migration. </w:t>
            </w:r>
            <w:r w:rsidR="00297D48">
              <w:rPr>
                <w:rFonts w:asciiTheme="minorHAnsi" w:eastAsia="Times New Roman" w:hAnsiTheme="minorHAnsi" w:cstheme="minorHAnsi"/>
                <w:color w:val="auto"/>
                <w:lang w:val="en-US" w:eastAsia="en-GB"/>
              </w:rPr>
              <w:t xml:space="preserve">Households moving home within the same country. </w:t>
            </w:r>
          </w:p>
        </w:tc>
      </w:tr>
      <w:tr w:rsidR="00297D48" w14:paraId="162689E5" w14:textId="77777777" w:rsidTr="00297D48">
        <w:trPr>
          <w:trHeight w:val="998"/>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51A0BE79"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Enhanced Sheltered Housing</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1EB80F10"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Sheltered housing with additional services to enable older people to retain their independence in their own home for as long as possible. Typically, there may be 24/7 (non-registered) staffing cover, at least one daily meal will be provided and there will be additional shared facilities.</w:t>
            </w:r>
          </w:p>
        </w:tc>
      </w:tr>
      <w:tr w:rsidR="00297D48" w14:paraId="11FBC28F" w14:textId="77777777" w:rsidTr="00297D48">
        <w:trPr>
          <w:trHeight w:val="1926"/>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5F84C8B1" w14:textId="2E751211"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Extra care housing or housing-with-care </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0414187A" w14:textId="5C42E081"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This usually consists of purpose-built or adapted flats or bungalows with a medium to a high level of care available if required, through an onsite care agency registered through the Care Quality Commission (CQC). Residents can live independently with 24-hour access to support services and staff, and meals are also available. There are often extensive communal areas, such as space to </w:t>
            </w:r>
            <w:r w:rsidR="00B945E7">
              <w:rPr>
                <w:rFonts w:asciiTheme="minorHAnsi" w:eastAsia="Times New Roman" w:hAnsiTheme="minorHAnsi" w:cstheme="minorHAnsi"/>
                <w:color w:val="auto"/>
                <w:lang w:val="en-US" w:eastAsia="en-GB"/>
              </w:rPr>
              <w:t>socialize</w:t>
            </w:r>
            <w:r>
              <w:rPr>
                <w:rFonts w:asciiTheme="minorHAnsi" w:eastAsia="Times New Roman" w:hAnsiTheme="minorHAnsi" w:cstheme="minorHAnsi"/>
                <w:color w:val="auto"/>
                <w:lang w:val="en-US" w:eastAsia="en-GB"/>
              </w:rPr>
              <w:t xml:space="preserve"> or a wellbeing </w:t>
            </w:r>
            <w:proofErr w:type="spellStart"/>
            <w:r w:rsidR="003D2AC6">
              <w:rPr>
                <w:rFonts w:asciiTheme="minorHAnsi" w:eastAsia="Times New Roman" w:hAnsiTheme="minorHAnsi" w:cstheme="minorHAnsi"/>
                <w:color w:val="auto"/>
                <w:lang w:val="en-US" w:eastAsia="en-GB"/>
              </w:rPr>
              <w:t>centre</w:t>
            </w:r>
            <w:proofErr w:type="spellEnd"/>
            <w:r>
              <w:rPr>
                <w:rFonts w:asciiTheme="minorHAnsi" w:eastAsia="Times New Roman" w:hAnsiTheme="minorHAnsi" w:cstheme="minorHAnsi"/>
                <w:color w:val="auto"/>
                <w:lang w:val="en-US" w:eastAsia="en-GB"/>
              </w:rPr>
              <w:t>. In some cases, these developments are known as retirement communities or villages - the intention is for residents to benefit from varying levels of care as time progresses.</w:t>
            </w:r>
          </w:p>
        </w:tc>
      </w:tr>
      <w:tr w:rsidR="00297D48" w14:paraId="1F6CD689" w14:textId="77777777" w:rsidTr="00297D48">
        <w:trPr>
          <w:trHeight w:val="581"/>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0263B14F"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First Homes</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4595D082" w14:textId="6D05A2C1" w:rsidR="00297D48" w:rsidRDefault="00297D48">
            <w:pPr>
              <w:rPr>
                <w:rFonts w:asciiTheme="majorHAnsi" w:eastAsia="Times New Roman" w:hAnsiTheme="majorHAnsi" w:cstheme="majorHAnsi"/>
                <w:color w:val="auto"/>
                <w:lang w:val="en-US" w:eastAsia="en-GB"/>
              </w:rPr>
            </w:pPr>
            <w:r>
              <w:rPr>
                <w:rFonts w:asciiTheme="majorHAnsi" w:hAnsiTheme="majorHAnsi" w:cstheme="majorHAnsi"/>
                <w:color w:val="222222"/>
                <w:shd w:val="clear" w:color="auto" w:fill="FFFFFF"/>
                <w:lang w:val="en-US"/>
              </w:rPr>
              <w:t>New homes sold at a discount of at least 30 per</w:t>
            </w:r>
            <w:r w:rsidR="008065C4">
              <w:rPr>
                <w:rFonts w:asciiTheme="majorHAnsi" w:hAnsiTheme="majorHAnsi" w:cstheme="majorHAnsi"/>
                <w:color w:val="222222"/>
                <w:shd w:val="clear" w:color="auto" w:fill="FFFFFF"/>
                <w:lang w:val="en-US"/>
              </w:rPr>
              <w:t xml:space="preserve"> </w:t>
            </w:r>
            <w:r>
              <w:rPr>
                <w:rFonts w:asciiTheme="majorHAnsi" w:hAnsiTheme="majorHAnsi" w:cstheme="majorHAnsi"/>
                <w:color w:val="222222"/>
                <w:shd w:val="clear" w:color="auto" w:fill="FFFFFF"/>
                <w:lang w:val="en-US"/>
              </w:rPr>
              <w:t>cent to market value. Local Authorities will have some say as to who can buy them.</w:t>
            </w:r>
          </w:p>
        </w:tc>
      </w:tr>
      <w:tr w:rsidR="00297D48" w14:paraId="5DE23207"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2D6EFEF1"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Houses in Multiple Occupation</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16372DBC"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 dwelling that is shared by unrelated adults.</w:t>
            </w:r>
          </w:p>
        </w:tc>
      </w:tr>
      <w:tr w:rsidR="00297D48" w14:paraId="5250D538"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49A6213E"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Housing Market Area</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0556142E"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A geography, defined by commuting relationships and internal migration, that defines the boundaries within which the demand and supply balance for housing can be understood. </w:t>
            </w:r>
          </w:p>
        </w:tc>
      </w:tr>
      <w:tr w:rsidR="00297D48" w14:paraId="269DE5AF" w14:textId="77777777" w:rsidTr="00297D48">
        <w:trPr>
          <w:trHeight w:val="587"/>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02109B24"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lastRenderedPageBreak/>
              <w:t>Housing Need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521C66BB"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The quantity of housing required by households who are unable to access suitable housing without financial assistance.</w:t>
            </w:r>
          </w:p>
        </w:tc>
      </w:tr>
      <w:tr w:rsidR="00297D48" w14:paraId="1576B701" w14:textId="77777777" w:rsidTr="00297D48">
        <w:trPr>
          <w:trHeight w:val="587"/>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12813B93"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International Migration </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02D73772"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Households moving home from one country to another </w:t>
            </w:r>
          </w:p>
        </w:tc>
      </w:tr>
      <w:tr w:rsidR="00297D48" w14:paraId="7BA1C479" w14:textId="77777777" w:rsidTr="00297D48">
        <w:trPr>
          <w:trHeight w:val="630"/>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065769C0"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Local Housing Need </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6280A0B2" w14:textId="0BE077B6"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The number of homes identified as being needed through the application of the standard method set out in </w:t>
            </w:r>
            <w:r w:rsidR="008065C4">
              <w:rPr>
                <w:rFonts w:asciiTheme="minorHAnsi" w:eastAsia="Times New Roman" w:hAnsiTheme="minorHAnsi" w:cstheme="minorHAnsi"/>
                <w:color w:val="auto"/>
                <w:lang w:val="en-US" w:eastAsia="en-GB"/>
              </w:rPr>
              <w:t xml:space="preserve">National </w:t>
            </w:r>
            <w:r>
              <w:rPr>
                <w:rFonts w:asciiTheme="minorHAnsi" w:eastAsia="Times New Roman" w:hAnsiTheme="minorHAnsi" w:cstheme="minorHAnsi"/>
                <w:color w:val="auto"/>
                <w:lang w:val="en-US" w:eastAsia="en-GB"/>
              </w:rPr>
              <w:t xml:space="preserve">Planning Practice Guidance. </w:t>
            </w:r>
          </w:p>
        </w:tc>
      </w:tr>
      <w:tr w:rsidR="00297D48" w14:paraId="7A0054F7" w14:textId="77777777" w:rsidTr="00297D48">
        <w:trPr>
          <w:trHeight w:val="74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07FB40CF"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Long-term health problem or disability</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4CF1F993" w14:textId="3D5D2D40"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 long-term health problem or disability limits a person's day-to-day activity, and has lasted, or is expected to last at least 12 months. This includes problems that are related to old age.</w:t>
            </w:r>
          </w:p>
        </w:tc>
      </w:tr>
      <w:tr w:rsidR="00297D48" w14:paraId="409AE74F" w14:textId="77777777" w:rsidTr="00297D48">
        <w:trPr>
          <w:trHeight w:val="613"/>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79C87C64"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Lower Quartile House Prices</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1B59017D"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The sale price which is valued at a quarter of the way through the range when ordered from lowest to highest.</w:t>
            </w:r>
          </w:p>
        </w:tc>
      </w:tr>
      <w:tr w:rsidR="00297D48" w14:paraId="6FB0393E" w14:textId="77777777" w:rsidTr="00297D48">
        <w:trPr>
          <w:trHeight w:val="613"/>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11A8A5CE"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Macro-Economics</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0DED9D17"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Relating to the branch of economics concerned with large-scale or general economic factors, such as interest rates and national productivity. </w:t>
            </w:r>
          </w:p>
        </w:tc>
      </w:tr>
      <w:tr w:rsidR="00297D48" w14:paraId="0935F9D2" w14:textId="77777777" w:rsidTr="00297D48">
        <w:trPr>
          <w:trHeight w:val="43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56910113"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Market Housing</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13E311FE" w14:textId="77777777" w:rsidR="00297D48" w:rsidRDefault="00297D48">
            <w:pPr>
              <w:rPr>
                <w:rFonts w:asciiTheme="minorHAnsi" w:eastAsia="Times New Roman" w:hAnsiTheme="minorHAnsi" w:cstheme="minorHAnsi"/>
                <w:color w:val="auto"/>
                <w:lang w:val="en-US" w:eastAsia="en-GB"/>
              </w:rPr>
            </w:pPr>
            <w:r>
              <w:rPr>
                <w:lang w:val="en-US"/>
              </w:rPr>
              <w:t>Private housing for rent or for sale, where the price is set in the open market.</w:t>
            </w:r>
          </w:p>
        </w:tc>
      </w:tr>
      <w:tr w:rsidR="00297D48" w14:paraId="25A2D809" w14:textId="77777777" w:rsidTr="00297D48">
        <w:trPr>
          <w:trHeight w:val="524"/>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76BD97C5"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Median House Price</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62746064" w14:textId="02B11772"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The sale price of the middle home in a list of properties ranked from </w:t>
            </w:r>
            <w:r w:rsidR="008065C4">
              <w:rPr>
                <w:rFonts w:asciiTheme="minorHAnsi" w:eastAsia="Times New Roman" w:hAnsiTheme="minorHAnsi" w:cstheme="minorHAnsi"/>
                <w:color w:val="auto"/>
                <w:lang w:val="en-US" w:eastAsia="en-GB"/>
              </w:rPr>
              <w:t xml:space="preserve">the </w:t>
            </w:r>
            <w:r>
              <w:rPr>
                <w:rFonts w:asciiTheme="minorHAnsi" w:eastAsia="Times New Roman" w:hAnsiTheme="minorHAnsi" w:cstheme="minorHAnsi"/>
                <w:color w:val="auto"/>
                <w:lang w:val="en-US" w:eastAsia="en-GB"/>
              </w:rPr>
              <w:t xml:space="preserve">highest sale price to lowest over a set </w:t>
            </w:r>
            <w:proofErr w:type="gramStart"/>
            <w:r>
              <w:rPr>
                <w:rFonts w:asciiTheme="minorHAnsi" w:eastAsia="Times New Roman" w:hAnsiTheme="minorHAnsi" w:cstheme="minorHAnsi"/>
                <w:color w:val="auto"/>
                <w:lang w:val="en-US" w:eastAsia="en-GB"/>
              </w:rPr>
              <w:t>period of time</w:t>
            </w:r>
            <w:proofErr w:type="gramEnd"/>
            <w:r>
              <w:rPr>
                <w:rFonts w:asciiTheme="minorHAnsi" w:eastAsia="Times New Roman" w:hAnsiTheme="minorHAnsi" w:cstheme="minorHAnsi"/>
                <w:color w:val="auto"/>
                <w:lang w:val="en-US" w:eastAsia="en-GB"/>
              </w:rPr>
              <w:t>.</w:t>
            </w:r>
          </w:p>
        </w:tc>
      </w:tr>
      <w:tr w:rsidR="00297D48" w14:paraId="2CDAFE2B"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7346A6D6"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Objectively Assessed Housing Need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787B4A36"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In the context of the NPPF ‘objectively assessed need’ refers to both market and affordable housing. The standard method is now used for assessing need.</w:t>
            </w:r>
          </w:p>
        </w:tc>
      </w:tr>
      <w:tr w:rsidR="00297D48" w14:paraId="3746C25B"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68557788"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Occupancy Rating </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31D79A49"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A measure of whether a given household has enough bedrooms based on the nature of their relationships and age. </w:t>
            </w:r>
          </w:p>
        </w:tc>
      </w:tr>
      <w:tr w:rsidR="00297D48" w14:paraId="4563D99E"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309ADCC0"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Overcrowding</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4013745D"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Properties that have fewer rooms than their households require based on the Government defined occupancy rating. </w:t>
            </w:r>
          </w:p>
        </w:tc>
      </w:tr>
      <w:tr w:rsidR="00297D48" w14:paraId="2D0E3997"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22A06754"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Private Rented Sector</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7EA8CEB0"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All property owned by a landlord and leased to a tenant.</w:t>
            </w:r>
          </w:p>
        </w:tc>
      </w:tr>
      <w:tr w:rsidR="00297D48" w14:paraId="27693D86" w14:textId="77777777" w:rsidTr="00297D48">
        <w:trPr>
          <w:trHeight w:val="31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15C40EE1" w14:textId="0CAB95E6"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Residential care homes and nursing homes </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1D7B89FC"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These have individual rooms within a residential building and provide a high level of care to meet all activities of daily living. They do not usually include support services for independent living. This type of housing can also include dementia care homes.</w:t>
            </w:r>
          </w:p>
        </w:tc>
      </w:tr>
      <w:tr w:rsidR="00297D48" w14:paraId="55085BC6" w14:textId="77777777" w:rsidTr="00297D48">
        <w:trPr>
          <w:trHeight w:val="1296"/>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0B6A0145" w14:textId="2DA254A6"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Retirement living or sheltered housing</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7CBF6165"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This usually consists of purpose-built flats or bungalows with limited communal facilities such as a lounge, laundry room, and guest room. It does not generally provide care services but provides some support to enable residents to live independently. This can include 24-hour on-site assistance (alarm) and a warden or house manager.</w:t>
            </w:r>
          </w:p>
        </w:tc>
      </w:tr>
      <w:tr w:rsidR="00297D48" w14:paraId="1A9BC7EC" w14:textId="77777777" w:rsidTr="00297D48">
        <w:trPr>
          <w:trHeight w:val="689"/>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3CB58CFA"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Retirement Village</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1BEE28B1" w14:textId="03426906"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Developments of </w:t>
            </w:r>
            <w:r w:rsidR="00E5257C">
              <w:rPr>
                <w:rFonts w:asciiTheme="minorHAnsi" w:eastAsia="Times New Roman" w:hAnsiTheme="minorHAnsi" w:cstheme="minorHAnsi"/>
                <w:color w:val="auto"/>
                <w:lang w:val="en-US" w:eastAsia="en-GB"/>
              </w:rPr>
              <w:t xml:space="preserve">typically </w:t>
            </w:r>
            <w:r>
              <w:rPr>
                <w:rFonts w:asciiTheme="minorHAnsi" w:eastAsia="Times New Roman" w:hAnsiTheme="minorHAnsi" w:cstheme="minorHAnsi"/>
                <w:color w:val="auto"/>
                <w:lang w:val="en-US" w:eastAsia="en-GB"/>
              </w:rPr>
              <w:t>100 or more units that encourage downsizing and reduce the need for additional large accommodation.</w:t>
            </w:r>
          </w:p>
        </w:tc>
      </w:tr>
      <w:tr w:rsidR="00297D48" w14:paraId="24122D1E" w14:textId="77777777" w:rsidTr="00297D48">
        <w:trPr>
          <w:trHeight w:val="795"/>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6551765C"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Self-Build and Custom Build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01368829" w14:textId="77777777" w:rsidR="00297D48" w:rsidRDefault="00297D48">
            <w:pPr>
              <w:rPr>
                <w:rFonts w:asciiTheme="minorHAnsi" w:eastAsia="Times New Roman" w:hAnsiTheme="minorHAnsi" w:cstheme="minorHAnsi"/>
                <w:color w:val="auto"/>
                <w:lang w:val="en-US" w:eastAsia="en-GB"/>
              </w:rPr>
            </w:pPr>
            <w:r>
              <w:rPr>
                <w:color w:val="0B0C0C"/>
                <w:shd w:val="clear" w:color="auto" w:fill="FFFFFF"/>
                <w:lang w:val="en-US"/>
              </w:rPr>
              <w:t>Housing built by an individual, a group of individuals, or persons working with or for them, to be occupied by that individual. Such housing can be either market or affordable housing.</w:t>
            </w:r>
          </w:p>
        </w:tc>
      </w:tr>
      <w:tr w:rsidR="00297D48" w14:paraId="013C6D76" w14:textId="77777777" w:rsidTr="00297D48">
        <w:trPr>
          <w:trHeight w:val="649"/>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68598F6B"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Shared Ownership</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4EDFF810"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 buyer will buy a share in a property (typically between 25% and 75%) and then pay rent on the remaining share.</w:t>
            </w:r>
          </w:p>
        </w:tc>
      </w:tr>
      <w:tr w:rsidR="00297D48" w14:paraId="5339A05D" w14:textId="77777777" w:rsidTr="00297D48">
        <w:trPr>
          <w:trHeight w:val="613"/>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34294453" w14:textId="77777777" w:rsidR="00150D61"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lastRenderedPageBreak/>
              <w:t>Social/</w:t>
            </w:r>
          </w:p>
          <w:p w14:paraId="063FEDB6"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Affordable Rented Housing</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5D8F082D"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 property that is let by the local authorities or private registered providers of social housing to households that are eligible for social rented housing.</w:t>
            </w:r>
          </w:p>
        </w:tc>
      </w:tr>
      <w:tr w:rsidR="00297D48" w14:paraId="4CCC07B4" w14:textId="77777777" w:rsidTr="00297D48">
        <w:trPr>
          <w:trHeight w:val="576"/>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64C9ED98"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Standard Method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31ACC9F2"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A formula to identify the minimum number of homes expected to be planned for, in a way which addresses projected household growth and the affordability ratio.</w:t>
            </w:r>
          </w:p>
        </w:tc>
      </w:tr>
      <w:tr w:rsidR="00297D48" w14:paraId="5BC6982B" w14:textId="77777777" w:rsidTr="00297D48">
        <w:trPr>
          <w:trHeight w:val="539"/>
        </w:trPr>
        <w:tc>
          <w:tcPr>
            <w:tcW w:w="991" w:type="pct"/>
            <w:tcBorders>
              <w:top w:val="single" w:sz="4" w:space="0" w:color="auto"/>
              <w:left w:val="single" w:sz="4" w:space="0" w:color="auto"/>
              <w:bottom w:val="single" w:sz="4" w:space="0" w:color="auto"/>
              <w:right w:val="single" w:sz="4" w:space="0" w:color="auto"/>
            </w:tcBorders>
            <w:noWrap/>
            <w:vAlign w:val="center"/>
            <w:hideMark/>
          </w:tcPr>
          <w:p w14:paraId="4A506679" w14:textId="77777777"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Under-occupied</w:t>
            </w:r>
          </w:p>
        </w:tc>
        <w:tc>
          <w:tcPr>
            <w:tcW w:w="4009" w:type="pct"/>
            <w:tcBorders>
              <w:top w:val="single" w:sz="4" w:space="0" w:color="auto"/>
              <w:left w:val="single" w:sz="4" w:space="0" w:color="auto"/>
              <w:bottom w:val="single" w:sz="4" w:space="0" w:color="auto"/>
              <w:right w:val="single" w:sz="4" w:space="0" w:color="auto"/>
            </w:tcBorders>
            <w:noWrap/>
            <w:vAlign w:val="center"/>
            <w:hideMark/>
          </w:tcPr>
          <w:p w14:paraId="097800E2" w14:textId="3A9DC991" w:rsidR="00297D48" w:rsidRDefault="00297D48">
            <w:pPr>
              <w:rPr>
                <w:rFonts w:asciiTheme="minorHAnsi" w:eastAsia="Times New Roman" w:hAnsiTheme="minorHAnsi" w:cstheme="minorHAnsi"/>
                <w:color w:val="auto"/>
                <w:lang w:val="en-US" w:eastAsia="en-GB"/>
              </w:rPr>
            </w:pPr>
            <w:r>
              <w:rPr>
                <w:rFonts w:asciiTheme="minorHAnsi" w:eastAsia="Times New Roman" w:hAnsiTheme="minorHAnsi" w:cstheme="minorHAnsi"/>
                <w:color w:val="auto"/>
                <w:lang w:val="en-US" w:eastAsia="en-GB"/>
              </w:rPr>
              <w:t xml:space="preserve">Household that </w:t>
            </w:r>
            <w:r w:rsidR="008065C4">
              <w:rPr>
                <w:rFonts w:asciiTheme="minorHAnsi" w:eastAsia="Times New Roman" w:hAnsiTheme="minorHAnsi" w:cstheme="minorHAnsi"/>
                <w:color w:val="auto"/>
                <w:lang w:val="en-US" w:eastAsia="en-GB"/>
              </w:rPr>
              <w:t xml:space="preserve">has </w:t>
            </w:r>
            <w:r>
              <w:rPr>
                <w:rFonts w:asciiTheme="minorHAnsi" w:eastAsia="Times New Roman" w:hAnsiTheme="minorHAnsi" w:cstheme="minorHAnsi"/>
                <w:color w:val="auto"/>
                <w:lang w:val="en-US" w:eastAsia="en-GB"/>
              </w:rPr>
              <w:t xml:space="preserve">more bedrooms than the household needs according to the Government’s occupancy rating. </w:t>
            </w:r>
          </w:p>
        </w:tc>
      </w:tr>
    </w:tbl>
    <w:p w14:paraId="6CC8A10E" w14:textId="77777777" w:rsidR="00297D48" w:rsidRDefault="00297D48" w:rsidP="00297D48">
      <w:pPr>
        <w:pStyle w:val="1Bodytext"/>
        <w:tabs>
          <w:tab w:val="clear" w:pos="1277"/>
          <w:tab w:val="left" w:pos="720"/>
        </w:tabs>
        <w:ind w:left="794" w:firstLine="0"/>
      </w:pPr>
    </w:p>
    <w:p w14:paraId="2907CA6E" w14:textId="7E4032CF" w:rsidR="003773E9" w:rsidRPr="00651510" w:rsidRDefault="003773E9" w:rsidP="00651510">
      <w:pPr>
        <w:pageBreakBefore/>
        <w:jc w:val="both"/>
        <w:rPr>
          <w:sz w:val="24"/>
          <w:szCs w:val="24"/>
        </w:rPr>
      </w:pPr>
      <w:r w:rsidRPr="00651510">
        <w:rPr>
          <w:b/>
          <w:bCs/>
          <w:sz w:val="24"/>
          <w:szCs w:val="24"/>
        </w:rPr>
        <w:lastRenderedPageBreak/>
        <w:t>General Disclaimer</w:t>
      </w:r>
    </w:p>
    <w:p w14:paraId="2AED988E" w14:textId="78EBC6F3" w:rsidR="003773E9" w:rsidRPr="00651510" w:rsidRDefault="003773E9" w:rsidP="003773E9">
      <w:pPr>
        <w:jc w:val="both"/>
        <w:rPr>
          <w:sz w:val="24"/>
          <w:szCs w:val="24"/>
        </w:rPr>
      </w:pPr>
      <w:r w:rsidRPr="00651510">
        <w:rPr>
          <w:sz w:val="24"/>
          <w:szCs w:val="24"/>
        </w:rPr>
        <w:t xml:space="preserve">This report has been prepared by GL Hearn Limited (GL Hearn) in favour of </w:t>
      </w:r>
      <w:r w:rsidR="000D2A90" w:rsidRPr="00651510">
        <w:rPr>
          <w:sz w:val="24"/>
          <w:szCs w:val="24"/>
        </w:rPr>
        <w:t>Cambridgeshire County Council</w:t>
      </w:r>
      <w:r w:rsidRPr="00651510">
        <w:rPr>
          <w:sz w:val="24"/>
          <w:szCs w:val="24"/>
        </w:rPr>
        <w:t xml:space="preserve"> (“the Client”) and is for the sole use and benefit of the Client in accordance with the agreement between the Client and GL Hearn dated </w:t>
      </w:r>
      <w:r w:rsidR="000D2A90" w:rsidRPr="00651510">
        <w:rPr>
          <w:sz w:val="24"/>
          <w:szCs w:val="24"/>
        </w:rPr>
        <w:t>April 2020</w:t>
      </w:r>
      <w:r w:rsidRPr="00651510">
        <w:rPr>
          <w:sz w:val="24"/>
          <w:szCs w:val="24"/>
        </w:rPr>
        <w:t xml:space="preserve"> under which GL Hearn’s services were performed.</w:t>
      </w:r>
      <w:r w:rsidR="00CA0F24" w:rsidRPr="00651510">
        <w:rPr>
          <w:sz w:val="24"/>
          <w:szCs w:val="24"/>
        </w:rPr>
        <w:t xml:space="preserve"> </w:t>
      </w:r>
      <w:r w:rsidRPr="00651510">
        <w:rPr>
          <w:sz w:val="24"/>
          <w:szCs w:val="24"/>
        </w:rPr>
        <w:t>GL Hearn accepts no liability to any other party in respect of the contents of this report.</w:t>
      </w:r>
      <w:r w:rsidR="00CA0F24" w:rsidRPr="00651510">
        <w:rPr>
          <w:sz w:val="24"/>
          <w:szCs w:val="24"/>
        </w:rPr>
        <w:t xml:space="preserve"> </w:t>
      </w:r>
      <w:r w:rsidRPr="00651510">
        <w:rPr>
          <w:sz w:val="24"/>
          <w:szCs w:val="24"/>
        </w:rPr>
        <w:t>This report is confidential and may not be disclosed by the Client or relied on by any other party without the express prior written consent of GL Hearn.</w:t>
      </w:r>
      <w:r w:rsidR="00CA0F24" w:rsidRPr="00651510">
        <w:rPr>
          <w:sz w:val="24"/>
          <w:szCs w:val="24"/>
        </w:rPr>
        <w:t xml:space="preserve"> </w:t>
      </w:r>
    </w:p>
    <w:p w14:paraId="78025B12" w14:textId="77777777" w:rsidR="003773E9" w:rsidRPr="00651510" w:rsidRDefault="003773E9" w:rsidP="003773E9">
      <w:pPr>
        <w:jc w:val="both"/>
        <w:rPr>
          <w:sz w:val="24"/>
          <w:szCs w:val="24"/>
        </w:rPr>
      </w:pPr>
    </w:p>
    <w:p w14:paraId="0D6CB96E" w14:textId="28AABF1F" w:rsidR="003773E9" w:rsidRPr="00651510" w:rsidRDefault="003773E9" w:rsidP="003773E9">
      <w:pPr>
        <w:jc w:val="both"/>
        <w:rPr>
          <w:sz w:val="24"/>
          <w:szCs w:val="24"/>
        </w:rPr>
      </w:pPr>
      <w:r w:rsidRPr="00651510">
        <w:rPr>
          <w:sz w:val="24"/>
          <w:szCs w:val="24"/>
        </w:rPr>
        <w:t xml:space="preserve">Whilst care has been taken in the construction of this report, the </w:t>
      </w:r>
      <w:proofErr w:type="gramStart"/>
      <w:r w:rsidRPr="00651510">
        <w:rPr>
          <w:sz w:val="24"/>
          <w:szCs w:val="24"/>
        </w:rPr>
        <w:t>conclusions</w:t>
      </w:r>
      <w:proofErr w:type="gramEnd"/>
      <w:r w:rsidRPr="00651510">
        <w:rPr>
          <w:sz w:val="24"/>
          <w:szCs w:val="24"/>
        </w:rPr>
        <w:t xml:space="preserve"> and recommendations which it contains are based upon information provided by third parties (“Third Party Information”).</w:t>
      </w:r>
      <w:r w:rsidR="00CA0F24" w:rsidRPr="00651510">
        <w:rPr>
          <w:sz w:val="24"/>
          <w:szCs w:val="24"/>
        </w:rPr>
        <w:t xml:space="preserve"> </w:t>
      </w:r>
      <w:r w:rsidRPr="00651510">
        <w:rPr>
          <w:sz w:val="24"/>
          <w:szCs w:val="24"/>
        </w:rPr>
        <w:t>GL Hearn has for the purposes of this report relied upon and assumed that the Third Party Information is accurate and complete and has not independently verified such information for the purposes of this report.</w:t>
      </w:r>
      <w:r w:rsidR="00CA0F24" w:rsidRPr="00651510">
        <w:rPr>
          <w:sz w:val="24"/>
          <w:szCs w:val="24"/>
        </w:rPr>
        <w:t xml:space="preserve"> </w:t>
      </w:r>
      <w:r w:rsidRPr="00651510">
        <w:rPr>
          <w:sz w:val="24"/>
          <w:szCs w:val="24"/>
        </w:rPr>
        <w:t xml:space="preserve">GL Hearn makes no representation, warranty or undertaking (express or implied) in the context of the Third Party Information and no responsibility is taken or accepted by GL Hearn for the adequacy, </w:t>
      </w:r>
      <w:proofErr w:type="gramStart"/>
      <w:r w:rsidRPr="00651510">
        <w:rPr>
          <w:sz w:val="24"/>
          <w:szCs w:val="24"/>
        </w:rPr>
        <w:t>completeness</w:t>
      </w:r>
      <w:proofErr w:type="gramEnd"/>
      <w:r w:rsidRPr="00651510">
        <w:rPr>
          <w:sz w:val="24"/>
          <w:szCs w:val="24"/>
        </w:rPr>
        <w:t xml:space="preserve"> or accuracy of the report in the context of the Third Party Information on which it is based.</w:t>
      </w:r>
      <w:r w:rsidR="00CA0F24" w:rsidRPr="00651510">
        <w:rPr>
          <w:sz w:val="24"/>
          <w:szCs w:val="24"/>
        </w:rPr>
        <w:t xml:space="preserve"> </w:t>
      </w:r>
    </w:p>
    <w:p w14:paraId="1F12560E" w14:textId="77777777" w:rsidR="003773E9" w:rsidRPr="00651510" w:rsidRDefault="003773E9" w:rsidP="003773E9">
      <w:pPr>
        <w:jc w:val="both"/>
        <w:rPr>
          <w:sz w:val="24"/>
          <w:szCs w:val="24"/>
        </w:rPr>
      </w:pPr>
    </w:p>
    <w:p w14:paraId="1D7C0731" w14:textId="77777777" w:rsidR="003773E9" w:rsidRPr="00651510" w:rsidRDefault="003773E9" w:rsidP="003773E9">
      <w:pPr>
        <w:jc w:val="both"/>
        <w:rPr>
          <w:sz w:val="24"/>
          <w:szCs w:val="24"/>
        </w:rPr>
      </w:pPr>
    </w:p>
    <w:p w14:paraId="3A2CADCE" w14:textId="77777777" w:rsidR="003773E9" w:rsidRPr="00651510" w:rsidRDefault="003773E9" w:rsidP="003773E9">
      <w:pPr>
        <w:jc w:val="both"/>
        <w:rPr>
          <w:sz w:val="24"/>
          <w:szCs w:val="24"/>
        </w:rPr>
      </w:pPr>
      <w:r w:rsidRPr="00651510">
        <w:rPr>
          <w:b/>
          <w:bCs/>
          <w:sz w:val="24"/>
          <w:szCs w:val="24"/>
        </w:rPr>
        <w:t>Freedom of Information</w:t>
      </w:r>
    </w:p>
    <w:p w14:paraId="5F148ADB" w14:textId="78A1022E" w:rsidR="003773E9" w:rsidRPr="00651510" w:rsidRDefault="003773E9" w:rsidP="003773E9">
      <w:pPr>
        <w:jc w:val="both"/>
        <w:rPr>
          <w:sz w:val="24"/>
          <w:szCs w:val="24"/>
        </w:rPr>
      </w:pPr>
      <w:r w:rsidRPr="00651510">
        <w:rPr>
          <w:sz w:val="24"/>
          <w:szCs w:val="24"/>
        </w:rPr>
        <w:t>GL Hearn understands and acknowledges the Authority’s legal obligations and responsibilities under the Freedom of Information Act 2000 (the “Act”) and fully appreciates that the Authority may be required under the terms of the Act to disclose any information which it holds.</w:t>
      </w:r>
      <w:r w:rsidR="00CA0F24" w:rsidRPr="00651510">
        <w:rPr>
          <w:sz w:val="24"/>
          <w:szCs w:val="24"/>
        </w:rPr>
        <w:t xml:space="preserve"> </w:t>
      </w:r>
      <w:r w:rsidRPr="00651510">
        <w:rPr>
          <w:sz w:val="24"/>
          <w:szCs w:val="24"/>
        </w:rPr>
        <w:t>GL Hearn maintains that the report contains commercially sensitive information that could be prejudicial to the commercial interests of the parties.</w:t>
      </w:r>
      <w:r w:rsidR="00CA0F24" w:rsidRPr="00651510">
        <w:rPr>
          <w:sz w:val="24"/>
          <w:szCs w:val="24"/>
        </w:rPr>
        <w:t xml:space="preserve"> </w:t>
      </w:r>
      <w:r w:rsidRPr="00651510">
        <w:rPr>
          <w:sz w:val="24"/>
          <w:szCs w:val="24"/>
        </w:rPr>
        <w:t>On this basis GL Hearn believes that the report should attract exemption from disclosure, at least in the first instance, under Sections 41 and/or 43 of the Act.</w:t>
      </w:r>
      <w:r w:rsidR="00CA0F24" w:rsidRPr="00651510">
        <w:rPr>
          <w:sz w:val="24"/>
          <w:szCs w:val="24"/>
        </w:rPr>
        <w:t xml:space="preserve"> </w:t>
      </w:r>
      <w:r w:rsidRPr="00651510">
        <w:rPr>
          <w:sz w:val="24"/>
          <w:szCs w:val="24"/>
        </w:rPr>
        <w:t>GL Hearn accepts that the damage which it would suffer in the event of disclosure of certain of the confidential information would, to some extent, reduce with the passage of time and therefore proposes that any disclosure (pursuant to the Act) of the confidential information contained in the report should be restricted until after the expiry of 24 months from the date of the report.</w:t>
      </w:r>
      <w:r w:rsidR="00CA0F24" w:rsidRPr="00651510">
        <w:rPr>
          <w:sz w:val="24"/>
          <w:szCs w:val="24"/>
        </w:rPr>
        <w:t xml:space="preserve"> </w:t>
      </w:r>
    </w:p>
    <w:p w14:paraId="321FD74A" w14:textId="77777777" w:rsidR="003773E9" w:rsidRDefault="003773E9" w:rsidP="003773E9">
      <w:pPr>
        <w:jc w:val="both"/>
      </w:pPr>
    </w:p>
    <w:p w14:paraId="0A9302A9" w14:textId="77777777" w:rsidR="00E40D43" w:rsidRPr="000E626B" w:rsidRDefault="00E40D43" w:rsidP="00734480">
      <w:pPr>
        <w:pStyle w:val="BodyText1"/>
      </w:pPr>
    </w:p>
    <w:sectPr w:rsidR="00E40D43" w:rsidRPr="000E626B" w:rsidSect="001327CF">
      <w:pgSz w:w="11900" w:h="16840"/>
      <w:pgMar w:top="2438" w:right="851" w:bottom="1418" w:left="1418" w:header="709" w:footer="709"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CF7BF" w14:textId="77777777" w:rsidR="00263CDB" w:rsidRDefault="00263CDB" w:rsidP="005D7DE1">
      <w:r>
        <w:separator/>
      </w:r>
    </w:p>
  </w:endnote>
  <w:endnote w:type="continuationSeparator" w:id="0">
    <w:p w14:paraId="58F9D274" w14:textId="77777777" w:rsidR="00263CDB" w:rsidRDefault="00263CDB" w:rsidP="005D7DE1">
      <w:r>
        <w:continuationSeparator/>
      </w:r>
    </w:p>
  </w:endnote>
  <w:endnote w:type="continuationNotice" w:id="1">
    <w:p w14:paraId="6DD4AC32" w14:textId="77777777" w:rsidR="00263CDB" w:rsidRDefault="00263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Houschka Pro Light">
    <w:altName w:val="Calibri"/>
    <w:panose1 w:val="00000000000000000000"/>
    <w:charset w:val="00"/>
    <w:family w:val="swiss"/>
    <w:notTrueType/>
    <w:pitch w:val="default"/>
    <w:sig w:usb0="00000003" w:usb1="00000000" w:usb2="00000000" w:usb3="00000000" w:csb0="00000001" w:csb1="00000000"/>
  </w:font>
  <w:font w:name="Gotha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DB354" w14:textId="77777777" w:rsidR="00263CDB" w:rsidRDefault="00263CDB" w:rsidP="00E15CE9">
    <w:pPr>
      <w:pStyle w:val="FooterPortrait"/>
      <w:framePr w:wrap="around"/>
    </w:pPr>
    <w:r w:rsidRPr="00361E00">
      <w:t>GL Hearn</w:t>
    </w:r>
    <w:r>
      <w:rPr>
        <w:rStyle w:val="PageNumber"/>
      </w:rPr>
      <w:tab/>
    </w:r>
    <w:r w:rsidRPr="001D5D96">
      <w:t xml:space="preserve">Page </w:t>
    </w:r>
    <w:r w:rsidRPr="001D5D96">
      <w:fldChar w:fldCharType="begin"/>
    </w:r>
    <w:r w:rsidRPr="001D5D96">
      <w:instrText xml:space="preserve"> PAGE </w:instrText>
    </w:r>
    <w:r w:rsidRPr="001D5D96">
      <w:fldChar w:fldCharType="separate"/>
    </w:r>
    <w:r>
      <w:rPr>
        <w:noProof/>
      </w:rPr>
      <w:t>2</w:t>
    </w:r>
    <w:r w:rsidRPr="001D5D96">
      <w:fldChar w:fldCharType="end"/>
    </w:r>
    <w:r w:rsidRPr="001D5D96">
      <w:t xml:space="preserve"> of </w:t>
    </w:r>
    <w:r>
      <w:fldChar w:fldCharType="begin"/>
    </w:r>
    <w:r>
      <w:instrText xml:space="preserve"> NUMPAGES </w:instrText>
    </w:r>
    <w:r>
      <w:fldChar w:fldCharType="separate"/>
    </w:r>
    <w:r>
      <w:rPr>
        <w:noProof/>
      </w:rPr>
      <w:t>247</w:t>
    </w:r>
    <w:r>
      <w:fldChar w:fldCharType="end"/>
    </w:r>
  </w:p>
  <w:p w14:paraId="6A957D0C" w14:textId="77777777" w:rsidR="00263CDB" w:rsidRPr="00FC196C" w:rsidRDefault="00263CDB" w:rsidP="00BE0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04D08" w14:textId="77777777" w:rsidR="00263CDB" w:rsidRDefault="00263CDB" w:rsidP="00A10F6F">
    <w:pPr>
      <w:framePr w:wrap="auto" w:vAnchor="page" w:hAnchor="page" w:x="1419" w:y="16156"/>
    </w:pPr>
  </w:p>
  <w:p w14:paraId="06982525" w14:textId="77777777" w:rsidR="00263CDB" w:rsidRDefault="00263CDB" w:rsidP="00A10F6F">
    <w:pPr>
      <w:pStyle w:val="Footer"/>
      <w:rPr>
        <w:noProof/>
        <w:lang w:eastAsia="en-GB"/>
      </w:rPr>
    </w:pPr>
  </w:p>
  <w:p w14:paraId="15D5ABE0" w14:textId="0FFF269E" w:rsidR="00263CDB" w:rsidRPr="00A10F6F" w:rsidRDefault="00263CDB" w:rsidP="00A10F6F">
    <w:pPr>
      <w:pStyle w:val="Footer"/>
    </w:pPr>
    <w:r>
      <w:rPr>
        <w:noProof/>
        <w:lang w:eastAsia="en-GB"/>
      </w:rPr>
      <w:drawing>
        <wp:anchor distT="0" distB="0" distL="114300" distR="114300" simplePos="0" relativeHeight="251694080" behindDoc="1" locked="0" layoutInCell="1" allowOverlap="1" wp14:anchorId="250F9D69" wp14:editId="3DD8FF85">
          <wp:simplePos x="0" y="0"/>
          <wp:positionH relativeFrom="page">
            <wp:posOffset>3911600</wp:posOffset>
          </wp:positionH>
          <wp:positionV relativeFrom="page">
            <wp:posOffset>10115550</wp:posOffset>
          </wp:positionV>
          <wp:extent cx="2603431" cy="224790"/>
          <wp:effectExtent l="0" t="0" r="6985" b="3810"/>
          <wp:wrapNone/>
          <wp:docPr id="1036" name="Picture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0A4A2226" wp14:editId="6AF2ED63">
          <wp:simplePos x="0" y="0"/>
          <wp:positionH relativeFrom="page">
            <wp:posOffset>3911600</wp:posOffset>
          </wp:positionH>
          <wp:positionV relativeFrom="page">
            <wp:posOffset>10115550</wp:posOffset>
          </wp:positionV>
          <wp:extent cx="2603431" cy="224790"/>
          <wp:effectExtent l="0" t="0" r="6985" b="3810"/>
          <wp:wrapNone/>
          <wp:docPr id="1037" name="Pictur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14:anchorId="657EBFDF" wp14:editId="68BDE38C">
          <wp:simplePos x="0" y="0"/>
          <wp:positionH relativeFrom="page">
            <wp:posOffset>3911600</wp:posOffset>
          </wp:positionH>
          <wp:positionV relativeFrom="page">
            <wp:posOffset>10115550</wp:posOffset>
          </wp:positionV>
          <wp:extent cx="2603431" cy="224790"/>
          <wp:effectExtent l="0" t="0" r="6985" b="3810"/>
          <wp:wrapNone/>
          <wp:docPr id="1040" name="Picture 1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78EF1C4E" wp14:editId="5FC4BA5D">
          <wp:simplePos x="0" y="0"/>
          <wp:positionH relativeFrom="page">
            <wp:posOffset>3911600</wp:posOffset>
          </wp:positionH>
          <wp:positionV relativeFrom="page">
            <wp:posOffset>10115550</wp:posOffset>
          </wp:positionV>
          <wp:extent cx="2603431" cy="224790"/>
          <wp:effectExtent l="0" t="0" r="6985" b="381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477BEB37" wp14:editId="45D27E10">
          <wp:simplePos x="0" y="0"/>
          <wp:positionH relativeFrom="page">
            <wp:posOffset>3911600</wp:posOffset>
          </wp:positionH>
          <wp:positionV relativeFrom="page">
            <wp:posOffset>10115550</wp:posOffset>
          </wp:positionV>
          <wp:extent cx="2603431" cy="224790"/>
          <wp:effectExtent l="0" t="0" r="6985" b="3810"/>
          <wp:wrapNone/>
          <wp:docPr id="1045" name="Picture 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1" locked="0" layoutInCell="1" allowOverlap="1" wp14:anchorId="250F9D69" wp14:editId="50553202">
          <wp:simplePos x="0" y="0"/>
          <wp:positionH relativeFrom="page">
            <wp:posOffset>3911600</wp:posOffset>
          </wp:positionH>
          <wp:positionV relativeFrom="page">
            <wp:posOffset>10115550</wp:posOffset>
          </wp:positionV>
          <wp:extent cx="2603431" cy="224790"/>
          <wp:effectExtent l="0" t="0" r="6985" b="3810"/>
          <wp:wrapNone/>
          <wp:docPr id="1026" name="Pictur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0A4A2226" wp14:editId="52AC70D8">
          <wp:simplePos x="0" y="0"/>
          <wp:positionH relativeFrom="page">
            <wp:posOffset>3911600</wp:posOffset>
          </wp:positionH>
          <wp:positionV relativeFrom="page">
            <wp:posOffset>10115550</wp:posOffset>
          </wp:positionV>
          <wp:extent cx="2603431" cy="224790"/>
          <wp:effectExtent l="0" t="0" r="6985" b="3810"/>
          <wp:wrapNone/>
          <wp:docPr id="1027" name="Picture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657EBFDF" wp14:editId="183C4673">
          <wp:simplePos x="0" y="0"/>
          <wp:positionH relativeFrom="page">
            <wp:posOffset>3911600</wp:posOffset>
          </wp:positionH>
          <wp:positionV relativeFrom="page">
            <wp:posOffset>10115550</wp:posOffset>
          </wp:positionV>
          <wp:extent cx="2603431" cy="224790"/>
          <wp:effectExtent l="0" t="0" r="6985" b="3810"/>
          <wp:wrapNone/>
          <wp:docPr id="1028"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78EF1C4E" wp14:editId="6ECA7B6A">
          <wp:simplePos x="0" y="0"/>
          <wp:positionH relativeFrom="page">
            <wp:posOffset>3911600</wp:posOffset>
          </wp:positionH>
          <wp:positionV relativeFrom="page">
            <wp:posOffset>10115550</wp:posOffset>
          </wp:positionV>
          <wp:extent cx="2603431" cy="224790"/>
          <wp:effectExtent l="0" t="0" r="6985" b="3810"/>
          <wp:wrapNone/>
          <wp:docPr id="1029" name="Picture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477BEB37" wp14:editId="14D12780">
          <wp:simplePos x="0" y="0"/>
          <wp:positionH relativeFrom="page">
            <wp:posOffset>3911600</wp:posOffset>
          </wp:positionH>
          <wp:positionV relativeFrom="page">
            <wp:posOffset>10115550</wp:posOffset>
          </wp:positionV>
          <wp:extent cx="2603431" cy="224790"/>
          <wp:effectExtent l="0" t="0" r="6985" b="3810"/>
          <wp:wrapNone/>
          <wp:docPr id="1030"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250F9D69" wp14:editId="04A3E877">
          <wp:simplePos x="0" y="0"/>
          <wp:positionH relativeFrom="page">
            <wp:posOffset>3911600</wp:posOffset>
          </wp:positionH>
          <wp:positionV relativeFrom="page">
            <wp:posOffset>10115550</wp:posOffset>
          </wp:positionV>
          <wp:extent cx="2603431" cy="224790"/>
          <wp:effectExtent l="0" t="0" r="6985" b="381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0A4A2226" wp14:editId="4C18D020">
          <wp:simplePos x="0" y="0"/>
          <wp:positionH relativeFrom="page">
            <wp:posOffset>3911600</wp:posOffset>
          </wp:positionH>
          <wp:positionV relativeFrom="page">
            <wp:posOffset>10115550</wp:posOffset>
          </wp:positionV>
          <wp:extent cx="2603431" cy="224790"/>
          <wp:effectExtent l="0" t="0" r="6985" b="381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657EBFDF" wp14:editId="665CE234">
          <wp:simplePos x="0" y="0"/>
          <wp:positionH relativeFrom="page">
            <wp:posOffset>3911600</wp:posOffset>
          </wp:positionH>
          <wp:positionV relativeFrom="page">
            <wp:posOffset>10115550</wp:posOffset>
          </wp:positionV>
          <wp:extent cx="2603431" cy="224790"/>
          <wp:effectExtent l="0" t="0" r="6985" b="381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78EF1C4E" wp14:editId="7DB4633B">
          <wp:simplePos x="0" y="0"/>
          <wp:positionH relativeFrom="page">
            <wp:posOffset>3911600</wp:posOffset>
          </wp:positionH>
          <wp:positionV relativeFrom="page">
            <wp:posOffset>10115550</wp:posOffset>
          </wp:positionV>
          <wp:extent cx="2603431" cy="224790"/>
          <wp:effectExtent l="0" t="0" r="6985" b="381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477BEB37" wp14:editId="438E2A1F">
          <wp:simplePos x="0" y="0"/>
          <wp:positionH relativeFrom="page">
            <wp:posOffset>3911600</wp:posOffset>
          </wp:positionH>
          <wp:positionV relativeFrom="page">
            <wp:posOffset>10115550</wp:posOffset>
          </wp:positionV>
          <wp:extent cx="2603431" cy="224790"/>
          <wp:effectExtent l="0" t="0" r="6985" b="3810"/>
          <wp:wrapNone/>
          <wp:docPr id="1024" name="Picture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250F9D69" wp14:editId="534D00BA">
          <wp:simplePos x="0" y="0"/>
          <wp:positionH relativeFrom="page">
            <wp:posOffset>3911600</wp:posOffset>
          </wp:positionH>
          <wp:positionV relativeFrom="page">
            <wp:posOffset>10115550</wp:posOffset>
          </wp:positionV>
          <wp:extent cx="2603431" cy="224790"/>
          <wp:effectExtent l="0" t="0" r="6985" b="3810"/>
          <wp:wrapNone/>
          <wp:docPr id="1077" name="Picture 1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0A4A2226" wp14:editId="4DD8CE6C">
          <wp:simplePos x="0" y="0"/>
          <wp:positionH relativeFrom="page">
            <wp:posOffset>3911600</wp:posOffset>
          </wp:positionH>
          <wp:positionV relativeFrom="page">
            <wp:posOffset>10115550</wp:posOffset>
          </wp:positionV>
          <wp:extent cx="2603431" cy="224790"/>
          <wp:effectExtent l="0" t="0" r="6985" b="3810"/>
          <wp:wrapNone/>
          <wp:docPr id="1076" name="Picture 1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107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657EBFDF" wp14:editId="734371C4">
          <wp:simplePos x="0" y="0"/>
          <wp:positionH relativeFrom="page">
            <wp:posOffset>3911600</wp:posOffset>
          </wp:positionH>
          <wp:positionV relativeFrom="page">
            <wp:posOffset>10115550</wp:posOffset>
          </wp:positionV>
          <wp:extent cx="2603431" cy="224790"/>
          <wp:effectExtent l="0" t="0" r="6985" b="3810"/>
          <wp:wrapNone/>
          <wp:docPr id="1031" name="Picture 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78EF1C4E" wp14:editId="166C8A1C">
          <wp:simplePos x="0" y="0"/>
          <wp:positionH relativeFrom="page">
            <wp:posOffset>3911600</wp:posOffset>
          </wp:positionH>
          <wp:positionV relativeFrom="page">
            <wp:posOffset>10115550</wp:posOffset>
          </wp:positionV>
          <wp:extent cx="2603431" cy="224790"/>
          <wp:effectExtent l="0" t="0" r="6985" b="381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77BEB37" wp14:editId="6829A461">
          <wp:simplePos x="0" y="0"/>
          <wp:positionH relativeFrom="page">
            <wp:posOffset>3911600</wp:posOffset>
          </wp:positionH>
          <wp:positionV relativeFrom="page">
            <wp:posOffset>10115550</wp:posOffset>
          </wp:positionV>
          <wp:extent cx="2603431" cy="224790"/>
          <wp:effectExtent l="0" t="0" r="6985"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3933" t="-20409" b="1"/>
                  <a:stretch/>
                </pic:blipFill>
                <pic:spPr bwMode="auto">
                  <a:xfrm>
                    <a:off x="0" y="0"/>
                    <a:ext cx="2606973" cy="225096"/>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6D54A" w14:textId="72EFBCF8" w:rsidR="00263CDB" w:rsidRPr="005A0B3D" w:rsidRDefault="00263CDB" w:rsidP="005A0B3D">
    <w:pPr>
      <w:pStyle w:val="FooterPortrait"/>
      <w:framePr w:wrap="around"/>
      <w:spacing w:before="240"/>
      <w:rPr>
        <w:rFonts w:ascii="Arial Narrow" w:hAnsi="Arial Narrow"/>
        <w:sz w:val="24"/>
        <w:szCs w:val="32"/>
      </w:rPr>
    </w:pPr>
    <w:r w:rsidRPr="005A0B3D">
      <w:rPr>
        <w:rStyle w:val="PageNumber"/>
        <w:rFonts w:ascii="Arial Narrow" w:hAnsi="Arial Narrow"/>
        <w:sz w:val="24"/>
        <w:szCs w:val="32"/>
      </w:rPr>
      <w:t>GL Hearn</w:t>
    </w:r>
    <w:r w:rsidRPr="005A0B3D">
      <w:rPr>
        <w:rStyle w:val="PageNumber"/>
        <w:rFonts w:ascii="Arial Narrow" w:hAnsi="Arial Narrow"/>
        <w:sz w:val="24"/>
        <w:szCs w:val="32"/>
      </w:rPr>
      <w:tab/>
    </w:r>
    <w:r w:rsidRPr="005A0B3D">
      <w:rPr>
        <w:rFonts w:ascii="Arial Narrow" w:hAnsi="Arial Narrow"/>
        <w:sz w:val="24"/>
        <w:szCs w:val="32"/>
      </w:rPr>
      <w:t xml:space="preserve">Page </w:t>
    </w:r>
    <w:r w:rsidRPr="005A0B3D">
      <w:rPr>
        <w:rFonts w:ascii="Arial Narrow" w:hAnsi="Arial Narrow"/>
        <w:sz w:val="24"/>
        <w:szCs w:val="32"/>
      </w:rPr>
      <w:fldChar w:fldCharType="begin"/>
    </w:r>
    <w:r w:rsidRPr="005A0B3D">
      <w:rPr>
        <w:rFonts w:ascii="Arial Narrow" w:hAnsi="Arial Narrow"/>
        <w:sz w:val="24"/>
        <w:szCs w:val="32"/>
      </w:rPr>
      <w:instrText xml:space="preserve"> PAGE </w:instrText>
    </w:r>
    <w:r w:rsidRPr="005A0B3D">
      <w:rPr>
        <w:rFonts w:ascii="Arial Narrow" w:hAnsi="Arial Narrow"/>
        <w:sz w:val="24"/>
        <w:szCs w:val="32"/>
      </w:rPr>
      <w:fldChar w:fldCharType="separate"/>
    </w:r>
    <w:r w:rsidRPr="005A0B3D">
      <w:rPr>
        <w:rFonts w:ascii="Arial Narrow" w:hAnsi="Arial Narrow"/>
        <w:noProof/>
        <w:sz w:val="24"/>
        <w:szCs w:val="32"/>
      </w:rPr>
      <w:t>3</w:t>
    </w:r>
    <w:r w:rsidRPr="005A0B3D">
      <w:rPr>
        <w:rFonts w:ascii="Arial Narrow" w:hAnsi="Arial Narrow"/>
        <w:sz w:val="24"/>
        <w:szCs w:val="32"/>
      </w:rPr>
      <w:fldChar w:fldCharType="end"/>
    </w:r>
    <w:r w:rsidRPr="005A0B3D">
      <w:rPr>
        <w:rFonts w:ascii="Arial Narrow" w:hAnsi="Arial Narrow"/>
        <w:sz w:val="24"/>
        <w:szCs w:val="32"/>
      </w:rPr>
      <w:t xml:space="preserve"> of </w:t>
    </w:r>
    <w:r w:rsidRPr="005A0B3D">
      <w:rPr>
        <w:rFonts w:ascii="Arial Narrow" w:hAnsi="Arial Narrow"/>
        <w:sz w:val="24"/>
        <w:szCs w:val="32"/>
      </w:rPr>
      <w:fldChar w:fldCharType="begin"/>
    </w:r>
    <w:r w:rsidRPr="005A0B3D">
      <w:rPr>
        <w:rFonts w:ascii="Arial Narrow" w:hAnsi="Arial Narrow"/>
        <w:sz w:val="24"/>
        <w:szCs w:val="32"/>
      </w:rPr>
      <w:instrText xml:space="preserve"> NUMPAGES </w:instrText>
    </w:r>
    <w:r w:rsidRPr="005A0B3D">
      <w:rPr>
        <w:rFonts w:ascii="Arial Narrow" w:hAnsi="Arial Narrow"/>
        <w:sz w:val="24"/>
        <w:szCs w:val="32"/>
      </w:rPr>
      <w:fldChar w:fldCharType="separate"/>
    </w:r>
    <w:r w:rsidRPr="005A0B3D">
      <w:rPr>
        <w:rFonts w:ascii="Arial Narrow" w:hAnsi="Arial Narrow"/>
        <w:noProof/>
        <w:sz w:val="24"/>
        <w:szCs w:val="32"/>
      </w:rPr>
      <w:t>247</w:t>
    </w:r>
    <w:r w:rsidRPr="005A0B3D">
      <w:rPr>
        <w:rFonts w:ascii="Arial Narrow" w:hAnsi="Arial Narrow"/>
        <w:sz w:val="24"/>
        <w:szCs w:val="32"/>
      </w:rPr>
      <w:fldChar w:fldCharType="end"/>
    </w:r>
  </w:p>
  <w:p w14:paraId="7888489D" w14:textId="77777777" w:rsidR="00263CDB" w:rsidRDefault="00263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26C69" w14:textId="77777777" w:rsidR="00263CDB" w:rsidRDefault="00263CDB" w:rsidP="005D7DE1">
      <w:r>
        <w:separator/>
      </w:r>
    </w:p>
  </w:footnote>
  <w:footnote w:type="continuationSeparator" w:id="0">
    <w:p w14:paraId="394BA989" w14:textId="77777777" w:rsidR="00263CDB" w:rsidRDefault="00263CDB" w:rsidP="005D7DE1">
      <w:r>
        <w:continuationSeparator/>
      </w:r>
    </w:p>
  </w:footnote>
  <w:footnote w:type="continuationNotice" w:id="1">
    <w:p w14:paraId="57CBF7E1" w14:textId="77777777" w:rsidR="00263CDB" w:rsidRDefault="00263CDB"/>
  </w:footnote>
  <w:footnote w:id="2">
    <w:p w14:paraId="0C00CE95" w14:textId="7BA953E1" w:rsidR="00263CDB" w:rsidRDefault="00263CDB">
      <w:pPr>
        <w:pStyle w:val="FootnoteText"/>
      </w:pPr>
      <w:r>
        <w:rPr>
          <w:rStyle w:val="FootnoteReference"/>
        </w:rPr>
        <w:footnoteRef/>
      </w:r>
      <w:r>
        <w:t xml:space="preserve"> </w:t>
      </w:r>
      <w:r w:rsidRPr="00972A9E">
        <w:rPr>
          <w:rFonts w:ascii="Arial Narrow" w:hAnsi="Arial Narrow"/>
          <w:sz w:val="24"/>
          <w:szCs w:val="24"/>
        </w:rPr>
        <w:t>Major development is defined by the NPPF as "For housing, development where 10 or more homes will be provided, or the site has an area of 0.5 hectares or more."</w:t>
      </w:r>
    </w:p>
  </w:footnote>
  <w:footnote w:id="3">
    <w:p w14:paraId="081A8D03" w14:textId="77777777" w:rsidR="00263CDB" w:rsidRPr="00B74A73" w:rsidRDefault="00263CDB" w:rsidP="00E07D1C">
      <w:pPr>
        <w:pStyle w:val="FootnoteText"/>
        <w:rPr>
          <w:rFonts w:ascii="Arial Narrow" w:hAnsi="Arial Narrow"/>
          <w:sz w:val="24"/>
          <w:szCs w:val="24"/>
        </w:rPr>
      </w:pPr>
      <w:r w:rsidRPr="00B74A73">
        <w:rPr>
          <w:rStyle w:val="FootnoteReference"/>
          <w:rFonts w:ascii="Arial Narrow" w:hAnsi="Arial Narrow"/>
          <w:sz w:val="24"/>
          <w:szCs w:val="24"/>
        </w:rPr>
        <w:footnoteRef/>
      </w:r>
      <w:r w:rsidRPr="00B74A73">
        <w:rPr>
          <w:rFonts w:ascii="Arial Narrow" w:hAnsi="Arial Narrow"/>
          <w:sz w:val="24"/>
          <w:szCs w:val="24"/>
        </w:rPr>
        <w:t xml:space="preserve"> PPG (Housing and economic needs assessment) Para: 2a-039 </w:t>
      </w:r>
    </w:p>
  </w:footnote>
  <w:footnote w:id="4">
    <w:p w14:paraId="7DA0555F" w14:textId="77777777" w:rsidR="00263CDB" w:rsidRDefault="00263CDB" w:rsidP="00E07D1C">
      <w:pPr>
        <w:pStyle w:val="FootnoteText"/>
      </w:pPr>
      <w:r w:rsidRPr="00B74A73">
        <w:rPr>
          <w:rStyle w:val="FootnoteReference"/>
          <w:rFonts w:ascii="Arial Narrow" w:hAnsi="Arial Narrow"/>
          <w:sz w:val="24"/>
          <w:szCs w:val="24"/>
        </w:rPr>
        <w:footnoteRef/>
      </w:r>
      <w:r w:rsidRPr="00B74A73">
        <w:rPr>
          <w:rFonts w:ascii="Arial Narrow" w:hAnsi="Arial Narrow"/>
          <w:sz w:val="24"/>
          <w:szCs w:val="24"/>
        </w:rPr>
        <w:t xml:space="preserve"> </w:t>
      </w:r>
      <w:hyperlink r:id="rId1" w:history="1">
        <w:r w:rsidRPr="004D5A5B">
          <w:rPr>
            <w:rStyle w:val="Hyperlink"/>
            <w:rFonts w:ascii="Arial Narrow" w:hAnsi="Arial Narrow"/>
            <w:color w:val="auto"/>
            <w:sz w:val="24"/>
            <w:szCs w:val="24"/>
          </w:rPr>
          <w:t>https://www.ons.gov.uk/peoplepopulationandcommunity/housing/adhocs/13107housepricetoworkplacebasedearningsratioforformerlocalauthorities2019to2020</w:t>
        </w:r>
      </w:hyperlink>
      <w:r w:rsidRPr="00B74A73">
        <w:rPr>
          <w:sz w:val="24"/>
          <w:szCs w:val="24"/>
        </w:rPr>
        <w:t xml:space="preserve"> </w:t>
      </w:r>
    </w:p>
  </w:footnote>
  <w:footnote w:id="5">
    <w:p w14:paraId="269A69F3" w14:textId="77777777" w:rsidR="00263CDB" w:rsidRPr="00B74A73" w:rsidRDefault="00263CDB" w:rsidP="005B0328">
      <w:pPr>
        <w:pStyle w:val="FootnoteText"/>
        <w:rPr>
          <w:rFonts w:ascii="Arial Narrow" w:hAnsi="Arial Narrow"/>
          <w:sz w:val="24"/>
          <w:szCs w:val="24"/>
        </w:rPr>
      </w:pPr>
      <w:r w:rsidRPr="00B74A73">
        <w:rPr>
          <w:rStyle w:val="FootnoteReference"/>
          <w:rFonts w:ascii="Arial Narrow" w:hAnsi="Arial Narrow"/>
          <w:color w:val="auto"/>
          <w:sz w:val="24"/>
          <w:szCs w:val="24"/>
        </w:rPr>
        <w:footnoteRef/>
      </w:r>
      <w:r w:rsidRPr="00B74A73">
        <w:rPr>
          <w:rFonts w:ascii="Arial Narrow" w:hAnsi="Arial Narrow"/>
          <w:color w:val="auto"/>
          <w:sz w:val="24"/>
          <w:szCs w:val="24"/>
        </w:rPr>
        <w:t xml:space="preserve"> Available at: </w:t>
      </w:r>
      <w:hyperlink r:id="rId2" w:history="1">
        <w:r w:rsidRPr="00B74A73">
          <w:rPr>
            <w:rFonts w:ascii="Arial Narrow" w:hAnsi="Arial Narrow"/>
            <w:color w:val="auto"/>
            <w:sz w:val="24"/>
            <w:szCs w:val="24"/>
            <w:u w:val="single"/>
          </w:rPr>
          <w:t>https://www.gov.uk/guidance/housing-and-economic-development-needs-assessments</w:t>
        </w:r>
      </w:hyperlink>
      <w:r w:rsidRPr="00B74A73">
        <w:rPr>
          <w:rFonts w:ascii="Arial Narrow" w:hAnsi="Arial Narrow"/>
          <w:color w:val="auto"/>
          <w:sz w:val="24"/>
          <w:szCs w:val="24"/>
        </w:rPr>
        <w:t xml:space="preserve"> (Last accessed 20/01/20)</w:t>
      </w:r>
    </w:p>
  </w:footnote>
  <w:footnote w:id="6">
    <w:p w14:paraId="0CDF4754" w14:textId="77777777" w:rsidR="00263CDB" w:rsidRDefault="00263CDB">
      <w:pPr>
        <w:pStyle w:val="FootnoteText"/>
      </w:pPr>
      <w:r>
        <w:rPr>
          <w:rStyle w:val="FootnoteReference"/>
        </w:rPr>
        <w:footnoteRef/>
      </w:r>
      <w:r>
        <w:t xml:space="preserve"> March 2019 position</w:t>
      </w:r>
    </w:p>
  </w:footnote>
  <w:footnote w:id="7">
    <w:p w14:paraId="45C8EC4A" w14:textId="77777777" w:rsidR="00263CDB" w:rsidRDefault="00263CDB" w:rsidP="00A13819">
      <w:pPr>
        <w:pStyle w:val="FootnoteText"/>
        <w:rPr>
          <w:sz w:val="18"/>
          <w:szCs w:val="18"/>
        </w:rPr>
      </w:pPr>
      <w:r>
        <w:rPr>
          <w:rStyle w:val="FootnoteReference"/>
          <w:sz w:val="18"/>
        </w:rPr>
        <w:footnoteRef/>
      </w:r>
      <w:r>
        <w:rPr>
          <w:sz w:val="18"/>
          <w:szCs w:val="18"/>
        </w:rPr>
        <w:t xml:space="preserve"> Housing and economic needs assessment Paragraph: 004 Reference ID: 2a-004-20190220, Step 1, available at: </w:t>
      </w:r>
      <w:hyperlink r:id="rId3" w:history="1">
        <w:r>
          <w:rPr>
            <w:rStyle w:val="Hyperlink"/>
            <w:color w:val="0000FF"/>
          </w:rPr>
          <w:t>https://www.gov.uk/guidance/housing-and-economic-development-needs-assessments</w:t>
        </w:r>
      </w:hyperlink>
      <w:r>
        <w:rPr>
          <w:sz w:val="18"/>
          <w:szCs w:val="18"/>
        </w:rPr>
        <w:t xml:space="preserve"> (Last Accessed 15/01/20)</w:t>
      </w:r>
    </w:p>
  </w:footnote>
  <w:footnote w:id="8">
    <w:p w14:paraId="481DAEF8" w14:textId="77777777" w:rsidR="00263CDB" w:rsidRDefault="00263CDB" w:rsidP="00A13819">
      <w:pPr>
        <w:pStyle w:val="FootnoteText"/>
        <w:rPr>
          <w:sz w:val="18"/>
          <w:szCs w:val="18"/>
        </w:rPr>
      </w:pPr>
      <w:r>
        <w:rPr>
          <w:rStyle w:val="FootnoteReference"/>
          <w:sz w:val="18"/>
        </w:rPr>
        <w:footnoteRef/>
      </w:r>
      <w:r>
        <w:rPr>
          <w:sz w:val="18"/>
          <w:szCs w:val="18"/>
        </w:rPr>
        <w:t xml:space="preserve"> Available at: </w:t>
      </w:r>
      <w:hyperlink r:id="rId4" w:history="1">
        <w:r>
          <w:rPr>
            <w:rStyle w:val="Hyperlink"/>
            <w:color w:val="0000FF"/>
            <w:sz w:val="18"/>
            <w:szCs w:val="18"/>
          </w:rPr>
          <w:t>https://www.ons.gov.uk/peoplepopulationandcommunity/housing/datasets/ratioofhousepricetoworkplacebasedearningslowerquartileandmedian</w:t>
        </w:r>
      </w:hyperlink>
      <w:r>
        <w:rPr>
          <w:sz w:val="18"/>
          <w:szCs w:val="18"/>
        </w:rPr>
        <w:t xml:space="preserve"> (Last Accessed 15/01/20) In line with paragraph 004 Ref ID: 2a-004-20190220 the most recent median workplace-based affordability ratio should be used. Where the Local Plan is submitted for examination after new MWAR have been submitted, the LHNF will need to up-dated to reflect the new data.</w:t>
      </w:r>
    </w:p>
  </w:footnote>
  <w:footnote w:id="9">
    <w:p w14:paraId="1661B7AD" w14:textId="74E2E33E" w:rsidR="00263CDB" w:rsidRDefault="00263CDB">
      <w:pPr>
        <w:pStyle w:val="FootnoteText"/>
      </w:pPr>
      <w:r>
        <w:rPr>
          <w:rStyle w:val="FootnoteReference"/>
        </w:rPr>
        <w:footnoteRef/>
      </w:r>
      <w:r>
        <w:t xml:space="preserve"> </w:t>
      </w:r>
    </w:p>
  </w:footnote>
  <w:footnote w:id="10">
    <w:p w14:paraId="378ABAE5" w14:textId="1D0CBA08" w:rsidR="00263CDB" w:rsidRPr="00D222DD" w:rsidRDefault="00263CDB">
      <w:pPr>
        <w:pStyle w:val="FootnoteText"/>
        <w:rPr>
          <w:rFonts w:ascii="Arial Narrow" w:hAnsi="Arial Narrow"/>
        </w:rPr>
      </w:pPr>
      <w:r w:rsidRPr="00D222DD">
        <w:rPr>
          <w:rStyle w:val="FootnoteReference"/>
          <w:rFonts w:ascii="Arial Narrow" w:hAnsi="Arial Narrow"/>
        </w:rPr>
        <w:footnoteRef/>
      </w:r>
      <w:r w:rsidRPr="00D222DD">
        <w:rPr>
          <w:rFonts w:ascii="Arial Narrow" w:hAnsi="Arial Narrow"/>
        </w:rPr>
        <w:t xml:space="preserve"> </w:t>
      </w:r>
      <w:r w:rsidRPr="00D222DD">
        <w:rPr>
          <w:rFonts w:ascii="Arial Narrow" w:hAnsi="Arial Narrow"/>
          <w:sz w:val="24"/>
          <w:szCs w:val="24"/>
        </w:rPr>
        <w:t xml:space="preserve">The figures in this table do not tally with those set out in the Indicative Housing Need Table published by HMCLG. This is due to the timing of when this document was drafted. </w:t>
      </w:r>
    </w:p>
  </w:footnote>
  <w:footnote w:id="11">
    <w:p w14:paraId="44ED27D9" w14:textId="77777777" w:rsidR="00263CDB" w:rsidRDefault="00263CDB" w:rsidP="00A13819">
      <w:pPr>
        <w:pStyle w:val="FootnoteText"/>
      </w:pPr>
      <w:r>
        <w:rPr>
          <w:rStyle w:val="FootnoteReference"/>
        </w:rPr>
        <w:footnoteRef/>
      </w:r>
      <w:r>
        <w:t xml:space="preserve"> </w:t>
      </w:r>
      <w:r>
        <w:rPr>
          <w:sz w:val="16"/>
          <w:szCs w:val="16"/>
        </w:rPr>
        <w:t xml:space="preserve">The Local Plans Expert Group (LPEG) was established in October 2015 by the Minister of State for Planning and Housing in response to the slow pace of plan-making across England. LPEG was tasked with producing recommendations on how to streamline the process, and if </w:t>
      </w:r>
      <w:proofErr w:type="gramStart"/>
      <w:r>
        <w:rPr>
          <w:sz w:val="16"/>
          <w:szCs w:val="16"/>
        </w:rPr>
        <w:t>possible</w:t>
      </w:r>
      <w:proofErr w:type="gramEnd"/>
      <w:r>
        <w:rPr>
          <w:sz w:val="16"/>
          <w:szCs w:val="16"/>
        </w:rPr>
        <w:t xml:space="preserve"> reduce the amount of time it takes for councils to get plans in place. Their </w:t>
      </w:r>
      <w:hyperlink r:id="rId5" w:history="1">
        <w:r w:rsidRPr="004D5A5B">
          <w:rPr>
            <w:rStyle w:val="Hyperlink"/>
            <w:color w:val="auto"/>
            <w:sz w:val="16"/>
            <w:szCs w:val="16"/>
          </w:rPr>
          <w:t>report</w:t>
        </w:r>
      </w:hyperlink>
      <w:r>
        <w:rPr>
          <w:sz w:val="16"/>
          <w:szCs w:val="16"/>
        </w:rPr>
        <w:t xml:space="preserve"> was issued to the Government in March 2016. </w:t>
      </w:r>
    </w:p>
  </w:footnote>
  <w:footnote w:id="12">
    <w:p w14:paraId="591E894C" w14:textId="77777777" w:rsidR="00263CDB" w:rsidRDefault="00263CDB" w:rsidP="00A13819">
      <w:pPr>
        <w:pStyle w:val="FootnoteText"/>
      </w:pPr>
      <w:r>
        <w:rPr>
          <w:rStyle w:val="FootnoteReference"/>
        </w:rPr>
        <w:footnoteRef/>
      </w:r>
      <w:r>
        <w:t xml:space="preserve"> https://cambridgeshireinsight.org.uk/population/population-forecasts/?geographyId=3f57b11095784e27969369a52f7854ef&amp;featureId=E05002702</w:t>
      </w:r>
    </w:p>
  </w:footnote>
  <w:footnote w:id="13">
    <w:p w14:paraId="0996F829" w14:textId="77777777" w:rsidR="00263CDB" w:rsidRPr="00A441BA" w:rsidRDefault="00263CDB" w:rsidP="00A13819">
      <w:pPr>
        <w:pStyle w:val="FootnoteText"/>
        <w:rPr>
          <w:rFonts w:ascii="Arial Narrow" w:hAnsi="Arial Narrow"/>
        </w:rPr>
      </w:pPr>
      <w:r w:rsidRPr="00A441BA">
        <w:rPr>
          <w:rStyle w:val="FootnoteReference"/>
          <w:rFonts w:ascii="Arial Narrow" w:hAnsi="Arial Narrow"/>
          <w:sz w:val="24"/>
          <w:szCs w:val="24"/>
        </w:rPr>
        <w:footnoteRef/>
      </w:r>
      <w:r w:rsidRPr="00A441BA">
        <w:rPr>
          <w:rFonts w:ascii="Arial Narrow" w:hAnsi="Arial Narrow"/>
          <w:sz w:val="24"/>
          <w:szCs w:val="24"/>
        </w:rPr>
        <w:t xml:space="preserve"> https://www.gov.uk/government/publications/strategic-housing-market-assessments-practice-guidance</w:t>
      </w:r>
    </w:p>
  </w:footnote>
  <w:footnote w:id="14">
    <w:p w14:paraId="7FBAE9FF" w14:textId="77777777" w:rsidR="00263CDB" w:rsidRDefault="00263CDB" w:rsidP="00A13819">
      <w:pPr>
        <w:pStyle w:val="FootnoteText"/>
      </w:pPr>
      <w:r>
        <w:rPr>
          <w:rStyle w:val="FootnoteReference"/>
        </w:rPr>
        <w:footnoteRef/>
      </w:r>
      <w:r>
        <w:t xml:space="preserve"> The</w:t>
      </w:r>
      <w:r w:rsidRPr="00D046D6">
        <w:t xml:space="preserve"> Council's housing registers are not </w:t>
      </w:r>
      <w:r>
        <w:t xml:space="preserve">used </w:t>
      </w:r>
      <w:r w:rsidRPr="00D046D6">
        <w:t>in arriving at affordable housing need</w:t>
      </w:r>
      <w:r>
        <w:t xml:space="preserve"> as they are not consistently </w:t>
      </w:r>
      <w:r w:rsidRPr="00D046D6">
        <w:t>assembled</w:t>
      </w:r>
      <w:r>
        <w:t>. They may not</w:t>
      </w:r>
      <w:r w:rsidRPr="00D046D6">
        <w:t xml:space="preserve"> show the true extent of the need </w:t>
      </w:r>
      <w:r>
        <w:t xml:space="preserve">as households may fail to enter it or may be unable to do so due to </w:t>
      </w:r>
      <w:r w:rsidRPr="00D046D6">
        <w:t>restrictions.</w:t>
      </w:r>
    </w:p>
  </w:footnote>
  <w:footnote w:id="15">
    <w:p w14:paraId="40AFE92D" w14:textId="1225ACA5" w:rsidR="00263CDB" w:rsidRDefault="00263CDB" w:rsidP="00A13819">
      <w:pPr>
        <w:pStyle w:val="FootnoteText"/>
      </w:pPr>
      <w:r>
        <w:rPr>
          <w:rStyle w:val="FootnoteReference"/>
        </w:rPr>
        <w:footnoteRef/>
      </w:r>
      <w:r>
        <w:t xml:space="preserve"> Continuous Recording of lettings system</w:t>
      </w:r>
    </w:p>
  </w:footnote>
  <w:footnote w:id="16">
    <w:p w14:paraId="379141D5" w14:textId="77777777" w:rsidR="00263CDB" w:rsidRDefault="00263CDB" w:rsidP="00A13819">
      <w:pPr>
        <w:pStyle w:val="FootnoteText"/>
      </w:pPr>
      <w:r>
        <w:rPr>
          <w:rStyle w:val="FootnoteReference"/>
        </w:rPr>
        <w:footnoteRef/>
      </w:r>
      <w:r>
        <w:t xml:space="preserve"> Three years is used to avoid single year data spikes that would be potentially misleading</w:t>
      </w:r>
    </w:p>
  </w:footnote>
  <w:footnote w:id="17">
    <w:p w14:paraId="5A976417" w14:textId="77777777" w:rsidR="00263CDB" w:rsidRDefault="00263CDB" w:rsidP="00A13819">
      <w:pPr>
        <w:pStyle w:val="FootnoteText"/>
      </w:pPr>
      <w:r>
        <w:rPr>
          <w:rStyle w:val="FootnoteReference"/>
        </w:rPr>
        <w:footnoteRef/>
      </w:r>
      <w:r>
        <w:t xml:space="preserve"> While this is true, it is worth noting that the Policy Statement for Rent for Social Housing (Feb 2019) states that Housing Providers should have regard to the local market context including the relevant Local Housing Allowance for the Broad Rental Market Area in which the property is located, when setting Affordable Rents.  </w:t>
      </w:r>
    </w:p>
  </w:footnote>
  <w:footnote w:id="18">
    <w:p w14:paraId="7CE7ACC7" w14:textId="77777777" w:rsidR="00263CDB" w:rsidRDefault="00263CDB" w:rsidP="00A13819">
      <w:pPr>
        <w:pStyle w:val="FootnoteText"/>
      </w:pPr>
      <w:r>
        <w:rPr>
          <w:rStyle w:val="FootnoteReference"/>
        </w:rPr>
        <w:footnoteRef/>
      </w:r>
      <w:r>
        <w:t xml:space="preserve"> Savills, Detailed affordability analysis, Cambridge and South Cambridgeshire, June 2017</w:t>
      </w:r>
    </w:p>
  </w:footnote>
  <w:footnote w:id="19">
    <w:p w14:paraId="5EDC5A1C" w14:textId="77777777" w:rsidR="00263CDB" w:rsidRDefault="00263CDB" w:rsidP="00A13819">
      <w:pPr>
        <w:pStyle w:val="FootnoteText"/>
      </w:pPr>
      <w:r>
        <w:rPr>
          <w:rStyle w:val="FootnoteReference"/>
        </w:rPr>
        <w:footnoteRef/>
      </w:r>
      <w:r>
        <w:t xml:space="preserve"> </w:t>
      </w:r>
      <w:r>
        <w:rPr>
          <w:sz w:val="16"/>
          <w:szCs w:val="16"/>
        </w:rPr>
        <w:t>This report assumes that discounted home ownership will be suitable for those households with an income in the top half of this group and Shared Ownership, which carries a greater level of subsidy, will be suitable for those in the bottom.</w:t>
      </w:r>
    </w:p>
  </w:footnote>
  <w:footnote w:id="20">
    <w:p w14:paraId="4679BBEA" w14:textId="77777777" w:rsidR="00263CDB" w:rsidRDefault="00263CDB" w:rsidP="00A13819">
      <w:pPr>
        <w:pStyle w:val="FootnoteText"/>
      </w:pPr>
      <w:r>
        <w:rPr>
          <w:rStyle w:val="FootnoteReference"/>
        </w:rPr>
        <w:footnoteRef/>
      </w:r>
      <w:r>
        <w:t xml:space="preserve"> There are current proposals which could see the minimum share reduced to as low as 10%.  This will only apply to homes funded through the affordable homes programme.</w:t>
      </w:r>
    </w:p>
  </w:footnote>
  <w:footnote w:id="21">
    <w:p w14:paraId="472ACE62" w14:textId="77777777" w:rsidR="00263CDB" w:rsidRDefault="00263CDB" w:rsidP="00A13819">
      <w:pPr>
        <w:pStyle w:val="FootnoteText"/>
      </w:pPr>
      <w:r>
        <w:rPr>
          <w:rStyle w:val="FootnoteReference"/>
        </w:rPr>
        <w:footnoteRef/>
      </w:r>
      <w:r>
        <w:t xml:space="preserve"> </w:t>
      </w:r>
      <w:r>
        <w:rPr>
          <w:sz w:val="16"/>
          <w:szCs w:val="16"/>
        </w:rPr>
        <w:t>First Homes getting you on the ladder, Design and delivery, Summary of responses to the consultation and the Government’s response</w:t>
      </w:r>
    </w:p>
  </w:footnote>
  <w:footnote w:id="22">
    <w:p w14:paraId="503C5F4A" w14:textId="77777777" w:rsidR="00263CDB" w:rsidRPr="0035381F" w:rsidRDefault="00263CDB" w:rsidP="00A13819">
      <w:pPr>
        <w:pStyle w:val="FootnoteText"/>
        <w:rPr>
          <w:rFonts w:ascii="Arial Narrow" w:hAnsi="Arial Narrow"/>
          <w:sz w:val="24"/>
          <w:szCs w:val="24"/>
        </w:rPr>
      </w:pPr>
      <w:r w:rsidRPr="0035381F">
        <w:rPr>
          <w:rStyle w:val="FootnoteReference"/>
          <w:rFonts w:ascii="Arial Narrow" w:hAnsi="Arial Narrow"/>
          <w:sz w:val="24"/>
          <w:szCs w:val="24"/>
        </w:rPr>
        <w:footnoteRef/>
      </w:r>
      <w:r w:rsidRPr="0035381F">
        <w:rPr>
          <w:rFonts w:ascii="Arial Narrow" w:hAnsi="Arial Narrow"/>
          <w:sz w:val="24"/>
          <w:szCs w:val="24"/>
        </w:rPr>
        <w:t xml:space="preserve"> Changes to the current planning system, Consultation on changes to planning policy and regulations, page 19</w:t>
      </w:r>
    </w:p>
  </w:footnote>
  <w:footnote w:id="23">
    <w:p w14:paraId="5976A9EE" w14:textId="77777777" w:rsidR="00263CDB" w:rsidRPr="0035381F" w:rsidRDefault="00263CDB" w:rsidP="00A6240C">
      <w:pPr>
        <w:pStyle w:val="FootnoteText"/>
        <w:rPr>
          <w:rFonts w:ascii="Arial Narrow" w:hAnsi="Arial Narrow"/>
          <w:sz w:val="24"/>
          <w:szCs w:val="24"/>
        </w:rPr>
      </w:pPr>
      <w:r w:rsidRPr="0035381F">
        <w:rPr>
          <w:rStyle w:val="FootnoteReference"/>
          <w:rFonts w:ascii="Arial Narrow" w:hAnsi="Arial Narrow"/>
          <w:sz w:val="24"/>
          <w:szCs w:val="24"/>
        </w:rPr>
        <w:footnoteRef/>
      </w:r>
      <w:r w:rsidRPr="0035381F">
        <w:rPr>
          <w:rFonts w:ascii="Arial Narrow" w:hAnsi="Arial Narrow"/>
          <w:sz w:val="24"/>
          <w:szCs w:val="24"/>
        </w:rPr>
        <w:t xml:space="preserve"> A dependent child is any person aged 0 to 15 in a household (whether or not in a family) or a person aged 16 to 18 in full-time education and living in a family with his or her parent(s) or grandparent(s). It does not include any people aged 16 to 18 who have a spouse, partner or child living in the household.</w:t>
      </w:r>
    </w:p>
  </w:footnote>
  <w:footnote w:id="24">
    <w:p w14:paraId="3861E4BB" w14:textId="77777777" w:rsidR="00263CDB" w:rsidRDefault="00263CDB" w:rsidP="00A6240C">
      <w:pPr>
        <w:pStyle w:val="FootnoteText"/>
        <w:rPr>
          <w:sz w:val="16"/>
          <w:szCs w:val="16"/>
        </w:rPr>
      </w:pPr>
      <w:r w:rsidRPr="0035381F">
        <w:rPr>
          <w:rStyle w:val="FootnoteReference"/>
          <w:rFonts w:ascii="Arial Narrow" w:hAnsi="Arial Narrow"/>
          <w:sz w:val="24"/>
          <w:szCs w:val="24"/>
        </w:rPr>
        <w:footnoteRef/>
      </w:r>
      <w:r w:rsidRPr="0035381F">
        <w:rPr>
          <w:rFonts w:ascii="Arial Narrow" w:hAnsi="Arial Narrow"/>
          <w:sz w:val="24"/>
          <w:szCs w:val="24"/>
        </w:rPr>
        <w:t xml:space="preserve"> Unrelated multi-person adult households </w:t>
      </w:r>
      <w:proofErr w:type="gramStart"/>
      <w:r w:rsidRPr="0035381F">
        <w:rPr>
          <w:rFonts w:ascii="Arial Narrow" w:hAnsi="Arial Narrow"/>
          <w:sz w:val="24"/>
          <w:szCs w:val="24"/>
        </w:rPr>
        <w:t>e.g.</w:t>
      </w:r>
      <w:proofErr w:type="gramEnd"/>
      <w:r w:rsidRPr="0035381F">
        <w:rPr>
          <w:rFonts w:ascii="Arial Narrow" w:hAnsi="Arial Narrow"/>
          <w:sz w:val="24"/>
          <w:szCs w:val="24"/>
        </w:rPr>
        <w:t xml:space="preserve"> house shares. HMOs</w:t>
      </w:r>
    </w:p>
  </w:footnote>
  <w:footnote w:id="25">
    <w:p w14:paraId="472EDEA2" w14:textId="77777777" w:rsidR="00263CDB" w:rsidRDefault="00263CDB" w:rsidP="0075717C"/>
  </w:footnote>
  <w:footnote w:id="26">
    <w:p w14:paraId="2E9E5800" w14:textId="77777777" w:rsidR="00263CDB" w:rsidRDefault="00263CDB" w:rsidP="00A6240C">
      <w:pPr>
        <w:pStyle w:val="FootnoteText"/>
      </w:pPr>
      <w:r>
        <w:rPr>
          <w:rStyle w:val="FootnoteReference"/>
        </w:rPr>
        <w:footnoteRef/>
      </w:r>
      <w:r>
        <w:t xml:space="preserve"> Non-dependent children are those living with their parent(s), and either aged 19 years or over, or aged 16 to 18 years who are not in full-time education or who have a spouse, partner or child living in the household. Non-dependent children are sometimes called adult children.</w:t>
      </w:r>
    </w:p>
  </w:footnote>
  <w:footnote w:id="27">
    <w:p w14:paraId="0BA2D5BD" w14:textId="77777777" w:rsidR="00263CDB" w:rsidRDefault="00263CDB" w:rsidP="00A6240C">
      <w:pPr>
        <w:pStyle w:val="FootnoteText"/>
        <w:rPr>
          <w:sz w:val="16"/>
          <w:szCs w:val="16"/>
        </w:rPr>
      </w:pPr>
      <w:r>
        <w:rPr>
          <w:rStyle w:val="FootnoteReference"/>
        </w:rPr>
        <w:footnoteRef/>
      </w:r>
      <w:r>
        <w:rPr>
          <w:sz w:val="16"/>
          <w:szCs w:val="16"/>
        </w:rPr>
        <w:t xml:space="preserve"> Often called the head of the household </w:t>
      </w:r>
    </w:p>
  </w:footnote>
  <w:footnote w:id="28">
    <w:p w14:paraId="00EE700E" w14:textId="77777777" w:rsidR="00263CDB" w:rsidRDefault="00263CDB" w:rsidP="00A6240C">
      <w:pPr>
        <w:pStyle w:val="FootnoteText"/>
      </w:pPr>
      <w:r>
        <w:rPr>
          <w:rStyle w:val="FootnoteReference"/>
        </w:rPr>
        <w:footnoteRef/>
      </w:r>
      <w:r>
        <w:t xml:space="preserve"> </w:t>
      </w:r>
      <w:r>
        <w:rPr>
          <w:sz w:val="16"/>
          <w:szCs w:val="16"/>
        </w:rPr>
        <w:t xml:space="preserve">The Social Sector Size Criteria (SSSC, sometimes referred to pejoratively as the “bedroom tax”) determines the amount of Housing Benefit or housing element of Universal Credit received by a household living in an affordable rent dwelling based on the number of people living there and their relationships and the number of bedrooms in the dwelling. The SSSC applies if the household has more bedrooms than is needed based on household composition and are of working age (people over 16 and under state pension age). </w:t>
      </w:r>
    </w:p>
  </w:footnote>
  <w:footnote w:id="29">
    <w:p w14:paraId="564D8BFF" w14:textId="77777777" w:rsidR="00263CDB" w:rsidRDefault="00263CDB" w:rsidP="00A6240C">
      <w:pPr>
        <w:pStyle w:val="FootnoteText"/>
      </w:pPr>
      <w:r>
        <w:rPr>
          <w:rStyle w:val="FootnoteReference"/>
        </w:rPr>
        <w:footnoteRef/>
      </w:r>
      <w:r>
        <w:t xml:space="preserve"> https://bit.ly/39BAdbq</w:t>
      </w:r>
    </w:p>
  </w:footnote>
  <w:footnote w:id="30">
    <w:p w14:paraId="78009757" w14:textId="77777777" w:rsidR="00263CDB" w:rsidRDefault="00263CDB" w:rsidP="00A6240C">
      <w:pPr>
        <w:pStyle w:val="FootnoteText"/>
        <w:rPr>
          <w:szCs w:val="16"/>
        </w:rPr>
      </w:pPr>
      <w:r>
        <w:rPr>
          <w:rStyle w:val="FootnoteReference"/>
        </w:rPr>
        <w:footnoteRef/>
      </w:r>
      <w:r>
        <w:rPr>
          <w:szCs w:val="16"/>
        </w:rPr>
        <w:t xml:space="preserve"> Drawn from Local Authority Housing Statistics (LAHS)</w:t>
      </w:r>
    </w:p>
  </w:footnote>
  <w:footnote w:id="31">
    <w:p w14:paraId="2CAB321C" w14:textId="77777777" w:rsidR="00263CDB" w:rsidRPr="00B92D2D" w:rsidRDefault="00263CDB" w:rsidP="00970D21">
      <w:pPr>
        <w:pStyle w:val="FootnoteText"/>
        <w:rPr>
          <w:color w:val="auto"/>
        </w:rPr>
      </w:pPr>
      <w:r>
        <w:rPr>
          <w:rStyle w:val="FootnoteReference"/>
        </w:rPr>
        <w:footnoteRef/>
      </w:r>
      <w:r>
        <w:t xml:space="preserve"> </w:t>
      </w:r>
      <w:hyperlink r:id="rId6" w:history="1">
        <w:r w:rsidRPr="00B92D2D">
          <w:rPr>
            <w:rStyle w:val="Hyperlink"/>
            <w:color w:val="auto"/>
          </w:rPr>
          <w:t>https://www.gov.uk/guidance/housing-needs-of-different-groups</w:t>
        </w:r>
      </w:hyperlink>
    </w:p>
  </w:footnote>
  <w:footnote w:id="32">
    <w:p w14:paraId="3EAE2155" w14:textId="77777777" w:rsidR="00263CDB" w:rsidRDefault="00263CDB" w:rsidP="00970D21">
      <w:pPr>
        <w:pStyle w:val="FootnoteText"/>
      </w:pPr>
      <w:r w:rsidRPr="00B92D2D">
        <w:rPr>
          <w:rStyle w:val="FootnoteReference"/>
          <w:color w:val="auto"/>
        </w:rPr>
        <w:footnoteRef/>
      </w:r>
      <w:r w:rsidRPr="00B92D2D">
        <w:rPr>
          <w:color w:val="auto"/>
        </w:rPr>
        <w:t xml:space="preserve"> </w:t>
      </w:r>
      <w:hyperlink r:id="rId7" w:history="1">
        <w:r w:rsidRPr="00B92D2D">
          <w:rPr>
            <w:rStyle w:val="Hyperlink"/>
            <w:color w:val="auto"/>
          </w:rPr>
          <w:t>https://www.gov.uk/guidance/housing-for-older-and-disabled-people</w:t>
        </w:r>
      </w:hyperlink>
    </w:p>
  </w:footnote>
  <w:footnote w:id="33">
    <w:p w14:paraId="39418675" w14:textId="77777777" w:rsidR="00263CDB" w:rsidRDefault="00263CDB" w:rsidP="00970D21">
      <w:pPr>
        <w:pStyle w:val="FootnoteText"/>
      </w:pPr>
      <w:r>
        <w:rPr>
          <w:rStyle w:val="FootnoteReference"/>
        </w:rPr>
        <w:footnoteRef/>
      </w:r>
      <w:r>
        <w:t xml:space="preserve"> </w:t>
      </w:r>
      <w:hyperlink r:id="rId8" w:history="1">
        <w:r w:rsidRPr="004D5A5B">
          <w:rPr>
            <w:rStyle w:val="Hyperlink"/>
            <w:color w:val="auto"/>
          </w:rPr>
          <w:t>http://www.housingcare.org/guides/item-retirement-villages.aspx</w:t>
        </w:r>
      </w:hyperlink>
    </w:p>
  </w:footnote>
  <w:footnote w:id="34">
    <w:p w14:paraId="21D00269" w14:textId="77777777" w:rsidR="00263CDB" w:rsidRDefault="00263CDB" w:rsidP="00970D21">
      <w:pPr>
        <w:pStyle w:val="FootnoteText"/>
        <w:rPr>
          <w:sz w:val="16"/>
          <w:szCs w:val="16"/>
        </w:rPr>
      </w:pPr>
      <w:r>
        <w:rPr>
          <w:rStyle w:val="FootnoteReference"/>
          <w:sz w:val="16"/>
          <w:szCs w:val="16"/>
        </w:rPr>
        <w:footnoteRef/>
      </w:r>
      <w:r>
        <w:rPr>
          <w:sz w:val="16"/>
          <w:szCs w:val="16"/>
        </w:rPr>
        <w:t xml:space="preserve"> www.gov.uk/government/publications/housing-delivery-test-measurement-rule-book</w:t>
      </w:r>
    </w:p>
  </w:footnote>
  <w:footnote w:id="35">
    <w:p w14:paraId="43F929B2" w14:textId="65078EA1" w:rsidR="00263CDB" w:rsidRDefault="00263CDB" w:rsidP="00970D21">
      <w:pPr>
        <w:pStyle w:val="Heading1"/>
        <w:numPr>
          <w:ilvl w:val="0"/>
          <w:numId w:val="0"/>
        </w:numPr>
        <w:shd w:val="clear" w:color="auto" w:fill="EAEAEA"/>
        <w:rPr>
          <w:rFonts w:ascii="Helvetica" w:eastAsia="Times New Roman" w:hAnsi="Helvetica" w:cs="Times New Roman"/>
          <w:b w:val="0"/>
          <w:bCs/>
          <w:color w:val="323132"/>
          <w:sz w:val="53"/>
          <w:szCs w:val="53"/>
          <w:lang w:eastAsia="en-GB"/>
        </w:rPr>
      </w:pPr>
      <w:r>
        <w:rPr>
          <w:rStyle w:val="FootnoteReference"/>
          <w:sz w:val="16"/>
          <w:szCs w:val="16"/>
        </w:rPr>
        <w:footnoteRef/>
      </w:r>
      <w:r>
        <w:rPr>
          <w:sz w:val="16"/>
          <w:szCs w:val="16"/>
        </w:rPr>
        <w:t xml:space="preserve"> </w:t>
      </w:r>
      <w:r>
        <w:rPr>
          <w:rFonts w:ascii="Arial" w:eastAsiaTheme="minorEastAsia" w:hAnsi="Arial" w:cs="Arial"/>
          <w:b w:val="0"/>
          <w:bCs/>
          <w:color w:val="000000" w:themeColor="text1"/>
          <w:sz w:val="16"/>
          <w:szCs w:val="16"/>
        </w:rPr>
        <w:t>This has been calculated by dividing the total number of adults living in all households by the total number of households in England. Source data is from the Census 2011 and is published by the Office for National Statistics. CT0774_2011 Census</w:t>
      </w:r>
    </w:p>
    <w:p w14:paraId="48C16A4E" w14:textId="77777777" w:rsidR="00263CDB" w:rsidRDefault="00263CDB" w:rsidP="00970D21">
      <w:pPr>
        <w:pStyle w:val="FootnoteText"/>
        <w:rPr>
          <w:sz w:val="16"/>
          <w:szCs w:val="16"/>
        </w:rPr>
      </w:pPr>
    </w:p>
  </w:footnote>
  <w:footnote w:id="36">
    <w:p w14:paraId="3F18079B" w14:textId="77777777" w:rsidR="00263CDB" w:rsidRDefault="00263CDB" w:rsidP="00970D21">
      <w:pPr>
        <w:pStyle w:val="FootnoteText"/>
      </w:pPr>
      <w:r>
        <w:rPr>
          <w:rStyle w:val="FootnoteReference"/>
        </w:rPr>
        <w:footnoteRef/>
      </w:r>
      <w:r>
        <w:t xml:space="preserve"> </w:t>
      </w:r>
      <w:hyperlink r:id="rId9" w:history="1">
        <w:r w:rsidRPr="00B92D2D">
          <w:rPr>
            <w:rStyle w:val="Hyperlink"/>
            <w:color w:val="auto"/>
          </w:rPr>
          <w:t>https://www.housingcare.org/downloads/housingcare/EAC%20data%20products%202017.pdf</w:t>
        </w:r>
      </w:hyperlink>
    </w:p>
  </w:footnote>
  <w:footnote w:id="37">
    <w:p w14:paraId="17E893E9" w14:textId="77777777" w:rsidR="00263CDB" w:rsidRDefault="00263CDB" w:rsidP="00970D21">
      <w:pPr>
        <w:pStyle w:val="FootnoteText"/>
      </w:pPr>
      <w:r>
        <w:rPr>
          <w:rStyle w:val="FootnoteReference"/>
        </w:rPr>
        <w:footnoteRef/>
      </w:r>
      <w:r>
        <w:t xml:space="preserve"> Ibid, page iii</w:t>
      </w:r>
    </w:p>
  </w:footnote>
  <w:footnote w:id="38">
    <w:p w14:paraId="507F19E0" w14:textId="77777777" w:rsidR="00263CDB" w:rsidRDefault="00263CDB" w:rsidP="00970D21">
      <w:pPr>
        <w:pStyle w:val="FootnoteText"/>
      </w:pPr>
      <w:r>
        <w:rPr>
          <w:rStyle w:val="FootnoteReference"/>
        </w:rPr>
        <w:footnoteRef/>
      </w:r>
      <w:r>
        <w:t xml:space="preserve"> Ibid, page iv</w:t>
      </w:r>
    </w:p>
  </w:footnote>
  <w:footnote w:id="39">
    <w:p w14:paraId="3710841C" w14:textId="77777777" w:rsidR="00263CDB" w:rsidRDefault="00263CDB" w:rsidP="00970D21">
      <w:pPr>
        <w:pStyle w:val="FootnoteText"/>
      </w:pPr>
      <w:r>
        <w:rPr>
          <w:rStyle w:val="FootnoteReference"/>
        </w:rPr>
        <w:footnoteRef/>
      </w:r>
      <w:r>
        <w:t xml:space="preserve"> </w:t>
      </w:r>
      <w:r>
        <w:rPr>
          <w:color w:val="202124"/>
          <w:sz w:val="16"/>
          <w:szCs w:val="16"/>
          <w:shd w:val="clear" w:color="auto" w:fill="FFFFFF"/>
        </w:rPr>
        <w:t>A long-term health problem or disability that limits a person's day-to-day activity, and has lasted, or is expected to last, at least 12 months.</w:t>
      </w:r>
    </w:p>
  </w:footnote>
  <w:footnote w:id="40">
    <w:p w14:paraId="65576478" w14:textId="77777777" w:rsidR="00263CDB" w:rsidRPr="0034275C" w:rsidRDefault="00263CDB" w:rsidP="0034275C">
      <w:pPr>
        <w:shd w:val="clear" w:color="auto" w:fill="FFFFFF"/>
        <w:spacing w:line="254" w:lineRule="atLeast"/>
        <w:rPr>
          <w:rFonts w:ascii="Arial Narrow" w:hAnsi="Arial Narrow"/>
          <w:color w:val="000000"/>
          <w:sz w:val="24"/>
          <w:szCs w:val="24"/>
        </w:rPr>
      </w:pPr>
      <w:r w:rsidRPr="0034275C">
        <w:rPr>
          <w:rStyle w:val="FootnoteReference"/>
          <w:rFonts w:ascii="Arial Narrow" w:hAnsi="Arial Narrow"/>
          <w:sz w:val="24"/>
          <w:szCs w:val="24"/>
        </w:rPr>
        <w:footnoteRef/>
      </w:r>
      <w:r w:rsidRPr="0034275C">
        <w:rPr>
          <w:rFonts w:ascii="Arial Narrow" w:hAnsi="Arial Narrow"/>
          <w:sz w:val="24"/>
          <w:szCs w:val="24"/>
        </w:rPr>
        <w:t xml:space="preserve"> </w:t>
      </w:r>
      <w:r w:rsidRPr="0034275C">
        <w:rPr>
          <w:rFonts w:ascii="Arial Narrow" w:hAnsi="Arial Narrow"/>
          <w:color w:val="000000"/>
          <w:sz w:val="24"/>
          <w:szCs w:val="24"/>
        </w:rPr>
        <w:t>M4(2): Accessible and adaptable dwellings. This requirement is met when a new dwelling provides reasonable provision for most people to access the dwelling and includes features that make it suitable for a range of potential occupants, including older people, individuals with reduced mobility and some wheelchair users.</w:t>
      </w:r>
    </w:p>
    <w:p w14:paraId="3A7FFF38" w14:textId="4CDF8B8E" w:rsidR="00263CDB" w:rsidRPr="0034275C" w:rsidRDefault="00263CDB" w:rsidP="0034275C">
      <w:pPr>
        <w:shd w:val="clear" w:color="auto" w:fill="FFFFFF"/>
        <w:spacing w:line="254" w:lineRule="atLeast"/>
        <w:rPr>
          <w:rFonts w:ascii="Arial Narrow" w:hAnsi="Arial Narrow"/>
          <w:color w:val="000000"/>
          <w:sz w:val="24"/>
          <w:szCs w:val="24"/>
        </w:rPr>
      </w:pPr>
      <w:r w:rsidRPr="0034275C">
        <w:rPr>
          <w:rFonts w:ascii="Arial Narrow" w:hAnsi="Arial Narrow"/>
          <w:color w:val="000000"/>
          <w:sz w:val="24"/>
          <w:szCs w:val="24"/>
        </w:rPr>
        <w:t>M4(3): Wheelchair user dwellings. This requirement is achieved when a new dwelling provides reasonable provisions for a wheelchair user to live in the dwelling and have the ability to use any outdoor space, </w:t>
      </w:r>
      <w:proofErr w:type="gramStart"/>
      <w:r w:rsidRPr="0034275C">
        <w:rPr>
          <w:rFonts w:ascii="Arial Narrow" w:hAnsi="Arial Narrow"/>
          <w:color w:val="000000"/>
          <w:sz w:val="24"/>
          <w:szCs w:val="24"/>
        </w:rPr>
        <w:t>parking</w:t>
      </w:r>
      <w:proofErr w:type="gramEnd"/>
      <w:r w:rsidRPr="0034275C">
        <w:rPr>
          <w:rFonts w:ascii="Arial Narrow" w:hAnsi="Arial Narrow"/>
          <w:color w:val="000000"/>
          <w:sz w:val="24"/>
          <w:szCs w:val="24"/>
        </w:rPr>
        <w:t> and communal facilities.</w:t>
      </w:r>
    </w:p>
  </w:footnote>
  <w:footnote w:id="41">
    <w:p w14:paraId="5B6EDBC9" w14:textId="77777777" w:rsidR="00263CDB" w:rsidRDefault="00263CDB" w:rsidP="0034275C">
      <w:pPr>
        <w:pStyle w:val="FootnoteText"/>
      </w:pPr>
      <w:r w:rsidRPr="0034275C">
        <w:rPr>
          <w:rStyle w:val="FootnoteReference"/>
          <w:rFonts w:ascii="Arial Narrow" w:hAnsi="Arial Narrow"/>
          <w:sz w:val="24"/>
          <w:szCs w:val="24"/>
        </w:rPr>
        <w:footnoteRef/>
      </w:r>
      <w:r w:rsidRPr="0034275C">
        <w:rPr>
          <w:rFonts w:ascii="Arial Narrow" w:hAnsi="Arial Narrow"/>
          <w:sz w:val="24"/>
          <w:szCs w:val="24"/>
        </w:rPr>
        <w:t xml:space="preserve"> </w:t>
      </w:r>
      <w:hyperlink r:id="rId10" w:history="1">
        <w:r w:rsidRPr="004D5A5B">
          <w:rPr>
            <w:rStyle w:val="Hyperlink"/>
            <w:rFonts w:ascii="Arial Narrow" w:hAnsi="Arial Narrow"/>
            <w:color w:val="auto"/>
            <w:sz w:val="24"/>
            <w:szCs w:val="24"/>
          </w:rPr>
          <w:t>https://assets.publishing.service.gov.uk/government/uploads/system/uploads/attachment_data/file/416475/150323_Guide_to_disability_data___final_web_version.pdf</w:t>
        </w:r>
      </w:hyperlink>
    </w:p>
  </w:footnote>
  <w:footnote w:id="42">
    <w:p w14:paraId="46F2A30F" w14:textId="77777777" w:rsidR="00263CDB" w:rsidRDefault="00263CDB" w:rsidP="00970D21">
      <w:pPr>
        <w:pStyle w:val="FootnoteText"/>
      </w:pPr>
      <w:r>
        <w:rPr>
          <w:rStyle w:val="FootnoteReference"/>
        </w:rPr>
        <w:footnoteRef/>
      </w:r>
      <w:r>
        <w:t xml:space="preserve"> Anyone renting from the Council or Registered Provider</w:t>
      </w:r>
    </w:p>
  </w:footnote>
  <w:footnote w:id="43">
    <w:p w14:paraId="656645A5" w14:textId="77777777" w:rsidR="00263CDB" w:rsidRDefault="00263CDB" w:rsidP="00970D21">
      <w:pPr>
        <w:pStyle w:val="FootnoteText"/>
      </w:pPr>
      <w:r>
        <w:rPr>
          <w:rStyle w:val="FootnoteReference"/>
        </w:rPr>
        <w:footnoteRef/>
      </w:r>
      <w:r>
        <w:t xml:space="preserve"> </w:t>
      </w:r>
      <w:hyperlink r:id="rId11" w:history="1">
        <w:r w:rsidRPr="000519C1">
          <w:rPr>
            <w:rStyle w:val="Hyperlink"/>
            <w:color w:val="auto"/>
          </w:rPr>
          <w:t>https://assets.publishing.service.gov.uk/government/uploads/system/uploads/attachment_data/file/353387/021c_Cost_Report_11th_Sept_2014_FINAL.pdf</w:t>
        </w:r>
      </w:hyperlink>
    </w:p>
  </w:footnote>
  <w:footnote w:id="44">
    <w:p w14:paraId="1F8ACAEC" w14:textId="77777777" w:rsidR="00263CDB" w:rsidRDefault="00263CDB" w:rsidP="00970D21">
      <w:pPr>
        <w:pStyle w:val="FootnoteText"/>
      </w:pPr>
      <w:r>
        <w:rPr>
          <w:rStyle w:val="FootnoteReference"/>
        </w:rPr>
        <w:footnoteRef/>
      </w:r>
      <w:r>
        <w:t xml:space="preserve"> PPG (</w:t>
      </w:r>
      <w:r w:rsidRPr="00F70528">
        <w:t>Housing: optional technical standards</w:t>
      </w:r>
      <w:r>
        <w:t>) Ref ID 56-009</w:t>
      </w:r>
    </w:p>
  </w:footnote>
  <w:footnote w:id="45">
    <w:p w14:paraId="2A977C81" w14:textId="77777777" w:rsidR="00263CDB" w:rsidRDefault="00263CDB" w:rsidP="00970D21">
      <w:pPr>
        <w:pStyle w:val="FootnoteText"/>
      </w:pPr>
      <w:r>
        <w:rPr>
          <w:rStyle w:val="FootnoteReference"/>
        </w:rPr>
        <w:footnoteRef/>
      </w:r>
      <w:r>
        <w:t xml:space="preserve"> </w:t>
      </w:r>
      <w:hyperlink r:id="rId12" w:history="1">
        <w:r w:rsidRPr="004D5A5B">
          <w:rPr>
            <w:rStyle w:val="Hyperlink"/>
            <w:color w:val="auto"/>
          </w:rPr>
          <w:t>Raising accessibility standards for new homes</w:t>
        </w:r>
      </w:hyperlink>
      <w:r>
        <w:t>, a consultation paper, page 10</w:t>
      </w:r>
    </w:p>
  </w:footnote>
  <w:footnote w:id="46">
    <w:p w14:paraId="17203080" w14:textId="77777777" w:rsidR="00263CDB" w:rsidRDefault="00263CDB" w:rsidP="00FC665C">
      <w:pPr>
        <w:pStyle w:val="FootnoteText"/>
      </w:pPr>
      <w:r>
        <w:rPr>
          <w:rStyle w:val="FootnoteReference"/>
        </w:rPr>
        <w:footnoteRef/>
      </w:r>
      <w:r>
        <w:t xml:space="preserve"> </w:t>
      </w:r>
      <w:r w:rsidRPr="00AE1049">
        <w:t>https://en.wikipedia-on-ipfs.org/wiki/University_of_Suffolk.html</w:t>
      </w:r>
    </w:p>
  </w:footnote>
  <w:footnote w:id="47">
    <w:p w14:paraId="48F165AF" w14:textId="77777777" w:rsidR="00263CDB" w:rsidRPr="00D222DD" w:rsidRDefault="00263CDB" w:rsidP="00FC665C">
      <w:pPr>
        <w:pStyle w:val="FootnoteText"/>
        <w:rPr>
          <w:rFonts w:ascii="Arial Narrow" w:hAnsi="Arial Narrow"/>
        </w:rPr>
      </w:pPr>
      <w:r w:rsidRPr="00D222DD">
        <w:rPr>
          <w:rStyle w:val="FootnoteReference"/>
          <w:rFonts w:ascii="Arial Narrow" w:hAnsi="Arial Narrow"/>
        </w:rPr>
        <w:footnoteRef/>
      </w:r>
      <w:r w:rsidRPr="00D222DD">
        <w:rPr>
          <w:rFonts w:ascii="Arial Narrow" w:hAnsi="Arial Narrow"/>
        </w:rPr>
        <w:t xml:space="preserve"> Student Statistics Archive available at: </w:t>
      </w:r>
      <w:hyperlink r:id="rId13" w:history="1">
        <w:r w:rsidRPr="00D222DD">
          <w:rPr>
            <w:rFonts w:ascii="Arial Narrow" w:hAnsi="Arial Narrow"/>
            <w:color w:val="0000FF"/>
            <w:u w:val="single"/>
          </w:rPr>
          <w:t>https://www.prao.admin.cam.ac.uk/data-analysis-planning/student-numbers/student-statistics-archive</w:t>
        </w:r>
      </w:hyperlink>
    </w:p>
    <w:p w14:paraId="6FD6B37A" w14:textId="77777777" w:rsidR="00263CDB" w:rsidRPr="00D222DD" w:rsidRDefault="00263CDB" w:rsidP="00FC665C">
      <w:pPr>
        <w:pStyle w:val="FootnoteText"/>
        <w:rPr>
          <w:rFonts w:ascii="Arial Narrow" w:hAnsi="Arial Narrow"/>
        </w:rPr>
      </w:pPr>
      <w:r w:rsidRPr="00D222DD">
        <w:rPr>
          <w:rFonts w:ascii="Arial Narrow" w:hAnsi="Arial Narrow"/>
        </w:rPr>
        <w:t xml:space="preserve">Facts and Figures Archive available at: </w:t>
      </w:r>
      <w:hyperlink r:id="rId14" w:history="1">
        <w:r w:rsidRPr="00D222DD">
          <w:rPr>
            <w:rFonts w:ascii="Arial Narrow" w:hAnsi="Arial Narrow"/>
            <w:color w:val="0000FF"/>
            <w:u w:val="single"/>
          </w:rPr>
          <w:t>https://www.prao.admin.cam.ac.uk/data-analysis-planning/facts-figures/facts-and-figures-archive</w:t>
        </w:r>
      </w:hyperlink>
    </w:p>
    <w:p w14:paraId="1AB04569" w14:textId="77777777" w:rsidR="00263CDB" w:rsidRDefault="00263CDB" w:rsidP="00FC665C">
      <w:pPr>
        <w:pStyle w:val="FootnoteText"/>
      </w:pPr>
      <w:r w:rsidRPr="00D222DD">
        <w:rPr>
          <w:rFonts w:ascii="Arial Narrow" w:hAnsi="Arial Narrow"/>
        </w:rPr>
        <w:t xml:space="preserve">Time series interactive tool, available at: </w:t>
      </w:r>
      <w:hyperlink r:id="rId15" w:history="1">
        <w:r w:rsidRPr="00D222DD">
          <w:rPr>
            <w:rFonts w:ascii="Arial Narrow" w:hAnsi="Arial Narrow"/>
            <w:color w:val="0000FF"/>
            <w:u w:val="single"/>
          </w:rPr>
          <w:t>https://www.prao.admin.cam.ac.uk/data-analysis-planning/student-numbers/time-series</w:t>
        </w:r>
      </w:hyperlink>
      <w:r>
        <w:t xml:space="preserve"> </w:t>
      </w:r>
    </w:p>
  </w:footnote>
  <w:footnote w:id="48">
    <w:p w14:paraId="77638ACF" w14:textId="77777777" w:rsidR="00263CDB" w:rsidRPr="00F35191" w:rsidRDefault="00263CDB" w:rsidP="00FC665C">
      <w:pPr>
        <w:pStyle w:val="FootnoteText"/>
        <w:rPr>
          <w:sz w:val="18"/>
          <w:szCs w:val="18"/>
        </w:rPr>
      </w:pPr>
      <w:r w:rsidRPr="00F35191">
        <w:rPr>
          <w:rStyle w:val="FootnoteReference"/>
          <w:sz w:val="18"/>
        </w:rPr>
        <w:footnoteRef/>
      </w:r>
      <w:r w:rsidRPr="00F35191">
        <w:rPr>
          <w:sz w:val="18"/>
          <w:szCs w:val="18"/>
        </w:rPr>
        <w:t xml:space="preserve"> </w:t>
      </w:r>
      <w:r w:rsidRPr="00D129BB">
        <w:rPr>
          <w:color w:val="auto"/>
          <w:sz w:val="18"/>
          <w:szCs w:val="18"/>
        </w:rPr>
        <w:t xml:space="preserve">Available at </w:t>
      </w:r>
      <w:hyperlink r:id="rId16" w:history="1">
        <w:r w:rsidRPr="00D129BB">
          <w:rPr>
            <w:rStyle w:val="Hyperlink"/>
            <w:color w:val="auto"/>
            <w:sz w:val="18"/>
            <w:szCs w:val="18"/>
          </w:rPr>
          <w:t>https://aru.ac.uk/about-us/equality-diversity-and-inclusion/equality-diversity-and-inclusion-for-students/aru-student-snapshots</w:t>
        </w:r>
      </w:hyperlink>
    </w:p>
  </w:footnote>
  <w:footnote w:id="49">
    <w:p w14:paraId="40D113D8" w14:textId="77777777" w:rsidR="00263CDB" w:rsidRPr="00134419" w:rsidRDefault="00263CDB" w:rsidP="00FC665C">
      <w:pPr>
        <w:pStyle w:val="FootnoteText"/>
        <w:rPr>
          <w:sz w:val="16"/>
          <w:szCs w:val="16"/>
        </w:rPr>
      </w:pPr>
      <w:r w:rsidRPr="00134419">
        <w:rPr>
          <w:rStyle w:val="FootnoteReference"/>
          <w:sz w:val="16"/>
          <w:szCs w:val="16"/>
        </w:rPr>
        <w:footnoteRef/>
      </w:r>
      <w:r w:rsidRPr="00134419">
        <w:rPr>
          <w:sz w:val="16"/>
          <w:szCs w:val="16"/>
        </w:rPr>
        <w:t xml:space="preserve"> </w:t>
      </w:r>
      <w:r>
        <w:rPr>
          <w:sz w:val="16"/>
          <w:szCs w:val="16"/>
        </w:rPr>
        <w:t>CCHPR study</w:t>
      </w:r>
      <w:r w:rsidRPr="00134419">
        <w:rPr>
          <w:sz w:val="16"/>
          <w:szCs w:val="16"/>
        </w:rPr>
        <w:t>, page 34</w:t>
      </w:r>
    </w:p>
  </w:footnote>
  <w:footnote w:id="50">
    <w:p w14:paraId="2FF32DFF" w14:textId="77777777" w:rsidR="00263CDB" w:rsidRDefault="00263CDB" w:rsidP="00FC665C">
      <w:pPr>
        <w:pStyle w:val="FootnoteText"/>
      </w:pPr>
      <w:r>
        <w:rPr>
          <w:rStyle w:val="FootnoteReference"/>
        </w:rPr>
        <w:footnoteRef/>
      </w:r>
      <w:r>
        <w:t xml:space="preserve"> </w:t>
      </w:r>
      <w:r w:rsidRPr="000D67BF">
        <w:t>MHCLG, Housing Delivery Test Measurement Rule Book, page 4</w:t>
      </w:r>
    </w:p>
  </w:footnote>
  <w:footnote w:id="51">
    <w:p w14:paraId="2CA76E6B" w14:textId="77777777" w:rsidR="00263CDB" w:rsidRDefault="00263CDB" w:rsidP="00FC665C">
      <w:pPr>
        <w:pStyle w:val="FootnoteText"/>
      </w:pPr>
      <w:r>
        <w:rPr>
          <w:rStyle w:val="FootnoteReference"/>
        </w:rPr>
        <w:footnoteRef/>
      </w:r>
      <w:r>
        <w:t xml:space="preserve"> MHCLG, </w:t>
      </w:r>
      <w:r w:rsidRPr="00FF169E">
        <w:t>Housing Delivery Test Measurement Rule Book, page 4</w:t>
      </w:r>
    </w:p>
  </w:footnote>
  <w:footnote w:id="52">
    <w:p w14:paraId="0394F2CC" w14:textId="77777777" w:rsidR="00263CDB" w:rsidRDefault="00263CDB" w:rsidP="005D1E23">
      <w:pPr>
        <w:pStyle w:val="FootnoteText"/>
      </w:pPr>
      <w:r>
        <w:rPr>
          <w:rStyle w:val="FootnoteReference"/>
        </w:rPr>
        <w:footnoteRef/>
      </w:r>
      <w:r>
        <w:t xml:space="preserve"> https://www.ons.gov.uk/peoplepopulationandcommunity/housing/datasets/subnationaldwellingstockbytenureestimates</w:t>
      </w:r>
    </w:p>
  </w:footnote>
  <w:footnote w:id="53">
    <w:p w14:paraId="04333BBA" w14:textId="77777777" w:rsidR="00263CDB" w:rsidRDefault="00263CDB" w:rsidP="005D1E23">
      <w:pPr>
        <w:pStyle w:val="FootnoteText"/>
      </w:pPr>
      <w:r>
        <w:rPr>
          <w:rStyle w:val="FootnoteReference"/>
        </w:rPr>
        <w:footnoteRef/>
      </w:r>
      <w:r>
        <w:t xml:space="preserve"> The Help to Buy scheme was due to close in March 2021, but has now been extended to April 2023. </w:t>
      </w:r>
    </w:p>
  </w:footnote>
  <w:footnote w:id="54">
    <w:p w14:paraId="3C870A37" w14:textId="77777777" w:rsidR="00263CDB" w:rsidRDefault="00263CDB" w:rsidP="005D1E23">
      <w:pPr>
        <w:pStyle w:val="FootnoteText"/>
      </w:pPr>
      <w:r>
        <w:rPr>
          <w:rStyle w:val="FootnoteReference"/>
        </w:rPr>
        <w:footnoteRef/>
      </w:r>
      <w:r>
        <w:t xml:space="preserve"> https://www.lse.ac.uk/business-and-consultancy/consulting/assets/documents/unlocking-the-benefits-and-potential-of-build-to-rent.pdf</w:t>
      </w:r>
    </w:p>
  </w:footnote>
  <w:footnote w:id="55">
    <w:p w14:paraId="239FA9F0" w14:textId="77777777" w:rsidR="00263CDB" w:rsidRDefault="00263CDB" w:rsidP="005D1E23">
      <w:pPr>
        <w:pStyle w:val="FootnoteText"/>
      </w:pPr>
      <w:r>
        <w:rPr>
          <w:rStyle w:val="FootnoteReference"/>
        </w:rPr>
        <w:footnoteRef/>
      </w:r>
      <w:r>
        <w:t xml:space="preserve"> https://www.savills.co.uk/research_articles/229130/306754-0</w:t>
      </w:r>
    </w:p>
  </w:footnote>
  <w:footnote w:id="56">
    <w:p w14:paraId="3F471A61" w14:textId="77777777" w:rsidR="00263CDB" w:rsidRDefault="00263CDB" w:rsidP="005D1E23">
      <w:pPr>
        <w:pStyle w:val="FootnoteText"/>
      </w:pPr>
      <w:r>
        <w:rPr>
          <w:rStyle w:val="FootnoteReference"/>
        </w:rPr>
        <w:footnoteRef/>
      </w:r>
      <w:r>
        <w:t xml:space="preserve"> https://buildtorent.files.wordpress.com/2021/01/who-lives-in-build-to-rent-1.pdf?mc_cid=624df5d223&amp;mc_eid=e05cc2220b</w:t>
      </w:r>
    </w:p>
  </w:footnote>
  <w:footnote w:id="57">
    <w:p w14:paraId="165B81B8" w14:textId="77777777" w:rsidR="00263CDB" w:rsidRDefault="00263CDB" w:rsidP="005D1E23">
      <w:pPr>
        <w:pStyle w:val="FootnoteText"/>
      </w:pPr>
      <w:r>
        <w:rPr>
          <w:rStyle w:val="FootnoteReference"/>
        </w:rPr>
        <w:footnoteRef/>
      </w:r>
      <w:r>
        <w:t xml:space="preserve"> PPG (BTR) Paragraph: 002 Reference ID: 60-002-20180913</w:t>
      </w:r>
    </w:p>
  </w:footnote>
  <w:footnote w:id="58">
    <w:p w14:paraId="4F8C26EA" w14:textId="77777777" w:rsidR="00263CDB" w:rsidRDefault="00263CDB" w:rsidP="007D0FBF">
      <w:pPr>
        <w:pStyle w:val="11Bodytext"/>
        <w:numPr>
          <w:ilvl w:val="0"/>
          <w:numId w:val="0"/>
        </w:numPr>
        <w:ind w:left="483"/>
      </w:pPr>
      <w:r>
        <w:rPr>
          <w:rStyle w:val="FootnoteReference"/>
        </w:rPr>
        <w:footnoteRef/>
      </w:r>
      <w:r>
        <w:t xml:space="preserve"> </w:t>
      </w:r>
      <w:r w:rsidRPr="00B35A8B">
        <w:rPr>
          <w:rFonts w:ascii="Arial Narrow" w:hAnsi="Arial Narrow"/>
        </w:rPr>
        <w:t>With the exception of the first base period which ran from 1</w:t>
      </w:r>
      <w:r w:rsidRPr="00B35A8B">
        <w:rPr>
          <w:rFonts w:ascii="Arial Narrow" w:hAnsi="Arial Narrow"/>
          <w:vertAlign w:val="superscript"/>
        </w:rPr>
        <w:t>st</w:t>
      </w:r>
      <w:r w:rsidRPr="00B35A8B">
        <w:rPr>
          <w:rFonts w:ascii="Arial Narrow" w:hAnsi="Arial Narrow"/>
        </w:rPr>
        <w:t xml:space="preserve"> of April 2016 to the 30</w:t>
      </w:r>
      <w:r w:rsidRPr="00B35A8B">
        <w:rPr>
          <w:rFonts w:ascii="Arial Narrow" w:hAnsi="Arial Narrow"/>
          <w:vertAlign w:val="superscript"/>
        </w:rPr>
        <w:t>th</w:t>
      </w:r>
      <w:r w:rsidRPr="00B35A8B">
        <w:rPr>
          <w:rFonts w:ascii="Arial Narrow" w:hAnsi="Arial Narrow"/>
        </w:rPr>
        <w:t xml:space="preserve"> of October 2016 each subsequent base period has lasted 1 year.  There have therefore been 5 base periods since the 1</w:t>
      </w:r>
      <w:r w:rsidRPr="00B35A8B">
        <w:rPr>
          <w:rFonts w:ascii="Arial Narrow" w:hAnsi="Arial Narrow"/>
          <w:vertAlign w:val="superscript"/>
        </w:rPr>
        <w:t>st</w:t>
      </w:r>
      <w:r w:rsidRPr="00B35A8B">
        <w:rPr>
          <w:rFonts w:ascii="Arial Narrow" w:hAnsi="Arial Narrow"/>
        </w:rPr>
        <w:t xml:space="preserve"> of April 2016.</w:t>
      </w:r>
    </w:p>
    <w:p w14:paraId="4EBDCC41" w14:textId="77777777" w:rsidR="00263CDB" w:rsidRDefault="00263CDB" w:rsidP="005D1E23">
      <w:pPr>
        <w:pStyle w:val="FootnoteText"/>
      </w:pPr>
    </w:p>
  </w:footnote>
  <w:footnote w:id="59">
    <w:p w14:paraId="6251AD02" w14:textId="77777777" w:rsidR="00263CDB" w:rsidRDefault="00263CDB" w:rsidP="005D1E23">
      <w:pPr>
        <w:pStyle w:val="FootnoteText"/>
      </w:pPr>
      <w:r>
        <w:rPr>
          <w:rStyle w:val="FootnoteReference"/>
        </w:rPr>
        <w:footnoteRef/>
      </w:r>
      <w:r>
        <w:t xml:space="preserve"> https://www.gov.uk/government/publications/independent-review-of-build-out-final-report</w:t>
      </w:r>
    </w:p>
  </w:footnote>
  <w:footnote w:id="60">
    <w:p w14:paraId="726705EF" w14:textId="77777777" w:rsidR="00263CDB" w:rsidRDefault="00263CDB" w:rsidP="005D1E23">
      <w:pPr>
        <w:pStyle w:val="FootnoteText"/>
      </w:pPr>
      <w:r>
        <w:rPr>
          <w:rStyle w:val="FootnoteReference"/>
        </w:rPr>
        <w:footnoteRef/>
      </w:r>
      <w:r>
        <w:t xml:space="preserve"> </w:t>
      </w:r>
      <w:hyperlink r:id="rId17" w:history="1">
        <w:r w:rsidRPr="004D5A5B">
          <w:rPr>
            <w:rStyle w:val="Hyperlink"/>
            <w:color w:val="auto"/>
            <w:sz w:val="16"/>
          </w:rPr>
          <w:t>https://gravenhill.co.uk/</w:t>
        </w:r>
      </w:hyperlink>
      <w:r>
        <w:rPr>
          <w:rStyle w:val="Hyperlink"/>
          <w:sz w:val="16"/>
        </w:rPr>
        <w:t xml:space="preserve"> </w:t>
      </w:r>
    </w:p>
  </w:footnote>
  <w:footnote w:id="61">
    <w:p w14:paraId="755B845A" w14:textId="77777777" w:rsidR="00263CDB" w:rsidRDefault="00263CDB" w:rsidP="005D1E23">
      <w:pPr>
        <w:pStyle w:val="FootnoteText"/>
      </w:pPr>
      <w:r>
        <w:rPr>
          <w:rStyle w:val="FootnoteReference"/>
        </w:rPr>
        <w:footnoteRef/>
      </w:r>
      <w:r>
        <w:t xml:space="preserve"> </w:t>
      </w:r>
      <w:r w:rsidRPr="00B35A8B">
        <w:rPr>
          <w:rFonts w:ascii="Arial Narrow" w:hAnsi="Arial Narrow"/>
        </w:rPr>
        <w:t>https://www.gov.uk/government/statistics/quarterly-service-personnel-statistics-2020/quarterly-service-personnel-statistics-1-april-2020</w:t>
      </w:r>
    </w:p>
  </w:footnote>
  <w:footnote w:id="62">
    <w:p w14:paraId="52F16B81" w14:textId="77777777" w:rsidR="00263CDB" w:rsidRPr="00D222DD" w:rsidRDefault="00263CDB" w:rsidP="005D1E23">
      <w:pPr>
        <w:pStyle w:val="FootnoteText"/>
        <w:rPr>
          <w:rFonts w:ascii="Arial Narrow" w:hAnsi="Arial Narrow"/>
          <w:sz w:val="24"/>
          <w:szCs w:val="24"/>
        </w:rPr>
      </w:pPr>
      <w:r w:rsidRPr="00D222DD">
        <w:rPr>
          <w:rStyle w:val="FootnoteReference"/>
          <w:sz w:val="24"/>
          <w:szCs w:val="24"/>
        </w:rPr>
        <w:footnoteRef/>
      </w:r>
      <w:r w:rsidRPr="00D222DD">
        <w:rPr>
          <w:sz w:val="24"/>
          <w:szCs w:val="24"/>
        </w:rPr>
        <w:t xml:space="preserve"> </w:t>
      </w:r>
      <w:r w:rsidRPr="00D222DD">
        <w:rPr>
          <w:rFonts w:ascii="Arial Narrow" w:hAnsi="Arial Narrow"/>
          <w:sz w:val="24"/>
          <w:szCs w:val="24"/>
        </w:rPr>
        <w:t>https://assets.publishing.service.gov.uk/government/uploads/system/uploads/attachment_data/file/457420/Final_planning_and_travellers_policy.pdf</w:t>
      </w:r>
    </w:p>
  </w:footnote>
  <w:footnote w:id="63">
    <w:p w14:paraId="12B6029E" w14:textId="77777777" w:rsidR="00263CDB" w:rsidRDefault="00263CDB" w:rsidP="005D1E23">
      <w:pPr>
        <w:pStyle w:val="FootnoteText"/>
      </w:pPr>
      <w:r w:rsidRPr="00D222DD">
        <w:rPr>
          <w:rStyle w:val="FootnoteReference"/>
          <w:rFonts w:ascii="Arial Narrow" w:hAnsi="Arial Narrow"/>
          <w:sz w:val="24"/>
          <w:szCs w:val="24"/>
        </w:rPr>
        <w:footnoteRef/>
      </w:r>
      <w:r w:rsidRPr="00D222DD">
        <w:rPr>
          <w:rFonts w:ascii="Arial Narrow" w:hAnsi="Arial Narrow"/>
          <w:sz w:val="24"/>
          <w:szCs w:val="24"/>
        </w:rPr>
        <w:t xml:space="preserve"> NPPF paragraphs 60-61</w:t>
      </w:r>
    </w:p>
  </w:footnote>
  <w:footnote w:id="64">
    <w:p w14:paraId="4315900E" w14:textId="77777777" w:rsidR="00263CDB" w:rsidRDefault="00263CDB" w:rsidP="00C71E60">
      <w:pPr>
        <w:pStyle w:val="FootnoteText"/>
      </w:pPr>
      <w:r>
        <w:rPr>
          <w:rStyle w:val="FootnoteReference"/>
        </w:rPr>
        <w:footnoteRef/>
      </w:r>
      <w:r>
        <w:t xml:space="preserve"> </w:t>
      </w:r>
      <w:r w:rsidRPr="00B7426D">
        <w:t xml:space="preserve">The </w:t>
      </w:r>
      <w:r w:rsidRPr="00B7426D">
        <w:rPr>
          <w:lang w:eastAsia="en-US"/>
        </w:rPr>
        <w:t>Greater Cambridge Housing and Employment Relationships Report produces a population estimate for Cambridge of 137,000</w:t>
      </w:r>
      <w:r>
        <w:rPr>
          <w:lang w:eastAsia="en-US"/>
        </w:rPr>
        <w:t xml:space="preserve"> at mid-2019</w:t>
      </w:r>
    </w:p>
  </w:footnote>
  <w:footnote w:id="65">
    <w:p w14:paraId="60952CB0" w14:textId="3C9D96F1" w:rsidR="00263CDB" w:rsidRDefault="00263CDB">
      <w:pPr>
        <w:pStyle w:val="FootnoteText"/>
      </w:pPr>
      <w:r>
        <w:rPr>
          <w:rStyle w:val="FootnoteReference"/>
        </w:rPr>
        <w:footnoteRef/>
      </w:r>
      <w:r>
        <w:t xml:space="preserve"> “</w:t>
      </w:r>
      <w:r w:rsidRPr="00937E49">
        <w:t>Major sites</w:t>
      </w:r>
      <w:r>
        <w:t>”</w:t>
      </w:r>
      <w:r w:rsidRPr="00937E49">
        <w:t xml:space="preserve"> are defined in the Glossary of the NPPF as "development where 10 or more homes will be provided, or the site has an area of 0.5 hectares or more</w:t>
      </w:r>
      <w:r>
        <w:t>.</w:t>
      </w:r>
      <w:r w:rsidRPr="00937E49">
        <w:t>"</w:t>
      </w:r>
    </w:p>
  </w:footnote>
  <w:footnote w:id="66">
    <w:p w14:paraId="67D78474" w14:textId="77777777" w:rsidR="00263CDB" w:rsidRDefault="00263CDB" w:rsidP="00297D48">
      <w:pPr>
        <w:pStyle w:val="FootnoteText"/>
      </w:pPr>
      <w:r>
        <w:rPr>
          <w:rStyle w:val="FootnoteReference"/>
        </w:rPr>
        <w:footnoteRef/>
      </w:r>
      <w:r>
        <w:t xml:space="preserve"> For a full definition of these </w:t>
      </w:r>
      <w:proofErr w:type="gramStart"/>
      <w:r>
        <w:t>terms</w:t>
      </w:r>
      <w:proofErr w:type="gramEnd"/>
      <w:r>
        <w:t xml:space="preserve"> it is worth checking the glossary of the National Planning Policy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92254" w14:textId="4167B510" w:rsidR="00263CDB" w:rsidRPr="005A0B3D" w:rsidRDefault="00263CDB" w:rsidP="008B0419">
    <w:pPr>
      <w:pStyle w:val="Referencetext8pt"/>
      <w:tabs>
        <w:tab w:val="right" w:pos="9639"/>
      </w:tabs>
      <w:rPr>
        <w:rFonts w:ascii="Arial Narrow" w:hAnsi="Arial Narrow"/>
        <w:sz w:val="24"/>
        <w:szCs w:val="26"/>
      </w:rPr>
    </w:pPr>
    <w:r w:rsidRPr="005A0B3D">
      <w:rPr>
        <w:rFonts w:ascii="Arial Narrow" w:hAnsi="Arial Narrow"/>
        <w:noProof/>
        <w:sz w:val="24"/>
        <w:szCs w:val="26"/>
      </w:rPr>
      <w:t xml:space="preserve">Housing Needs of Specific </w:t>
    </w:r>
    <w:r w:rsidRPr="005A0B3D">
      <w:rPr>
        <w:rFonts w:ascii="Arial Narrow" w:hAnsi="Arial Narrow"/>
        <w:noProof/>
        <w:sz w:val="24"/>
        <w:szCs w:val="26"/>
      </w:rPr>
      <w:fldChar w:fldCharType="begin"/>
    </w:r>
    <w:r w:rsidRPr="005A0B3D">
      <w:rPr>
        <w:rFonts w:ascii="Arial Narrow" w:hAnsi="Arial Narrow"/>
        <w:noProof/>
        <w:sz w:val="24"/>
        <w:szCs w:val="26"/>
      </w:rPr>
      <w:instrText xml:space="preserve"> STYLEREF "Report Title" \* MERGEFORMAT </w:instrText>
    </w:r>
    <w:r w:rsidRPr="005A0B3D">
      <w:rPr>
        <w:rFonts w:ascii="Arial Narrow" w:hAnsi="Arial Narrow"/>
        <w:noProof/>
        <w:sz w:val="24"/>
        <w:szCs w:val="26"/>
      </w:rPr>
      <w:fldChar w:fldCharType="separate"/>
    </w:r>
    <w:r w:rsidR="00E91857">
      <w:rPr>
        <w:rFonts w:ascii="Arial Narrow" w:hAnsi="Arial Narrow"/>
        <w:noProof/>
        <w:sz w:val="24"/>
        <w:szCs w:val="26"/>
      </w:rPr>
      <w:t>Groups</w:t>
    </w:r>
    <w:r w:rsidRPr="005A0B3D">
      <w:rPr>
        <w:rFonts w:ascii="Arial Narrow" w:hAnsi="Arial Narrow"/>
        <w:noProof/>
        <w:sz w:val="24"/>
        <w:szCs w:val="26"/>
      </w:rPr>
      <w:fldChar w:fldCharType="end"/>
    </w:r>
    <w:r w:rsidRPr="005A0B3D">
      <w:rPr>
        <w:rFonts w:ascii="Arial Narrow" w:hAnsi="Arial Narrow"/>
        <w:sz w:val="24"/>
        <w:szCs w:val="26"/>
      </w:rPr>
      <w:t xml:space="preserve">, </w:t>
    </w:r>
    <w:r w:rsidRPr="005A0B3D">
      <w:rPr>
        <w:rFonts w:ascii="Arial Narrow" w:hAnsi="Arial Narrow"/>
        <w:sz w:val="24"/>
        <w:szCs w:val="26"/>
      </w:rPr>
      <w:tab/>
    </w:r>
    <w:r w:rsidRPr="005A0B3D">
      <w:rPr>
        <w:rFonts w:ascii="Arial Narrow" w:hAnsi="Arial Narrow"/>
        <w:noProof/>
        <w:sz w:val="24"/>
        <w:szCs w:val="26"/>
      </w:rPr>
      <w:fldChar w:fldCharType="begin"/>
    </w:r>
    <w:r w:rsidRPr="005A0B3D">
      <w:rPr>
        <w:rFonts w:ascii="Arial Narrow" w:hAnsi="Arial Narrow"/>
        <w:noProof/>
        <w:sz w:val="24"/>
        <w:szCs w:val="26"/>
      </w:rPr>
      <w:instrText xml:space="preserve"> STYLEREF "Date of report" \* MERGEFORMAT </w:instrText>
    </w:r>
    <w:r w:rsidRPr="005A0B3D">
      <w:rPr>
        <w:rFonts w:ascii="Arial Narrow" w:hAnsi="Arial Narrow"/>
        <w:noProof/>
        <w:sz w:val="24"/>
        <w:szCs w:val="26"/>
      </w:rPr>
      <w:fldChar w:fldCharType="separate"/>
    </w:r>
    <w:r w:rsidR="00E91857">
      <w:rPr>
        <w:rFonts w:ascii="Arial Narrow" w:hAnsi="Arial Narrow"/>
        <w:noProof/>
        <w:sz w:val="24"/>
        <w:szCs w:val="26"/>
      </w:rPr>
      <w:t>August 2021</w:t>
    </w:r>
    <w:r w:rsidRPr="005A0B3D">
      <w:rPr>
        <w:rFonts w:ascii="Arial Narrow" w:hAnsi="Arial Narrow"/>
        <w:noProof/>
        <w:sz w:val="24"/>
        <w:szCs w:val="26"/>
      </w:rPr>
      <w:fldChar w:fldCharType="end"/>
    </w:r>
  </w:p>
  <w:p w14:paraId="4C86D73E" w14:textId="2B5C7E38" w:rsidR="00263CDB" w:rsidRPr="005A0B3D" w:rsidRDefault="00263CDB" w:rsidP="00DD5C44">
    <w:pPr>
      <w:pStyle w:val="Referencetext8pt"/>
      <w:rPr>
        <w:rFonts w:ascii="Arial Narrow" w:hAnsi="Arial Narrow"/>
        <w:sz w:val="24"/>
        <w:szCs w:val="26"/>
      </w:rPr>
    </w:pPr>
    <w:r w:rsidRPr="005A0B3D">
      <w:rPr>
        <w:rFonts w:ascii="Arial Narrow" w:hAnsi="Arial Narrow"/>
        <w:noProof/>
        <w:sz w:val="24"/>
        <w:szCs w:val="26"/>
      </w:rPr>
      <w:fldChar w:fldCharType="begin"/>
    </w:r>
    <w:r w:rsidRPr="005A0B3D">
      <w:rPr>
        <w:rFonts w:ascii="Arial Narrow" w:hAnsi="Arial Narrow"/>
        <w:noProof/>
        <w:sz w:val="24"/>
        <w:szCs w:val="26"/>
      </w:rPr>
      <w:instrText xml:space="preserve"> STYLEREF  "Name of Client"  \* MERGEFORMAT </w:instrText>
    </w:r>
    <w:r w:rsidRPr="005A0B3D">
      <w:rPr>
        <w:rFonts w:ascii="Arial Narrow" w:hAnsi="Arial Narrow"/>
        <w:noProof/>
        <w:sz w:val="24"/>
        <w:szCs w:val="26"/>
      </w:rPr>
      <w:fldChar w:fldCharType="separate"/>
    </w:r>
    <w:r w:rsidR="00E91857">
      <w:rPr>
        <w:rFonts w:ascii="Arial Narrow" w:hAnsi="Arial Narrow"/>
        <w:noProof/>
        <w:sz w:val="24"/>
        <w:szCs w:val="26"/>
      </w:rPr>
      <w:t>SUBJECT TO FINAL EDITING</w:t>
    </w:r>
    <w:r w:rsidRPr="005A0B3D">
      <w:rPr>
        <w:rFonts w:ascii="Arial Narrow" w:hAnsi="Arial Narrow"/>
        <w:noProof/>
        <w:sz w:val="24"/>
        <w:szCs w:val="26"/>
      </w:rPr>
      <w:fldChar w:fldCharType="end"/>
    </w:r>
    <w:r w:rsidRPr="005A0B3D">
      <w:rPr>
        <w:rStyle w:val="PageNumber"/>
        <w:rFonts w:ascii="Arial Narrow" w:hAnsi="Arial Narrow"/>
        <w:sz w:val="24"/>
        <w:szCs w:val="2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9E203" w14:textId="77777777" w:rsidR="00263CDB" w:rsidRDefault="00263CDB">
    <w:pPr>
      <w:pStyle w:val="Header"/>
    </w:pPr>
    <w:r>
      <w:rPr>
        <w:noProof/>
        <w:lang w:eastAsia="en-GB"/>
      </w:rPr>
      <w:drawing>
        <wp:anchor distT="0" distB="0" distL="114300" distR="114300" simplePos="0" relativeHeight="251675648" behindDoc="0" locked="1" layoutInCell="1" allowOverlap="1" wp14:anchorId="7369AE6E" wp14:editId="7CCA5F46">
          <wp:simplePos x="0" y="0"/>
          <wp:positionH relativeFrom="page">
            <wp:posOffset>574040</wp:posOffset>
          </wp:positionH>
          <wp:positionV relativeFrom="page">
            <wp:posOffset>393065</wp:posOffset>
          </wp:positionV>
          <wp:extent cx="1589405" cy="749300"/>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89405" cy="749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1" layoutInCell="1" allowOverlap="1" wp14:anchorId="7369AE6E" wp14:editId="2B64E33D">
          <wp:simplePos x="0" y="0"/>
          <wp:positionH relativeFrom="page">
            <wp:posOffset>574040</wp:posOffset>
          </wp:positionH>
          <wp:positionV relativeFrom="page">
            <wp:posOffset>393065</wp:posOffset>
          </wp:positionV>
          <wp:extent cx="1589405" cy="7493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89405" cy="749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BD40238"/>
    <w:lvl w:ilvl="0">
      <w:start w:val="1"/>
      <w:numFmt w:val="bullet"/>
      <w:pStyle w:val="ListBullet2"/>
      <w:lvlText w:val=""/>
      <w:lvlJc w:val="left"/>
      <w:pPr>
        <w:tabs>
          <w:tab w:val="num" w:pos="3110"/>
        </w:tabs>
        <w:ind w:left="3110" w:hanging="360"/>
      </w:pPr>
      <w:rPr>
        <w:rFonts w:ascii="Symbol" w:hAnsi="Symbol" w:hint="default"/>
      </w:rPr>
    </w:lvl>
  </w:abstractNum>
  <w:abstractNum w:abstractNumId="1" w15:restartNumberingAfterBreak="0">
    <w:nsid w:val="FFFFFF89"/>
    <w:multiLevelType w:val="singleLevel"/>
    <w:tmpl w:val="20281A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B7654E"/>
    <w:multiLevelType w:val="hybridMultilevel"/>
    <w:tmpl w:val="1734AF38"/>
    <w:lvl w:ilvl="0" w:tplc="CA88539E">
      <w:start w:val="1"/>
      <w:numFmt w:val="bullet"/>
      <w:pStyle w:val="bullet"/>
      <w:lvlText w:val=""/>
      <w:lvlJc w:val="left"/>
      <w:pPr>
        <w:ind w:left="723" w:hanging="360"/>
      </w:pPr>
      <w:rPr>
        <w:rFonts w:ascii="Symbol" w:hAnsi="Symbol" w:hint="default"/>
      </w:rPr>
    </w:lvl>
    <w:lvl w:ilvl="1" w:tplc="08090003">
      <w:start w:val="1"/>
      <w:numFmt w:val="bullet"/>
      <w:lvlText w:val="o"/>
      <w:lvlJc w:val="left"/>
      <w:pPr>
        <w:ind w:left="1443" w:hanging="360"/>
      </w:pPr>
      <w:rPr>
        <w:rFonts w:ascii="Courier New" w:hAnsi="Courier New" w:hint="default"/>
      </w:rPr>
    </w:lvl>
    <w:lvl w:ilvl="2" w:tplc="08090005">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 w15:restartNumberingAfterBreak="0">
    <w:nsid w:val="03370C0E"/>
    <w:multiLevelType w:val="multilevel"/>
    <w:tmpl w:val="DFD8EBAC"/>
    <w:lvl w:ilvl="0">
      <w:start w:val="1"/>
      <w:numFmt w:val="decimal"/>
      <w:pStyle w:val="03NumberedHeadings"/>
      <w:lvlText w:val="%1."/>
      <w:lvlJc w:val="left"/>
      <w:pPr>
        <w:tabs>
          <w:tab w:val="num" w:pos="1021"/>
        </w:tabs>
        <w:ind w:left="1021" w:hanging="1021"/>
      </w:pPr>
      <w:rPr>
        <w:rFonts w:ascii="Arial" w:hAnsi="Arial" w:cs="Times New Roman" w:hint="default"/>
        <w:b/>
        <w:bCs/>
        <w:i w:val="0"/>
        <w:iCs w:val="0"/>
        <w:strike w:val="0"/>
        <w:dstrike w:val="0"/>
        <w:color w:val="auto"/>
        <w:u w:val="none"/>
        <w:effect w:val="none"/>
      </w:rPr>
    </w:lvl>
    <w:lvl w:ilvl="1">
      <w:start w:val="1"/>
      <w:numFmt w:val="decimal"/>
      <w:pStyle w:val="11Body"/>
      <w:lvlText w:val="%1.%2."/>
      <w:lvlJc w:val="left"/>
      <w:pPr>
        <w:tabs>
          <w:tab w:val="num" w:pos="1305"/>
        </w:tabs>
        <w:ind w:left="1305" w:hanging="1021"/>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pStyle w:val="03NumberedHeadings"/>
      <w:lvlText w:val="%1.%2.%3."/>
      <w:lvlJc w:val="left"/>
      <w:pPr>
        <w:tabs>
          <w:tab w:val="num" w:pos="1021"/>
        </w:tabs>
        <w:ind w:left="1021" w:hanging="1021"/>
      </w:pPr>
      <w:rPr>
        <w:rFonts w:ascii="Arial" w:hAnsi="Arial" w:cs="Times New Roman" w:hint="default"/>
        <w:b w:val="0"/>
        <w:bCs w:val="0"/>
        <w:i w:val="0"/>
        <w:iCs w:val="0"/>
        <w:strike w:val="0"/>
        <w:dstrike w:val="0"/>
        <w:color w:val="auto"/>
        <w:u w:val="none"/>
        <w:effect w:val="none"/>
      </w:rPr>
    </w:lvl>
    <w:lvl w:ilvl="3">
      <w:start w:val="1"/>
      <w:numFmt w:val="decimal"/>
      <w:lvlText w:val="%1.%2.%3.%4."/>
      <w:lvlJc w:val="left"/>
      <w:pPr>
        <w:tabs>
          <w:tab w:val="num" w:pos="1021"/>
        </w:tabs>
        <w:ind w:left="1021" w:hanging="1021"/>
      </w:pPr>
      <w:rPr>
        <w:rFonts w:ascii="Arial" w:hAnsi="Arial" w:cs="Times New Roman" w:hint="default"/>
        <w:b w:val="0"/>
        <w:bCs w:val="0"/>
        <w:i w:val="0"/>
        <w:iCs w:val="0"/>
        <w:strike w:val="0"/>
        <w:dstrike w:val="0"/>
        <w:color w:val="auto"/>
        <w:u w:val="none"/>
        <w:effect w:val="none"/>
      </w:rPr>
    </w:lvl>
    <w:lvl w:ilvl="4">
      <w:start w:val="1"/>
      <w:numFmt w:val="decimal"/>
      <w:lvlText w:val="%1.%2.%3.%4.%5."/>
      <w:lvlJc w:val="left"/>
      <w:pPr>
        <w:tabs>
          <w:tab w:val="num" w:pos="879"/>
        </w:tabs>
        <w:ind w:left="879" w:hanging="1021"/>
      </w:pPr>
      <w:rPr>
        <w:rFonts w:cs="Times New Roman"/>
      </w:rPr>
    </w:lvl>
    <w:lvl w:ilvl="5">
      <w:start w:val="1"/>
      <w:numFmt w:val="decimal"/>
      <w:lvlText w:val="%1.%2.%3.%4.%5.%6."/>
      <w:lvlJc w:val="left"/>
      <w:pPr>
        <w:ind w:left="2452" w:hanging="936"/>
      </w:pPr>
      <w:rPr>
        <w:rFonts w:cs="Times New Roman"/>
      </w:rPr>
    </w:lvl>
    <w:lvl w:ilvl="6">
      <w:start w:val="1"/>
      <w:numFmt w:val="decimal"/>
      <w:lvlText w:val="%1.%2.%3.%4.%5.%6.%7."/>
      <w:lvlJc w:val="left"/>
      <w:pPr>
        <w:ind w:left="2956" w:hanging="1080"/>
      </w:pPr>
      <w:rPr>
        <w:rFonts w:cs="Times New Roman"/>
      </w:rPr>
    </w:lvl>
    <w:lvl w:ilvl="7">
      <w:start w:val="1"/>
      <w:numFmt w:val="decimal"/>
      <w:lvlText w:val="%1.%2.%3.%4.%5.%6.%7.%8."/>
      <w:lvlJc w:val="left"/>
      <w:pPr>
        <w:ind w:left="3460" w:hanging="1224"/>
      </w:pPr>
      <w:rPr>
        <w:rFonts w:cs="Times New Roman"/>
      </w:rPr>
    </w:lvl>
    <w:lvl w:ilvl="8">
      <w:start w:val="1"/>
      <w:numFmt w:val="decimal"/>
      <w:lvlText w:val="%1.%2.%3.%4.%5.%6.%7.%8.%9."/>
      <w:lvlJc w:val="left"/>
      <w:pPr>
        <w:ind w:left="4036" w:hanging="1440"/>
      </w:pPr>
      <w:rPr>
        <w:rFonts w:cs="Times New Roman"/>
      </w:rPr>
    </w:lvl>
  </w:abstractNum>
  <w:abstractNum w:abstractNumId="4" w15:restartNumberingAfterBreak="0">
    <w:nsid w:val="06F0469B"/>
    <w:multiLevelType w:val="hybridMultilevel"/>
    <w:tmpl w:val="ECDE9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0E3888"/>
    <w:multiLevelType w:val="multilevel"/>
    <w:tmpl w:val="C194C2C6"/>
    <w:lvl w:ilvl="0">
      <w:start w:val="1"/>
      <w:numFmt w:val="decimal"/>
      <w:pStyle w:val="FigureHeading"/>
      <w:lvlText w:val="Figure %1:"/>
      <w:lvlJc w:val="left"/>
      <w:pPr>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021"/>
        </w:tabs>
        <w:ind w:left="1021" w:hanging="1021"/>
      </w:pPr>
      <w:rPr>
        <w:rFonts w:ascii="Arial" w:hAnsi="Arial" w:hint="default"/>
        <w:b w:val="0"/>
        <w:bCs w:val="0"/>
        <w:i w:val="0"/>
        <w:iCs w:val="0"/>
        <w:color w:val="000000" w:themeColor="text1"/>
        <w:u w:val="none"/>
      </w:rPr>
    </w:lvl>
    <w:lvl w:ilvl="2">
      <w:start w:val="1"/>
      <w:numFmt w:val="decimal"/>
      <w:lvlText w:val="%1.%2.%3."/>
      <w:lvlJc w:val="left"/>
      <w:pPr>
        <w:tabs>
          <w:tab w:val="num" w:pos="1021"/>
        </w:tabs>
        <w:ind w:left="1021" w:hanging="1021"/>
      </w:pPr>
      <w:rPr>
        <w:rFonts w:ascii="Arial" w:hAnsi="Arial" w:hint="default"/>
        <w:b w:val="0"/>
        <w:bCs w:val="0"/>
        <w:i w:val="0"/>
        <w:iCs w:val="0"/>
        <w:color w:val="auto"/>
        <w:u w:val="none"/>
      </w:rPr>
    </w:lvl>
    <w:lvl w:ilvl="3">
      <w:start w:val="1"/>
      <w:numFmt w:val="decimal"/>
      <w:lvlText w:val="%1.%2.%3.%4."/>
      <w:lvlJc w:val="left"/>
      <w:pPr>
        <w:tabs>
          <w:tab w:val="num" w:pos="1021"/>
        </w:tabs>
        <w:ind w:left="1021" w:hanging="1021"/>
      </w:pPr>
      <w:rPr>
        <w:rFonts w:ascii="Arial" w:hAnsi="Arial" w:hint="default"/>
        <w:b w:val="0"/>
        <w:bCs w:val="0"/>
        <w:i w:val="0"/>
        <w:iCs w:val="0"/>
        <w:color w:val="auto"/>
        <w:u w:val="none"/>
      </w:rPr>
    </w:lvl>
    <w:lvl w:ilvl="4">
      <w:start w:val="1"/>
      <w:numFmt w:val="decimal"/>
      <w:lvlText w:val="%1.%2.%3.%4.%5."/>
      <w:lvlJc w:val="left"/>
      <w:pPr>
        <w:tabs>
          <w:tab w:val="num" w:pos="879"/>
        </w:tabs>
        <w:ind w:left="879" w:hanging="1021"/>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6" w15:restartNumberingAfterBreak="0">
    <w:nsid w:val="08B5371D"/>
    <w:multiLevelType w:val="multilevel"/>
    <w:tmpl w:val="01F44C84"/>
    <w:lvl w:ilvl="0">
      <w:start w:val="1"/>
      <w:numFmt w:val="decimal"/>
      <w:pStyle w:val="Heading1"/>
      <w:lvlText w:val="%1"/>
      <w:lvlJc w:val="left"/>
      <w:pPr>
        <w:tabs>
          <w:tab w:val="num" w:pos="794"/>
        </w:tabs>
        <w:ind w:left="794" w:hanging="794"/>
      </w:pPr>
      <w:rPr>
        <w:b/>
        <w:bCs/>
        <w:i w:val="0"/>
        <w:iCs w:val="0"/>
        <w:color w:val="auto"/>
        <w:sz w:val="24"/>
        <w:szCs w:val="24"/>
        <w:u w:val="none"/>
      </w:rPr>
    </w:lvl>
    <w:lvl w:ilvl="1">
      <w:start w:val="1"/>
      <w:numFmt w:val="decimal"/>
      <w:pStyle w:val="11Bodytext"/>
      <w:lvlText w:val="%1.%2"/>
      <w:lvlJc w:val="left"/>
      <w:pPr>
        <w:tabs>
          <w:tab w:val="num" w:pos="2071"/>
        </w:tabs>
        <w:ind w:left="2071" w:hanging="794"/>
      </w:pPr>
      <w:rPr>
        <w:b w:val="0"/>
        <w:bCs w:val="0"/>
        <w:i w:val="0"/>
        <w:iCs w:val="0"/>
        <w:color w:val="000000" w:themeColor="text1"/>
        <w:sz w:val="24"/>
        <w:szCs w:val="24"/>
        <w:u w:val="none"/>
      </w:rPr>
    </w:lvl>
    <w:lvl w:ilvl="2">
      <w:start w:val="1"/>
      <w:numFmt w:val="decimal"/>
      <w:lvlRestart w:val="1"/>
      <w:lvlText w:val="%1.%2"/>
      <w:lvlJc w:val="left"/>
      <w:pPr>
        <w:tabs>
          <w:tab w:val="num" w:pos="794"/>
        </w:tabs>
        <w:ind w:left="794" w:hanging="794"/>
      </w:pPr>
      <w:rPr>
        <w:b w:val="0"/>
        <w:bCs w:val="0"/>
        <w:i w:val="0"/>
        <w:iCs w:val="0"/>
        <w:color w:val="auto"/>
        <w:sz w:val="20"/>
        <w:szCs w:val="20"/>
        <w:u w:val="none"/>
      </w:rPr>
    </w:lvl>
    <w:lvl w:ilvl="3">
      <w:start w:val="1"/>
      <w:numFmt w:val="bullet"/>
      <w:lvlText w:val=""/>
      <w:lvlJc w:val="left"/>
      <w:pPr>
        <w:ind w:left="1870" w:hanging="1728"/>
      </w:pPr>
      <w:rPr>
        <w:rFonts w:ascii="Symbol" w:hAnsi="Symbol" w:hint="default"/>
        <w:b w:val="0"/>
        <w:bCs w:val="0"/>
        <w:i w:val="0"/>
        <w:iCs w:val="0"/>
        <w:color w:val="auto"/>
        <w:sz w:val="20"/>
        <w:szCs w:val="20"/>
        <w:u w:val="none"/>
      </w:rPr>
    </w:lvl>
    <w:lvl w:ilvl="4">
      <w:start w:val="1"/>
      <w:numFmt w:val="bullet"/>
      <w:lvlText w:val=""/>
      <w:lvlJc w:val="left"/>
      <w:pPr>
        <w:tabs>
          <w:tab w:val="num" w:pos="794"/>
        </w:tabs>
        <w:ind w:left="794" w:hanging="794"/>
      </w:pPr>
      <w:rPr>
        <w:rFonts w:ascii="Symbol" w:hAnsi="Symbol" w:hint="default"/>
        <w:b w:val="0"/>
        <w:bCs w:val="0"/>
        <w:i w:val="0"/>
        <w:iCs w:val="0"/>
        <w:color w:val="0093D5"/>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B90927"/>
    <w:multiLevelType w:val="hybridMultilevel"/>
    <w:tmpl w:val="5816BFE0"/>
    <w:lvl w:ilvl="0" w:tplc="1FCC44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8481E"/>
    <w:multiLevelType w:val="hybridMultilevel"/>
    <w:tmpl w:val="EB8AC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804FA"/>
    <w:multiLevelType w:val="hybridMultilevel"/>
    <w:tmpl w:val="0BCE2B90"/>
    <w:lvl w:ilvl="0" w:tplc="D9B6DD6C">
      <w:start w:val="1"/>
      <w:numFmt w:val="decimal"/>
      <w:pStyle w:val="21"/>
      <w:lvlText w:val="2.%1"/>
      <w:lvlJc w:val="left"/>
      <w:pPr>
        <w:ind w:left="567" w:hanging="567"/>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44AB0"/>
    <w:multiLevelType w:val="multilevel"/>
    <w:tmpl w:val="AACE2E58"/>
    <w:lvl w:ilvl="0">
      <w:start w:val="1"/>
      <w:numFmt w:val="bullet"/>
      <w:pStyle w:val="Bulletblueplain"/>
      <w:lvlText w:val=""/>
      <w:lvlJc w:val="left"/>
      <w:pPr>
        <w:tabs>
          <w:tab w:val="num" w:pos="1078"/>
        </w:tabs>
        <w:ind w:left="1077" w:hanging="283"/>
      </w:pPr>
      <w:rPr>
        <w:rFonts w:ascii="Symbol" w:hAnsi="Symbol" w:hint="default"/>
        <w:b w:val="0"/>
        <w:bCs w:val="0"/>
        <w:i w:val="0"/>
        <w:iCs w:val="0"/>
        <w:color w:val="0093D5"/>
        <w:sz w:val="20"/>
        <w:szCs w:val="20"/>
      </w:rPr>
    </w:lvl>
    <w:lvl w:ilvl="1">
      <w:start w:val="1"/>
      <w:numFmt w:val="bullet"/>
      <w:lvlText w:val="o"/>
      <w:lvlJc w:val="left"/>
      <w:pPr>
        <w:tabs>
          <w:tab w:val="num" w:pos="1362"/>
        </w:tabs>
        <w:ind w:left="1418" w:hanging="340"/>
      </w:pPr>
      <w:rPr>
        <w:rFonts w:ascii="Courier New" w:hAnsi="Courier New" w:hint="default"/>
      </w:rPr>
    </w:lvl>
    <w:lvl w:ilvl="2">
      <w:start w:val="1"/>
      <w:numFmt w:val="bullet"/>
      <w:lvlText w:val=""/>
      <w:lvlJc w:val="left"/>
      <w:pPr>
        <w:tabs>
          <w:tab w:val="num" w:pos="1646"/>
        </w:tabs>
        <w:ind w:left="1702" w:hanging="340"/>
      </w:pPr>
      <w:rPr>
        <w:rFonts w:ascii="Wingdings" w:hAnsi="Wingdings" w:hint="default"/>
      </w:rPr>
    </w:lvl>
    <w:lvl w:ilvl="3">
      <w:start w:val="1"/>
      <w:numFmt w:val="bullet"/>
      <w:lvlText w:val=""/>
      <w:lvlJc w:val="left"/>
      <w:pPr>
        <w:tabs>
          <w:tab w:val="num" w:pos="1930"/>
        </w:tabs>
        <w:ind w:left="1986" w:hanging="340"/>
      </w:pPr>
      <w:rPr>
        <w:rFonts w:ascii="Symbol" w:hAnsi="Symbol" w:hint="default"/>
      </w:rPr>
    </w:lvl>
    <w:lvl w:ilvl="4">
      <w:start w:val="1"/>
      <w:numFmt w:val="bullet"/>
      <w:lvlText w:val="o"/>
      <w:lvlJc w:val="left"/>
      <w:pPr>
        <w:tabs>
          <w:tab w:val="num" w:pos="2214"/>
        </w:tabs>
        <w:ind w:left="2270" w:hanging="340"/>
      </w:pPr>
      <w:rPr>
        <w:rFonts w:ascii="Courier New" w:hAnsi="Courier New" w:hint="default"/>
      </w:rPr>
    </w:lvl>
    <w:lvl w:ilvl="5">
      <w:start w:val="1"/>
      <w:numFmt w:val="bullet"/>
      <w:lvlText w:val=""/>
      <w:lvlJc w:val="left"/>
      <w:pPr>
        <w:tabs>
          <w:tab w:val="num" w:pos="2498"/>
        </w:tabs>
        <w:ind w:left="2554" w:hanging="340"/>
      </w:pPr>
      <w:rPr>
        <w:rFonts w:ascii="Wingdings" w:hAnsi="Wingdings" w:hint="default"/>
      </w:rPr>
    </w:lvl>
    <w:lvl w:ilvl="6">
      <w:start w:val="1"/>
      <w:numFmt w:val="bullet"/>
      <w:lvlText w:val=""/>
      <w:lvlJc w:val="left"/>
      <w:pPr>
        <w:tabs>
          <w:tab w:val="num" w:pos="2782"/>
        </w:tabs>
        <w:ind w:left="2838" w:hanging="340"/>
      </w:pPr>
      <w:rPr>
        <w:rFonts w:ascii="Symbol" w:hAnsi="Symbol" w:hint="default"/>
      </w:rPr>
    </w:lvl>
    <w:lvl w:ilvl="7">
      <w:start w:val="1"/>
      <w:numFmt w:val="bullet"/>
      <w:lvlText w:val="o"/>
      <w:lvlJc w:val="left"/>
      <w:pPr>
        <w:tabs>
          <w:tab w:val="num" w:pos="3066"/>
        </w:tabs>
        <w:ind w:left="3122" w:hanging="340"/>
      </w:pPr>
      <w:rPr>
        <w:rFonts w:ascii="Courier New" w:hAnsi="Courier New" w:hint="default"/>
      </w:rPr>
    </w:lvl>
    <w:lvl w:ilvl="8">
      <w:start w:val="1"/>
      <w:numFmt w:val="bullet"/>
      <w:lvlText w:val=""/>
      <w:lvlJc w:val="left"/>
      <w:pPr>
        <w:tabs>
          <w:tab w:val="num" w:pos="3350"/>
        </w:tabs>
        <w:ind w:left="3406" w:hanging="340"/>
      </w:pPr>
      <w:rPr>
        <w:rFonts w:ascii="Wingdings" w:hAnsi="Wingdings" w:hint="default"/>
      </w:rPr>
    </w:lvl>
  </w:abstractNum>
  <w:abstractNum w:abstractNumId="11" w15:restartNumberingAfterBreak="0">
    <w:nsid w:val="1CDA0D4E"/>
    <w:multiLevelType w:val="multilevel"/>
    <w:tmpl w:val="7BE2FE2A"/>
    <w:lvl w:ilvl="0">
      <w:start w:val="1"/>
      <w:numFmt w:val="decimal"/>
      <w:suff w:val="space"/>
      <w:lvlText w:val="Section %1:"/>
      <w:lvlJc w:val="left"/>
      <w:pPr>
        <w:ind w:left="567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Chapt"/>
      <w:lvlText w:val="%1.%2"/>
      <w:lvlJc w:val="left"/>
      <w:pPr>
        <w:tabs>
          <w:tab w:val="num" w:pos="199"/>
        </w:tabs>
        <w:ind w:left="505" w:hanging="363"/>
      </w:pPr>
      <w:rPr>
        <w:rFonts w:ascii="Calibri" w:hAnsi="Calibri" w:hint="default"/>
        <w:b w:val="0"/>
        <w:bCs w:val="0"/>
        <w:i w:val="0"/>
        <w:iCs w:val="0"/>
        <w:caps w:val="0"/>
        <w:smallCaps w:val="0"/>
        <w:strike w:val="0"/>
        <w:dstrike w:val="0"/>
        <w:color w:val="auto"/>
        <w:spacing w:val="0"/>
        <w:w w:val="100"/>
        <w:kern w:val="0"/>
        <w:position w:val="0"/>
        <w:sz w:val="22"/>
        <w:szCs w:val="22"/>
        <w:u w:val="none"/>
        <w:effect w:val="none"/>
        <w:bdr w:val="none" w:sz="0" w:space="0" w:color="auto"/>
        <w:shd w:val="clear" w:color="auto" w:fill="auto"/>
        <w:vertAlign w:val="superscript"/>
        <w:em w:val="none"/>
      </w:rPr>
    </w:lvl>
    <w:lvl w:ilvl="2">
      <w:start w:val="1"/>
      <w:numFmt w:val="decimal"/>
      <w:lvlText w:val="%1.%2.%3"/>
      <w:lvlJc w:val="left"/>
      <w:pPr>
        <w:tabs>
          <w:tab w:val="num" w:pos="360"/>
        </w:tabs>
        <w:ind w:left="284" w:firstLine="0"/>
      </w:pPr>
      <w:rPr>
        <w:rFonts w:hint="default"/>
      </w:rPr>
    </w:lvl>
    <w:lvl w:ilvl="3">
      <w:start w:val="1"/>
      <w:numFmt w:val="decimal"/>
      <w:lvlText w:val="%1.%2.%3.%4."/>
      <w:lvlJc w:val="left"/>
      <w:pPr>
        <w:tabs>
          <w:tab w:val="num" w:pos="360"/>
        </w:tabs>
        <w:ind w:left="284" w:firstLine="0"/>
      </w:pPr>
      <w:rPr>
        <w:rFonts w:hint="default"/>
      </w:rPr>
    </w:lvl>
    <w:lvl w:ilvl="4">
      <w:start w:val="1"/>
      <w:numFmt w:val="decimal"/>
      <w:lvlText w:val="%1.%2.%3.%4.%5."/>
      <w:lvlJc w:val="left"/>
      <w:pPr>
        <w:tabs>
          <w:tab w:val="num" w:pos="360"/>
        </w:tabs>
        <w:ind w:left="284" w:firstLine="0"/>
      </w:pPr>
      <w:rPr>
        <w:rFonts w:hint="default"/>
      </w:rPr>
    </w:lvl>
    <w:lvl w:ilvl="5">
      <w:start w:val="1"/>
      <w:numFmt w:val="decimal"/>
      <w:lvlText w:val="%1.%2.%3.%4.%5.%6."/>
      <w:lvlJc w:val="left"/>
      <w:pPr>
        <w:tabs>
          <w:tab w:val="num" w:pos="360"/>
        </w:tabs>
        <w:ind w:left="284" w:firstLine="0"/>
      </w:pPr>
      <w:rPr>
        <w:rFonts w:hint="default"/>
      </w:rPr>
    </w:lvl>
    <w:lvl w:ilvl="6">
      <w:start w:val="1"/>
      <w:numFmt w:val="decimal"/>
      <w:lvlText w:val="%1.%2.%3.%4.%5.%6.%7."/>
      <w:lvlJc w:val="left"/>
      <w:pPr>
        <w:tabs>
          <w:tab w:val="num" w:pos="360"/>
        </w:tabs>
        <w:ind w:left="284" w:firstLine="0"/>
      </w:pPr>
      <w:rPr>
        <w:rFonts w:hint="default"/>
      </w:rPr>
    </w:lvl>
    <w:lvl w:ilvl="7">
      <w:start w:val="1"/>
      <w:numFmt w:val="decimal"/>
      <w:lvlText w:val="%1.%2.%3.%4.%5.%6.%7.%8."/>
      <w:lvlJc w:val="left"/>
      <w:pPr>
        <w:tabs>
          <w:tab w:val="num" w:pos="360"/>
        </w:tabs>
        <w:ind w:left="284" w:firstLine="0"/>
      </w:pPr>
      <w:rPr>
        <w:rFonts w:hint="default"/>
      </w:rPr>
    </w:lvl>
    <w:lvl w:ilvl="8">
      <w:start w:val="1"/>
      <w:numFmt w:val="decimal"/>
      <w:lvlText w:val="%1.%2.%3.%4.%5.%6.%7.%8.%9."/>
      <w:lvlJc w:val="left"/>
      <w:pPr>
        <w:tabs>
          <w:tab w:val="num" w:pos="360"/>
        </w:tabs>
        <w:ind w:left="284" w:firstLine="0"/>
      </w:pPr>
      <w:rPr>
        <w:rFonts w:hint="default"/>
      </w:rPr>
    </w:lvl>
  </w:abstractNum>
  <w:abstractNum w:abstractNumId="12" w15:restartNumberingAfterBreak="0">
    <w:nsid w:val="1CFC250A"/>
    <w:multiLevelType w:val="hybridMultilevel"/>
    <w:tmpl w:val="37E6EB4C"/>
    <w:lvl w:ilvl="0" w:tplc="6534D8F2">
      <w:start w:val="1"/>
      <w:numFmt w:val="bullet"/>
      <w:lvlText w:val=""/>
      <w:lvlJc w:val="left"/>
      <w:pPr>
        <w:tabs>
          <w:tab w:val="num" w:pos="720"/>
        </w:tabs>
        <w:ind w:left="720" w:hanging="360"/>
      </w:pPr>
      <w:rPr>
        <w:rFonts w:ascii="Symbol" w:hAnsi="Symbol" w:hint="default"/>
        <w:color w:val="auto"/>
      </w:rPr>
    </w:lvl>
    <w:lvl w:ilvl="1" w:tplc="08090003">
      <w:start w:val="1"/>
      <w:numFmt w:val="bullet"/>
      <w:pStyle w:val="ReportTex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D16BE"/>
    <w:multiLevelType w:val="multilevel"/>
    <w:tmpl w:val="43B4A83C"/>
    <w:lvl w:ilvl="0">
      <w:start w:val="11"/>
      <w:numFmt w:val="decimal"/>
      <w:lvlText w:val="%1"/>
      <w:lvlJc w:val="left"/>
      <w:pPr>
        <w:ind w:left="384" w:hanging="384"/>
      </w:pPr>
      <w:rPr>
        <w:rFonts w:hint="default"/>
        <w:color w:val="000000"/>
      </w:rPr>
    </w:lvl>
    <w:lvl w:ilvl="1">
      <w:start w:val="1"/>
      <w:numFmt w:val="decimal"/>
      <w:lvlText w:val="%1.%2"/>
      <w:lvlJc w:val="left"/>
      <w:pPr>
        <w:ind w:left="384" w:hanging="384"/>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26BF32EB"/>
    <w:multiLevelType w:val="hybridMultilevel"/>
    <w:tmpl w:val="62ACE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1C1833"/>
    <w:multiLevelType w:val="multilevel"/>
    <w:tmpl w:val="50565C30"/>
    <w:lvl w:ilvl="0">
      <w:start w:val="1"/>
      <w:numFmt w:val="lowerLetter"/>
      <w:pStyle w:val="Listinga-i"/>
      <w:lvlText w:val="%1."/>
      <w:lvlJc w:val="left"/>
      <w:pPr>
        <w:ind w:left="1077" w:hanging="283"/>
      </w:pPr>
      <w:rPr>
        <w:rFonts w:ascii="Arial" w:hAnsi="Arial" w:hint="default"/>
        <w:b w:val="0"/>
        <w:i w:val="0"/>
        <w:sz w:val="20"/>
      </w:rPr>
    </w:lvl>
    <w:lvl w:ilvl="1">
      <w:start w:val="1"/>
      <w:numFmt w:val="lowerRoman"/>
      <w:pStyle w:val="BodyTextbeforebullet"/>
      <w:lvlText w:val="%2."/>
      <w:lvlJc w:val="left"/>
      <w:pPr>
        <w:ind w:left="1361" w:hanging="283"/>
      </w:pPr>
      <w:rPr>
        <w:rFonts w:hint="default"/>
      </w:rPr>
    </w:lvl>
    <w:lvl w:ilvl="2">
      <w:start w:val="1"/>
      <w:numFmt w:val="bullet"/>
      <w:lvlText w:val=""/>
      <w:lvlJc w:val="left"/>
      <w:pPr>
        <w:ind w:left="1645" w:hanging="283"/>
      </w:pPr>
      <w:rPr>
        <w:rFonts w:ascii="Symbol" w:hAnsi="Symbol" w:hint="default"/>
      </w:rPr>
    </w:lvl>
    <w:lvl w:ilvl="3">
      <w:start w:val="1"/>
      <w:numFmt w:val="bullet"/>
      <w:lvlText w:val=""/>
      <w:lvlJc w:val="left"/>
      <w:pPr>
        <w:ind w:left="1929" w:hanging="283"/>
      </w:pPr>
      <w:rPr>
        <w:rFonts w:ascii="Symbol" w:hAnsi="Symbol" w:hint="default"/>
        <w:color w:val="0093D5"/>
      </w:rPr>
    </w:lvl>
    <w:lvl w:ilvl="4">
      <w:start w:val="1"/>
      <w:numFmt w:val="lowerLetter"/>
      <w:lvlText w:val="%5."/>
      <w:lvlJc w:val="left"/>
      <w:pPr>
        <w:ind w:left="2213" w:hanging="283"/>
      </w:pPr>
      <w:rPr>
        <w:rFonts w:hint="default"/>
      </w:rPr>
    </w:lvl>
    <w:lvl w:ilvl="5">
      <w:start w:val="1"/>
      <w:numFmt w:val="lowerRoman"/>
      <w:lvlText w:val="%6."/>
      <w:lvlJc w:val="right"/>
      <w:pPr>
        <w:ind w:left="2497" w:hanging="283"/>
      </w:pPr>
      <w:rPr>
        <w:rFonts w:hint="default"/>
      </w:rPr>
    </w:lvl>
    <w:lvl w:ilvl="6">
      <w:start w:val="1"/>
      <w:numFmt w:val="decimal"/>
      <w:lvlText w:val="%7."/>
      <w:lvlJc w:val="left"/>
      <w:pPr>
        <w:ind w:left="2781" w:hanging="283"/>
      </w:pPr>
      <w:rPr>
        <w:rFonts w:hint="default"/>
      </w:rPr>
    </w:lvl>
    <w:lvl w:ilvl="7">
      <w:start w:val="1"/>
      <w:numFmt w:val="lowerLetter"/>
      <w:lvlText w:val="%8."/>
      <w:lvlJc w:val="left"/>
      <w:pPr>
        <w:ind w:left="3065" w:hanging="283"/>
      </w:pPr>
      <w:rPr>
        <w:rFonts w:hint="default"/>
      </w:rPr>
    </w:lvl>
    <w:lvl w:ilvl="8">
      <w:start w:val="1"/>
      <w:numFmt w:val="lowerRoman"/>
      <w:lvlText w:val="%9."/>
      <w:lvlJc w:val="right"/>
      <w:pPr>
        <w:ind w:left="3349" w:hanging="283"/>
      </w:pPr>
      <w:rPr>
        <w:rFonts w:hint="default"/>
      </w:rPr>
    </w:lvl>
  </w:abstractNum>
  <w:abstractNum w:abstractNumId="16" w15:restartNumberingAfterBreak="0">
    <w:nsid w:val="29584335"/>
    <w:multiLevelType w:val="multilevel"/>
    <w:tmpl w:val="AD5C2074"/>
    <w:lvl w:ilvl="0">
      <w:start w:val="1"/>
      <w:numFmt w:val="decimal"/>
      <w:pStyle w:val="Tableheading"/>
      <w:lvlText w:val="Table %1:"/>
      <w:lvlJc w:val="left"/>
      <w:pPr>
        <w:ind w:left="1154" w:hanging="360"/>
      </w:pPr>
      <w:rPr>
        <w:rFonts w:ascii="Arial Bold" w:hAnsi="Arial Bold" w:hint="default"/>
        <w:b/>
        <w:bCs/>
        <w:i w:val="0"/>
        <w:iCs w:val="0"/>
        <w:color w:val="auto"/>
        <w:sz w:val="24"/>
        <w:szCs w:val="40"/>
        <w:u w:val="none"/>
      </w:rPr>
    </w:lvl>
    <w:lvl w:ilvl="1">
      <w:start w:val="1"/>
      <w:numFmt w:val="decimal"/>
      <w:lvlText w:val="%1.%2."/>
      <w:lvlJc w:val="left"/>
      <w:pPr>
        <w:tabs>
          <w:tab w:val="num" w:pos="1021"/>
        </w:tabs>
        <w:ind w:left="1021" w:hanging="1021"/>
      </w:pPr>
      <w:rPr>
        <w:rFonts w:ascii="Arial" w:hAnsi="Arial" w:hint="default"/>
        <w:b w:val="0"/>
        <w:bCs w:val="0"/>
        <w:i w:val="0"/>
        <w:iCs w:val="0"/>
        <w:color w:val="000000" w:themeColor="text1"/>
        <w:u w:val="none"/>
      </w:rPr>
    </w:lvl>
    <w:lvl w:ilvl="2">
      <w:start w:val="1"/>
      <w:numFmt w:val="decimal"/>
      <w:lvlText w:val="%1.%2.%3."/>
      <w:lvlJc w:val="left"/>
      <w:pPr>
        <w:tabs>
          <w:tab w:val="num" w:pos="1021"/>
        </w:tabs>
        <w:ind w:left="1021" w:hanging="1021"/>
      </w:pPr>
      <w:rPr>
        <w:rFonts w:ascii="Arial" w:hAnsi="Arial" w:hint="default"/>
        <w:b w:val="0"/>
        <w:bCs w:val="0"/>
        <w:i w:val="0"/>
        <w:iCs w:val="0"/>
        <w:color w:val="auto"/>
        <w:u w:val="none"/>
      </w:rPr>
    </w:lvl>
    <w:lvl w:ilvl="3">
      <w:start w:val="1"/>
      <w:numFmt w:val="decimal"/>
      <w:lvlText w:val="%1.%2.%3.%4."/>
      <w:lvlJc w:val="left"/>
      <w:pPr>
        <w:tabs>
          <w:tab w:val="num" w:pos="1021"/>
        </w:tabs>
        <w:ind w:left="1021" w:hanging="1021"/>
      </w:pPr>
      <w:rPr>
        <w:rFonts w:ascii="Arial" w:hAnsi="Arial" w:hint="default"/>
        <w:b w:val="0"/>
        <w:bCs w:val="0"/>
        <w:i w:val="0"/>
        <w:iCs w:val="0"/>
        <w:color w:val="auto"/>
        <w:u w:val="none"/>
      </w:rPr>
    </w:lvl>
    <w:lvl w:ilvl="4">
      <w:start w:val="1"/>
      <w:numFmt w:val="decimal"/>
      <w:lvlText w:val="%1.%2.%3.%4.%5."/>
      <w:lvlJc w:val="left"/>
      <w:pPr>
        <w:tabs>
          <w:tab w:val="num" w:pos="879"/>
        </w:tabs>
        <w:ind w:left="879" w:hanging="1021"/>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17" w15:restartNumberingAfterBreak="0">
    <w:nsid w:val="2B976CFF"/>
    <w:multiLevelType w:val="hybridMultilevel"/>
    <w:tmpl w:val="6FFC8A60"/>
    <w:lvl w:ilvl="0" w:tplc="1764AF8E">
      <w:start w:val="1"/>
      <w:numFmt w:val="upperLetter"/>
      <w:pStyle w:val="Appendices"/>
      <w:lvlText w:val="APPENDIX %1:"/>
      <w:lvlJc w:val="left"/>
      <w:pPr>
        <w:tabs>
          <w:tab w:val="num" w:pos="794"/>
        </w:tabs>
        <w:ind w:left="794" w:hanging="794"/>
      </w:pPr>
      <w:rPr>
        <w:rFonts w:ascii="Arial Bold" w:hAnsi="Arial Bold" w:hint="default"/>
        <w:b/>
        <w:i w:val="0"/>
        <w:cap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9D73BB"/>
    <w:multiLevelType w:val="multilevel"/>
    <w:tmpl w:val="90BE5FB6"/>
    <w:lvl w:ilvl="0">
      <w:start w:val="1"/>
      <w:numFmt w:val="decimal"/>
      <w:lvlText w:val="%1"/>
      <w:lvlJc w:val="left"/>
      <w:pPr>
        <w:tabs>
          <w:tab w:val="num" w:pos="720"/>
        </w:tabs>
        <w:ind w:left="720" w:hanging="720"/>
      </w:pPr>
      <w:rPr>
        <w:rFonts w:hint="default"/>
      </w:rPr>
    </w:lvl>
    <w:lvl w:ilvl="1">
      <w:start w:val="1"/>
      <w:numFmt w:val="decimal"/>
      <w:lvlText w:val="2.%2"/>
      <w:lvlJc w:val="left"/>
      <w:pPr>
        <w:tabs>
          <w:tab w:val="num" w:pos="720"/>
        </w:tabs>
        <w:ind w:left="720" w:hanging="720"/>
      </w:pPr>
      <w:rPr>
        <w:rFonts w:hint="default"/>
      </w:rPr>
    </w:lvl>
    <w:lvl w:ilvl="2">
      <w:start w:val="1"/>
      <w:numFmt w:val="decimal"/>
      <w:pStyle w:val="BlueBullet"/>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0597F1A"/>
    <w:multiLevelType w:val="multilevel"/>
    <w:tmpl w:val="554835FE"/>
    <w:lvl w:ilvl="0">
      <w:start w:val="1"/>
      <w:numFmt w:val="lowerLetter"/>
      <w:pStyle w:val="Quotelistinga"/>
      <w:lvlText w:val="%1."/>
      <w:lvlJc w:val="left"/>
      <w:pPr>
        <w:tabs>
          <w:tab w:val="num" w:pos="907"/>
        </w:tabs>
        <w:ind w:left="1077" w:hanging="283"/>
      </w:pPr>
      <w:rPr>
        <w:rFonts w:ascii="Arial" w:hAnsi="Arial" w:hint="default"/>
        <w:b w:val="0"/>
        <w:i w:val="0"/>
        <w:sz w:val="20"/>
      </w:rPr>
    </w:lvl>
    <w:lvl w:ilvl="1">
      <w:start w:val="1"/>
      <w:numFmt w:val="lowerRoman"/>
      <w:pStyle w:val="Quotelistingi"/>
      <w:lvlText w:val="%2."/>
      <w:lvlJc w:val="left"/>
      <w:pPr>
        <w:ind w:left="1077" w:hanging="283"/>
      </w:pPr>
      <w:rPr>
        <w:rFonts w:ascii="Arial" w:hAnsi="Arial" w:hint="default"/>
        <w:b w:val="0"/>
        <w:i w:val="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2605BF5"/>
    <w:multiLevelType w:val="hybridMultilevel"/>
    <w:tmpl w:val="67ACB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00DA5"/>
    <w:multiLevelType w:val="hybridMultilevel"/>
    <w:tmpl w:val="C2E6820C"/>
    <w:lvl w:ilvl="0" w:tplc="71C8809C">
      <w:start w:val="1"/>
      <w:numFmt w:val="decimal"/>
      <w:pStyle w:val="headmain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85683F"/>
    <w:multiLevelType w:val="multilevel"/>
    <w:tmpl w:val="06EA7A98"/>
    <w:lvl w:ilvl="0">
      <w:start w:val="1"/>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3" w15:restartNumberingAfterBreak="0">
    <w:nsid w:val="3DB03D39"/>
    <w:multiLevelType w:val="multilevel"/>
    <w:tmpl w:val="29F63E3A"/>
    <w:lvl w:ilvl="0">
      <w:start w:val="4"/>
      <w:numFmt w:val="decimal"/>
      <w:pStyle w:val="BulletORANGE"/>
      <w:lvlText w:val="%1"/>
      <w:lvlJc w:val="left"/>
      <w:pPr>
        <w:tabs>
          <w:tab w:val="num" w:pos="720"/>
        </w:tabs>
        <w:ind w:left="720" w:hanging="720"/>
      </w:pPr>
      <w:rPr>
        <w:rFonts w:hint="default"/>
      </w:rPr>
    </w:lvl>
    <w:lvl w:ilvl="1">
      <w:start w:val="5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50472E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5" w15:restartNumberingAfterBreak="0">
    <w:nsid w:val="47030C82"/>
    <w:multiLevelType w:val="hybridMultilevel"/>
    <w:tmpl w:val="30F4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31FB3"/>
    <w:multiLevelType w:val="hybridMultilevel"/>
    <w:tmpl w:val="B824AE82"/>
    <w:lvl w:ilvl="0" w:tplc="08090003">
      <w:start w:val="1"/>
      <w:numFmt w:val="bullet"/>
      <w:lvlText w:val="o"/>
      <w:lvlJc w:val="left"/>
      <w:pPr>
        <w:ind w:left="1211" w:hanging="360"/>
      </w:pPr>
      <w:rPr>
        <w:rFonts w:ascii="Courier New" w:hAnsi="Courier New" w:cs="Courier New" w:hint="default"/>
        <w:color w:val="009DDF"/>
      </w:rPr>
    </w:lvl>
    <w:lvl w:ilvl="1" w:tplc="08090019">
      <w:start w:val="1"/>
      <w:numFmt w:val="bullet"/>
      <w:lvlText w:val="o"/>
      <w:lvlJc w:val="left"/>
      <w:pPr>
        <w:ind w:left="2008" w:hanging="360"/>
      </w:pPr>
      <w:rPr>
        <w:rFonts w:ascii="Courier New" w:hAnsi="Courier New" w:hint="default"/>
      </w:rPr>
    </w:lvl>
    <w:lvl w:ilvl="2" w:tplc="0809001B">
      <w:start w:val="1"/>
      <w:numFmt w:val="bullet"/>
      <w:lvlText w:val=""/>
      <w:lvlJc w:val="left"/>
      <w:pPr>
        <w:ind w:left="2728" w:hanging="360"/>
      </w:pPr>
      <w:rPr>
        <w:rFonts w:ascii="Wingdings" w:hAnsi="Wingdings" w:hint="default"/>
      </w:rPr>
    </w:lvl>
    <w:lvl w:ilvl="3" w:tplc="0809000F">
      <w:start w:val="1"/>
      <w:numFmt w:val="bullet"/>
      <w:lvlText w:val=""/>
      <w:lvlJc w:val="left"/>
      <w:pPr>
        <w:ind w:left="3448" w:hanging="360"/>
      </w:pPr>
      <w:rPr>
        <w:rFonts w:ascii="Symbol" w:hAnsi="Symbol" w:hint="default"/>
      </w:rPr>
    </w:lvl>
    <w:lvl w:ilvl="4" w:tplc="08090019">
      <w:start w:val="1"/>
      <w:numFmt w:val="bullet"/>
      <w:lvlText w:val="o"/>
      <w:lvlJc w:val="left"/>
      <w:pPr>
        <w:ind w:left="4168" w:hanging="360"/>
      </w:pPr>
      <w:rPr>
        <w:rFonts w:ascii="Courier New" w:hAnsi="Courier New" w:hint="default"/>
      </w:rPr>
    </w:lvl>
    <w:lvl w:ilvl="5" w:tplc="0809001B">
      <w:start w:val="1"/>
      <w:numFmt w:val="bullet"/>
      <w:lvlText w:val=""/>
      <w:lvlJc w:val="left"/>
      <w:pPr>
        <w:ind w:left="4888" w:hanging="360"/>
      </w:pPr>
      <w:rPr>
        <w:rFonts w:ascii="Wingdings" w:hAnsi="Wingdings" w:hint="default"/>
      </w:rPr>
    </w:lvl>
    <w:lvl w:ilvl="6" w:tplc="0809000F">
      <w:start w:val="1"/>
      <w:numFmt w:val="bullet"/>
      <w:lvlText w:val=""/>
      <w:lvlJc w:val="left"/>
      <w:pPr>
        <w:ind w:left="5608" w:hanging="360"/>
      </w:pPr>
      <w:rPr>
        <w:rFonts w:ascii="Symbol" w:hAnsi="Symbol" w:hint="default"/>
      </w:rPr>
    </w:lvl>
    <w:lvl w:ilvl="7" w:tplc="08090019">
      <w:start w:val="1"/>
      <w:numFmt w:val="bullet"/>
      <w:lvlText w:val="o"/>
      <w:lvlJc w:val="left"/>
      <w:pPr>
        <w:ind w:left="6328" w:hanging="360"/>
      </w:pPr>
      <w:rPr>
        <w:rFonts w:ascii="Courier New" w:hAnsi="Courier New" w:hint="default"/>
      </w:rPr>
    </w:lvl>
    <w:lvl w:ilvl="8" w:tplc="0809001B">
      <w:start w:val="1"/>
      <w:numFmt w:val="bullet"/>
      <w:lvlText w:val=""/>
      <w:lvlJc w:val="left"/>
      <w:pPr>
        <w:ind w:left="7048" w:hanging="360"/>
      </w:pPr>
      <w:rPr>
        <w:rFonts w:ascii="Wingdings" w:hAnsi="Wingdings" w:hint="default"/>
      </w:rPr>
    </w:lvl>
  </w:abstractNum>
  <w:abstractNum w:abstractNumId="27" w15:restartNumberingAfterBreak="0">
    <w:nsid w:val="48EE0655"/>
    <w:multiLevelType w:val="multilevel"/>
    <w:tmpl w:val="34167638"/>
    <w:lvl w:ilvl="0">
      <w:start w:val="1"/>
      <w:numFmt w:val="bullet"/>
      <w:pStyle w:val="Bullet-Blue"/>
      <w:lvlText w:val=""/>
      <w:lvlJc w:val="left"/>
      <w:pPr>
        <w:tabs>
          <w:tab w:val="num" w:pos="454"/>
        </w:tabs>
        <w:ind w:left="907" w:hanging="453"/>
      </w:pPr>
      <w:rPr>
        <w:rFonts w:ascii="Symbol" w:hAnsi="Symbol" w:hint="default"/>
        <w:color w:val="009DDF"/>
        <w:sz w:val="20"/>
      </w:rPr>
    </w:lvl>
    <w:lvl w:ilvl="1">
      <w:start w:val="1"/>
      <w:numFmt w:val="bullet"/>
      <w:lvlText w:val="o"/>
      <w:lvlJc w:val="left"/>
      <w:pPr>
        <w:tabs>
          <w:tab w:val="num" w:pos="908"/>
        </w:tabs>
        <w:ind w:left="1361" w:hanging="453"/>
      </w:pPr>
      <w:rPr>
        <w:rFonts w:ascii="Courier New" w:hAnsi="Courier New" w:cs="Courier New" w:hint="default"/>
      </w:rPr>
    </w:lvl>
    <w:lvl w:ilvl="2">
      <w:start w:val="1"/>
      <w:numFmt w:val="bullet"/>
      <w:lvlText w:val=""/>
      <w:lvlJc w:val="left"/>
      <w:pPr>
        <w:tabs>
          <w:tab w:val="num" w:pos="1362"/>
        </w:tabs>
        <w:ind w:left="1815" w:hanging="453"/>
      </w:pPr>
      <w:rPr>
        <w:rFonts w:ascii="Wingdings" w:hAnsi="Wingdings" w:hint="default"/>
      </w:rPr>
    </w:lvl>
    <w:lvl w:ilvl="3">
      <w:start w:val="1"/>
      <w:numFmt w:val="bullet"/>
      <w:lvlText w:val=""/>
      <w:lvlJc w:val="left"/>
      <w:pPr>
        <w:tabs>
          <w:tab w:val="num" w:pos="1816"/>
        </w:tabs>
        <w:ind w:left="2269" w:hanging="453"/>
      </w:pPr>
      <w:rPr>
        <w:rFonts w:ascii="Symbol" w:hAnsi="Symbol" w:hint="default"/>
      </w:rPr>
    </w:lvl>
    <w:lvl w:ilvl="4">
      <w:start w:val="1"/>
      <w:numFmt w:val="bullet"/>
      <w:lvlText w:val="o"/>
      <w:lvlJc w:val="left"/>
      <w:pPr>
        <w:tabs>
          <w:tab w:val="num" w:pos="2270"/>
        </w:tabs>
        <w:ind w:left="2723" w:hanging="453"/>
      </w:pPr>
      <w:rPr>
        <w:rFonts w:ascii="Courier New" w:hAnsi="Courier New" w:cs="Courier New" w:hint="default"/>
      </w:rPr>
    </w:lvl>
    <w:lvl w:ilvl="5">
      <w:start w:val="1"/>
      <w:numFmt w:val="bullet"/>
      <w:lvlText w:val=""/>
      <w:lvlJc w:val="left"/>
      <w:pPr>
        <w:tabs>
          <w:tab w:val="num" w:pos="2724"/>
        </w:tabs>
        <w:ind w:left="3177" w:hanging="453"/>
      </w:pPr>
      <w:rPr>
        <w:rFonts w:ascii="Wingdings" w:hAnsi="Wingdings" w:hint="default"/>
      </w:rPr>
    </w:lvl>
    <w:lvl w:ilvl="6">
      <w:start w:val="1"/>
      <w:numFmt w:val="bullet"/>
      <w:lvlText w:val=""/>
      <w:lvlJc w:val="left"/>
      <w:pPr>
        <w:tabs>
          <w:tab w:val="num" w:pos="3178"/>
        </w:tabs>
        <w:ind w:left="3631" w:hanging="453"/>
      </w:pPr>
      <w:rPr>
        <w:rFonts w:ascii="Symbol" w:hAnsi="Symbol" w:hint="default"/>
      </w:rPr>
    </w:lvl>
    <w:lvl w:ilvl="7">
      <w:start w:val="1"/>
      <w:numFmt w:val="bullet"/>
      <w:lvlText w:val="o"/>
      <w:lvlJc w:val="left"/>
      <w:pPr>
        <w:tabs>
          <w:tab w:val="num" w:pos="3632"/>
        </w:tabs>
        <w:ind w:left="4085" w:hanging="453"/>
      </w:pPr>
      <w:rPr>
        <w:rFonts w:ascii="Courier New" w:hAnsi="Courier New" w:cs="Courier New" w:hint="default"/>
      </w:rPr>
    </w:lvl>
    <w:lvl w:ilvl="8">
      <w:start w:val="1"/>
      <w:numFmt w:val="bullet"/>
      <w:lvlText w:val=""/>
      <w:lvlJc w:val="left"/>
      <w:pPr>
        <w:tabs>
          <w:tab w:val="num" w:pos="4086"/>
        </w:tabs>
        <w:ind w:left="4539" w:hanging="453"/>
      </w:pPr>
      <w:rPr>
        <w:rFonts w:ascii="Wingdings" w:hAnsi="Wingdings" w:hint="default"/>
      </w:rPr>
    </w:lvl>
  </w:abstractNum>
  <w:abstractNum w:abstractNumId="28" w15:restartNumberingAfterBreak="0">
    <w:nsid w:val="50C25A53"/>
    <w:multiLevelType w:val="multilevel"/>
    <w:tmpl w:val="D7B4A896"/>
    <w:lvl w:ilvl="0">
      <w:start w:val="1"/>
      <w:numFmt w:val="bullet"/>
      <w:lvlText w:val=""/>
      <w:lvlJc w:val="left"/>
      <w:pPr>
        <w:tabs>
          <w:tab w:val="num" w:pos="794"/>
        </w:tabs>
        <w:ind w:left="794" w:hanging="794"/>
      </w:pPr>
      <w:rPr>
        <w:rFonts w:ascii="Symbol" w:hAnsi="Symbol" w:hint="default"/>
        <w:b/>
        <w:bCs/>
        <w:i w:val="0"/>
        <w:iCs w:val="0"/>
        <w:color w:val="auto"/>
        <w:sz w:val="20"/>
        <w:szCs w:val="20"/>
        <w:u w:val="none"/>
      </w:rPr>
    </w:lvl>
    <w:lvl w:ilvl="1">
      <w:start w:val="1"/>
      <w:numFmt w:val="decimal"/>
      <w:lvlText w:val="%1.%2"/>
      <w:lvlJc w:val="left"/>
      <w:pPr>
        <w:tabs>
          <w:tab w:val="num" w:pos="794"/>
        </w:tabs>
        <w:ind w:left="794" w:hanging="794"/>
      </w:pPr>
      <w:rPr>
        <w:rFonts w:ascii="Arial" w:hAnsi="Arial" w:hint="default"/>
        <w:b w:val="0"/>
        <w:bCs w:val="0"/>
        <w:i w:val="0"/>
        <w:iCs w:val="0"/>
        <w:color w:val="000000" w:themeColor="text1"/>
        <w:sz w:val="20"/>
        <w:szCs w:val="20"/>
        <w:u w:val="none"/>
      </w:rPr>
    </w:lvl>
    <w:lvl w:ilvl="2">
      <w:start w:val="1"/>
      <w:numFmt w:val="decimal"/>
      <w:lvlRestart w:val="1"/>
      <w:lvlText w:val="%1.%2"/>
      <w:lvlJc w:val="left"/>
      <w:pPr>
        <w:tabs>
          <w:tab w:val="num" w:pos="794"/>
        </w:tabs>
        <w:ind w:left="794" w:hanging="794"/>
      </w:pPr>
      <w:rPr>
        <w:rFonts w:ascii="Arial" w:hAnsi="Arial" w:hint="default"/>
        <w:b w:val="0"/>
        <w:bCs w:val="0"/>
        <w:i w:val="0"/>
        <w:iCs w:val="0"/>
        <w:color w:val="auto"/>
        <w:sz w:val="20"/>
        <w:szCs w:val="20"/>
        <w:u w:val="none"/>
      </w:rPr>
    </w:lvl>
    <w:lvl w:ilvl="3">
      <w:start w:val="1"/>
      <w:numFmt w:val="decimal"/>
      <w:lvlText w:val="%1.%2.%4"/>
      <w:lvlJc w:val="left"/>
      <w:pPr>
        <w:ind w:left="1870" w:hanging="1728"/>
      </w:pPr>
      <w:rPr>
        <w:rFonts w:ascii="Arial" w:hAnsi="Arial" w:hint="default"/>
        <w:b w:val="0"/>
        <w:bCs w:val="0"/>
        <w:i w:val="0"/>
        <w:iCs w:val="0"/>
        <w:color w:val="auto"/>
        <w:sz w:val="20"/>
        <w:szCs w:val="20"/>
        <w:u w:val="none"/>
      </w:rPr>
    </w:lvl>
    <w:lvl w:ilvl="4">
      <w:start w:val="1"/>
      <w:numFmt w:val="decimal"/>
      <w:lvlText w:val="%1.%2.3"/>
      <w:lvlJc w:val="left"/>
      <w:pPr>
        <w:tabs>
          <w:tab w:val="num" w:pos="794"/>
        </w:tabs>
        <w:ind w:left="794" w:hanging="794"/>
      </w:pPr>
      <w:rPr>
        <w:rFonts w:ascii="Arial" w:hAnsi="Arial" w:hint="default"/>
        <w:b w:val="0"/>
        <w:bCs w:val="0"/>
        <w:i w:val="0"/>
        <w:iCs w:val="0"/>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B81207E"/>
    <w:multiLevelType w:val="multilevel"/>
    <w:tmpl w:val="931C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240B75"/>
    <w:multiLevelType w:val="hybridMultilevel"/>
    <w:tmpl w:val="DBEA5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9737C5"/>
    <w:multiLevelType w:val="hybridMultilevel"/>
    <w:tmpl w:val="E8F22186"/>
    <w:lvl w:ilvl="0" w:tplc="767E4DA8">
      <w:start w:val="1"/>
      <w:numFmt w:val="bullet"/>
      <w:pStyle w:val="10BulletBodytext"/>
      <w:lvlText w:val=""/>
      <w:lvlJc w:val="left"/>
      <w:pPr>
        <w:ind w:left="1211" w:hanging="360"/>
      </w:pPr>
      <w:rPr>
        <w:rFonts w:ascii="Symbol" w:hAnsi="Symbol" w:hint="default"/>
        <w:color w:val="009DDF"/>
      </w:rPr>
    </w:lvl>
    <w:lvl w:ilvl="1" w:tplc="08090019">
      <w:start w:val="1"/>
      <w:numFmt w:val="bullet"/>
      <w:lvlText w:val="o"/>
      <w:lvlJc w:val="left"/>
      <w:pPr>
        <w:ind w:left="2008" w:hanging="360"/>
      </w:pPr>
      <w:rPr>
        <w:rFonts w:ascii="Courier New" w:hAnsi="Courier New" w:hint="default"/>
      </w:rPr>
    </w:lvl>
    <w:lvl w:ilvl="2" w:tplc="0809001B">
      <w:start w:val="1"/>
      <w:numFmt w:val="bullet"/>
      <w:lvlText w:val=""/>
      <w:lvlJc w:val="left"/>
      <w:pPr>
        <w:ind w:left="2728" w:hanging="360"/>
      </w:pPr>
      <w:rPr>
        <w:rFonts w:ascii="Wingdings" w:hAnsi="Wingdings" w:hint="default"/>
      </w:rPr>
    </w:lvl>
    <w:lvl w:ilvl="3" w:tplc="0809000F">
      <w:start w:val="1"/>
      <w:numFmt w:val="bullet"/>
      <w:lvlText w:val=""/>
      <w:lvlJc w:val="left"/>
      <w:pPr>
        <w:ind w:left="3448" w:hanging="360"/>
      </w:pPr>
      <w:rPr>
        <w:rFonts w:ascii="Symbol" w:hAnsi="Symbol" w:hint="default"/>
      </w:rPr>
    </w:lvl>
    <w:lvl w:ilvl="4" w:tplc="08090019">
      <w:start w:val="1"/>
      <w:numFmt w:val="bullet"/>
      <w:lvlText w:val="o"/>
      <w:lvlJc w:val="left"/>
      <w:pPr>
        <w:ind w:left="4168" w:hanging="360"/>
      </w:pPr>
      <w:rPr>
        <w:rFonts w:ascii="Courier New" w:hAnsi="Courier New" w:hint="default"/>
      </w:rPr>
    </w:lvl>
    <w:lvl w:ilvl="5" w:tplc="0809001B">
      <w:start w:val="1"/>
      <w:numFmt w:val="bullet"/>
      <w:lvlText w:val=""/>
      <w:lvlJc w:val="left"/>
      <w:pPr>
        <w:ind w:left="4888" w:hanging="360"/>
      </w:pPr>
      <w:rPr>
        <w:rFonts w:ascii="Wingdings" w:hAnsi="Wingdings" w:hint="default"/>
      </w:rPr>
    </w:lvl>
    <w:lvl w:ilvl="6" w:tplc="0809000F">
      <w:start w:val="1"/>
      <w:numFmt w:val="bullet"/>
      <w:lvlText w:val=""/>
      <w:lvlJc w:val="left"/>
      <w:pPr>
        <w:ind w:left="5608" w:hanging="360"/>
      </w:pPr>
      <w:rPr>
        <w:rFonts w:ascii="Symbol" w:hAnsi="Symbol" w:hint="default"/>
      </w:rPr>
    </w:lvl>
    <w:lvl w:ilvl="7" w:tplc="08090019">
      <w:start w:val="1"/>
      <w:numFmt w:val="bullet"/>
      <w:lvlText w:val="o"/>
      <w:lvlJc w:val="left"/>
      <w:pPr>
        <w:ind w:left="6328" w:hanging="360"/>
      </w:pPr>
      <w:rPr>
        <w:rFonts w:ascii="Courier New" w:hAnsi="Courier New" w:hint="default"/>
      </w:rPr>
    </w:lvl>
    <w:lvl w:ilvl="8" w:tplc="0809001B">
      <w:start w:val="1"/>
      <w:numFmt w:val="bullet"/>
      <w:lvlText w:val=""/>
      <w:lvlJc w:val="left"/>
      <w:pPr>
        <w:ind w:left="7048" w:hanging="360"/>
      </w:pPr>
      <w:rPr>
        <w:rFonts w:ascii="Wingdings" w:hAnsi="Wingdings" w:hint="default"/>
      </w:rPr>
    </w:lvl>
  </w:abstractNum>
  <w:abstractNum w:abstractNumId="32" w15:restartNumberingAfterBreak="0">
    <w:nsid w:val="6B0569F4"/>
    <w:multiLevelType w:val="hybridMultilevel"/>
    <w:tmpl w:val="0678AE36"/>
    <w:lvl w:ilvl="0" w:tplc="21F86A0E">
      <w:start w:val="3"/>
      <w:numFmt w:val="bullet"/>
      <w:lvlText w:val="-"/>
      <w:lvlJc w:val="left"/>
      <w:pPr>
        <w:ind w:left="1080" w:hanging="360"/>
      </w:pPr>
      <w:rPr>
        <w:rFonts w:ascii="Verdana" w:eastAsiaTheme="minorHAnsi" w:hAnsi="Verdana"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6D406F07"/>
    <w:multiLevelType w:val="multilevel"/>
    <w:tmpl w:val="D6423374"/>
    <w:lvl w:ilvl="0">
      <w:start w:val="1"/>
      <w:numFmt w:val="lowerRoman"/>
      <w:pStyle w:val="ReportNumberedList2"/>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D6C09E8"/>
    <w:multiLevelType w:val="multilevel"/>
    <w:tmpl w:val="2FFE73D0"/>
    <w:lvl w:ilvl="0">
      <w:start w:val="6"/>
      <w:numFmt w:val="decimal"/>
      <w:lvlText w:val="%1"/>
      <w:lvlJc w:val="left"/>
      <w:pPr>
        <w:ind w:left="360" w:hanging="360"/>
      </w:pPr>
      <w:rPr>
        <w:rFonts w:hint="default"/>
        <w:color w:val="000000"/>
      </w:rPr>
    </w:lvl>
    <w:lvl w:ilvl="1">
      <w:start w:val="1"/>
      <w:numFmt w:val="decimal"/>
      <w:pStyle w:val="Syle111"/>
      <w:lvlText w:val="1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15:restartNumberingAfterBreak="0">
    <w:nsid w:val="70D86AAC"/>
    <w:multiLevelType w:val="hybridMultilevel"/>
    <w:tmpl w:val="F6E69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2142F9B"/>
    <w:multiLevelType w:val="hybridMultilevel"/>
    <w:tmpl w:val="0C94F42C"/>
    <w:lvl w:ilvl="0" w:tplc="08090001">
      <w:start w:val="1"/>
      <w:numFmt w:val="bullet"/>
      <w:lvlText w:val=""/>
      <w:lvlJc w:val="left"/>
      <w:pPr>
        <w:ind w:left="932" w:hanging="360"/>
      </w:pPr>
      <w:rPr>
        <w:rFonts w:ascii="Symbol" w:hAnsi="Symbol" w:hint="default"/>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37" w15:restartNumberingAfterBreak="0">
    <w:nsid w:val="734D2AEC"/>
    <w:multiLevelType w:val="hybridMultilevel"/>
    <w:tmpl w:val="55B68226"/>
    <w:lvl w:ilvl="0" w:tplc="4978CF16">
      <w:start w:val="1"/>
      <w:numFmt w:val="bullet"/>
      <w:lvlText w:val=""/>
      <w:lvlJc w:val="left"/>
      <w:pPr>
        <w:ind w:left="1797" w:hanging="360"/>
      </w:pPr>
      <w:rPr>
        <w:rFonts w:ascii="Symbol" w:hAnsi="Symbol" w:hint="default"/>
        <w:color w:val="00B0F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8" w15:restartNumberingAfterBreak="0">
    <w:nsid w:val="73AA0CD0"/>
    <w:multiLevelType w:val="hybridMultilevel"/>
    <w:tmpl w:val="9230ACA6"/>
    <w:lvl w:ilvl="0" w:tplc="0F185B2A">
      <w:start w:val="1"/>
      <w:numFmt w:val="decimal"/>
      <w:pStyle w:val="bigseri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A15015"/>
    <w:multiLevelType w:val="hybridMultilevel"/>
    <w:tmpl w:val="2A52EB06"/>
    <w:lvl w:ilvl="0" w:tplc="03BE03B6">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FB44CD"/>
    <w:multiLevelType w:val="hybridMultilevel"/>
    <w:tmpl w:val="C64CFD80"/>
    <w:lvl w:ilvl="0" w:tplc="D2407AE2">
      <w:start w:val="1"/>
      <w:numFmt w:val="decimal"/>
      <w:pStyle w:val="BAppendix"/>
      <w:lvlText w:val="B.%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8A31DC"/>
    <w:multiLevelType w:val="hybridMultilevel"/>
    <w:tmpl w:val="15409EC0"/>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42" w15:restartNumberingAfterBreak="0">
    <w:nsid w:val="78F77AEA"/>
    <w:multiLevelType w:val="multilevel"/>
    <w:tmpl w:val="C84A6460"/>
    <w:lvl w:ilvl="0">
      <w:start w:val="1"/>
      <w:numFmt w:val="decimal"/>
      <w:suff w:val="space"/>
      <w:lvlText w:val="Section %1:"/>
      <w:lvlJc w:val="left"/>
      <w:pPr>
        <w:ind w:left="0" w:firstLine="0"/>
      </w:pPr>
      <w:rPr>
        <w:rFonts w:ascii="Calibri" w:hAnsi="Calibri" w:cs="Tahoma" w:hint="default"/>
        <w:b/>
        <w:i w:val="0"/>
        <w:sz w:val="40"/>
        <w:szCs w:val="40"/>
      </w:rPr>
    </w:lvl>
    <w:lvl w:ilvl="1">
      <w:start w:val="1"/>
      <w:numFmt w:val="decimal"/>
      <w:pStyle w:val="smallserial"/>
      <w:lvlText w:val="%2."/>
      <w:lvlJc w:val="left"/>
      <w:pPr>
        <w:tabs>
          <w:tab w:val="num" w:pos="57"/>
        </w:tabs>
        <w:ind w:left="363" w:hanging="363"/>
      </w:pPr>
      <w:rPr>
        <w:rFonts w:hint="default"/>
        <w:b w:val="0"/>
        <w:bCs w:val="0"/>
        <w:i w:val="0"/>
        <w:iCs w:val="0"/>
        <w:caps w:val="0"/>
        <w:smallCaps w:val="0"/>
        <w:strike w:val="0"/>
        <w:dstrike w:val="0"/>
        <w:color w:val="auto"/>
        <w:spacing w:val="0"/>
        <w:w w:val="100"/>
        <w:kern w:val="0"/>
        <w:position w:val="0"/>
        <w:sz w:val="22"/>
        <w:szCs w:val="22"/>
        <w:u w:val="none"/>
        <w:effect w:val="none"/>
        <w:bdr w:val="none" w:sz="0" w:space="0" w:color="auto"/>
        <w:shd w:val="clear" w:color="auto" w:fill="auto"/>
        <w:vertAlign w:val="superscript"/>
        <w:em w:val="none"/>
      </w:rPr>
    </w:lvl>
    <w:lvl w:ilvl="2">
      <w:start w:val="1"/>
      <w:numFmt w:val="decimal"/>
      <w:lvlText w:val="%1.%2.%3"/>
      <w:lvlJc w:val="left"/>
      <w:pPr>
        <w:tabs>
          <w:tab w:val="num" w:pos="360"/>
        </w:tabs>
        <w:ind w:left="284" w:firstLine="0"/>
      </w:pPr>
      <w:rPr>
        <w:rFonts w:hint="default"/>
      </w:rPr>
    </w:lvl>
    <w:lvl w:ilvl="3">
      <w:start w:val="1"/>
      <w:numFmt w:val="decimal"/>
      <w:lvlText w:val="%1.%2.%3.%4."/>
      <w:lvlJc w:val="left"/>
      <w:pPr>
        <w:tabs>
          <w:tab w:val="num" w:pos="360"/>
        </w:tabs>
        <w:ind w:left="284" w:firstLine="0"/>
      </w:pPr>
      <w:rPr>
        <w:rFonts w:hint="default"/>
      </w:rPr>
    </w:lvl>
    <w:lvl w:ilvl="4">
      <w:start w:val="1"/>
      <w:numFmt w:val="decimal"/>
      <w:lvlText w:val="%1.%2.%3.%4.%5."/>
      <w:lvlJc w:val="left"/>
      <w:pPr>
        <w:tabs>
          <w:tab w:val="num" w:pos="360"/>
        </w:tabs>
        <w:ind w:left="284" w:firstLine="0"/>
      </w:pPr>
      <w:rPr>
        <w:rFonts w:hint="default"/>
      </w:rPr>
    </w:lvl>
    <w:lvl w:ilvl="5">
      <w:start w:val="1"/>
      <w:numFmt w:val="decimal"/>
      <w:lvlText w:val="%1.%2.%3.%4.%5.%6."/>
      <w:lvlJc w:val="left"/>
      <w:pPr>
        <w:tabs>
          <w:tab w:val="num" w:pos="360"/>
        </w:tabs>
        <w:ind w:left="284" w:firstLine="0"/>
      </w:pPr>
      <w:rPr>
        <w:rFonts w:hint="default"/>
      </w:rPr>
    </w:lvl>
    <w:lvl w:ilvl="6">
      <w:start w:val="1"/>
      <w:numFmt w:val="decimal"/>
      <w:lvlText w:val="%1.%2.%3.%4.%5.%6.%7."/>
      <w:lvlJc w:val="left"/>
      <w:pPr>
        <w:tabs>
          <w:tab w:val="num" w:pos="360"/>
        </w:tabs>
        <w:ind w:left="284" w:firstLine="0"/>
      </w:pPr>
      <w:rPr>
        <w:rFonts w:hint="default"/>
      </w:rPr>
    </w:lvl>
    <w:lvl w:ilvl="7">
      <w:start w:val="1"/>
      <w:numFmt w:val="decimal"/>
      <w:lvlText w:val="%1.%2.%3.%4.%5.%6.%7.%8."/>
      <w:lvlJc w:val="left"/>
      <w:pPr>
        <w:tabs>
          <w:tab w:val="num" w:pos="360"/>
        </w:tabs>
        <w:ind w:left="284" w:firstLine="0"/>
      </w:pPr>
      <w:rPr>
        <w:rFonts w:hint="default"/>
      </w:rPr>
    </w:lvl>
    <w:lvl w:ilvl="8">
      <w:start w:val="1"/>
      <w:numFmt w:val="decimal"/>
      <w:lvlText w:val="%1.%2.%3.%4.%5.%6.%7.%8.%9."/>
      <w:lvlJc w:val="left"/>
      <w:pPr>
        <w:tabs>
          <w:tab w:val="num" w:pos="360"/>
        </w:tabs>
        <w:ind w:left="284" w:firstLine="0"/>
      </w:pPr>
      <w:rPr>
        <w:rFonts w:hint="default"/>
      </w:rPr>
    </w:lvl>
  </w:abstractNum>
  <w:abstractNum w:abstractNumId="43" w15:restartNumberingAfterBreak="0">
    <w:nsid w:val="7A92179A"/>
    <w:multiLevelType w:val="multilevel"/>
    <w:tmpl w:val="AB5C7E6A"/>
    <w:lvl w:ilvl="0">
      <w:start w:val="1"/>
      <w:numFmt w:val="decimal"/>
      <w:lvlText w:val="%1"/>
      <w:lvlJc w:val="left"/>
      <w:pPr>
        <w:tabs>
          <w:tab w:val="num" w:pos="720"/>
        </w:tabs>
        <w:ind w:left="720" w:hanging="720"/>
      </w:pPr>
      <w:rPr>
        <w:rFonts w:hint="default"/>
      </w:rPr>
    </w:lvl>
    <w:lvl w:ilvl="1">
      <w:start w:val="1"/>
      <w:numFmt w:val="decimal"/>
      <w:lvlRestart w:val="0"/>
      <w:pStyle w:val="Reporttext0"/>
      <w:lvlText w:val="%1.%2"/>
      <w:lvlJc w:val="left"/>
      <w:pPr>
        <w:tabs>
          <w:tab w:val="num" w:pos="720"/>
        </w:tabs>
        <w:ind w:left="720" w:hanging="720"/>
      </w:pPr>
      <w:rPr>
        <w:rFonts w:cs="Times New Roman" w:hint="default"/>
        <w:b w:val="0"/>
        <w:bCs w:val="0"/>
        <w:i w:val="0"/>
        <w:iCs w:val="0"/>
        <w:caps w:val="0"/>
        <w:smallCaps w:val="0"/>
        <w:strike w:val="0"/>
        <w:dstrike w:val="0"/>
        <w:vanish w:val="0"/>
        <w:color w:val="000000"/>
        <w:spacing w:val="0"/>
        <w:position w:val="0"/>
        <w:u w:val="none"/>
        <w:vertAlign w:val="baseline"/>
        <w:em w:val="none"/>
      </w:rPr>
    </w:lvl>
    <w:lvl w:ilvl="2">
      <w:start w:val="1"/>
      <w:numFmt w:val="decimal"/>
      <w:lvlText w:val="%1.%2.%3"/>
      <w:lvlJc w:val="left"/>
      <w:pPr>
        <w:tabs>
          <w:tab w:val="num" w:pos="754"/>
        </w:tabs>
        <w:ind w:left="754" w:hanging="754"/>
      </w:pPr>
      <w:rPr>
        <w:rFonts w:hint="default"/>
      </w:rPr>
    </w:lvl>
    <w:lvl w:ilvl="3">
      <w:start w:val="1"/>
      <w:numFmt w:val="decimal"/>
      <w:lvlText w:val="%1.%2.%3.%4"/>
      <w:lvlJc w:val="left"/>
      <w:pPr>
        <w:tabs>
          <w:tab w:val="num" w:pos="683"/>
        </w:tabs>
        <w:ind w:left="683" w:hanging="1080"/>
      </w:pPr>
      <w:rPr>
        <w:rFonts w:hint="default"/>
      </w:rPr>
    </w:lvl>
    <w:lvl w:ilvl="4">
      <w:start w:val="1"/>
      <w:numFmt w:val="decimal"/>
      <w:lvlText w:val="%1.%2.%3.%4.%5"/>
      <w:lvlJc w:val="left"/>
      <w:pPr>
        <w:tabs>
          <w:tab w:val="num" w:pos="1043"/>
        </w:tabs>
        <w:ind w:left="1043" w:hanging="1440"/>
      </w:pPr>
      <w:rPr>
        <w:rFonts w:hint="default"/>
      </w:rPr>
    </w:lvl>
    <w:lvl w:ilvl="5">
      <w:start w:val="1"/>
      <w:numFmt w:val="decimal"/>
      <w:lvlText w:val="%1.%2.%3.%4.%5.%6"/>
      <w:lvlJc w:val="left"/>
      <w:pPr>
        <w:tabs>
          <w:tab w:val="num" w:pos="1043"/>
        </w:tabs>
        <w:ind w:left="1043" w:hanging="1440"/>
      </w:pPr>
      <w:rPr>
        <w:rFonts w:hint="default"/>
      </w:rPr>
    </w:lvl>
    <w:lvl w:ilvl="6">
      <w:start w:val="1"/>
      <w:numFmt w:val="decimal"/>
      <w:lvlText w:val="%1.%2.%3.%4.%5.%6.%7"/>
      <w:lvlJc w:val="left"/>
      <w:pPr>
        <w:tabs>
          <w:tab w:val="num" w:pos="1403"/>
        </w:tabs>
        <w:ind w:left="1403" w:hanging="1800"/>
      </w:pPr>
      <w:rPr>
        <w:rFonts w:hint="default"/>
      </w:rPr>
    </w:lvl>
    <w:lvl w:ilvl="7">
      <w:start w:val="1"/>
      <w:numFmt w:val="decimal"/>
      <w:lvlText w:val="%1.%2.%3.%4.%5.%6.%7.%8"/>
      <w:lvlJc w:val="left"/>
      <w:pPr>
        <w:tabs>
          <w:tab w:val="num" w:pos="1403"/>
        </w:tabs>
        <w:ind w:left="1403" w:hanging="1800"/>
      </w:pPr>
      <w:rPr>
        <w:rFonts w:hint="default"/>
      </w:rPr>
    </w:lvl>
    <w:lvl w:ilvl="8">
      <w:start w:val="1"/>
      <w:numFmt w:val="decimal"/>
      <w:lvlText w:val="%1.%2.%3.%4.%5.%6.%7.%8.%9"/>
      <w:lvlJc w:val="left"/>
      <w:pPr>
        <w:tabs>
          <w:tab w:val="num" w:pos="1763"/>
        </w:tabs>
        <w:ind w:left="1763" w:hanging="2160"/>
      </w:pPr>
      <w:rPr>
        <w:rFonts w:hint="default"/>
      </w:rPr>
    </w:lvl>
  </w:abstractNum>
  <w:abstractNum w:abstractNumId="44" w15:restartNumberingAfterBreak="0">
    <w:nsid w:val="7AB84374"/>
    <w:multiLevelType w:val="multilevel"/>
    <w:tmpl w:val="F028ED8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AB96F0D"/>
    <w:multiLevelType w:val="multilevel"/>
    <w:tmpl w:val="744630D6"/>
    <w:lvl w:ilvl="0">
      <w:start w:val="1"/>
      <w:numFmt w:val="bullet"/>
      <w:pStyle w:val="Bulletblackplain"/>
      <w:lvlText w:val=""/>
      <w:lvlJc w:val="left"/>
      <w:pPr>
        <w:tabs>
          <w:tab w:val="num" w:pos="794"/>
        </w:tabs>
        <w:ind w:left="1077" w:hanging="283"/>
      </w:pPr>
      <w:rPr>
        <w:rFonts w:ascii="Symbol" w:hAnsi="Symbol" w:hint="default"/>
      </w:rPr>
    </w:lvl>
    <w:lvl w:ilvl="1">
      <w:start w:val="1"/>
      <w:numFmt w:val="bullet"/>
      <w:pStyle w:val="StyleReporttextLinespacing15lines"/>
      <w:lvlText w:val="o"/>
      <w:lvlJc w:val="left"/>
      <w:pPr>
        <w:tabs>
          <w:tab w:val="num" w:pos="1078"/>
        </w:tabs>
        <w:ind w:left="1361" w:hanging="283"/>
      </w:pPr>
      <w:rPr>
        <w:rFonts w:ascii="Courier New" w:hAnsi="Courier New" w:hint="default"/>
      </w:rPr>
    </w:lvl>
    <w:lvl w:ilvl="2">
      <w:start w:val="1"/>
      <w:numFmt w:val="bullet"/>
      <w:lvlText w:val=""/>
      <w:lvlJc w:val="left"/>
      <w:pPr>
        <w:tabs>
          <w:tab w:val="num" w:pos="1362"/>
        </w:tabs>
        <w:ind w:left="1645" w:hanging="283"/>
      </w:pPr>
      <w:rPr>
        <w:rFonts w:ascii="Wingdings" w:hAnsi="Wingdings" w:hint="default"/>
      </w:rPr>
    </w:lvl>
    <w:lvl w:ilvl="3">
      <w:start w:val="1"/>
      <w:numFmt w:val="bullet"/>
      <w:lvlText w:val=""/>
      <w:lvlJc w:val="left"/>
      <w:pPr>
        <w:tabs>
          <w:tab w:val="num" w:pos="1646"/>
        </w:tabs>
        <w:ind w:left="1929" w:hanging="283"/>
      </w:pPr>
      <w:rPr>
        <w:rFonts w:ascii="Symbol" w:hAnsi="Symbol" w:hint="default"/>
      </w:rPr>
    </w:lvl>
    <w:lvl w:ilvl="4">
      <w:start w:val="1"/>
      <w:numFmt w:val="bullet"/>
      <w:lvlText w:val="o"/>
      <w:lvlJc w:val="left"/>
      <w:pPr>
        <w:tabs>
          <w:tab w:val="num" w:pos="1930"/>
        </w:tabs>
        <w:ind w:left="2213" w:hanging="283"/>
      </w:pPr>
      <w:rPr>
        <w:rFonts w:ascii="Courier New" w:hAnsi="Courier New" w:hint="default"/>
      </w:rPr>
    </w:lvl>
    <w:lvl w:ilvl="5">
      <w:start w:val="1"/>
      <w:numFmt w:val="bullet"/>
      <w:lvlText w:val=""/>
      <w:lvlJc w:val="left"/>
      <w:pPr>
        <w:tabs>
          <w:tab w:val="num" w:pos="2214"/>
        </w:tabs>
        <w:ind w:left="2497" w:hanging="283"/>
      </w:pPr>
      <w:rPr>
        <w:rFonts w:ascii="Wingdings" w:hAnsi="Wingdings" w:hint="default"/>
      </w:rPr>
    </w:lvl>
    <w:lvl w:ilvl="6">
      <w:start w:val="1"/>
      <w:numFmt w:val="bullet"/>
      <w:lvlText w:val=""/>
      <w:lvlJc w:val="left"/>
      <w:pPr>
        <w:tabs>
          <w:tab w:val="num" w:pos="2498"/>
        </w:tabs>
        <w:ind w:left="2781" w:hanging="283"/>
      </w:pPr>
      <w:rPr>
        <w:rFonts w:ascii="Symbol" w:hAnsi="Symbol" w:hint="default"/>
      </w:rPr>
    </w:lvl>
    <w:lvl w:ilvl="7">
      <w:start w:val="1"/>
      <w:numFmt w:val="bullet"/>
      <w:lvlText w:val="o"/>
      <w:lvlJc w:val="left"/>
      <w:pPr>
        <w:tabs>
          <w:tab w:val="num" w:pos="2782"/>
        </w:tabs>
        <w:ind w:left="3065" w:hanging="283"/>
      </w:pPr>
      <w:rPr>
        <w:rFonts w:ascii="Courier New" w:hAnsi="Courier New" w:hint="default"/>
      </w:rPr>
    </w:lvl>
    <w:lvl w:ilvl="8">
      <w:start w:val="1"/>
      <w:numFmt w:val="bullet"/>
      <w:lvlText w:val=""/>
      <w:lvlJc w:val="left"/>
      <w:pPr>
        <w:tabs>
          <w:tab w:val="num" w:pos="3066"/>
        </w:tabs>
        <w:ind w:left="3349" w:hanging="283"/>
      </w:pPr>
      <w:rPr>
        <w:rFonts w:ascii="Wingdings" w:hAnsi="Wingdings" w:hint="default"/>
      </w:rPr>
    </w:lvl>
  </w:abstractNum>
  <w:abstractNum w:abstractNumId="46" w15:restartNumberingAfterBreak="0">
    <w:nsid w:val="7E030F04"/>
    <w:multiLevelType w:val="hybridMultilevel"/>
    <w:tmpl w:val="620241FA"/>
    <w:lvl w:ilvl="0" w:tplc="C498B1FC">
      <w:start w:val="1"/>
      <w:numFmt w:val="bullet"/>
      <w:pStyle w:val="Numbered"/>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
  </w:num>
  <w:num w:numId="3">
    <w:abstractNumId w:val="6"/>
  </w:num>
  <w:num w:numId="4">
    <w:abstractNumId w:val="10"/>
  </w:num>
  <w:num w:numId="5">
    <w:abstractNumId w:val="45"/>
  </w:num>
  <w:num w:numId="6">
    <w:abstractNumId w:val="15"/>
  </w:num>
  <w:num w:numId="7">
    <w:abstractNumId w:val="24"/>
  </w:num>
  <w:num w:numId="8">
    <w:abstractNumId w:val="19"/>
  </w:num>
  <w:num w:numId="9">
    <w:abstractNumId w:val="17"/>
  </w:num>
  <w:num w:numId="10">
    <w:abstractNumId w:val="46"/>
  </w:num>
  <w:num w:numId="11">
    <w:abstractNumId w:val="31"/>
  </w:num>
  <w:num w:numId="12">
    <w:abstractNumId w:val="40"/>
  </w:num>
  <w:num w:numId="13">
    <w:abstractNumId w:val="0"/>
  </w:num>
  <w:num w:numId="14">
    <w:abstractNumId w:val="5"/>
  </w:num>
  <w:num w:numId="15">
    <w:abstractNumId w:val="4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42"/>
  </w:num>
  <w:num w:numId="20">
    <w:abstractNumId w:val="43"/>
  </w:num>
  <w:num w:numId="21">
    <w:abstractNumId w:val="12"/>
  </w:num>
  <w:num w:numId="22">
    <w:abstractNumId w:val="2"/>
  </w:num>
  <w:num w:numId="23">
    <w:abstractNumId w:val="23"/>
  </w:num>
  <w:num w:numId="24">
    <w:abstractNumId w:val="33"/>
  </w:num>
  <w:num w:numId="25">
    <w:abstractNumId w:val="18"/>
  </w:num>
  <w:num w:numId="26">
    <w:abstractNumId w:val="11"/>
  </w:num>
  <w:num w:numId="27">
    <w:abstractNumId w:val="21"/>
  </w:num>
  <w:num w:numId="28">
    <w:abstractNumId w:val="38"/>
  </w:num>
  <w:num w:numId="29">
    <w:abstractNumId w:val="9"/>
  </w:num>
  <w:num w:numId="30">
    <w:abstractNumId w:val="34"/>
  </w:num>
  <w:num w:numId="31">
    <w:abstractNumId w:val="27"/>
  </w:num>
  <w:num w:numId="32">
    <w:abstractNumId w:val="35"/>
  </w:num>
  <w:num w:numId="33">
    <w:abstractNumId w:val="39"/>
  </w:num>
  <w:num w:numId="34">
    <w:abstractNumId w:val="37"/>
  </w:num>
  <w:num w:numId="35">
    <w:abstractNumId w:val="20"/>
  </w:num>
  <w:num w:numId="36">
    <w:abstractNumId w:val="6"/>
  </w:num>
  <w:num w:numId="37">
    <w:abstractNumId w:val="6"/>
  </w:num>
  <w:num w:numId="38">
    <w:abstractNumId w:val="5"/>
  </w:num>
  <w:num w:numId="39">
    <w:abstractNumId w:val="6"/>
  </w:num>
  <w:num w:numId="40">
    <w:abstractNumId w:val="6"/>
  </w:num>
  <w:num w:numId="41">
    <w:abstractNumId w:val="6"/>
  </w:num>
  <w:num w:numId="42">
    <w:abstractNumId w:val="4"/>
  </w:num>
  <w:num w:numId="43">
    <w:abstractNumId w:val="6"/>
  </w:num>
  <w:num w:numId="44">
    <w:abstractNumId w:val="6"/>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36"/>
  </w:num>
  <w:num w:numId="48">
    <w:abstractNumId w:val="41"/>
  </w:num>
  <w:num w:numId="49">
    <w:abstractNumId w:val="6"/>
  </w:num>
  <w:num w:numId="50">
    <w:abstractNumId w:val="13"/>
  </w:num>
  <w:num w:numId="51">
    <w:abstractNumId w:val="6"/>
  </w:num>
  <w:num w:numId="52">
    <w:abstractNumId w:val="6"/>
  </w:num>
  <w:num w:numId="53">
    <w:abstractNumId w:val="6"/>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num>
  <w:num w:numId="56">
    <w:abstractNumId w:val="31"/>
  </w:num>
  <w:num w:numId="57">
    <w:abstractNumId w:val="31"/>
  </w:num>
  <w:num w:numId="58">
    <w:abstractNumId w:val="31"/>
  </w:num>
  <w:num w:numId="59">
    <w:abstractNumId w:val="6"/>
  </w:num>
  <w:num w:numId="60">
    <w:abstractNumId w:val="31"/>
  </w:num>
  <w:num w:numId="61">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num>
  <w:num w:numId="63">
    <w:abstractNumId w:val="8"/>
  </w:num>
  <w:num w:numId="64">
    <w:abstractNumId w:val="6"/>
  </w:num>
  <w:num w:numId="65">
    <w:abstractNumId w:val="31"/>
  </w:num>
  <w:num w:numId="66">
    <w:abstractNumId w:val="31"/>
  </w:num>
  <w:num w:numId="67">
    <w:abstractNumId w:val="31"/>
  </w:num>
  <w:num w:numId="68">
    <w:abstractNumId w:val="31"/>
  </w:num>
  <w:num w:numId="69">
    <w:abstractNumId w:val="30"/>
  </w:num>
  <w:num w:numId="70">
    <w:abstractNumId w:val="6"/>
  </w:num>
  <w:num w:numId="71">
    <w:abstractNumId w:val="10"/>
  </w:num>
  <w:num w:numId="72">
    <w:abstractNumId w:val="10"/>
  </w:num>
  <w:num w:numId="73">
    <w:abstractNumId w:val="10"/>
  </w:num>
  <w:num w:numId="74">
    <w:abstractNumId w:val="6"/>
  </w:num>
  <w:num w:numId="75">
    <w:abstractNumId w:val="28"/>
  </w:num>
  <w:num w:numId="76">
    <w:abstractNumId w:val="6"/>
  </w:num>
  <w:num w:numId="77">
    <w:abstractNumId w:val="29"/>
  </w:num>
  <w:num w:numId="78">
    <w:abstractNumId w:val="6"/>
  </w:num>
  <w:num w:numId="79">
    <w:abstractNumId w:val="6"/>
  </w:num>
  <w:num w:numId="80">
    <w:abstractNumId w:val="6"/>
  </w:num>
  <w:num w:numId="81">
    <w:abstractNumId w:val="6"/>
  </w:num>
  <w:num w:numId="82">
    <w:abstractNumId w:val="5"/>
  </w:num>
  <w:num w:numId="83">
    <w:abstractNumId w:val="6"/>
  </w:num>
  <w:num w:numId="84">
    <w:abstractNumId w:val="31"/>
  </w:num>
  <w:num w:numId="85">
    <w:abstractNumId w:val="31"/>
  </w:num>
  <w:num w:numId="86">
    <w:abstractNumId w:val="31"/>
  </w:num>
  <w:num w:numId="87">
    <w:abstractNumId w:val="31"/>
  </w:num>
  <w:num w:numId="88">
    <w:abstractNumId w:val="31"/>
  </w:num>
  <w:num w:numId="89">
    <w:abstractNumId w:val="31"/>
  </w:num>
  <w:num w:numId="90">
    <w:abstractNumId w:val="31"/>
  </w:num>
  <w:num w:numId="91">
    <w:abstractNumId w:val="31"/>
  </w:num>
  <w:num w:numId="92">
    <w:abstractNumId w:val="5"/>
  </w:num>
  <w:num w:numId="93">
    <w:abstractNumId w:val="6"/>
  </w:num>
  <w:num w:numId="94">
    <w:abstractNumId w:val="6"/>
  </w:num>
  <w:num w:numId="95">
    <w:abstractNumId w:val="6"/>
  </w:num>
  <w:num w:numId="96">
    <w:abstractNumId w:val="14"/>
  </w:num>
  <w:num w:numId="97">
    <w:abstractNumId w:val="6"/>
  </w:num>
  <w:num w:numId="98">
    <w:abstractNumId w:val="6"/>
  </w:num>
  <w:num w:numId="99">
    <w:abstractNumId w:val="6"/>
  </w:num>
  <w:num w:numId="100">
    <w:abstractNumId w:val="6"/>
  </w:num>
  <w:num w:numId="101">
    <w:abstractNumId w:val="6"/>
  </w:num>
  <w:num w:numId="102">
    <w:abstractNumId w:val="6"/>
  </w:num>
  <w:num w:numId="103">
    <w:abstractNumId w:val="6"/>
  </w:num>
  <w:num w:numId="104">
    <w:abstractNumId w:val="6"/>
  </w:num>
  <w:num w:numId="105">
    <w:abstractNumId w:val="6"/>
  </w:num>
  <w:num w:numId="106">
    <w:abstractNumId w:val="7"/>
  </w:num>
  <w:num w:numId="107">
    <w:abstractNumId w:val="25"/>
  </w:num>
  <w:num w:numId="108">
    <w:abstractNumId w:val="32"/>
  </w:num>
  <w:num w:numId="109">
    <w:abstractNumId w:val="5"/>
  </w:num>
  <w:num w:numId="1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
    <w:lvlOverride w:ilvl="0">
      <w:startOverride w:val="4"/>
    </w:lvlOverride>
    <w:lvlOverride w:ilvl="1">
      <w:startOverride w:val="5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6"/>
  </w:num>
  <w:num w:numId="128">
    <w:abstractNumId w:val="5"/>
  </w:num>
  <w:num w:numId="129">
    <w:abstractNumId w:val="5"/>
  </w:num>
  <w:num w:numId="130">
    <w:abstractNumId w:val="6"/>
  </w:num>
  <w:num w:numId="131">
    <w:abstractNumId w:val="5"/>
  </w:num>
  <w:num w:numId="132">
    <w:abstractNumId w:val="6"/>
  </w:num>
  <w:num w:numId="133">
    <w:abstractNumId w:val="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LockTheme/>
  <w:styleLockQFSet/>
  <w:defaultTabStop w:val="794"/>
  <w:clickAndTypeStyle w:val="NoParagraphStyle"/>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DC3NDIxMLY0tDRU0lEKTi0uzszPAykwNqkFAP33kcYtAAAA"/>
  </w:docVars>
  <w:rsids>
    <w:rsidRoot w:val="009B5735"/>
    <w:rsid w:val="0000003B"/>
    <w:rsid w:val="0000059B"/>
    <w:rsid w:val="00001A3C"/>
    <w:rsid w:val="00002877"/>
    <w:rsid w:val="00002D00"/>
    <w:rsid w:val="0000314D"/>
    <w:rsid w:val="000035E0"/>
    <w:rsid w:val="000036C6"/>
    <w:rsid w:val="00003E4A"/>
    <w:rsid w:val="00004303"/>
    <w:rsid w:val="00004880"/>
    <w:rsid w:val="00004CA5"/>
    <w:rsid w:val="00005298"/>
    <w:rsid w:val="00005ABE"/>
    <w:rsid w:val="00006242"/>
    <w:rsid w:val="000068EE"/>
    <w:rsid w:val="00006C11"/>
    <w:rsid w:val="00006C7E"/>
    <w:rsid w:val="00006F69"/>
    <w:rsid w:val="00007528"/>
    <w:rsid w:val="00007996"/>
    <w:rsid w:val="00007EBC"/>
    <w:rsid w:val="000105E0"/>
    <w:rsid w:val="00010607"/>
    <w:rsid w:val="00010D14"/>
    <w:rsid w:val="00010E4F"/>
    <w:rsid w:val="00011200"/>
    <w:rsid w:val="00011761"/>
    <w:rsid w:val="00011DA8"/>
    <w:rsid w:val="000130D6"/>
    <w:rsid w:val="00013B78"/>
    <w:rsid w:val="000144C0"/>
    <w:rsid w:val="000144EE"/>
    <w:rsid w:val="00016178"/>
    <w:rsid w:val="000165E4"/>
    <w:rsid w:val="00017422"/>
    <w:rsid w:val="00017C40"/>
    <w:rsid w:val="00017C62"/>
    <w:rsid w:val="00017E95"/>
    <w:rsid w:val="0002020E"/>
    <w:rsid w:val="00020964"/>
    <w:rsid w:val="00021404"/>
    <w:rsid w:val="000220B4"/>
    <w:rsid w:val="000231BE"/>
    <w:rsid w:val="0002338E"/>
    <w:rsid w:val="000244F0"/>
    <w:rsid w:val="00024656"/>
    <w:rsid w:val="0002587B"/>
    <w:rsid w:val="000267AC"/>
    <w:rsid w:val="00026BB2"/>
    <w:rsid w:val="00026C30"/>
    <w:rsid w:val="00027869"/>
    <w:rsid w:val="00027930"/>
    <w:rsid w:val="00027B80"/>
    <w:rsid w:val="00033195"/>
    <w:rsid w:val="00033907"/>
    <w:rsid w:val="000341AB"/>
    <w:rsid w:val="000342E1"/>
    <w:rsid w:val="00034434"/>
    <w:rsid w:val="000346B5"/>
    <w:rsid w:val="00035239"/>
    <w:rsid w:val="000365DF"/>
    <w:rsid w:val="0004019B"/>
    <w:rsid w:val="00040271"/>
    <w:rsid w:val="000405FA"/>
    <w:rsid w:val="000406F5"/>
    <w:rsid w:val="00040A90"/>
    <w:rsid w:val="00040EDE"/>
    <w:rsid w:val="00041A02"/>
    <w:rsid w:val="00041B3C"/>
    <w:rsid w:val="00042DDD"/>
    <w:rsid w:val="00043107"/>
    <w:rsid w:val="000435ED"/>
    <w:rsid w:val="00043A54"/>
    <w:rsid w:val="00043AA9"/>
    <w:rsid w:val="00043D5D"/>
    <w:rsid w:val="000453CE"/>
    <w:rsid w:val="0004576C"/>
    <w:rsid w:val="00045A12"/>
    <w:rsid w:val="00045E3D"/>
    <w:rsid w:val="000463B1"/>
    <w:rsid w:val="000465E9"/>
    <w:rsid w:val="000469DE"/>
    <w:rsid w:val="00047C5F"/>
    <w:rsid w:val="00047C77"/>
    <w:rsid w:val="00047CD4"/>
    <w:rsid w:val="00050BB1"/>
    <w:rsid w:val="000519C1"/>
    <w:rsid w:val="00051E17"/>
    <w:rsid w:val="00052635"/>
    <w:rsid w:val="00053A21"/>
    <w:rsid w:val="00053B82"/>
    <w:rsid w:val="00053CD0"/>
    <w:rsid w:val="00053D63"/>
    <w:rsid w:val="000545CD"/>
    <w:rsid w:val="000546C7"/>
    <w:rsid w:val="00054E94"/>
    <w:rsid w:val="00055A05"/>
    <w:rsid w:val="00055AB3"/>
    <w:rsid w:val="000560C7"/>
    <w:rsid w:val="000577C0"/>
    <w:rsid w:val="00060CB0"/>
    <w:rsid w:val="00060CB3"/>
    <w:rsid w:val="0006168A"/>
    <w:rsid w:val="00061C94"/>
    <w:rsid w:val="00061DE8"/>
    <w:rsid w:val="000625DC"/>
    <w:rsid w:val="0006269E"/>
    <w:rsid w:val="000628B8"/>
    <w:rsid w:val="00062CED"/>
    <w:rsid w:val="000645DF"/>
    <w:rsid w:val="00064969"/>
    <w:rsid w:val="00065E49"/>
    <w:rsid w:val="00066DE2"/>
    <w:rsid w:val="00067ECD"/>
    <w:rsid w:val="000724E3"/>
    <w:rsid w:val="00072EE6"/>
    <w:rsid w:val="00073080"/>
    <w:rsid w:val="00073160"/>
    <w:rsid w:val="000736BF"/>
    <w:rsid w:val="00073DFB"/>
    <w:rsid w:val="000740AB"/>
    <w:rsid w:val="00074ABF"/>
    <w:rsid w:val="0007555F"/>
    <w:rsid w:val="00080B3E"/>
    <w:rsid w:val="00080D0D"/>
    <w:rsid w:val="00081CA4"/>
    <w:rsid w:val="00082420"/>
    <w:rsid w:val="000825A9"/>
    <w:rsid w:val="000829A4"/>
    <w:rsid w:val="000841E6"/>
    <w:rsid w:val="000841EB"/>
    <w:rsid w:val="00084D94"/>
    <w:rsid w:val="00084DE4"/>
    <w:rsid w:val="0008585D"/>
    <w:rsid w:val="00085BE1"/>
    <w:rsid w:val="00085D9A"/>
    <w:rsid w:val="0008652B"/>
    <w:rsid w:val="00086A1E"/>
    <w:rsid w:val="00087322"/>
    <w:rsid w:val="00090044"/>
    <w:rsid w:val="00090CBA"/>
    <w:rsid w:val="00091483"/>
    <w:rsid w:val="000917B7"/>
    <w:rsid w:val="0009191E"/>
    <w:rsid w:val="00091E2B"/>
    <w:rsid w:val="00091FB3"/>
    <w:rsid w:val="00092E99"/>
    <w:rsid w:val="00092F97"/>
    <w:rsid w:val="0009330C"/>
    <w:rsid w:val="000937B0"/>
    <w:rsid w:val="00093B30"/>
    <w:rsid w:val="00093E4D"/>
    <w:rsid w:val="0009473F"/>
    <w:rsid w:val="00094CB4"/>
    <w:rsid w:val="00095011"/>
    <w:rsid w:val="0009583A"/>
    <w:rsid w:val="00095B35"/>
    <w:rsid w:val="00095BCB"/>
    <w:rsid w:val="00095E8B"/>
    <w:rsid w:val="000963CE"/>
    <w:rsid w:val="00097650"/>
    <w:rsid w:val="000A16A7"/>
    <w:rsid w:val="000A1A44"/>
    <w:rsid w:val="000A2D84"/>
    <w:rsid w:val="000A2FAD"/>
    <w:rsid w:val="000A4214"/>
    <w:rsid w:val="000A43DD"/>
    <w:rsid w:val="000A46FC"/>
    <w:rsid w:val="000A484C"/>
    <w:rsid w:val="000A4CE1"/>
    <w:rsid w:val="000A4EE2"/>
    <w:rsid w:val="000A57E6"/>
    <w:rsid w:val="000A72AE"/>
    <w:rsid w:val="000A7685"/>
    <w:rsid w:val="000A7A4D"/>
    <w:rsid w:val="000A7E70"/>
    <w:rsid w:val="000B0A0B"/>
    <w:rsid w:val="000B100D"/>
    <w:rsid w:val="000B172E"/>
    <w:rsid w:val="000B1A17"/>
    <w:rsid w:val="000B3260"/>
    <w:rsid w:val="000B50B7"/>
    <w:rsid w:val="000B57F1"/>
    <w:rsid w:val="000B5CD6"/>
    <w:rsid w:val="000B699D"/>
    <w:rsid w:val="000B77F3"/>
    <w:rsid w:val="000C005B"/>
    <w:rsid w:val="000C0B4C"/>
    <w:rsid w:val="000C0FE5"/>
    <w:rsid w:val="000C3822"/>
    <w:rsid w:val="000C4261"/>
    <w:rsid w:val="000C4D90"/>
    <w:rsid w:val="000C4E96"/>
    <w:rsid w:val="000C5270"/>
    <w:rsid w:val="000C57F2"/>
    <w:rsid w:val="000C59C7"/>
    <w:rsid w:val="000C739C"/>
    <w:rsid w:val="000C7F79"/>
    <w:rsid w:val="000D0AE7"/>
    <w:rsid w:val="000D11B4"/>
    <w:rsid w:val="000D1303"/>
    <w:rsid w:val="000D150F"/>
    <w:rsid w:val="000D15A5"/>
    <w:rsid w:val="000D1BA6"/>
    <w:rsid w:val="000D2034"/>
    <w:rsid w:val="000D2321"/>
    <w:rsid w:val="000D2A90"/>
    <w:rsid w:val="000D2D56"/>
    <w:rsid w:val="000D3397"/>
    <w:rsid w:val="000D3D11"/>
    <w:rsid w:val="000D42D9"/>
    <w:rsid w:val="000D42EE"/>
    <w:rsid w:val="000D49A4"/>
    <w:rsid w:val="000D559E"/>
    <w:rsid w:val="000D5F50"/>
    <w:rsid w:val="000D6385"/>
    <w:rsid w:val="000D65E9"/>
    <w:rsid w:val="000E09D4"/>
    <w:rsid w:val="000E179C"/>
    <w:rsid w:val="000E29D0"/>
    <w:rsid w:val="000E2AFD"/>
    <w:rsid w:val="000E30D7"/>
    <w:rsid w:val="000E318F"/>
    <w:rsid w:val="000E3872"/>
    <w:rsid w:val="000E4125"/>
    <w:rsid w:val="000E6204"/>
    <w:rsid w:val="000E626B"/>
    <w:rsid w:val="000E6CD7"/>
    <w:rsid w:val="000E7422"/>
    <w:rsid w:val="000F13C5"/>
    <w:rsid w:val="000F1F2A"/>
    <w:rsid w:val="000F2667"/>
    <w:rsid w:val="000F3560"/>
    <w:rsid w:val="000F35ED"/>
    <w:rsid w:val="000F3C3B"/>
    <w:rsid w:val="000F3C5C"/>
    <w:rsid w:val="000F3C97"/>
    <w:rsid w:val="000F3FB3"/>
    <w:rsid w:val="000F54F1"/>
    <w:rsid w:val="000F5831"/>
    <w:rsid w:val="000F637C"/>
    <w:rsid w:val="000F7237"/>
    <w:rsid w:val="000F7682"/>
    <w:rsid w:val="000F7B69"/>
    <w:rsid w:val="001006B1"/>
    <w:rsid w:val="00100ACE"/>
    <w:rsid w:val="00100B84"/>
    <w:rsid w:val="00100F55"/>
    <w:rsid w:val="00101106"/>
    <w:rsid w:val="0010223B"/>
    <w:rsid w:val="001028F9"/>
    <w:rsid w:val="00104724"/>
    <w:rsid w:val="00104B57"/>
    <w:rsid w:val="00105169"/>
    <w:rsid w:val="001055B7"/>
    <w:rsid w:val="00106D8D"/>
    <w:rsid w:val="00107CF7"/>
    <w:rsid w:val="00110708"/>
    <w:rsid w:val="00110B9E"/>
    <w:rsid w:val="001116C0"/>
    <w:rsid w:val="00111FD4"/>
    <w:rsid w:val="00112930"/>
    <w:rsid w:val="00112E3F"/>
    <w:rsid w:val="0011331C"/>
    <w:rsid w:val="001141DA"/>
    <w:rsid w:val="0011444C"/>
    <w:rsid w:val="00114B08"/>
    <w:rsid w:val="001155DA"/>
    <w:rsid w:val="00115781"/>
    <w:rsid w:val="00117390"/>
    <w:rsid w:val="00117585"/>
    <w:rsid w:val="00117A2B"/>
    <w:rsid w:val="00120738"/>
    <w:rsid w:val="001216AA"/>
    <w:rsid w:val="00121769"/>
    <w:rsid w:val="0012242B"/>
    <w:rsid w:val="00122B3A"/>
    <w:rsid w:val="001235DE"/>
    <w:rsid w:val="001237A9"/>
    <w:rsid w:val="00123C40"/>
    <w:rsid w:val="00124AFF"/>
    <w:rsid w:val="00124F74"/>
    <w:rsid w:val="0012579D"/>
    <w:rsid w:val="00126077"/>
    <w:rsid w:val="00127405"/>
    <w:rsid w:val="001279F7"/>
    <w:rsid w:val="00127EA8"/>
    <w:rsid w:val="0013017C"/>
    <w:rsid w:val="00130438"/>
    <w:rsid w:val="001308A0"/>
    <w:rsid w:val="0013098E"/>
    <w:rsid w:val="001312AA"/>
    <w:rsid w:val="00131882"/>
    <w:rsid w:val="001321C1"/>
    <w:rsid w:val="001322CF"/>
    <w:rsid w:val="001325C4"/>
    <w:rsid w:val="001327CF"/>
    <w:rsid w:val="001329B5"/>
    <w:rsid w:val="001332CF"/>
    <w:rsid w:val="00134283"/>
    <w:rsid w:val="0013437B"/>
    <w:rsid w:val="00134BB0"/>
    <w:rsid w:val="00135719"/>
    <w:rsid w:val="00135CA4"/>
    <w:rsid w:val="001376A0"/>
    <w:rsid w:val="00137C18"/>
    <w:rsid w:val="001402CB"/>
    <w:rsid w:val="00140451"/>
    <w:rsid w:val="001408ED"/>
    <w:rsid w:val="001410C0"/>
    <w:rsid w:val="00141686"/>
    <w:rsid w:val="00142520"/>
    <w:rsid w:val="00142FAB"/>
    <w:rsid w:val="00143BAE"/>
    <w:rsid w:val="00143D02"/>
    <w:rsid w:val="00143E1B"/>
    <w:rsid w:val="00145DCE"/>
    <w:rsid w:val="0014773D"/>
    <w:rsid w:val="0014781A"/>
    <w:rsid w:val="0014787D"/>
    <w:rsid w:val="00147E55"/>
    <w:rsid w:val="0015030A"/>
    <w:rsid w:val="00150927"/>
    <w:rsid w:val="00150D61"/>
    <w:rsid w:val="00151107"/>
    <w:rsid w:val="001513EB"/>
    <w:rsid w:val="001515E7"/>
    <w:rsid w:val="00151798"/>
    <w:rsid w:val="00151B09"/>
    <w:rsid w:val="00151DD5"/>
    <w:rsid w:val="0015319B"/>
    <w:rsid w:val="001534D2"/>
    <w:rsid w:val="0015413D"/>
    <w:rsid w:val="001543FC"/>
    <w:rsid w:val="00154C3E"/>
    <w:rsid w:val="001550F0"/>
    <w:rsid w:val="001555DE"/>
    <w:rsid w:val="00156EE2"/>
    <w:rsid w:val="00156FA5"/>
    <w:rsid w:val="001572D9"/>
    <w:rsid w:val="00157776"/>
    <w:rsid w:val="0015A7BD"/>
    <w:rsid w:val="00162317"/>
    <w:rsid w:val="001623B7"/>
    <w:rsid w:val="00162E33"/>
    <w:rsid w:val="00163FFC"/>
    <w:rsid w:val="001649D8"/>
    <w:rsid w:val="001660AA"/>
    <w:rsid w:val="0016624E"/>
    <w:rsid w:val="00166C6B"/>
    <w:rsid w:val="00166CF2"/>
    <w:rsid w:val="001670CE"/>
    <w:rsid w:val="00167518"/>
    <w:rsid w:val="00170D8A"/>
    <w:rsid w:val="0017211E"/>
    <w:rsid w:val="00172F29"/>
    <w:rsid w:val="0017307C"/>
    <w:rsid w:val="001733DE"/>
    <w:rsid w:val="0017356C"/>
    <w:rsid w:val="0017389D"/>
    <w:rsid w:val="00173AD5"/>
    <w:rsid w:val="00174700"/>
    <w:rsid w:val="00174815"/>
    <w:rsid w:val="001758E4"/>
    <w:rsid w:val="001760E5"/>
    <w:rsid w:val="00176212"/>
    <w:rsid w:val="0017652F"/>
    <w:rsid w:val="001767E7"/>
    <w:rsid w:val="00176ED1"/>
    <w:rsid w:val="001772E3"/>
    <w:rsid w:val="001800EF"/>
    <w:rsid w:val="00180D6A"/>
    <w:rsid w:val="0018108C"/>
    <w:rsid w:val="0018182F"/>
    <w:rsid w:val="00181839"/>
    <w:rsid w:val="00181B37"/>
    <w:rsid w:val="001820D2"/>
    <w:rsid w:val="00182247"/>
    <w:rsid w:val="001828B3"/>
    <w:rsid w:val="00182C11"/>
    <w:rsid w:val="00182CCB"/>
    <w:rsid w:val="001832D7"/>
    <w:rsid w:val="00184098"/>
    <w:rsid w:val="001841A3"/>
    <w:rsid w:val="00184563"/>
    <w:rsid w:val="0018490C"/>
    <w:rsid w:val="00184CC0"/>
    <w:rsid w:val="00184CEB"/>
    <w:rsid w:val="001854A3"/>
    <w:rsid w:val="00185BEA"/>
    <w:rsid w:val="001861D8"/>
    <w:rsid w:val="00186B31"/>
    <w:rsid w:val="00186D28"/>
    <w:rsid w:val="00186D2F"/>
    <w:rsid w:val="00186EEC"/>
    <w:rsid w:val="001874C9"/>
    <w:rsid w:val="001874E5"/>
    <w:rsid w:val="001876B1"/>
    <w:rsid w:val="0018790C"/>
    <w:rsid w:val="00190AC0"/>
    <w:rsid w:val="00190F8F"/>
    <w:rsid w:val="00191801"/>
    <w:rsid w:val="00191D90"/>
    <w:rsid w:val="00191DF3"/>
    <w:rsid w:val="001922C9"/>
    <w:rsid w:val="0019363C"/>
    <w:rsid w:val="00193E63"/>
    <w:rsid w:val="001956DE"/>
    <w:rsid w:val="00195723"/>
    <w:rsid w:val="00195C04"/>
    <w:rsid w:val="00195FE1"/>
    <w:rsid w:val="00196759"/>
    <w:rsid w:val="00196CCB"/>
    <w:rsid w:val="001974C1"/>
    <w:rsid w:val="001A0ABC"/>
    <w:rsid w:val="001A11D5"/>
    <w:rsid w:val="001A29CA"/>
    <w:rsid w:val="001A32D5"/>
    <w:rsid w:val="001A4A0C"/>
    <w:rsid w:val="001A4D6B"/>
    <w:rsid w:val="001A4E5E"/>
    <w:rsid w:val="001A5234"/>
    <w:rsid w:val="001A5E4B"/>
    <w:rsid w:val="001A5F1B"/>
    <w:rsid w:val="001A6572"/>
    <w:rsid w:val="001A6788"/>
    <w:rsid w:val="001A68CB"/>
    <w:rsid w:val="001A7257"/>
    <w:rsid w:val="001A7303"/>
    <w:rsid w:val="001A772A"/>
    <w:rsid w:val="001A77A4"/>
    <w:rsid w:val="001A790D"/>
    <w:rsid w:val="001A7D6C"/>
    <w:rsid w:val="001A7FE9"/>
    <w:rsid w:val="001B0E48"/>
    <w:rsid w:val="001B16DC"/>
    <w:rsid w:val="001B1797"/>
    <w:rsid w:val="001B1E32"/>
    <w:rsid w:val="001B2346"/>
    <w:rsid w:val="001B25E2"/>
    <w:rsid w:val="001B2B7A"/>
    <w:rsid w:val="001B2E2D"/>
    <w:rsid w:val="001B3101"/>
    <w:rsid w:val="001B33F0"/>
    <w:rsid w:val="001B3F3E"/>
    <w:rsid w:val="001B4226"/>
    <w:rsid w:val="001B5072"/>
    <w:rsid w:val="001B5250"/>
    <w:rsid w:val="001B5639"/>
    <w:rsid w:val="001C0926"/>
    <w:rsid w:val="001C1B1E"/>
    <w:rsid w:val="001C1D81"/>
    <w:rsid w:val="001C1FD3"/>
    <w:rsid w:val="001C2790"/>
    <w:rsid w:val="001C2927"/>
    <w:rsid w:val="001C3CCB"/>
    <w:rsid w:val="001C4931"/>
    <w:rsid w:val="001C5291"/>
    <w:rsid w:val="001C54E5"/>
    <w:rsid w:val="001C56AF"/>
    <w:rsid w:val="001C597D"/>
    <w:rsid w:val="001C6DD5"/>
    <w:rsid w:val="001C74A9"/>
    <w:rsid w:val="001C767C"/>
    <w:rsid w:val="001C7E03"/>
    <w:rsid w:val="001D06B3"/>
    <w:rsid w:val="001D0AAB"/>
    <w:rsid w:val="001D1B0D"/>
    <w:rsid w:val="001D1D57"/>
    <w:rsid w:val="001D1D7C"/>
    <w:rsid w:val="001D2647"/>
    <w:rsid w:val="001D3562"/>
    <w:rsid w:val="001D378C"/>
    <w:rsid w:val="001D3804"/>
    <w:rsid w:val="001D402A"/>
    <w:rsid w:val="001D46B8"/>
    <w:rsid w:val="001D508A"/>
    <w:rsid w:val="001D5D96"/>
    <w:rsid w:val="001E044D"/>
    <w:rsid w:val="001E09BF"/>
    <w:rsid w:val="001E1891"/>
    <w:rsid w:val="001E2E2D"/>
    <w:rsid w:val="001E316A"/>
    <w:rsid w:val="001E3778"/>
    <w:rsid w:val="001E38B6"/>
    <w:rsid w:val="001E3E7E"/>
    <w:rsid w:val="001E4DC6"/>
    <w:rsid w:val="001E5953"/>
    <w:rsid w:val="001E5D8E"/>
    <w:rsid w:val="001E5FB4"/>
    <w:rsid w:val="001E65FE"/>
    <w:rsid w:val="001E6B4C"/>
    <w:rsid w:val="001E79A4"/>
    <w:rsid w:val="001E7C9B"/>
    <w:rsid w:val="001EF3A3"/>
    <w:rsid w:val="001F0650"/>
    <w:rsid w:val="001F0EBF"/>
    <w:rsid w:val="001F13B7"/>
    <w:rsid w:val="001F2AD3"/>
    <w:rsid w:val="001F2C5A"/>
    <w:rsid w:val="001F2DBF"/>
    <w:rsid w:val="001F2DD9"/>
    <w:rsid w:val="001F3FC6"/>
    <w:rsid w:val="001F4A54"/>
    <w:rsid w:val="001F6059"/>
    <w:rsid w:val="001F673F"/>
    <w:rsid w:val="001F6D3E"/>
    <w:rsid w:val="001F720E"/>
    <w:rsid w:val="001F7262"/>
    <w:rsid w:val="00200FE5"/>
    <w:rsid w:val="00201F2D"/>
    <w:rsid w:val="00202C7A"/>
    <w:rsid w:val="00203428"/>
    <w:rsid w:val="002038E4"/>
    <w:rsid w:val="00205090"/>
    <w:rsid w:val="0020533E"/>
    <w:rsid w:val="00205B0F"/>
    <w:rsid w:val="002063C8"/>
    <w:rsid w:val="00206854"/>
    <w:rsid w:val="00207289"/>
    <w:rsid w:val="002107F1"/>
    <w:rsid w:val="0021172F"/>
    <w:rsid w:val="002120D0"/>
    <w:rsid w:val="00212809"/>
    <w:rsid w:val="002128D1"/>
    <w:rsid w:val="00212A3B"/>
    <w:rsid w:val="00213DDF"/>
    <w:rsid w:val="00214B99"/>
    <w:rsid w:val="00215101"/>
    <w:rsid w:val="002152DB"/>
    <w:rsid w:val="002154D6"/>
    <w:rsid w:val="00215C61"/>
    <w:rsid w:val="00216BEB"/>
    <w:rsid w:val="002171D7"/>
    <w:rsid w:val="0021770C"/>
    <w:rsid w:val="00217718"/>
    <w:rsid w:val="00223703"/>
    <w:rsid w:val="00223E5B"/>
    <w:rsid w:val="002252C3"/>
    <w:rsid w:val="0022579D"/>
    <w:rsid w:val="00226400"/>
    <w:rsid w:val="00226437"/>
    <w:rsid w:val="00226D8B"/>
    <w:rsid w:val="00226FAD"/>
    <w:rsid w:val="00227427"/>
    <w:rsid w:val="0022753D"/>
    <w:rsid w:val="0022774A"/>
    <w:rsid w:val="00227E49"/>
    <w:rsid w:val="00230584"/>
    <w:rsid w:val="002318FA"/>
    <w:rsid w:val="00231A0C"/>
    <w:rsid w:val="00231D96"/>
    <w:rsid w:val="00231F4E"/>
    <w:rsid w:val="00232214"/>
    <w:rsid w:val="00233054"/>
    <w:rsid w:val="00233487"/>
    <w:rsid w:val="00233E0E"/>
    <w:rsid w:val="002350D9"/>
    <w:rsid w:val="00235225"/>
    <w:rsid w:val="002362DB"/>
    <w:rsid w:val="002363A9"/>
    <w:rsid w:val="00236929"/>
    <w:rsid w:val="00236E71"/>
    <w:rsid w:val="00236EC5"/>
    <w:rsid w:val="00237C1C"/>
    <w:rsid w:val="00240346"/>
    <w:rsid w:val="00241B5D"/>
    <w:rsid w:val="00242011"/>
    <w:rsid w:val="00242FB3"/>
    <w:rsid w:val="0024321F"/>
    <w:rsid w:val="00243686"/>
    <w:rsid w:val="00243BF7"/>
    <w:rsid w:val="0024490C"/>
    <w:rsid w:val="00244B4D"/>
    <w:rsid w:val="002464CB"/>
    <w:rsid w:val="002474F6"/>
    <w:rsid w:val="00250494"/>
    <w:rsid w:val="00250701"/>
    <w:rsid w:val="0025150A"/>
    <w:rsid w:val="00251BE2"/>
    <w:rsid w:val="00251F6A"/>
    <w:rsid w:val="00252425"/>
    <w:rsid w:val="002524BC"/>
    <w:rsid w:val="002526DA"/>
    <w:rsid w:val="00252A9E"/>
    <w:rsid w:val="00252E05"/>
    <w:rsid w:val="0025325D"/>
    <w:rsid w:val="00253D39"/>
    <w:rsid w:val="00254503"/>
    <w:rsid w:val="002548BF"/>
    <w:rsid w:val="00254CF3"/>
    <w:rsid w:val="002550FD"/>
    <w:rsid w:val="002558EF"/>
    <w:rsid w:val="002562A8"/>
    <w:rsid w:val="00256321"/>
    <w:rsid w:val="0025694E"/>
    <w:rsid w:val="00256D80"/>
    <w:rsid w:val="00256F78"/>
    <w:rsid w:val="00257456"/>
    <w:rsid w:val="00257732"/>
    <w:rsid w:val="002605EA"/>
    <w:rsid w:val="002609FA"/>
    <w:rsid w:val="00260A4C"/>
    <w:rsid w:val="002620FB"/>
    <w:rsid w:val="00262282"/>
    <w:rsid w:val="00262582"/>
    <w:rsid w:val="00263175"/>
    <w:rsid w:val="002635AA"/>
    <w:rsid w:val="00263B5B"/>
    <w:rsid w:val="00263CDB"/>
    <w:rsid w:val="002650AD"/>
    <w:rsid w:val="002654E4"/>
    <w:rsid w:val="00265B3F"/>
    <w:rsid w:val="00265F00"/>
    <w:rsid w:val="00266190"/>
    <w:rsid w:val="00266F9F"/>
    <w:rsid w:val="00270765"/>
    <w:rsid w:val="00271A30"/>
    <w:rsid w:val="00272E72"/>
    <w:rsid w:val="00273650"/>
    <w:rsid w:val="00273934"/>
    <w:rsid w:val="0027409F"/>
    <w:rsid w:val="00275DB9"/>
    <w:rsid w:val="00276EB8"/>
    <w:rsid w:val="0027728C"/>
    <w:rsid w:val="00277C1E"/>
    <w:rsid w:val="00277EB1"/>
    <w:rsid w:val="00280598"/>
    <w:rsid w:val="0028069B"/>
    <w:rsid w:val="00280BC5"/>
    <w:rsid w:val="00281610"/>
    <w:rsid w:val="00281678"/>
    <w:rsid w:val="002819D4"/>
    <w:rsid w:val="00281B17"/>
    <w:rsid w:val="00281B24"/>
    <w:rsid w:val="002820A5"/>
    <w:rsid w:val="00282137"/>
    <w:rsid w:val="002823AB"/>
    <w:rsid w:val="00282594"/>
    <w:rsid w:val="0028278F"/>
    <w:rsid w:val="00283181"/>
    <w:rsid w:val="00284941"/>
    <w:rsid w:val="00285A0A"/>
    <w:rsid w:val="00285A8C"/>
    <w:rsid w:val="00285BE8"/>
    <w:rsid w:val="00285ECF"/>
    <w:rsid w:val="00286008"/>
    <w:rsid w:val="00286204"/>
    <w:rsid w:val="00286640"/>
    <w:rsid w:val="00287042"/>
    <w:rsid w:val="0028709D"/>
    <w:rsid w:val="002871FD"/>
    <w:rsid w:val="00287541"/>
    <w:rsid w:val="0028793E"/>
    <w:rsid w:val="00290380"/>
    <w:rsid w:val="0029074D"/>
    <w:rsid w:val="002909A5"/>
    <w:rsid w:val="00290F91"/>
    <w:rsid w:val="00291170"/>
    <w:rsid w:val="00291278"/>
    <w:rsid w:val="00291940"/>
    <w:rsid w:val="00291D89"/>
    <w:rsid w:val="00291E67"/>
    <w:rsid w:val="0029221D"/>
    <w:rsid w:val="0029242A"/>
    <w:rsid w:val="00292AE1"/>
    <w:rsid w:val="00293357"/>
    <w:rsid w:val="00294AE2"/>
    <w:rsid w:val="00295BD9"/>
    <w:rsid w:val="00295EE0"/>
    <w:rsid w:val="00295FC2"/>
    <w:rsid w:val="00296C61"/>
    <w:rsid w:val="00297463"/>
    <w:rsid w:val="002977A4"/>
    <w:rsid w:val="00297D23"/>
    <w:rsid w:val="00297D48"/>
    <w:rsid w:val="002A0ADB"/>
    <w:rsid w:val="002A1323"/>
    <w:rsid w:val="002A20BC"/>
    <w:rsid w:val="002A2CA2"/>
    <w:rsid w:val="002A2D21"/>
    <w:rsid w:val="002A3686"/>
    <w:rsid w:val="002A379C"/>
    <w:rsid w:val="002A42D3"/>
    <w:rsid w:val="002A430A"/>
    <w:rsid w:val="002A56A9"/>
    <w:rsid w:val="002A5C0A"/>
    <w:rsid w:val="002A5E0E"/>
    <w:rsid w:val="002A64F7"/>
    <w:rsid w:val="002A7897"/>
    <w:rsid w:val="002A7DAF"/>
    <w:rsid w:val="002B0195"/>
    <w:rsid w:val="002B0807"/>
    <w:rsid w:val="002B0C4F"/>
    <w:rsid w:val="002B12F0"/>
    <w:rsid w:val="002B17ED"/>
    <w:rsid w:val="002B1CAD"/>
    <w:rsid w:val="002B34ED"/>
    <w:rsid w:val="002B3C3D"/>
    <w:rsid w:val="002B3FE2"/>
    <w:rsid w:val="002B4069"/>
    <w:rsid w:val="002B4D25"/>
    <w:rsid w:val="002B525E"/>
    <w:rsid w:val="002B5568"/>
    <w:rsid w:val="002B6286"/>
    <w:rsid w:val="002B6B1C"/>
    <w:rsid w:val="002B75A7"/>
    <w:rsid w:val="002B7990"/>
    <w:rsid w:val="002C16B8"/>
    <w:rsid w:val="002C204F"/>
    <w:rsid w:val="002C21D0"/>
    <w:rsid w:val="002C2455"/>
    <w:rsid w:val="002C289B"/>
    <w:rsid w:val="002C2FAE"/>
    <w:rsid w:val="002C3CFE"/>
    <w:rsid w:val="002C3EC5"/>
    <w:rsid w:val="002C4389"/>
    <w:rsid w:val="002C4B40"/>
    <w:rsid w:val="002C5197"/>
    <w:rsid w:val="002C632C"/>
    <w:rsid w:val="002C6850"/>
    <w:rsid w:val="002C755B"/>
    <w:rsid w:val="002C77C0"/>
    <w:rsid w:val="002D0BA3"/>
    <w:rsid w:val="002D0DE7"/>
    <w:rsid w:val="002D17FC"/>
    <w:rsid w:val="002D3F66"/>
    <w:rsid w:val="002D4389"/>
    <w:rsid w:val="002D48B3"/>
    <w:rsid w:val="002D5199"/>
    <w:rsid w:val="002D5251"/>
    <w:rsid w:val="002D5E1C"/>
    <w:rsid w:val="002D633D"/>
    <w:rsid w:val="002D698E"/>
    <w:rsid w:val="002D6C53"/>
    <w:rsid w:val="002D6CB9"/>
    <w:rsid w:val="002D6D34"/>
    <w:rsid w:val="002D757B"/>
    <w:rsid w:val="002D7A19"/>
    <w:rsid w:val="002E0083"/>
    <w:rsid w:val="002E06A1"/>
    <w:rsid w:val="002E0DF8"/>
    <w:rsid w:val="002E1637"/>
    <w:rsid w:val="002E1AC9"/>
    <w:rsid w:val="002E3214"/>
    <w:rsid w:val="002E35EC"/>
    <w:rsid w:val="002E3DA9"/>
    <w:rsid w:val="002E3EFE"/>
    <w:rsid w:val="002E4A02"/>
    <w:rsid w:val="002E4BEE"/>
    <w:rsid w:val="002E5327"/>
    <w:rsid w:val="002E5888"/>
    <w:rsid w:val="002E5CDF"/>
    <w:rsid w:val="002E67B4"/>
    <w:rsid w:val="002E7DE5"/>
    <w:rsid w:val="002F1BE8"/>
    <w:rsid w:val="002F24CE"/>
    <w:rsid w:val="002F2BA1"/>
    <w:rsid w:val="002F2F77"/>
    <w:rsid w:val="002F387D"/>
    <w:rsid w:val="002F485D"/>
    <w:rsid w:val="002F5946"/>
    <w:rsid w:val="002F7767"/>
    <w:rsid w:val="002F798B"/>
    <w:rsid w:val="00300309"/>
    <w:rsid w:val="003003C1"/>
    <w:rsid w:val="00301D99"/>
    <w:rsid w:val="00301EC9"/>
    <w:rsid w:val="00301FCB"/>
    <w:rsid w:val="00302261"/>
    <w:rsid w:val="003022D6"/>
    <w:rsid w:val="003025E3"/>
    <w:rsid w:val="0030304B"/>
    <w:rsid w:val="003031E6"/>
    <w:rsid w:val="0030482D"/>
    <w:rsid w:val="00304F54"/>
    <w:rsid w:val="003053D3"/>
    <w:rsid w:val="003058C7"/>
    <w:rsid w:val="0030608F"/>
    <w:rsid w:val="00306C95"/>
    <w:rsid w:val="00306CEA"/>
    <w:rsid w:val="0030734F"/>
    <w:rsid w:val="003079B2"/>
    <w:rsid w:val="00307D6F"/>
    <w:rsid w:val="00307E8B"/>
    <w:rsid w:val="00307ED2"/>
    <w:rsid w:val="00310CEC"/>
    <w:rsid w:val="0031176E"/>
    <w:rsid w:val="00311B1C"/>
    <w:rsid w:val="003122C9"/>
    <w:rsid w:val="003126B4"/>
    <w:rsid w:val="0031311D"/>
    <w:rsid w:val="00313287"/>
    <w:rsid w:val="0031337B"/>
    <w:rsid w:val="003146AD"/>
    <w:rsid w:val="00314906"/>
    <w:rsid w:val="00314F89"/>
    <w:rsid w:val="00315EFC"/>
    <w:rsid w:val="00316429"/>
    <w:rsid w:val="00317181"/>
    <w:rsid w:val="003177C1"/>
    <w:rsid w:val="0031781C"/>
    <w:rsid w:val="00320ABF"/>
    <w:rsid w:val="00320BF8"/>
    <w:rsid w:val="00320F46"/>
    <w:rsid w:val="00321147"/>
    <w:rsid w:val="00321BA6"/>
    <w:rsid w:val="00322C5B"/>
    <w:rsid w:val="00323702"/>
    <w:rsid w:val="00324641"/>
    <w:rsid w:val="00325356"/>
    <w:rsid w:val="00325649"/>
    <w:rsid w:val="00326793"/>
    <w:rsid w:val="003306F0"/>
    <w:rsid w:val="00330C5F"/>
    <w:rsid w:val="00331AC2"/>
    <w:rsid w:val="00331E81"/>
    <w:rsid w:val="003327FC"/>
    <w:rsid w:val="0033384D"/>
    <w:rsid w:val="00333AA0"/>
    <w:rsid w:val="00333B0D"/>
    <w:rsid w:val="0033400C"/>
    <w:rsid w:val="0033415E"/>
    <w:rsid w:val="00334366"/>
    <w:rsid w:val="00334401"/>
    <w:rsid w:val="003345A0"/>
    <w:rsid w:val="0033610E"/>
    <w:rsid w:val="00336227"/>
    <w:rsid w:val="003362A7"/>
    <w:rsid w:val="00336DC1"/>
    <w:rsid w:val="0033794B"/>
    <w:rsid w:val="00337CF0"/>
    <w:rsid w:val="00337D34"/>
    <w:rsid w:val="00337FE4"/>
    <w:rsid w:val="00341009"/>
    <w:rsid w:val="0034275C"/>
    <w:rsid w:val="003434D2"/>
    <w:rsid w:val="00343903"/>
    <w:rsid w:val="00344950"/>
    <w:rsid w:val="0034499E"/>
    <w:rsid w:val="00344E68"/>
    <w:rsid w:val="003450E4"/>
    <w:rsid w:val="003469E6"/>
    <w:rsid w:val="00346AFD"/>
    <w:rsid w:val="003477B6"/>
    <w:rsid w:val="0035069D"/>
    <w:rsid w:val="00350C80"/>
    <w:rsid w:val="00351B42"/>
    <w:rsid w:val="00353088"/>
    <w:rsid w:val="0035381F"/>
    <w:rsid w:val="00353C82"/>
    <w:rsid w:val="003562E2"/>
    <w:rsid w:val="0035686F"/>
    <w:rsid w:val="00357446"/>
    <w:rsid w:val="00357968"/>
    <w:rsid w:val="0036025C"/>
    <w:rsid w:val="00360B63"/>
    <w:rsid w:val="0036161C"/>
    <w:rsid w:val="00361A25"/>
    <w:rsid w:val="00361B17"/>
    <w:rsid w:val="00361DCC"/>
    <w:rsid w:val="00361E00"/>
    <w:rsid w:val="00362768"/>
    <w:rsid w:val="00363D63"/>
    <w:rsid w:val="00363FC5"/>
    <w:rsid w:val="003647B2"/>
    <w:rsid w:val="00365A89"/>
    <w:rsid w:val="003661AA"/>
    <w:rsid w:val="00366A03"/>
    <w:rsid w:val="00366C0B"/>
    <w:rsid w:val="00366D15"/>
    <w:rsid w:val="00372309"/>
    <w:rsid w:val="003726ED"/>
    <w:rsid w:val="00372824"/>
    <w:rsid w:val="00372967"/>
    <w:rsid w:val="003729DD"/>
    <w:rsid w:val="00372BB5"/>
    <w:rsid w:val="00372F3C"/>
    <w:rsid w:val="00373003"/>
    <w:rsid w:val="00373CDE"/>
    <w:rsid w:val="0037468E"/>
    <w:rsid w:val="0037484D"/>
    <w:rsid w:val="00375261"/>
    <w:rsid w:val="0037571B"/>
    <w:rsid w:val="0037578D"/>
    <w:rsid w:val="003766E8"/>
    <w:rsid w:val="00376A6D"/>
    <w:rsid w:val="0037711C"/>
    <w:rsid w:val="00377161"/>
    <w:rsid w:val="003773E9"/>
    <w:rsid w:val="00380FD1"/>
    <w:rsid w:val="00381203"/>
    <w:rsid w:val="00381272"/>
    <w:rsid w:val="003814EC"/>
    <w:rsid w:val="00381556"/>
    <w:rsid w:val="00381EDF"/>
    <w:rsid w:val="00382AE7"/>
    <w:rsid w:val="00383D65"/>
    <w:rsid w:val="00384A5E"/>
    <w:rsid w:val="00384AD4"/>
    <w:rsid w:val="00385014"/>
    <w:rsid w:val="003851CD"/>
    <w:rsid w:val="003855B6"/>
    <w:rsid w:val="003855B8"/>
    <w:rsid w:val="0038611B"/>
    <w:rsid w:val="00386168"/>
    <w:rsid w:val="003862B1"/>
    <w:rsid w:val="003864B9"/>
    <w:rsid w:val="00386EFC"/>
    <w:rsid w:val="0038726B"/>
    <w:rsid w:val="003903E8"/>
    <w:rsid w:val="00390AFC"/>
    <w:rsid w:val="00391DFF"/>
    <w:rsid w:val="003926A5"/>
    <w:rsid w:val="0039284E"/>
    <w:rsid w:val="0039486F"/>
    <w:rsid w:val="0039515C"/>
    <w:rsid w:val="0039545A"/>
    <w:rsid w:val="003958EF"/>
    <w:rsid w:val="00395A51"/>
    <w:rsid w:val="003A013D"/>
    <w:rsid w:val="003A03DF"/>
    <w:rsid w:val="003A0CAE"/>
    <w:rsid w:val="003A0CE5"/>
    <w:rsid w:val="003A0F4E"/>
    <w:rsid w:val="003A0FC2"/>
    <w:rsid w:val="003A0FF4"/>
    <w:rsid w:val="003A118C"/>
    <w:rsid w:val="003A17E7"/>
    <w:rsid w:val="003A1DE7"/>
    <w:rsid w:val="003A2496"/>
    <w:rsid w:val="003A26EF"/>
    <w:rsid w:val="003A2EF8"/>
    <w:rsid w:val="003A45A2"/>
    <w:rsid w:val="003A4872"/>
    <w:rsid w:val="003A5561"/>
    <w:rsid w:val="003A6255"/>
    <w:rsid w:val="003A692A"/>
    <w:rsid w:val="003A6CCC"/>
    <w:rsid w:val="003A7528"/>
    <w:rsid w:val="003A75AB"/>
    <w:rsid w:val="003A79AF"/>
    <w:rsid w:val="003A7A85"/>
    <w:rsid w:val="003A7EF3"/>
    <w:rsid w:val="003A7FB3"/>
    <w:rsid w:val="003B04A1"/>
    <w:rsid w:val="003B0746"/>
    <w:rsid w:val="003B0880"/>
    <w:rsid w:val="003B1220"/>
    <w:rsid w:val="003B210D"/>
    <w:rsid w:val="003B2B98"/>
    <w:rsid w:val="003B3A39"/>
    <w:rsid w:val="003B4443"/>
    <w:rsid w:val="003B4847"/>
    <w:rsid w:val="003B4919"/>
    <w:rsid w:val="003B5195"/>
    <w:rsid w:val="003B5D51"/>
    <w:rsid w:val="003B6B8F"/>
    <w:rsid w:val="003B73E4"/>
    <w:rsid w:val="003B73F8"/>
    <w:rsid w:val="003C025E"/>
    <w:rsid w:val="003C1F59"/>
    <w:rsid w:val="003C24CE"/>
    <w:rsid w:val="003C3418"/>
    <w:rsid w:val="003C35DA"/>
    <w:rsid w:val="003C3721"/>
    <w:rsid w:val="003C37AC"/>
    <w:rsid w:val="003C3933"/>
    <w:rsid w:val="003C3DEA"/>
    <w:rsid w:val="003C3DEB"/>
    <w:rsid w:val="003C3F12"/>
    <w:rsid w:val="003C3F64"/>
    <w:rsid w:val="003C4BCF"/>
    <w:rsid w:val="003C63FB"/>
    <w:rsid w:val="003C693C"/>
    <w:rsid w:val="003C6B3E"/>
    <w:rsid w:val="003C7610"/>
    <w:rsid w:val="003C7949"/>
    <w:rsid w:val="003D021D"/>
    <w:rsid w:val="003D0338"/>
    <w:rsid w:val="003D03FA"/>
    <w:rsid w:val="003D0711"/>
    <w:rsid w:val="003D0EE7"/>
    <w:rsid w:val="003D1A4A"/>
    <w:rsid w:val="003D24A8"/>
    <w:rsid w:val="003D283C"/>
    <w:rsid w:val="003D28AC"/>
    <w:rsid w:val="003D2AC6"/>
    <w:rsid w:val="003D3915"/>
    <w:rsid w:val="003D3D56"/>
    <w:rsid w:val="003D42F2"/>
    <w:rsid w:val="003D4CD9"/>
    <w:rsid w:val="003D515B"/>
    <w:rsid w:val="003D58D4"/>
    <w:rsid w:val="003D5E23"/>
    <w:rsid w:val="003D6307"/>
    <w:rsid w:val="003D7059"/>
    <w:rsid w:val="003D7352"/>
    <w:rsid w:val="003E0015"/>
    <w:rsid w:val="003E0200"/>
    <w:rsid w:val="003E0731"/>
    <w:rsid w:val="003E074D"/>
    <w:rsid w:val="003E08A9"/>
    <w:rsid w:val="003E0DBA"/>
    <w:rsid w:val="003E101D"/>
    <w:rsid w:val="003E185A"/>
    <w:rsid w:val="003E1CA6"/>
    <w:rsid w:val="003E2079"/>
    <w:rsid w:val="003E3A20"/>
    <w:rsid w:val="003E3ACE"/>
    <w:rsid w:val="003E42BB"/>
    <w:rsid w:val="003E49FB"/>
    <w:rsid w:val="003E5662"/>
    <w:rsid w:val="003E59AB"/>
    <w:rsid w:val="003E5F01"/>
    <w:rsid w:val="003E6120"/>
    <w:rsid w:val="003E6192"/>
    <w:rsid w:val="003E6243"/>
    <w:rsid w:val="003E6433"/>
    <w:rsid w:val="003E658A"/>
    <w:rsid w:val="003E6B77"/>
    <w:rsid w:val="003E7040"/>
    <w:rsid w:val="003F0628"/>
    <w:rsid w:val="003F0B4F"/>
    <w:rsid w:val="003F2117"/>
    <w:rsid w:val="003F2E5D"/>
    <w:rsid w:val="003F2F13"/>
    <w:rsid w:val="003F3592"/>
    <w:rsid w:val="003F3A03"/>
    <w:rsid w:val="003F47FB"/>
    <w:rsid w:val="003F4D99"/>
    <w:rsid w:val="003F57B2"/>
    <w:rsid w:val="003F668B"/>
    <w:rsid w:val="003F6EE7"/>
    <w:rsid w:val="003F7E87"/>
    <w:rsid w:val="0040092B"/>
    <w:rsid w:val="004011B8"/>
    <w:rsid w:val="004020EB"/>
    <w:rsid w:val="00403620"/>
    <w:rsid w:val="00403CE1"/>
    <w:rsid w:val="00404269"/>
    <w:rsid w:val="00404A3C"/>
    <w:rsid w:val="00404E91"/>
    <w:rsid w:val="00404EE9"/>
    <w:rsid w:val="004056A0"/>
    <w:rsid w:val="00406175"/>
    <w:rsid w:val="00406754"/>
    <w:rsid w:val="004079CF"/>
    <w:rsid w:val="00410B3E"/>
    <w:rsid w:val="00410BEB"/>
    <w:rsid w:val="00411575"/>
    <w:rsid w:val="00411776"/>
    <w:rsid w:val="00411814"/>
    <w:rsid w:val="00412460"/>
    <w:rsid w:val="0041455C"/>
    <w:rsid w:val="00414968"/>
    <w:rsid w:val="00414BF1"/>
    <w:rsid w:val="004151B3"/>
    <w:rsid w:val="00415468"/>
    <w:rsid w:val="00415A79"/>
    <w:rsid w:val="004166C8"/>
    <w:rsid w:val="004166EE"/>
    <w:rsid w:val="00416EF4"/>
    <w:rsid w:val="004171D7"/>
    <w:rsid w:val="004176B4"/>
    <w:rsid w:val="00417A13"/>
    <w:rsid w:val="0042078A"/>
    <w:rsid w:val="0042156C"/>
    <w:rsid w:val="004217C5"/>
    <w:rsid w:val="004218DE"/>
    <w:rsid w:val="00421E47"/>
    <w:rsid w:val="00422C3C"/>
    <w:rsid w:val="00422D2E"/>
    <w:rsid w:val="00422D86"/>
    <w:rsid w:val="00423741"/>
    <w:rsid w:val="0042408C"/>
    <w:rsid w:val="0042434C"/>
    <w:rsid w:val="00424492"/>
    <w:rsid w:val="00426122"/>
    <w:rsid w:val="00426908"/>
    <w:rsid w:val="00426B8B"/>
    <w:rsid w:val="004273CD"/>
    <w:rsid w:val="004317F5"/>
    <w:rsid w:val="00431AAD"/>
    <w:rsid w:val="0043225F"/>
    <w:rsid w:val="004328DC"/>
    <w:rsid w:val="0043388F"/>
    <w:rsid w:val="00433F44"/>
    <w:rsid w:val="0043401E"/>
    <w:rsid w:val="00434212"/>
    <w:rsid w:val="0043483E"/>
    <w:rsid w:val="00434AA9"/>
    <w:rsid w:val="00435A41"/>
    <w:rsid w:val="00435B44"/>
    <w:rsid w:val="00436286"/>
    <w:rsid w:val="004364E1"/>
    <w:rsid w:val="00437708"/>
    <w:rsid w:val="00437A3A"/>
    <w:rsid w:val="004408BA"/>
    <w:rsid w:val="00440B9F"/>
    <w:rsid w:val="0044183D"/>
    <w:rsid w:val="00442A4E"/>
    <w:rsid w:val="004430A2"/>
    <w:rsid w:val="00443AE2"/>
    <w:rsid w:val="0044427D"/>
    <w:rsid w:val="00444645"/>
    <w:rsid w:val="004447AD"/>
    <w:rsid w:val="00446065"/>
    <w:rsid w:val="00446266"/>
    <w:rsid w:val="00446493"/>
    <w:rsid w:val="00446572"/>
    <w:rsid w:val="00446C1F"/>
    <w:rsid w:val="00447EAD"/>
    <w:rsid w:val="0045006B"/>
    <w:rsid w:val="00450178"/>
    <w:rsid w:val="004513E0"/>
    <w:rsid w:val="0045174F"/>
    <w:rsid w:val="00451991"/>
    <w:rsid w:val="00451A11"/>
    <w:rsid w:val="00452BF6"/>
    <w:rsid w:val="00452F98"/>
    <w:rsid w:val="00453220"/>
    <w:rsid w:val="004550C8"/>
    <w:rsid w:val="0045550F"/>
    <w:rsid w:val="00455B0D"/>
    <w:rsid w:val="00456A80"/>
    <w:rsid w:val="00456AB7"/>
    <w:rsid w:val="00456EF5"/>
    <w:rsid w:val="00457013"/>
    <w:rsid w:val="004574E9"/>
    <w:rsid w:val="00457E92"/>
    <w:rsid w:val="00457EB7"/>
    <w:rsid w:val="00460963"/>
    <w:rsid w:val="00460CD4"/>
    <w:rsid w:val="0046148E"/>
    <w:rsid w:val="004618FB"/>
    <w:rsid w:val="00461FCE"/>
    <w:rsid w:val="004623AC"/>
    <w:rsid w:val="004625B1"/>
    <w:rsid w:val="00462E78"/>
    <w:rsid w:val="0046380F"/>
    <w:rsid w:val="00464198"/>
    <w:rsid w:val="00464344"/>
    <w:rsid w:val="00464491"/>
    <w:rsid w:val="00464553"/>
    <w:rsid w:val="00464F3C"/>
    <w:rsid w:val="0046661F"/>
    <w:rsid w:val="00466902"/>
    <w:rsid w:val="0046784A"/>
    <w:rsid w:val="004678FE"/>
    <w:rsid w:val="00467979"/>
    <w:rsid w:val="00470802"/>
    <w:rsid w:val="00471288"/>
    <w:rsid w:val="00472874"/>
    <w:rsid w:val="00473538"/>
    <w:rsid w:val="00473A69"/>
    <w:rsid w:val="00474657"/>
    <w:rsid w:val="004747B1"/>
    <w:rsid w:val="0047651A"/>
    <w:rsid w:val="00476EB4"/>
    <w:rsid w:val="004779F6"/>
    <w:rsid w:val="0048045A"/>
    <w:rsid w:val="00480C9B"/>
    <w:rsid w:val="00480FEA"/>
    <w:rsid w:val="00481E37"/>
    <w:rsid w:val="00482E54"/>
    <w:rsid w:val="00483134"/>
    <w:rsid w:val="00484417"/>
    <w:rsid w:val="00484F9B"/>
    <w:rsid w:val="00485505"/>
    <w:rsid w:val="00485F64"/>
    <w:rsid w:val="00486030"/>
    <w:rsid w:val="00487022"/>
    <w:rsid w:val="00487170"/>
    <w:rsid w:val="0048778F"/>
    <w:rsid w:val="0048779A"/>
    <w:rsid w:val="00487A40"/>
    <w:rsid w:val="004908CC"/>
    <w:rsid w:val="00491F42"/>
    <w:rsid w:val="00492084"/>
    <w:rsid w:val="0049213F"/>
    <w:rsid w:val="004922A5"/>
    <w:rsid w:val="004923D7"/>
    <w:rsid w:val="00492546"/>
    <w:rsid w:val="004928A0"/>
    <w:rsid w:val="0049448F"/>
    <w:rsid w:val="00497928"/>
    <w:rsid w:val="00497BC8"/>
    <w:rsid w:val="004A0A24"/>
    <w:rsid w:val="004A19E8"/>
    <w:rsid w:val="004A23E5"/>
    <w:rsid w:val="004A349F"/>
    <w:rsid w:val="004A3D94"/>
    <w:rsid w:val="004A4030"/>
    <w:rsid w:val="004A4502"/>
    <w:rsid w:val="004A4963"/>
    <w:rsid w:val="004A5C1A"/>
    <w:rsid w:val="004A5D81"/>
    <w:rsid w:val="004A5DF5"/>
    <w:rsid w:val="004A60C4"/>
    <w:rsid w:val="004A638B"/>
    <w:rsid w:val="004A643F"/>
    <w:rsid w:val="004A6E3D"/>
    <w:rsid w:val="004A78E3"/>
    <w:rsid w:val="004B0403"/>
    <w:rsid w:val="004B04B9"/>
    <w:rsid w:val="004B05DA"/>
    <w:rsid w:val="004B08BD"/>
    <w:rsid w:val="004B146A"/>
    <w:rsid w:val="004B1C9C"/>
    <w:rsid w:val="004B1D93"/>
    <w:rsid w:val="004B2944"/>
    <w:rsid w:val="004B44FB"/>
    <w:rsid w:val="004B7781"/>
    <w:rsid w:val="004B7C6A"/>
    <w:rsid w:val="004B7D29"/>
    <w:rsid w:val="004C0111"/>
    <w:rsid w:val="004C0DEB"/>
    <w:rsid w:val="004C144A"/>
    <w:rsid w:val="004C2064"/>
    <w:rsid w:val="004C21AF"/>
    <w:rsid w:val="004C3277"/>
    <w:rsid w:val="004C3FA7"/>
    <w:rsid w:val="004C56B7"/>
    <w:rsid w:val="004C56DF"/>
    <w:rsid w:val="004C5A18"/>
    <w:rsid w:val="004C6076"/>
    <w:rsid w:val="004C6528"/>
    <w:rsid w:val="004C6D9C"/>
    <w:rsid w:val="004C7436"/>
    <w:rsid w:val="004D0A60"/>
    <w:rsid w:val="004D15B9"/>
    <w:rsid w:val="004D1BD4"/>
    <w:rsid w:val="004D2F80"/>
    <w:rsid w:val="004D3763"/>
    <w:rsid w:val="004D4542"/>
    <w:rsid w:val="004D4881"/>
    <w:rsid w:val="004D4FE1"/>
    <w:rsid w:val="004D5514"/>
    <w:rsid w:val="004D5A5B"/>
    <w:rsid w:val="004D6301"/>
    <w:rsid w:val="004D6345"/>
    <w:rsid w:val="004E0445"/>
    <w:rsid w:val="004E0CF4"/>
    <w:rsid w:val="004E0DE0"/>
    <w:rsid w:val="004E1D12"/>
    <w:rsid w:val="004E1E96"/>
    <w:rsid w:val="004E1F6C"/>
    <w:rsid w:val="004E256D"/>
    <w:rsid w:val="004E479E"/>
    <w:rsid w:val="004E5507"/>
    <w:rsid w:val="004E618E"/>
    <w:rsid w:val="004E62A0"/>
    <w:rsid w:val="004E6E1F"/>
    <w:rsid w:val="004F0D88"/>
    <w:rsid w:val="004F1204"/>
    <w:rsid w:val="004F2015"/>
    <w:rsid w:val="004F21B4"/>
    <w:rsid w:val="004F304A"/>
    <w:rsid w:val="004F3111"/>
    <w:rsid w:val="004F3F48"/>
    <w:rsid w:val="004F4630"/>
    <w:rsid w:val="004F4A32"/>
    <w:rsid w:val="004F4BA7"/>
    <w:rsid w:val="004F4CB2"/>
    <w:rsid w:val="004F4E02"/>
    <w:rsid w:val="004F5E94"/>
    <w:rsid w:val="004F69BF"/>
    <w:rsid w:val="004F7CC3"/>
    <w:rsid w:val="005000F3"/>
    <w:rsid w:val="005000F5"/>
    <w:rsid w:val="00500AD1"/>
    <w:rsid w:val="00501089"/>
    <w:rsid w:val="0050258B"/>
    <w:rsid w:val="00502CE6"/>
    <w:rsid w:val="00502F03"/>
    <w:rsid w:val="00503D7A"/>
    <w:rsid w:val="00506230"/>
    <w:rsid w:val="00506CDB"/>
    <w:rsid w:val="00507178"/>
    <w:rsid w:val="00507190"/>
    <w:rsid w:val="00507E99"/>
    <w:rsid w:val="005118BE"/>
    <w:rsid w:val="00511C68"/>
    <w:rsid w:val="00511DB1"/>
    <w:rsid w:val="00512689"/>
    <w:rsid w:val="00512E8D"/>
    <w:rsid w:val="00512F9A"/>
    <w:rsid w:val="00514AA4"/>
    <w:rsid w:val="00515102"/>
    <w:rsid w:val="005153D3"/>
    <w:rsid w:val="005157A9"/>
    <w:rsid w:val="00515C53"/>
    <w:rsid w:val="005163EE"/>
    <w:rsid w:val="005178FD"/>
    <w:rsid w:val="00517E9B"/>
    <w:rsid w:val="00517FD9"/>
    <w:rsid w:val="00520230"/>
    <w:rsid w:val="00520EC4"/>
    <w:rsid w:val="00522122"/>
    <w:rsid w:val="005223F8"/>
    <w:rsid w:val="00522AAC"/>
    <w:rsid w:val="00522B9B"/>
    <w:rsid w:val="00522CDB"/>
    <w:rsid w:val="00522D6F"/>
    <w:rsid w:val="005233D4"/>
    <w:rsid w:val="0052468F"/>
    <w:rsid w:val="005250BA"/>
    <w:rsid w:val="005251C7"/>
    <w:rsid w:val="00525375"/>
    <w:rsid w:val="005258A3"/>
    <w:rsid w:val="0052637D"/>
    <w:rsid w:val="005269E1"/>
    <w:rsid w:val="00526C6E"/>
    <w:rsid w:val="00527352"/>
    <w:rsid w:val="00530345"/>
    <w:rsid w:val="0053040B"/>
    <w:rsid w:val="005305A8"/>
    <w:rsid w:val="00530874"/>
    <w:rsid w:val="00531162"/>
    <w:rsid w:val="005314E6"/>
    <w:rsid w:val="0053158B"/>
    <w:rsid w:val="00532208"/>
    <w:rsid w:val="0053272D"/>
    <w:rsid w:val="00533537"/>
    <w:rsid w:val="0053611E"/>
    <w:rsid w:val="00536240"/>
    <w:rsid w:val="005364D9"/>
    <w:rsid w:val="0054008F"/>
    <w:rsid w:val="005402DA"/>
    <w:rsid w:val="0054156B"/>
    <w:rsid w:val="005417D6"/>
    <w:rsid w:val="005428C5"/>
    <w:rsid w:val="00543BA1"/>
    <w:rsid w:val="0054426A"/>
    <w:rsid w:val="00544610"/>
    <w:rsid w:val="00545039"/>
    <w:rsid w:val="0054576D"/>
    <w:rsid w:val="00545A5E"/>
    <w:rsid w:val="0054643D"/>
    <w:rsid w:val="005466FD"/>
    <w:rsid w:val="0054680C"/>
    <w:rsid w:val="00546F93"/>
    <w:rsid w:val="00547480"/>
    <w:rsid w:val="005505BA"/>
    <w:rsid w:val="005506DD"/>
    <w:rsid w:val="005506F8"/>
    <w:rsid w:val="00550EBB"/>
    <w:rsid w:val="00551010"/>
    <w:rsid w:val="0055214F"/>
    <w:rsid w:val="00552654"/>
    <w:rsid w:val="005535D2"/>
    <w:rsid w:val="00553663"/>
    <w:rsid w:val="00553716"/>
    <w:rsid w:val="005537D2"/>
    <w:rsid w:val="00555894"/>
    <w:rsid w:val="00555BC2"/>
    <w:rsid w:val="00556069"/>
    <w:rsid w:val="0055692A"/>
    <w:rsid w:val="005570A6"/>
    <w:rsid w:val="005576D1"/>
    <w:rsid w:val="00560719"/>
    <w:rsid w:val="00561A17"/>
    <w:rsid w:val="00562083"/>
    <w:rsid w:val="00562E48"/>
    <w:rsid w:val="00564178"/>
    <w:rsid w:val="0056432D"/>
    <w:rsid w:val="0056594A"/>
    <w:rsid w:val="00565C06"/>
    <w:rsid w:val="00566006"/>
    <w:rsid w:val="00566A91"/>
    <w:rsid w:val="005677B0"/>
    <w:rsid w:val="00567BD7"/>
    <w:rsid w:val="005705B8"/>
    <w:rsid w:val="00570FBC"/>
    <w:rsid w:val="00572087"/>
    <w:rsid w:val="005729E5"/>
    <w:rsid w:val="00572ED0"/>
    <w:rsid w:val="00573A69"/>
    <w:rsid w:val="0057640E"/>
    <w:rsid w:val="005768ED"/>
    <w:rsid w:val="005779A7"/>
    <w:rsid w:val="00577D27"/>
    <w:rsid w:val="005801D8"/>
    <w:rsid w:val="005806E5"/>
    <w:rsid w:val="00580C98"/>
    <w:rsid w:val="00581E19"/>
    <w:rsid w:val="0058239E"/>
    <w:rsid w:val="00582968"/>
    <w:rsid w:val="00582C2C"/>
    <w:rsid w:val="005834D8"/>
    <w:rsid w:val="00583AF7"/>
    <w:rsid w:val="00583D66"/>
    <w:rsid w:val="00583E09"/>
    <w:rsid w:val="00583FF7"/>
    <w:rsid w:val="00584CD1"/>
    <w:rsid w:val="00584D8D"/>
    <w:rsid w:val="005856E2"/>
    <w:rsid w:val="00585BF7"/>
    <w:rsid w:val="00586B49"/>
    <w:rsid w:val="00586E29"/>
    <w:rsid w:val="0058702D"/>
    <w:rsid w:val="005873F2"/>
    <w:rsid w:val="0059055D"/>
    <w:rsid w:val="005906CA"/>
    <w:rsid w:val="00590DE4"/>
    <w:rsid w:val="005914F2"/>
    <w:rsid w:val="00592636"/>
    <w:rsid w:val="00592C73"/>
    <w:rsid w:val="00592DCF"/>
    <w:rsid w:val="005938F1"/>
    <w:rsid w:val="00593A69"/>
    <w:rsid w:val="00593FD4"/>
    <w:rsid w:val="005944A8"/>
    <w:rsid w:val="005945D5"/>
    <w:rsid w:val="00594767"/>
    <w:rsid w:val="00595441"/>
    <w:rsid w:val="005955FF"/>
    <w:rsid w:val="005956C5"/>
    <w:rsid w:val="00596BE0"/>
    <w:rsid w:val="00596CB9"/>
    <w:rsid w:val="00596EA6"/>
    <w:rsid w:val="00597002"/>
    <w:rsid w:val="00597AB2"/>
    <w:rsid w:val="005A0B3D"/>
    <w:rsid w:val="005A1047"/>
    <w:rsid w:val="005A1256"/>
    <w:rsid w:val="005A1349"/>
    <w:rsid w:val="005A15E2"/>
    <w:rsid w:val="005A172B"/>
    <w:rsid w:val="005A1863"/>
    <w:rsid w:val="005A24AF"/>
    <w:rsid w:val="005A27CC"/>
    <w:rsid w:val="005A290B"/>
    <w:rsid w:val="005A2E2F"/>
    <w:rsid w:val="005A306E"/>
    <w:rsid w:val="005A3118"/>
    <w:rsid w:val="005A3FDC"/>
    <w:rsid w:val="005A543C"/>
    <w:rsid w:val="005A579B"/>
    <w:rsid w:val="005A598E"/>
    <w:rsid w:val="005A5C68"/>
    <w:rsid w:val="005A63C1"/>
    <w:rsid w:val="005A6675"/>
    <w:rsid w:val="005A71D6"/>
    <w:rsid w:val="005A7A66"/>
    <w:rsid w:val="005A7C40"/>
    <w:rsid w:val="005B0058"/>
    <w:rsid w:val="005B02AD"/>
    <w:rsid w:val="005B0328"/>
    <w:rsid w:val="005B2275"/>
    <w:rsid w:val="005B243F"/>
    <w:rsid w:val="005B2707"/>
    <w:rsid w:val="005B2FEF"/>
    <w:rsid w:val="005B3B45"/>
    <w:rsid w:val="005B3E37"/>
    <w:rsid w:val="005B4A32"/>
    <w:rsid w:val="005B4C8E"/>
    <w:rsid w:val="005B5527"/>
    <w:rsid w:val="005B55D1"/>
    <w:rsid w:val="005B5A2E"/>
    <w:rsid w:val="005B75D4"/>
    <w:rsid w:val="005B7C6D"/>
    <w:rsid w:val="005B7C9D"/>
    <w:rsid w:val="005C067D"/>
    <w:rsid w:val="005C1334"/>
    <w:rsid w:val="005C16CC"/>
    <w:rsid w:val="005C1CB7"/>
    <w:rsid w:val="005C1EB2"/>
    <w:rsid w:val="005C2734"/>
    <w:rsid w:val="005C29F2"/>
    <w:rsid w:val="005C38C3"/>
    <w:rsid w:val="005C4299"/>
    <w:rsid w:val="005C45ED"/>
    <w:rsid w:val="005C4998"/>
    <w:rsid w:val="005C590F"/>
    <w:rsid w:val="005C6DF5"/>
    <w:rsid w:val="005C6E03"/>
    <w:rsid w:val="005C7B42"/>
    <w:rsid w:val="005D1741"/>
    <w:rsid w:val="005D1E23"/>
    <w:rsid w:val="005D3E01"/>
    <w:rsid w:val="005D480C"/>
    <w:rsid w:val="005D5799"/>
    <w:rsid w:val="005D681E"/>
    <w:rsid w:val="005D6A6B"/>
    <w:rsid w:val="005D7DE1"/>
    <w:rsid w:val="005E037B"/>
    <w:rsid w:val="005E1C3C"/>
    <w:rsid w:val="005E2160"/>
    <w:rsid w:val="005E2485"/>
    <w:rsid w:val="005E25FC"/>
    <w:rsid w:val="005E263D"/>
    <w:rsid w:val="005E2ABB"/>
    <w:rsid w:val="005E33ED"/>
    <w:rsid w:val="005E387E"/>
    <w:rsid w:val="005E3F3D"/>
    <w:rsid w:val="005E4840"/>
    <w:rsid w:val="005E4A26"/>
    <w:rsid w:val="005E518A"/>
    <w:rsid w:val="005E52A1"/>
    <w:rsid w:val="005E53CE"/>
    <w:rsid w:val="005E5B9A"/>
    <w:rsid w:val="005E5BA3"/>
    <w:rsid w:val="005E5E7B"/>
    <w:rsid w:val="005E6DC4"/>
    <w:rsid w:val="005F02D6"/>
    <w:rsid w:val="005F033F"/>
    <w:rsid w:val="005F10ED"/>
    <w:rsid w:val="005F1450"/>
    <w:rsid w:val="005F180B"/>
    <w:rsid w:val="005F2328"/>
    <w:rsid w:val="005F34E1"/>
    <w:rsid w:val="005F3BBC"/>
    <w:rsid w:val="005F4119"/>
    <w:rsid w:val="005F46A3"/>
    <w:rsid w:val="005F46C6"/>
    <w:rsid w:val="005F483D"/>
    <w:rsid w:val="005F618C"/>
    <w:rsid w:val="005F7594"/>
    <w:rsid w:val="005F7686"/>
    <w:rsid w:val="005F7814"/>
    <w:rsid w:val="005F7F41"/>
    <w:rsid w:val="006004C0"/>
    <w:rsid w:val="0060088A"/>
    <w:rsid w:val="00601DA2"/>
    <w:rsid w:val="0060246A"/>
    <w:rsid w:val="00603439"/>
    <w:rsid w:val="0060489D"/>
    <w:rsid w:val="00604E32"/>
    <w:rsid w:val="00604F1C"/>
    <w:rsid w:val="00605749"/>
    <w:rsid w:val="00605B15"/>
    <w:rsid w:val="00605E31"/>
    <w:rsid w:val="006065E2"/>
    <w:rsid w:val="00606B3D"/>
    <w:rsid w:val="00606C44"/>
    <w:rsid w:val="0060742A"/>
    <w:rsid w:val="00607FC5"/>
    <w:rsid w:val="006107A7"/>
    <w:rsid w:val="00611C21"/>
    <w:rsid w:val="0061251C"/>
    <w:rsid w:val="0061293D"/>
    <w:rsid w:val="00612B01"/>
    <w:rsid w:val="00613EAC"/>
    <w:rsid w:val="00614335"/>
    <w:rsid w:val="00614927"/>
    <w:rsid w:val="00615ABA"/>
    <w:rsid w:val="00615D78"/>
    <w:rsid w:val="00615F7D"/>
    <w:rsid w:val="00615FE0"/>
    <w:rsid w:val="006164BE"/>
    <w:rsid w:val="006172DF"/>
    <w:rsid w:val="00617712"/>
    <w:rsid w:val="0062163C"/>
    <w:rsid w:val="00621D20"/>
    <w:rsid w:val="00621EE3"/>
    <w:rsid w:val="00623EC6"/>
    <w:rsid w:val="00624DA0"/>
    <w:rsid w:val="006254D7"/>
    <w:rsid w:val="00625B69"/>
    <w:rsid w:val="006266F7"/>
    <w:rsid w:val="00626817"/>
    <w:rsid w:val="00626A11"/>
    <w:rsid w:val="00627AF5"/>
    <w:rsid w:val="00630B36"/>
    <w:rsid w:val="00630D58"/>
    <w:rsid w:val="00630E7A"/>
    <w:rsid w:val="006310EC"/>
    <w:rsid w:val="00631441"/>
    <w:rsid w:val="00631FB1"/>
    <w:rsid w:val="0063314C"/>
    <w:rsid w:val="00635758"/>
    <w:rsid w:val="0063586E"/>
    <w:rsid w:val="006362E1"/>
    <w:rsid w:val="00636720"/>
    <w:rsid w:val="006372D0"/>
    <w:rsid w:val="00637C5C"/>
    <w:rsid w:val="0064017E"/>
    <w:rsid w:val="00640490"/>
    <w:rsid w:val="006414D7"/>
    <w:rsid w:val="006419E3"/>
    <w:rsid w:val="00641BA8"/>
    <w:rsid w:val="00642C9A"/>
    <w:rsid w:val="006431E1"/>
    <w:rsid w:val="00644495"/>
    <w:rsid w:val="00645621"/>
    <w:rsid w:val="00645B20"/>
    <w:rsid w:val="0064627F"/>
    <w:rsid w:val="00646386"/>
    <w:rsid w:val="00646ACC"/>
    <w:rsid w:val="00646EAA"/>
    <w:rsid w:val="00646EB6"/>
    <w:rsid w:val="0064780B"/>
    <w:rsid w:val="00647ED0"/>
    <w:rsid w:val="006510B9"/>
    <w:rsid w:val="00651510"/>
    <w:rsid w:val="00651586"/>
    <w:rsid w:val="00651BD6"/>
    <w:rsid w:val="00651C9F"/>
    <w:rsid w:val="00651F80"/>
    <w:rsid w:val="0065286D"/>
    <w:rsid w:val="006528AE"/>
    <w:rsid w:val="00652A2D"/>
    <w:rsid w:val="00652D6D"/>
    <w:rsid w:val="006534C0"/>
    <w:rsid w:val="00653687"/>
    <w:rsid w:val="006542F3"/>
    <w:rsid w:val="00654889"/>
    <w:rsid w:val="00654CEB"/>
    <w:rsid w:val="00654D91"/>
    <w:rsid w:val="00656EC6"/>
    <w:rsid w:val="006570EF"/>
    <w:rsid w:val="00657242"/>
    <w:rsid w:val="00657A22"/>
    <w:rsid w:val="006602C5"/>
    <w:rsid w:val="00660720"/>
    <w:rsid w:val="006609DD"/>
    <w:rsid w:val="00660A33"/>
    <w:rsid w:val="00660F1D"/>
    <w:rsid w:val="0066142F"/>
    <w:rsid w:val="0066197C"/>
    <w:rsid w:val="00663479"/>
    <w:rsid w:val="006660D5"/>
    <w:rsid w:val="00666184"/>
    <w:rsid w:val="0066724E"/>
    <w:rsid w:val="006672A2"/>
    <w:rsid w:val="00667C27"/>
    <w:rsid w:val="006702DA"/>
    <w:rsid w:val="00670667"/>
    <w:rsid w:val="00670C0D"/>
    <w:rsid w:val="006711AD"/>
    <w:rsid w:val="00671D12"/>
    <w:rsid w:val="006721CC"/>
    <w:rsid w:val="00672B11"/>
    <w:rsid w:val="00673B41"/>
    <w:rsid w:val="00673D27"/>
    <w:rsid w:val="0067482E"/>
    <w:rsid w:val="0067540E"/>
    <w:rsid w:val="006761AF"/>
    <w:rsid w:val="00676283"/>
    <w:rsid w:val="00676A24"/>
    <w:rsid w:val="006770D5"/>
    <w:rsid w:val="006808A9"/>
    <w:rsid w:val="00680E30"/>
    <w:rsid w:val="00680EEA"/>
    <w:rsid w:val="00681C0D"/>
    <w:rsid w:val="00681D04"/>
    <w:rsid w:val="006824AC"/>
    <w:rsid w:val="00682729"/>
    <w:rsid w:val="00682910"/>
    <w:rsid w:val="00682F9B"/>
    <w:rsid w:val="006831BB"/>
    <w:rsid w:val="00683D5C"/>
    <w:rsid w:val="00684D65"/>
    <w:rsid w:val="00684E23"/>
    <w:rsid w:val="00685374"/>
    <w:rsid w:val="0068652C"/>
    <w:rsid w:val="00686970"/>
    <w:rsid w:val="00686A5C"/>
    <w:rsid w:val="00686DB5"/>
    <w:rsid w:val="0068710E"/>
    <w:rsid w:val="00687967"/>
    <w:rsid w:val="0068797A"/>
    <w:rsid w:val="006906A0"/>
    <w:rsid w:val="00690E52"/>
    <w:rsid w:val="00691395"/>
    <w:rsid w:val="00691E0C"/>
    <w:rsid w:val="00692196"/>
    <w:rsid w:val="00692347"/>
    <w:rsid w:val="00692626"/>
    <w:rsid w:val="00692B96"/>
    <w:rsid w:val="00692E34"/>
    <w:rsid w:val="006936A8"/>
    <w:rsid w:val="006937D3"/>
    <w:rsid w:val="00693BB4"/>
    <w:rsid w:val="006940EE"/>
    <w:rsid w:val="00694410"/>
    <w:rsid w:val="0069471E"/>
    <w:rsid w:val="006948DD"/>
    <w:rsid w:val="00694C89"/>
    <w:rsid w:val="00694F99"/>
    <w:rsid w:val="00695046"/>
    <w:rsid w:val="00695991"/>
    <w:rsid w:val="006960E0"/>
    <w:rsid w:val="0069621F"/>
    <w:rsid w:val="00696A17"/>
    <w:rsid w:val="00697818"/>
    <w:rsid w:val="00697A61"/>
    <w:rsid w:val="006A0FCC"/>
    <w:rsid w:val="006A1171"/>
    <w:rsid w:val="006A147D"/>
    <w:rsid w:val="006A1534"/>
    <w:rsid w:val="006A183D"/>
    <w:rsid w:val="006A216B"/>
    <w:rsid w:val="006A2A6B"/>
    <w:rsid w:val="006A3965"/>
    <w:rsid w:val="006A4676"/>
    <w:rsid w:val="006A4C0C"/>
    <w:rsid w:val="006A51D3"/>
    <w:rsid w:val="006A56F8"/>
    <w:rsid w:val="006A648D"/>
    <w:rsid w:val="006A6A7A"/>
    <w:rsid w:val="006A6AA9"/>
    <w:rsid w:val="006A6CA6"/>
    <w:rsid w:val="006A6D6F"/>
    <w:rsid w:val="006A743B"/>
    <w:rsid w:val="006B139F"/>
    <w:rsid w:val="006B13D5"/>
    <w:rsid w:val="006B1E3B"/>
    <w:rsid w:val="006B2124"/>
    <w:rsid w:val="006B2257"/>
    <w:rsid w:val="006B23B5"/>
    <w:rsid w:val="006B28AC"/>
    <w:rsid w:val="006B2C60"/>
    <w:rsid w:val="006B2E26"/>
    <w:rsid w:val="006B36B8"/>
    <w:rsid w:val="006B3723"/>
    <w:rsid w:val="006B3AD7"/>
    <w:rsid w:val="006B3EDC"/>
    <w:rsid w:val="006B41DF"/>
    <w:rsid w:val="006B5402"/>
    <w:rsid w:val="006B5B3A"/>
    <w:rsid w:val="006B5D21"/>
    <w:rsid w:val="006B6366"/>
    <w:rsid w:val="006B6A1E"/>
    <w:rsid w:val="006B7476"/>
    <w:rsid w:val="006B77CD"/>
    <w:rsid w:val="006B7F7B"/>
    <w:rsid w:val="006C0D36"/>
    <w:rsid w:val="006C1474"/>
    <w:rsid w:val="006C17C8"/>
    <w:rsid w:val="006C1943"/>
    <w:rsid w:val="006C225E"/>
    <w:rsid w:val="006C243C"/>
    <w:rsid w:val="006C3985"/>
    <w:rsid w:val="006C3F71"/>
    <w:rsid w:val="006C4AE5"/>
    <w:rsid w:val="006C58DF"/>
    <w:rsid w:val="006C75EA"/>
    <w:rsid w:val="006C7BE8"/>
    <w:rsid w:val="006D01C7"/>
    <w:rsid w:val="006D0587"/>
    <w:rsid w:val="006D100A"/>
    <w:rsid w:val="006D13A1"/>
    <w:rsid w:val="006D141B"/>
    <w:rsid w:val="006D21EB"/>
    <w:rsid w:val="006D2513"/>
    <w:rsid w:val="006D2816"/>
    <w:rsid w:val="006D6BA3"/>
    <w:rsid w:val="006D6BAE"/>
    <w:rsid w:val="006D7153"/>
    <w:rsid w:val="006D72AA"/>
    <w:rsid w:val="006D746F"/>
    <w:rsid w:val="006D7A0F"/>
    <w:rsid w:val="006E0343"/>
    <w:rsid w:val="006E0B5A"/>
    <w:rsid w:val="006E0E37"/>
    <w:rsid w:val="006E118C"/>
    <w:rsid w:val="006E1497"/>
    <w:rsid w:val="006E1CF1"/>
    <w:rsid w:val="006E24EB"/>
    <w:rsid w:val="006E29D8"/>
    <w:rsid w:val="006E3D82"/>
    <w:rsid w:val="006E3DD1"/>
    <w:rsid w:val="006E541F"/>
    <w:rsid w:val="006E64C9"/>
    <w:rsid w:val="006E7CB6"/>
    <w:rsid w:val="006E7D47"/>
    <w:rsid w:val="006F2484"/>
    <w:rsid w:val="006F3641"/>
    <w:rsid w:val="006F4456"/>
    <w:rsid w:val="006F4BA7"/>
    <w:rsid w:val="006F59A9"/>
    <w:rsid w:val="006F649D"/>
    <w:rsid w:val="006F66C3"/>
    <w:rsid w:val="006F7A9E"/>
    <w:rsid w:val="0070014F"/>
    <w:rsid w:val="00700450"/>
    <w:rsid w:val="007008C3"/>
    <w:rsid w:val="00701DC3"/>
    <w:rsid w:val="00702010"/>
    <w:rsid w:val="007022D2"/>
    <w:rsid w:val="00702AB5"/>
    <w:rsid w:val="007050C7"/>
    <w:rsid w:val="007052C8"/>
    <w:rsid w:val="0070589E"/>
    <w:rsid w:val="007059BB"/>
    <w:rsid w:val="007065A7"/>
    <w:rsid w:val="00706688"/>
    <w:rsid w:val="007067E1"/>
    <w:rsid w:val="0071091D"/>
    <w:rsid w:val="0071096E"/>
    <w:rsid w:val="007110CB"/>
    <w:rsid w:val="0071302A"/>
    <w:rsid w:val="00713AC4"/>
    <w:rsid w:val="00714855"/>
    <w:rsid w:val="0071584A"/>
    <w:rsid w:val="00715E8F"/>
    <w:rsid w:val="00716055"/>
    <w:rsid w:val="007165DA"/>
    <w:rsid w:val="00717780"/>
    <w:rsid w:val="00717A42"/>
    <w:rsid w:val="00720CDE"/>
    <w:rsid w:val="00720E53"/>
    <w:rsid w:val="0072177D"/>
    <w:rsid w:val="00722435"/>
    <w:rsid w:val="007228D6"/>
    <w:rsid w:val="00723123"/>
    <w:rsid w:val="00723225"/>
    <w:rsid w:val="0072428E"/>
    <w:rsid w:val="00725747"/>
    <w:rsid w:val="0072593A"/>
    <w:rsid w:val="00725EA2"/>
    <w:rsid w:val="007267A9"/>
    <w:rsid w:val="00727204"/>
    <w:rsid w:val="00727738"/>
    <w:rsid w:val="007304EB"/>
    <w:rsid w:val="00730747"/>
    <w:rsid w:val="00730995"/>
    <w:rsid w:val="0073107C"/>
    <w:rsid w:val="00732093"/>
    <w:rsid w:val="00732CE9"/>
    <w:rsid w:val="007332BF"/>
    <w:rsid w:val="007333EB"/>
    <w:rsid w:val="00734480"/>
    <w:rsid w:val="00734889"/>
    <w:rsid w:val="0073538E"/>
    <w:rsid w:val="00735CFD"/>
    <w:rsid w:val="00736CF5"/>
    <w:rsid w:val="007377AF"/>
    <w:rsid w:val="00737C9D"/>
    <w:rsid w:val="00740DAC"/>
    <w:rsid w:val="00741F9B"/>
    <w:rsid w:val="00742109"/>
    <w:rsid w:val="0074210E"/>
    <w:rsid w:val="00742242"/>
    <w:rsid w:val="007422E1"/>
    <w:rsid w:val="00742386"/>
    <w:rsid w:val="007424FA"/>
    <w:rsid w:val="007433BD"/>
    <w:rsid w:val="00743D4F"/>
    <w:rsid w:val="007449E4"/>
    <w:rsid w:val="00744BBD"/>
    <w:rsid w:val="007456F6"/>
    <w:rsid w:val="00745EC7"/>
    <w:rsid w:val="0074617A"/>
    <w:rsid w:val="00746459"/>
    <w:rsid w:val="007466AD"/>
    <w:rsid w:val="0074674A"/>
    <w:rsid w:val="00746BDA"/>
    <w:rsid w:val="00746CDB"/>
    <w:rsid w:val="00746F2C"/>
    <w:rsid w:val="00747331"/>
    <w:rsid w:val="007474C3"/>
    <w:rsid w:val="00747875"/>
    <w:rsid w:val="007502C4"/>
    <w:rsid w:val="007507CE"/>
    <w:rsid w:val="007509BD"/>
    <w:rsid w:val="007524D9"/>
    <w:rsid w:val="007526B4"/>
    <w:rsid w:val="00752998"/>
    <w:rsid w:val="007531F8"/>
    <w:rsid w:val="007546A6"/>
    <w:rsid w:val="007552EE"/>
    <w:rsid w:val="00755D12"/>
    <w:rsid w:val="00755F26"/>
    <w:rsid w:val="00756376"/>
    <w:rsid w:val="007564EC"/>
    <w:rsid w:val="0075717C"/>
    <w:rsid w:val="0076039B"/>
    <w:rsid w:val="0076138F"/>
    <w:rsid w:val="00761881"/>
    <w:rsid w:val="00761F4A"/>
    <w:rsid w:val="00762419"/>
    <w:rsid w:val="007625A3"/>
    <w:rsid w:val="00762C9E"/>
    <w:rsid w:val="007632B5"/>
    <w:rsid w:val="007639D3"/>
    <w:rsid w:val="00764B6F"/>
    <w:rsid w:val="00765479"/>
    <w:rsid w:val="007657A6"/>
    <w:rsid w:val="00765A24"/>
    <w:rsid w:val="00766A8E"/>
    <w:rsid w:val="00767420"/>
    <w:rsid w:val="0076761C"/>
    <w:rsid w:val="00767858"/>
    <w:rsid w:val="00767914"/>
    <w:rsid w:val="00767BE4"/>
    <w:rsid w:val="007707F5"/>
    <w:rsid w:val="00772695"/>
    <w:rsid w:val="00772822"/>
    <w:rsid w:val="00773FAE"/>
    <w:rsid w:val="00774CE8"/>
    <w:rsid w:val="0077503F"/>
    <w:rsid w:val="007751BE"/>
    <w:rsid w:val="00775820"/>
    <w:rsid w:val="00775E65"/>
    <w:rsid w:val="00776EA0"/>
    <w:rsid w:val="00777931"/>
    <w:rsid w:val="007779D7"/>
    <w:rsid w:val="00777F5C"/>
    <w:rsid w:val="00780496"/>
    <w:rsid w:val="007808E6"/>
    <w:rsid w:val="00780A22"/>
    <w:rsid w:val="00781830"/>
    <w:rsid w:val="007829CA"/>
    <w:rsid w:val="00782DB7"/>
    <w:rsid w:val="00783704"/>
    <w:rsid w:val="0078380B"/>
    <w:rsid w:val="0078386A"/>
    <w:rsid w:val="00783BCC"/>
    <w:rsid w:val="00783ED5"/>
    <w:rsid w:val="00784279"/>
    <w:rsid w:val="0078460A"/>
    <w:rsid w:val="007855B0"/>
    <w:rsid w:val="00785BDD"/>
    <w:rsid w:val="007862E5"/>
    <w:rsid w:val="0078642B"/>
    <w:rsid w:val="00786C48"/>
    <w:rsid w:val="00786FBE"/>
    <w:rsid w:val="00791EB2"/>
    <w:rsid w:val="00791EDE"/>
    <w:rsid w:val="007920D8"/>
    <w:rsid w:val="0079213E"/>
    <w:rsid w:val="0079249B"/>
    <w:rsid w:val="00792502"/>
    <w:rsid w:val="00792A0D"/>
    <w:rsid w:val="00792B2A"/>
    <w:rsid w:val="00792DEC"/>
    <w:rsid w:val="00794814"/>
    <w:rsid w:val="007950D2"/>
    <w:rsid w:val="00795830"/>
    <w:rsid w:val="00795862"/>
    <w:rsid w:val="00795FB5"/>
    <w:rsid w:val="0079614A"/>
    <w:rsid w:val="0079680C"/>
    <w:rsid w:val="00796924"/>
    <w:rsid w:val="00796AF3"/>
    <w:rsid w:val="007A019E"/>
    <w:rsid w:val="007A147E"/>
    <w:rsid w:val="007A1A3E"/>
    <w:rsid w:val="007A27C8"/>
    <w:rsid w:val="007A329C"/>
    <w:rsid w:val="007A3646"/>
    <w:rsid w:val="007A3817"/>
    <w:rsid w:val="007A6586"/>
    <w:rsid w:val="007A6D6E"/>
    <w:rsid w:val="007A71A5"/>
    <w:rsid w:val="007A77DC"/>
    <w:rsid w:val="007A7E7E"/>
    <w:rsid w:val="007B00F8"/>
    <w:rsid w:val="007B08E2"/>
    <w:rsid w:val="007B100C"/>
    <w:rsid w:val="007B1915"/>
    <w:rsid w:val="007B1E8D"/>
    <w:rsid w:val="007B2398"/>
    <w:rsid w:val="007B35A2"/>
    <w:rsid w:val="007B4526"/>
    <w:rsid w:val="007B4C19"/>
    <w:rsid w:val="007B5196"/>
    <w:rsid w:val="007B5581"/>
    <w:rsid w:val="007B63C4"/>
    <w:rsid w:val="007B668D"/>
    <w:rsid w:val="007B66AD"/>
    <w:rsid w:val="007B6AF9"/>
    <w:rsid w:val="007B6E5C"/>
    <w:rsid w:val="007B7C26"/>
    <w:rsid w:val="007B7CE8"/>
    <w:rsid w:val="007C0291"/>
    <w:rsid w:val="007C0655"/>
    <w:rsid w:val="007C17C4"/>
    <w:rsid w:val="007C1DCD"/>
    <w:rsid w:val="007C262B"/>
    <w:rsid w:val="007C2C83"/>
    <w:rsid w:val="007C2F0C"/>
    <w:rsid w:val="007C3D1E"/>
    <w:rsid w:val="007C45CB"/>
    <w:rsid w:val="007C4F65"/>
    <w:rsid w:val="007C5E21"/>
    <w:rsid w:val="007C71AC"/>
    <w:rsid w:val="007C7470"/>
    <w:rsid w:val="007C7F71"/>
    <w:rsid w:val="007D0FBF"/>
    <w:rsid w:val="007D1313"/>
    <w:rsid w:val="007D1411"/>
    <w:rsid w:val="007D2215"/>
    <w:rsid w:val="007D26E6"/>
    <w:rsid w:val="007D3793"/>
    <w:rsid w:val="007D44B9"/>
    <w:rsid w:val="007D5D86"/>
    <w:rsid w:val="007D5D87"/>
    <w:rsid w:val="007D678D"/>
    <w:rsid w:val="007D6B02"/>
    <w:rsid w:val="007D7892"/>
    <w:rsid w:val="007E04FA"/>
    <w:rsid w:val="007E2030"/>
    <w:rsid w:val="007E3483"/>
    <w:rsid w:val="007E47D3"/>
    <w:rsid w:val="007E4842"/>
    <w:rsid w:val="007E4954"/>
    <w:rsid w:val="007E4A5F"/>
    <w:rsid w:val="007E5303"/>
    <w:rsid w:val="007E5934"/>
    <w:rsid w:val="007E6485"/>
    <w:rsid w:val="007E6F35"/>
    <w:rsid w:val="007E7030"/>
    <w:rsid w:val="007F0306"/>
    <w:rsid w:val="007F1568"/>
    <w:rsid w:val="007F170A"/>
    <w:rsid w:val="007F1AE1"/>
    <w:rsid w:val="007F1B43"/>
    <w:rsid w:val="007F1E0B"/>
    <w:rsid w:val="007F2420"/>
    <w:rsid w:val="007F2447"/>
    <w:rsid w:val="007F25AE"/>
    <w:rsid w:val="007F2ADD"/>
    <w:rsid w:val="007F2D89"/>
    <w:rsid w:val="007F3091"/>
    <w:rsid w:val="007F5501"/>
    <w:rsid w:val="007F5E97"/>
    <w:rsid w:val="007F62B3"/>
    <w:rsid w:val="007F676E"/>
    <w:rsid w:val="007F727E"/>
    <w:rsid w:val="007F7DCA"/>
    <w:rsid w:val="008007EB"/>
    <w:rsid w:val="00800942"/>
    <w:rsid w:val="00800DE9"/>
    <w:rsid w:val="00801642"/>
    <w:rsid w:val="00802567"/>
    <w:rsid w:val="00802608"/>
    <w:rsid w:val="008026A0"/>
    <w:rsid w:val="00802FEE"/>
    <w:rsid w:val="008049AC"/>
    <w:rsid w:val="00805098"/>
    <w:rsid w:val="00805F26"/>
    <w:rsid w:val="008061EF"/>
    <w:rsid w:val="008065C4"/>
    <w:rsid w:val="00806ABE"/>
    <w:rsid w:val="00807566"/>
    <w:rsid w:val="00807BE0"/>
    <w:rsid w:val="00810177"/>
    <w:rsid w:val="00810218"/>
    <w:rsid w:val="008103CC"/>
    <w:rsid w:val="00810594"/>
    <w:rsid w:val="008109AA"/>
    <w:rsid w:val="00810AE3"/>
    <w:rsid w:val="00810C9B"/>
    <w:rsid w:val="0081149D"/>
    <w:rsid w:val="00811666"/>
    <w:rsid w:val="008118CB"/>
    <w:rsid w:val="00812E89"/>
    <w:rsid w:val="0081374F"/>
    <w:rsid w:val="008138F7"/>
    <w:rsid w:val="00814296"/>
    <w:rsid w:val="008142AD"/>
    <w:rsid w:val="00814432"/>
    <w:rsid w:val="0081555E"/>
    <w:rsid w:val="0081588D"/>
    <w:rsid w:val="00815AD9"/>
    <w:rsid w:val="00815D54"/>
    <w:rsid w:val="008168DE"/>
    <w:rsid w:val="008176CF"/>
    <w:rsid w:val="008204BC"/>
    <w:rsid w:val="0082129C"/>
    <w:rsid w:val="0082142C"/>
    <w:rsid w:val="008221E6"/>
    <w:rsid w:val="008238FE"/>
    <w:rsid w:val="008242AE"/>
    <w:rsid w:val="00825256"/>
    <w:rsid w:val="00825567"/>
    <w:rsid w:val="008263A4"/>
    <w:rsid w:val="00826B6D"/>
    <w:rsid w:val="00826BE0"/>
    <w:rsid w:val="0083085B"/>
    <w:rsid w:val="00830B05"/>
    <w:rsid w:val="00830DD7"/>
    <w:rsid w:val="00831A0A"/>
    <w:rsid w:val="00831AAE"/>
    <w:rsid w:val="00831C93"/>
    <w:rsid w:val="008323F4"/>
    <w:rsid w:val="0083280E"/>
    <w:rsid w:val="00832E17"/>
    <w:rsid w:val="00834BDC"/>
    <w:rsid w:val="008351A1"/>
    <w:rsid w:val="008359AC"/>
    <w:rsid w:val="00835DB6"/>
    <w:rsid w:val="00836122"/>
    <w:rsid w:val="00836220"/>
    <w:rsid w:val="0083754E"/>
    <w:rsid w:val="00837CC7"/>
    <w:rsid w:val="0084186B"/>
    <w:rsid w:val="00841D1C"/>
    <w:rsid w:val="00842170"/>
    <w:rsid w:val="00844302"/>
    <w:rsid w:val="008446C5"/>
    <w:rsid w:val="008451F3"/>
    <w:rsid w:val="00845BD3"/>
    <w:rsid w:val="00845FF2"/>
    <w:rsid w:val="00847050"/>
    <w:rsid w:val="00847C15"/>
    <w:rsid w:val="008516AB"/>
    <w:rsid w:val="00851F17"/>
    <w:rsid w:val="00851F4C"/>
    <w:rsid w:val="00853183"/>
    <w:rsid w:val="008532F6"/>
    <w:rsid w:val="00853A11"/>
    <w:rsid w:val="0085412B"/>
    <w:rsid w:val="008545DF"/>
    <w:rsid w:val="0085550C"/>
    <w:rsid w:val="008556E5"/>
    <w:rsid w:val="00855FE1"/>
    <w:rsid w:val="00856291"/>
    <w:rsid w:val="00856B4B"/>
    <w:rsid w:val="00856B88"/>
    <w:rsid w:val="0085724F"/>
    <w:rsid w:val="008574ED"/>
    <w:rsid w:val="00857698"/>
    <w:rsid w:val="00857BBF"/>
    <w:rsid w:val="00860887"/>
    <w:rsid w:val="00860C3D"/>
    <w:rsid w:val="00860D34"/>
    <w:rsid w:val="00861289"/>
    <w:rsid w:val="0086155C"/>
    <w:rsid w:val="00862B16"/>
    <w:rsid w:val="00863090"/>
    <w:rsid w:val="008639F7"/>
    <w:rsid w:val="008642DA"/>
    <w:rsid w:val="0086464D"/>
    <w:rsid w:val="008647C8"/>
    <w:rsid w:val="00864B8B"/>
    <w:rsid w:val="00864E16"/>
    <w:rsid w:val="008651D0"/>
    <w:rsid w:val="008652B8"/>
    <w:rsid w:val="008653F3"/>
    <w:rsid w:val="00865652"/>
    <w:rsid w:val="00865661"/>
    <w:rsid w:val="00866A1A"/>
    <w:rsid w:val="008677E9"/>
    <w:rsid w:val="00867BED"/>
    <w:rsid w:val="00867DE8"/>
    <w:rsid w:val="00867E28"/>
    <w:rsid w:val="00867EB3"/>
    <w:rsid w:val="00870561"/>
    <w:rsid w:val="008705A6"/>
    <w:rsid w:val="008708B3"/>
    <w:rsid w:val="00870C6A"/>
    <w:rsid w:val="00870F83"/>
    <w:rsid w:val="00871C8D"/>
    <w:rsid w:val="008721DE"/>
    <w:rsid w:val="008725C2"/>
    <w:rsid w:val="00873265"/>
    <w:rsid w:val="0087465C"/>
    <w:rsid w:val="00874B49"/>
    <w:rsid w:val="00875006"/>
    <w:rsid w:val="00875D2D"/>
    <w:rsid w:val="00876310"/>
    <w:rsid w:val="008764AF"/>
    <w:rsid w:val="0087660C"/>
    <w:rsid w:val="00876B49"/>
    <w:rsid w:val="0087703B"/>
    <w:rsid w:val="0087741B"/>
    <w:rsid w:val="0088150A"/>
    <w:rsid w:val="00881603"/>
    <w:rsid w:val="008821B2"/>
    <w:rsid w:val="00882FC3"/>
    <w:rsid w:val="00883648"/>
    <w:rsid w:val="00883813"/>
    <w:rsid w:val="008839F1"/>
    <w:rsid w:val="008840DF"/>
    <w:rsid w:val="008841CC"/>
    <w:rsid w:val="00884237"/>
    <w:rsid w:val="0088449B"/>
    <w:rsid w:val="008850F7"/>
    <w:rsid w:val="00885538"/>
    <w:rsid w:val="00886000"/>
    <w:rsid w:val="00886AD1"/>
    <w:rsid w:val="00886C47"/>
    <w:rsid w:val="00886E3E"/>
    <w:rsid w:val="008870C1"/>
    <w:rsid w:val="00887348"/>
    <w:rsid w:val="00887F64"/>
    <w:rsid w:val="00890592"/>
    <w:rsid w:val="00891494"/>
    <w:rsid w:val="00891671"/>
    <w:rsid w:val="0089199B"/>
    <w:rsid w:val="00892246"/>
    <w:rsid w:val="008926CB"/>
    <w:rsid w:val="0089329B"/>
    <w:rsid w:val="00893B2C"/>
    <w:rsid w:val="00894E84"/>
    <w:rsid w:val="008952D1"/>
    <w:rsid w:val="008959F9"/>
    <w:rsid w:val="00895C1C"/>
    <w:rsid w:val="008960D3"/>
    <w:rsid w:val="008962C9"/>
    <w:rsid w:val="00897762"/>
    <w:rsid w:val="00897C00"/>
    <w:rsid w:val="008A0B61"/>
    <w:rsid w:val="008A0CFC"/>
    <w:rsid w:val="008A3C34"/>
    <w:rsid w:val="008A3D3F"/>
    <w:rsid w:val="008A3FA2"/>
    <w:rsid w:val="008A464F"/>
    <w:rsid w:val="008A494B"/>
    <w:rsid w:val="008A4EF1"/>
    <w:rsid w:val="008A57EB"/>
    <w:rsid w:val="008A5897"/>
    <w:rsid w:val="008A59DF"/>
    <w:rsid w:val="008A5C6C"/>
    <w:rsid w:val="008A5E86"/>
    <w:rsid w:val="008A660C"/>
    <w:rsid w:val="008A682D"/>
    <w:rsid w:val="008A6C7C"/>
    <w:rsid w:val="008A7488"/>
    <w:rsid w:val="008B0419"/>
    <w:rsid w:val="008B1598"/>
    <w:rsid w:val="008B19CB"/>
    <w:rsid w:val="008B23B2"/>
    <w:rsid w:val="008B2FA2"/>
    <w:rsid w:val="008B387D"/>
    <w:rsid w:val="008B3ED1"/>
    <w:rsid w:val="008B4725"/>
    <w:rsid w:val="008B513C"/>
    <w:rsid w:val="008B5359"/>
    <w:rsid w:val="008B5443"/>
    <w:rsid w:val="008B7939"/>
    <w:rsid w:val="008B7B60"/>
    <w:rsid w:val="008C0CCC"/>
    <w:rsid w:val="008C1435"/>
    <w:rsid w:val="008C15A8"/>
    <w:rsid w:val="008C22BB"/>
    <w:rsid w:val="008C22F2"/>
    <w:rsid w:val="008C332B"/>
    <w:rsid w:val="008C37F4"/>
    <w:rsid w:val="008C391C"/>
    <w:rsid w:val="008C4463"/>
    <w:rsid w:val="008C4F65"/>
    <w:rsid w:val="008C510B"/>
    <w:rsid w:val="008C69B5"/>
    <w:rsid w:val="008C6E4B"/>
    <w:rsid w:val="008C7064"/>
    <w:rsid w:val="008C7A0E"/>
    <w:rsid w:val="008C7F99"/>
    <w:rsid w:val="008D309D"/>
    <w:rsid w:val="008D3609"/>
    <w:rsid w:val="008D381E"/>
    <w:rsid w:val="008D4BA6"/>
    <w:rsid w:val="008D4D5B"/>
    <w:rsid w:val="008D600D"/>
    <w:rsid w:val="008D602F"/>
    <w:rsid w:val="008D60A9"/>
    <w:rsid w:val="008E022C"/>
    <w:rsid w:val="008E02F3"/>
    <w:rsid w:val="008E0535"/>
    <w:rsid w:val="008E0D99"/>
    <w:rsid w:val="008E2E50"/>
    <w:rsid w:val="008E34B5"/>
    <w:rsid w:val="008E406B"/>
    <w:rsid w:val="008E589C"/>
    <w:rsid w:val="008E58DF"/>
    <w:rsid w:val="008E5DB4"/>
    <w:rsid w:val="008E6005"/>
    <w:rsid w:val="008E68D1"/>
    <w:rsid w:val="008E6BA8"/>
    <w:rsid w:val="008E6C93"/>
    <w:rsid w:val="008E6E40"/>
    <w:rsid w:val="008E6F39"/>
    <w:rsid w:val="008F1B41"/>
    <w:rsid w:val="008F2BDE"/>
    <w:rsid w:val="008F2DA5"/>
    <w:rsid w:val="008F347B"/>
    <w:rsid w:val="008F3693"/>
    <w:rsid w:val="008F4800"/>
    <w:rsid w:val="008F4F69"/>
    <w:rsid w:val="008F5708"/>
    <w:rsid w:val="008F5E45"/>
    <w:rsid w:val="008F6594"/>
    <w:rsid w:val="008F713A"/>
    <w:rsid w:val="008F74B3"/>
    <w:rsid w:val="008F76FB"/>
    <w:rsid w:val="008F7846"/>
    <w:rsid w:val="00900431"/>
    <w:rsid w:val="00900D8A"/>
    <w:rsid w:val="00900D94"/>
    <w:rsid w:val="00901E91"/>
    <w:rsid w:val="00902179"/>
    <w:rsid w:val="00902BE6"/>
    <w:rsid w:val="00902EA9"/>
    <w:rsid w:val="00904017"/>
    <w:rsid w:val="00904BB8"/>
    <w:rsid w:val="00905BD0"/>
    <w:rsid w:val="00906857"/>
    <w:rsid w:val="009107DE"/>
    <w:rsid w:val="009107FE"/>
    <w:rsid w:val="00910B2B"/>
    <w:rsid w:val="00910D41"/>
    <w:rsid w:val="009118B5"/>
    <w:rsid w:val="00913557"/>
    <w:rsid w:val="00914431"/>
    <w:rsid w:val="00914A1C"/>
    <w:rsid w:val="00915CE1"/>
    <w:rsid w:val="00916612"/>
    <w:rsid w:val="009171CE"/>
    <w:rsid w:val="00917CCF"/>
    <w:rsid w:val="00920303"/>
    <w:rsid w:val="00922088"/>
    <w:rsid w:val="0092297D"/>
    <w:rsid w:val="00922C6B"/>
    <w:rsid w:val="00922F0B"/>
    <w:rsid w:val="0092362B"/>
    <w:rsid w:val="009238EB"/>
    <w:rsid w:val="00923908"/>
    <w:rsid w:val="009239CA"/>
    <w:rsid w:val="00923C8D"/>
    <w:rsid w:val="00923D60"/>
    <w:rsid w:val="0092421E"/>
    <w:rsid w:val="00924489"/>
    <w:rsid w:val="00924E58"/>
    <w:rsid w:val="009250A2"/>
    <w:rsid w:val="009258E7"/>
    <w:rsid w:val="0092636D"/>
    <w:rsid w:val="0092664D"/>
    <w:rsid w:val="00930A86"/>
    <w:rsid w:val="00930FDA"/>
    <w:rsid w:val="009314D9"/>
    <w:rsid w:val="00931623"/>
    <w:rsid w:val="00932116"/>
    <w:rsid w:val="00932520"/>
    <w:rsid w:val="0093265B"/>
    <w:rsid w:val="00933E68"/>
    <w:rsid w:val="0093446D"/>
    <w:rsid w:val="00934497"/>
    <w:rsid w:val="009345AF"/>
    <w:rsid w:val="00935A43"/>
    <w:rsid w:val="00935E83"/>
    <w:rsid w:val="00936CEE"/>
    <w:rsid w:val="00937728"/>
    <w:rsid w:val="00937B04"/>
    <w:rsid w:val="00937E49"/>
    <w:rsid w:val="00937FA1"/>
    <w:rsid w:val="009400AF"/>
    <w:rsid w:val="00941452"/>
    <w:rsid w:val="00941854"/>
    <w:rsid w:val="00941AC0"/>
    <w:rsid w:val="0094236E"/>
    <w:rsid w:val="00942FF4"/>
    <w:rsid w:val="00943332"/>
    <w:rsid w:val="009439E2"/>
    <w:rsid w:val="00943A66"/>
    <w:rsid w:val="009440BE"/>
    <w:rsid w:val="00945401"/>
    <w:rsid w:val="00945AF4"/>
    <w:rsid w:val="009462BE"/>
    <w:rsid w:val="0094664F"/>
    <w:rsid w:val="0094745A"/>
    <w:rsid w:val="0094773C"/>
    <w:rsid w:val="00950169"/>
    <w:rsid w:val="0095083E"/>
    <w:rsid w:val="009510AB"/>
    <w:rsid w:val="009510DC"/>
    <w:rsid w:val="00951FB1"/>
    <w:rsid w:val="00952798"/>
    <w:rsid w:val="00952E7A"/>
    <w:rsid w:val="009534EE"/>
    <w:rsid w:val="009536D2"/>
    <w:rsid w:val="0095400C"/>
    <w:rsid w:val="009551C0"/>
    <w:rsid w:val="009557D5"/>
    <w:rsid w:val="00955EA6"/>
    <w:rsid w:val="00956DC6"/>
    <w:rsid w:val="00957472"/>
    <w:rsid w:val="00957F6A"/>
    <w:rsid w:val="00960C14"/>
    <w:rsid w:val="009620F8"/>
    <w:rsid w:val="009634C1"/>
    <w:rsid w:val="009637E3"/>
    <w:rsid w:val="00963AA2"/>
    <w:rsid w:val="00963C43"/>
    <w:rsid w:val="009652D4"/>
    <w:rsid w:val="00965479"/>
    <w:rsid w:val="0096571B"/>
    <w:rsid w:val="009662D8"/>
    <w:rsid w:val="009662E4"/>
    <w:rsid w:val="00970B09"/>
    <w:rsid w:val="00970D21"/>
    <w:rsid w:val="00971737"/>
    <w:rsid w:val="0097238A"/>
    <w:rsid w:val="00972A9E"/>
    <w:rsid w:val="00972CE6"/>
    <w:rsid w:val="009733AD"/>
    <w:rsid w:val="00973799"/>
    <w:rsid w:val="00973D82"/>
    <w:rsid w:val="00973DED"/>
    <w:rsid w:val="0097403A"/>
    <w:rsid w:val="00974225"/>
    <w:rsid w:val="00974670"/>
    <w:rsid w:val="00975880"/>
    <w:rsid w:val="00975F7E"/>
    <w:rsid w:val="0097666E"/>
    <w:rsid w:val="009769CE"/>
    <w:rsid w:val="00977324"/>
    <w:rsid w:val="0097760B"/>
    <w:rsid w:val="0098093E"/>
    <w:rsid w:val="00986F9B"/>
    <w:rsid w:val="00990254"/>
    <w:rsid w:val="009902ED"/>
    <w:rsid w:val="0099091D"/>
    <w:rsid w:val="00990E89"/>
    <w:rsid w:val="009911B0"/>
    <w:rsid w:val="009916B2"/>
    <w:rsid w:val="0099231A"/>
    <w:rsid w:val="00992EE5"/>
    <w:rsid w:val="00992FE1"/>
    <w:rsid w:val="009936EC"/>
    <w:rsid w:val="00993BC6"/>
    <w:rsid w:val="00994108"/>
    <w:rsid w:val="00995B0E"/>
    <w:rsid w:val="00996EBD"/>
    <w:rsid w:val="00997184"/>
    <w:rsid w:val="009971B8"/>
    <w:rsid w:val="009976E6"/>
    <w:rsid w:val="009A0252"/>
    <w:rsid w:val="009A04BF"/>
    <w:rsid w:val="009A064E"/>
    <w:rsid w:val="009A15B2"/>
    <w:rsid w:val="009A1A92"/>
    <w:rsid w:val="009A266B"/>
    <w:rsid w:val="009A291C"/>
    <w:rsid w:val="009A2D3B"/>
    <w:rsid w:val="009A3075"/>
    <w:rsid w:val="009A3120"/>
    <w:rsid w:val="009A4B7B"/>
    <w:rsid w:val="009A5CE2"/>
    <w:rsid w:val="009A6072"/>
    <w:rsid w:val="009A61DD"/>
    <w:rsid w:val="009A6329"/>
    <w:rsid w:val="009A6749"/>
    <w:rsid w:val="009A6CA2"/>
    <w:rsid w:val="009A6F1B"/>
    <w:rsid w:val="009B075F"/>
    <w:rsid w:val="009B103E"/>
    <w:rsid w:val="009B170E"/>
    <w:rsid w:val="009B1773"/>
    <w:rsid w:val="009B3684"/>
    <w:rsid w:val="009B4D07"/>
    <w:rsid w:val="009B5171"/>
    <w:rsid w:val="009B549D"/>
    <w:rsid w:val="009B5735"/>
    <w:rsid w:val="009B61AC"/>
    <w:rsid w:val="009B6A91"/>
    <w:rsid w:val="009B78CB"/>
    <w:rsid w:val="009B7E1A"/>
    <w:rsid w:val="009C2135"/>
    <w:rsid w:val="009C25A2"/>
    <w:rsid w:val="009C31ED"/>
    <w:rsid w:val="009C3602"/>
    <w:rsid w:val="009C3961"/>
    <w:rsid w:val="009C528A"/>
    <w:rsid w:val="009C53D0"/>
    <w:rsid w:val="009C65AC"/>
    <w:rsid w:val="009C6868"/>
    <w:rsid w:val="009C7119"/>
    <w:rsid w:val="009C7A15"/>
    <w:rsid w:val="009C7A18"/>
    <w:rsid w:val="009D0168"/>
    <w:rsid w:val="009D02F4"/>
    <w:rsid w:val="009D10C0"/>
    <w:rsid w:val="009D1148"/>
    <w:rsid w:val="009D2293"/>
    <w:rsid w:val="009D2370"/>
    <w:rsid w:val="009D3630"/>
    <w:rsid w:val="009D36A0"/>
    <w:rsid w:val="009D3CB9"/>
    <w:rsid w:val="009D4D30"/>
    <w:rsid w:val="009D5164"/>
    <w:rsid w:val="009D522A"/>
    <w:rsid w:val="009E0DE3"/>
    <w:rsid w:val="009E195B"/>
    <w:rsid w:val="009E1CD7"/>
    <w:rsid w:val="009E2D56"/>
    <w:rsid w:val="009E3257"/>
    <w:rsid w:val="009E3325"/>
    <w:rsid w:val="009E3357"/>
    <w:rsid w:val="009E35DF"/>
    <w:rsid w:val="009E361D"/>
    <w:rsid w:val="009E4135"/>
    <w:rsid w:val="009E47B9"/>
    <w:rsid w:val="009E5082"/>
    <w:rsid w:val="009E54C2"/>
    <w:rsid w:val="009E5510"/>
    <w:rsid w:val="009E591D"/>
    <w:rsid w:val="009E6852"/>
    <w:rsid w:val="009E6D08"/>
    <w:rsid w:val="009E6EBD"/>
    <w:rsid w:val="009E6EEB"/>
    <w:rsid w:val="009E73B9"/>
    <w:rsid w:val="009E7572"/>
    <w:rsid w:val="009E7D4E"/>
    <w:rsid w:val="009F04A5"/>
    <w:rsid w:val="009F0A5C"/>
    <w:rsid w:val="009F0F21"/>
    <w:rsid w:val="009F0F9C"/>
    <w:rsid w:val="009F24A3"/>
    <w:rsid w:val="009F354E"/>
    <w:rsid w:val="009F3823"/>
    <w:rsid w:val="009F3825"/>
    <w:rsid w:val="009F66D2"/>
    <w:rsid w:val="009F69C8"/>
    <w:rsid w:val="009F6D74"/>
    <w:rsid w:val="009F7B35"/>
    <w:rsid w:val="009F7F52"/>
    <w:rsid w:val="00A002C7"/>
    <w:rsid w:val="00A003CF"/>
    <w:rsid w:val="00A00565"/>
    <w:rsid w:val="00A00F2B"/>
    <w:rsid w:val="00A010EE"/>
    <w:rsid w:val="00A016D9"/>
    <w:rsid w:val="00A01877"/>
    <w:rsid w:val="00A02767"/>
    <w:rsid w:val="00A03759"/>
    <w:rsid w:val="00A03BCA"/>
    <w:rsid w:val="00A041A7"/>
    <w:rsid w:val="00A05C71"/>
    <w:rsid w:val="00A06B90"/>
    <w:rsid w:val="00A06D22"/>
    <w:rsid w:val="00A07757"/>
    <w:rsid w:val="00A0785D"/>
    <w:rsid w:val="00A100D1"/>
    <w:rsid w:val="00A10148"/>
    <w:rsid w:val="00A10F6F"/>
    <w:rsid w:val="00A10FE4"/>
    <w:rsid w:val="00A110D9"/>
    <w:rsid w:val="00A1143D"/>
    <w:rsid w:val="00A1151A"/>
    <w:rsid w:val="00A11A7C"/>
    <w:rsid w:val="00A11C26"/>
    <w:rsid w:val="00A120F9"/>
    <w:rsid w:val="00A121F0"/>
    <w:rsid w:val="00A1323C"/>
    <w:rsid w:val="00A13819"/>
    <w:rsid w:val="00A145BF"/>
    <w:rsid w:val="00A1496E"/>
    <w:rsid w:val="00A14EF4"/>
    <w:rsid w:val="00A15735"/>
    <w:rsid w:val="00A15A60"/>
    <w:rsid w:val="00A16C9E"/>
    <w:rsid w:val="00A17027"/>
    <w:rsid w:val="00A17F0B"/>
    <w:rsid w:val="00A2024E"/>
    <w:rsid w:val="00A20AA1"/>
    <w:rsid w:val="00A20D51"/>
    <w:rsid w:val="00A21454"/>
    <w:rsid w:val="00A21C87"/>
    <w:rsid w:val="00A23DF4"/>
    <w:rsid w:val="00A2441E"/>
    <w:rsid w:val="00A24D54"/>
    <w:rsid w:val="00A25A68"/>
    <w:rsid w:val="00A27346"/>
    <w:rsid w:val="00A30317"/>
    <w:rsid w:val="00A312A2"/>
    <w:rsid w:val="00A31F1E"/>
    <w:rsid w:val="00A335DA"/>
    <w:rsid w:val="00A33C99"/>
    <w:rsid w:val="00A33F94"/>
    <w:rsid w:val="00A35AF3"/>
    <w:rsid w:val="00A35E67"/>
    <w:rsid w:val="00A37D56"/>
    <w:rsid w:val="00A421AB"/>
    <w:rsid w:val="00A43417"/>
    <w:rsid w:val="00A441BA"/>
    <w:rsid w:val="00A446AD"/>
    <w:rsid w:val="00A451C9"/>
    <w:rsid w:val="00A451D2"/>
    <w:rsid w:val="00A466FD"/>
    <w:rsid w:val="00A467AD"/>
    <w:rsid w:val="00A47297"/>
    <w:rsid w:val="00A47B05"/>
    <w:rsid w:val="00A50513"/>
    <w:rsid w:val="00A50560"/>
    <w:rsid w:val="00A50F1B"/>
    <w:rsid w:val="00A5175B"/>
    <w:rsid w:val="00A52665"/>
    <w:rsid w:val="00A52CC6"/>
    <w:rsid w:val="00A5392F"/>
    <w:rsid w:val="00A54AF3"/>
    <w:rsid w:val="00A54BBF"/>
    <w:rsid w:val="00A54D63"/>
    <w:rsid w:val="00A54E72"/>
    <w:rsid w:val="00A554DE"/>
    <w:rsid w:val="00A55A45"/>
    <w:rsid w:val="00A567B1"/>
    <w:rsid w:val="00A56827"/>
    <w:rsid w:val="00A57874"/>
    <w:rsid w:val="00A579C6"/>
    <w:rsid w:val="00A57E3F"/>
    <w:rsid w:val="00A60475"/>
    <w:rsid w:val="00A6063F"/>
    <w:rsid w:val="00A6240C"/>
    <w:rsid w:val="00A63E81"/>
    <w:rsid w:val="00A640C2"/>
    <w:rsid w:val="00A6451B"/>
    <w:rsid w:val="00A64555"/>
    <w:rsid w:val="00A6463A"/>
    <w:rsid w:val="00A64DB3"/>
    <w:rsid w:val="00A6567F"/>
    <w:rsid w:val="00A656F3"/>
    <w:rsid w:val="00A6585F"/>
    <w:rsid w:val="00A65DC8"/>
    <w:rsid w:val="00A65F79"/>
    <w:rsid w:val="00A6611D"/>
    <w:rsid w:val="00A66D67"/>
    <w:rsid w:val="00A709E1"/>
    <w:rsid w:val="00A70D06"/>
    <w:rsid w:val="00A7168F"/>
    <w:rsid w:val="00A71CBA"/>
    <w:rsid w:val="00A723D2"/>
    <w:rsid w:val="00A7325F"/>
    <w:rsid w:val="00A736D3"/>
    <w:rsid w:val="00A7396D"/>
    <w:rsid w:val="00A73AD9"/>
    <w:rsid w:val="00A74897"/>
    <w:rsid w:val="00A74C20"/>
    <w:rsid w:val="00A74DC2"/>
    <w:rsid w:val="00A75503"/>
    <w:rsid w:val="00A756E5"/>
    <w:rsid w:val="00A7622C"/>
    <w:rsid w:val="00A76764"/>
    <w:rsid w:val="00A8020E"/>
    <w:rsid w:val="00A823D3"/>
    <w:rsid w:val="00A82D32"/>
    <w:rsid w:val="00A830B2"/>
    <w:rsid w:val="00A834F1"/>
    <w:rsid w:val="00A83AD2"/>
    <w:rsid w:val="00A83E92"/>
    <w:rsid w:val="00A856E1"/>
    <w:rsid w:val="00A86C1B"/>
    <w:rsid w:val="00A905D1"/>
    <w:rsid w:val="00A907CD"/>
    <w:rsid w:val="00A90EBD"/>
    <w:rsid w:val="00A91924"/>
    <w:rsid w:val="00A91D82"/>
    <w:rsid w:val="00A931C8"/>
    <w:rsid w:val="00A9516C"/>
    <w:rsid w:val="00A95CCA"/>
    <w:rsid w:val="00A96205"/>
    <w:rsid w:val="00A96658"/>
    <w:rsid w:val="00A979BD"/>
    <w:rsid w:val="00A97EE4"/>
    <w:rsid w:val="00AA04A7"/>
    <w:rsid w:val="00AA1882"/>
    <w:rsid w:val="00AA1A4F"/>
    <w:rsid w:val="00AA1BAE"/>
    <w:rsid w:val="00AA1BCB"/>
    <w:rsid w:val="00AA1F10"/>
    <w:rsid w:val="00AA262C"/>
    <w:rsid w:val="00AA313D"/>
    <w:rsid w:val="00AA342A"/>
    <w:rsid w:val="00AA43CB"/>
    <w:rsid w:val="00AA4C50"/>
    <w:rsid w:val="00AA5FDE"/>
    <w:rsid w:val="00AA619C"/>
    <w:rsid w:val="00AA6829"/>
    <w:rsid w:val="00AA759A"/>
    <w:rsid w:val="00AA7FA4"/>
    <w:rsid w:val="00AB1004"/>
    <w:rsid w:val="00AB1155"/>
    <w:rsid w:val="00AB228C"/>
    <w:rsid w:val="00AB2A60"/>
    <w:rsid w:val="00AB2E44"/>
    <w:rsid w:val="00AB345F"/>
    <w:rsid w:val="00AB3F1A"/>
    <w:rsid w:val="00AB459A"/>
    <w:rsid w:val="00AB4EF0"/>
    <w:rsid w:val="00AB5B02"/>
    <w:rsid w:val="00AB5BA0"/>
    <w:rsid w:val="00AB6401"/>
    <w:rsid w:val="00AB6B6E"/>
    <w:rsid w:val="00AB7019"/>
    <w:rsid w:val="00AB7883"/>
    <w:rsid w:val="00AB7C9E"/>
    <w:rsid w:val="00AC0083"/>
    <w:rsid w:val="00AC012C"/>
    <w:rsid w:val="00AC02A1"/>
    <w:rsid w:val="00AC12C5"/>
    <w:rsid w:val="00AC167F"/>
    <w:rsid w:val="00AC16A6"/>
    <w:rsid w:val="00AC2B22"/>
    <w:rsid w:val="00AC33FB"/>
    <w:rsid w:val="00AC3488"/>
    <w:rsid w:val="00AC3F2D"/>
    <w:rsid w:val="00AC47B5"/>
    <w:rsid w:val="00AC4C33"/>
    <w:rsid w:val="00AC4D6C"/>
    <w:rsid w:val="00AC558F"/>
    <w:rsid w:val="00AC5B3B"/>
    <w:rsid w:val="00AD084F"/>
    <w:rsid w:val="00AD0873"/>
    <w:rsid w:val="00AD09FB"/>
    <w:rsid w:val="00AD0BD7"/>
    <w:rsid w:val="00AD0C0E"/>
    <w:rsid w:val="00AD256A"/>
    <w:rsid w:val="00AD3493"/>
    <w:rsid w:val="00AD350E"/>
    <w:rsid w:val="00AD3575"/>
    <w:rsid w:val="00AD35E3"/>
    <w:rsid w:val="00AD3E5F"/>
    <w:rsid w:val="00AD4D59"/>
    <w:rsid w:val="00AD5327"/>
    <w:rsid w:val="00AD5563"/>
    <w:rsid w:val="00AD56CB"/>
    <w:rsid w:val="00AD59EF"/>
    <w:rsid w:val="00AD5BF0"/>
    <w:rsid w:val="00AD66A5"/>
    <w:rsid w:val="00AD6FB5"/>
    <w:rsid w:val="00AD71C5"/>
    <w:rsid w:val="00AD7D48"/>
    <w:rsid w:val="00AE11DD"/>
    <w:rsid w:val="00AE1F16"/>
    <w:rsid w:val="00AE1FC2"/>
    <w:rsid w:val="00AE3628"/>
    <w:rsid w:val="00AE39C0"/>
    <w:rsid w:val="00AE3C57"/>
    <w:rsid w:val="00AE3D69"/>
    <w:rsid w:val="00AE3F55"/>
    <w:rsid w:val="00AE4899"/>
    <w:rsid w:val="00AE50D5"/>
    <w:rsid w:val="00AE62AA"/>
    <w:rsid w:val="00AE6988"/>
    <w:rsid w:val="00AE6EFB"/>
    <w:rsid w:val="00AE702B"/>
    <w:rsid w:val="00AE77B1"/>
    <w:rsid w:val="00AE7EE5"/>
    <w:rsid w:val="00AF0068"/>
    <w:rsid w:val="00AF0DA2"/>
    <w:rsid w:val="00AF0E18"/>
    <w:rsid w:val="00AF237A"/>
    <w:rsid w:val="00AF2457"/>
    <w:rsid w:val="00AF245D"/>
    <w:rsid w:val="00AF248A"/>
    <w:rsid w:val="00AF3332"/>
    <w:rsid w:val="00AF3551"/>
    <w:rsid w:val="00AF3CD6"/>
    <w:rsid w:val="00AF4030"/>
    <w:rsid w:val="00AF4108"/>
    <w:rsid w:val="00AF42F6"/>
    <w:rsid w:val="00AF472F"/>
    <w:rsid w:val="00AF49DF"/>
    <w:rsid w:val="00AF50E9"/>
    <w:rsid w:val="00AF57B5"/>
    <w:rsid w:val="00AF5898"/>
    <w:rsid w:val="00AF650F"/>
    <w:rsid w:val="00AF6683"/>
    <w:rsid w:val="00AF6CC6"/>
    <w:rsid w:val="00AF6D4A"/>
    <w:rsid w:val="00B01124"/>
    <w:rsid w:val="00B011FB"/>
    <w:rsid w:val="00B01ADF"/>
    <w:rsid w:val="00B01D2C"/>
    <w:rsid w:val="00B01F8C"/>
    <w:rsid w:val="00B0250B"/>
    <w:rsid w:val="00B03459"/>
    <w:rsid w:val="00B03E22"/>
    <w:rsid w:val="00B042C2"/>
    <w:rsid w:val="00B04596"/>
    <w:rsid w:val="00B0466D"/>
    <w:rsid w:val="00B04ADD"/>
    <w:rsid w:val="00B05428"/>
    <w:rsid w:val="00B05ACE"/>
    <w:rsid w:val="00B05FA7"/>
    <w:rsid w:val="00B0644D"/>
    <w:rsid w:val="00B06C28"/>
    <w:rsid w:val="00B075F1"/>
    <w:rsid w:val="00B07D02"/>
    <w:rsid w:val="00B10DFE"/>
    <w:rsid w:val="00B126BB"/>
    <w:rsid w:val="00B128A4"/>
    <w:rsid w:val="00B13785"/>
    <w:rsid w:val="00B139C2"/>
    <w:rsid w:val="00B14641"/>
    <w:rsid w:val="00B14ECF"/>
    <w:rsid w:val="00B155E5"/>
    <w:rsid w:val="00B1577F"/>
    <w:rsid w:val="00B157F0"/>
    <w:rsid w:val="00B16105"/>
    <w:rsid w:val="00B1698F"/>
    <w:rsid w:val="00B16FE7"/>
    <w:rsid w:val="00B174FF"/>
    <w:rsid w:val="00B176AF"/>
    <w:rsid w:val="00B17D31"/>
    <w:rsid w:val="00B20A1B"/>
    <w:rsid w:val="00B20E4B"/>
    <w:rsid w:val="00B21CE0"/>
    <w:rsid w:val="00B2277E"/>
    <w:rsid w:val="00B22B85"/>
    <w:rsid w:val="00B2497C"/>
    <w:rsid w:val="00B24D65"/>
    <w:rsid w:val="00B25008"/>
    <w:rsid w:val="00B251E0"/>
    <w:rsid w:val="00B25D44"/>
    <w:rsid w:val="00B27B00"/>
    <w:rsid w:val="00B3038F"/>
    <w:rsid w:val="00B3066F"/>
    <w:rsid w:val="00B3117B"/>
    <w:rsid w:val="00B31DAC"/>
    <w:rsid w:val="00B32652"/>
    <w:rsid w:val="00B3278E"/>
    <w:rsid w:val="00B32847"/>
    <w:rsid w:val="00B3312E"/>
    <w:rsid w:val="00B331BD"/>
    <w:rsid w:val="00B3499D"/>
    <w:rsid w:val="00B34DB3"/>
    <w:rsid w:val="00B34DCF"/>
    <w:rsid w:val="00B350BA"/>
    <w:rsid w:val="00B35A8B"/>
    <w:rsid w:val="00B35A8C"/>
    <w:rsid w:val="00B366CE"/>
    <w:rsid w:val="00B36AEA"/>
    <w:rsid w:val="00B40E54"/>
    <w:rsid w:val="00B41F06"/>
    <w:rsid w:val="00B42208"/>
    <w:rsid w:val="00B42FC4"/>
    <w:rsid w:val="00B447C2"/>
    <w:rsid w:val="00B453B8"/>
    <w:rsid w:val="00B462C3"/>
    <w:rsid w:val="00B46976"/>
    <w:rsid w:val="00B476CB"/>
    <w:rsid w:val="00B5173F"/>
    <w:rsid w:val="00B51D5D"/>
    <w:rsid w:val="00B52AA6"/>
    <w:rsid w:val="00B5317E"/>
    <w:rsid w:val="00B54C39"/>
    <w:rsid w:val="00B54F10"/>
    <w:rsid w:val="00B55113"/>
    <w:rsid w:val="00B55402"/>
    <w:rsid w:val="00B55CC7"/>
    <w:rsid w:val="00B578AB"/>
    <w:rsid w:val="00B578B2"/>
    <w:rsid w:val="00B57DB8"/>
    <w:rsid w:val="00B608D0"/>
    <w:rsid w:val="00B612CD"/>
    <w:rsid w:val="00B619F1"/>
    <w:rsid w:val="00B622CC"/>
    <w:rsid w:val="00B6281A"/>
    <w:rsid w:val="00B62EAF"/>
    <w:rsid w:val="00B6322C"/>
    <w:rsid w:val="00B638F0"/>
    <w:rsid w:val="00B63E24"/>
    <w:rsid w:val="00B641CB"/>
    <w:rsid w:val="00B647BF"/>
    <w:rsid w:val="00B64A86"/>
    <w:rsid w:val="00B64E3B"/>
    <w:rsid w:val="00B65348"/>
    <w:rsid w:val="00B661E7"/>
    <w:rsid w:val="00B6633E"/>
    <w:rsid w:val="00B665A9"/>
    <w:rsid w:val="00B665B6"/>
    <w:rsid w:val="00B66EDE"/>
    <w:rsid w:val="00B70C5B"/>
    <w:rsid w:val="00B710C2"/>
    <w:rsid w:val="00B7130A"/>
    <w:rsid w:val="00B7157F"/>
    <w:rsid w:val="00B717E8"/>
    <w:rsid w:val="00B726BD"/>
    <w:rsid w:val="00B72C7B"/>
    <w:rsid w:val="00B730D2"/>
    <w:rsid w:val="00B73256"/>
    <w:rsid w:val="00B735EA"/>
    <w:rsid w:val="00B739C3"/>
    <w:rsid w:val="00B74676"/>
    <w:rsid w:val="00B74A73"/>
    <w:rsid w:val="00B76E00"/>
    <w:rsid w:val="00B77576"/>
    <w:rsid w:val="00B7788F"/>
    <w:rsid w:val="00B77A75"/>
    <w:rsid w:val="00B77F8B"/>
    <w:rsid w:val="00B80160"/>
    <w:rsid w:val="00B805A0"/>
    <w:rsid w:val="00B80779"/>
    <w:rsid w:val="00B80D45"/>
    <w:rsid w:val="00B80FE7"/>
    <w:rsid w:val="00B82D87"/>
    <w:rsid w:val="00B82E75"/>
    <w:rsid w:val="00B83A64"/>
    <w:rsid w:val="00B83C4B"/>
    <w:rsid w:val="00B84157"/>
    <w:rsid w:val="00B8494E"/>
    <w:rsid w:val="00B84E5D"/>
    <w:rsid w:val="00B84EF2"/>
    <w:rsid w:val="00B854AB"/>
    <w:rsid w:val="00B85592"/>
    <w:rsid w:val="00B85656"/>
    <w:rsid w:val="00B8599E"/>
    <w:rsid w:val="00B85EA5"/>
    <w:rsid w:val="00B86114"/>
    <w:rsid w:val="00B86823"/>
    <w:rsid w:val="00B877CE"/>
    <w:rsid w:val="00B90C2F"/>
    <w:rsid w:val="00B914F6"/>
    <w:rsid w:val="00B915AC"/>
    <w:rsid w:val="00B9285B"/>
    <w:rsid w:val="00B92D2D"/>
    <w:rsid w:val="00B931E1"/>
    <w:rsid w:val="00B9370A"/>
    <w:rsid w:val="00B944D1"/>
    <w:rsid w:val="00B945E7"/>
    <w:rsid w:val="00B963B6"/>
    <w:rsid w:val="00B96DCF"/>
    <w:rsid w:val="00B97843"/>
    <w:rsid w:val="00B97E6D"/>
    <w:rsid w:val="00BA1003"/>
    <w:rsid w:val="00BA121F"/>
    <w:rsid w:val="00BA1851"/>
    <w:rsid w:val="00BA1BE0"/>
    <w:rsid w:val="00BA1EDF"/>
    <w:rsid w:val="00BA4002"/>
    <w:rsid w:val="00BA4B19"/>
    <w:rsid w:val="00BA5065"/>
    <w:rsid w:val="00BA51C4"/>
    <w:rsid w:val="00BA575E"/>
    <w:rsid w:val="00BA5765"/>
    <w:rsid w:val="00BA67EE"/>
    <w:rsid w:val="00BA738C"/>
    <w:rsid w:val="00BA76C6"/>
    <w:rsid w:val="00BA7B1F"/>
    <w:rsid w:val="00BB03FC"/>
    <w:rsid w:val="00BB0A66"/>
    <w:rsid w:val="00BB0B7C"/>
    <w:rsid w:val="00BB0BD7"/>
    <w:rsid w:val="00BB0C00"/>
    <w:rsid w:val="00BB0C54"/>
    <w:rsid w:val="00BB0EC3"/>
    <w:rsid w:val="00BB15E0"/>
    <w:rsid w:val="00BB2161"/>
    <w:rsid w:val="00BB2CAF"/>
    <w:rsid w:val="00BB4158"/>
    <w:rsid w:val="00BB488D"/>
    <w:rsid w:val="00BB4EC6"/>
    <w:rsid w:val="00BB578E"/>
    <w:rsid w:val="00BB6600"/>
    <w:rsid w:val="00BB6BB6"/>
    <w:rsid w:val="00BB6C76"/>
    <w:rsid w:val="00BB7392"/>
    <w:rsid w:val="00BB78F5"/>
    <w:rsid w:val="00BB7FF9"/>
    <w:rsid w:val="00BC0456"/>
    <w:rsid w:val="00BC0EF9"/>
    <w:rsid w:val="00BC14AE"/>
    <w:rsid w:val="00BC16BC"/>
    <w:rsid w:val="00BC16D3"/>
    <w:rsid w:val="00BC19FD"/>
    <w:rsid w:val="00BC2518"/>
    <w:rsid w:val="00BC2EE5"/>
    <w:rsid w:val="00BC34C5"/>
    <w:rsid w:val="00BC3556"/>
    <w:rsid w:val="00BC3C4B"/>
    <w:rsid w:val="00BC4F4C"/>
    <w:rsid w:val="00BC5B8A"/>
    <w:rsid w:val="00BC6A36"/>
    <w:rsid w:val="00BC6ABC"/>
    <w:rsid w:val="00BC6CDB"/>
    <w:rsid w:val="00BD258C"/>
    <w:rsid w:val="00BD28C2"/>
    <w:rsid w:val="00BD2EBD"/>
    <w:rsid w:val="00BD3E3B"/>
    <w:rsid w:val="00BD468D"/>
    <w:rsid w:val="00BD4B48"/>
    <w:rsid w:val="00BD4DA8"/>
    <w:rsid w:val="00BD6987"/>
    <w:rsid w:val="00BD6AC6"/>
    <w:rsid w:val="00BD74AB"/>
    <w:rsid w:val="00BD793B"/>
    <w:rsid w:val="00BD79FF"/>
    <w:rsid w:val="00BE0871"/>
    <w:rsid w:val="00BE0B55"/>
    <w:rsid w:val="00BE0DFC"/>
    <w:rsid w:val="00BE146B"/>
    <w:rsid w:val="00BE2234"/>
    <w:rsid w:val="00BE28E3"/>
    <w:rsid w:val="00BE2B60"/>
    <w:rsid w:val="00BE41E6"/>
    <w:rsid w:val="00BE53C1"/>
    <w:rsid w:val="00BE53FF"/>
    <w:rsid w:val="00BE5556"/>
    <w:rsid w:val="00BE6720"/>
    <w:rsid w:val="00BE67AD"/>
    <w:rsid w:val="00BE6D54"/>
    <w:rsid w:val="00BE70CD"/>
    <w:rsid w:val="00BE7261"/>
    <w:rsid w:val="00BE749A"/>
    <w:rsid w:val="00BE7AF1"/>
    <w:rsid w:val="00BE7E51"/>
    <w:rsid w:val="00BF05A2"/>
    <w:rsid w:val="00BF0646"/>
    <w:rsid w:val="00BF155B"/>
    <w:rsid w:val="00BF1D53"/>
    <w:rsid w:val="00BF207D"/>
    <w:rsid w:val="00BF20BA"/>
    <w:rsid w:val="00BF2613"/>
    <w:rsid w:val="00BF2E60"/>
    <w:rsid w:val="00BF36A1"/>
    <w:rsid w:val="00BF38CE"/>
    <w:rsid w:val="00BF3BC5"/>
    <w:rsid w:val="00BF481C"/>
    <w:rsid w:val="00BF4925"/>
    <w:rsid w:val="00BF4D45"/>
    <w:rsid w:val="00BF54F5"/>
    <w:rsid w:val="00BF59A5"/>
    <w:rsid w:val="00BF6995"/>
    <w:rsid w:val="00BF7384"/>
    <w:rsid w:val="00BF77B8"/>
    <w:rsid w:val="00BF786B"/>
    <w:rsid w:val="00BF792D"/>
    <w:rsid w:val="00C0388C"/>
    <w:rsid w:val="00C05197"/>
    <w:rsid w:val="00C05419"/>
    <w:rsid w:val="00C05C09"/>
    <w:rsid w:val="00C05C9A"/>
    <w:rsid w:val="00C05E47"/>
    <w:rsid w:val="00C060A7"/>
    <w:rsid w:val="00C06687"/>
    <w:rsid w:val="00C0698F"/>
    <w:rsid w:val="00C07547"/>
    <w:rsid w:val="00C07710"/>
    <w:rsid w:val="00C07868"/>
    <w:rsid w:val="00C07E15"/>
    <w:rsid w:val="00C07E2C"/>
    <w:rsid w:val="00C10766"/>
    <w:rsid w:val="00C10F8A"/>
    <w:rsid w:val="00C11E36"/>
    <w:rsid w:val="00C12638"/>
    <w:rsid w:val="00C12D9A"/>
    <w:rsid w:val="00C1324B"/>
    <w:rsid w:val="00C15E6C"/>
    <w:rsid w:val="00C167A3"/>
    <w:rsid w:val="00C17C39"/>
    <w:rsid w:val="00C20726"/>
    <w:rsid w:val="00C2129B"/>
    <w:rsid w:val="00C21C87"/>
    <w:rsid w:val="00C21FAB"/>
    <w:rsid w:val="00C22BAF"/>
    <w:rsid w:val="00C23247"/>
    <w:rsid w:val="00C237BE"/>
    <w:rsid w:val="00C247AC"/>
    <w:rsid w:val="00C254D6"/>
    <w:rsid w:val="00C2597B"/>
    <w:rsid w:val="00C25F14"/>
    <w:rsid w:val="00C261CA"/>
    <w:rsid w:val="00C265B9"/>
    <w:rsid w:val="00C30B23"/>
    <w:rsid w:val="00C30D09"/>
    <w:rsid w:val="00C3159C"/>
    <w:rsid w:val="00C31768"/>
    <w:rsid w:val="00C31C62"/>
    <w:rsid w:val="00C342FC"/>
    <w:rsid w:val="00C355FD"/>
    <w:rsid w:val="00C36581"/>
    <w:rsid w:val="00C36631"/>
    <w:rsid w:val="00C36C97"/>
    <w:rsid w:val="00C37967"/>
    <w:rsid w:val="00C400D0"/>
    <w:rsid w:val="00C4126C"/>
    <w:rsid w:val="00C413FF"/>
    <w:rsid w:val="00C41979"/>
    <w:rsid w:val="00C41AF3"/>
    <w:rsid w:val="00C4249F"/>
    <w:rsid w:val="00C430AE"/>
    <w:rsid w:val="00C43B0A"/>
    <w:rsid w:val="00C44291"/>
    <w:rsid w:val="00C445F0"/>
    <w:rsid w:val="00C449CE"/>
    <w:rsid w:val="00C450A7"/>
    <w:rsid w:val="00C45F58"/>
    <w:rsid w:val="00C505CE"/>
    <w:rsid w:val="00C522A2"/>
    <w:rsid w:val="00C54312"/>
    <w:rsid w:val="00C5434C"/>
    <w:rsid w:val="00C54716"/>
    <w:rsid w:val="00C551E8"/>
    <w:rsid w:val="00C577F4"/>
    <w:rsid w:val="00C60432"/>
    <w:rsid w:val="00C61395"/>
    <w:rsid w:val="00C618BD"/>
    <w:rsid w:val="00C61C71"/>
    <w:rsid w:val="00C620DA"/>
    <w:rsid w:val="00C623C1"/>
    <w:rsid w:val="00C64A13"/>
    <w:rsid w:val="00C64B2E"/>
    <w:rsid w:val="00C64BA3"/>
    <w:rsid w:val="00C657AA"/>
    <w:rsid w:val="00C66CB2"/>
    <w:rsid w:val="00C672BB"/>
    <w:rsid w:val="00C6773C"/>
    <w:rsid w:val="00C700A1"/>
    <w:rsid w:val="00C703A7"/>
    <w:rsid w:val="00C70C14"/>
    <w:rsid w:val="00C70E05"/>
    <w:rsid w:val="00C70F2E"/>
    <w:rsid w:val="00C7190A"/>
    <w:rsid w:val="00C71E60"/>
    <w:rsid w:val="00C725BC"/>
    <w:rsid w:val="00C7268E"/>
    <w:rsid w:val="00C72705"/>
    <w:rsid w:val="00C7292A"/>
    <w:rsid w:val="00C72AB6"/>
    <w:rsid w:val="00C73085"/>
    <w:rsid w:val="00C73ED8"/>
    <w:rsid w:val="00C74D48"/>
    <w:rsid w:val="00C75B96"/>
    <w:rsid w:val="00C75E76"/>
    <w:rsid w:val="00C75F16"/>
    <w:rsid w:val="00C7697A"/>
    <w:rsid w:val="00C76CF4"/>
    <w:rsid w:val="00C76D9B"/>
    <w:rsid w:val="00C76E1C"/>
    <w:rsid w:val="00C76F45"/>
    <w:rsid w:val="00C8169E"/>
    <w:rsid w:val="00C81FBF"/>
    <w:rsid w:val="00C82DEB"/>
    <w:rsid w:val="00C82EAF"/>
    <w:rsid w:val="00C84AC1"/>
    <w:rsid w:val="00C85B91"/>
    <w:rsid w:val="00C86E28"/>
    <w:rsid w:val="00C86F5E"/>
    <w:rsid w:val="00C871BE"/>
    <w:rsid w:val="00C87517"/>
    <w:rsid w:val="00C9043A"/>
    <w:rsid w:val="00C906B5"/>
    <w:rsid w:val="00C91856"/>
    <w:rsid w:val="00C91C65"/>
    <w:rsid w:val="00C923FF"/>
    <w:rsid w:val="00C9292F"/>
    <w:rsid w:val="00C92E43"/>
    <w:rsid w:val="00C9351D"/>
    <w:rsid w:val="00C93FBF"/>
    <w:rsid w:val="00C9472E"/>
    <w:rsid w:val="00C94FFE"/>
    <w:rsid w:val="00C955A7"/>
    <w:rsid w:val="00C958D8"/>
    <w:rsid w:val="00C96359"/>
    <w:rsid w:val="00C96663"/>
    <w:rsid w:val="00C97409"/>
    <w:rsid w:val="00C97688"/>
    <w:rsid w:val="00C97854"/>
    <w:rsid w:val="00CA0859"/>
    <w:rsid w:val="00CA0F24"/>
    <w:rsid w:val="00CA1380"/>
    <w:rsid w:val="00CA21D8"/>
    <w:rsid w:val="00CA29C3"/>
    <w:rsid w:val="00CA2CCC"/>
    <w:rsid w:val="00CA33BB"/>
    <w:rsid w:val="00CA3AFD"/>
    <w:rsid w:val="00CA3DCC"/>
    <w:rsid w:val="00CA48CC"/>
    <w:rsid w:val="00CA4F33"/>
    <w:rsid w:val="00CA58AA"/>
    <w:rsid w:val="00CA698E"/>
    <w:rsid w:val="00CB038A"/>
    <w:rsid w:val="00CB10A8"/>
    <w:rsid w:val="00CB19A5"/>
    <w:rsid w:val="00CB1D1C"/>
    <w:rsid w:val="00CB2213"/>
    <w:rsid w:val="00CB272B"/>
    <w:rsid w:val="00CB37AA"/>
    <w:rsid w:val="00CB3D78"/>
    <w:rsid w:val="00CB4CAC"/>
    <w:rsid w:val="00CB515B"/>
    <w:rsid w:val="00CB5C87"/>
    <w:rsid w:val="00CB62F8"/>
    <w:rsid w:val="00CB6911"/>
    <w:rsid w:val="00CB6AEB"/>
    <w:rsid w:val="00CB7438"/>
    <w:rsid w:val="00CB78CA"/>
    <w:rsid w:val="00CC052B"/>
    <w:rsid w:val="00CC11A5"/>
    <w:rsid w:val="00CC11B7"/>
    <w:rsid w:val="00CC13DF"/>
    <w:rsid w:val="00CC1BC4"/>
    <w:rsid w:val="00CC2714"/>
    <w:rsid w:val="00CC2795"/>
    <w:rsid w:val="00CC3680"/>
    <w:rsid w:val="00CC3D29"/>
    <w:rsid w:val="00CC3E01"/>
    <w:rsid w:val="00CC4067"/>
    <w:rsid w:val="00CC4570"/>
    <w:rsid w:val="00CC480D"/>
    <w:rsid w:val="00CC4A3A"/>
    <w:rsid w:val="00CC4CB2"/>
    <w:rsid w:val="00CC5CE5"/>
    <w:rsid w:val="00CC60DC"/>
    <w:rsid w:val="00CC7299"/>
    <w:rsid w:val="00CC7461"/>
    <w:rsid w:val="00CD08FF"/>
    <w:rsid w:val="00CD0B44"/>
    <w:rsid w:val="00CD0D48"/>
    <w:rsid w:val="00CD0FD4"/>
    <w:rsid w:val="00CD136C"/>
    <w:rsid w:val="00CD1E9F"/>
    <w:rsid w:val="00CD33CD"/>
    <w:rsid w:val="00CD3856"/>
    <w:rsid w:val="00CD4BD4"/>
    <w:rsid w:val="00CD61E2"/>
    <w:rsid w:val="00CD66AB"/>
    <w:rsid w:val="00CD73C8"/>
    <w:rsid w:val="00CD771A"/>
    <w:rsid w:val="00CD79D4"/>
    <w:rsid w:val="00CE0023"/>
    <w:rsid w:val="00CE014F"/>
    <w:rsid w:val="00CE05BB"/>
    <w:rsid w:val="00CE109C"/>
    <w:rsid w:val="00CE1320"/>
    <w:rsid w:val="00CE1CAC"/>
    <w:rsid w:val="00CE210E"/>
    <w:rsid w:val="00CE2B70"/>
    <w:rsid w:val="00CE2F7C"/>
    <w:rsid w:val="00CE5D12"/>
    <w:rsid w:val="00CF0CAC"/>
    <w:rsid w:val="00CF1C57"/>
    <w:rsid w:val="00CF26C5"/>
    <w:rsid w:val="00CF2E95"/>
    <w:rsid w:val="00CF31C4"/>
    <w:rsid w:val="00CF3DE8"/>
    <w:rsid w:val="00CF42E0"/>
    <w:rsid w:val="00CF497C"/>
    <w:rsid w:val="00CF4A0F"/>
    <w:rsid w:val="00CF4FBA"/>
    <w:rsid w:val="00CF5B2D"/>
    <w:rsid w:val="00CF6142"/>
    <w:rsid w:val="00CF66FC"/>
    <w:rsid w:val="00CF6C6E"/>
    <w:rsid w:val="00CF6E87"/>
    <w:rsid w:val="00CF7296"/>
    <w:rsid w:val="00CF737A"/>
    <w:rsid w:val="00CF77F8"/>
    <w:rsid w:val="00CF7B7D"/>
    <w:rsid w:val="00D01444"/>
    <w:rsid w:val="00D01644"/>
    <w:rsid w:val="00D01870"/>
    <w:rsid w:val="00D01C58"/>
    <w:rsid w:val="00D02598"/>
    <w:rsid w:val="00D02F41"/>
    <w:rsid w:val="00D03363"/>
    <w:rsid w:val="00D034A2"/>
    <w:rsid w:val="00D036A9"/>
    <w:rsid w:val="00D03E2C"/>
    <w:rsid w:val="00D04718"/>
    <w:rsid w:val="00D05221"/>
    <w:rsid w:val="00D052C5"/>
    <w:rsid w:val="00D06481"/>
    <w:rsid w:val="00D07EDB"/>
    <w:rsid w:val="00D102D8"/>
    <w:rsid w:val="00D10539"/>
    <w:rsid w:val="00D1078C"/>
    <w:rsid w:val="00D12816"/>
    <w:rsid w:val="00D129BB"/>
    <w:rsid w:val="00D12F8A"/>
    <w:rsid w:val="00D1336F"/>
    <w:rsid w:val="00D13A33"/>
    <w:rsid w:val="00D1423D"/>
    <w:rsid w:val="00D14286"/>
    <w:rsid w:val="00D143E3"/>
    <w:rsid w:val="00D14939"/>
    <w:rsid w:val="00D151B7"/>
    <w:rsid w:val="00D153BE"/>
    <w:rsid w:val="00D15DC7"/>
    <w:rsid w:val="00D1629A"/>
    <w:rsid w:val="00D16913"/>
    <w:rsid w:val="00D176C6"/>
    <w:rsid w:val="00D1773E"/>
    <w:rsid w:val="00D17EF5"/>
    <w:rsid w:val="00D2038B"/>
    <w:rsid w:val="00D2154C"/>
    <w:rsid w:val="00D217A7"/>
    <w:rsid w:val="00D222DD"/>
    <w:rsid w:val="00D22F8C"/>
    <w:rsid w:val="00D248EA"/>
    <w:rsid w:val="00D2504B"/>
    <w:rsid w:val="00D25092"/>
    <w:rsid w:val="00D254F1"/>
    <w:rsid w:val="00D25D86"/>
    <w:rsid w:val="00D25FC1"/>
    <w:rsid w:val="00D27193"/>
    <w:rsid w:val="00D27971"/>
    <w:rsid w:val="00D279AE"/>
    <w:rsid w:val="00D3034C"/>
    <w:rsid w:val="00D305B8"/>
    <w:rsid w:val="00D307C4"/>
    <w:rsid w:val="00D31231"/>
    <w:rsid w:val="00D31830"/>
    <w:rsid w:val="00D319BB"/>
    <w:rsid w:val="00D31EAE"/>
    <w:rsid w:val="00D32480"/>
    <w:rsid w:val="00D33458"/>
    <w:rsid w:val="00D33FCC"/>
    <w:rsid w:val="00D3438D"/>
    <w:rsid w:val="00D3473E"/>
    <w:rsid w:val="00D34C22"/>
    <w:rsid w:val="00D35DD6"/>
    <w:rsid w:val="00D36610"/>
    <w:rsid w:val="00D36BCF"/>
    <w:rsid w:val="00D37379"/>
    <w:rsid w:val="00D375CC"/>
    <w:rsid w:val="00D412B3"/>
    <w:rsid w:val="00D42570"/>
    <w:rsid w:val="00D42C3D"/>
    <w:rsid w:val="00D432F6"/>
    <w:rsid w:val="00D4332A"/>
    <w:rsid w:val="00D46508"/>
    <w:rsid w:val="00D46C1E"/>
    <w:rsid w:val="00D477BC"/>
    <w:rsid w:val="00D47BE7"/>
    <w:rsid w:val="00D50DD2"/>
    <w:rsid w:val="00D50DE0"/>
    <w:rsid w:val="00D52053"/>
    <w:rsid w:val="00D520ED"/>
    <w:rsid w:val="00D54082"/>
    <w:rsid w:val="00D5421B"/>
    <w:rsid w:val="00D55490"/>
    <w:rsid w:val="00D55885"/>
    <w:rsid w:val="00D56162"/>
    <w:rsid w:val="00D561C2"/>
    <w:rsid w:val="00D570AD"/>
    <w:rsid w:val="00D571FD"/>
    <w:rsid w:val="00D57F72"/>
    <w:rsid w:val="00D6003A"/>
    <w:rsid w:val="00D608EE"/>
    <w:rsid w:val="00D60A75"/>
    <w:rsid w:val="00D60C12"/>
    <w:rsid w:val="00D615CD"/>
    <w:rsid w:val="00D61C2F"/>
    <w:rsid w:val="00D62AB2"/>
    <w:rsid w:val="00D63593"/>
    <w:rsid w:val="00D638BC"/>
    <w:rsid w:val="00D63E7E"/>
    <w:rsid w:val="00D64407"/>
    <w:rsid w:val="00D64B53"/>
    <w:rsid w:val="00D64BE7"/>
    <w:rsid w:val="00D661E1"/>
    <w:rsid w:val="00D664E9"/>
    <w:rsid w:val="00D6688D"/>
    <w:rsid w:val="00D66BB9"/>
    <w:rsid w:val="00D66E5C"/>
    <w:rsid w:val="00D677BE"/>
    <w:rsid w:val="00D701C5"/>
    <w:rsid w:val="00D708BB"/>
    <w:rsid w:val="00D70B2A"/>
    <w:rsid w:val="00D70C8B"/>
    <w:rsid w:val="00D70EC2"/>
    <w:rsid w:val="00D71525"/>
    <w:rsid w:val="00D722D1"/>
    <w:rsid w:val="00D72830"/>
    <w:rsid w:val="00D738F3"/>
    <w:rsid w:val="00D73FDD"/>
    <w:rsid w:val="00D75112"/>
    <w:rsid w:val="00D75A90"/>
    <w:rsid w:val="00D75C65"/>
    <w:rsid w:val="00D75CD3"/>
    <w:rsid w:val="00D75D25"/>
    <w:rsid w:val="00D767E3"/>
    <w:rsid w:val="00D76ACE"/>
    <w:rsid w:val="00D77177"/>
    <w:rsid w:val="00D800C7"/>
    <w:rsid w:val="00D80DF9"/>
    <w:rsid w:val="00D81243"/>
    <w:rsid w:val="00D8138C"/>
    <w:rsid w:val="00D814C5"/>
    <w:rsid w:val="00D82127"/>
    <w:rsid w:val="00D8215D"/>
    <w:rsid w:val="00D826A8"/>
    <w:rsid w:val="00D82D15"/>
    <w:rsid w:val="00D82D7A"/>
    <w:rsid w:val="00D8334D"/>
    <w:rsid w:val="00D8350A"/>
    <w:rsid w:val="00D83553"/>
    <w:rsid w:val="00D848CD"/>
    <w:rsid w:val="00D85D52"/>
    <w:rsid w:val="00D862A4"/>
    <w:rsid w:val="00D8683C"/>
    <w:rsid w:val="00D86AA0"/>
    <w:rsid w:val="00D875C5"/>
    <w:rsid w:val="00D9025D"/>
    <w:rsid w:val="00D903D5"/>
    <w:rsid w:val="00D91084"/>
    <w:rsid w:val="00D912A3"/>
    <w:rsid w:val="00D9228F"/>
    <w:rsid w:val="00D9255C"/>
    <w:rsid w:val="00D92856"/>
    <w:rsid w:val="00D931ED"/>
    <w:rsid w:val="00D933E1"/>
    <w:rsid w:val="00D93B43"/>
    <w:rsid w:val="00D93B9F"/>
    <w:rsid w:val="00D948CF"/>
    <w:rsid w:val="00D95251"/>
    <w:rsid w:val="00D95288"/>
    <w:rsid w:val="00D96E4F"/>
    <w:rsid w:val="00D97825"/>
    <w:rsid w:val="00D97CB9"/>
    <w:rsid w:val="00DA04CB"/>
    <w:rsid w:val="00DA06C9"/>
    <w:rsid w:val="00DA0754"/>
    <w:rsid w:val="00DA0878"/>
    <w:rsid w:val="00DA0EC2"/>
    <w:rsid w:val="00DA2541"/>
    <w:rsid w:val="00DA29FC"/>
    <w:rsid w:val="00DA33CB"/>
    <w:rsid w:val="00DA35A1"/>
    <w:rsid w:val="00DA3CEC"/>
    <w:rsid w:val="00DA470D"/>
    <w:rsid w:val="00DA497F"/>
    <w:rsid w:val="00DA49C9"/>
    <w:rsid w:val="00DA5758"/>
    <w:rsid w:val="00DA684F"/>
    <w:rsid w:val="00DA6AA1"/>
    <w:rsid w:val="00DA6AAF"/>
    <w:rsid w:val="00DA6D1B"/>
    <w:rsid w:val="00DA739F"/>
    <w:rsid w:val="00DA79CA"/>
    <w:rsid w:val="00DB11A2"/>
    <w:rsid w:val="00DB1498"/>
    <w:rsid w:val="00DB15D5"/>
    <w:rsid w:val="00DB1B74"/>
    <w:rsid w:val="00DB2464"/>
    <w:rsid w:val="00DB2D62"/>
    <w:rsid w:val="00DB3AE6"/>
    <w:rsid w:val="00DB4597"/>
    <w:rsid w:val="00DB5B98"/>
    <w:rsid w:val="00DB6876"/>
    <w:rsid w:val="00DB793C"/>
    <w:rsid w:val="00DB7999"/>
    <w:rsid w:val="00DB79C1"/>
    <w:rsid w:val="00DB7A0B"/>
    <w:rsid w:val="00DB7DC5"/>
    <w:rsid w:val="00DC0D07"/>
    <w:rsid w:val="00DC0D33"/>
    <w:rsid w:val="00DC111D"/>
    <w:rsid w:val="00DC1487"/>
    <w:rsid w:val="00DC1A3A"/>
    <w:rsid w:val="00DC1C12"/>
    <w:rsid w:val="00DC1F85"/>
    <w:rsid w:val="00DC2037"/>
    <w:rsid w:val="00DC3940"/>
    <w:rsid w:val="00DC448F"/>
    <w:rsid w:val="00DC44CE"/>
    <w:rsid w:val="00DC55B6"/>
    <w:rsid w:val="00DC57EA"/>
    <w:rsid w:val="00DC59E8"/>
    <w:rsid w:val="00DC5DB9"/>
    <w:rsid w:val="00DC61F4"/>
    <w:rsid w:val="00DC70BB"/>
    <w:rsid w:val="00DC7C5C"/>
    <w:rsid w:val="00DC7EA1"/>
    <w:rsid w:val="00DD1D55"/>
    <w:rsid w:val="00DD1E66"/>
    <w:rsid w:val="00DD2A64"/>
    <w:rsid w:val="00DD2B3F"/>
    <w:rsid w:val="00DD2DCE"/>
    <w:rsid w:val="00DD369B"/>
    <w:rsid w:val="00DD36EB"/>
    <w:rsid w:val="00DD37A4"/>
    <w:rsid w:val="00DD382E"/>
    <w:rsid w:val="00DD3C09"/>
    <w:rsid w:val="00DD3CC7"/>
    <w:rsid w:val="00DD4064"/>
    <w:rsid w:val="00DD411C"/>
    <w:rsid w:val="00DD48C7"/>
    <w:rsid w:val="00DD538E"/>
    <w:rsid w:val="00DD5544"/>
    <w:rsid w:val="00DD5B0D"/>
    <w:rsid w:val="00DD5C44"/>
    <w:rsid w:val="00DD64F2"/>
    <w:rsid w:val="00DD6594"/>
    <w:rsid w:val="00DD6665"/>
    <w:rsid w:val="00DD6E1F"/>
    <w:rsid w:val="00DD73E8"/>
    <w:rsid w:val="00DD764B"/>
    <w:rsid w:val="00DD7B48"/>
    <w:rsid w:val="00DE003F"/>
    <w:rsid w:val="00DE09C3"/>
    <w:rsid w:val="00DE0B42"/>
    <w:rsid w:val="00DE0CCF"/>
    <w:rsid w:val="00DE0F35"/>
    <w:rsid w:val="00DE0F59"/>
    <w:rsid w:val="00DE19D9"/>
    <w:rsid w:val="00DE1A52"/>
    <w:rsid w:val="00DE266A"/>
    <w:rsid w:val="00DE2725"/>
    <w:rsid w:val="00DE2A24"/>
    <w:rsid w:val="00DE3654"/>
    <w:rsid w:val="00DE53E3"/>
    <w:rsid w:val="00DE6400"/>
    <w:rsid w:val="00DE64BC"/>
    <w:rsid w:val="00DE65BD"/>
    <w:rsid w:val="00DE67FB"/>
    <w:rsid w:val="00DE6B66"/>
    <w:rsid w:val="00DE78F5"/>
    <w:rsid w:val="00DE7C69"/>
    <w:rsid w:val="00DE7E67"/>
    <w:rsid w:val="00DF097D"/>
    <w:rsid w:val="00DF17BD"/>
    <w:rsid w:val="00DF1A45"/>
    <w:rsid w:val="00DF1B97"/>
    <w:rsid w:val="00DF1E16"/>
    <w:rsid w:val="00DF23E3"/>
    <w:rsid w:val="00DF4221"/>
    <w:rsid w:val="00DF4795"/>
    <w:rsid w:val="00DF5E3A"/>
    <w:rsid w:val="00DF68C5"/>
    <w:rsid w:val="00DF68F7"/>
    <w:rsid w:val="00DF7E8C"/>
    <w:rsid w:val="00DF7FE4"/>
    <w:rsid w:val="00E00A14"/>
    <w:rsid w:val="00E00E53"/>
    <w:rsid w:val="00E02082"/>
    <w:rsid w:val="00E03E37"/>
    <w:rsid w:val="00E03EF0"/>
    <w:rsid w:val="00E04B00"/>
    <w:rsid w:val="00E05102"/>
    <w:rsid w:val="00E053F1"/>
    <w:rsid w:val="00E05585"/>
    <w:rsid w:val="00E066EF"/>
    <w:rsid w:val="00E07662"/>
    <w:rsid w:val="00E079F9"/>
    <w:rsid w:val="00E07C65"/>
    <w:rsid w:val="00E07D1C"/>
    <w:rsid w:val="00E1009E"/>
    <w:rsid w:val="00E10B8B"/>
    <w:rsid w:val="00E1108E"/>
    <w:rsid w:val="00E1129E"/>
    <w:rsid w:val="00E12A58"/>
    <w:rsid w:val="00E13365"/>
    <w:rsid w:val="00E13667"/>
    <w:rsid w:val="00E137DB"/>
    <w:rsid w:val="00E1386D"/>
    <w:rsid w:val="00E139C0"/>
    <w:rsid w:val="00E1493B"/>
    <w:rsid w:val="00E15CE9"/>
    <w:rsid w:val="00E1619F"/>
    <w:rsid w:val="00E164AB"/>
    <w:rsid w:val="00E166CE"/>
    <w:rsid w:val="00E17046"/>
    <w:rsid w:val="00E177C8"/>
    <w:rsid w:val="00E17EDB"/>
    <w:rsid w:val="00E210A9"/>
    <w:rsid w:val="00E21A01"/>
    <w:rsid w:val="00E21E8E"/>
    <w:rsid w:val="00E2249C"/>
    <w:rsid w:val="00E232F3"/>
    <w:rsid w:val="00E23775"/>
    <w:rsid w:val="00E23BBF"/>
    <w:rsid w:val="00E25D83"/>
    <w:rsid w:val="00E265A4"/>
    <w:rsid w:val="00E26BC9"/>
    <w:rsid w:val="00E26E5D"/>
    <w:rsid w:val="00E2758A"/>
    <w:rsid w:val="00E27623"/>
    <w:rsid w:val="00E27A37"/>
    <w:rsid w:val="00E27D5B"/>
    <w:rsid w:val="00E27F0B"/>
    <w:rsid w:val="00E30E20"/>
    <w:rsid w:val="00E31CCB"/>
    <w:rsid w:val="00E3263C"/>
    <w:rsid w:val="00E327CA"/>
    <w:rsid w:val="00E3294F"/>
    <w:rsid w:val="00E32BDF"/>
    <w:rsid w:val="00E32CBA"/>
    <w:rsid w:val="00E33312"/>
    <w:rsid w:val="00E34002"/>
    <w:rsid w:val="00E3629C"/>
    <w:rsid w:val="00E36919"/>
    <w:rsid w:val="00E37503"/>
    <w:rsid w:val="00E37A46"/>
    <w:rsid w:val="00E401E6"/>
    <w:rsid w:val="00E40459"/>
    <w:rsid w:val="00E40814"/>
    <w:rsid w:val="00E40D43"/>
    <w:rsid w:val="00E41ED9"/>
    <w:rsid w:val="00E4205F"/>
    <w:rsid w:val="00E43252"/>
    <w:rsid w:val="00E44083"/>
    <w:rsid w:val="00E44675"/>
    <w:rsid w:val="00E44B1B"/>
    <w:rsid w:val="00E44DB1"/>
    <w:rsid w:val="00E45431"/>
    <w:rsid w:val="00E45B45"/>
    <w:rsid w:val="00E4729B"/>
    <w:rsid w:val="00E4745E"/>
    <w:rsid w:val="00E47576"/>
    <w:rsid w:val="00E5010D"/>
    <w:rsid w:val="00E50A77"/>
    <w:rsid w:val="00E511A4"/>
    <w:rsid w:val="00E515B4"/>
    <w:rsid w:val="00E51B48"/>
    <w:rsid w:val="00E522C1"/>
    <w:rsid w:val="00E5257C"/>
    <w:rsid w:val="00E537F3"/>
    <w:rsid w:val="00E5388D"/>
    <w:rsid w:val="00E5404B"/>
    <w:rsid w:val="00E54D31"/>
    <w:rsid w:val="00E5533C"/>
    <w:rsid w:val="00E56BD5"/>
    <w:rsid w:val="00E56C9B"/>
    <w:rsid w:val="00E57512"/>
    <w:rsid w:val="00E5786E"/>
    <w:rsid w:val="00E6083A"/>
    <w:rsid w:val="00E60EF0"/>
    <w:rsid w:val="00E610B3"/>
    <w:rsid w:val="00E61818"/>
    <w:rsid w:val="00E61967"/>
    <w:rsid w:val="00E6415A"/>
    <w:rsid w:val="00E653D9"/>
    <w:rsid w:val="00E654BC"/>
    <w:rsid w:val="00E6570C"/>
    <w:rsid w:val="00E65AD4"/>
    <w:rsid w:val="00E65C47"/>
    <w:rsid w:val="00E662D6"/>
    <w:rsid w:val="00E6686F"/>
    <w:rsid w:val="00E66D42"/>
    <w:rsid w:val="00E67510"/>
    <w:rsid w:val="00E7073C"/>
    <w:rsid w:val="00E7075F"/>
    <w:rsid w:val="00E70EE2"/>
    <w:rsid w:val="00E7102A"/>
    <w:rsid w:val="00E71152"/>
    <w:rsid w:val="00E71648"/>
    <w:rsid w:val="00E717A1"/>
    <w:rsid w:val="00E71F7A"/>
    <w:rsid w:val="00E723D3"/>
    <w:rsid w:val="00E72670"/>
    <w:rsid w:val="00E734F7"/>
    <w:rsid w:val="00E739B5"/>
    <w:rsid w:val="00E74358"/>
    <w:rsid w:val="00E74708"/>
    <w:rsid w:val="00E75027"/>
    <w:rsid w:val="00E75A82"/>
    <w:rsid w:val="00E75F58"/>
    <w:rsid w:val="00E76727"/>
    <w:rsid w:val="00E771D3"/>
    <w:rsid w:val="00E81357"/>
    <w:rsid w:val="00E8174F"/>
    <w:rsid w:val="00E817D6"/>
    <w:rsid w:val="00E81CE9"/>
    <w:rsid w:val="00E82D08"/>
    <w:rsid w:val="00E82FE5"/>
    <w:rsid w:val="00E830AE"/>
    <w:rsid w:val="00E83264"/>
    <w:rsid w:val="00E83944"/>
    <w:rsid w:val="00E83E4B"/>
    <w:rsid w:val="00E849DA"/>
    <w:rsid w:val="00E84B16"/>
    <w:rsid w:val="00E852F6"/>
    <w:rsid w:val="00E86487"/>
    <w:rsid w:val="00E86529"/>
    <w:rsid w:val="00E86CC1"/>
    <w:rsid w:val="00E8777B"/>
    <w:rsid w:val="00E90CA4"/>
    <w:rsid w:val="00E91857"/>
    <w:rsid w:val="00E9189E"/>
    <w:rsid w:val="00E91FCD"/>
    <w:rsid w:val="00E921F5"/>
    <w:rsid w:val="00E92873"/>
    <w:rsid w:val="00E92A71"/>
    <w:rsid w:val="00E92E7C"/>
    <w:rsid w:val="00E93AED"/>
    <w:rsid w:val="00E942EC"/>
    <w:rsid w:val="00E95134"/>
    <w:rsid w:val="00E95FB9"/>
    <w:rsid w:val="00E963FC"/>
    <w:rsid w:val="00E964D1"/>
    <w:rsid w:val="00E96ED5"/>
    <w:rsid w:val="00E97830"/>
    <w:rsid w:val="00E979C9"/>
    <w:rsid w:val="00E97B79"/>
    <w:rsid w:val="00E97C20"/>
    <w:rsid w:val="00EA0525"/>
    <w:rsid w:val="00EA07EB"/>
    <w:rsid w:val="00EA0B47"/>
    <w:rsid w:val="00EA0E84"/>
    <w:rsid w:val="00EA0FF0"/>
    <w:rsid w:val="00EA1D98"/>
    <w:rsid w:val="00EA1EA8"/>
    <w:rsid w:val="00EA2162"/>
    <w:rsid w:val="00EA2209"/>
    <w:rsid w:val="00EA2C89"/>
    <w:rsid w:val="00EA3411"/>
    <w:rsid w:val="00EA383D"/>
    <w:rsid w:val="00EA54B1"/>
    <w:rsid w:val="00EA5A84"/>
    <w:rsid w:val="00EA5C45"/>
    <w:rsid w:val="00EA6543"/>
    <w:rsid w:val="00EB116C"/>
    <w:rsid w:val="00EB173C"/>
    <w:rsid w:val="00EB1A3E"/>
    <w:rsid w:val="00EB2966"/>
    <w:rsid w:val="00EB2C1B"/>
    <w:rsid w:val="00EB35A1"/>
    <w:rsid w:val="00EB4298"/>
    <w:rsid w:val="00EB4333"/>
    <w:rsid w:val="00EB531E"/>
    <w:rsid w:val="00EB7D97"/>
    <w:rsid w:val="00EB7DC3"/>
    <w:rsid w:val="00EC077F"/>
    <w:rsid w:val="00EC0EBF"/>
    <w:rsid w:val="00EC0F18"/>
    <w:rsid w:val="00EC24E9"/>
    <w:rsid w:val="00EC4288"/>
    <w:rsid w:val="00EC5569"/>
    <w:rsid w:val="00EC66D3"/>
    <w:rsid w:val="00EC6792"/>
    <w:rsid w:val="00EC792A"/>
    <w:rsid w:val="00EC795F"/>
    <w:rsid w:val="00EC7A5D"/>
    <w:rsid w:val="00EC7A5F"/>
    <w:rsid w:val="00EC7C5A"/>
    <w:rsid w:val="00EC7E54"/>
    <w:rsid w:val="00ED01B3"/>
    <w:rsid w:val="00ED06E1"/>
    <w:rsid w:val="00ED0816"/>
    <w:rsid w:val="00ED15DF"/>
    <w:rsid w:val="00ED17C0"/>
    <w:rsid w:val="00ED182E"/>
    <w:rsid w:val="00ED2E6E"/>
    <w:rsid w:val="00ED4343"/>
    <w:rsid w:val="00ED5867"/>
    <w:rsid w:val="00ED59EA"/>
    <w:rsid w:val="00ED6202"/>
    <w:rsid w:val="00ED6440"/>
    <w:rsid w:val="00ED6AC4"/>
    <w:rsid w:val="00ED7602"/>
    <w:rsid w:val="00ED77F8"/>
    <w:rsid w:val="00ED7FD8"/>
    <w:rsid w:val="00EE0047"/>
    <w:rsid w:val="00EE0404"/>
    <w:rsid w:val="00EE0F33"/>
    <w:rsid w:val="00EE130B"/>
    <w:rsid w:val="00EE241C"/>
    <w:rsid w:val="00EE3103"/>
    <w:rsid w:val="00EE31B8"/>
    <w:rsid w:val="00EE3D19"/>
    <w:rsid w:val="00EE42E2"/>
    <w:rsid w:val="00EE487F"/>
    <w:rsid w:val="00EE4B9F"/>
    <w:rsid w:val="00EE5237"/>
    <w:rsid w:val="00EE52C7"/>
    <w:rsid w:val="00EE573A"/>
    <w:rsid w:val="00EE5867"/>
    <w:rsid w:val="00EE7350"/>
    <w:rsid w:val="00EE75F6"/>
    <w:rsid w:val="00EE78F1"/>
    <w:rsid w:val="00EE7C1A"/>
    <w:rsid w:val="00EE7D01"/>
    <w:rsid w:val="00EF030D"/>
    <w:rsid w:val="00EF03A4"/>
    <w:rsid w:val="00EF0721"/>
    <w:rsid w:val="00EF12F0"/>
    <w:rsid w:val="00EF1322"/>
    <w:rsid w:val="00EF1B03"/>
    <w:rsid w:val="00EF2209"/>
    <w:rsid w:val="00EF33C3"/>
    <w:rsid w:val="00EF38BF"/>
    <w:rsid w:val="00EF3AEE"/>
    <w:rsid w:val="00EF6A7B"/>
    <w:rsid w:val="00F0039E"/>
    <w:rsid w:val="00F004E5"/>
    <w:rsid w:val="00F00BE4"/>
    <w:rsid w:val="00F00F4A"/>
    <w:rsid w:val="00F00F5F"/>
    <w:rsid w:val="00F01927"/>
    <w:rsid w:val="00F0211E"/>
    <w:rsid w:val="00F0238F"/>
    <w:rsid w:val="00F023A0"/>
    <w:rsid w:val="00F0247C"/>
    <w:rsid w:val="00F034CA"/>
    <w:rsid w:val="00F03706"/>
    <w:rsid w:val="00F0392E"/>
    <w:rsid w:val="00F04D4D"/>
    <w:rsid w:val="00F04E56"/>
    <w:rsid w:val="00F05692"/>
    <w:rsid w:val="00F059E6"/>
    <w:rsid w:val="00F05F12"/>
    <w:rsid w:val="00F05F23"/>
    <w:rsid w:val="00F068DC"/>
    <w:rsid w:val="00F069D3"/>
    <w:rsid w:val="00F07CE8"/>
    <w:rsid w:val="00F10314"/>
    <w:rsid w:val="00F1034D"/>
    <w:rsid w:val="00F1037E"/>
    <w:rsid w:val="00F10CA7"/>
    <w:rsid w:val="00F1101B"/>
    <w:rsid w:val="00F117C9"/>
    <w:rsid w:val="00F11910"/>
    <w:rsid w:val="00F11C92"/>
    <w:rsid w:val="00F1248E"/>
    <w:rsid w:val="00F1256F"/>
    <w:rsid w:val="00F125B0"/>
    <w:rsid w:val="00F12811"/>
    <w:rsid w:val="00F1423A"/>
    <w:rsid w:val="00F14A9C"/>
    <w:rsid w:val="00F14D83"/>
    <w:rsid w:val="00F15073"/>
    <w:rsid w:val="00F15AB6"/>
    <w:rsid w:val="00F15FD8"/>
    <w:rsid w:val="00F1636A"/>
    <w:rsid w:val="00F17706"/>
    <w:rsid w:val="00F17C87"/>
    <w:rsid w:val="00F229D9"/>
    <w:rsid w:val="00F22C7E"/>
    <w:rsid w:val="00F23926"/>
    <w:rsid w:val="00F23B72"/>
    <w:rsid w:val="00F243BE"/>
    <w:rsid w:val="00F2452C"/>
    <w:rsid w:val="00F2492D"/>
    <w:rsid w:val="00F24E9E"/>
    <w:rsid w:val="00F25659"/>
    <w:rsid w:val="00F26D4E"/>
    <w:rsid w:val="00F27930"/>
    <w:rsid w:val="00F27C84"/>
    <w:rsid w:val="00F316FC"/>
    <w:rsid w:val="00F31FC0"/>
    <w:rsid w:val="00F3211C"/>
    <w:rsid w:val="00F32157"/>
    <w:rsid w:val="00F324B1"/>
    <w:rsid w:val="00F326B0"/>
    <w:rsid w:val="00F32E3A"/>
    <w:rsid w:val="00F32F01"/>
    <w:rsid w:val="00F33A74"/>
    <w:rsid w:val="00F3483B"/>
    <w:rsid w:val="00F34A1D"/>
    <w:rsid w:val="00F35191"/>
    <w:rsid w:val="00F35653"/>
    <w:rsid w:val="00F35B05"/>
    <w:rsid w:val="00F35F7C"/>
    <w:rsid w:val="00F36378"/>
    <w:rsid w:val="00F36895"/>
    <w:rsid w:val="00F37359"/>
    <w:rsid w:val="00F373B8"/>
    <w:rsid w:val="00F3768E"/>
    <w:rsid w:val="00F37FB7"/>
    <w:rsid w:val="00F40AA4"/>
    <w:rsid w:val="00F4144A"/>
    <w:rsid w:val="00F4160F"/>
    <w:rsid w:val="00F41C7A"/>
    <w:rsid w:val="00F41EC8"/>
    <w:rsid w:val="00F424DB"/>
    <w:rsid w:val="00F42541"/>
    <w:rsid w:val="00F42BC3"/>
    <w:rsid w:val="00F42CCF"/>
    <w:rsid w:val="00F4334D"/>
    <w:rsid w:val="00F4359E"/>
    <w:rsid w:val="00F43EC7"/>
    <w:rsid w:val="00F44010"/>
    <w:rsid w:val="00F44122"/>
    <w:rsid w:val="00F44253"/>
    <w:rsid w:val="00F4469F"/>
    <w:rsid w:val="00F448F8"/>
    <w:rsid w:val="00F45668"/>
    <w:rsid w:val="00F45A3B"/>
    <w:rsid w:val="00F45FE0"/>
    <w:rsid w:val="00F460E3"/>
    <w:rsid w:val="00F46BCC"/>
    <w:rsid w:val="00F46D46"/>
    <w:rsid w:val="00F47BAA"/>
    <w:rsid w:val="00F47EFE"/>
    <w:rsid w:val="00F5012C"/>
    <w:rsid w:val="00F50BE5"/>
    <w:rsid w:val="00F50C96"/>
    <w:rsid w:val="00F50DFE"/>
    <w:rsid w:val="00F51001"/>
    <w:rsid w:val="00F51410"/>
    <w:rsid w:val="00F5175D"/>
    <w:rsid w:val="00F51ECC"/>
    <w:rsid w:val="00F531BA"/>
    <w:rsid w:val="00F535A3"/>
    <w:rsid w:val="00F535A5"/>
    <w:rsid w:val="00F53F63"/>
    <w:rsid w:val="00F543A4"/>
    <w:rsid w:val="00F54969"/>
    <w:rsid w:val="00F551C5"/>
    <w:rsid w:val="00F55746"/>
    <w:rsid w:val="00F56C6A"/>
    <w:rsid w:val="00F5725E"/>
    <w:rsid w:val="00F57848"/>
    <w:rsid w:val="00F57EDA"/>
    <w:rsid w:val="00F6007B"/>
    <w:rsid w:val="00F608A0"/>
    <w:rsid w:val="00F608FB"/>
    <w:rsid w:val="00F60B77"/>
    <w:rsid w:val="00F6101A"/>
    <w:rsid w:val="00F61B30"/>
    <w:rsid w:val="00F61D7D"/>
    <w:rsid w:val="00F61DD2"/>
    <w:rsid w:val="00F62A5E"/>
    <w:rsid w:val="00F6423C"/>
    <w:rsid w:val="00F64C5A"/>
    <w:rsid w:val="00F653A5"/>
    <w:rsid w:val="00F6654D"/>
    <w:rsid w:val="00F6692A"/>
    <w:rsid w:val="00F672A6"/>
    <w:rsid w:val="00F677AC"/>
    <w:rsid w:val="00F678BE"/>
    <w:rsid w:val="00F67C02"/>
    <w:rsid w:val="00F70CD1"/>
    <w:rsid w:val="00F71E40"/>
    <w:rsid w:val="00F71F54"/>
    <w:rsid w:val="00F720CF"/>
    <w:rsid w:val="00F72B1B"/>
    <w:rsid w:val="00F72E1C"/>
    <w:rsid w:val="00F72FE7"/>
    <w:rsid w:val="00F73609"/>
    <w:rsid w:val="00F740CF"/>
    <w:rsid w:val="00F745C9"/>
    <w:rsid w:val="00F74607"/>
    <w:rsid w:val="00F74D6A"/>
    <w:rsid w:val="00F75295"/>
    <w:rsid w:val="00F75423"/>
    <w:rsid w:val="00F75657"/>
    <w:rsid w:val="00F75B5F"/>
    <w:rsid w:val="00F77B3D"/>
    <w:rsid w:val="00F81C66"/>
    <w:rsid w:val="00F82AEA"/>
    <w:rsid w:val="00F8387B"/>
    <w:rsid w:val="00F83F8B"/>
    <w:rsid w:val="00F84C47"/>
    <w:rsid w:val="00F84F84"/>
    <w:rsid w:val="00F85167"/>
    <w:rsid w:val="00F85674"/>
    <w:rsid w:val="00F86097"/>
    <w:rsid w:val="00F86161"/>
    <w:rsid w:val="00F86221"/>
    <w:rsid w:val="00F86744"/>
    <w:rsid w:val="00F869D9"/>
    <w:rsid w:val="00F86C52"/>
    <w:rsid w:val="00F86FB7"/>
    <w:rsid w:val="00F8747F"/>
    <w:rsid w:val="00F874FC"/>
    <w:rsid w:val="00F8771F"/>
    <w:rsid w:val="00F90F33"/>
    <w:rsid w:val="00F913E4"/>
    <w:rsid w:val="00F914A7"/>
    <w:rsid w:val="00F92876"/>
    <w:rsid w:val="00F92E8D"/>
    <w:rsid w:val="00F92FD9"/>
    <w:rsid w:val="00F93910"/>
    <w:rsid w:val="00F93A15"/>
    <w:rsid w:val="00F95489"/>
    <w:rsid w:val="00F95600"/>
    <w:rsid w:val="00F957F3"/>
    <w:rsid w:val="00F95EBD"/>
    <w:rsid w:val="00F96032"/>
    <w:rsid w:val="00F9666B"/>
    <w:rsid w:val="00FA0272"/>
    <w:rsid w:val="00FA03A2"/>
    <w:rsid w:val="00FA17FE"/>
    <w:rsid w:val="00FA1ABC"/>
    <w:rsid w:val="00FA29EA"/>
    <w:rsid w:val="00FA2B5C"/>
    <w:rsid w:val="00FA457B"/>
    <w:rsid w:val="00FA4F58"/>
    <w:rsid w:val="00FA643C"/>
    <w:rsid w:val="00FA643E"/>
    <w:rsid w:val="00FA67AA"/>
    <w:rsid w:val="00FB1A52"/>
    <w:rsid w:val="00FB3100"/>
    <w:rsid w:val="00FB3CB3"/>
    <w:rsid w:val="00FB553C"/>
    <w:rsid w:val="00FB557E"/>
    <w:rsid w:val="00FB56FA"/>
    <w:rsid w:val="00FB5A09"/>
    <w:rsid w:val="00FB6F91"/>
    <w:rsid w:val="00FB705E"/>
    <w:rsid w:val="00FC0031"/>
    <w:rsid w:val="00FC02A7"/>
    <w:rsid w:val="00FC0612"/>
    <w:rsid w:val="00FC0C79"/>
    <w:rsid w:val="00FC196C"/>
    <w:rsid w:val="00FC26A4"/>
    <w:rsid w:val="00FC27F3"/>
    <w:rsid w:val="00FC2FF2"/>
    <w:rsid w:val="00FC2FFD"/>
    <w:rsid w:val="00FC4185"/>
    <w:rsid w:val="00FC451F"/>
    <w:rsid w:val="00FC4F16"/>
    <w:rsid w:val="00FC513C"/>
    <w:rsid w:val="00FC6235"/>
    <w:rsid w:val="00FC665C"/>
    <w:rsid w:val="00FC6BD1"/>
    <w:rsid w:val="00FC7B46"/>
    <w:rsid w:val="00FC7CE7"/>
    <w:rsid w:val="00FD1338"/>
    <w:rsid w:val="00FD14AA"/>
    <w:rsid w:val="00FD15F3"/>
    <w:rsid w:val="00FD1E43"/>
    <w:rsid w:val="00FD2A75"/>
    <w:rsid w:val="00FD30FD"/>
    <w:rsid w:val="00FD3B51"/>
    <w:rsid w:val="00FD4597"/>
    <w:rsid w:val="00FD48A9"/>
    <w:rsid w:val="00FD4DA9"/>
    <w:rsid w:val="00FD4F24"/>
    <w:rsid w:val="00FD4F44"/>
    <w:rsid w:val="00FD6187"/>
    <w:rsid w:val="00FD6373"/>
    <w:rsid w:val="00FD642D"/>
    <w:rsid w:val="00FD6566"/>
    <w:rsid w:val="00FD697C"/>
    <w:rsid w:val="00FD6AA6"/>
    <w:rsid w:val="00FD72E5"/>
    <w:rsid w:val="00FD753D"/>
    <w:rsid w:val="00FE010A"/>
    <w:rsid w:val="00FE029E"/>
    <w:rsid w:val="00FE0D9D"/>
    <w:rsid w:val="00FE0F60"/>
    <w:rsid w:val="00FE12D9"/>
    <w:rsid w:val="00FE1A91"/>
    <w:rsid w:val="00FE1A94"/>
    <w:rsid w:val="00FE21B9"/>
    <w:rsid w:val="00FE2440"/>
    <w:rsid w:val="00FE37EA"/>
    <w:rsid w:val="00FE3904"/>
    <w:rsid w:val="00FE3A01"/>
    <w:rsid w:val="00FE3E9D"/>
    <w:rsid w:val="00FE4AD8"/>
    <w:rsid w:val="00FE50D7"/>
    <w:rsid w:val="00FE5229"/>
    <w:rsid w:val="00FE5E5E"/>
    <w:rsid w:val="00FE64A7"/>
    <w:rsid w:val="00FE68D8"/>
    <w:rsid w:val="00FE6FBD"/>
    <w:rsid w:val="00FE7307"/>
    <w:rsid w:val="00FE7996"/>
    <w:rsid w:val="00FE7D69"/>
    <w:rsid w:val="00FF046B"/>
    <w:rsid w:val="00FF10ED"/>
    <w:rsid w:val="00FF14A4"/>
    <w:rsid w:val="00FF1AAB"/>
    <w:rsid w:val="00FF1C0D"/>
    <w:rsid w:val="00FF1F47"/>
    <w:rsid w:val="00FF2E41"/>
    <w:rsid w:val="00FF324E"/>
    <w:rsid w:val="00FF32A3"/>
    <w:rsid w:val="00FF3830"/>
    <w:rsid w:val="00FF3F49"/>
    <w:rsid w:val="00FF4741"/>
    <w:rsid w:val="00FF6188"/>
    <w:rsid w:val="00FF6CA9"/>
    <w:rsid w:val="00FF70B3"/>
    <w:rsid w:val="00FF741E"/>
    <w:rsid w:val="00FF7A90"/>
    <w:rsid w:val="00FF7BF0"/>
    <w:rsid w:val="01480F05"/>
    <w:rsid w:val="01FDCA43"/>
    <w:rsid w:val="028B6E42"/>
    <w:rsid w:val="029CDC88"/>
    <w:rsid w:val="02F16FA7"/>
    <w:rsid w:val="0310A547"/>
    <w:rsid w:val="03D055F0"/>
    <w:rsid w:val="03DD0B9E"/>
    <w:rsid w:val="042BA56F"/>
    <w:rsid w:val="042F865E"/>
    <w:rsid w:val="04C0E286"/>
    <w:rsid w:val="04F8BB4B"/>
    <w:rsid w:val="0510454D"/>
    <w:rsid w:val="052EA4E1"/>
    <w:rsid w:val="0559E2CF"/>
    <w:rsid w:val="05701745"/>
    <w:rsid w:val="057FEB72"/>
    <w:rsid w:val="05C72FCA"/>
    <w:rsid w:val="05EC37E8"/>
    <w:rsid w:val="05F9FCDE"/>
    <w:rsid w:val="0648A197"/>
    <w:rsid w:val="06C1CA00"/>
    <w:rsid w:val="06FB3C02"/>
    <w:rsid w:val="07219303"/>
    <w:rsid w:val="07510921"/>
    <w:rsid w:val="079F2EEB"/>
    <w:rsid w:val="07CFCD61"/>
    <w:rsid w:val="08071060"/>
    <w:rsid w:val="081434BB"/>
    <w:rsid w:val="081F06FF"/>
    <w:rsid w:val="08213720"/>
    <w:rsid w:val="083FCEBD"/>
    <w:rsid w:val="08556BC6"/>
    <w:rsid w:val="0899B9E4"/>
    <w:rsid w:val="08F379DF"/>
    <w:rsid w:val="09CB4A3B"/>
    <w:rsid w:val="0A0EE5B7"/>
    <w:rsid w:val="0A8BC4DB"/>
    <w:rsid w:val="0B382A2F"/>
    <w:rsid w:val="0B40F609"/>
    <w:rsid w:val="0B52830E"/>
    <w:rsid w:val="0B5723E5"/>
    <w:rsid w:val="0BD82E42"/>
    <w:rsid w:val="0C863168"/>
    <w:rsid w:val="0CB66FE2"/>
    <w:rsid w:val="0D0E4339"/>
    <w:rsid w:val="0D105B44"/>
    <w:rsid w:val="0D722A52"/>
    <w:rsid w:val="0DCF8D3E"/>
    <w:rsid w:val="0DD15926"/>
    <w:rsid w:val="0DDDC2FC"/>
    <w:rsid w:val="0E4F480C"/>
    <w:rsid w:val="0E51390C"/>
    <w:rsid w:val="0E9A1E4E"/>
    <w:rsid w:val="0F4945F0"/>
    <w:rsid w:val="0F4BCF47"/>
    <w:rsid w:val="0F70C4BA"/>
    <w:rsid w:val="0F9B8DE2"/>
    <w:rsid w:val="103039E2"/>
    <w:rsid w:val="10959205"/>
    <w:rsid w:val="111CC48B"/>
    <w:rsid w:val="11C6194B"/>
    <w:rsid w:val="13228680"/>
    <w:rsid w:val="1354A21C"/>
    <w:rsid w:val="13C3C96E"/>
    <w:rsid w:val="142863C3"/>
    <w:rsid w:val="14355FFE"/>
    <w:rsid w:val="143F8CEF"/>
    <w:rsid w:val="14B0B277"/>
    <w:rsid w:val="150D42E5"/>
    <w:rsid w:val="16027F5E"/>
    <w:rsid w:val="16088202"/>
    <w:rsid w:val="163F025D"/>
    <w:rsid w:val="164298CA"/>
    <w:rsid w:val="16457756"/>
    <w:rsid w:val="17386E41"/>
    <w:rsid w:val="176293F3"/>
    <w:rsid w:val="17966275"/>
    <w:rsid w:val="182907C5"/>
    <w:rsid w:val="184E2987"/>
    <w:rsid w:val="18723E5F"/>
    <w:rsid w:val="18996D6D"/>
    <w:rsid w:val="1935C51D"/>
    <w:rsid w:val="196D00BC"/>
    <w:rsid w:val="19B24E0A"/>
    <w:rsid w:val="19E40D68"/>
    <w:rsid w:val="19F69F3F"/>
    <w:rsid w:val="19FD05BF"/>
    <w:rsid w:val="1A2D8C11"/>
    <w:rsid w:val="1AF1906E"/>
    <w:rsid w:val="1AF85C03"/>
    <w:rsid w:val="1B030A62"/>
    <w:rsid w:val="1B1B51DA"/>
    <w:rsid w:val="1BC0AC56"/>
    <w:rsid w:val="1C38AEC5"/>
    <w:rsid w:val="1C38C432"/>
    <w:rsid w:val="1CA4FEED"/>
    <w:rsid w:val="1CCB87EB"/>
    <w:rsid w:val="1CF3A109"/>
    <w:rsid w:val="1D59E7BC"/>
    <w:rsid w:val="1D8E6C6F"/>
    <w:rsid w:val="1D9A194E"/>
    <w:rsid w:val="1D9FA2A6"/>
    <w:rsid w:val="1E3262AC"/>
    <w:rsid w:val="1E814B5D"/>
    <w:rsid w:val="1EE341F5"/>
    <w:rsid w:val="1F348A7B"/>
    <w:rsid w:val="1F54CD3A"/>
    <w:rsid w:val="1F7E497F"/>
    <w:rsid w:val="1FBF2467"/>
    <w:rsid w:val="20932BF2"/>
    <w:rsid w:val="21107101"/>
    <w:rsid w:val="21110319"/>
    <w:rsid w:val="211283B1"/>
    <w:rsid w:val="212EC0DD"/>
    <w:rsid w:val="2149A936"/>
    <w:rsid w:val="215DFE2E"/>
    <w:rsid w:val="21E7738E"/>
    <w:rsid w:val="22083749"/>
    <w:rsid w:val="220903E9"/>
    <w:rsid w:val="221A7A43"/>
    <w:rsid w:val="223572E8"/>
    <w:rsid w:val="225DA38D"/>
    <w:rsid w:val="22662753"/>
    <w:rsid w:val="22B2D233"/>
    <w:rsid w:val="22D39413"/>
    <w:rsid w:val="2316B497"/>
    <w:rsid w:val="234A0732"/>
    <w:rsid w:val="23921FA4"/>
    <w:rsid w:val="23D5055F"/>
    <w:rsid w:val="24511740"/>
    <w:rsid w:val="24729221"/>
    <w:rsid w:val="247B0B64"/>
    <w:rsid w:val="2486DBDE"/>
    <w:rsid w:val="2550D7E8"/>
    <w:rsid w:val="2560E928"/>
    <w:rsid w:val="256122EA"/>
    <w:rsid w:val="2583222B"/>
    <w:rsid w:val="259478EC"/>
    <w:rsid w:val="25A2726A"/>
    <w:rsid w:val="25C49E3C"/>
    <w:rsid w:val="25F3900C"/>
    <w:rsid w:val="266343B5"/>
    <w:rsid w:val="271E0A09"/>
    <w:rsid w:val="27549A6A"/>
    <w:rsid w:val="27C886AB"/>
    <w:rsid w:val="27D5DA72"/>
    <w:rsid w:val="281EC957"/>
    <w:rsid w:val="28263304"/>
    <w:rsid w:val="282AD810"/>
    <w:rsid w:val="283D3AEA"/>
    <w:rsid w:val="284A0A27"/>
    <w:rsid w:val="286E7336"/>
    <w:rsid w:val="28EFCEC6"/>
    <w:rsid w:val="294C5B4A"/>
    <w:rsid w:val="2987384B"/>
    <w:rsid w:val="29C78873"/>
    <w:rsid w:val="29C9AD5E"/>
    <w:rsid w:val="29D8DF59"/>
    <w:rsid w:val="2A1E5C73"/>
    <w:rsid w:val="2A3F2054"/>
    <w:rsid w:val="2A41383C"/>
    <w:rsid w:val="2A84C1A6"/>
    <w:rsid w:val="2AA35EF2"/>
    <w:rsid w:val="2ABEF01C"/>
    <w:rsid w:val="2AD547A9"/>
    <w:rsid w:val="2AD9064F"/>
    <w:rsid w:val="2B6EA787"/>
    <w:rsid w:val="2BC5109B"/>
    <w:rsid w:val="2BD741D6"/>
    <w:rsid w:val="2BFBD1DC"/>
    <w:rsid w:val="2C546FC2"/>
    <w:rsid w:val="2C9FFDC6"/>
    <w:rsid w:val="2CBFF0A2"/>
    <w:rsid w:val="2D119467"/>
    <w:rsid w:val="2D271AE4"/>
    <w:rsid w:val="2D96C725"/>
    <w:rsid w:val="2D9DFE82"/>
    <w:rsid w:val="2DCF86A1"/>
    <w:rsid w:val="2DD6B1F7"/>
    <w:rsid w:val="2DDF0294"/>
    <w:rsid w:val="2DE77D4C"/>
    <w:rsid w:val="2E2229E9"/>
    <w:rsid w:val="2E842DE5"/>
    <w:rsid w:val="2EA91FA4"/>
    <w:rsid w:val="2F4B115A"/>
    <w:rsid w:val="2F5B1263"/>
    <w:rsid w:val="2F76C526"/>
    <w:rsid w:val="2F941D69"/>
    <w:rsid w:val="2F969260"/>
    <w:rsid w:val="2FA67D01"/>
    <w:rsid w:val="3037237D"/>
    <w:rsid w:val="304B8635"/>
    <w:rsid w:val="30C3632F"/>
    <w:rsid w:val="311507FF"/>
    <w:rsid w:val="3182BF30"/>
    <w:rsid w:val="3218FBD6"/>
    <w:rsid w:val="327D5991"/>
    <w:rsid w:val="3344776B"/>
    <w:rsid w:val="336C7570"/>
    <w:rsid w:val="338150A4"/>
    <w:rsid w:val="33963813"/>
    <w:rsid w:val="33F1F89E"/>
    <w:rsid w:val="348DB822"/>
    <w:rsid w:val="356F7971"/>
    <w:rsid w:val="3579252D"/>
    <w:rsid w:val="35A71463"/>
    <w:rsid w:val="35CBF465"/>
    <w:rsid w:val="35CF7F59"/>
    <w:rsid w:val="35E3934C"/>
    <w:rsid w:val="36608F79"/>
    <w:rsid w:val="37537C92"/>
    <w:rsid w:val="37CFF5F3"/>
    <w:rsid w:val="382B8C76"/>
    <w:rsid w:val="38490BBB"/>
    <w:rsid w:val="384F05CB"/>
    <w:rsid w:val="385351AD"/>
    <w:rsid w:val="385655A5"/>
    <w:rsid w:val="386CA148"/>
    <w:rsid w:val="38CD3287"/>
    <w:rsid w:val="38D05EA5"/>
    <w:rsid w:val="38FA194E"/>
    <w:rsid w:val="3964F9CA"/>
    <w:rsid w:val="39657C0A"/>
    <w:rsid w:val="3972E802"/>
    <w:rsid w:val="399588E1"/>
    <w:rsid w:val="3A40375F"/>
    <w:rsid w:val="3A44B71D"/>
    <w:rsid w:val="3A504A8B"/>
    <w:rsid w:val="3A5B07FB"/>
    <w:rsid w:val="3A74CE75"/>
    <w:rsid w:val="3AC181AB"/>
    <w:rsid w:val="3AD75889"/>
    <w:rsid w:val="3AF330C0"/>
    <w:rsid w:val="3B4C1D6A"/>
    <w:rsid w:val="3B6896E8"/>
    <w:rsid w:val="3B72445B"/>
    <w:rsid w:val="3BA60F55"/>
    <w:rsid w:val="3BF8C602"/>
    <w:rsid w:val="3C180DC5"/>
    <w:rsid w:val="3C661BCB"/>
    <w:rsid w:val="3CCF3A80"/>
    <w:rsid w:val="3DDFF0DE"/>
    <w:rsid w:val="3E434435"/>
    <w:rsid w:val="3E47EBF7"/>
    <w:rsid w:val="3E8548AA"/>
    <w:rsid w:val="3E9C2644"/>
    <w:rsid w:val="3EB35307"/>
    <w:rsid w:val="3F3F7E59"/>
    <w:rsid w:val="3F44EF7E"/>
    <w:rsid w:val="3FBB8F7C"/>
    <w:rsid w:val="3FC57C25"/>
    <w:rsid w:val="3FDB0649"/>
    <w:rsid w:val="3FF7DFC8"/>
    <w:rsid w:val="40236D92"/>
    <w:rsid w:val="4030D439"/>
    <w:rsid w:val="403889A5"/>
    <w:rsid w:val="405860F8"/>
    <w:rsid w:val="40B68ADC"/>
    <w:rsid w:val="40D4E23E"/>
    <w:rsid w:val="40F683A5"/>
    <w:rsid w:val="4117A325"/>
    <w:rsid w:val="415F5CF3"/>
    <w:rsid w:val="4198454A"/>
    <w:rsid w:val="41C1C1E6"/>
    <w:rsid w:val="41CA78BA"/>
    <w:rsid w:val="41EBC207"/>
    <w:rsid w:val="4205C222"/>
    <w:rsid w:val="4263C4B8"/>
    <w:rsid w:val="426B0FAD"/>
    <w:rsid w:val="4297E9A4"/>
    <w:rsid w:val="431CC9E1"/>
    <w:rsid w:val="434CA2F4"/>
    <w:rsid w:val="435A110F"/>
    <w:rsid w:val="436AD254"/>
    <w:rsid w:val="43A9E4B0"/>
    <w:rsid w:val="43FFEFA2"/>
    <w:rsid w:val="4457268D"/>
    <w:rsid w:val="445C28A0"/>
    <w:rsid w:val="44D466CD"/>
    <w:rsid w:val="4556D75F"/>
    <w:rsid w:val="4566A5DD"/>
    <w:rsid w:val="457D9741"/>
    <w:rsid w:val="4581CF74"/>
    <w:rsid w:val="45B5066C"/>
    <w:rsid w:val="45BD2FCF"/>
    <w:rsid w:val="45D6F425"/>
    <w:rsid w:val="4634735E"/>
    <w:rsid w:val="468073FF"/>
    <w:rsid w:val="47899888"/>
    <w:rsid w:val="47A38F23"/>
    <w:rsid w:val="48075EAB"/>
    <w:rsid w:val="48466659"/>
    <w:rsid w:val="4869EF29"/>
    <w:rsid w:val="48809151"/>
    <w:rsid w:val="489BF452"/>
    <w:rsid w:val="48BF5310"/>
    <w:rsid w:val="492B61F9"/>
    <w:rsid w:val="493B9A70"/>
    <w:rsid w:val="493E947B"/>
    <w:rsid w:val="494D8909"/>
    <w:rsid w:val="4989281B"/>
    <w:rsid w:val="49C0A1DE"/>
    <w:rsid w:val="4A057C7E"/>
    <w:rsid w:val="4A27ADB2"/>
    <w:rsid w:val="4A50DA5D"/>
    <w:rsid w:val="4A5EB561"/>
    <w:rsid w:val="4A897158"/>
    <w:rsid w:val="4AA151C7"/>
    <w:rsid w:val="4AAD5F54"/>
    <w:rsid w:val="4B2126B9"/>
    <w:rsid w:val="4B28E1C5"/>
    <w:rsid w:val="4B317684"/>
    <w:rsid w:val="4BD73EA3"/>
    <w:rsid w:val="4BE75AA4"/>
    <w:rsid w:val="4BF66219"/>
    <w:rsid w:val="4C5F8506"/>
    <w:rsid w:val="4C692443"/>
    <w:rsid w:val="4CD5A3AA"/>
    <w:rsid w:val="4E1C0C8E"/>
    <w:rsid w:val="4E69E515"/>
    <w:rsid w:val="4E8461D6"/>
    <w:rsid w:val="4EBDDDD8"/>
    <w:rsid w:val="4F0EB45B"/>
    <w:rsid w:val="4F0F4AD8"/>
    <w:rsid w:val="4F846C94"/>
    <w:rsid w:val="4FA713E3"/>
    <w:rsid w:val="4FFEF8C9"/>
    <w:rsid w:val="500D468C"/>
    <w:rsid w:val="5029BAAC"/>
    <w:rsid w:val="50A027F2"/>
    <w:rsid w:val="50BAEFE7"/>
    <w:rsid w:val="50BDB070"/>
    <w:rsid w:val="50C7608D"/>
    <w:rsid w:val="5126D2D0"/>
    <w:rsid w:val="516BBD3F"/>
    <w:rsid w:val="5197400F"/>
    <w:rsid w:val="51AB6683"/>
    <w:rsid w:val="52234F29"/>
    <w:rsid w:val="52336229"/>
    <w:rsid w:val="526E9648"/>
    <w:rsid w:val="52750832"/>
    <w:rsid w:val="52ACA8B1"/>
    <w:rsid w:val="52E939ED"/>
    <w:rsid w:val="5377B8F1"/>
    <w:rsid w:val="53908820"/>
    <w:rsid w:val="53A9A1AB"/>
    <w:rsid w:val="53E17237"/>
    <w:rsid w:val="54932E73"/>
    <w:rsid w:val="54ACCE99"/>
    <w:rsid w:val="54F198B8"/>
    <w:rsid w:val="5500176F"/>
    <w:rsid w:val="551D9A1B"/>
    <w:rsid w:val="55327E70"/>
    <w:rsid w:val="5584EF51"/>
    <w:rsid w:val="55B47BE7"/>
    <w:rsid w:val="55BE0D83"/>
    <w:rsid w:val="55D42A5D"/>
    <w:rsid w:val="55EDBF41"/>
    <w:rsid w:val="561328E2"/>
    <w:rsid w:val="5635507E"/>
    <w:rsid w:val="5637FB86"/>
    <w:rsid w:val="567AFF52"/>
    <w:rsid w:val="56B05AEE"/>
    <w:rsid w:val="56C81421"/>
    <w:rsid w:val="56E0DF12"/>
    <w:rsid w:val="56E62FFD"/>
    <w:rsid w:val="5736E79C"/>
    <w:rsid w:val="57498C19"/>
    <w:rsid w:val="576C1FA4"/>
    <w:rsid w:val="576CD357"/>
    <w:rsid w:val="578DB5A7"/>
    <w:rsid w:val="57A70651"/>
    <w:rsid w:val="57E27418"/>
    <w:rsid w:val="5822797E"/>
    <w:rsid w:val="582F384B"/>
    <w:rsid w:val="584C2EEE"/>
    <w:rsid w:val="584C639C"/>
    <w:rsid w:val="584E96FE"/>
    <w:rsid w:val="58717301"/>
    <w:rsid w:val="58BC9013"/>
    <w:rsid w:val="590BD88A"/>
    <w:rsid w:val="59644DE0"/>
    <w:rsid w:val="5965873A"/>
    <w:rsid w:val="596AB8D2"/>
    <w:rsid w:val="59AAC810"/>
    <w:rsid w:val="59F222E1"/>
    <w:rsid w:val="59FFF82D"/>
    <w:rsid w:val="5A08DC5E"/>
    <w:rsid w:val="5A746148"/>
    <w:rsid w:val="5A75B98A"/>
    <w:rsid w:val="5A7F026D"/>
    <w:rsid w:val="5B205667"/>
    <w:rsid w:val="5B5AFDDE"/>
    <w:rsid w:val="5C465454"/>
    <w:rsid w:val="5C4F3DF9"/>
    <w:rsid w:val="5C7E00D7"/>
    <w:rsid w:val="5CA02F07"/>
    <w:rsid w:val="5D4BA10C"/>
    <w:rsid w:val="5D4D2A1E"/>
    <w:rsid w:val="5D553A43"/>
    <w:rsid w:val="5E19579C"/>
    <w:rsid w:val="5E2FB5D2"/>
    <w:rsid w:val="5E76C6EA"/>
    <w:rsid w:val="5F4BC76C"/>
    <w:rsid w:val="5F54683D"/>
    <w:rsid w:val="5F737CC5"/>
    <w:rsid w:val="5FB48FAB"/>
    <w:rsid w:val="5FD4B14D"/>
    <w:rsid w:val="5FD806DE"/>
    <w:rsid w:val="602B037A"/>
    <w:rsid w:val="602B6821"/>
    <w:rsid w:val="60A1FA84"/>
    <w:rsid w:val="60FC6441"/>
    <w:rsid w:val="6124CC4F"/>
    <w:rsid w:val="613A67CF"/>
    <w:rsid w:val="619F23BE"/>
    <w:rsid w:val="61D806E5"/>
    <w:rsid w:val="61E1958F"/>
    <w:rsid w:val="61E459CD"/>
    <w:rsid w:val="6203A3B6"/>
    <w:rsid w:val="62100EF7"/>
    <w:rsid w:val="62546291"/>
    <w:rsid w:val="62B9D0F1"/>
    <w:rsid w:val="62C18CD3"/>
    <w:rsid w:val="63901C8F"/>
    <w:rsid w:val="63AAA3CA"/>
    <w:rsid w:val="65099EEB"/>
    <w:rsid w:val="6550966B"/>
    <w:rsid w:val="659924EF"/>
    <w:rsid w:val="660039E3"/>
    <w:rsid w:val="660440A5"/>
    <w:rsid w:val="662EFEB7"/>
    <w:rsid w:val="6632C06A"/>
    <w:rsid w:val="663BEFEE"/>
    <w:rsid w:val="669F355F"/>
    <w:rsid w:val="66B9D151"/>
    <w:rsid w:val="66BB90ED"/>
    <w:rsid w:val="66CD7586"/>
    <w:rsid w:val="66EBF808"/>
    <w:rsid w:val="670E1BDE"/>
    <w:rsid w:val="679A1FF6"/>
    <w:rsid w:val="67B19CB0"/>
    <w:rsid w:val="682B85BE"/>
    <w:rsid w:val="682DFA20"/>
    <w:rsid w:val="684AC737"/>
    <w:rsid w:val="68FD9A23"/>
    <w:rsid w:val="69245ADE"/>
    <w:rsid w:val="695DE088"/>
    <w:rsid w:val="696E02E0"/>
    <w:rsid w:val="69A252FB"/>
    <w:rsid w:val="69C676D0"/>
    <w:rsid w:val="69DFC963"/>
    <w:rsid w:val="6A0A5AA9"/>
    <w:rsid w:val="6A4EBD5B"/>
    <w:rsid w:val="6A6664E2"/>
    <w:rsid w:val="6A7435CF"/>
    <w:rsid w:val="6A8F38C9"/>
    <w:rsid w:val="6AAE9B9F"/>
    <w:rsid w:val="6ABCA0A3"/>
    <w:rsid w:val="6B750111"/>
    <w:rsid w:val="6BB058E8"/>
    <w:rsid w:val="6C1AC7A7"/>
    <w:rsid w:val="6C7203EA"/>
    <w:rsid w:val="6CAA9D0E"/>
    <w:rsid w:val="6CFE977B"/>
    <w:rsid w:val="6D317ADC"/>
    <w:rsid w:val="6D7075EF"/>
    <w:rsid w:val="6D75750C"/>
    <w:rsid w:val="6DADEAD5"/>
    <w:rsid w:val="6E0A55B7"/>
    <w:rsid w:val="6E18B098"/>
    <w:rsid w:val="6EB0DA6F"/>
    <w:rsid w:val="6ECB1E13"/>
    <w:rsid w:val="6ECB8E02"/>
    <w:rsid w:val="6EF99336"/>
    <w:rsid w:val="6F124065"/>
    <w:rsid w:val="6F157287"/>
    <w:rsid w:val="6F192349"/>
    <w:rsid w:val="6F246E6F"/>
    <w:rsid w:val="6F279E35"/>
    <w:rsid w:val="6F3C2318"/>
    <w:rsid w:val="6F51647D"/>
    <w:rsid w:val="6F743E99"/>
    <w:rsid w:val="6F7AA0A1"/>
    <w:rsid w:val="6FC6B5C3"/>
    <w:rsid w:val="6FEF2E28"/>
    <w:rsid w:val="70559FDE"/>
    <w:rsid w:val="70639FBD"/>
    <w:rsid w:val="708428C0"/>
    <w:rsid w:val="709C6D58"/>
    <w:rsid w:val="70CB03F5"/>
    <w:rsid w:val="710A46B6"/>
    <w:rsid w:val="714E3E03"/>
    <w:rsid w:val="716587DE"/>
    <w:rsid w:val="717322EC"/>
    <w:rsid w:val="717F6D68"/>
    <w:rsid w:val="71D83513"/>
    <w:rsid w:val="71D85109"/>
    <w:rsid w:val="721F4416"/>
    <w:rsid w:val="72292086"/>
    <w:rsid w:val="72345B26"/>
    <w:rsid w:val="726821D6"/>
    <w:rsid w:val="727C4E3F"/>
    <w:rsid w:val="72BA3641"/>
    <w:rsid w:val="7331A5C6"/>
    <w:rsid w:val="739C9624"/>
    <w:rsid w:val="73A0F133"/>
    <w:rsid w:val="7403F9EA"/>
    <w:rsid w:val="742C519A"/>
    <w:rsid w:val="7458FCAD"/>
    <w:rsid w:val="748DE607"/>
    <w:rsid w:val="74C35F39"/>
    <w:rsid w:val="74DA0278"/>
    <w:rsid w:val="7539F471"/>
    <w:rsid w:val="75BB1E3B"/>
    <w:rsid w:val="75C50565"/>
    <w:rsid w:val="75CC69D7"/>
    <w:rsid w:val="769A8755"/>
    <w:rsid w:val="76A6EFE1"/>
    <w:rsid w:val="76C0B669"/>
    <w:rsid w:val="76C6E7EB"/>
    <w:rsid w:val="76E27DE9"/>
    <w:rsid w:val="76F6AD68"/>
    <w:rsid w:val="7730D5E5"/>
    <w:rsid w:val="7786FCF9"/>
    <w:rsid w:val="77AA289E"/>
    <w:rsid w:val="77D6B27C"/>
    <w:rsid w:val="7884AD07"/>
    <w:rsid w:val="7954D6F1"/>
    <w:rsid w:val="795B5540"/>
    <w:rsid w:val="7978552B"/>
    <w:rsid w:val="797A599E"/>
    <w:rsid w:val="79977910"/>
    <w:rsid w:val="7A3E1F14"/>
    <w:rsid w:val="7A49A1D9"/>
    <w:rsid w:val="7A7C11B6"/>
    <w:rsid w:val="7BAA24D4"/>
    <w:rsid w:val="7BF9CE88"/>
    <w:rsid w:val="7C228084"/>
    <w:rsid w:val="7C3AFC38"/>
    <w:rsid w:val="7C8ECC02"/>
    <w:rsid w:val="7CECBD31"/>
    <w:rsid w:val="7DB28F8C"/>
    <w:rsid w:val="7DBCA71F"/>
    <w:rsid w:val="7E7665F0"/>
    <w:rsid w:val="7E96110C"/>
    <w:rsid w:val="7F82C386"/>
    <w:rsid w:val="7FE039FC"/>
    <w:rsid w:val="7FFEAA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AAA182F"/>
  <w15:docId w15:val="{99454569-C5FD-49B9-A1CA-7ED44988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color w:val="000000" w:themeColor="text1"/>
        <w:lang w:val="en-US" w:eastAsia="ja-JP" w:bidi="ar-SA"/>
      </w:rPr>
    </w:rPrDefault>
    <w:pPrDefault>
      <w:pPr>
        <w:spacing w:after="200"/>
      </w:pPr>
    </w:pPrDefault>
  </w:docDefaults>
  <w:latentStyles w:defLockedState="1" w:defUIPriority="99" w:defSemiHidden="0" w:defUnhideWhenUsed="0" w:defQFormat="0" w:count="376">
    <w:lsdException w:name="Normal" w:locked="0"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10177"/>
    <w:pPr>
      <w:spacing w:after="0"/>
    </w:pPr>
    <w:rPr>
      <w:lang w:val="en-GB"/>
    </w:rPr>
  </w:style>
  <w:style w:type="paragraph" w:styleId="Heading1">
    <w:name w:val="heading 1"/>
    <w:basedOn w:val="Normal"/>
    <w:next w:val="Normal"/>
    <w:link w:val="Heading1Char"/>
    <w:uiPriority w:val="9"/>
    <w:qFormat/>
    <w:locked/>
    <w:rsid w:val="00526C6E"/>
    <w:pPr>
      <w:keepNext/>
      <w:keepLines/>
      <w:pageBreakBefore/>
      <w:numPr>
        <w:numId w:val="132"/>
      </w:numPr>
      <w:spacing w:after="200" w:line="360" w:lineRule="auto"/>
      <w:outlineLvl w:val="0"/>
    </w:pPr>
    <w:rPr>
      <w:rFonts w:ascii="Arial Bold" w:eastAsiaTheme="majorEastAsia" w:hAnsi="Arial Bold" w:cstheme="majorBidi"/>
      <w:b/>
      <w:caps/>
      <w:color w:val="auto"/>
      <w:sz w:val="24"/>
      <w:szCs w:val="22"/>
      <w:lang w:eastAsia="en-US"/>
    </w:rPr>
  </w:style>
  <w:style w:type="paragraph" w:styleId="Heading2">
    <w:name w:val="heading 2"/>
    <w:basedOn w:val="Addressline1"/>
    <w:next w:val="Normal"/>
    <w:link w:val="Heading2Char"/>
    <w:uiPriority w:val="9"/>
    <w:qFormat/>
    <w:locked/>
    <w:rsid w:val="00526C6E"/>
    <w:pPr>
      <w:spacing w:before="240"/>
      <w:ind w:left="794"/>
      <w:outlineLvl w:val="1"/>
    </w:pPr>
    <w:rPr>
      <w:color w:val="525557"/>
      <w:sz w:val="28"/>
      <w:szCs w:val="28"/>
    </w:rPr>
  </w:style>
  <w:style w:type="paragraph" w:styleId="Heading3">
    <w:name w:val="heading 3"/>
    <w:basedOn w:val="Normal"/>
    <w:next w:val="Normal"/>
    <w:link w:val="Heading3Char"/>
    <w:uiPriority w:val="9"/>
    <w:qFormat/>
    <w:locked/>
    <w:rsid w:val="00526C6E"/>
    <w:pPr>
      <w:keepNext/>
      <w:spacing w:line="240" w:lineRule="exact"/>
      <w:ind w:firstLine="794"/>
      <w:jc w:val="both"/>
      <w:outlineLvl w:val="2"/>
    </w:pPr>
    <w:rPr>
      <w:b/>
      <w:bCs/>
      <w:sz w:val="24"/>
      <w:szCs w:val="22"/>
    </w:rPr>
  </w:style>
  <w:style w:type="paragraph" w:styleId="Heading4">
    <w:name w:val="heading 4"/>
    <w:aliases w:val="Table"/>
    <w:basedOn w:val="Normal"/>
    <w:next w:val="Normal"/>
    <w:link w:val="Heading4Char"/>
    <w:uiPriority w:val="2"/>
    <w:qFormat/>
    <w:locked/>
    <w:rsid w:val="001C1B1E"/>
    <w:pPr>
      <w:keepNext/>
      <w:keepLines/>
      <w:numPr>
        <w:ilvl w:val="3"/>
        <w:numId w:val="7"/>
      </w:numPr>
      <w:spacing w:before="200"/>
      <w:outlineLvl w:val="3"/>
    </w:pPr>
    <w:rPr>
      <w:rFonts w:asciiTheme="majorHAnsi" w:eastAsiaTheme="majorEastAsia" w:hAnsiTheme="majorHAnsi" w:cstheme="majorBidi"/>
      <w:b/>
      <w:bCs/>
      <w:i/>
      <w:iCs/>
      <w:color w:val="D2711C" w:themeColor="accent1"/>
    </w:rPr>
  </w:style>
  <w:style w:type="paragraph" w:styleId="Heading5">
    <w:name w:val="heading 5"/>
    <w:aliases w:val="Table Appendices,Level 3 - i,h5,1cm Indent,Heading 5(unused),Level 3 - (i),Third Level Heading,Response Type,Response Type1,Response Type2,Response Type3,Response Type4,Response Type5,Response Type6,Response Type7,Appendix A to X,H5"/>
    <w:basedOn w:val="Normal"/>
    <w:next w:val="Normal"/>
    <w:link w:val="Heading5Char"/>
    <w:uiPriority w:val="2"/>
    <w:qFormat/>
    <w:locked/>
    <w:rsid w:val="001C1B1E"/>
    <w:pPr>
      <w:keepNext/>
      <w:keepLines/>
      <w:numPr>
        <w:ilvl w:val="4"/>
        <w:numId w:val="7"/>
      </w:numPr>
      <w:spacing w:before="200"/>
      <w:outlineLvl w:val="4"/>
    </w:pPr>
    <w:rPr>
      <w:rFonts w:asciiTheme="majorHAnsi" w:eastAsiaTheme="majorEastAsia" w:hAnsiTheme="majorHAnsi" w:cstheme="majorBidi"/>
      <w:color w:val="68380E" w:themeColor="accent1" w:themeShade="7F"/>
    </w:rPr>
  </w:style>
  <w:style w:type="paragraph" w:styleId="Heading6">
    <w:name w:val="heading 6"/>
    <w:aliases w:val="Legal Level 1.,level 1 bullet 1,level 1 bullet Char,level 1 bullet Char Char Char,level 1 bullet,level 1 bullet 1 Char Char Char,level 1 bullet 1 Char Char Char Char Char Char Char,level 1 bullet 1 Char Char Char Char Char Char Char Cha"/>
    <w:basedOn w:val="Normal"/>
    <w:next w:val="Normal"/>
    <w:link w:val="Heading6Char"/>
    <w:uiPriority w:val="9"/>
    <w:qFormat/>
    <w:locked/>
    <w:rsid w:val="001C1B1E"/>
    <w:pPr>
      <w:keepNext/>
      <w:keepLines/>
      <w:numPr>
        <w:ilvl w:val="5"/>
        <w:numId w:val="7"/>
      </w:numPr>
      <w:spacing w:before="200"/>
      <w:outlineLvl w:val="5"/>
    </w:pPr>
    <w:rPr>
      <w:rFonts w:asciiTheme="majorHAnsi" w:eastAsiaTheme="majorEastAsia" w:hAnsiTheme="majorHAnsi" w:cstheme="majorBidi"/>
      <w:i/>
      <w:iCs/>
      <w:color w:val="68380E" w:themeColor="accent1" w:themeShade="7F"/>
    </w:rPr>
  </w:style>
  <w:style w:type="paragraph" w:styleId="Heading7">
    <w:name w:val="heading 7"/>
    <w:basedOn w:val="Normal"/>
    <w:next w:val="Normal"/>
    <w:link w:val="Heading7Char"/>
    <w:uiPriority w:val="9"/>
    <w:qFormat/>
    <w:locked/>
    <w:rsid w:val="001C1B1E"/>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Bullet 3"/>
    <w:basedOn w:val="Normal"/>
    <w:next w:val="Normal"/>
    <w:link w:val="Heading8Char"/>
    <w:uiPriority w:val="9"/>
    <w:qFormat/>
    <w:locked/>
    <w:rsid w:val="001C1B1E"/>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qFormat/>
    <w:locked/>
    <w:rsid w:val="001C1B1E"/>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C6E"/>
    <w:rPr>
      <w:rFonts w:ascii="Arial Bold" w:eastAsiaTheme="majorEastAsia" w:hAnsi="Arial Bold" w:cstheme="majorBidi"/>
      <w:b/>
      <w:caps/>
      <w:color w:val="auto"/>
      <w:sz w:val="24"/>
      <w:szCs w:val="22"/>
      <w:lang w:val="en-GB" w:eastAsia="en-US"/>
    </w:rPr>
  </w:style>
  <w:style w:type="character" w:customStyle="1" w:styleId="Heading2Char">
    <w:name w:val="Heading 2 Char"/>
    <w:basedOn w:val="DefaultParagraphFont"/>
    <w:link w:val="Heading2"/>
    <w:uiPriority w:val="9"/>
    <w:rsid w:val="00526C6E"/>
    <w:rPr>
      <w:color w:val="525557"/>
      <w:sz w:val="28"/>
      <w:szCs w:val="28"/>
      <w:lang w:val="en-GB"/>
    </w:rPr>
  </w:style>
  <w:style w:type="character" w:customStyle="1" w:styleId="Heading3Char">
    <w:name w:val="Heading 3 Char"/>
    <w:basedOn w:val="DefaultParagraphFont"/>
    <w:link w:val="Heading3"/>
    <w:uiPriority w:val="9"/>
    <w:rsid w:val="00526C6E"/>
    <w:rPr>
      <w:b/>
      <w:bCs/>
      <w:sz w:val="24"/>
      <w:szCs w:val="22"/>
      <w:lang w:val="en-GB"/>
    </w:rPr>
  </w:style>
  <w:style w:type="character" w:customStyle="1" w:styleId="Heading4Char">
    <w:name w:val="Heading 4 Char"/>
    <w:aliases w:val="Table Char"/>
    <w:basedOn w:val="DefaultParagraphFont"/>
    <w:link w:val="Heading4"/>
    <w:uiPriority w:val="2"/>
    <w:rsid w:val="001C1B1E"/>
    <w:rPr>
      <w:rFonts w:asciiTheme="majorHAnsi" w:eastAsiaTheme="majorEastAsia" w:hAnsiTheme="majorHAnsi" w:cstheme="majorBidi"/>
      <w:b/>
      <w:bCs/>
      <w:i/>
      <w:iCs/>
      <w:color w:val="D2711C" w:themeColor="accent1"/>
      <w:lang w:val="en-GB"/>
    </w:rPr>
  </w:style>
  <w:style w:type="character" w:customStyle="1" w:styleId="Heading5Char">
    <w:name w:val="Heading 5 Char"/>
    <w:aliases w:val="Table Appendices Char,Level 3 - i Char,h5 Char,1cm Indent Char,Heading 5(unused) Char,Level 3 - (i) Char,Third Level Heading Char,Response Type Char,Response Type1 Char,Response Type2 Char,Response Type3 Char,Response Type4 Char,H5 Char"/>
    <w:basedOn w:val="DefaultParagraphFont"/>
    <w:link w:val="Heading5"/>
    <w:uiPriority w:val="2"/>
    <w:rsid w:val="001C1B1E"/>
    <w:rPr>
      <w:rFonts w:asciiTheme="majorHAnsi" w:eastAsiaTheme="majorEastAsia" w:hAnsiTheme="majorHAnsi" w:cstheme="majorBidi"/>
      <w:color w:val="68380E" w:themeColor="accent1" w:themeShade="7F"/>
      <w:lang w:val="en-GB"/>
    </w:rPr>
  </w:style>
  <w:style w:type="character" w:customStyle="1" w:styleId="Heading6Char">
    <w:name w:val="Heading 6 Char"/>
    <w:aliases w:val="Legal Level 1. Char,level 1 bullet 1 Char,level 1 bullet Char Char,level 1 bullet Char Char Char Char,level 1 bullet Char1,level 1 bullet 1 Char Char Char Char,level 1 bullet 1 Char Char Char Char Char Char Char Char"/>
    <w:basedOn w:val="DefaultParagraphFont"/>
    <w:link w:val="Heading6"/>
    <w:uiPriority w:val="9"/>
    <w:rsid w:val="001C1B1E"/>
    <w:rPr>
      <w:rFonts w:asciiTheme="majorHAnsi" w:eastAsiaTheme="majorEastAsia" w:hAnsiTheme="majorHAnsi" w:cstheme="majorBidi"/>
      <w:i/>
      <w:iCs/>
      <w:color w:val="68380E" w:themeColor="accent1" w:themeShade="7F"/>
      <w:lang w:val="en-GB"/>
    </w:rPr>
  </w:style>
  <w:style w:type="character" w:customStyle="1" w:styleId="Heading7Char">
    <w:name w:val="Heading 7 Char"/>
    <w:basedOn w:val="DefaultParagraphFont"/>
    <w:link w:val="Heading7"/>
    <w:uiPriority w:val="9"/>
    <w:rsid w:val="001C1B1E"/>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Bullet 3 Char"/>
    <w:basedOn w:val="DefaultParagraphFont"/>
    <w:link w:val="Heading8"/>
    <w:uiPriority w:val="9"/>
    <w:rsid w:val="001C1B1E"/>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rsid w:val="001C1B1E"/>
    <w:rPr>
      <w:rFonts w:asciiTheme="majorHAnsi" w:eastAsiaTheme="majorEastAsia" w:hAnsiTheme="majorHAnsi" w:cstheme="majorBidi"/>
      <w:i/>
      <w:iCs/>
      <w:color w:val="404040" w:themeColor="text1" w:themeTint="BF"/>
      <w:lang w:val="en-GB"/>
    </w:rPr>
  </w:style>
  <w:style w:type="paragraph" w:customStyle="1" w:styleId="NoParagraphStyle">
    <w:name w:val="[No Paragraph Style]"/>
    <w:uiPriority w:val="99"/>
    <w:rsid w:val="001E5953"/>
    <w:pPr>
      <w:widowControl w:val="0"/>
      <w:autoSpaceDE w:val="0"/>
      <w:autoSpaceDN w:val="0"/>
      <w:adjustRightInd w:val="0"/>
      <w:spacing w:after="0" w:line="288" w:lineRule="auto"/>
      <w:textAlignment w:val="center"/>
    </w:pPr>
    <w:rPr>
      <w:rFonts w:cs="MinionPro-Regular"/>
      <w:color w:val="000000"/>
      <w:lang w:val="en-GB"/>
    </w:rPr>
  </w:style>
  <w:style w:type="paragraph" w:customStyle="1" w:styleId="BasicParagraph">
    <w:name w:val="[Basic Paragraph]"/>
    <w:basedOn w:val="Normal"/>
    <w:uiPriority w:val="99"/>
    <w:semiHidden/>
    <w:locked/>
    <w:rsid w:val="007D44B9"/>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Text1">
    <w:name w:val="Body Text1"/>
    <w:basedOn w:val="Normal"/>
    <w:link w:val="BodytextChar"/>
    <w:qFormat/>
    <w:rsid w:val="00D217A7"/>
    <w:pPr>
      <w:spacing w:line="360" w:lineRule="auto"/>
      <w:jc w:val="both"/>
    </w:pPr>
    <w:rPr>
      <w:szCs w:val="18"/>
    </w:rPr>
  </w:style>
  <w:style w:type="character" w:customStyle="1" w:styleId="BodytextChar">
    <w:name w:val="Body text Char"/>
    <w:basedOn w:val="DefaultParagraphFont"/>
    <w:link w:val="BodyText1"/>
    <w:rsid w:val="00D217A7"/>
    <w:rPr>
      <w:szCs w:val="18"/>
      <w:lang w:val="en-GB"/>
    </w:rPr>
  </w:style>
  <w:style w:type="paragraph" w:customStyle="1" w:styleId="BoldBodytext">
    <w:name w:val="Bold Body text"/>
    <w:basedOn w:val="BodyText1"/>
    <w:next w:val="BodyText1"/>
    <w:link w:val="BoldBodytextChar"/>
    <w:qFormat/>
    <w:rsid w:val="00292AE1"/>
    <w:rPr>
      <w:b/>
      <w:bCs/>
    </w:rPr>
  </w:style>
  <w:style w:type="character" w:customStyle="1" w:styleId="BoldBodytextChar">
    <w:name w:val="Bold Body text Char"/>
    <w:basedOn w:val="BodytextChar"/>
    <w:link w:val="BoldBodytext"/>
    <w:rsid w:val="00292AE1"/>
    <w:rPr>
      <w:b/>
      <w:bCs/>
      <w:szCs w:val="18"/>
      <w:lang w:val="en-GB"/>
    </w:rPr>
  </w:style>
  <w:style w:type="table" w:styleId="TableGrid">
    <w:name w:val="Table Grid"/>
    <w:aliases w:val="Report Table"/>
    <w:basedOn w:val="TableNormal"/>
    <w:uiPriority w:val="39"/>
    <w:locked/>
    <w:rsid w:val="00F46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Transport &amp; Traffic"/>
    <w:basedOn w:val="Normal"/>
    <w:link w:val="HeaderChar"/>
    <w:uiPriority w:val="99"/>
    <w:locked/>
    <w:rsid w:val="002C6850"/>
    <w:pPr>
      <w:tabs>
        <w:tab w:val="center" w:pos="4320"/>
        <w:tab w:val="right" w:pos="8640"/>
      </w:tabs>
    </w:pPr>
  </w:style>
  <w:style w:type="character" w:customStyle="1" w:styleId="HeaderChar">
    <w:name w:val="Header Char"/>
    <w:aliases w:val="Transport &amp; Traffic Char"/>
    <w:basedOn w:val="DefaultParagraphFont"/>
    <w:link w:val="Header"/>
    <w:uiPriority w:val="99"/>
    <w:rsid w:val="003D03FA"/>
  </w:style>
  <w:style w:type="paragraph" w:customStyle="1" w:styleId="ReportTitle">
    <w:name w:val="Report Title"/>
    <w:basedOn w:val="BodyText1"/>
    <w:link w:val="ReportTitleChar"/>
    <w:qFormat/>
    <w:rsid w:val="003E5F01"/>
    <w:pPr>
      <w:spacing w:line="520" w:lineRule="atLeast"/>
      <w:jc w:val="left"/>
    </w:pPr>
    <w:rPr>
      <w:color w:val="0093D5"/>
      <w:sz w:val="48"/>
      <w:szCs w:val="48"/>
    </w:rPr>
  </w:style>
  <w:style w:type="character" w:customStyle="1" w:styleId="ReportTitleChar">
    <w:name w:val="Report Title Char"/>
    <w:basedOn w:val="BodytextChar"/>
    <w:link w:val="ReportTitle"/>
    <w:rsid w:val="003E5F01"/>
    <w:rPr>
      <w:color w:val="0093D5"/>
      <w:sz w:val="48"/>
      <w:szCs w:val="48"/>
      <w:lang w:val="en-GB"/>
    </w:rPr>
  </w:style>
  <w:style w:type="paragraph" w:styleId="Footer">
    <w:name w:val="footer"/>
    <w:basedOn w:val="Normal"/>
    <w:link w:val="FooterChar"/>
    <w:uiPriority w:val="99"/>
    <w:locked/>
    <w:rsid w:val="002C6850"/>
    <w:pPr>
      <w:tabs>
        <w:tab w:val="center" w:pos="4320"/>
        <w:tab w:val="right" w:pos="8640"/>
      </w:tabs>
    </w:pPr>
  </w:style>
  <w:style w:type="character" w:customStyle="1" w:styleId="FooterChar">
    <w:name w:val="Footer Char"/>
    <w:basedOn w:val="DefaultParagraphFont"/>
    <w:link w:val="Footer"/>
    <w:uiPriority w:val="99"/>
    <w:rsid w:val="003D03FA"/>
  </w:style>
  <w:style w:type="character" w:styleId="PageNumber">
    <w:name w:val="page number"/>
    <w:basedOn w:val="DefaultParagraphFont"/>
    <w:uiPriority w:val="99"/>
    <w:locked/>
    <w:rsid w:val="0071096E"/>
  </w:style>
  <w:style w:type="table" w:customStyle="1" w:styleId="GLHearntable1">
    <w:name w:val="GL Hearn table 1"/>
    <w:basedOn w:val="TableNormal"/>
    <w:uiPriority w:val="99"/>
    <w:rsid w:val="0017356C"/>
    <w:pPr>
      <w:spacing w:after="0" w:line="220" w:lineRule="atLeast"/>
    </w:pPr>
    <w:rPr>
      <w:sz w:val="18"/>
    </w:rPr>
    <w:tblPr>
      <w:tblStyleRowBandSize w:val="1"/>
      <w:tblInd w:w="794" w:type="dxa"/>
      <w:tblBorders>
        <w:top w:val="single" w:sz="2" w:space="0" w:color="0093D5"/>
        <w:left w:val="single" w:sz="2" w:space="0" w:color="0093D5"/>
        <w:bottom w:val="single" w:sz="2" w:space="0" w:color="0093D5"/>
        <w:right w:val="single" w:sz="2" w:space="0" w:color="0093D5"/>
        <w:insideH w:val="single" w:sz="2" w:space="0" w:color="0093D5"/>
        <w:insideV w:val="single" w:sz="2" w:space="0" w:color="0093D5"/>
      </w:tblBorders>
    </w:tblPr>
    <w:tcPr>
      <w:shd w:val="clear" w:color="auto" w:fill="auto"/>
    </w:tcPr>
    <w:tblStylePr w:type="firstRow">
      <w:pPr>
        <w:jc w:val="left"/>
      </w:pPr>
      <w:rPr>
        <w:rFonts w:ascii="Arial" w:hAnsi="Arial"/>
        <w:b/>
        <w:color w:val="FFFFFF" w:themeColor="background1"/>
        <w:sz w:val="20"/>
        <w:u w:val="none"/>
      </w:rPr>
      <w:tblPr/>
      <w:tcPr>
        <w:shd w:val="clear" w:color="auto" w:fill="0093D5"/>
        <w:vAlign w:val="center"/>
      </w:tcPr>
    </w:tblStylePr>
    <w:tblStylePr w:type="lastRow">
      <w:rPr>
        <w:rFonts w:ascii="Arial" w:hAnsi="Arial"/>
        <w:b/>
        <w:sz w:val="18"/>
      </w:rPr>
      <w:tblPr/>
      <w:tcPr>
        <w:shd w:val="clear" w:color="auto" w:fill="99D4EE"/>
      </w:tcPr>
    </w:tblStylePr>
    <w:tblStylePr w:type="firstCol">
      <w:rPr>
        <w:rFonts w:ascii="Arial" w:hAnsi="Arial"/>
        <w:b/>
        <w:i w:val="0"/>
        <w:color w:val="000000" w:themeColor="text1"/>
        <w:sz w:val="18"/>
      </w:rPr>
    </w:tblStylePr>
    <w:tblStylePr w:type="band2Horz">
      <w:tblPr/>
      <w:tcPr>
        <w:shd w:val="clear" w:color="auto" w:fill="C3ECFF" w:themeFill="accent2" w:themeFillTint="33"/>
      </w:tcPr>
    </w:tblStylePr>
  </w:style>
  <w:style w:type="paragraph" w:styleId="BalloonText">
    <w:name w:val="Balloon Text"/>
    <w:basedOn w:val="Normal"/>
    <w:link w:val="BalloonTextChar"/>
    <w:uiPriority w:val="99"/>
    <w:locked/>
    <w:rsid w:val="006B13D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D03FA"/>
    <w:rPr>
      <w:rFonts w:ascii="Lucida Grande" w:hAnsi="Lucida Grande" w:cs="Lucida Grande"/>
      <w:sz w:val="18"/>
      <w:szCs w:val="18"/>
    </w:rPr>
  </w:style>
  <w:style w:type="paragraph" w:customStyle="1" w:styleId="Headingbold">
    <w:name w:val="Heading bold"/>
    <w:basedOn w:val="ReportTitle"/>
    <w:link w:val="HeadingboldChar"/>
    <w:qFormat/>
    <w:rsid w:val="00292AE1"/>
    <w:pPr>
      <w:tabs>
        <w:tab w:val="left" w:pos="1021"/>
      </w:tabs>
      <w:spacing w:line="300" w:lineRule="atLeast"/>
    </w:pPr>
    <w:rPr>
      <w:b/>
      <w:bCs/>
      <w:color w:val="000000" w:themeColor="text1"/>
      <w:sz w:val="24"/>
      <w:szCs w:val="24"/>
    </w:rPr>
  </w:style>
  <w:style w:type="character" w:customStyle="1" w:styleId="HeadingboldChar">
    <w:name w:val="Heading bold Char"/>
    <w:basedOn w:val="ReportTitleChar"/>
    <w:link w:val="Headingbold"/>
    <w:rsid w:val="00292AE1"/>
    <w:rPr>
      <w:b/>
      <w:bCs/>
      <w:color w:val="0093D5"/>
      <w:sz w:val="24"/>
      <w:szCs w:val="24"/>
      <w:lang w:val="en-GB"/>
    </w:rPr>
  </w:style>
  <w:style w:type="paragraph" w:customStyle="1" w:styleId="Heading">
    <w:name w:val="Heading"/>
    <w:basedOn w:val="NoParagraphStyle"/>
    <w:uiPriority w:val="99"/>
    <w:semiHidden/>
    <w:locked/>
    <w:rsid w:val="00ED59EA"/>
    <w:pPr>
      <w:tabs>
        <w:tab w:val="left" w:pos="794"/>
      </w:tabs>
      <w:suppressAutoHyphens/>
      <w:spacing w:line="230" w:lineRule="atLeast"/>
    </w:pPr>
    <w:rPr>
      <w:rFonts w:ascii="Arial-BoldMT" w:hAnsi="Arial-BoldMT" w:cs="Arial-BoldMT"/>
      <w:b/>
      <w:bCs/>
      <w:sz w:val="18"/>
      <w:szCs w:val="18"/>
    </w:rPr>
  </w:style>
  <w:style w:type="paragraph" w:customStyle="1" w:styleId="SubheadBlue12">
    <w:name w:val="Subhead Blue 12"/>
    <w:basedOn w:val="BoldBodytext"/>
    <w:next w:val="BoldBodytext"/>
    <w:link w:val="SubheadBlue12Char"/>
    <w:qFormat/>
    <w:rsid w:val="00994108"/>
    <w:pPr>
      <w:keepNext/>
      <w:spacing w:line="300" w:lineRule="atLeast"/>
      <w:ind w:left="794"/>
      <w:contextualSpacing/>
    </w:pPr>
    <w:rPr>
      <w:b w:val="0"/>
      <w:bCs w:val="0"/>
      <w:color w:val="0093D5"/>
      <w:sz w:val="24"/>
      <w:szCs w:val="24"/>
    </w:rPr>
  </w:style>
  <w:style w:type="character" w:customStyle="1" w:styleId="SubheadBlue12Char">
    <w:name w:val="Subhead Blue 12 Char"/>
    <w:basedOn w:val="BoldBodytextChar"/>
    <w:link w:val="SubheadBlue12"/>
    <w:rsid w:val="00681D04"/>
    <w:rPr>
      <w:b w:val="0"/>
      <w:bCs w:val="0"/>
      <w:color w:val="0093D5"/>
      <w:sz w:val="24"/>
      <w:szCs w:val="24"/>
      <w:lang w:val="en-GB"/>
    </w:rPr>
  </w:style>
  <w:style w:type="table" w:styleId="LightList-Accent3">
    <w:name w:val="Light List Accent 3"/>
    <w:basedOn w:val="TableNormal"/>
    <w:uiPriority w:val="61"/>
    <w:locked/>
    <w:rsid w:val="003D3D56"/>
    <w:pPr>
      <w:spacing w:after="0"/>
    </w:pPr>
    <w:tblPr>
      <w:tblStyleRowBandSize w:val="1"/>
      <w:tblStyleColBandSize w:val="1"/>
      <w:tblBorders>
        <w:top w:val="single" w:sz="8" w:space="0" w:color="71257F" w:themeColor="accent3"/>
        <w:left w:val="single" w:sz="8" w:space="0" w:color="71257F" w:themeColor="accent3"/>
        <w:bottom w:val="single" w:sz="8" w:space="0" w:color="71257F" w:themeColor="accent3"/>
        <w:right w:val="single" w:sz="8" w:space="0" w:color="71257F" w:themeColor="accent3"/>
      </w:tblBorders>
    </w:tblPr>
    <w:tblStylePr w:type="firstRow">
      <w:pPr>
        <w:spacing w:before="0" w:after="0" w:line="240" w:lineRule="auto"/>
      </w:pPr>
      <w:rPr>
        <w:b/>
        <w:bCs/>
        <w:color w:val="FFFFFF" w:themeColor="background1"/>
      </w:rPr>
      <w:tblPr/>
      <w:tcPr>
        <w:shd w:val="clear" w:color="auto" w:fill="71257F" w:themeFill="accent3"/>
      </w:tcPr>
    </w:tblStylePr>
    <w:tblStylePr w:type="lastRow">
      <w:pPr>
        <w:spacing w:before="0" w:after="0" w:line="240" w:lineRule="auto"/>
      </w:pPr>
      <w:rPr>
        <w:b/>
        <w:bCs/>
      </w:rPr>
      <w:tblPr/>
      <w:tcPr>
        <w:tcBorders>
          <w:top w:val="double" w:sz="6" w:space="0" w:color="71257F" w:themeColor="accent3"/>
          <w:left w:val="single" w:sz="8" w:space="0" w:color="71257F" w:themeColor="accent3"/>
          <w:bottom w:val="single" w:sz="8" w:space="0" w:color="71257F" w:themeColor="accent3"/>
          <w:right w:val="single" w:sz="8" w:space="0" w:color="71257F" w:themeColor="accent3"/>
        </w:tcBorders>
      </w:tcPr>
    </w:tblStylePr>
    <w:tblStylePr w:type="firstCol">
      <w:rPr>
        <w:b/>
        <w:bCs/>
      </w:rPr>
    </w:tblStylePr>
    <w:tblStylePr w:type="lastCol">
      <w:rPr>
        <w:b/>
        <w:bCs/>
      </w:rPr>
    </w:tblStylePr>
    <w:tblStylePr w:type="band1Vert">
      <w:tblPr/>
      <w:tcPr>
        <w:tcBorders>
          <w:top w:val="single" w:sz="8" w:space="0" w:color="71257F" w:themeColor="accent3"/>
          <w:left w:val="single" w:sz="8" w:space="0" w:color="71257F" w:themeColor="accent3"/>
          <w:bottom w:val="single" w:sz="8" w:space="0" w:color="71257F" w:themeColor="accent3"/>
          <w:right w:val="single" w:sz="8" w:space="0" w:color="71257F" w:themeColor="accent3"/>
        </w:tcBorders>
      </w:tcPr>
    </w:tblStylePr>
    <w:tblStylePr w:type="band1Horz">
      <w:tblPr/>
      <w:tcPr>
        <w:tcBorders>
          <w:top w:val="single" w:sz="8" w:space="0" w:color="71257F" w:themeColor="accent3"/>
          <w:left w:val="single" w:sz="8" w:space="0" w:color="71257F" w:themeColor="accent3"/>
          <w:bottom w:val="single" w:sz="8" w:space="0" w:color="71257F" w:themeColor="accent3"/>
          <w:right w:val="single" w:sz="8" w:space="0" w:color="71257F" w:themeColor="accent3"/>
        </w:tcBorders>
      </w:tcPr>
    </w:tblStylePr>
  </w:style>
  <w:style w:type="paragraph" w:customStyle="1" w:styleId="Mainheading">
    <w:name w:val="Main heading"/>
    <w:basedOn w:val="NoParagraphStyle"/>
    <w:uiPriority w:val="99"/>
    <w:semiHidden/>
    <w:locked/>
    <w:rsid w:val="00ED59EA"/>
    <w:pPr>
      <w:tabs>
        <w:tab w:val="left" w:pos="794"/>
      </w:tabs>
      <w:suppressAutoHyphens/>
      <w:spacing w:line="300" w:lineRule="atLeast"/>
    </w:pPr>
    <w:rPr>
      <w:rFonts w:ascii="Arial-BoldMT" w:hAnsi="Arial-BoldMT" w:cs="Arial-BoldMT"/>
      <w:b/>
      <w:bCs/>
    </w:rPr>
  </w:style>
  <w:style w:type="paragraph" w:customStyle="1" w:styleId="Largespaceabove">
    <w:name w:val="Large space above"/>
    <w:basedOn w:val="BodyText1"/>
    <w:uiPriority w:val="99"/>
    <w:semiHidden/>
    <w:qFormat/>
    <w:rsid w:val="00410BEB"/>
    <w:pPr>
      <w:spacing w:before="2000"/>
    </w:pPr>
  </w:style>
  <w:style w:type="paragraph" w:customStyle="1" w:styleId="SubheadGrey12">
    <w:name w:val="Subhead Grey 12"/>
    <w:basedOn w:val="SubheadBlue12"/>
    <w:link w:val="SubheadGrey12Char"/>
    <w:qFormat/>
    <w:rsid w:val="00994108"/>
    <w:pPr>
      <w:tabs>
        <w:tab w:val="left" w:pos="227"/>
      </w:tabs>
    </w:pPr>
    <w:rPr>
      <w:color w:val="33393A"/>
    </w:rPr>
  </w:style>
  <w:style w:type="character" w:customStyle="1" w:styleId="SubheadGrey12Char">
    <w:name w:val="Subhead Grey 12 Char"/>
    <w:basedOn w:val="SubheadBlue12Char"/>
    <w:link w:val="SubheadGrey12"/>
    <w:rsid w:val="00681D04"/>
    <w:rPr>
      <w:b w:val="0"/>
      <w:bCs w:val="0"/>
      <w:color w:val="33393A"/>
      <w:sz w:val="24"/>
      <w:szCs w:val="24"/>
      <w:lang w:val="en-GB"/>
    </w:rPr>
  </w:style>
  <w:style w:type="paragraph" w:styleId="NoSpacing">
    <w:name w:val="No Spacing"/>
    <w:link w:val="NoSpacingChar"/>
    <w:uiPriority w:val="1"/>
    <w:qFormat/>
    <w:rsid w:val="00292AE1"/>
    <w:pPr>
      <w:spacing w:after="0"/>
    </w:pPr>
    <w:rPr>
      <w:lang w:val="en-GB"/>
    </w:rPr>
  </w:style>
  <w:style w:type="character" w:customStyle="1" w:styleId="NoSpacingChar">
    <w:name w:val="No Spacing Char"/>
    <w:basedOn w:val="DefaultParagraphFont"/>
    <w:link w:val="NoSpacing"/>
    <w:uiPriority w:val="1"/>
    <w:rsid w:val="00BF2E60"/>
    <w:rPr>
      <w:lang w:val="en-GB"/>
    </w:rPr>
  </w:style>
  <w:style w:type="paragraph" w:styleId="TOC3">
    <w:name w:val="toc 3"/>
    <w:basedOn w:val="Normal"/>
    <w:next w:val="Normal"/>
    <w:autoRedefine/>
    <w:uiPriority w:val="39"/>
    <w:locked/>
    <w:rsid w:val="000365DF"/>
    <w:pPr>
      <w:tabs>
        <w:tab w:val="left" w:pos="1985"/>
        <w:tab w:val="right" w:pos="9072"/>
      </w:tabs>
      <w:spacing w:line="240" w:lineRule="atLeast"/>
      <w:ind w:left="1418"/>
    </w:pPr>
  </w:style>
  <w:style w:type="paragraph" w:styleId="TOC1">
    <w:name w:val="toc 1"/>
    <w:basedOn w:val="Normal"/>
    <w:next w:val="Normal"/>
    <w:link w:val="TOC1Char"/>
    <w:uiPriority w:val="39"/>
    <w:rsid w:val="00292AE1"/>
    <w:pPr>
      <w:tabs>
        <w:tab w:val="left" w:pos="794"/>
        <w:tab w:val="right" w:pos="9072"/>
      </w:tabs>
      <w:spacing w:before="240" w:line="240" w:lineRule="exact"/>
    </w:pPr>
    <w:rPr>
      <w:b/>
      <w:bCs/>
      <w:caps/>
      <w:noProof/>
    </w:rPr>
  </w:style>
  <w:style w:type="character" w:customStyle="1" w:styleId="TOC1Char">
    <w:name w:val="TOC 1 Char"/>
    <w:basedOn w:val="DefaultParagraphFont"/>
    <w:link w:val="TOC1"/>
    <w:uiPriority w:val="39"/>
    <w:rsid w:val="00292AE1"/>
    <w:rPr>
      <w:b/>
      <w:bCs/>
      <w:caps/>
      <w:noProof/>
      <w:lang w:val="en-GB"/>
    </w:rPr>
  </w:style>
  <w:style w:type="paragraph" w:styleId="TOC2">
    <w:name w:val="toc 2"/>
    <w:basedOn w:val="Normal"/>
    <w:next w:val="Normal"/>
    <w:autoRedefine/>
    <w:uiPriority w:val="39"/>
    <w:rsid w:val="000365DF"/>
    <w:pPr>
      <w:tabs>
        <w:tab w:val="left" w:pos="1418"/>
        <w:tab w:val="right" w:pos="9072"/>
      </w:tabs>
      <w:spacing w:before="120" w:line="240" w:lineRule="atLeast"/>
      <w:ind w:left="794"/>
      <w:contextualSpacing/>
    </w:pPr>
    <w:rPr>
      <w:bCs/>
    </w:rPr>
  </w:style>
  <w:style w:type="paragraph" w:styleId="TOC4">
    <w:name w:val="toc 4"/>
    <w:basedOn w:val="Normal"/>
    <w:next w:val="Normal"/>
    <w:autoRedefine/>
    <w:uiPriority w:val="39"/>
    <w:locked/>
    <w:rsid w:val="00ED59EA"/>
    <w:pPr>
      <w:ind w:left="720"/>
    </w:pPr>
  </w:style>
  <w:style w:type="paragraph" w:styleId="TOC5">
    <w:name w:val="toc 5"/>
    <w:basedOn w:val="Normal"/>
    <w:next w:val="Normal"/>
    <w:autoRedefine/>
    <w:uiPriority w:val="39"/>
    <w:locked/>
    <w:rsid w:val="00ED59EA"/>
    <w:pPr>
      <w:ind w:left="960"/>
    </w:pPr>
  </w:style>
  <w:style w:type="paragraph" w:styleId="TOC6">
    <w:name w:val="toc 6"/>
    <w:basedOn w:val="Normal"/>
    <w:next w:val="Normal"/>
    <w:autoRedefine/>
    <w:uiPriority w:val="39"/>
    <w:locked/>
    <w:rsid w:val="00ED59EA"/>
    <w:pPr>
      <w:ind w:left="1200"/>
    </w:pPr>
  </w:style>
  <w:style w:type="paragraph" w:styleId="TOC7">
    <w:name w:val="toc 7"/>
    <w:basedOn w:val="Normal"/>
    <w:next w:val="Normal"/>
    <w:autoRedefine/>
    <w:uiPriority w:val="39"/>
    <w:locked/>
    <w:rsid w:val="00ED59EA"/>
    <w:pPr>
      <w:ind w:left="1440"/>
    </w:pPr>
  </w:style>
  <w:style w:type="paragraph" w:styleId="TOC8">
    <w:name w:val="toc 8"/>
    <w:basedOn w:val="Normal"/>
    <w:next w:val="Normal"/>
    <w:autoRedefine/>
    <w:uiPriority w:val="39"/>
    <w:locked/>
    <w:rsid w:val="00ED59EA"/>
    <w:pPr>
      <w:ind w:left="1680"/>
    </w:pPr>
  </w:style>
  <w:style w:type="paragraph" w:styleId="TOC9">
    <w:name w:val="toc 9"/>
    <w:basedOn w:val="Normal"/>
    <w:next w:val="Normal"/>
    <w:autoRedefine/>
    <w:uiPriority w:val="39"/>
    <w:locked/>
    <w:rsid w:val="00ED59EA"/>
    <w:pPr>
      <w:ind w:left="1920"/>
    </w:pPr>
  </w:style>
  <w:style w:type="paragraph" w:customStyle="1" w:styleId="Text">
    <w:name w:val="Text"/>
    <w:basedOn w:val="NoParagraphStyle"/>
    <w:autoRedefine/>
    <w:uiPriority w:val="99"/>
    <w:locked/>
    <w:rsid w:val="007F5501"/>
    <w:pPr>
      <w:tabs>
        <w:tab w:val="left" w:pos="170"/>
      </w:tabs>
      <w:suppressAutoHyphens/>
      <w:spacing w:line="240" w:lineRule="atLeast"/>
    </w:pPr>
    <w:rPr>
      <w:rFonts w:cs="Arial"/>
      <w:b/>
      <w:color w:val="FFFFFF" w:themeColor="background1"/>
    </w:rPr>
  </w:style>
  <w:style w:type="paragraph" w:customStyle="1" w:styleId="Bodytextwithindent">
    <w:name w:val="Body text with indent"/>
    <w:basedOn w:val="BodyText1"/>
    <w:next w:val="Normal"/>
    <w:link w:val="BodytextwithindentChar"/>
    <w:qFormat/>
    <w:rsid w:val="00D217A7"/>
    <w:pPr>
      <w:spacing w:before="120" w:after="240"/>
      <w:ind w:left="794"/>
    </w:pPr>
  </w:style>
  <w:style w:type="character" w:customStyle="1" w:styleId="BodytextwithindentChar">
    <w:name w:val="Body text with indent Char"/>
    <w:basedOn w:val="BodytextChar"/>
    <w:link w:val="Bodytextwithindent"/>
    <w:rsid w:val="00D217A7"/>
    <w:rPr>
      <w:szCs w:val="18"/>
      <w:lang w:val="en-GB"/>
    </w:rPr>
  </w:style>
  <w:style w:type="paragraph" w:styleId="ListParagraph">
    <w:name w:val="List Paragraph"/>
    <w:basedOn w:val="Normal"/>
    <w:link w:val="ListParagraphChar"/>
    <w:uiPriority w:val="34"/>
    <w:qFormat/>
    <w:locked/>
    <w:rsid w:val="008E5DB4"/>
    <w:pPr>
      <w:keepNext/>
      <w:numPr>
        <w:numId w:val="33"/>
      </w:numPr>
      <w:ind w:left="426" w:hanging="426"/>
      <w:contextualSpacing/>
      <w:jc w:val="both"/>
    </w:pPr>
    <w:rPr>
      <w:color w:val="auto"/>
      <w:sz w:val="24"/>
      <w:szCs w:val="24"/>
    </w:rPr>
  </w:style>
  <w:style w:type="character" w:customStyle="1" w:styleId="ListParagraphChar">
    <w:name w:val="List Paragraph Char"/>
    <w:link w:val="ListParagraph"/>
    <w:uiPriority w:val="34"/>
    <w:locked/>
    <w:rsid w:val="008E5DB4"/>
    <w:rPr>
      <w:color w:val="auto"/>
      <w:sz w:val="24"/>
      <w:szCs w:val="24"/>
      <w:lang w:val="en-GB"/>
    </w:rPr>
  </w:style>
  <w:style w:type="character" w:styleId="LineNumber">
    <w:name w:val="line number"/>
    <w:basedOn w:val="DefaultParagraphFont"/>
    <w:uiPriority w:val="99"/>
    <w:locked/>
    <w:rsid w:val="00FC2FF2"/>
    <w:rPr>
      <w:rFonts w:ascii="Arial" w:hAnsi="Arial"/>
      <w:b w:val="0"/>
      <w:bCs w:val="0"/>
      <w:i w:val="0"/>
      <w:iCs w:val="0"/>
      <w:caps w:val="0"/>
      <w:smallCaps w:val="0"/>
      <w:strike w:val="0"/>
      <w:dstrike w:val="0"/>
      <w:vanish w:val="0"/>
      <w:color w:val="595959" w:themeColor="text1" w:themeTint="A6"/>
      <w:sz w:val="16"/>
      <w:szCs w:val="16"/>
      <w:u w:val="none"/>
      <w:vertAlign w:val="baseline"/>
    </w:rPr>
  </w:style>
  <w:style w:type="paragraph" w:customStyle="1" w:styleId="Referencetext8pt">
    <w:name w:val="Reference text 8pt"/>
    <w:basedOn w:val="BodyText1"/>
    <w:next w:val="BodyText1"/>
    <w:uiPriority w:val="99"/>
    <w:qFormat/>
    <w:rsid w:val="00292AE1"/>
    <w:pPr>
      <w:spacing w:line="220" w:lineRule="exact"/>
    </w:pPr>
    <w:rPr>
      <w:rFonts w:cs="ArialMT"/>
      <w:sz w:val="16"/>
    </w:rPr>
  </w:style>
  <w:style w:type="paragraph" w:customStyle="1" w:styleId="FigureHeading">
    <w:name w:val="Figure Heading"/>
    <w:basedOn w:val="Headingbold"/>
    <w:next w:val="Bodytextwithindent"/>
    <w:qFormat/>
    <w:rsid w:val="003D5E23"/>
    <w:pPr>
      <w:keepNext/>
      <w:numPr>
        <w:numId w:val="109"/>
      </w:numPr>
      <w:tabs>
        <w:tab w:val="clear" w:pos="1021"/>
        <w:tab w:val="left" w:pos="794"/>
        <w:tab w:val="left" w:pos="1843"/>
      </w:tabs>
      <w:spacing w:line="240" w:lineRule="auto"/>
      <w:ind w:left="709" w:firstLine="0"/>
    </w:pPr>
  </w:style>
  <w:style w:type="paragraph" w:customStyle="1" w:styleId="Tableheading">
    <w:name w:val="Table heading"/>
    <w:basedOn w:val="FigureHeading"/>
    <w:next w:val="Bodytextwithindent"/>
    <w:link w:val="TableheadingChar"/>
    <w:uiPriority w:val="99"/>
    <w:qFormat/>
    <w:rsid w:val="007D0FBF"/>
    <w:pPr>
      <w:numPr>
        <w:numId w:val="1"/>
      </w:numPr>
      <w:ind w:left="1151" w:hanging="357"/>
    </w:pPr>
    <w:rPr>
      <w:bCs w:val="0"/>
      <w:noProof/>
      <w:szCs w:val="32"/>
    </w:rPr>
  </w:style>
  <w:style w:type="character" w:customStyle="1" w:styleId="TableheadingChar">
    <w:name w:val="Table heading Char"/>
    <w:basedOn w:val="DefaultParagraphFont"/>
    <w:link w:val="Tableheading"/>
    <w:uiPriority w:val="99"/>
    <w:locked/>
    <w:rsid w:val="007D0FBF"/>
    <w:rPr>
      <w:b/>
      <w:noProof/>
      <w:sz w:val="24"/>
      <w:szCs w:val="32"/>
      <w:lang w:val="en-GB"/>
    </w:rPr>
  </w:style>
  <w:style w:type="paragraph" w:styleId="TableofFigures">
    <w:name w:val="table of figures"/>
    <w:basedOn w:val="Normal"/>
    <w:next w:val="Normal"/>
    <w:uiPriority w:val="99"/>
    <w:locked/>
    <w:rsid w:val="00D638BC"/>
    <w:pPr>
      <w:tabs>
        <w:tab w:val="left" w:pos="1021"/>
        <w:tab w:val="left" w:pos="8222"/>
      </w:tabs>
      <w:spacing w:after="240" w:line="240" w:lineRule="exact"/>
    </w:pPr>
    <w:rPr>
      <w:b/>
    </w:rPr>
  </w:style>
  <w:style w:type="paragraph" w:customStyle="1" w:styleId="11Bodytext">
    <w:name w:val="1.1 Body text"/>
    <w:basedOn w:val="Normal"/>
    <w:link w:val="11BodytextChar"/>
    <w:qFormat/>
    <w:rsid w:val="007D0FBF"/>
    <w:pPr>
      <w:numPr>
        <w:ilvl w:val="1"/>
        <w:numId w:val="3"/>
      </w:numPr>
      <w:tabs>
        <w:tab w:val="clear" w:pos="2071"/>
      </w:tabs>
      <w:spacing w:before="240" w:after="120" w:line="360" w:lineRule="auto"/>
      <w:ind w:left="709"/>
      <w:jc w:val="both"/>
    </w:pPr>
    <w:rPr>
      <w:bCs/>
      <w:sz w:val="24"/>
      <w:szCs w:val="24"/>
    </w:rPr>
  </w:style>
  <w:style w:type="character" w:customStyle="1" w:styleId="11BodytextChar">
    <w:name w:val="1.1 Body text Char"/>
    <w:basedOn w:val="DefaultParagraphFont"/>
    <w:link w:val="11Bodytext"/>
    <w:rsid w:val="007D0FBF"/>
    <w:rPr>
      <w:bCs/>
      <w:sz w:val="24"/>
      <w:szCs w:val="24"/>
      <w:lang w:val="en-GB"/>
    </w:rPr>
  </w:style>
  <w:style w:type="paragraph" w:customStyle="1" w:styleId="111Bodytext">
    <w:name w:val="1.1.1 Body text"/>
    <w:basedOn w:val="11Bodytext"/>
    <w:uiPriority w:val="99"/>
    <w:qFormat/>
    <w:rsid w:val="009D1148"/>
    <w:pPr>
      <w:numPr>
        <w:ilvl w:val="3"/>
        <w:numId w:val="0"/>
      </w:numPr>
      <w:spacing w:after="0"/>
      <w:ind w:left="794" w:hanging="794"/>
    </w:pPr>
    <w:rPr>
      <w:bCs w:val="0"/>
    </w:rPr>
  </w:style>
  <w:style w:type="paragraph" w:customStyle="1" w:styleId="Subheadingbold">
    <w:name w:val="Subheading bold"/>
    <w:basedOn w:val="Headingbold"/>
    <w:uiPriority w:val="99"/>
    <w:qFormat/>
    <w:rsid w:val="005E4A26"/>
    <w:pPr>
      <w:keepNext/>
      <w:tabs>
        <w:tab w:val="clear" w:pos="1021"/>
        <w:tab w:val="left" w:pos="794"/>
      </w:tabs>
      <w:ind w:left="1588" w:hanging="794"/>
    </w:pPr>
    <w:rPr>
      <w:sz w:val="20"/>
    </w:rPr>
  </w:style>
  <w:style w:type="paragraph" w:styleId="TOCHeading">
    <w:name w:val="TOC Heading"/>
    <w:basedOn w:val="Heading1"/>
    <w:next w:val="Normal"/>
    <w:uiPriority w:val="39"/>
    <w:semiHidden/>
    <w:unhideWhenUsed/>
    <w:qFormat/>
    <w:locked/>
    <w:rsid w:val="00BF481C"/>
    <w:pPr>
      <w:spacing w:line="276" w:lineRule="auto"/>
      <w:outlineLvl w:val="9"/>
    </w:pPr>
  </w:style>
  <w:style w:type="character" w:styleId="Hyperlink">
    <w:name w:val="Hyperlink"/>
    <w:basedOn w:val="DefaultParagraphFont"/>
    <w:uiPriority w:val="99"/>
    <w:unhideWhenUsed/>
    <w:locked/>
    <w:rsid w:val="009A15B2"/>
    <w:rPr>
      <w:color w:val="4CAAE4" w:themeColor="hyperlink"/>
      <w:u w:val="single"/>
    </w:rPr>
  </w:style>
  <w:style w:type="paragraph" w:customStyle="1" w:styleId="1Bodytext">
    <w:name w:val="1 Body text"/>
    <w:basedOn w:val="Headingbold"/>
    <w:uiPriority w:val="99"/>
    <w:qFormat/>
    <w:rsid w:val="00433F44"/>
    <w:pPr>
      <w:tabs>
        <w:tab w:val="clear" w:pos="1021"/>
        <w:tab w:val="num" w:pos="1277"/>
      </w:tabs>
      <w:spacing w:before="240" w:line="240" w:lineRule="atLeast"/>
      <w:ind w:left="1277" w:hanging="794"/>
    </w:pPr>
    <w:rPr>
      <w:caps/>
      <w:szCs w:val="20"/>
    </w:rPr>
  </w:style>
  <w:style w:type="paragraph" w:customStyle="1" w:styleId="Quotetext">
    <w:name w:val="Quote text"/>
    <w:basedOn w:val="Bodytextwithindent"/>
    <w:uiPriority w:val="99"/>
    <w:qFormat/>
    <w:rsid w:val="00B126BB"/>
    <w:pPr>
      <w:spacing w:line="240" w:lineRule="atLeast"/>
      <w:ind w:left="1077" w:right="284"/>
    </w:pPr>
    <w:rPr>
      <w:i/>
      <w:iCs/>
      <w:sz w:val="24"/>
      <w:szCs w:val="24"/>
    </w:rPr>
  </w:style>
  <w:style w:type="paragraph" w:customStyle="1" w:styleId="Bulletblackplain">
    <w:name w:val="Bullet black plain"/>
    <w:basedOn w:val="BodyText1"/>
    <w:link w:val="BulletblackplainChar"/>
    <w:uiPriority w:val="99"/>
    <w:qFormat/>
    <w:rsid w:val="009D1148"/>
    <w:pPr>
      <w:numPr>
        <w:numId w:val="5"/>
      </w:numPr>
      <w:spacing w:before="60" w:after="60" w:line="240" w:lineRule="atLeast"/>
    </w:pPr>
  </w:style>
  <w:style w:type="character" w:customStyle="1" w:styleId="BulletblackplainChar">
    <w:name w:val="Bullet black plain Char"/>
    <w:basedOn w:val="BodytextChar"/>
    <w:link w:val="Bulletblackplain"/>
    <w:uiPriority w:val="99"/>
    <w:rsid w:val="009D1148"/>
    <w:rPr>
      <w:szCs w:val="18"/>
      <w:lang w:val="en-GB"/>
    </w:rPr>
  </w:style>
  <w:style w:type="paragraph" w:customStyle="1" w:styleId="Addressline1">
    <w:name w:val="Address line 1"/>
    <w:basedOn w:val="12Subheadbluecoverpage"/>
    <w:uiPriority w:val="99"/>
    <w:qFormat/>
    <w:rsid w:val="00573A69"/>
    <w:pPr>
      <w:jc w:val="left"/>
    </w:pPr>
  </w:style>
  <w:style w:type="paragraph" w:customStyle="1" w:styleId="12Subheadbluecoverpage">
    <w:name w:val="12 Subhead blue (cover page)"/>
    <w:basedOn w:val="SubheadBlue12"/>
    <w:link w:val="12SubheadbluecoverpageChar"/>
    <w:rsid w:val="00FA67AA"/>
    <w:pPr>
      <w:ind w:left="0"/>
    </w:pPr>
  </w:style>
  <w:style w:type="character" w:customStyle="1" w:styleId="12SubheadbluecoverpageChar">
    <w:name w:val="12 Subhead blue (cover page) Char"/>
    <w:basedOn w:val="SubheadBlue12Char"/>
    <w:link w:val="12Subheadbluecoverpage"/>
    <w:rsid w:val="00FA67AA"/>
    <w:rPr>
      <w:b w:val="0"/>
      <w:bCs w:val="0"/>
      <w:color w:val="0093D5"/>
      <w:sz w:val="24"/>
      <w:szCs w:val="24"/>
      <w:lang w:val="en-GB"/>
    </w:rPr>
  </w:style>
  <w:style w:type="paragraph" w:customStyle="1" w:styleId="NameofClient">
    <w:name w:val="Name of Client"/>
    <w:basedOn w:val="12Subheadbluecoverpage"/>
    <w:qFormat/>
    <w:rsid w:val="00573A69"/>
    <w:pPr>
      <w:jc w:val="left"/>
    </w:pPr>
    <w:rPr>
      <w:b/>
    </w:rPr>
  </w:style>
  <w:style w:type="paragraph" w:customStyle="1" w:styleId="Postcode">
    <w:name w:val="Postcode"/>
    <w:basedOn w:val="SubheadBlue12"/>
    <w:uiPriority w:val="99"/>
    <w:qFormat/>
    <w:rsid w:val="00573A69"/>
    <w:pPr>
      <w:ind w:left="0"/>
      <w:jc w:val="left"/>
    </w:pPr>
  </w:style>
  <w:style w:type="paragraph" w:customStyle="1" w:styleId="Dateofreport">
    <w:name w:val="Date of report"/>
    <w:basedOn w:val="SubheadBlue12"/>
    <w:uiPriority w:val="99"/>
    <w:qFormat/>
    <w:rsid w:val="00573A69"/>
    <w:pPr>
      <w:ind w:left="0"/>
      <w:jc w:val="left"/>
    </w:pPr>
  </w:style>
  <w:style w:type="paragraph" w:customStyle="1" w:styleId="Footerlandscape">
    <w:name w:val="Footer landscape"/>
    <w:basedOn w:val="Normal"/>
    <w:uiPriority w:val="99"/>
    <w:qFormat/>
    <w:rsid w:val="00D217A7"/>
    <w:pPr>
      <w:framePr w:w="14572" w:h="748" w:hRule="exact" w:wrap="around" w:vAnchor="page" w:hAnchor="page" w:x="1379" w:y="10723"/>
      <w:tabs>
        <w:tab w:val="right" w:pos="14572"/>
      </w:tabs>
      <w:spacing w:line="200" w:lineRule="exact"/>
    </w:pPr>
    <w:rPr>
      <w:sz w:val="16"/>
    </w:rPr>
  </w:style>
  <w:style w:type="paragraph" w:customStyle="1" w:styleId="FooterPortrait">
    <w:name w:val="Footer Portrait"/>
    <w:basedOn w:val="Normal"/>
    <w:uiPriority w:val="99"/>
    <w:qFormat/>
    <w:rsid w:val="00D217A7"/>
    <w:pPr>
      <w:framePr w:w="9639" w:h="748" w:hRule="exact" w:wrap="around" w:vAnchor="page" w:hAnchor="page" w:x="1379" w:y="15656"/>
      <w:tabs>
        <w:tab w:val="right" w:pos="9639"/>
      </w:tabs>
      <w:spacing w:line="200" w:lineRule="exact"/>
    </w:pPr>
    <w:rPr>
      <w:sz w:val="16"/>
    </w:rPr>
  </w:style>
  <w:style w:type="character" w:customStyle="1" w:styleId="Filelocation6pt">
    <w:name w:val="File location 6pt"/>
    <w:basedOn w:val="DefaultParagraphFont"/>
    <w:uiPriority w:val="1"/>
    <w:qFormat/>
    <w:rsid w:val="00E15CE9"/>
    <w:rPr>
      <w:rFonts w:ascii="Arial" w:hAnsi="Arial"/>
      <w:b w:val="0"/>
      <w:i w:val="0"/>
      <w:sz w:val="12"/>
    </w:rPr>
  </w:style>
  <w:style w:type="paragraph" w:customStyle="1" w:styleId="Bulletblueplain">
    <w:name w:val="Bullet blue plain"/>
    <w:basedOn w:val="Bulletblackplain"/>
    <w:link w:val="BulletblueplainChar"/>
    <w:qFormat/>
    <w:rsid w:val="00B963B6"/>
    <w:pPr>
      <w:numPr>
        <w:numId w:val="4"/>
      </w:numPr>
    </w:pPr>
    <w:rPr>
      <w:color w:val="0093D5" w:themeColor="accent2"/>
      <w:sz w:val="24"/>
      <w:szCs w:val="24"/>
    </w:rPr>
  </w:style>
  <w:style w:type="character" w:customStyle="1" w:styleId="BulletblueplainChar">
    <w:name w:val="Bullet blue plain Char"/>
    <w:basedOn w:val="BulletblackplainChar"/>
    <w:link w:val="Bulletblueplain"/>
    <w:rsid w:val="00B963B6"/>
    <w:rPr>
      <w:color w:val="0093D5" w:themeColor="accent2"/>
      <w:sz w:val="24"/>
      <w:szCs w:val="24"/>
      <w:lang w:val="en-GB"/>
    </w:rPr>
  </w:style>
  <w:style w:type="paragraph" w:customStyle="1" w:styleId="TableBodytext">
    <w:name w:val="Table Body text"/>
    <w:basedOn w:val="Normal"/>
    <w:link w:val="TableBodytextChar"/>
    <w:qFormat/>
    <w:rsid w:val="00292AE1"/>
    <w:pPr>
      <w:spacing w:before="60" w:after="60" w:line="240" w:lineRule="atLeast"/>
    </w:pPr>
    <w:rPr>
      <w:sz w:val="18"/>
      <w:szCs w:val="18"/>
    </w:rPr>
  </w:style>
  <w:style w:type="character" w:customStyle="1" w:styleId="TableBodytextChar">
    <w:name w:val="Table Body text Char"/>
    <w:basedOn w:val="DefaultParagraphFont"/>
    <w:link w:val="TableBodytext"/>
    <w:rsid w:val="00292AE1"/>
    <w:rPr>
      <w:sz w:val="18"/>
      <w:szCs w:val="18"/>
      <w:lang w:val="en-GB"/>
    </w:rPr>
  </w:style>
  <w:style w:type="table" w:customStyle="1" w:styleId="GLHearntable2">
    <w:name w:val="GL Hearn table 2"/>
    <w:basedOn w:val="GLHearntable1"/>
    <w:uiPriority w:val="99"/>
    <w:rsid w:val="0017356C"/>
    <w:tblPr>
      <w:tblBorders>
        <w:top w:val="single" w:sz="2" w:space="0" w:color="1C1C1C"/>
        <w:left w:val="single" w:sz="2" w:space="0" w:color="1C1C1C"/>
        <w:bottom w:val="single" w:sz="2" w:space="0" w:color="1C1C1C"/>
        <w:right w:val="single" w:sz="2" w:space="0" w:color="1C1C1C"/>
        <w:insideH w:val="single" w:sz="2" w:space="0" w:color="1C1C1C"/>
        <w:insideV w:val="single" w:sz="2" w:space="0" w:color="1C1C1C"/>
      </w:tblBorders>
    </w:tblPr>
    <w:tcPr>
      <w:shd w:val="clear" w:color="auto" w:fill="auto"/>
    </w:tcPr>
    <w:tblStylePr w:type="firstRow">
      <w:pPr>
        <w:jc w:val="left"/>
      </w:pPr>
      <w:rPr>
        <w:rFonts w:ascii="Arial" w:hAnsi="Arial"/>
        <w:b/>
        <w:color w:val="FFFFFF" w:themeColor="background1"/>
        <w:sz w:val="20"/>
        <w:u w:val="none"/>
      </w:rPr>
      <w:tblPr/>
      <w:tcPr>
        <w:shd w:val="clear" w:color="auto" w:fill="4D4D4D"/>
        <w:vAlign w:val="center"/>
      </w:tcPr>
    </w:tblStylePr>
    <w:tblStylePr w:type="lastRow">
      <w:rPr>
        <w:rFonts w:ascii="Arial" w:hAnsi="Arial"/>
        <w:b/>
        <w:sz w:val="18"/>
      </w:rPr>
      <w:tblPr/>
      <w:tcPr>
        <w:shd w:val="clear" w:color="auto" w:fill="B2B2B2"/>
      </w:tcPr>
    </w:tblStylePr>
    <w:tblStylePr w:type="firstCol">
      <w:rPr>
        <w:rFonts w:ascii="Arial" w:hAnsi="Arial"/>
        <w:b/>
        <w:i w:val="0"/>
        <w:color w:val="000000" w:themeColor="text1"/>
        <w:sz w:val="18"/>
      </w:rPr>
    </w:tblStylePr>
    <w:tblStylePr w:type="band2Horz">
      <w:tblPr/>
      <w:tcPr>
        <w:shd w:val="clear" w:color="auto" w:fill="E0E0E0" w:themeFill="text2" w:themeFillTint="66"/>
      </w:tcPr>
    </w:tblStylePr>
  </w:style>
  <w:style w:type="paragraph" w:customStyle="1" w:styleId="Pa0">
    <w:name w:val="Pa0"/>
    <w:basedOn w:val="Normal"/>
    <w:next w:val="Normal"/>
    <w:uiPriority w:val="99"/>
    <w:semiHidden/>
    <w:rsid w:val="007B66AD"/>
    <w:pPr>
      <w:widowControl w:val="0"/>
      <w:autoSpaceDE w:val="0"/>
      <w:autoSpaceDN w:val="0"/>
      <w:adjustRightInd w:val="0"/>
      <w:spacing w:line="241" w:lineRule="atLeast"/>
    </w:pPr>
    <w:rPr>
      <w:rFonts w:cs="Times New Roman"/>
      <w:sz w:val="24"/>
      <w:szCs w:val="24"/>
    </w:rPr>
  </w:style>
  <w:style w:type="paragraph" w:customStyle="1" w:styleId="Pa2">
    <w:name w:val="Pa2"/>
    <w:basedOn w:val="Normal"/>
    <w:next w:val="Normal"/>
    <w:uiPriority w:val="99"/>
    <w:semiHidden/>
    <w:rsid w:val="007B66AD"/>
    <w:pPr>
      <w:widowControl w:val="0"/>
      <w:autoSpaceDE w:val="0"/>
      <w:autoSpaceDN w:val="0"/>
      <w:adjustRightInd w:val="0"/>
      <w:spacing w:line="181" w:lineRule="atLeast"/>
    </w:pPr>
    <w:rPr>
      <w:rFonts w:cs="Times New Roman"/>
      <w:sz w:val="24"/>
      <w:szCs w:val="24"/>
    </w:rPr>
  </w:style>
  <w:style w:type="character" w:customStyle="1" w:styleId="A4">
    <w:name w:val="A4"/>
    <w:uiPriority w:val="99"/>
    <w:semiHidden/>
    <w:unhideWhenUsed/>
    <w:rsid w:val="007B66AD"/>
    <w:rPr>
      <w:rFonts w:cs="Arial"/>
      <w:b/>
      <w:bCs/>
      <w:color w:val="221E1F"/>
      <w:sz w:val="20"/>
      <w:szCs w:val="20"/>
    </w:rPr>
  </w:style>
  <w:style w:type="paragraph" w:customStyle="1" w:styleId="Pa3">
    <w:name w:val="Pa3"/>
    <w:basedOn w:val="Normal"/>
    <w:next w:val="Normal"/>
    <w:uiPriority w:val="99"/>
    <w:semiHidden/>
    <w:rsid w:val="007B66AD"/>
    <w:pPr>
      <w:widowControl w:val="0"/>
      <w:autoSpaceDE w:val="0"/>
      <w:autoSpaceDN w:val="0"/>
      <w:adjustRightInd w:val="0"/>
      <w:spacing w:line="201" w:lineRule="atLeast"/>
    </w:pPr>
    <w:rPr>
      <w:rFonts w:cs="Times New Roman"/>
      <w:sz w:val="24"/>
      <w:szCs w:val="24"/>
    </w:rPr>
  </w:style>
  <w:style w:type="paragraph" w:customStyle="1" w:styleId="NameofDevelopment">
    <w:name w:val="Name of Development"/>
    <w:basedOn w:val="NameofClient"/>
    <w:uiPriority w:val="99"/>
    <w:qFormat/>
    <w:rsid w:val="00292AE1"/>
    <w:rPr>
      <w:b w:val="0"/>
    </w:rPr>
  </w:style>
  <w:style w:type="paragraph" w:customStyle="1" w:styleId="Appendices">
    <w:name w:val="Appendices"/>
    <w:uiPriority w:val="99"/>
    <w:qFormat/>
    <w:rsid w:val="00990254"/>
    <w:pPr>
      <w:numPr>
        <w:numId w:val="9"/>
      </w:numPr>
      <w:jc w:val="both"/>
    </w:pPr>
    <w:rPr>
      <w:szCs w:val="24"/>
      <w:lang w:val="en-GB"/>
    </w:rPr>
  </w:style>
  <w:style w:type="character" w:styleId="PlaceholderText">
    <w:name w:val="Placeholder Text"/>
    <w:basedOn w:val="DefaultParagraphFont"/>
    <w:uiPriority w:val="99"/>
    <w:semiHidden/>
    <w:locked/>
    <w:rsid w:val="003851CD"/>
    <w:rPr>
      <w:color w:val="808080"/>
    </w:rPr>
  </w:style>
  <w:style w:type="paragraph" w:customStyle="1" w:styleId="12SubheadGreyCoverpage">
    <w:name w:val="12 Subhead Grey (Cover page)"/>
    <w:basedOn w:val="SubheadGrey12"/>
    <w:link w:val="12SubheadGreyCoverpageChar"/>
    <w:rsid w:val="00D217A7"/>
    <w:pPr>
      <w:spacing w:line="300" w:lineRule="exact"/>
      <w:ind w:left="0"/>
    </w:pPr>
  </w:style>
  <w:style w:type="character" w:customStyle="1" w:styleId="12SubheadGreyCoverpageChar">
    <w:name w:val="12 Subhead Grey (Cover page) Char"/>
    <w:basedOn w:val="SubheadGrey12Char"/>
    <w:link w:val="12SubheadGreyCoverpage"/>
    <w:rsid w:val="00D217A7"/>
    <w:rPr>
      <w:b w:val="0"/>
      <w:bCs w:val="0"/>
      <w:color w:val="33393A"/>
      <w:sz w:val="24"/>
      <w:szCs w:val="24"/>
      <w:lang w:val="en-GB"/>
    </w:rPr>
  </w:style>
  <w:style w:type="paragraph" w:customStyle="1" w:styleId="Listinga-i">
    <w:name w:val="Listing a-i"/>
    <w:basedOn w:val="Bodytextwithindent"/>
    <w:link w:val="Listinga-iChar"/>
    <w:uiPriority w:val="99"/>
    <w:qFormat/>
    <w:rsid w:val="00292AE1"/>
    <w:pPr>
      <w:numPr>
        <w:numId w:val="6"/>
      </w:numPr>
      <w:spacing w:before="60" w:after="60"/>
      <w:ind w:left="1078" w:hanging="284"/>
    </w:pPr>
  </w:style>
  <w:style w:type="character" w:customStyle="1" w:styleId="Listinga-iChar">
    <w:name w:val="Listing a-i Char"/>
    <w:basedOn w:val="BodytextwithindentChar"/>
    <w:link w:val="Listinga-i"/>
    <w:uiPriority w:val="99"/>
    <w:rsid w:val="00292AE1"/>
    <w:rPr>
      <w:szCs w:val="18"/>
      <w:lang w:val="en-GB"/>
    </w:rPr>
  </w:style>
  <w:style w:type="paragraph" w:customStyle="1" w:styleId="QuoteBulletBlack">
    <w:name w:val="Quote Bullet Black"/>
    <w:basedOn w:val="Bulletblackplain"/>
    <w:link w:val="QuoteBulletBlackChar"/>
    <w:uiPriority w:val="99"/>
    <w:qFormat/>
    <w:rsid w:val="00E515B4"/>
    <w:rPr>
      <w:i/>
    </w:rPr>
  </w:style>
  <w:style w:type="character" w:customStyle="1" w:styleId="QuoteBulletBlackChar">
    <w:name w:val="Quote Bullet Black Char"/>
    <w:basedOn w:val="BulletblackplainChar"/>
    <w:link w:val="QuoteBulletBlack"/>
    <w:uiPriority w:val="99"/>
    <w:rsid w:val="00E515B4"/>
    <w:rPr>
      <w:i/>
      <w:szCs w:val="18"/>
      <w:lang w:val="en-GB"/>
    </w:rPr>
  </w:style>
  <w:style w:type="paragraph" w:customStyle="1" w:styleId="Quotelistinga">
    <w:name w:val="Quote listing (a)"/>
    <w:link w:val="QuotelistingaChar"/>
    <w:uiPriority w:val="99"/>
    <w:qFormat/>
    <w:rsid w:val="00E515B4"/>
    <w:pPr>
      <w:numPr>
        <w:numId w:val="8"/>
      </w:numPr>
      <w:spacing w:before="60" w:after="60" w:line="240" w:lineRule="atLeast"/>
    </w:pPr>
    <w:rPr>
      <w:i/>
      <w:szCs w:val="18"/>
      <w:lang w:val="en-GB"/>
    </w:rPr>
  </w:style>
  <w:style w:type="character" w:customStyle="1" w:styleId="QuotelistingaChar">
    <w:name w:val="Quote listing (a) Char"/>
    <w:basedOn w:val="Listinga-iChar"/>
    <w:link w:val="Quotelistinga"/>
    <w:uiPriority w:val="99"/>
    <w:rsid w:val="00E515B4"/>
    <w:rPr>
      <w:i/>
      <w:szCs w:val="18"/>
      <w:lang w:val="en-GB"/>
    </w:rPr>
  </w:style>
  <w:style w:type="paragraph" w:customStyle="1" w:styleId="Quotelistingi">
    <w:name w:val="Quote listing (i)"/>
    <w:basedOn w:val="Quotelistinga"/>
    <w:link w:val="QuotelistingiChar"/>
    <w:uiPriority w:val="99"/>
    <w:qFormat/>
    <w:rsid w:val="001F2DD9"/>
    <w:pPr>
      <w:numPr>
        <w:ilvl w:val="1"/>
      </w:numPr>
    </w:pPr>
  </w:style>
  <w:style w:type="character" w:customStyle="1" w:styleId="QuotelistingiChar">
    <w:name w:val="Quote listing (i) Char"/>
    <w:basedOn w:val="QuotelistingaChar"/>
    <w:link w:val="Quotelistingi"/>
    <w:uiPriority w:val="99"/>
    <w:rsid w:val="001F2DD9"/>
    <w:rPr>
      <w:i/>
      <w:szCs w:val="18"/>
      <w:lang w:val="en-GB"/>
    </w:rPr>
  </w:style>
  <w:style w:type="paragraph" w:customStyle="1" w:styleId="12SubheadGrey">
    <w:name w:val="12 Subhead Grey"/>
    <w:basedOn w:val="Normal"/>
    <w:uiPriority w:val="99"/>
    <w:qFormat/>
    <w:rsid w:val="005856E2"/>
    <w:pPr>
      <w:keepNext/>
      <w:tabs>
        <w:tab w:val="left" w:pos="227"/>
      </w:tabs>
      <w:spacing w:line="300" w:lineRule="exact"/>
      <w:contextualSpacing/>
    </w:pPr>
    <w:rPr>
      <w:color w:val="33393A"/>
      <w:sz w:val="24"/>
      <w:szCs w:val="24"/>
    </w:rPr>
  </w:style>
  <w:style w:type="paragraph" w:customStyle="1" w:styleId="01Heading">
    <w:name w:val="01 Heading"/>
    <w:basedOn w:val="Normal"/>
    <w:uiPriority w:val="99"/>
    <w:qFormat/>
    <w:rsid w:val="00190F8F"/>
    <w:pPr>
      <w:spacing w:line="520" w:lineRule="exact"/>
    </w:pPr>
    <w:rPr>
      <w:color w:val="0093D5"/>
      <w:sz w:val="48"/>
      <w:szCs w:val="48"/>
    </w:rPr>
  </w:style>
  <w:style w:type="character" w:styleId="FootnoteReference">
    <w:name w:val="footnote reference"/>
    <w:basedOn w:val="DefaultParagraphFont"/>
    <w:uiPriority w:val="99"/>
    <w:unhideWhenUsed/>
    <w:locked/>
    <w:rsid w:val="005B0328"/>
    <w:rPr>
      <w:vertAlign w:val="superscript"/>
    </w:rPr>
  </w:style>
  <w:style w:type="paragraph" w:styleId="FootnoteText">
    <w:name w:val="footnote text"/>
    <w:aliases w:val="Char Char,Footnote Text Char Char, Char Char Char,Char Char1,~Footnote,Harestanes Ref,RSK-FT,RSK-FT1,RSK-FT2"/>
    <w:basedOn w:val="Normal"/>
    <w:link w:val="FootnoteTextChar"/>
    <w:uiPriority w:val="99"/>
    <w:unhideWhenUsed/>
    <w:qFormat/>
    <w:locked/>
    <w:rsid w:val="005B0328"/>
  </w:style>
  <w:style w:type="character" w:customStyle="1" w:styleId="FootnoteTextChar">
    <w:name w:val="Footnote Text Char"/>
    <w:aliases w:val="Char Char Char,Footnote Text Char Char Char, Char Char Char Char,Char Char1 Char,~Footnote Char,Harestanes Ref Char,RSK-FT Char,RSK-FT1 Char,RSK-FT2 Char"/>
    <w:basedOn w:val="DefaultParagraphFont"/>
    <w:link w:val="FootnoteText"/>
    <w:uiPriority w:val="99"/>
    <w:rsid w:val="005B0328"/>
    <w:rPr>
      <w:lang w:val="en-GB"/>
    </w:rPr>
  </w:style>
  <w:style w:type="paragraph" w:customStyle="1" w:styleId="Numbered">
    <w:name w:val="Numbered"/>
    <w:basedOn w:val="Normal"/>
    <w:link w:val="NumberedChar"/>
    <w:uiPriority w:val="99"/>
    <w:qFormat/>
    <w:rsid w:val="00BB0B7C"/>
    <w:pPr>
      <w:numPr>
        <w:numId w:val="10"/>
      </w:numPr>
      <w:tabs>
        <w:tab w:val="num" w:pos="284"/>
      </w:tabs>
      <w:spacing w:after="120"/>
      <w:ind w:left="644"/>
    </w:pPr>
    <w:rPr>
      <w:rFonts w:eastAsia="Times New Roman"/>
      <w:spacing w:val="-4"/>
      <w:lang w:val="en-US" w:eastAsia="en-GB"/>
    </w:rPr>
  </w:style>
  <w:style w:type="character" w:customStyle="1" w:styleId="NumberedChar">
    <w:name w:val="Numbered Char"/>
    <w:link w:val="Numbered"/>
    <w:uiPriority w:val="99"/>
    <w:locked/>
    <w:rsid w:val="00BF2E60"/>
    <w:rPr>
      <w:rFonts w:eastAsia="Times New Roman"/>
      <w:spacing w:val="-4"/>
      <w:lang w:eastAsia="en-GB"/>
    </w:rPr>
  </w:style>
  <w:style w:type="character" w:customStyle="1" w:styleId="10BulletBodytextChar">
    <w:name w:val="10 Bullet Body text Char"/>
    <w:link w:val="10BulletBodytext"/>
    <w:locked/>
    <w:rsid w:val="00097650"/>
    <w:rPr>
      <w:rFonts w:eastAsia="MS Mincho" w:cs="Times New Roman"/>
      <w:bCs/>
      <w:noProof/>
      <w:color w:val="000000"/>
      <w:sz w:val="24"/>
      <w:szCs w:val="24"/>
    </w:rPr>
  </w:style>
  <w:style w:type="paragraph" w:customStyle="1" w:styleId="10BulletBodytext">
    <w:name w:val="10 Bullet Body text"/>
    <w:basedOn w:val="Normal"/>
    <w:link w:val="10BulletBodytextChar"/>
    <w:qFormat/>
    <w:rsid w:val="00097650"/>
    <w:pPr>
      <w:numPr>
        <w:numId w:val="11"/>
      </w:numPr>
      <w:spacing w:line="240" w:lineRule="exact"/>
      <w:jc w:val="both"/>
    </w:pPr>
    <w:rPr>
      <w:rFonts w:eastAsia="MS Mincho" w:cs="Times New Roman"/>
      <w:bCs/>
      <w:noProof/>
      <w:color w:val="000000"/>
      <w:sz w:val="24"/>
      <w:szCs w:val="24"/>
      <w:lang w:val="en-US"/>
    </w:rPr>
  </w:style>
  <w:style w:type="paragraph" w:customStyle="1" w:styleId="BAppendix">
    <w:name w:val="B Appendix"/>
    <w:basedOn w:val="Normal"/>
    <w:uiPriority w:val="99"/>
    <w:qFormat/>
    <w:rsid w:val="00C43B0A"/>
    <w:pPr>
      <w:numPr>
        <w:numId w:val="12"/>
      </w:numPr>
      <w:spacing w:before="240" w:after="120" w:line="360" w:lineRule="auto"/>
      <w:jc w:val="both"/>
    </w:pPr>
    <w:rPr>
      <w:rFonts w:ascii="Times New Roman" w:eastAsia="Times New Roman" w:hAnsi="Times New Roman" w:cs="Times New Roman"/>
      <w:bCs/>
      <w:color w:val="auto"/>
      <w:sz w:val="24"/>
      <w:szCs w:val="24"/>
      <w:lang w:eastAsia="en-GB"/>
    </w:rPr>
  </w:style>
  <w:style w:type="table" w:styleId="GridTable1Light-Accent2">
    <w:name w:val="Grid Table 1 Light Accent 2"/>
    <w:basedOn w:val="TableNormal"/>
    <w:uiPriority w:val="46"/>
    <w:rsid w:val="00E54D31"/>
    <w:pPr>
      <w:spacing w:after="0"/>
    </w:pPr>
    <w:tblPr>
      <w:tblStyleRowBandSize w:val="1"/>
      <w:tblStyleColBandSize w:val="1"/>
      <w:tblBorders>
        <w:top w:val="single" w:sz="4" w:space="0" w:color="88D9FF" w:themeColor="accent2" w:themeTint="66"/>
        <w:left w:val="single" w:sz="4" w:space="0" w:color="88D9FF" w:themeColor="accent2" w:themeTint="66"/>
        <w:bottom w:val="single" w:sz="4" w:space="0" w:color="88D9FF" w:themeColor="accent2" w:themeTint="66"/>
        <w:right w:val="single" w:sz="4" w:space="0" w:color="88D9FF" w:themeColor="accent2" w:themeTint="66"/>
        <w:insideH w:val="single" w:sz="4" w:space="0" w:color="88D9FF" w:themeColor="accent2" w:themeTint="66"/>
        <w:insideV w:val="single" w:sz="4" w:space="0" w:color="88D9FF" w:themeColor="accent2" w:themeTint="66"/>
      </w:tblBorders>
    </w:tblPr>
    <w:tblStylePr w:type="firstRow">
      <w:rPr>
        <w:b/>
        <w:bCs/>
      </w:rPr>
      <w:tblPr/>
      <w:tcPr>
        <w:tcBorders>
          <w:bottom w:val="single" w:sz="12" w:space="0" w:color="4CC7FF" w:themeColor="accent2" w:themeTint="99"/>
        </w:tcBorders>
      </w:tcPr>
    </w:tblStylePr>
    <w:tblStylePr w:type="lastRow">
      <w:rPr>
        <w:b/>
        <w:bCs/>
      </w:rPr>
      <w:tblPr/>
      <w:tcPr>
        <w:tcBorders>
          <w:top w:val="double" w:sz="2" w:space="0" w:color="4CC7FF" w:themeColor="accent2" w:themeTint="99"/>
        </w:tcBorders>
      </w:tcPr>
    </w:tblStylePr>
    <w:tblStylePr w:type="firstCol">
      <w:rPr>
        <w:b/>
        <w:bCs/>
      </w:rPr>
    </w:tblStylePr>
    <w:tblStylePr w:type="lastCol">
      <w:rPr>
        <w:b/>
        <w:bCs/>
      </w:rPr>
    </w:tblStylePr>
  </w:style>
  <w:style w:type="table" w:customStyle="1" w:styleId="ListTable3-Accent21">
    <w:name w:val="List Table 3 - Accent 21"/>
    <w:basedOn w:val="TableNormal"/>
    <w:uiPriority w:val="48"/>
    <w:rsid w:val="00E93AED"/>
    <w:pPr>
      <w:spacing w:after="0"/>
    </w:pPr>
    <w:tblPr>
      <w:tblStyleRowBandSize w:val="1"/>
      <w:tblStyleColBandSize w:val="1"/>
      <w:tblBorders>
        <w:top w:val="single" w:sz="4" w:space="0" w:color="0093D5" w:themeColor="accent2"/>
        <w:left w:val="single" w:sz="4" w:space="0" w:color="0093D5" w:themeColor="accent2"/>
        <w:bottom w:val="single" w:sz="4" w:space="0" w:color="0093D5" w:themeColor="accent2"/>
        <w:right w:val="single" w:sz="4" w:space="0" w:color="0093D5" w:themeColor="accent2"/>
      </w:tblBorders>
    </w:tblPr>
    <w:tblStylePr w:type="firstRow">
      <w:rPr>
        <w:b/>
        <w:bCs/>
        <w:color w:val="FFFFFF" w:themeColor="background1"/>
      </w:rPr>
      <w:tblPr/>
      <w:tcPr>
        <w:shd w:val="clear" w:color="auto" w:fill="0093D5" w:themeFill="accent2"/>
      </w:tcPr>
    </w:tblStylePr>
    <w:tblStylePr w:type="lastRow">
      <w:rPr>
        <w:b/>
        <w:bCs/>
      </w:rPr>
      <w:tblPr/>
      <w:tcPr>
        <w:tcBorders>
          <w:top w:val="double" w:sz="4" w:space="0" w:color="0093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D5" w:themeColor="accent2"/>
          <w:right w:val="single" w:sz="4" w:space="0" w:color="0093D5" w:themeColor="accent2"/>
        </w:tcBorders>
      </w:tcPr>
    </w:tblStylePr>
    <w:tblStylePr w:type="band1Horz">
      <w:tblPr/>
      <w:tcPr>
        <w:tcBorders>
          <w:top w:val="single" w:sz="4" w:space="0" w:color="0093D5" w:themeColor="accent2"/>
          <w:bottom w:val="single" w:sz="4" w:space="0" w:color="0093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D5" w:themeColor="accent2"/>
          <w:left w:val="nil"/>
        </w:tcBorders>
      </w:tcPr>
    </w:tblStylePr>
    <w:tblStylePr w:type="swCell">
      <w:tblPr/>
      <w:tcPr>
        <w:tcBorders>
          <w:top w:val="double" w:sz="4" w:space="0" w:color="0093D5" w:themeColor="accent2"/>
          <w:right w:val="nil"/>
        </w:tcBorders>
      </w:tcPr>
    </w:tblStylePr>
  </w:style>
  <w:style w:type="paragraph" w:styleId="BodyText">
    <w:name w:val="Body Text"/>
    <w:basedOn w:val="Normal"/>
    <w:link w:val="BodyTextChar0"/>
    <w:uiPriority w:val="1"/>
    <w:unhideWhenUsed/>
    <w:qFormat/>
    <w:locked/>
    <w:rsid w:val="00F07CE8"/>
    <w:pPr>
      <w:tabs>
        <w:tab w:val="num" w:pos="0"/>
        <w:tab w:val="num" w:pos="1134"/>
      </w:tabs>
      <w:spacing w:after="360" w:line="360" w:lineRule="auto"/>
      <w:ind w:hanging="709"/>
      <w:jc w:val="both"/>
    </w:pPr>
    <w:rPr>
      <w:rFonts w:asciiTheme="minorHAnsi" w:eastAsia="Times New Roman" w:hAnsiTheme="minorHAnsi" w:cs="Times New Roman"/>
      <w:color w:val="auto"/>
      <w:lang w:eastAsia="en-GB"/>
    </w:rPr>
  </w:style>
  <w:style w:type="character" w:customStyle="1" w:styleId="BodyTextChar0">
    <w:name w:val="Body Text Char"/>
    <w:basedOn w:val="DefaultParagraphFont"/>
    <w:link w:val="BodyText"/>
    <w:uiPriority w:val="1"/>
    <w:rsid w:val="00F07CE8"/>
    <w:rPr>
      <w:rFonts w:asciiTheme="minorHAnsi" w:eastAsia="Times New Roman" w:hAnsiTheme="minorHAnsi" w:cs="Times New Roman"/>
      <w:color w:val="auto"/>
      <w:lang w:val="en-GB" w:eastAsia="en-GB"/>
    </w:rPr>
  </w:style>
  <w:style w:type="paragraph" w:styleId="Caption">
    <w:name w:val="caption"/>
    <w:basedOn w:val="Normal"/>
    <w:next w:val="Normal"/>
    <w:link w:val="CaptionChar"/>
    <w:uiPriority w:val="99"/>
    <w:unhideWhenUsed/>
    <w:qFormat/>
    <w:locked/>
    <w:rsid w:val="00F07CE8"/>
    <w:pPr>
      <w:spacing w:after="200"/>
      <w:jc w:val="both"/>
    </w:pPr>
    <w:rPr>
      <w:rFonts w:asciiTheme="minorHAnsi" w:eastAsia="Times New Roman" w:hAnsiTheme="minorHAnsi" w:cs="Times New Roman"/>
      <w:i/>
      <w:iCs/>
      <w:color w:val="B2B2B2" w:themeColor="text2"/>
      <w:sz w:val="18"/>
      <w:szCs w:val="18"/>
      <w:lang w:eastAsia="en-GB"/>
    </w:rPr>
  </w:style>
  <w:style w:type="character" w:customStyle="1" w:styleId="CaptionChar">
    <w:name w:val="Caption Char"/>
    <w:basedOn w:val="DefaultParagraphFont"/>
    <w:link w:val="Caption"/>
    <w:uiPriority w:val="99"/>
    <w:rsid w:val="00BF2E60"/>
    <w:rPr>
      <w:rFonts w:asciiTheme="minorHAnsi" w:eastAsia="Times New Roman" w:hAnsiTheme="minorHAnsi" w:cs="Times New Roman"/>
      <w:i/>
      <w:iCs/>
      <w:color w:val="B2B2B2" w:themeColor="text2"/>
      <w:sz w:val="18"/>
      <w:szCs w:val="18"/>
      <w:lang w:val="en-GB" w:eastAsia="en-GB"/>
    </w:rPr>
  </w:style>
  <w:style w:type="paragraph" w:styleId="ListBullet2">
    <w:name w:val="List Bullet 2"/>
    <w:basedOn w:val="Normal"/>
    <w:uiPriority w:val="1"/>
    <w:unhideWhenUsed/>
    <w:qFormat/>
    <w:locked/>
    <w:rsid w:val="00F07CE8"/>
    <w:pPr>
      <w:numPr>
        <w:numId w:val="13"/>
      </w:numPr>
      <w:spacing w:after="240" w:line="360" w:lineRule="auto"/>
      <w:ind w:left="641" w:hanging="357"/>
      <w:jc w:val="both"/>
    </w:pPr>
    <w:rPr>
      <w:rFonts w:asciiTheme="minorHAnsi" w:eastAsia="Times New Roman" w:hAnsiTheme="minorHAnsi" w:cs="Times New Roman"/>
      <w:color w:val="auto"/>
      <w:lang w:eastAsia="en-GB"/>
    </w:rPr>
  </w:style>
  <w:style w:type="paragraph" w:customStyle="1" w:styleId="BodytextAppendices">
    <w:name w:val="Body text_Appendices"/>
    <w:basedOn w:val="Normal"/>
    <w:uiPriority w:val="1"/>
    <w:qFormat/>
    <w:rsid w:val="00F07CE8"/>
    <w:pPr>
      <w:tabs>
        <w:tab w:val="left" w:pos="0"/>
      </w:tabs>
      <w:spacing w:after="360" w:line="360" w:lineRule="auto"/>
      <w:ind w:hanging="709"/>
      <w:jc w:val="both"/>
    </w:pPr>
    <w:rPr>
      <w:rFonts w:asciiTheme="minorHAnsi" w:eastAsia="Times New Roman" w:hAnsiTheme="minorHAnsi" w:cs="Times New Roman"/>
      <w:color w:val="auto"/>
      <w:lang w:eastAsia="en-GB"/>
    </w:rPr>
  </w:style>
  <w:style w:type="paragraph" w:customStyle="1" w:styleId="HeadingAppendices">
    <w:name w:val="Heading Appendices"/>
    <w:basedOn w:val="Normal"/>
    <w:next w:val="BodytextAppendices"/>
    <w:uiPriority w:val="2"/>
    <w:qFormat/>
    <w:rsid w:val="00F07CE8"/>
    <w:pPr>
      <w:keepNext/>
      <w:keepLines/>
      <w:pageBreakBefore/>
      <w:spacing w:after="600" w:line="360" w:lineRule="auto"/>
      <w:ind w:hanging="709"/>
      <w:jc w:val="both"/>
    </w:pPr>
    <w:rPr>
      <w:rFonts w:asciiTheme="majorHAnsi" w:eastAsia="Times New Roman" w:hAnsiTheme="majorHAnsi" w:cs="Times New Roman"/>
      <w:b/>
      <w:caps/>
      <w:color w:val="auto"/>
      <w:sz w:val="28"/>
      <w:lang w:eastAsia="en-GB"/>
    </w:rPr>
  </w:style>
  <w:style w:type="table" w:styleId="TableTheme">
    <w:name w:val="Table Theme"/>
    <w:basedOn w:val="TableNormal"/>
    <w:unhideWhenUsed/>
    <w:locked/>
    <w:rsid w:val="00F07CE8"/>
    <w:pPr>
      <w:spacing w:after="0"/>
    </w:pPr>
    <w:rPr>
      <w:rFonts w:ascii="Times New Roman" w:eastAsia="Times New Roman" w:hAnsi="Times New Roman" w:cs="Times New Roman"/>
      <w:color w:val="auto"/>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F3332"/>
    <w:pPr>
      <w:spacing w:after="0"/>
      <w:jc w:val="center"/>
    </w:pPr>
    <w:rPr>
      <w:rFonts w:ascii="Arial Narrow" w:eastAsia="Times New Roman" w:hAnsi="Arial Narrow" w:cs="Times New Roman"/>
      <w:sz w:val="24"/>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StylePr>
    <w:tblStylePr w:type="firstCol">
      <w:pPr>
        <w:jc w:val="left"/>
      </w:pPr>
    </w:tblStylePr>
  </w:style>
  <w:style w:type="paragraph" w:styleId="CommentText">
    <w:name w:val="annotation text"/>
    <w:basedOn w:val="Normal"/>
    <w:link w:val="CommentTextChar"/>
    <w:unhideWhenUsed/>
    <w:locked/>
    <w:rsid w:val="00767420"/>
    <w:rPr>
      <w:rFonts w:ascii="Times New Roman" w:eastAsia="Times New Roman" w:hAnsi="Times New Roman" w:cs="Times New Roman"/>
      <w:color w:val="auto"/>
      <w:sz w:val="24"/>
      <w:szCs w:val="24"/>
      <w:lang w:eastAsia="en-US"/>
    </w:rPr>
  </w:style>
  <w:style w:type="character" w:customStyle="1" w:styleId="CommentTextChar">
    <w:name w:val="Comment Text Char"/>
    <w:basedOn w:val="DefaultParagraphFont"/>
    <w:link w:val="CommentText"/>
    <w:rsid w:val="00767420"/>
    <w:rPr>
      <w:rFonts w:ascii="Times New Roman" w:eastAsia="Times New Roman" w:hAnsi="Times New Roman" w:cs="Times New Roman"/>
      <w:color w:val="auto"/>
      <w:sz w:val="24"/>
      <w:szCs w:val="24"/>
      <w:lang w:val="en-GB" w:eastAsia="en-US"/>
    </w:rPr>
  </w:style>
  <w:style w:type="character" w:styleId="CommentReference">
    <w:name w:val="annotation reference"/>
    <w:uiPriority w:val="99"/>
    <w:unhideWhenUsed/>
    <w:locked/>
    <w:rsid w:val="00767420"/>
    <w:rPr>
      <w:rFonts w:ascii="Times New Roman" w:hAnsi="Times New Roman" w:cs="Times New Roman" w:hint="default"/>
      <w:sz w:val="16"/>
      <w:szCs w:val="16"/>
    </w:rPr>
  </w:style>
  <w:style w:type="table" w:customStyle="1" w:styleId="Style1">
    <w:name w:val="Style1"/>
    <w:basedOn w:val="TableNormal"/>
    <w:uiPriority w:val="99"/>
    <w:rsid w:val="007B1E8D"/>
    <w:pPr>
      <w:spacing w:after="0" w:line="300" w:lineRule="auto"/>
    </w:pPr>
    <w:rPr>
      <w:rFonts w:eastAsiaTheme="minorHAnsi" w:cstheme="minorBidi"/>
      <w:szCs w:val="22"/>
      <w:lang w:eastAsia="en-US"/>
    </w:rPr>
    <w:tblPr>
      <w:tblInd w:w="0" w:type="nil"/>
      <w:tblBorders>
        <w:top w:val="single" w:sz="4" w:space="0" w:color="0093D5" w:themeColor="accent2"/>
        <w:left w:val="single" w:sz="4" w:space="0" w:color="0093D5" w:themeColor="accent2"/>
        <w:bottom w:val="single" w:sz="4" w:space="0" w:color="0093D5" w:themeColor="accent2"/>
        <w:right w:val="single" w:sz="4" w:space="0" w:color="0093D5" w:themeColor="accent2"/>
        <w:insideH w:val="single" w:sz="4" w:space="0" w:color="0093D5" w:themeColor="accent2"/>
        <w:insideV w:val="single" w:sz="4" w:space="0" w:color="0093D5" w:themeColor="accent2"/>
      </w:tblBorders>
    </w:tblPr>
    <w:tblStylePr w:type="firstRow">
      <w:pPr>
        <w:jc w:val="center"/>
      </w:pPr>
      <w:rPr>
        <w:rFonts w:ascii="Arial" w:hAnsi="Arial" w:cs="Arial" w:hint="default"/>
        <w:b w:val="0"/>
        <w:i w:val="0"/>
        <w:color w:val="FFFFFF" w:themeColor="background1"/>
        <w:sz w:val="20"/>
        <w:szCs w:val="20"/>
      </w:rPr>
      <w:tblPr/>
      <w:tcPr>
        <w:shd w:val="clear" w:color="auto" w:fill="0093D5" w:themeFill="accent2"/>
      </w:tcPr>
    </w:tblStylePr>
    <w:tblStylePr w:type="firstCol">
      <w:pPr>
        <w:jc w:val="left"/>
      </w:pPr>
      <w:tblPr/>
      <w:tcPr>
        <w:vAlign w:val="center"/>
      </w:tcPr>
    </w:tblStylePr>
  </w:style>
  <w:style w:type="paragraph" w:styleId="Quote">
    <w:name w:val="Quote"/>
    <w:basedOn w:val="Normal"/>
    <w:link w:val="QuoteChar"/>
    <w:uiPriority w:val="4"/>
    <w:qFormat/>
    <w:locked/>
    <w:rsid w:val="003B6B8F"/>
    <w:pPr>
      <w:spacing w:before="200" w:after="200" w:line="280" w:lineRule="atLeast"/>
      <w:ind w:left="567" w:right="567"/>
      <w:jc w:val="both"/>
    </w:pPr>
    <w:rPr>
      <w:rFonts w:eastAsiaTheme="minorHAnsi"/>
      <w:i/>
      <w:iCs/>
      <w:color w:val="auto"/>
      <w:lang w:eastAsia="en-GB"/>
    </w:rPr>
  </w:style>
  <w:style w:type="character" w:customStyle="1" w:styleId="QuoteChar">
    <w:name w:val="Quote Char"/>
    <w:basedOn w:val="DefaultParagraphFont"/>
    <w:link w:val="Quote"/>
    <w:uiPriority w:val="4"/>
    <w:rsid w:val="003B6B8F"/>
    <w:rPr>
      <w:rFonts w:eastAsiaTheme="minorHAnsi"/>
      <w:i/>
      <w:iCs/>
      <w:color w:val="auto"/>
      <w:lang w:val="en-GB" w:eastAsia="en-GB"/>
    </w:rPr>
  </w:style>
  <w:style w:type="paragraph" w:customStyle="1" w:styleId="03NumberedHeadings">
    <w:name w:val="03 Numbered Headings"/>
    <w:basedOn w:val="Normal"/>
    <w:next w:val="Normal"/>
    <w:link w:val="03NumberedHeadingsChar"/>
    <w:uiPriority w:val="99"/>
    <w:qFormat/>
    <w:rsid w:val="000D49A4"/>
    <w:pPr>
      <w:numPr>
        <w:numId w:val="16"/>
      </w:numPr>
      <w:spacing w:before="240" w:line="240" w:lineRule="exact"/>
    </w:pPr>
    <w:rPr>
      <w:rFonts w:eastAsia="MS Mincho" w:cs="Times New Roman"/>
      <w:b/>
      <w:bCs/>
      <w:caps/>
      <w:color w:val="000000"/>
      <w:lang w:val="en-US"/>
    </w:rPr>
  </w:style>
  <w:style w:type="character" w:customStyle="1" w:styleId="03NumberedHeadingsChar">
    <w:name w:val="03 Numbered Headings Char"/>
    <w:link w:val="03NumberedHeadings"/>
    <w:uiPriority w:val="99"/>
    <w:rsid w:val="00BF2E60"/>
    <w:rPr>
      <w:rFonts w:eastAsia="MS Mincho" w:cs="Times New Roman"/>
      <w:b/>
      <w:bCs/>
      <w:caps/>
      <w:color w:val="000000"/>
    </w:rPr>
  </w:style>
  <w:style w:type="character" w:customStyle="1" w:styleId="11BodyChar">
    <w:name w:val="1.1 Body Char"/>
    <w:link w:val="11Body"/>
    <w:uiPriority w:val="99"/>
    <w:locked/>
    <w:rsid w:val="000D49A4"/>
    <w:rPr>
      <w:rFonts w:ascii="MS Mincho" w:eastAsia="MS Mincho" w:hAnsi="MS Mincho" w:cs="Times New Roman"/>
      <w:bCs/>
      <w:color w:val="000000"/>
    </w:rPr>
  </w:style>
  <w:style w:type="paragraph" w:customStyle="1" w:styleId="11Body">
    <w:name w:val="1.1 Body"/>
    <w:basedOn w:val="03NumberedHeadings"/>
    <w:link w:val="11BodyChar"/>
    <w:uiPriority w:val="99"/>
    <w:qFormat/>
    <w:rsid w:val="000D49A4"/>
    <w:pPr>
      <w:numPr>
        <w:ilvl w:val="1"/>
      </w:numPr>
      <w:tabs>
        <w:tab w:val="num" w:pos="867"/>
      </w:tabs>
      <w:ind w:left="867" w:hanging="867"/>
    </w:pPr>
    <w:rPr>
      <w:rFonts w:ascii="MS Mincho" w:hAnsi="MS Mincho"/>
      <w:b w:val="0"/>
      <w:caps w:val="0"/>
    </w:rPr>
  </w:style>
  <w:style w:type="paragraph" w:customStyle="1" w:styleId="111BodyList">
    <w:name w:val="1.1.1 Body List"/>
    <w:basedOn w:val="03NumberedHeadings"/>
    <w:uiPriority w:val="99"/>
    <w:qFormat/>
    <w:rsid w:val="000D49A4"/>
    <w:pPr>
      <w:numPr>
        <w:ilvl w:val="2"/>
      </w:numPr>
      <w:tabs>
        <w:tab w:val="left" w:pos="1304"/>
      </w:tabs>
    </w:pPr>
    <w:rPr>
      <w:b w:val="0"/>
      <w:caps w:val="0"/>
    </w:rPr>
  </w:style>
  <w:style w:type="character" w:customStyle="1" w:styleId="UnresolvedMention1">
    <w:name w:val="Unresolved Mention1"/>
    <w:basedOn w:val="DefaultParagraphFont"/>
    <w:uiPriority w:val="99"/>
    <w:unhideWhenUsed/>
    <w:rsid w:val="0036161C"/>
    <w:rPr>
      <w:color w:val="605E5C"/>
      <w:shd w:val="clear" w:color="auto" w:fill="E1DFDD"/>
    </w:rPr>
  </w:style>
  <w:style w:type="paragraph" w:customStyle="1" w:styleId="Default">
    <w:name w:val="Default"/>
    <w:uiPriority w:val="99"/>
    <w:rsid w:val="00562E48"/>
    <w:pPr>
      <w:autoSpaceDE w:val="0"/>
      <w:autoSpaceDN w:val="0"/>
      <w:adjustRightInd w:val="0"/>
      <w:spacing w:after="0"/>
    </w:pPr>
    <w:rPr>
      <w:color w:val="000000"/>
      <w:sz w:val="24"/>
      <w:szCs w:val="24"/>
      <w:lang w:val="en-GB"/>
    </w:rPr>
  </w:style>
  <w:style w:type="paragraph" w:styleId="ListBullet">
    <w:name w:val="List Bullet"/>
    <w:basedOn w:val="Normal"/>
    <w:uiPriority w:val="99"/>
    <w:unhideWhenUsed/>
    <w:qFormat/>
    <w:locked/>
    <w:rsid w:val="00DF4795"/>
    <w:pPr>
      <w:numPr>
        <w:numId w:val="18"/>
      </w:numPr>
      <w:spacing w:line="300" w:lineRule="auto"/>
      <w:contextualSpacing/>
    </w:pPr>
    <w:rPr>
      <w:rFonts w:eastAsiaTheme="minorHAnsi" w:cstheme="minorBidi"/>
      <w:color w:val="auto"/>
      <w:szCs w:val="22"/>
      <w:lang w:eastAsia="en-US"/>
    </w:rPr>
  </w:style>
  <w:style w:type="character" w:styleId="FollowedHyperlink">
    <w:name w:val="FollowedHyperlink"/>
    <w:basedOn w:val="DefaultParagraphFont"/>
    <w:uiPriority w:val="99"/>
    <w:semiHidden/>
    <w:unhideWhenUsed/>
    <w:locked/>
    <w:rsid w:val="00DF4795"/>
    <w:rPr>
      <w:color w:val="DF9B1B" w:themeColor="followedHyperlink"/>
      <w:u w:val="single"/>
    </w:rPr>
  </w:style>
  <w:style w:type="character" w:styleId="Strong">
    <w:name w:val="Strong"/>
    <w:basedOn w:val="DefaultParagraphFont"/>
    <w:uiPriority w:val="22"/>
    <w:qFormat/>
    <w:locked/>
    <w:rsid w:val="00422D86"/>
    <w:rPr>
      <w:b/>
      <w:bCs/>
    </w:rPr>
  </w:style>
  <w:style w:type="paragraph" w:customStyle="1" w:styleId="smallserial">
    <w:name w:val="# small serial"/>
    <w:basedOn w:val="Normal"/>
    <w:link w:val="smallserialChar"/>
    <w:uiPriority w:val="99"/>
    <w:qFormat/>
    <w:rsid w:val="00310CEC"/>
    <w:pPr>
      <w:numPr>
        <w:ilvl w:val="1"/>
        <w:numId w:val="19"/>
      </w:numPr>
      <w:spacing w:after="200" w:line="276" w:lineRule="auto"/>
      <w:jc w:val="both"/>
    </w:pPr>
    <w:rPr>
      <w:rFonts w:ascii="Calibri" w:eastAsia="Times New Roman" w:hAnsi="Calibri" w:cs="Times New Roman"/>
      <w:color w:val="auto"/>
      <w:sz w:val="24"/>
      <w:szCs w:val="22"/>
      <w:lang w:eastAsia="en-GB"/>
    </w:rPr>
  </w:style>
  <w:style w:type="character" w:customStyle="1" w:styleId="smallserialChar">
    <w:name w:val="# small serial Char"/>
    <w:link w:val="smallserial"/>
    <w:uiPriority w:val="99"/>
    <w:rsid w:val="00BF2E60"/>
    <w:rPr>
      <w:rFonts w:ascii="Calibri" w:eastAsia="Times New Roman" w:hAnsi="Calibri" w:cs="Times New Roman"/>
      <w:color w:val="auto"/>
      <w:sz w:val="24"/>
      <w:szCs w:val="22"/>
      <w:lang w:val="en-GB" w:eastAsia="en-GB"/>
    </w:rPr>
  </w:style>
  <w:style w:type="paragraph" w:styleId="NormalWeb">
    <w:name w:val="Normal (Web)"/>
    <w:basedOn w:val="Normal"/>
    <w:uiPriority w:val="99"/>
    <w:unhideWhenUsed/>
    <w:locked/>
    <w:rsid w:val="006602C5"/>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Reporttext0">
    <w:name w:val="Report text"/>
    <w:basedOn w:val="Normal"/>
    <w:link w:val="ReporttextCharChar"/>
    <w:uiPriority w:val="99"/>
    <w:rsid w:val="00DE7E67"/>
    <w:pPr>
      <w:keepLines/>
      <w:numPr>
        <w:ilvl w:val="1"/>
        <w:numId w:val="20"/>
      </w:numPr>
    </w:pPr>
    <w:rPr>
      <w:rFonts w:ascii="Times New Roman" w:eastAsia="Times New Roman" w:hAnsi="Times New Roman" w:cs="Times New Roman"/>
      <w:color w:val="auto"/>
      <w:sz w:val="24"/>
      <w:szCs w:val="24"/>
      <w:lang w:eastAsia="en-GB"/>
    </w:rPr>
  </w:style>
  <w:style w:type="character" w:customStyle="1" w:styleId="ReporttextCharChar">
    <w:name w:val="Report text Char Char"/>
    <w:link w:val="Reporttext0"/>
    <w:uiPriority w:val="99"/>
    <w:rsid w:val="00BF2E60"/>
    <w:rPr>
      <w:rFonts w:ascii="Times New Roman" w:eastAsia="Times New Roman" w:hAnsi="Times New Roman" w:cs="Times New Roman"/>
      <w:color w:val="auto"/>
      <w:sz w:val="24"/>
      <w:szCs w:val="24"/>
      <w:lang w:val="en-GB" w:eastAsia="en-GB"/>
    </w:rPr>
  </w:style>
  <w:style w:type="character" w:customStyle="1" w:styleId="Heading4Char1">
    <w:name w:val="Heading 4 Char1"/>
    <w:aliases w:val="Table Char1"/>
    <w:basedOn w:val="DefaultParagraphFont"/>
    <w:uiPriority w:val="2"/>
    <w:semiHidden/>
    <w:rsid w:val="00270765"/>
    <w:rPr>
      <w:rFonts w:asciiTheme="majorHAnsi" w:eastAsiaTheme="majorEastAsia" w:hAnsiTheme="majorHAnsi" w:cstheme="majorBidi"/>
      <w:i/>
      <w:iCs/>
      <w:color w:val="9D5415" w:themeColor="accent1" w:themeShade="BF"/>
      <w:lang w:eastAsia="ja-JP"/>
    </w:rPr>
  </w:style>
  <w:style w:type="character" w:customStyle="1" w:styleId="Heading5Char1">
    <w:name w:val="Heading 5 Char1"/>
    <w:aliases w:val="Table Appendices Char1,Level 3 - i Char1,h5 Char1,1cm Indent Char1,Heading 5(unused) Char1,Level 3 - (i) Char1,Third Level Heading Char1,Response Type Char1,Response Type1 Char1,Response Type2 Char1,Response Type3 Char1,H5 Char1"/>
    <w:basedOn w:val="DefaultParagraphFont"/>
    <w:uiPriority w:val="2"/>
    <w:semiHidden/>
    <w:rsid w:val="00270765"/>
    <w:rPr>
      <w:rFonts w:asciiTheme="majorHAnsi" w:eastAsiaTheme="majorEastAsia" w:hAnsiTheme="majorHAnsi" w:cstheme="majorBidi"/>
      <w:color w:val="9D5415" w:themeColor="accent1" w:themeShade="BF"/>
      <w:lang w:eastAsia="ja-JP"/>
    </w:rPr>
  </w:style>
  <w:style w:type="paragraph" w:customStyle="1" w:styleId="msonormal0">
    <w:name w:val="msonormal"/>
    <w:basedOn w:val="Normal"/>
    <w:uiPriority w:val="99"/>
    <w:rsid w:val="00270765"/>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NumberList">
    <w:name w:val="Number List"/>
    <w:basedOn w:val="Normal"/>
    <w:uiPriority w:val="99"/>
    <w:qFormat/>
    <w:rsid w:val="00BF2E60"/>
    <w:pPr>
      <w:tabs>
        <w:tab w:val="num" w:pos="1928"/>
      </w:tabs>
      <w:spacing w:before="100" w:after="20" w:line="280" w:lineRule="atLeast"/>
      <w:ind w:left="1928" w:hanging="567"/>
    </w:pPr>
    <w:rPr>
      <w:rFonts w:ascii="Times New Roman" w:eastAsiaTheme="minorHAnsi" w:hAnsi="Times New Roman" w:cstheme="minorBidi"/>
      <w:color w:val="D2711C" w:themeColor="accent1"/>
      <w:sz w:val="22"/>
      <w:szCs w:val="22"/>
      <w:lang w:eastAsia="en-US"/>
    </w:rPr>
  </w:style>
  <w:style w:type="paragraph" w:customStyle="1" w:styleId="bodytextwithindent0">
    <w:name w:val="bodytextwithindent"/>
    <w:basedOn w:val="Normal"/>
    <w:uiPriority w:val="99"/>
    <w:rsid w:val="00BF2E60"/>
    <w:pPr>
      <w:spacing w:before="120" w:after="240" w:line="360" w:lineRule="auto"/>
      <w:ind w:left="794"/>
      <w:jc w:val="both"/>
    </w:pPr>
    <w:rPr>
      <w:rFonts w:ascii="Calibri" w:eastAsia="Times New Roman" w:hAnsi="Calibri" w:cs="Times New Roman"/>
      <w:color w:val="auto"/>
      <w:sz w:val="22"/>
      <w:szCs w:val="22"/>
      <w:lang w:eastAsia="en-GB"/>
    </w:rPr>
  </w:style>
  <w:style w:type="paragraph" w:styleId="CommentSubject">
    <w:name w:val="annotation subject"/>
    <w:basedOn w:val="CommentText"/>
    <w:next w:val="CommentText"/>
    <w:link w:val="CommentSubjectChar"/>
    <w:uiPriority w:val="99"/>
    <w:locked/>
    <w:rsid w:val="00BF2E60"/>
    <w:rPr>
      <w:rFonts w:ascii="Arial" w:eastAsiaTheme="minorEastAsia" w:hAnsi="Arial" w:cs="Arial"/>
      <w:b/>
      <w:bCs/>
      <w:color w:val="000000" w:themeColor="text1"/>
      <w:sz w:val="20"/>
      <w:szCs w:val="20"/>
      <w:lang w:eastAsia="ja-JP"/>
    </w:rPr>
  </w:style>
  <w:style w:type="character" w:customStyle="1" w:styleId="CommentSubjectChar">
    <w:name w:val="Comment Subject Char"/>
    <w:basedOn w:val="CommentTextChar"/>
    <w:link w:val="CommentSubject"/>
    <w:uiPriority w:val="99"/>
    <w:rsid w:val="00BF2E60"/>
    <w:rPr>
      <w:rFonts w:ascii="Times New Roman" w:eastAsia="Times New Roman" w:hAnsi="Times New Roman" w:cs="Times New Roman"/>
      <w:b/>
      <w:bCs/>
      <w:color w:val="auto"/>
      <w:sz w:val="24"/>
      <w:szCs w:val="24"/>
      <w:lang w:val="en-GB" w:eastAsia="en-US"/>
    </w:rPr>
  </w:style>
  <w:style w:type="paragraph" w:customStyle="1" w:styleId="ReportHeading1">
    <w:name w:val="Report Heading 1"/>
    <w:basedOn w:val="Heading1"/>
    <w:next w:val="Normal"/>
    <w:link w:val="ReportHeading1Char1"/>
    <w:rsid w:val="00BF2E60"/>
    <w:pPr>
      <w:keepNext w:val="0"/>
      <w:keepLines w:val="0"/>
      <w:numPr>
        <w:numId w:val="0"/>
      </w:numPr>
      <w:spacing w:before="60" w:after="60"/>
    </w:pPr>
    <w:rPr>
      <w:rFonts w:ascii="Times New Roman" w:eastAsia="Times New Roman" w:hAnsi="Times New Roman" w:cs="Times New Roman"/>
      <w:bCs/>
      <w:kern w:val="20"/>
      <w:sz w:val="44"/>
      <w:szCs w:val="20"/>
      <w:lang w:eastAsia="en-GB"/>
    </w:rPr>
  </w:style>
  <w:style w:type="character" w:customStyle="1" w:styleId="ReportHeading1Char1">
    <w:name w:val="Report Heading 1 Char1"/>
    <w:link w:val="ReportHeading1"/>
    <w:rsid w:val="00BF2E60"/>
    <w:rPr>
      <w:rFonts w:ascii="Times New Roman" w:eastAsia="Times New Roman" w:hAnsi="Times New Roman" w:cs="Times New Roman"/>
      <w:b/>
      <w:color w:val="auto"/>
      <w:kern w:val="20"/>
      <w:sz w:val="44"/>
      <w:lang w:val="en-GB" w:eastAsia="en-GB"/>
    </w:rPr>
  </w:style>
  <w:style w:type="character" w:customStyle="1" w:styleId="legds2">
    <w:name w:val="legds2"/>
    <w:basedOn w:val="DefaultParagraphFont"/>
    <w:rsid w:val="00BF2E60"/>
    <w:rPr>
      <w:vanish w:val="0"/>
      <w:webHidden w:val="0"/>
      <w:specVanish w:val="0"/>
    </w:rPr>
  </w:style>
  <w:style w:type="paragraph" w:customStyle="1" w:styleId="Reportlistbullet">
    <w:name w:val="Report list bullet"/>
    <w:basedOn w:val="Normal"/>
    <w:link w:val="ReportlistbulletChar"/>
    <w:rsid w:val="00BF2E60"/>
    <w:pPr>
      <w:tabs>
        <w:tab w:val="num" w:pos="1440"/>
      </w:tabs>
      <w:ind w:left="1440" w:hanging="720"/>
    </w:pPr>
    <w:rPr>
      <w:rFonts w:ascii="Times New Roman" w:eastAsia="Times New Roman" w:hAnsi="Times New Roman" w:cs="Times New Roman"/>
      <w:color w:val="auto"/>
      <w:sz w:val="24"/>
      <w:szCs w:val="24"/>
      <w:lang w:eastAsia="en-GB"/>
    </w:rPr>
  </w:style>
  <w:style w:type="character" w:customStyle="1" w:styleId="ReportlistbulletChar">
    <w:name w:val="Report list bullet Char"/>
    <w:link w:val="Reportlistbullet"/>
    <w:rsid w:val="00BF2E60"/>
    <w:rPr>
      <w:rFonts w:ascii="Times New Roman" w:eastAsia="Times New Roman" w:hAnsi="Times New Roman" w:cs="Times New Roman"/>
      <w:color w:val="auto"/>
      <w:sz w:val="24"/>
      <w:szCs w:val="24"/>
      <w:lang w:val="en-GB" w:eastAsia="en-GB"/>
    </w:rPr>
  </w:style>
  <w:style w:type="paragraph" w:customStyle="1" w:styleId="captionfigures">
    <w:name w:val="caption figures"/>
    <w:basedOn w:val="Normal"/>
    <w:autoRedefine/>
    <w:uiPriority w:val="99"/>
    <w:rsid w:val="00BF2E60"/>
    <w:pPr>
      <w:widowControl w:val="0"/>
      <w:spacing w:before="60" w:after="60" w:line="300" w:lineRule="auto"/>
      <w:jc w:val="center"/>
    </w:pPr>
    <w:rPr>
      <w:rFonts w:eastAsia="Times New Roman"/>
      <w:b/>
      <w:bCs/>
      <w:color w:val="auto"/>
      <w:spacing w:val="-2"/>
      <w:lang w:eastAsia="en-GB"/>
    </w:rPr>
  </w:style>
  <w:style w:type="paragraph" w:customStyle="1" w:styleId="ListParagraph1">
    <w:name w:val="List Paragraph1"/>
    <w:aliases w:val="F5 List Paragraph,List Paragraph11"/>
    <w:basedOn w:val="Normal"/>
    <w:uiPriority w:val="99"/>
    <w:qFormat/>
    <w:rsid w:val="00BF2E60"/>
    <w:pPr>
      <w:ind w:left="720"/>
    </w:pPr>
    <w:rPr>
      <w:rFonts w:ascii="Times New Roman" w:eastAsia="Times New Roman" w:hAnsi="Times New Roman" w:cs="Times New Roman"/>
      <w:color w:val="auto"/>
      <w:sz w:val="24"/>
      <w:szCs w:val="24"/>
      <w:lang w:eastAsia="en-GB"/>
    </w:rPr>
  </w:style>
  <w:style w:type="character" w:customStyle="1" w:styleId="apple-style-span">
    <w:name w:val="apple-style-span"/>
    <w:basedOn w:val="DefaultParagraphFont"/>
    <w:rsid w:val="00BF2E60"/>
  </w:style>
  <w:style w:type="paragraph" w:customStyle="1" w:styleId="ReportHeaderLeft">
    <w:name w:val="Report Header Left"/>
    <w:basedOn w:val="Normal"/>
    <w:uiPriority w:val="99"/>
    <w:rsid w:val="00BF2E60"/>
    <w:pPr>
      <w:pBdr>
        <w:bottom w:val="dotted" w:sz="4" w:space="3" w:color="auto"/>
      </w:pBdr>
      <w:spacing w:after="120"/>
    </w:pPr>
    <w:rPr>
      <w:rFonts w:ascii="Times New Roman" w:eastAsia="Times New Roman" w:hAnsi="Times New Roman" w:cs="Times New Roman"/>
      <w:i/>
      <w:color w:val="000000"/>
      <w:spacing w:val="20"/>
      <w:kern w:val="20"/>
      <w:sz w:val="18"/>
      <w:szCs w:val="18"/>
      <w:lang w:eastAsia="en-GB"/>
    </w:rPr>
  </w:style>
  <w:style w:type="paragraph" w:customStyle="1" w:styleId="ReportFooterRight">
    <w:name w:val="Report Footer Right"/>
    <w:basedOn w:val="Normal"/>
    <w:uiPriority w:val="99"/>
    <w:rsid w:val="00BF2E60"/>
    <w:pPr>
      <w:pBdr>
        <w:top w:val="dotted" w:sz="4" w:space="4" w:color="auto"/>
      </w:pBdr>
      <w:spacing w:before="240"/>
      <w:jc w:val="right"/>
    </w:pPr>
    <w:rPr>
      <w:rFonts w:ascii="Times New Roman" w:eastAsia="Times New Roman" w:hAnsi="Times New Roman" w:cs="Times New Roman"/>
      <w:i/>
      <w:color w:val="000000"/>
      <w:spacing w:val="20"/>
      <w:kern w:val="20"/>
      <w:sz w:val="17"/>
      <w:szCs w:val="17"/>
      <w:lang w:eastAsia="en-GB"/>
    </w:rPr>
  </w:style>
  <w:style w:type="paragraph" w:styleId="PlainText">
    <w:name w:val="Plain Text"/>
    <w:basedOn w:val="Normal"/>
    <w:link w:val="PlainTextChar1"/>
    <w:uiPriority w:val="99"/>
    <w:locked/>
    <w:rsid w:val="00BF2E60"/>
    <w:rPr>
      <w:rFonts w:ascii="Calibri" w:eastAsia="Times New Roman" w:hAnsi="Calibri" w:cs="Times New Roman"/>
      <w:color w:val="auto"/>
      <w:sz w:val="21"/>
      <w:szCs w:val="21"/>
      <w:lang w:eastAsia="en-US"/>
    </w:rPr>
  </w:style>
  <w:style w:type="character" w:customStyle="1" w:styleId="PlainTextChar1">
    <w:name w:val="Plain Text Char1"/>
    <w:link w:val="PlainText"/>
    <w:uiPriority w:val="99"/>
    <w:locked/>
    <w:rsid w:val="00BF2E60"/>
    <w:rPr>
      <w:rFonts w:ascii="Calibri" w:eastAsia="Times New Roman" w:hAnsi="Calibri" w:cs="Times New Roman"/>
      <w:color w:val="auto"/>
      <w:sz w:val="21"/>
      <w:szCs w:val="21"/>
      <w:lang w:val="en-GB" w:eastAsia="en-US"/>
    </w:rPr>
  </w:style>
  <w:style w:type="character" w:customStyle="1" w:styleId="PlainTextChar">
    <w:name w:val="Plain Text Char"/>
    <w:basedOn w:val="DefaultParagraphFont"/>
    <w:uiPriority w:val="99"/>
    <w:rsid w:val="00BF2E60"/>
    <w:rPr>
      <w:rFonts w:ascii="Consolas" w:hAnsi="Consolas" w:cs="Consolas"/>
      <w:sz w:val="21"/>
      <w:szCs w:val="21"/>
      <w:lang w:val="en-GB"/>
    </w:rPr>
  </w:style>
  <w:style w:type="paragraph" w:customStyle="1" w:styleId="ListParagraph2">
    <w:name w:val="List Paragraph2"/>
    <w:basedOn w:val="Normal"/>
    <w:uiPriority w:val="99"/>
    <w:qFormat/>
    <w:rsid w:val="00BF2E60"/>
    <w:pPr>
      <w:ind w:left="720"/>
    </w:pPr>
    <w:rPr>
      <w:rFonts w:ascii="Times New Roman" w:eastAsia="Times New Roman" w:hAnsi="Times New Roman" w:cs="Times New Roman"/>
      <w:color w:val="auto"/>
      <w:sz w:val="24"/>
      <w:szCs w:val="24"/>
      <w:lang w:eastAsia="en-GB"/>
    </w:rPr>
  </w:style>
  <w:style w:type="paragraph" w:customStyle="1" w:styleId="Subnumbers">
    <w:name w:val="Sub numbers"/>
    <w:basedOn w:val="Numbers"/>
    <w:rsid w:val="00BF2E60"/>
  </w:style>
  <w:style w:type="paragraph" w:customStyle="1" w:styleId="Numbers">
    <w:name w:val="Numbers"/>
    <w:basedOn w:val="Normal"/>
    <w:uiPriority w:val="99"/>
    <w:rsid w:val="00BF2E60"/>
    <w:pPr>
      <w:tabs>
        <w:tab w:val="num" w:pos="567"/>
      </w:tabs>
      <w:spacing w:before="120"/>
      <w:ind w:left="567" w:hanging="567"/>
    </w:pPr>
    <w:rPr>
      <w:rFonts w:ascii="Gill Sans MT" w:eastAsia="Times New Roman" w:hAnsi="Gill Sans MT" w:cs="Times New Roman"/>
      <w:color w:val="auto"/>
      <w:sz w:val="24"/>
      <w:lang w:eastAsia="en-US"/>
    </w:rPr>
  </w:style>
  <w:style w:type="paragraph" w:customStyle="1" w:styleId="SubnumbersDouble">
    <w:name w:val="Sub numbers (Double)"/>
    <w:basedOn w:val="Normal"/>
    <w:uiPriority w:val="99"/>
    <w:rsid w:val="00BF2E60"/>
    <w:pPr>
      <w:tabs>
        <w:tab w:val="num" w:pos="567"/>
      </w:tabs>
      <w:spacing w:before="120"/>
      <w:ind w:left="567" w:hanging="567"/>
    </w:pPr>
    <w:rPr>
      <w:rFonts w:ascii="Gill Sans MT" w:eastAsia="Times New Roman" w:hAnsi="Gill Sans MT"/>
      <w:bCs/>
      <w:color w:val="auto"/>
      <w:sz w:val="24"/>
      <w:szCs w:val="24"/>
      <w:lang w:eastAsia="en-US"/>
    </w:rPr>
  </w:style>
  <w:style w:type="paragraph" w:customStyle="1" w:styleId="StyleListParagraphArial10ptJustified">
    <w:name w:val="Style List Paragraph + Arial 10 pt Justified"/>
    <w:basedOn w:val="ListParagraph"/>
    <w:uiPriority w:val="99"/>
    <w:rsid w:val="00BF2E60"/>
    <w:pPr>
      <w:spacing w:after="200" w:line="276" w:lineRule="auto"/>
      <w:contextualSpacing w:val="0"/>
    </w:pPr>
    <w:rPr>
      <w:rFonts w:eastAsia="Times New Roman" w:cs="Times New Roman"/>
      <w:lang w:eastAsia="en-GB"/>
    </w:rPr>
  </w:style>
  <w:style w:type="paragraph" w:customStyle="1" w:styleId="ReportHeaderRight">
    <w:name w:val="Report Header Right"/>
    <w:basedOn w:val="Normal"/>
    <w:uiPriority w:val="99"/>
    <w:rsid w:val="00BF2E60"/>
    <w:pPr>
      <w:pBdr>
        <w:bottom w:val="dotted" w:sz="4" w:space="3" w:color="auto"/>
      </w:pBdr>
      <w:spacing w:after="120"/>
      <w:jc w:val="right"/>
    </w:pPr>
    <w:rPr>
      <w:rFonts w:ascii="Times New Roman" w:eastAsia="Times New Roman" w:hAnsi="Times New Roman" w:cs="Times New Roman"/>
      <w:i/>
      <w:color w:val="000000"/>
      <w:spacing w:val="20"/>
      <w:kern w:val="20"/>
      <w:sz w:val="18"/>
      <w:szCs w:val="18"/>
      <w:lang w:eastAsia="en-GB"/>
    </w:rPr>
  </w:style>
  <w:style w:type="paragraph" w:customStyle="1" w:styleId="Body2">
    <w:name w:val="Body 2"/>
    <w:basedOn w:val="Normal"/>
    <w:uiPriority w:val="99"/>
    <w:rsid w:val="00BF2E60"/>
    <w:pPr>
      <w:ind w:left="851"/>
    </w:pPr>
    <w:rPr>
      <w:rFonts w:eastAsia="Times New Roman" w:cs="Times New Roman"/>
      <w:color w:val="auto"/>
      <w:sz w:val="24"/>
      <w:lang w:eastAsia="en-GB"/>
    </w:rPr>
  </w:style>
  <w:style w:type="character" w:customStyle="1" w:styleId="BodyORANGEChar">
    <w:name w:val="Body ORANGE Char"/>
    <w:link w:val="BodyORANGE"/>
    <w:locked/>
    <w:rsid w:val="00BF2E60"/>
    <w:rPr>
      <w:color w:val="4F81BD"/>
      <w:spacing w:val="-4"/>
      <w:lang w:eastAsia="en-GB"/>
    </w:rPr>
  </w:style>
  <w:style w:type="paragraph" w:customStyle="1" w:styleId="BodyORANGE">
    <w:name w:val="Body ORANGE"/>
    <w:next w:val="BodyText1"/>
    <w:link w:val="BodyORANGEChar"/>
    <w:rsid w:val="00BF2E60"/>
    <w:pPr>
      <w:spacing w:before="200" w:after="120"/>
    </w:pPr>
    <w:rPr>
      <w:color w:val="4F81BD"/>
      <w:spacing w:val="-4"/>
      <w:lang w:eastAsia="en-GB"/>
    </w:rPr>
  </w:style>
  <w:style w:type="character" w:customStyle="1" w:styleId="apple-converted-space">
    <w:name w:val="apple-converted-space"/>
    <w:rsid w:val="00BF2E60"/>
  </w:style>
  <w:style w:type="paragraph" w:styleId="BodyText2">
    <w:name w:val="Body Text 2"/>
    <w:basedOn w:val="Normal"/>
    <w:link w:val="BodyText2Char"/>
    <w:uiPriority w:val="99"/>
    <w:locked/>
    <w:rsid w:val="00BF2E60"/>
    <w:pPr>
      <w:spacing w:after="120" w:line="480" w:lineRule="auto"/>
    </w:pPr>
    <w:rPr>
      <w:rFonts w:ascii="Times New Roman" w:eastAsia="Times New Roman" w:hAnsi="Times New Roman" w:cs="Times New Roman"/>
      <w:color w:val="auto"/>
      <w:sz w:val="24"/>
      <w:szCs w:val="24"/>
      <w:lang w:eastAsia="en-GB"/>
    </w:rPr>
  </w:style>
  <w:style w:type="character" w:customStyle="1" w:styleId="BodyText2Char">
    <w:name w:val="Body Text 2 Char"/>
    <w:basedOn w:val="DefaultParagraphFont"/>
    <w:link w:val="BodyText2"/>
    <w:uiPriority w:val="99"/>
    <w:rsid w:val="00BF2E60"/>
    <w:rPr>
      <w:rFonts w:ascii="Times New Roman" w:eastAsia="Times New Roman" w:hAnsi="Times New Roman" w:cs="Times New Roman"/>
      <w:color w:val="auto"/>
      <w:sz w:val="24"/>
      <w:szCs w:val="24"/>
      <w:lang w:val="en-GB" w:eastAsia="en-GB"/>
    </w:rPr>
  </w:style>
  <w:style w:type="paragraph" w:customStyle="1" w:styleId="StyleReporttextLinespacing15lines">
    <w:name w:val="Style Report text + Line spacing:  1.5 lines"/>
    <w:basedOn w:val="Reporttext0"/>
    <w:uiPriority w:val="99"/>
    <w:rsid w:val="00BF2E60"/>
    <w:pPr>
      <w:numPr>
        <w:numId w:val="15"/>
      </w:numPr>
    </w:pPr>
  </w:style>
  <w:style w:type="paragraph" w:customStyle="1" w:styleId="ReportHeading2">
    <w:name w:val="Report Heading 2"/>
    <w:basedOn w:val="Heading2"/>
    <w:next w:val="Normal"/>
    <w:link w:val="ReportHeading2Char"/>
    <w:uiPriority w:val="99"/>
    <w:rsid w:val="00BF2E60"/>
    <w:pPr>
      <w:tabs>
        <w:tab w:val="left" w:pos="0"/>
      </w:tabs>
      <w:spacing w:before="0" w:after="240"/>
      <w:ind w:left="0"/>
    </w:pPr>
    <w:rPr>
      <w:rFonts w:ascii="Times New Roman" w:eastAsia="Times New Roman" w:hAnsi="Times New Roman" w:cs="Times New Roman"/>
      <w:bCs/>
      <w:color w:val="auto"/>
      <w:kern w:val="20"/>
      <w:sz w:val="24"/>
      <w:szCs w:val="20"/>
      <w:lang w:eastAsia="en-GB"/>
    </w:rPr>
  </w:style>
  <w:style w:type="character" w:customStyle="1" w:styleId="ReportHeading2Char">
    <w:name w:val="Report Heading 2 Char"/>
    <w:link w:val="ReportHeading2"/>
    <w:uiPriority w:val="99"/>
    <w:rsid w:val="00BF2E60"/>
    <w:rPr>
      <w:rFonts w:ascii="Times New Roman" w:eastAsia="Times New Roman" w:hAnsi="Times New Roman" w:cs="Times New Roman"/>
      <w:b/>
      <w:color w:val="auto"/>
      <w:kern w:val="20"/>
      <w:sz w:val="24"/>
      <w:lang w:val="en-GB" w:eastAsia="en-GB"/>
    </w:rPr>
  </w:style>
  <w:style w:type="paragraph" w:customStyle="1" w:styleId="ReportSourceundertable">
    <w:name w:val="Report Source under table"/>
    <w:basedOn w:val="Normal"/>
    <w:next w:val="Normal"/>
    <w:link w:val="ReportSourceundertableChar"/>
    <w:uiPriority w:val="99"/>
    <w:rsid w:val="00BF2E60"/>
    <w:pPr>
      <w:jc w:val="center"/>
    </w:pPr>
    <w:rPr>
      <w:rFonts w:ascii="Arial Narrow" w:eastAsia="Times New Roman" w:hAnsi="Arial Narrow"/>
      <w:iCs/>
      <w:color w:val="000000"/>
      <w:szCs w:val="24"/>
      <w:lang w:eastAsia="en-GB"/>
    </w:rPr>
  </w:style>
  <w:style w:type="character" w:customStyle="1" w:styleId="ReportSourceundertableChar">
    <w:name w:val="Report Source under table Char"/>
    <w:link w:val="ReportSourceundertable"/>
    <w:uiPriority w:val="99"/>
    <w:rsid w:val="00BF2E60"/>
    <w:rPr>
      <w:rFonts w:ascii="Arial Narrow" w:eastAsia="Times New Roman" w:hAnsi="Arial Narrow"/>
      <w:iCs/>
      <w:color w:val="000000"/>
      <w:szCs w:val="24"/>
      <w:lang w:val="en-GB" w:eastAsia="en-GB"/>
    </w:rPr>
  </w:style>
  <w:style w:type="paragraph" w:styleId="List">
    <w:name w:val="List"/>
    <w:basedOn w:val="Normal"/>
    <w:uiPriority w:val="99"/>
    <w:locked/>
    <w:rsid w:val="00BF2E60"/>
    <w:pPr>
      <w:ind w:left="283" w:hanging="283"/>
    </w:pPr>
    <w:rPr>
      <w:rFonts w:ascii="Times New Roman" w:eastAsia="Times New Roman" w:hAnsi="Times New Roman" w:cs="Times New Roman"/>
      <w:color w:val="auto"/>
      <w:sz w:val="24"/>
      <w:szCs w:val="24"/>
      <w:lang w:eastAsia="en-GB"/>
    </w:rPr>
  </w:style>
  <w:style w:type="paragraph" w:customStyle="1" w:styleId="Caption1">
    <w:name w:val="Caption1"/>
    <w:basedOn w:val="Normal"/>
    <w:next w:val="Normal"/>
    <w:link w:val="captionChar0"/>
    <w:uiPriority w:val="99"/>
    <w:rsid w:val="00BF2E60"/>
    <w:pPr>
      <w:keepNext/>
      <w:spacing w:before="120" w:after="120"/>
      <w:jc w:val="center"/>
    </w:pPr>
    <w:rPr>
      <w:rFonts w:ascii="Times New Roman" w:eastAsia="Times New Roman" w:hAnsi="Times New Roman"/>
      <w:b/>
      <w:bCs/>
      <w:color w:val="auto"/>
      <w:sz w:val="24"/>
      <w:szCs w:val="24"/>
      <w:lang w:eastAsia="en-GB"/>
    </w:rPr>
  </w:style>
  <w:style w:type="character" w:customStyle="1" w:styleId="captionChar0">
    <w:name w:val="caption Char"/>
    <w:link w:val="Caption1"/>
    <w:uiPriority w:val="99"/>
    <w:rsid w:val="00BF2E60"/>
    <w:rPr>
      <w:rFonts w:ascii="Times New Roman" w:eastAsia="Times New Roman" w:hAnsi="Times New Roman"/>
      <w:b/>
      <w:bCs/>
      <w:color w:val="auto"/>
      <w:sz w:val="24"/>
      <w:szCs w:val="24"/>
      <w:lang w:val="en-GB" w:eastAsia="en-GB"/>
    </w:rPr>
  </w:style>
  <w:style w:type="paragraph" w:customStyle="1" w:styleId="Reportsourceundertable0">
    <w:name w:val="Report source under table"/>
    <w:basedOn w:val="Normal"/>
    <w:next w:val="Normal"/>
    <w:uiPriority w:val="99"/>
    <w:rsid w:val="00BF2E60"/>
    <w:pPr>
      <w:jc w:val="center"/>
    </w:pPr>
    <w:rPr>
      <w:rFonts w:ascii="Arial Narrow" w:eastAsia="Times New Roman" w:hAnsi="Arial Narrow" w:cs="Times New Roman"/>
      <w:color w:val="auto"/>
      <w:szCs w:val="24"/>
      <w:lang w:eastAsia="en-GB"/>
    </w:rPr>
  </w:style>
  <w:style w:type="paragraph" w:customStyle="1" w:styleId="Caption2">
    <w:name w:val="Caption2"/>
    <w:basedOn w:val="Normal"/>
    <w:next w:val="Normal"/>
    <w:uiPriority w:val="99"/>
    <w:rsid w:val="00BF2E60"/>
    <w:pPr>
      <w:keepNext/>
      <w:spacing w:before="120" w:after="120"/>
      <w:jc w:val="center"/>
    </w:pPr>
    <w:rPr>
      <w:rFonts w:ascii="Times New Roman" w:eastAsia="Times New Roman" w:hAnsi="Times New Roman"/>
      <w:b/>
      <w:bCs/>
      <w:color w:val="auto"/>
      <w:sz w:val="24"/>
      <w:szCs w:val="24"/>
      <w:lang w:eastAsia="en-GB"/>
    </w:rPr>
  </w:style>
  <w:style w:type="paragraph" w:customStyle="1" w:styleId="ReportText">
    <w:name w:val="Report Text"/>
    <w:basedOn w:val="Normal"/>
    <w:uiPriority w:val="99"/>
    <w:rsid w:val="00BF2E60"/>
    <w:pPr>
      <w:keepLines/>
      <w:numPr>
        <w:ilvl w:val="1"/>
        <w:numId w:val="21"/>
      </w:numPr>
      <w:tabs>
        <w:tab w:val="num" w:pos="360"/>
        <w:tab w:val="left" w:pos="720"/>
      </w:tabs>
      <w:ind w:left="0" w:firstLine="0"/>
    </w:pPr>
    <w:rPr>
      <w:rFonts w:ascii="Times New Roman" w:eastAsia="Times New Roman" w:hAnsi="Times New Roman" w:cs="Times New Roman"/>
      <w:color w:val="auto"/>
      <w:sz w:val="24"/>
      <w:szCs w:val="24"/>
      <w:lang w:eastAsia="en-GB"/>
    </w:rPr>
  </w:style>
  <w:style w:type="paragraph" w:customStyle="1" w:styleId="BlueBullet">
    <w:name w:val="Blue Bullet"/>
    <w:basedOn w:val="111BodyList"/>
    <w:link w:val="BlueBulletChar"/>
    <w:uiPriority w:val="99"/>
    <w:qFormat/>
    <w:rsid w:val="0036161C"/>
    <w:pPr>
      <w:numPr>
        <w:numId w:val="25"/>
      </w:numPr>
      <w:tabs>
        <w:tab w:val="num" w:pos="1021"/>
      </w:tabs>
      <w:ind w:left="1021" w:hanging="1021"/>
    </w:pPr>
  </w:style>
  <w:style w:type="character" w:customStyle="1" w:styleId="BlueBulletChar">
    <w:name w:val="Blue Bullet Char"/>
    <w:link w:val="BlueBullet"/>
    <w:uiPriority w:val="99"/>
    <w:rsid w:val="00BF2E60"/>
    <w:rPr>
      <w:rFonts w:eastAsia="MS Mincho" w:cs="Times New Roman"/>
      <w:bCs/>
      <w:color w:val="000000"/>
    </w:rPr>
  </w:style>
  <w:style w:type="character" w:customStyle="1" w:styleId="CharChar5">
    <w:name w:val="Char Char5"/>
    <w:locked/>
    <w:rsid w:val="00BF2E60"/>
    <w:rPr>
      <w:rFonts w:ascii="Courier New" w:hAnsi="Courier New" w:cs="Courier New"/>
      <w:lang w:val="en-GB" w:eastAsia="en-GB" w:bidi="ar-SA"/>
    </w:rPr>
  </w:style>
  <w:style w:type="paragraph" w:customStyle="1" w:styleId="SubHeading">
    <w:name w:val="SubHeading"/>
    <w:basedOn w:val="Normal"/>
    <w:link w:val="SubHeadingChar"/>
    <w:qFormat/>
    <w:rsid w:val="00BF2E60"/>
    <w:pPr>
      <w:spacing w:before="240" w:line="240" w:lineRule="exact"/>
      <w:ind w:left="1021"/>
    </w:pPr>
    <w:rPr>
      <w:rFonts w:eastAsia="MS Mincho"/>
      <w:b/>
      <w:color w:val="000000"/>
      <w:szCs w:val="18"/>
    </w:rPr>
  </w:style>
  <w:style w:type="character" w:customStyle="1" w:styleId="SubHeadingChar">
    <w:name w:val="SubHeading Char"/>
    <w:link w:val="SubHeading"/>
    <w:rsid w:val="00BF2E60"/>
    <w:rPr>
      <w:rFonts w:eastAsia="MS Mincho"/>
      <w:b/>
      <w:color w:val="000000"/>
      <w:szCs w:val="18"/>
      <w:lang w:val="en-GB"/>
    </w:rPr>
  </w:style>
  <w:style w:type="paragraph" w:styleId="Title">
    <w:name w:val="Title"/>
    <w:basedOn w:val="Normal"/>
    <w:link w:val="TitleChar"/>
    <w:uiPriority w:val="99"/>
    <w:qFormat/>
    <w:locked/>
    <w:rsid w:val="00BF2E60"/>
    <w:pPr>
      <w:jc w:val="center"/>
    </w:pPr>
    <w:rPr>
      <w:rFonts w:eastAsia="Times New Roman" w:cs="Times New Roman"/>
      <w:b/>
      <w:color w:val="000000"/>
      <w:lang w:eastAsia="en-US"/>
    </w:rPr>
  </w:style>
  <w:style w:type="character" w:customStyle="1" w:styleId="TitleChar">
    <w:name w:val="Title Char"/>
    <w:basedOn w:val="DefaultParagraphFont"/>
    <w:link w:val="Title"/>
    <w:uiPriority w:val="99"/>
    <w:rsid w:val="00BF2E60"/>
    <w:rPr>
      <w:rFonts w:eastAsia="Times New Roman" w:cs="Times New Roman"/>
      <w:b/>
      <w:color w:val="000000"/>
      <w:lang w:val="en-GB" w:eastAsia="en-US"/>
    </w:rPr>
  </w:style>
  <w:style w:type="paragraph" w:styleId="BodyTextIndent3">
    <w:name w:val="Body Text Indent 3"/>
    <w:basedOn w:val="Normal"/>
    <w:link w:val="BodyTextIndent3Char"/>
    <w:uiPriority w:val="99"/>
    <w:locked/>
    <w:rsid w:val="00BF2E60"/>
    <w:pPr>
      <w:spacing w:after="120"/>
      <w:ind w:left="283"/>
    </w:pPr>
    <w:rPr>
      <w:rFonts w:eastAsia="Times New Roman" w:cs="Times New Roman"/>
      <w:color w:val="auto"/>
      <w:sz w:val="16"/>
      <w:szCs w:val="16"/>
      <w:lang w:eastAsia="en-US"/>
    </w:rPr>
  </w:style>
  <w:style w:type="character" w:customStyle="1" w:styleId="BodyTextIndent3Char">
    <w:name w:val="Body Text Indent 3 Char"/>
    <w:basedOn w:val="DefaultParagraphFont"/>
    <w:link w:val="BodyTextIndent3"/>
    <w:uiPriority w:val="99"/>
    <w:rsid w:val="00BF2E60"/>
    <w:rPr>
      <w:rFonts w:eastAsia="Times New Roman" w:cs="Times New Roman"/>
      <w:color w:val="auto"/>
      <w:sz w:val="16"/>
      <w:szCs w:val="16"/>
      <w:lang w:val="en-GB" w:eastAsia="en-US"/>
    </w:rPr>
  </w:style>
  <w:style w:type="paragraph" w:customStyle="1" w:styleId="Caption21">
    <w:name w:val="Caption21"/>
    <w:basedOn w:val="Normal"/>
    <w:next w:val="Normal"/>
    <w:uiPriority w:val="99"/>
    <w:rsid w:val="00BF2E60"/>
    <w:pPr>
      <w:keepNext/>
      <w:spacing w:before="120" w:after="120"/>
      <w:jc w:val="center"/>
    </w:pPr>
    <w:rPr>
      <w:rFonts w:eastAsia="Times New Roman"/>
      <w:b/>
      <w:bCs/>
      <w:color w:val="auto"/>
      <w:sz w:val="24"/>
      <w:szCs w:val="24"/>
      <w:lang w:eastAsia="en-GB"/>
    </w:rPr>
  </w:style>
  <w:style w:type="paragraph" w:styleId="z-BottomofForm">
    <w:name w:val="HTML Bottom of Form"/>
    <w:basedOn w:val="Normal"/>
    <w:next w:val="Normal"/>
    <w:link w:val="z-BottomofFormChar"/>
    <w:hidden/>
    <w:rsid w:val="00BF2E60"/>
    <w:pPr>
      <w:pBdr>
        <w:top w:val="single" w:sz="6" w:space="1" w:color="auto"/>
      </w:pBdr>
      <w:jc w:val="center"/>
    </w:pPr>
    <w:rPr>
      <w:rFonts w:eastAsia="Times New Roman"/>
      <w:vanish/>
      <w:color w:val="auto"/>
      <w:sz w:val="16"/>
      <w:szCs w:val="16"/>
      <w:lang w:eastAsia="en-GB"/>
    </w:rPr>
  </w:style>
  <w:style w:type="character" w:customStyle="1" w:styleId="z-BottomofFormChar">
    <w:name w:val="z-Bottom of Form Char"/>
    <w:basedOn w:val="DefaultParagraphFont"/>
    <w:link w:val="z-BottomofForm"/>
    <w:rsid w:val="00BF2E60"/>
    <w:rPr>
      <w:rFonts w:eastAsia="Times New Roman"/>
      <w:vanish/>
      <w:color w:val="auto"/>
      <w:sz w:val="16"/>
      <w:szCs w:val="16"/>
      <w:lang w:val="en-GB" w:eastAsia="en-GB"/>
    </w:rPr>
  </w:style>
  <w:style w:type="paragraph" w:customStyle="1" w:styleId="bullets">
    <w:name w:val="bullets"/>
    <w:basedOn w:val="111BodyList"/>
    <w:link w:val="bulletsChar"/>
    <w:qFormat/>
    <w:rsid w:val="005E4A26"/>
    <w:pPr>
      <w:numPr>
        <w:ilvl w:val="0"/>
        <w:numId w:val="0"/>
      </w:numPr>
    </w:pPr>
  </w:style>
  <w:style w:type="character" w:customStyle="1" w:styleId="bulletsChar">
    <w:name w:val="bullets Char"/>
    <w:link w:val="bullets"/>
    <w:uiPriority w:val="99"/>
    <w:rsid w:val="00BF2E60"/>
    <w:rPr>
      <w:rFonts w:eastAsia="MS Mincho" w:cs="Times New Roman"/>
      <w:bCs/>
      <w:color w:val="000000"/>
    </w:rPr>
  </w:style>
  <w:style w:type="paragraph" w:customStyle="1" w:styleId="05Tableheading">
    <w:name w:val="05 Table heading"/>
    <w:basedOn w:val="Normal"/>
    <w:next w:val="Normal"/>
    <w:uiPriority w:val="99"/>
    <w:qFormat/>
    <w:rsid w:val="00BF2E60"/>
    <w:pPr>
      <w:tabs>
        <w:tab w:val="num" w:pos="1021"/>
      </w:tabs>
      <w:spacing w:line="300" w:lineRule="exact"/>
      <w:ind w:left="1021" w:hanging="1021"/>
    </w:pPr>
    <w:rPr>
      <w:rFonts w:eastAsia="MS Mincho"/>
      <w:b/>
      <w:bCs/>
      <w:color w:val="000000"/>
      <w:sz w:val="24"/>
      <w:szCs w:val="24"/>
    </w:rPr>
  </w:style>
  <w:style w:type="paragraph" w:customStyle="1" w:styleId="10aIndenttext">
    <w:name w:val="10a Indent text"/>
    <w:basedOn w:val="Normal"/>
    <w:next w:val="03NumberedHeadings"/>
    <w:link w:val="10aIndenttextChar"/>
    <w:qFormat/>
    <w:rsid w:val="00BF2E60"/>
    <w:pPr>
      <w:spacing w:line="240" w:lineRule="exact"/>
      <w:ind w:left="1021"/>
    </w:pPr>
    <w:rPr>
      <w:rFonts w:eastAsia="MS Mincho" w:cs="Times New Roman"/>
      <w:color w:val="000000"/>
      <w:szCs w:val="18"/>
      <w:lang w:eastAsia="en-GB"/>
    </w:rPr>
  </w:style>
  <w:style w:type="character" w:customStyle="1" w:styleId="10aIndenttextChar">
    <w:name w:val="10a Indent text Char"/>
    <w:link w:val="10aIndenttext"/>
    <w:locked/>
    <w:rsid w:val="00BF2E60"/>
    <w:rPr>
      <w:rFonts w:eastAsia="MS Mincho" w:cs="Times New Roman"/>
      <w:color w:val="000000"/>
      <w:szCs w:val="18"/>
      <w:lang w:val="en-GB" w:eastAsia="en-GB"/>
    </w:rPr>
  </w:style>
  <w:style w:type="paragraph" w:customStyle="1" w:styleId="immtextalignjustify1">
    <w:name w:val="immtextalign_justify1"/>
    <w:basedOn w:val="Normal"/>
    <w:uiPriority w:val="99"/>
    <w:rsid w:val="00BF2E60"/>
    <w:pPr>
      <w:jc w:val="both"/>
    </w:pPr>
    <w:rPr>
      <w:rFonts w:ascii="Times New Roman" w:eastAsia="Calibri" w:hAnsi="Times New Roman" w:cs="Times New Roman"/>
      <w:color w:val="auto"/>
      <w:sz w:val="24"/>
      <w:szCs w:val="24"/>
      <w:lang w:eastAsia="en-GB"/>
    </w:rPr>
  </w:style>
  <w:style w:type="paragraph" w:customStyle="1" w:styleId="ListParagraph3">
    <w:name w:val="List Paragraph3"/>
    <w:basedOn w:val="Normal"/>
    <w:uiPriority w:val="99"/>
    <w:qFormat/>
    <w:rsid w:val="00BF2E60"/>
    <w:pPr>
      <w:ind w:left="720"/>
    </w:pPr>
    <w:rPr>
      <w:rFonts w:ascii="Times New Roman" w:eastAsia="Times New Roman" w:hAnsi="Times New Roman" w:cs="Times New Roman"/>
      <w:color w:val="auto"/>
      <w:sz w:val="24"/>
      <w:szCs w:val="24"/>
      <w:lang w:eastAsia="en-GB"/>
    </w:rPr>
  </w:style>
  <w:style w:type="character" w:customStyle="1" w:styleId="CharChar2">
    <w:name w:val="Char Char2"/>
    <w:rsid w:val="00BF2E60"/>
    <w:rPr>
      <w:rFonts w:ascii="Courier New" w:hAnsi="Courier New" w:cs="Courier New"/>
      <w:lang w:val="en-GB" w:eastAsia="en-GB" w:bidi="ar-SA"/>
    </w:rPr>
  </w:style>
  <w:style w:type="paragraph" w:customStyle="1" w:styleId="Headmain">
    <w:name w:val="Head main"/>
    <w:basedOn w:val="Normal"/>
    <w:next w:val="Normal"/>
    <w:link w:val="HeadmainChar"/>
    <w:rsid w:val="00BF2E60"/>
    <w:pPr>
      <w:spacing w:after="200" w:line="276" w:lineRule="auto"/>
      <w:outlineLvl w:val="1"/>
    </w:pPr>
    <w:rPr>
      <w:rFonts w:ascii="Calibri" w:eastAsia="Times New Roman" w:hAnsi="Calibri" w:cs="Times New Roman"/>
      <w:b/>
      <w:color w:val="4F81BD"/>
      <w:sz w:val="32"/>
      <w:szCs w:val="22"/>
      <w:lang w:eastAsia="en-US"/>
    </w:rPr>
  </w:style>
  <w:style w:type="character" w:customStyle="1" w:styleId="HeadmainChar">
    <w:name w:val="Head main Char"/>
    <w:link w:val="Headmain"/>
    <w:locked/>
    <w:rsid w:val="00BF2E60"/>
    <w:rPr>
      <w:rFonts w:ascii="Calibri" w:eastAsia="Times New Roman" w:hAnsi="Calibri" w:cs="Times New Roman"/>
      <w:b/>
      <w:color w:val="4F81BD"/>
      <w:sz w:val="32"/>
      <w:szCs w:val="22"/>
      <w:lang w:val="en-GB" w:eastAsia="en-US"/>
    </w:rPr>
  </w:style>
  <w:style w:type="paragraph" w:customStyle="1" w:styleId="Headsub">
    <w:name w:val="Head sub"/>
    <w:basedOn w:val="Normal"/>
    <w:next w:val="Normal"/>
    <w:link w:val="HeadsubChar"/>
    <w:rsid w:val="00BF2E60"/>
    <w:pPr>
      <w:keepNext/>
      <w:spacing w:after="240"/>
      <w:outlineLvl w:val="1"/>
    </w:pPr>
    <w:rPr>
      <w:rFonts w:ascii="Calibri" w:eastAsia="Times New Roman" w:hAnsi="Calibri" w:cs="Tahoma"/>
      <w:b/>
      <w:bCs/>
      <w:iCs/>
      <w:color w:val="4F81BD"/>
      <w:sz w:val="22"/>
      <w:szCs w:val="22"/>
      <w:lang w:eastAsia="en-GB"/>
    </w:rPr>
  </w:style>
  <w:style w:type="character" w:customStyle="1" w:styleId="HeadsubChar">
    <w:name w:val="Head sub Char"/>
    <w:link w:val="Headsub"/>
    <w:locked/>
    <w:rsid w:val="00BF2E60"/>
    <w:rPr>
      <w:rFonts w:ascii="Calibri" w:eastAsia="Times New Roman" w:hAnsi="Calibri" w:cs="Tahoma"/>
      <w:b/>
      <w:bCs/>
      <w:iCs/>
      <w:color w:val="4F81BD"/>
      <w:sz w:val="22"/>
      <w:szCs w:val="22"/>
      <w:lang w:val="en-GB" w:eastAsia="en-GB"/>
    </w:rPr>
  </w:style>
  <w:style w:type="paragraph" w:customStyle="1" w:styleId="bullet">
    <w:name w:val="bullet"/>
    <w:basedOn w:val="Normal"/>
    <w:link w:val="bulletChar"/>
    <w:uiPriority w:val="99"/>
    <w:qFormat/>
    <w:rsid w:val="00BF2E60"/>
    <w:pPr>
      <w:numPr>
        <w:numId w:val="22"/>
      </w:numPr>
      <w:spacing w:after="80" w:line="276" w:lineRule="auto"/>
    </w:pPr>
    <w:rPr>
      <w:rFonts w:ascii="Calibri" w:eastAsia="Times New Roman" w:hAnsi="Calibri" w:cs="Times New Roman"/>
      <w:color w:val="auto"/>
      <w:sz w:val="22"/>
      <w:szCs w:val="22"/>
      <w:lang w:eastAsia="en-GB"/>
    </w:rPr>
  </w:style>
  <w:style w:type="character" w:customStyle="1" w:styleId="bulletChar">
    <w:name w:val="bullet Char"/>
    <w:link w:val="bullet"/>
    <w:uiPriority w:val="99"/>
    <w:locked/>
    <w:rsid w:val="00BF2E60"/>
    <w:rPr>
      <w:rFonts w:ascii="Calibri" w:eastAsia="Times New Roman" w:hAnsi="Calibri" w:cs="Times New Roman"/>
      <w:color w:val="auto"/>
      <w:sz w:val="22"/>
      <w:szCs w:val="22"/>
      <w:lang w:val="en-GB" w:eastAsia="en-GB"/>
    </w:rPr>
  </w:style>
  <w:style w:type="paragraph" w:styleId="BodyTextIndent">
    <w:name w:val="Body Text Indent"/>
    <w:basedOn w:val="Normal"/>
    <w:link w:val="BodyTextIndentChar"/>
    <w:uiPriority w:val="99"/>
    <w:locked/>
    <w:rsid w:val="00BF2E60"/>
    <w:pPr>
      <w:spacing w:after="120"/>
      <w:ind w:left="283"/>
    </w:pPr>
    <w:rPr>
      <w:rFonts w:ascii="Times New Roman" w:eastAsia="Times New Roman" w:hAnsi="Times New Roman" w:cs="Times New Roman"/>
      <w:color w:val="auto"/>
      <w:sz w:val="24"/>
      <w:szCs w:val="24"/>
      <w:lang w:eastAsia="en-GB"/>
    </w:rPr>
  </w:style>
  <w:style w:type="character" w:customStyle="1" w:styleId="BodyTextIndentChar">
    <w:name w:val="Body Text Indent Char"/>
    <w:basedOn w:val="DefaultParagraphFont"/>
    <w:link w:val="BodyTextIndent"/>
    <w:uiPriority w:val="99"/>
    <w:rsid w:val="00BF2E60"/>
    <w:rPr>
      <w:rFonts w:ascii="Times New Roman" w:eastAsia="Times New Roman" w:hAnsi="Times New Roman" w:cs="Times New Roman"/>
      <w:color w:val="auto"/>
      <w:sz w:val="24"/>
      <w:szCs w:val="24"/>
      <w:lang w:val="en-GB" w:eastAsia="en-GB"/>
    </w:rPr>
  </w:style>
  <w:style w:type="paragraph" w:customStyle="1" w:styleId="Level1Orange">
    <w:name w:val="Level 1 Orange"/>
    <w:next w:val="Normal"/>
    <w:link w:val="Level1OrangeChar"/>
    <w:rsid w:val="00BF2E60"/>
    <w:pPr>
      <w:spacing w:before="240" w:after="120"/>
    </w:pPr>
    <w:rPr>
      <w:rFonts w:eastAsia="Times New Roman"/>
      <w:color w:val="D2711C"/>
      <w:sz w:val="28"/>
      <w:szCs w:val="28"/>
      <w:lang w:val="en-GB" w:eastAsia="en-GB"/>
    </w:rPr>
  </w:style>
  <w:style w:type="character" w:customStyle="1" w:styleId="Level1OrangeChar">
    <w:name w:val="Level 1 Orange Char"/>
    <w:link w:val="Level1Orange"/>
    <w:locked/>
    <w:rsid w:val="00BF2E60"/>
    <w:rPr>
      <w:rFonts w:eastAsia="Times New Roman"/>
      <w:color w:val="D2711C"/>
      <w:sz w:val="28"/>
      <w:szCs w:val="28"/>
      <w:lang w:val="en-GB" w:eastAsia="en-GB"/>
    </w:rPr>
  </w:style>
  <w:style w:type="paragraph" w:customStyle="1" w:styleId="BulletORANGE">
    <w:name w:val="Bullet ORANGE"/>
    <w:basedOn w:val="Normal"/>
    <w:link w:val="BulletORANGEChar"/>
    <w:uiPriority w:val="99"/>
    <w:qFormat/>
    <w:rsid w:val="00BF2E60"/>
    <w:pPr>
      <w:numPr>
        <w:numId w:val="23"/>
      </w:numPr>
      <w:spacing w:after="120"/>
    </w:pPr>
    <w:rPr>
      <w:rFonts w:eastAsia="Times New Roman"/>
      <w:color w:val="auto"/>
      <w:spacing w:val="-4"/>
      <w:lang w:eastAsia="en-GB"/>
    </w:rPr>
  </w:style>
  <w:style w:type="character" w:customStyle="1" w:styleId="BulletORANGEChar">
    <w:name w:val="Bullet ORANGE Char"/>
    <w:link w:val="BulletORANGE"/>
    <w:uiPriority w:val="99"/>
    <w:locked/>
    <w:rsid w:val="00BF2E60"/>
    <w:rPr>
      <w:rFonts w:eastAsia="Times New Roman"/>
      <w:color w:val="auto"/>
      <w:spacing w:val="-4"/>
      <w:lang w:val="en-GB" w:eastAsia="en-GB"/>
    </w:rPr>
  </w:style>
  <w:style w:type="paragraph" w:customStyle="1" w:styleId="ReportNumberedList2">
    <w:name w:val="Report Numbered List 2"/>
    <w:basedOn w:val="Normal"/>
    <w:uiPriority w:val="99"/>
    <w:rsid w:val="00BF2E60"/>
    <w:pPr>
      <w:numPr>
        <w:numId w:val="24"/>
      </w:numPr>
    </w:pPr>
    <w:rPr>
      <w:rFonts w:ascii="Book Antiqua" w:eastAsia="Times New Roman" w:hAnsi="Book Antiqua" w:cs="Times New Roman"/>
      <w:color w:val="auto"/>
      <w:kern w:val="20"/>
      <w:sz w:val="24"/>
      <w:lang w:eastAsia="en-GB"/>
    </w:rPr>
  </w:style>
  <w:style w:type="paragraph" w:customStyle="1" w:styleId="Maintext">
    <w:name w:val="Main text"/>
    <w:basedOn w:val="Normal"/>
    <w:link w:val="MaintextChar"/>
    <w:qFormat/>
    <w:rsid w:val="00BF2E60"/>
    <w:pPr>
      <w:tabs>
        <w:tab w:val="num" w:pos="1361"/>
      </w:tabs>
      <w:spacing w:before="180" w:line="280" w:lineRule="atLeast"/>
      <w:ind w:left="1361" w:hanging="1361"/>
    </w:pPr>
    <w:rPr>
      <w:rFonts w:eastAsiaTheme="minorHAnsi"/>
      <w:color w:val="auto"/>
      <w:sz w:val="22"/>
      <w:szCs w:val="22"/>
      <w:lang w:eastAsia="en-US"/>
    </w:rPr>
  </w:style>
  <w:style w:type="character" w:customStyle="1" w:styleId="MaintextChar">
    <w:name w:val="Main text Char"/>
    <w:link w:val="Maintext"/>
    <w:locked/>
    <w:rsid w:val="00BF2E60"/>
    <w:rPr>
      <w:rFonts w:eastAsiaTheme="minorHAnsi"/>
      <w:color w:val="auto"/>
      <w:sz w:val="22"/>
      <w:szCs w:val="22"/>
      <w:lang w:val="en-GB" w:eastAsia="en-US"/>
    </w:rPr>
  </w:style>
  <w:style w:type="character" w:styleId="SubtleEmphasis">
    <w:name w:val="Subtle Emphasis"/>
    <w:basedOn w:val="DefaultParagraphFont"/>
    <w:uiPriority w:val="19"/>
    <w:qFormat/>
    <w:locked/>
    <w:rsid w:val="00BF2E60"/>
    <w:rPr>
      <w:i/>
      <w:iCs/>
      <w:color w:val="808080" w:themeColor="text1" w:themeTint="7F"/>
    </w:rPr>
  </w:style>
  <w:style w:type="paragraph" w:customStyle="1" w:styleId="story-bodyintroduction">
    <w:name w:val="story-body__introduction"/>
    <w:basedOn w:val="Normal"/>
    <w:uiPriority w:val="99"/>
    <w:rsid w:val="00BF2E60"/>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A1">
    <w:name w:val="A1"/>
    <w:uiPriority w:val="99"/>
    <w:rsid w:val="00BF2E60"/>
    <w:rPr>
      <w:rFonts w:ascii="Houschka Pro Light" w:hAnsi="Houschka Pro Light" w:cs="Houschka Pro Light" w:hint="default"/>
      <w:color w:val="000000"/>
      <w:sz w:val="96"/>
      <w:szCs w:val="96"/>
    </w:rPr>
  </w:style>
  <w:style w:type="character" w:customStyle="1" w:styleId="A11">
    <w:name w:val="A11"/>
    <w:uiPriority w:val="99"/>
    <w:rsid w:val="00BF2E60"/>
    <w:rPr>
      <w:rFonts w:cs="Gotham"/>
      <w:color w:val="000000"/>
      <w:sz w:val="18"/>
      <w:szCs w:val="18"/>
    </w:rPr>
  </w:style>
  <w:style w:type="character" w:customStyle="1" w:styleId="HTMLPreformattedChar">
    <w:name w:val="HTML Preformatted Char"/>
    <w:basedOn w:val="DefaultParagraphFont"/>
    <w:link w:val="HTMLPreformatted"/>
    <w:uiPriority w:val="99"/>
    <w:semiHidden/>
    <w:rsid w:val="00BF2E60"/>
    <w:rPr>
      <w:rFonts w:ascii="Courier New" w:hAnsi="Courier New" w:cs="Courier New"/>
    </w:rPr>
  </w:style>
  <w:style w:type="paragraph" w:styleId="HTMLPreformatted">
    <w:name w:val="HTML Preformatted"/>
    <w:basedOn w:val="Normal"/>
    <w:link w:val="HTMLPreformattedChar"/>
    <w:uiPriority w:val="99"/>
    <w:semiHidden/>
    <w:unhideWhenUsed/>
    <w:locked/>
    <w:rsid w:val="00BF2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1">
    <w:name w:val="HTML Preformatted Char1"/>
    <w:basedOn w:val="DefaultParagraphFont"/>
    <w:semiHidden/>
    <w:rsid w:val="00BF2E60"/>
    <w:rPr>
      <w:rFonts w:ascii="Consolas" w:hAnsi="Consolas" w:cs="Consolas"/>
      <w:lang w:val="en-GB"/>
    </w:rPr>
  </w:style>
  <w:style w:type="paragraph" w:customStyle="1" w:styleId="Quotes">
    <w:name w:val="Quotes"/>
    <w:next w:val="Normal"/>
    <w:uiPriority w:val="99"/>
    <w:rsid w:val="00BF2E60"/>
    <w:pPr>
      <w:spacing w:before="240" w:after="240"/>
      <w:ind w:right="956"/>
    </w:pPr>
    <w:rPr>
      <w:rFonts w:eastAsia="Times New Roman"/>
      <w:i/>
      <w:color w:val="D2711C"/>
      <w:spacing w:val="-4"/>
      <w:sz w:val="22"/>
      <w:szCs w:val="24"/>
      <w:lang w:val="en-GB" w:eastAsia="en-GB"/>
    </w:rPr>
  </w:style>
  <w:style w:type="paragraph" w:customStyle="1" w:styleId="HeadChapt">
    <w:name w:val="Head Chapt"/>
    <w:basedOn w:val="Normal"/>
    <w:next w:val="Normal"/>
    <w:uiPriority w:val="99"/>
    <w:qFormat/>
    <w:rsid w:val="004A19E8"/>
    <w:pPr>
      <w:numPr>
        <w:ilvl w:val="1"/>
        <w:numId w:val="26"/>
      </w:numPr>
      <w:pBdr>
        <w:bottom w:val="single" w:sz="4" w:space="1" w:color="4F81BD"/>
      </w:pBdr>
      <w:spacing w:before="1200" w:after="600" w:line="276" w:lineRule="auto"/>
      <w:jc w:val="right"/>
      <w:outlineLvl w:val="0"/>
    </w:pPr>
    <w:rPr>
      <w:rFonts w:ascii="Calibri" w:eastAsia="Calibri" w:hAnsi="Calibri" w:cs="Times New Roman"/>
      <w:b/>
      <w:color w:val="4F81BD"/>
      <w:sz w:val="40"/>
      <w:lang w:eastAsia="en-GB"/>
    </w:rPr>
  </w:style>
  <w:style w:type="paragraph" w:customStyle="1" w:styleId="smalldecimal">
    <w:name w:val="# small decimal"/>
    <w:basedOn w:val="Normal"/>
    <w:autoRedefine/>
    <w:uiPriority w:val="99"/>
    <w:qFormat/>
    <w:rsid w:val="00BF2E60"/>
    <w:pPr>
      <w:tabs>
        <w:tab w:val="num" w:pos="199"/>
      </w:tabs>
      <w:spacing w:after="200" w:line="276" w:lineRule="auto"/>
      <w:ind w:left="505" w:hanging="363"/>
      <w:jc w:val="both"/>
    </w:pPr>
    <w:rPr>
      <w:rFonts w:ascii="Calibri" w:eastAsia="Calibri" w:hAnsi="Calibri" w:cs="Times New Roman"/>
      <w:color w:val="auto"/>
      <w:lang w:eastAsia="en-GB"/>
    </w:rPr>
  </w:style>
  <w:style w:type="paragraph" w:customStyle="1" w:styleId="headmainnumbered">
    <w:name w:val="head main numbered"/>
    <w:basedOn w:val="Headmain"/>
    <w:uiPriority w:val="99"/>
    <w:qFormat/>
    <w:rsid w:val="00BF2E60"/>
    <w:pPr>
      <w:numPr>
        <w:numId w:val="27"/>
      </w:numPr>
      <w:tabs>
        <w:tab w:val="num" w:pos="720"/>
        <w:tab w:val="num" w:pos="794"/>
      </w:tabs>
      <w:spacing w:before="240"/>
      <w:ind w:left="794" w:hanging="794"/>
    </w:pPr>
    <w:rPr>
      <w:rFonts w:eastAsia="Calibri"/>
      <w:color w:val="B2B2B2" w:themeColor="text2"/>
      <w:lang w:eastAsia="en-GB"/>
    </w:rPr>
  </w:style>
  <w:style w:type="paragraph" w:customStyle="1" w:styleId="bigserial">
    <w:name w:val="# big serial"/>
    <w:basedOn w:val="smallserial"/>
    <w:link w:val="bigserialChar"/>
    <w:uiPriority w:val="99"/>
    <w:qFormat/>
    <w:rsid w:val="00BF2E60"/>
    <w:pPr>
      <w:numPr>
        <w:ilvl w:val="0"/>
        <w:numId w:val="28"/>
      </w:numPr>
    </w:pPr>
  </w:style>
  <w:style w:type="character" w:customStyle="1" w:styleId="bigserialChar">
    <w:name w:val="# big serial Char"/>
    <w:basedOn w:val="smallserialChar"/>
    <w:link w:val="bigserial"/>
    <w:uiPriority w:val="99"/>
    <w:rsid w:val="00BF2E60"/>
    <w:rPr>
      <w:rFonts w:ascii="Calibri" w:eastAsia="Times New Roman" w:hAnsi="Calibri" w:cs="Times New Roman"/>
      <w:color w:val="auto"/>
      <w:sz w:val="24"/>
      <w:szCs w:val="22"/>
      <w:lang w:val="en-GB" w:eastAsia="en-GB"/>
    </w:rPr>
  </w:style>
  <w:style w:type="paragraph" w:customStyle="1" w:styleId="type">
    <w:name w:val="type"/>
    <w:basedOn w:val="Normal"/>
    <w:uiPriority w:val="99"/>
    <w:rsid w:val="00BF2E60"/>
    <w:pPr>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04Bodytext-10pt">
    <w:name w:val="04 Body text - 10pt"/>
    <w:basedOn w:val="Normal"/>
    <w:link w:val="04Bodytext-10ptChar"/>
    <w:qFormat/>
    <w:rsid w:val="00B963B6"/>
    <w:pPr>
      <w:spacing w:line="240" w:lineRule="atLeast"/>
      <w:ind w:left="1134"/>
    </w:pPr>
    <w:rPr>
      <w:i/>
      <w:iCs/>
      <w:sz w:val="24"/>
      <w:szCs w:val="22"/>
    </w:rPr>
  </w:style>
  <w:style w:type="character" w:customStyle="1" w:styleId="04Bodytext-10ptChar">
    <w:name w:val="04 Body text - 10pt Char"/>
    <w:basedOn w:val="DefaultParagraphFont"/>
    <w:link w:val="04Bodytext-10pt"/>
    <w:locked/>
    <w:rsid w:val="00B963B6"/>
    <w:rPr>
      <w:i/>
      <w:iCs/>
      <w:sz w:val="24"/>
      <w:szCs w:val="22"/>
      <w:lang w:val="en-GB"/>
    </w:rPr>
  </w:style>
  <w:style w:type="character" w:styleId="Emphasis">
    <w:name w:val="Emphasis"/>
    <w:basedOn w:val="DefaultParagraphFont"/>
    <w:uiPriority w:val="20"/>
    <w:qFormat/>
    <w:locked/>
    <w:rsid w:val="00BF2E60"/>
    <w:rPr>
      <w:i/>
      <w:iCs/>
    </w:rPr>
  </w:style>
  <w:style w:type="paragraph" w:customStyle="1" w:styleId="Style22">
    <w:name w:val="Style22"/>
    <w:basedOn w:val="Normal"/>
    <w:link w:val="Style22Char"/>
    <w:qFormat/>
    <w:rsid w:val="00BF2E60"/>
    <w:pPr>
      <w:tabs>
        <w:tab w:val="left" w:pos="567"/>
        <w:tab w:val="num" w:pos="720"/>
      </w:tabs>
      <w:spacing w:before="120" w:after="160" w:line="300" w:lineRule="auto"/>
      <w:ind w:left="794" w:hanging="397"/>
    </w:pPr>
    <w:rPr>
      <w:rFonts w:asciiTheme="minorHAnsi" w:eastAsiaTheme="majorEastAsia" w:hAnsiTheme="minorHAnsi" w:cstheme="majorBidi"/>
      <w:color w:val="auto"/>
      <w:sz w:val="24"/>
      <w:lang w:eastAsia="en-US"/>
    </w:rPr>
  </w:style>
  <w:style w:type="character" w:customStyle="1" w:styleId="Style22Char">
    <w:name w:val="Style22 Char"/>
    <w:basedOn w:val="DefaultParagraphFont"/>
    <w:link w:val="Style22"/>
    <w:rsid w:val="00BF2E60"/>
    <w:rPr>
      <w:rFonts w:asciiTheme="minorHAnsi" w:eastAsiaTheme="majorEastAsia" w:hAnsiTheme="minorHAnsi" w:cstheme="majorBidi"/>
      <w:color w:val="auto"/>
      <w:sz w:val="24"/>
      <w:lang w:val="en-GB" w:eastAsia="en-US"/>
    </w:rPr>
  </w:style>
  <w:style w:type="paragraph" w:customStyle="1" w:styleId="21">
    <w:name w:val="2.1"/>
    <w:basedOn w:val="Normal"/>
    <w:autoRedefine/>
    <w:uiPriority w:val="99"/>
    <w:qFormat/>
    <w:rsid w:val="00BF2E60"/>
    <w:pPr>
      <w:numPr>
        <w:numId w:val="29"/>
      </w:numPr>
      <w:adjustRightInd w:val="0"/>
      <w:spacing w:after="160" w:line="259" w:lineRule="auto"/>
    </w:pPr>
    <w:rPr>
      <w:rFonts w:asciiTheme="minorHAnsi" w:eastAsiaTheme="minorHAnsi" w:hAnsiTheme="minorHAnsi" w:cstheme="minorBidi"/>
      <w:color w:val="auto"/>
      <w:sz w:val="24"/>
      <w:szCs w:val="24"/>
      <w:lang w:eastAsia="en-US"/>
    </w:rPr>
  </w:style>
  <w:style w:type="character" w:styleId="BookTitle">
    <w:name w:val="Book Title"/>
    <w:basedOn w:val="DefaultParagraphFont"/>
    <w:uiPriority w:val="33"/>
    <w:qFormat/>
    <w:locked/>
    <w:rsid w:val="00BF2E60"/>
    <w:rPr>
      <w:b/>
      <w:bCs/>
      <w:i/>
      <w:iCs/>
      <w:spacing w:val="5"/>
    </w:rPr>
  </w:style>
  <w:style w:type="paragraph" w:styleId="Subtitle">
    <w:name w:val="Subtitle"/>
    <w:aliases w:val="Policy Title"/>
    <w:basedOn w:val="Normal"/>
    <w:next w:val="Normal"/>
    <w:link w:val="SubtitleChar"/>
    <w:uiPriority w:val="11"/>
    <w:qFormat/>
    <w:locked/>
    <w:rsid w:val="00BF2E60"/>
    <w:pPr>
      <w:numPr>
        <w:ilvl w:val="1"/>
      </w:numPr>
      <w:spacing w:after="200" w:line="276" w:lineRule="auto"/>
    </w:pPr>
    <w:rPr>
      <w:rFonts w:asciiTheme="majorHAnsi" w:eastAsiaTheme="majorEastAsia" w:hAnsiTheme="majorHAnsi" w:cstheme="majorBidi"/>
      <w:i/>
      <w:iCs/>
      <w:color w:val="2F9925"/>
      <w:spacing w:val="15"/>
      <w:szCs w:val="24"/>
      <w:lang w:eastAsia="en-US"/>
    </w:rPr>
  </w:style>
  <w:style w:type="character" w:customStyle="1" w:styleId="SubtitleChar">
    <w:name w:val="Subtitle Char"/>
    <w:aliases w:val="Policy Title Char"/>
    <w:basedOn w:val="DefaultParagraphFont"/>
    <w:link w:val="Subtitle"/>
    <w:uiPriority w:val="11"/>
    <w:rsid w:val="00BF2E60"/>
    <w:rPr>
      <w:rFonts w:asciiTheme="majorHAnsi" w:eastAsiaTheme="majorEastAsia" w:hAnsiTheme="majorHAnsi" w:cstheme="majorBidi"/>
      <w:i/>
      <w:iCs/>
      <w:color w:val="2F9925"/>
      <w:spacing w:val="15"/>
      <w:szCs w:val="24"/>
      <w:lang w:val="en-GB" w:eastAsia="en-US"/>
    </w:rPr>
  </w:style>
  <w:style w:type="character" w:customStyle="1" w:styleId="maintitle">
    <w:name w:val="maintitle"/>
    <w:rsid w:val="00BF2E60"/>
  </w:style>
  <w:style w:type="paragraph" w:customStyle="1" w:styleId="articledetails">
    <w:name w:val="articledetails"/>
    <w:basedOn w:val="Normal"/>
    <w:uiPriority w:val="99"/>
    <w:rsid w:val="00BF2E60"/>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Heading1Char1">
    <w:name w:val="Heading 1 Char1"/>
    <w:aliases w:val="Numbered - 1 Char1,CBC Heading 1 Char1,Section Char1,Level 1 Char1,Section Heading Char1,h1 Char1,H1 Char1,H11 Char1,H12 Char1,H111 Char1,H13 Char1,H112 Char1,H14 Char1,H113 Char1,H15 Char1,H114 Char1,H16 Char1,H115 Char1,H17 Char1"/>
    <w:basedOn w:val="DefaultParagraphFont"/>
    <w:uiPriority w:val="9"/>
    <w:rsid w:val="00526C6E"/>
    <w:rPr>
      <w:rFonts w:asciiTheme="majorHAnsi" w:eastAsiaTheme="majorEastAsia" w:hAnsiTheme="majorHAnsi" w:cstheme="majorBidi"/>
      <w:b/>
      <w:bCs/>
      <w:color w:val="9D5415" w:themeColor="accent1" w:themeShade="BF"/>
      <w:sz w:val="28"/>
      <w:szCs w:val="28"/>
      <w:lang w:val="en-US"/>
    </w:rPr>
  </w:style>
  <w:style w:type="paragraph" w:customStyle="1" w:styleId="Style24">
    <w:name w:val="Style24"/>
    <w:basedOn w:val="Normal"/>
    <w:link w:val="Style24Char"/>
    <w:qFormat/>
    <w:rsid w:val="00BF2E60"/>
    <w:pPr>
      <w:widowControl w:val="0"/>
      <w:spacing w:line="300" w:lineRule="auto"/>
    </w:pPr>
    <w:rPr>
      <w:rFonts w:asciiTheme="minorHAnsi" w:eastAsia="MS PGothic" w:hAnsiTheme="minorHAnsi"/>
      <w:bCs/>
      <w:color w:val="000000"/>
    </w:rPr>
  </w:style>
  <w:style w:type="character" w:customStyle="1" w:styleId="Style24Char">
    <w:name w:val="Style24 Char"/>
    <w:basedOn w:val="DefaultParagraphFont"/>
    <w:link w:val="Style24"/>
    <w:rsid w:val="00BF2E60"/>
    <w:rPr>
      <w:rFonts w:asciiTheme="minorHAnsi" w:eastAsia="MS PGothic" w:hAnsiTheme="minorHAnsi"/>
      <w:bCs/>
      <w:color w:val="000000"/>
      <w:lang w:val="en-GB"/>
    </w:rPr>
  </w:style>
  <w:style w:type="paragraph" w:customStyle="1" w:styleId="bulletCBA">
    <w:name w:val="bullet CBA"/>
    <w:basedOn w:val="Normal"/>
    <w:link w:val="bulletCBAChar"/>
    <w:qFormat/>
    <w:rsid w:val="00BF2E60"/>
    <w:pPr>
      <w:spacing w:line="259" w:lineRule="auto"/>
      <w:ind w:left="1208" w:hanging="357"/>
      <w:contextualSpacing/>
    </w:pPr>
    <w:rPr>
      <w:rFonts w:asciiTheme="minorHAnsi" w:eastAsiaTheme="majorEastAsia" w:hAnsiTheme="minorHAnsi" w:cs="Times New Roman"/>
      <w:color w:val="auto"/>
      <w:sz w:val="24"/>
      <w:szCs w:val="24"/>
      <w:lang w:eastAsia="en-GB"/>
    </w:rPr>
  </w:style>
  <w:style w:type="character" w:customStyle="1" w:styleId="bulletCBAChar">
    <w:name w:val="bullet CBA Char"/>
    <w:basedOn w:val="DefaultParagraphFont"/>
    <w:link w:val="bulletCBA"/>
    <w:rsid w:val="00BF2E60"/>
    <w:rPr>
      <w:rFonts w:asciiTheme="minorHAnsi" w:eastAsiaTheme="majorEastAsia" w:hAnsiTheme="minorHAnsi" w:cs="Times New Roman"/>
      <w:color w:val="auto"/>
      <w:sz w:val="24"/>
      <w:szCs w:val="24"/>
      <w:lang w:val="en-GB" w:eastAsia="en-GB"/>
    </w:rPr>
  </w:style>
  <w:style w:type="paragraph" w:customStyle="1" w:styleId="Syle111">
    <w:name w:val="Syle 11.1"/>
    <w:basedOn w:val="11Body"/>
    <w:uiPriority w:val="99"/>
    <w:qFormat/>
    <w:rsid w:val="0036161C"/>
    <w:pPr>
      <w:widowControl w:val="0"/>
      <w:numPr>
        <w:numId w:val="30"/>
      </w:numPr>
      <w:tabs>
        <w:tab w:val="num" w:pos="1305"/>
        <w:tab w:val="num" w:pos="1440"/>
      </w:tabs>
      <w:spacing w:before="0" w:line="300" w:lineRule="auto"/>
      <w:ind w:left="2008"/>
    </w:pPr>
    <w:rPr>
      <w:rFonts w:ascii="Arial" w:hAnsi="Arial" w:cs="Arial"/>
      <w:lang w:val="en-GB"/>
    </w:rPr>
  </w:style>
  <w:style w:type="character" w:customStyle="1" w:styleId="Bullet-BlueChar">
    <w:name w:val="Bullet-Blue Char"/>
    <w:basedOn w:val="DefaultParagraphFont"/>
    <w:link w:val="Bullet-Blue"/>
    <w:uiPriority w:val="99"/>
    <w:locked/>
    <w:rsid w:val="00BF2E60"/>
    <w:rPr>
      <w:sz w:val="24"/>
    </w:rPr>
  </w:style>
  <w:style w:type="paragraph" w:customStyle="1" w:styleId="Bullet-Blue">
    <w:name w:val="Bullet-Blue"/>
    <w:basedOn w:val="Normal"/>
    <w:link w:val="Bullet-BlueChar"/>
    <w:uiPriority w:val="99"/>
    <w:qFormat/>
    <w:rsid w:val="00BF2E60"/>
    <w:pPr>
      <w:numPr>
        <w:numId w:val="31"/>
      </w:numPr>
      <w:spacing w:before="60" w:after="60" w:line="240" w:lineRule="atLeast"/>
      <w:jc w:val="both"/>
    </w:pPr>
    <w:rPr>
      <w:sz w:val="24"/>
      <w:lang w:val="en-US"/>
    </w:rPr>
  </w:style>
  <w:style w:type="paragraph" w:customStyle="1" w:styleId="BodyTextbeforebullet">
    <w:name w:val="Body Text_before bullet"/>
    <w:basedOn w:val="BodyText"/>
    <w:next w:val="ListBullet"/>
    <w:uiPriority w:val="1"/>
    <w:qFormat/>
    <w:rsid w:val="00BF2E60"/>
    <w:pPr>
      <w:keepNext/>
      <w:keepLines/>
      <w:numPr>
        <w:ilvl w:val="1"/>
        <w:numId w:val="6"/>
      </w:numPr>
      <w:tabs>
        <w:tab w:val="clear" w:pos="1134"/>
        <w:tab w:val="num" w:pos="0"/>
      </w:tabs>
      <w:spacing w:after="120"/>
      <w:ind w:hanging="709"/>
    </w:pPr>
  </w:style>
  <w:style w:type="table" w:customStyle="1" w:styleId="GridTable1Light-Accent21">
    <w:name w:val="Grid Table 1 Light - Accent 21"/>
    <w:basedOn w:val="TableNormal"/>
    <w:uiPriority w:val="46"/>
    <w:rsid w:val="009E5082"/>
    <w:pPr>
      <w:spacing w:after="0"/>
    </w:pPr>
    <w:tblPr>
      <w:tblStyleRowBandSize w:val="1"/>
      <w:tblStyleColBandSize w:val="1"/>
      <w:tblBorders>
        <w:top w:val="single" w:sz="4" w:space="0" w:color="88D9FF" w:themeColor="accent2" w:themeTint="66"/>
        <w:left w:val="single" w:sz="4" w:space="0" w:color="88D9FF" w:themeColor="accent2" w:themeTint="66"/>
        <w:bottom w:val="single" w:sz="4" w:space="0" w:color="88D9FF" w:themeColor="accent2" w:themeTint="66"/>
        <w:right w:val="single" w:sz="4" w:space="0" w:color="88D9FF" w:themeColor="accent2" w:themeTint="66"/>
        <w:insideH w:val="single" w:sz="4" w:space="0" w:color="88D9FF" w:themeColor="accent2" w:themeTint="66"/>
        <w:insideV w:val="single" w:sz="4" w:space="0" w:color="88D9FF" w:themeColor="accent2" w:themeTint="66"/>
      </w:tblBorders>
    </w:tblPr>
    <w:tblStylePr w:type="firstRow">
      <w:rPr>
        <w:b/>
        <w:bCs/>
      </w:rPr>
      <w:tblPr/>
      <w:tcPr>
        <w:tcBorders>
          <w:bottom w:val="single" w:sz="12" w:space="0" w:color="4CC7FF" w:themeColor="accent2" w:themeTint="99"/>
        </w:tcBorders>
      </w:tcPr>
    </w:tblStylePr>
    <w:tblStylePr w:type="lastRow">
      <w:rPr>
        <w:b/>
        <w:bCs/>
      </w:rPr>
      <w:tblPr/>
      <w:tcPr>
        <w:tcBorders>
          <w:top w:val="double" w:sz="2" w:space="0" w:color="4CC7FF" w:themeColor="accent2" w:themeTint="99"/>
        </w:tcBorders>
      </w:tcPr>
    </w:tblStylePr>
    <w:tblStylePr w:type="firstCol">
      <w:rPr>
        <w:b/>
        <w:bCs/>
      </w:rPr>
    </w:tblStylePr>
    <w:tblStylePr w:type="lastCol">
      <w:rPr>
        <w:b/>
        <w:bCs/>
      </w:rPr>
    </w:tblStylePr>
  </w:style>
  <w:style w:type="character" w:customStyle="1" w:styleId="UnresolvedMention10">
    <w:name w:val="Unresolved Mention1"/>
    <w:basedOn w:val="DefaultParagraphFont"/>
    <w:uiPriority w:val="99"/>
    <w:unhideWhenUsed/>
    <w:rsid w:val="009E5082"/>
    <w:rPr>
      <w:color w:val="605E5C"/>
      <w:shd w:val="clear" w:color="auto" w:fill="E1DFDD"/>
    </w:rPr>
  </w:style>
  <w:style w:type="paragraph" w:styleId="Revision">
    <w:name w:val="Revision"/>
    <w:hidden/>
    <w:uiPriority w:val="99"/>
    <w:semiHidden/>
    <w:rsid w:val="00291D89"/>
    <w:pPr>
      <w:spacing w:after="0"/>
    </w:pPr>
    <w:rPr>
      <w:lang w:val="en-GB"/>
    </w:rPr>
  </w:style>
  <w:style w:type="character" w:customStyle="1" w:styleId="Mention1">
    <w:name w:val="Mention1"/>
    <w:basedOn w:val="DefaultParagraphFont"/>
    <w:uiPriority w:val="99"/>
    <w:unhideWhenUsed/>
    <w:rsid w:val="004A19E8"/>
    <w:rPr>
      <w:color w:val="2B579A"/>
      <w:shd w:val="clear" w:color="auto" w:fill="E1DFDD"/>
    </w:rPr>
  </w:style>
  <w:style w:type="character" w:styleId="UnresolvedMention">
    <w:name w:val="Unresolved Mention"/>
    <w:basedOn w:val="DefaultParagraphFont"/>
    <w:uiPriority w:val="99"/>
    <w:semiHidden/>
    <w:unhideWhenUsed/>
    <w:rsid w:val="00970D21"/>
    <w:rPr>
      <w:color w:val="605E5C"/>
      <w:shd w:val="clear" w:color="auto" w:fill="E1DFDD"/>
    </w:rPr>
  </w:style>
  <w:style w:type="character" w:customStyle="1" w:styleId="Heading6Char1">
    <w:name w:val="Heading 6 Char1"/>
    <w:aliases w:val="Legal Level 1. Char1,level 1 bullet 1 Char1,level 1 bullet Char Char1,level 1 bullet Char Char Char Char1,level 1 bullet Char2,level 1 bullet 1 Char Char Char Char1,level 1 bullet 1 Char Char Char Char Char Char Char Char1"/>
    <w:basedOn w:val="DefaultParagraphFont"/>
    <w:uiPriority w:val="9"/>
    <w:semiHidden/>
    <w:rsid w:val="00970D21"/>
    <w:rPr>
      <w:rFonts w:asciiTheme="majorHAnsi" w:eastAsiaTheme="majorEastAsia" w:hAnsiTheme="majorHAnsi" w:cstheme="majorBidi"/>
      <w:color w:val="68380E" w:themeColor="accent1" w:themeShade="7F"/>
      <w:lang w:eastAsia="ja-JP"/>
    </w:rPr>
  </w:style>
  <w:style w:type="character" w:customStyle="1" w:styleId="SubtitleChar1">
    <w:name w:val="Subtitle Char1"/>
    <w:aliases w:val="Policy Title Char1"/>
    <w:basedOn w:val="DefaultParagraphFont"/>
    <w:uiPriority w:val="11"/>
    <w:rsid w:val="00970D21"/>
    <w:rPr>
      <w:rFonts w:eastAsiaTheme="minorEastAsia"/>
      <w:color w:val="5A5A5A" w:themeColor="text1" w:themeTint="A5"/>
      <w:spacing w:val="15"/>
      <w:lang w:eastAsia="ja-JP"/>
    </w:rPr>
  </w:style>
  <w:style w:type="character" w:styleId="Mention">
    <w:name w:val="Mention"/>
    <w:basedOn w:val="DefaultParagraphFont"/>
    <w:uiPriority w:val="99"/>
    <w:unhideWhenUsed/>
    <w:rsid w:val="00970D21"/>
    <w:rPr>
      <w:color w:val="2B579A"/>
      <w:shd w:val="clear" w:color="auto" w:fill="E1DFDD"/>
    </w:rPr>
  </w:style>
  <w:style w:type="character" w:customStyle="1" w:styleId="Heading2Char1">
    <w:name w:val="Heading 2 Char1"/>
    <w:aliases w:val="F7 Sub Heading Char1,Main Heading Char1,Main Headi Char1,Heading 2a Char1,Sub Heading Char1,Numbered - 2 Char1,do not use Char1,h2 Char1,2 Char1,Titre 2 Char1,l2 Char1,list + change bar Char1,??? Char1,h21 Char1,ASection Char1,ash Char1"/>
    <w:basedOn w:val="DefaultParagraphFont"/>
    <w:uiPriority w:val="9"/>
    <w:semiHidden/>
    <w:rsid w:val="00526C6E"/>
    <w:rPr>
      <w:rFonts w:asciiTheme="majorHAnsi" w:eastAsiaTheme="majorEastAsia" w:hAnsiTheme="majorHAnsi" w:cstheme="majorBidi"/>
      <w:color w:val="9D5415" w:themeColor="accent1" w:themeShade="BF"/>
      <w:sz w:val="26"/>
      <w:szCs w:val="26"/>
      <w:lang w:val="en-GB"/>
    </w:rPr>
  </w:style>
  <w:style w:type="character" w:customStyle="1" w:styleId="Heading3Char1">
    <w:name w:val="Heading 3 Char1"/>
    <w:aliases w:val="F6 Sub sub Heading Char1,Numbered Paragraph Char1,Body of Text Numbering Char1,PA Minor Section Char1,Mia Char1,Heading 3 Char Char Char Char Char2,Heading 3 Char Char Char Char Char Char1,Heading 3 Char Char Char Char2"/>
    <w:basedOn w:val="DefaultParagraphFont"/>
    <w:uiPriority w:val="9"/>
    <w:semiHidden/>
    <w:rsid w:val="00526C6E"/>
    <w:rPr>
      <w:rFonts w:asciiTheme="majorHAnsi" w:eastAsiaTheme="majorEastAsia" w:hAnsiTheme="majorHAnsi" w:cstheme="majorBidi"/>
      <w:color w:val="68380E"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366">
      <w:bodyDiv w:val="1"/>
      <w:marLeft w:val="0"/>
      <w:marRight w:val="0"/>
      <w:marTop w:val="0"/>
      <w:marBottom w:val="0"/>
      <w:divBdr>
        <w:top w:val="none" w:sz="0" w:space="0" w:color="auto"/>
        <w:left w:val="none" w:sz="0" w:space="0" w:color="auto"/>
        <w:bottom w:val="none" w:sz="0" w:space="0" w:color="auto"/>
        <w:right w:val="none" w:sz="0" w:space="0" w:color="auto"/>
      </w:divBdr>
    </w:div>
    <w:div w:id="22563974">
      <w:bodyDiv w:val="1"/>
      <w:marLeft w:val="0"/>
      <w:marRight w:val="0"/>
      <w:marTop w:val="0"/>
      <w:marBottom w:val="0"/>
      <w:divBdr>
        <w:top w:val="none" w:sz="0" w:space="0" w:color="auto"/>
        <w:left w:val="none" w:sz="0" w:space="0" w:color="auto"/>
        <w:bottom w:val="none" w:sz="0" w:space="0" w:color="auto"/>
        <w:right w:val="none" w:sz="0" w:space="0" w:color="auto"/>
      </w:divBdr>
    </w:div>
    <w:div w:id="23988936">
      <w:bodyDiv w:val="1"/>
      <w:marLeft w:val="0"/>
      <w:marRight w:val="0"/>
      <w:marTop w:val="0"/>
      <w:marBottom w:val="0"/>
      <w:divBdr>
        <w:top w:val="none" w:sz="0" w:space="0" w:color="auto"/>
        <w:left w:val="none" w:sz="0" w:space="0" w:color="auto"/>
        <w:bottom w:val="none" w:sz="0" w:space="0" w:color="auto"/>
        <w:right w:val="none" w:sz="0" w:space="0" w:color="auto"/>
      </w:divBdr>
    </w:div>
    <w:div w:id="26106115">
      <w:bodyDiv w:val="1"/>
      <w:marLeft w:val="0"/>
      <w:marRight w:val="0"/>
      <w:marTop w:val="0"/>
      <w:marBottom w:val="0"/>
      <w:divBdr>
        <w:top w:val="none" w:sz="0" w:space="0" w:color="auto"/>
        <w:left w:val="none" w:sz="0" w:space="0" w:color="auto"/>
        <w:bottom w:val="none" w:sz="0" w:space="0" w:color="auto"/>
        <w:right w:val="none" w:sz="0" w:space="0" w:color="auto"/>
      </w:divBdr>
    </w:div>
    <w:div w:id="31460708">
      <w:bodyDiv w:val="1"/>
      <w:marLeft w:val="0"/>
      <w:marRight w:val="0"/>
      <w:marTop w:val="0"/>
      <w:marBottom w:val="0"/>
      <w:divBdr>
        <w:top w:val="none" w:sz="0" w:space="0" w:color="auto"/>
        <w:left w:val="none" w:sz="0" w:space="0" w:color="auto"/>
        <w:bottom w:val="none" w:sz="0" w:space="0" w:color="auto"/>
        <w:right w:val="none" w:sz="0" w:space="0" w:color="auto"/>
      </w:divBdr>
    </w:div>
    <w:div w:id="43874989">
      <w:bodyDiv w:val="1"/>
      <w:marLeft w:val="0"/>
      <w:marRight w:val="0"/>
      <w:marTop w:val="0"/>
      <w:marBottom w:val="0"/>
      <w:divBdr>
        <w:top w:val="none" w:sz="0" w:space="0" w:color="auto"/>
        <w:left w:val="none" w:sz="0" w:space="0" w:color="auto"/>
        <w:bottom w:val="none" w:sz="0" w:space="0" w:color="auto"/>
        <w:right w:val="none" w:sz="0" w:space="0" w:color="auto"/>
      </w:divBdr>
    </w:div>
    <w:div w:id="45876349">
      <w:bodyDiv w:val="1"/>
      <w:marLeft w:val="0"/>
      <w:marRight w:val="0"/>
      <w:marTop w:val="0"/>
      <w:marBottom w:val="0"/>
      <w:divBdr>
        <w:top w:val="none" w:sz="0" w:space="0" w:color="auto"/>
        <w:left w:val="none" w:sz="0" w:space="0" w:color="auto"/>
        <w:bottom w:val="none" w:sz="0" w:space="0" w:color="auto"/>
        <w:right w:val="none" w:sz="0" w:space="0" w:color="auto"/>
      </w:divBdr>
    </w:div>
    <w:div w:id="46418024">
      <w:bodyDiv w:val="1"/>
      <w:marLeft w:val="0"/>
      <w:marRight w:val="0"/>
      <w:marTop w:val="0"/>
      <w:marBottom w:val="0"/>
      <w:divBdr>
        <w:top w:val="none" w:sz="0" w:space="0" w:color="auto"/>
        <w:left w:val="none" w:sz="0" w:space="0" w:color="auto"/>
        <w:bottom w:val="none" w:sz="0" w:space="0" w:color="auto"/>
        <w:right w:val="none" w:sz="0" w:space="0" w:color="auto"/>
      </w:divBdr>
    </w:div>
    <w:div w:id="52319836">
      <w:bodyDiv w:val="1"/>
      <w:marLeft w:val="0"/>
      <w:marRight w:val="0"/>
      <w:marTop w:val="0"/>
      <w:marBottom w:val="0"/>
      <w:divBdr>
        <w:top w:val="none" w:sz="0" w:space="0" w:color="auto"/>
        <w:left w:val="none" w:sz="0" w:space="0" w:color="auto"/>
        <w:bottom w:val="none" w:sz="0" w:space="0" w:color="auto"/>
        <w:right w:val="none" w:sz="0" w:space="0" w:color="auto"/>
      </w:divBdr>
    </w:div>
    <w:div w:id="55933874">
      <w:bodyDiv w:val="1"/>
      <w:marLeft w:val="0"/>
      <w:marRight w:val="0"/>
      <w:marTop w:val="0"/>
      <w:marBottom w:val="0"/>
      <w:divBdr>
        <w:top w:val="none" w:sz="0" w:space="0" w:color="auto"/>
        <w:left w:val="none" w:sz="0" w:space="0" w:color="auto"/>
        <w:bottom w:val="none" w:sz="0" w:space="0" w:color="auto"/>
        <w:right w:val="none" w:sz="0" w:space="0" w:color="auto"/>
      </w:divBdr>
    </w:div>
    <w:div w:id="60299444">
      <w:bodyDiv w:val="1"/>
      <w:marLeft w:val="0"/>
      <w:marRight w:val="0"/>
      <w:marTop w:val="0"/>
      <w:marBottom w:val="0"/>
      <w:divBdr>
        <w:top w:val="none" w:sz="0" w:space="0" w:color="auto"/>
        <w:left w:val="none" w:sz="0" w:space="0" w:color="auto"/>
        <w:bottom w:val="none" w:sz="0" w:space="0" w:color="auto"/>
        <w:right w:val="none" w:sz="0" w:space="0" w:color="auto"/>
      </w:divBdr>
    </w:div>
    <w:div w:id="60521936">
      <w:bodyDiv w:val="1"/>
      <w:marLeft w:val="0"/>
      <w:marRight w:val="0"/>
      <w:marTop w:val="0"/>
      <w:marBottom w:val="0"/>
      <w:divBdr>
        <w:top w:val="none" w:sz="0" w:space="0" w:color="auto"/>
        <w:left w:val="none" w:sz="0" w:space="0" w:color="auto"/>
        <w:bottom w:val="none" w:sz="0" w:space="0" w:color="auto"/>
        <w:right w:val="none" w:sz="0" w:space="0" w:color="auto"/>
      </w:divBdr>
    </w:div>
    <w:div w:id="73667675">
      <w:bodyDiv w:val="1"/>
      <w:marLeft w:val="0"/>
      <w:marRight w:val="0"/>
      <w:marTop w:val="0"/>
      <w:marBottom w:val="0"/>
      <w:divBdr>
        <w:top w:val="none" w:sz="0" w:space="0" w:color="auto"/>
        <w:left w:val="none" w:sz="0" w:space="0" w:color="auto"/>
        <w:bottom w:val="none" w:sz="0" w:space="0" w:color="auto"/>
        <w:right w:val="none" w:sz="0" w:space="0" w:color="auto"/>
      </w:divBdr>
    </w:div>
    <w:div w:id="81070790">
      <w:bodyDiv w:val="1"/>
      <w:marLeft w:val="0"/>
      <w:marRight w:val="0"/>
      <w:marTop w:val="0"/>
      <w:marBottom w:val="0"/>
      <w:divBdr>
        <w:top w:val="none" w:sz="0" w:space="0" w:color="auto"/>
        <w:left w:val="none" w:sz="0" w:space="0" w:color="auto"/>
        <w:bottom w:val="none" w:sz="0" w:space="0" w:color="auto"/>
        <w:right w:val="none" w:sz="0" w:space="0" w:color="auto"/>
      </w:divBdr>
    </w:div>
    <w:div w:id="85469316">
      <w:bodyDiv w:val="1"/>
      <w:marLeft w:val="0"/>
      <w:marRight w:val="0"/>
      <w:marTop w:val="0"/>
      <w:marBottom w:val="0"/>
      <w:divBdr>
        <w:top w:val="none" w:sz="0" w:space="0" w:color="auto"/>
        <w:left w:val="none" w:sz="0" w:space="0" w:color="auto"/>
        <w:bottom w:val="none" w:sz="0" w:space="0" w:color="auto"/>
        <w:right w:val="none" w:sz="0" w:space="0" w:color="auto"/>
      </w:divBdr>
    </w:div>
    <w:div w:id="93522250">
      <w:bodyDiv w:val="1"/>
      <w:marLeft w:val="0"/>
      <w:marRight w:val="0"/>
      <w:marTop w:val="0"/>
      <w:marBottom w:val="0"/>
      <w:divBdr>
        <w:top w:val="none" w:sz="0" w:space="0" w:color="auto"/>
        <w:left w:val="none" w:sz="0" w:space="0" w:color="auto"/>
        <w:bottom w:val="none" w:sz="0" w:space="0" w:color="auto"/>
        <w:right w:val="none" w:sz="0" w:space="0" w:color="auto"/>
      </w:divBdr>
    </w:div>
    <w:div w:id="94904843">
      <w:bodyDiv w:val="1"/>
      <w:marLeft w:val="0"/>
      <w:marRight w:val="0"/>
      <w:marTop w:val="0"/>
      <w:marBottom w:val="0"/>
      <w:divBdr>
        <w:top w:val="none" w:sz="0" w:space="0" w:color="auto"/>
        <w:left w:val="none" w:sz="0" w:space="0" w:color="auto"/>
        <w:bottom w:val="none" w:sz="0" w:space="0" w:color="auto"/>
        <w:right w:val="none" w:sz="0" w:space="0" w:color="auto"/>
      </w:divBdr>
    </w:div>
    <w:div w:id="96752776">
      <w:bodyDiv w:val="1"/>
      <w:marLeft w:val="0"/>
      <w:marRight w:val="0"/>
      <w:marTop w:val="0"/>
      <w:marBottom w:val="0"/>
      <w:divBdr>
        <w:top w:val="none" w:sz="0" w:space="0" w:color="auto"/>
        <w:left w:val="none" w:sz="0" w:space="0" w:color="auto"/>
        <w:bottom w:val="none" w:sz="0" w:space="0" w:color="auto"/>
        <w:right w:val="none" w:sz="0" w:space="0" w:color="auto"/>
      </w:divBdr>
    </w:div>
    <w:div w:id="99112555">
      <w:bodyDiv w:val="1"/>
      <w:marLeft w:val="0"/>
      <w:marRight w:val="0"/>
      <w:marTop w:val="0"/>
      <w:marBottom w:val="0"/>
      <w:divBdr>
        <w:top w:val="none" w:sz="0" w:space="0" w:color="auto"/>
        <w:left w:val="none" w:sz="0" w:space="0" w:color="auto"/>
        <w:bottom w:val="none" w:sz="0" w:space="0" w:color="auto"/>
        <w:right w:val="none" w:sz="0" w:space="0" w:color="auto"/>
      </w:divBdr>
    </w:div>
    <w:div w:id="104422489">
      <w:bodyDiv w:val="1"/>
      <w:marLeft w:val="0"/>
      <w:marRight w:val="0"/>
      <w:marTop w:val="0"/>
      <w:marBottom w:val="0"/>
      <w:divBdr>
        <w:top w:val="none" w:sz="0" w:space="0" w:color="auto"/>
        <w:left w:val="none" w:sz="0" w:space="0" w:color="auto"/>
        <w:bottom w:val="none" w:sz="0" w:space="0" w:color="auto"/>
        <w:right w:val="none" w:sz="0" w:space="0" w:color="auto"/>
      </w:divBdr>
    </w:div>
    <w:div w:id="109248920">
      <w:bodyDiv w:val="1"/>
      <w:marLeft w:val="0"/>
      <w:marRight w:val="0"/>
      <w:marTop w:val="0"/>
      <w:marBottom w:val="0"/>
      <w:divBdr>
        <w:top w:val="none" w:sz="0" w:space="0" w:color="auto"/>
        <w:left w:val="none" w:sz="0" w:space="0" w:color="auto"/>
        <w:bottom w:val="none" w:sz="0" w:space="0" w:color="auto"/>
        <w:right w:val="none" w:sz="0" w:space="0" w:color="auto"/>
      </w:divBdr>
    </w:div>
    <w:div w:id="152378654">
      <w:bodyDiv w:val="1"/>
      <w:marLeft w:val="0"/>
      <w:marRight w:val="0"/>
      <w:marTop w:val="0"/>
      <w:marBottom w:val="0"/>
      <w:divBdr>
        <w:top w:val="none" w:sz="0" w:space="0" w:color="auto"/>
        <w:left w:val="none" w:sz="0" w:space="0" w:color="auto"/>
        <w:bottom w:val="none" w:sz="0" w:space="0" w:color="auto"/>
        <w:right w:val="none" w:sz="0" w:space="0" w:color="auto"/>
      </w:divBdr>
    </w:div>
    <w:div w:id="154422047">
      <w:bodyDiv w:val="1"/>
      <w:marLeft w:val="0"/>
      <w:marRight w:val="0"/>
      <w:marTop w:val="0"/>
      <w:marBottom w:val="0"/>
      <w:divBdr>
        <w:top w:val="none" w:sz="0" w:space="0" w:color="auto"/>
        <w:left w:val="none" w:sz="0" w:space="0" w:color="auto"/>
        <w:bottom w:val="none" w:sz="0" w:space="0" w:color="auto"/>
        <w:right w:val="none" w:sz="0" w:space="0" w:color="auto"/>
      </w:divBdr>
    </w:div>
    <w:div w:id="155190761">
      <w:bodyDiv w:val="1"/>
      <w:marLeft w:val="0"/>
      <w:marRight w:val="0"/>
      <w:marTop w:val="0"/>
      <w:marBottom w:val="0"/>
      <w:divBdr>
        <w:top w:val="none" w:sz="0" w:space="0" w:color="auto"/>
        <w:left w:val="none" w:sz="0" w:space="0" w:color="auto"/>
        <w:bottom w:val="none" w:sz="0" w:space="0" w:color="auto"/>
        <w:right w:val="none" w:sz="0" w:space="0" w:color="auto"/>
      </w:divBdr>
    </w:div>
    <w:div w:id="159546790">
      <w:bodyDiv w:val="1"/>
      <w:marLeft w:val="0"/>
      <w:marRight w:val="0"/>
      <w:marTop w:val="0"/>
      <w:marBottom w:val="0"/>
      <w:divBdr>
        <w:top w:val="none" w:sz="0" w:space="0" w:color="auto"/>
        <w:left w:val="none" w:sz="0" w:space="0" w:color="auto"/>
        <w:bottom w:val="none" w:sz="0" w:space="0" w:color="auto"/>
        <w:right w:val="none" w:sz="0" w:space="0" w:color="auto"/>
      </w:divBdr>
    </w:div>
    <w:div w:id="162865864">
      <w:bodyDiv w:val="1"/>
      <w:marLeft w:val="0"/>
      <w:marRight w:val="0"/>
      <w:marTop w:val="0"/>
      <w:marBottom w:val="0"/>
      <w:divBdr>
        <w:top w:val="none" w:sz="0" w:space="0" w:color="auto"/>
        <w:left w:val="none" w:sz="0" w:space="0" w:color="auto"/>
        <w:bottom w:val="none" w:sz="0" w:space="0" w:color="auto"/>
        <w:right w:val="none" w:sz="0" w:space="0" w:color="auto"/>
      </w:divBdr>
    </w:div>
    <w:div w:id="171065652">
      <w:bodyDiv w:val="1"/>
      <w:marLeft w:val="0"/>
      <w:marRight w:val="0"/>
      <w:marTop w:val="0"/>
      <w:marBottom w:val="0"/>
      <w:divBdr>
        <w:top w:val="none" w:sz="0" w:space="0" w:color="auto"/>
        <w:left w:val="none" w:sz="0" w:space="0" w:color="auto"/>
        <w:bottom w:val="none" w:sz="0" w:space="0" w:color="auto"/>
        <w:right w:val="none" w:sz="0" w:space="0" w:color="auto"/>
      </w:divBdr>
    </w:div>
    <w:div w:id="177624486">
      <w:bodyDiv w:val="1"/>
      <w:marLeft w:val="0"/>
      <w:marRight w:val="0"/>
      <w:marTop w:val="0"/>
      <w:marBottom w:val="0"/>
      <w:divBdr>
        <w:top w:val="none" w:sz="0" w:space="0" w:color="auto"/>
        <w:left w:val="none" w:sz="0" w:space="0" w:color="auto"/>
        <w:bottom w:val="none" w:sz="0" w:space="0" w:color="auto"/>
        <w:right w:val="none" w:sz="0" w:space="0" w:color="auto"/>
      </w:divBdr>
    </w:div>
    <w:div w:id="180709340">
      <w:bodyDiv w:val="1"/>
      <w:marLeft w:val="0"/>
      <w:marRight w:val="0"/>
      <w:marTop w:val="0"/>
      <w:marBottom w:val="0"/>
      <w:divBdr>
        <w:top w:val="none" w:sz="0" w:space="0" w:color="auto"/>
        <w:left w:val="none" w:sz="0" w:space="0" w:color="auto"/>
        <w:bottom w:val="none" w:sz="0" w:space="0" w:color="auto"/>
        <w:right w:val="none" w:sz="0" w:space="0" w:color="auto"/>
      </w:divBdr>
    </w:div>
    <w:div w:id="186260009">
      <w:bodyDiv w:val="1"/>
      <w:marLeft w:val="0"/>
      <w:marRight w:val="0"/>
      <w:marTop w:val="0"/>
      <w:marBottom w:val="0"/>
      <w:divBdr>
        <w:top w:val="none" w:sz="0" w:space="0" w:color="auto"/>
        <w:left w:val="none" w:sz="0" w:space="0" w:color="auto"/>
        <w:bottom w:val="none" w:sz="0" w:space="0" w:color="auto"/>
        <w:right w:val="none" w:sz="0" w:space="0" w:color="auto"/>
      </w:divBdr>
    </w:div>
    <w:div w:id="190611061">
      <w:bodyDiv w:val="1"/>
      <w:marLeft w:val="0"/>
      <w:marRight w:val="0"/>
      <w:marTop w:val="0"/>
      <w:marBottom w:val="0"/>
      <w:divBdr>
        <w:top w:val="none" w:sz="0" w:space="0" w:color="auto"/>
        <w:left w:val="none" w:sz="0" w:space="0" w:color="auto"/>
        <w:bottom w:val="none" w:sz="0" w:space="0" w:color="auto"/>
        <w:right w:val="none" w:sz="0" w:space="0" w:color="auto"/>
      </w:divBdr>
    </w:div>
    <w:div w:id="195512907">
      <w:bodyDiv w:val="1"/>
      <w:marLeft w:val="0"/>
      <w:marRight w:val="0"/>
      <w:marTop w:val="0"/>
      <w:marBottom w:val="0"/>
      <w:divBdr>
        <w:top w:val="none" w:sz="0" w:space="0" w:color="auto"/>
        <w:left w:val="none" w:sz="0" w:space="0" w:color="auto"/>
        <w:bottom w:val="none" w:sz="0" w:space="0" w:color="auto"/>
        <w:right w:val="none" w:sz="0" w:space="0" w:color="auto"/>
      </w:divBdr>
    </w:div>
    <w:div w:id="199631466">
      <w:bodyDiv w:val="1"/>
      <w:marLeft w:val="0"/>
      <w:marRight w:val="0"/>
      <w:marTop w:val="0"/>
      <w:marBottom w:val="0"/>
      <w:divBdr>
        <w:top w:val="none" w:sz="0" w:space="0" w:color="auto"/>
        <w:left w:val="none" w:sz="0" w:space="0" w:color="auto"/>
        <w:bottom w:val="none" w:sz="0" w:space="0" w:color="auto"/>
        <w:right w:val="none" w:sz="0" w:space="0" w:color="auto"/>
      </w:divBdr>
    </w:div>
    <w:div w:id="200017060">
      <w:bodyDiv w:val="1"/>
      <w:marLeft w:val="0"/>
      <w:marRight w:val="0"/>
      <w:marTop w:val="0"/>
      <w:marBottom w:val="0"/>
      <w:divBdr>
        <w:top w:val="none" w:sz="0" w:space="0" w:color="auto"/>
        <w:left w:val="none" w:sz="0" w:space="0" w:color="auto"/>
        <w:bottom w:val="none" w:sz="0" w:space="0" w:color="auto"/>
        <w:right w:val="none" w:sz="0" w:space="0" w:color="auto"/>
      </w:divBdr>
    </w:div>
    <w:div w:id="219750479">
      <w:bodyDiv w:val="1"/>
      <w:marLeft w:val="0"/>
      <w:marRight w:val="0"/>
      <w:marTop w:val="0"/>
      <w:marBottom w:val="0"/>
      <w:divBdr>
        <w:top w:val="none" w:sz="0" w:space="0" w:color="auto"/>
        <w:left w:val="none" w:sz="0" w:space="0" w:color="auto"/>
        <w:bottom w:val="none" w:sz="0" w:space="0" w:color="auto"/>
        <w:right w:val="none" w:sz="0" w:space="0" w:color="auto"/>
      </w:divBdr>
    </w:div>
    <w:div w:id="226113134">
      <w:bodyDiv w:val="1"/>
      <w:marLeft w:val="0"/>
      <w:marRight w:val="0"/>
      <w:marTop w:val="0"/>
      <w:marBottom w:val="0"/>
      <w:divBdr>
        <w:top w:val="none" w:sz="0" w:space="0" w:color="auto"/>
        <w:left w:val="none" w:sz="0" w:space="0" w:color="auto"/>
        <w:bottom w:val="none" w:sz="0" w:space="0" w:color="auto"/>
        <w:right w:val="none" w:sz="0" w:space="0" w:color="auto"/>
      </w:divBdr>
    </w:div>
    <w:div w:id="230581985">
      <w:bodyDiv w:val="1"/>
      <w:marLeft w:val="0"/>
      <w:marRight w:val="0"/>
      <w:marTop w:val="0"/>
      <w:marBottom w:val="0"/>
      <w:divBdr>
        <w:top w:val="none" w:sz="0" w:space="0" w:color="auto"/>
        <w:left w:val="none" w:sz="0" w:space="0" w:color="auto"/>
        <w:bottom w:val="none" w:sz="0" w:space="0" w:color="auto"/>
        <w:right w:val="none" w:sz="0" w:space="0" w:color="auto"/>
      </w:divBdr>
    </w:div>
    <w:div w:id="237323475">
      <w:bodyDiv w:val="1"/>
      <w:marLeft w:val="0"/>
      <w:marRight w:val="0"/>
      <w:marTop w:val="0"/>
      <w:marBottom w:val="0"/>
      <w:divBdr>
        <w:top w:val="none" w:sz="0" w:space="0" w:color="auto"/>
        <w:left w:val="none" w:sz="0" w:space="0" w:color="auto"/>
        <w:bottom w:val="none" w:sz="0" w:space="0" w:color="auto"/>
        <w:right w:val="none" w:sz="0" w:space="0" w:color="auto"/>
      </w:divBdr>
    </w:div>
    <w:div w:id="239751206">
      <w:bodyDiv w:val="1"/>
      <w:marLeft w:val="0"/>
      <w:marRight w:val="0"/>
      <w:marTop w:val="0"/>
      <w:marBottom w:val="0"/>
      <w:divBdr>
        <w:top w:val="none" w:sz="0" w:space="0" w:color="auto"/>
        <w:left w:val="none" w:sz="0" w:space="0" w:color="auto"/>
        <w:bottom w:val="none" w:sz="0" w:space="0" w:color="auto"/>
        <w:right w:val="none" w:sz="0" w:space="0" w:color="auto"/>
      </w:divBdr>
    </w:div>
    <w:div w:id="247808062">
      <w:bodyDiv w:val="1"/>
      <w:marLeft w:val="0"/>
      <w:marRight w:val="0"/>
      <w:marTop w:val="0"/>
      <w:marBottom w:val="0"/>
      <w:divBdr>
        <w:top w:val="none" w:sz="0" w:space="0" w:color="auto"/>
        <w:left w:val="none" w:sz="0" w:space="0" w:color="auto"/>
        <w:bottom w:val="none" w:sz="0" w:space="0" w:color="auto"/>
        <w:right w:val="none" w:sz="0" w:space="0" w:color="auto"/>
      </w:divBdr>
    </w:div>
    <w:div w:id="254292245">
      <w:bodyDiv w:val="1"/>
      <w:marLeft w:val="0"/>
      <w:marRight w:val="0"/>
      <w:marTop w:val="0"/>
      <w:marBottom w:val="0"/>
      <w:divBdr>
        <w:top w:val="none" w:sz="0" w:space="0" w:color="auto"/>
        <w:left w:val="none" w:sz="0" w:space="0" w:color="auto"/>
        <w:bottom w:val="none" w:sz="0" w:space="0" w:color="auto"/>
        <w:right w:val="none" w:sz="0" w:space="0" w:color="auto"/>
      </w:divBdr>
    </w:div>
    <w:div w:id="259028799">
      <w:bodyDiv w:val="1"/>
      <w:marLeft w:val="0"/>
      <w:marRight w:val="0"/>
      <w:marTop w:val="0"/>
      <w:marBottom w:val="0"/>
      <w:divBdr>
        <w:top w:val="none" w:sz="0" w:space="0" w:color="auto"/>
        <w:left w:val="none" w:sz="0" w:space="0" w:color="auto"/>
        <w:bottom w:val="none" w:sz="0" w:space="0" w:color="auto"/>
        <w:right w:val="none" w:sz="0" w:space="0" w:color="auto"/>
      </w:divBdr>
    </w:div>
    <w:div w:id="266695201">
      <w:bodyDiv w:val="1"/>
      <w:marLeft w:val="0"/>
      <w:marRight w:val="0"/>
      <w:marTop w:val="0"/>
      <w:marBottom w:val="0"/>
      <w:divBdr>
        <w:top w:val="none" w:sz="0" w:space="0" w:color="auto"/>
        <w:left w:val="none" w:sz="0" w:space="0" w:color="auto"/>
        <w:bottom w:val="none" w:sz="0" w:space="0" w:color="auto"/>
        <w:right w:val="none" w:sz="0" w:space="0" w:color="auto"/>
      </w:divBdr>
    </w:div>
    <w:div w:id="274599408">
      <w:bodyDiv w:val="1"/>
      <w:marLeft w:val="0"/>
      <w:marRight w:val="0"/>
      <w:marTop w:val="0"/>
      <w:marBottom w:val="0"/>
      <w:divBdr>
        <w:top w:val="none" w:sz="0" w:space="0" w:color="auto"/>
        <w:left w:val="none" w:sz="0" w:space="0" w:color="auto"/>
        <w:bottom w:val="none" w:sz="0" w:space="0" w:color="auto"/>
        <w:right w:val="none" w:sz="0" w:space="0" w:color="auto"/>
      </w:divBdr>
    </w:div>
    <w:div w:id="307251585">
      <w:bodyDiv w:val="1"/>
      <w:marLeft w:val="0"/>
      <w:marRight w:val="0"/>
      <w:marTop w:val="0"/>
      <w:marBottom w:val="0"/>
      <w:divBdr>
        <w:top w:val="none" w:sz="0" w:space="0" w:color="auto"/>
        <w:left w:val="none" w:sz="0" w:space="0" w:color="auto"/>
        <w:bottom w:val="none" w:sz="0" w:space="0" w:color="auto"/>
        <w:right w:val="none" w:sz="0" w:space="0" w:color="auto"/>
      </w:divBdr>
    </w:div>
    <w:div w:id="312374706">
      <w:bodyDiv w:val="1"/>
      <w:marLeft w:val="0"/>
      <w:marRight w:val="0"/>
      <w:marTop w:val="0"/>
      <w:marBottom w:val="0"/>
      <w:divBdr>
        <w:top w:val="none" w:sz="0" w:space="0" w:color="auto"/>
        <w:left w:val="none" w:sz="0" w:space="0" w:color="auto"/>
        <w:bottom w:val="none" w:sz="0" w:space="0" w:color="auto"/>
        <w:right w:val="none" w:sz="0" w:space="0" w:color="auto"/>
      </w:divBdr>
    </w:div>
    <w:div w:id="332807877">
      <w:bodyDiv w:val="1"/>
      <w:marLeft w:val="0"/>
      <w:marRight w:val="0"/>
      <w:marTop w:val="0"/>
      <w:marBottom w:val="0"/>
      <w:divBdr>
        <w:top w:val="none" w:sz="0" w:space="0" w:color="auto"/>
        <w:left w:val="none" w:sz="0" w:space="0" w:color="auto"/>
        <w:bottom w:val="none" w:sz="0" w:space="0" w:color="auto"/>
        <w:right w:val="none" w:sz="0" w:space="0" w:color="auto"/>
      </w:divBdr>
    </w:div>
    <w:div w:id="334500239">
      <w:bodyDiv w:val="1"/>
      <w:marLeft w:val="0"/>
      <w:marRight w:val="0"/>
      <w:marTop w:val="0"/>
      <w:marBottom w:val="0"/>
      <w:divBdr>
        <w:top w:val="none" w:sz="0" w:space="0" w:color="auto"/>
        <w:left w:val="none" w:sz="0" w:space="0" w:color="auto"/>
        <w:bottom w:val="none" w:sz="0" w:space="0" w:color="auto"/>
        <w:right w:val="none" w:sz="0" w:space="0" w:color="auto"/>
      </w:divBdr>
    </w:div>
    <w:div w:id="335232010">
      <w:bodyDiv w:val="1"/>
      <w:marLeft w:val="0"/>
      <w:marRight w:val="0"/>
      <w:marTop w:val="0"/>
      <w:marBottom w:val="0"/>
      <w:divBdr>
        <w:top w:val="none" w:sz="0" w:space="0" w:color="auto"/>
        <w:left w:val="none" w:sz="0" w:space="0" w:color="auto"/>
        <w:bottom w:val="none" w:sz="0" w:space="0" w:color="auto"/>
        <w:right w:val="none" w:sz="0" w:space="0" w:color="auto"/>
      </w:divBdr>
    </w:div>
    <w:div w:id="340863196">
      <w:bodyDiv w:val="1"/>
      <w:marLeft w:val="0"/>
      <w:marRight w:val="0"/>
      <w:marTop w:val="0"/>
      <w:marBottom w:val="0"/>
      <w:divBdr>
        <w:top w:val="none" w:sz="0" w:space="0" w:color="auto"/>
        <w:left w:val="none" w:sz="0" w:space="0" w:color="auto"/>
        <w:bottom w:val="none" w:sz="0" w:space="0" w:color="auto"/>
        <w:right w:val="none" w:sz="0" w:space="0" w:color="auto"/>
      </w:divBdr>
    </w:div>
    <w:div w:id="356277000">
      <w:bodyDiv w:val="1"/>
      <w:marLeft w:val="0"/>
      <w:marRight w:val="0"/>
      <w:marTop w:val="0"/>
      <w:marBottom w:val="0"/>
      <w:divBdr>
        <w:top w:val="none" w:sz="0" w:space="0" w:color="auto"/>
        <w:left w:val="none" w:sz="0" w:space="0" w:color="auto"/>
        <w:bottom w:val="none" w:sz="0" w:space="0" w:color="auto"/>
        <w:right w:val="none" w:sz="0" w:space="0" w:color="auto"/>
      </w:divBdr>
    </w:div>
    <w:div w:id="357658572">
      <w:bodyDiv w:val="1"/>
      <w:marLeft w:val="0"/>
      <w:marRight w:val="0"/>
      <w:marTop w:val="0"/>
      <w:marBottom w:val="0"/>
      <w:divBdr>
        <w:top w:val="none" w:sz="0" w:space="0" w:color="auto"/>
        <w:left w:val="none" w:sz="0" w:space="0" w:color="auto"/>
        <w:bottom w:val="none" w:sz="0" w:space="0" w:color="auto"/>
        <w:right w:val="none" w:sz="0" w:space="0" w:color="auto"/>
      </w:divBdr>
    </w:div>
    <w:div w:id="366175245">
      <w:bodyDiv w:val="1"/>
      <w:marLeft w:val="0"/>
      <w:marRight w:val="0"/>
      <w:marTop w:val="0"/>
      <w:marBottom w:val="0"/>
      <w:divBdr>
        <w:top w:val="none" w:sz="0" w:space="0" w:color="auto"/>
        <w:left w:val="none" w:sz="0" w:space="0" w:color="auto"/>
        <w:bottom w:val="none" w:sz="0" w:space="0" w:color="auto"/>
        <w:right w:val="none" w:sz="0" w:space="0" w:color="auto"/>
      </w:divBdr>
    </w:div>
    <w:div w:id="387150741">
      <w:bodyDiv w:val="1"/>
      <w:marLeft w:val="0"/>
      <w:marRight w:val="0"/>
      <w:marTop w:val="0"/>
      <w:marBottom w:val="0"/>
      <w:divBdr>
        <w:top w:val="none" w:sz="0" w:space="0" w:color="auto"/>
        <w:left w:val="none" w:sz="0" w:space="0" w:color="auto"/>
        <w:bottom w:val="none" w:sz="0" w:space="0" w:color="auto"/>
        <w:right w:val="none" w:sz="0" w:space="0" w:color="auto"/>
      </w:divBdr>
    </w:div>
    <w:div w:id="391588923">
      <w:bodyDiv w:val="1"/>
      <w:marLeft w:val="0"/>
      <w:marRight w:val="0"/>
      <w:marTop w:val="0"/>
      <w:marBottom w:val="0"/>
      <w:divBdr>
        <w:top w:val="none" w:sz="0" w:space="0" w:color="auto"/>
        <w:left w:val="none" w:sz="0" w:space="0" w:color="auto"/>
        <w:bottom w:val="none" w:sz="0" w:space="0" w:color="auto"/>
        <w:right w:val="none" w:sz="0" w:space="0" w:color="auto"/>
      </w:divBdr>
    </w:div>
    <w:div w:id="395783644">
      <w:bodyDiv w:val="1"/>
      <w:marLeft w:val="0"/>
      <w:marRight w:val="0"/>
      <w:marTop w:val="0"/>
      <w:marBottom w:val="0"/>
      <w:divBdr>
        <w:top w:val="none" w:sz="0" w:space="0" w:color="auto"/>
        <w:left w:val="none" w:sz="0" w:space="0" w:color="auto"/>
        <w:bottom w:val="none" w:sz="0" w:space="0" w:color="auto"/>
        <w:right w:val="none" w:sz="0" w:space="0" w:color="auto"/>
      </w:divBdr>
    </w:div>
    <w:div w:id="397631894">
      <w:bodyDiv w:val="1"/>
      <w:marLeft w:val="0"/>
      <w:marRight w:val="0"/>
      <w:marTop w:val="0"/>
      <w:marBottom w:val="0"/>
      <w:divBdr>
        <w:top w:val="none" w:sz="0" w:space="0" w:color="auto"/>
        <w:left w:val="none" w:sz="0" w:space="0" w:color="auto"/>
        <w:bottom w:val="none" w:sz="0" w:space="0" w:color="auto"/>
        <w:right w:val="none" w:sz="0" w:space="0" w:color="auto"/>
      </w:divBdr>
    </w:div>
    <w:div w:id="410086778">
      <w:bodyDiv w:val="1"/>
      <w:marLeft w:val="0"/>
      <w:marRight w:val="0"/>
      <w:marTop w:val="0"/>
      <w:marBottom w:val="0"/>
      <w:divBdr>
        <w:top w:val="none" w:sz="0" w:space="0" w:color="auto"/>
        <w:left w:val="none" w:sz="0" w:space="0" w:color="auto"/>
        <w:bottom w:val="none" w:sz="0" w:space="0" w:color="auto"/>
        <w:right w:val="none" w:sz="0" w:space="0" w:color="auto"/>
      </w:divBdr>
    </w:div>
    <w:div w:id="411392536">
      <w:bodyDiv w:val="1"/>
      <w:marLeft w:val="0"/>
      <w:marRight w:val="0"/>
      <w:marTop w:val="0"/>
      <w:marBottom w:val="0"/>
      <w:divBdr>
        <w:top w:val="none" w:sz="0" w:space="0" w:color="auto"/>
        <w:left w:val="none" w:sz="0" w:space="0" w:color="auto"/>
        <w:bottom w:val="none" w:sz="0" w:space="0" w:color="auto"/>
        <w:right w:val="none" w:sz="0" w:space="0" w:color="auto"/>
      </w:divBdr>
    </w:div>
    <w:div w:id="421145795">
      <w:bodyDiv w:val="1"/>
      <w:marLeft w:val="0"/>
      <w:marRight w:val="0"/>
      <w:marTop w:val="0"/>
      <w:marBottom w:val="0"/>
      <w:divBdr>
        <w:top w:val="none" w:sz="0" w:space="0" w:color="auto"/>
        <w:left w:val="none" w:sz="0" w:space="0" w:color="auto"/>
        <w:bottom w:val="none" w:sz="0" w:space="0" w:color="auto"/>
        <w:right w:val="none" w:sz="0" w:space="0" w:color="auto"/>
      </w:divBdr>
    </w:div>
    <w:div w:id="440421028">
      <w:bodyDiv w:val="1"/>
      <w:marLeft w:val="0"/>
      <w:marRight w:val="0"/>
      <w:marTop w:val="0"/>
      <w:marBottom w:val="0"/>
      <w:divBdr>
        <w:top w:val="none" w:sz="0" w:space="0" w:color="auto"/>
        <w:left w:val="none" w:sz="0" w:space="0" w:color="auto"/>
        <w:bottom w:val="none" w:sz="0" w:space="0" w:color="auto"/>
        <w:right w:val="none" w:sz="0" w:space="0" w:color="auto"/>
      </w:divBdr>
    </w:div>
    <w:div w:id="448401869">
      <w:bodyDiv w:val="1"/>
      <w:marLeft w:val="0"/>
      <w:marRight w:val="0"/>
      <w:marTop w:val="0"/>
      <w:marBottom w:val="0"/>
      <w:divBdr>
        <w:top w:val="none" w:sz="0" w:space="0" w:color="auto"/>
        <w:left w:val="none" w:sz="0" w:space="0" w:color="auto"/>
        <w:bottom w:val="none" w:sz="0" w:space="0" w:color="auto"/>
        <w:right w:val="none" w:sz="0" w:space="0" w:color="auto"/>
      </w:divBdr>
    </w:div>
    <w:div w:id="455023749">
      <w:bodyDiv w:val="1"/>
      <w:marLeft w:val="0"/>
      <w:marRight w:val="0"/>
      <w:marTop w:val="0"/>
      <w:marBottom w:val="0"/>
      <w:divBdr>
        <w:top w:val="none" w:sz="0" w:space="0" w:color="auto"/>
        <w:left w:val="none" w:sz="0" w:space="0" w:color="auto"/>
        <w:bottom w:val="none" w:sz="0" w:space="0" w:color="auto"/>
        <w:right w:val="none" w:sz="0" w:space="0" w:color="auto"/>
      </w:divBdr>
    </w:div>
    <w:div w:id="458105806">
      <w:bodyDiv w:val="1"/>
      <w:marLeft w:val="0"/>
      <w:marRight w:val="0"/>
      <w:marTop w:val="0"/>
      <w:marBottom w:val="0"/>
      <w:divBdr>
        <w:top w:val="none" w:sz="0" w:space="0" w:color="auto"/>
        <w:left w:val="none" w:sz="0" w:space="0" w:color="auto"/>
        <w:bottom w:val="none" w:sz="0" w:space="0" w:color="auto"/>
        <w:right w:val="none" w:sz="0" w:space="0" w:color="auto"/>
      </w:divBdr>
    </w:div>
    <w:div w:id="469906861">
      <w:bodyDiv w:val="1"/>
      <w:marLeft w:val="0"/>
      <w:marRight w:val="0"/>
      <w:marTop w:val="0"/>
      <w:marBottom w:val="0"/>
      <w:divBdr>
        <w:top w:val="none" w:sz="0" w:space="0" w:color="auto"/>
        <w:left w:val="none" w:sz="0" w:space="0" w:color="auto"/>
        <w:bottom w:val="none" w:sz="0" w:space="0" w:color="auto"/>
        <w:right w:val="none" w:sz="0" w:space="0" w:color="auto"/>
      </w:divBdr>
    </w:div>
    <w:div w:id="472333307">
      <w:bodyDiv w:val="1"/>
      <w:marLeft w:val="0"/>
      <w:marRight w:val="0"/>
      <w:marTop w:val="0"/>
      <w:marBottom w:val="0"/>
      <w:divBdr>
        <w:top w:val="none" w:sz="0" w:space="0" w:color="auto"/>
        <w:left w:val="none" w:sz="0" w:space="0" w:color="auto"/>
        <w:bottom w:val="none" w:sz="0" w:space="0" w:color="auto"/>
        <w:right w:val="none" w:sz="0" w:space="0" w:color="auto"/>
      </w:divBdr>
    </w:div>
    <w:div w:id="482699758">
      <w:bodyDiv w:val="1"/>
      <w:marLeft w:val="0"/>
      <w:marRight w:val="0"/>
      <w:marTop w:val="0"/>
      <w:marBottom w:val="0"/>
      <w:divBdr>
        <w:top w:val="none" w:sz="0" w:space="0" w:color="auto"/>
        <w:left w:val="none" w:sz="0" w:space="0" w:color="auto"/>
        <w:bottom w:val="none" w:sz="0" w:space="0" w:color="auto"/>
        <w:right w:val="none" w:sz="0" w:space="0" w:color="auto"/>
      </w:divBdr>
    </w:div>
    <w:div w:id="483088327">
      <w:bodyDiv w:val="1"/>
      <w:marLeft w:val="0"/>
      <w:marRight w:val="0"/>
      <w:marTop w:val="0"/>
      <w:marBottom w:val="0"/>
      <w:divBdr>
        <w:top w:val="none" w:sz="0" w:space="0" w:color="auto"/>
        <w:left w:val="none" w:sz="0" w:space="0" w:color="auto"/>
        <w:bottom w:val="none" w:sz="0" w:space="0" w:color="auto"/>
        <w:right w:val="none" w:sz="0" w:space="0" w:color="auto"/>
      </w:divBdr>
    </w:div>
    <w:div w:id="484392289">
      <w:bodyDiv w:val="1"/>
      <w:marLeft w:val="0"/>
      <w:marRight w:val="0"/>
      <w:marTop w:val="0"/>
      <w:marBottom w:val="0"/>
      <w:divBdr>
        <w:top w:val="none" w:sz="0" w:space="0" w:color="auto"/>
        <w:left w:val="none" w:sz="0" w:space="0" w:color="auto"/>
        <w:bottom w:val="none" w:sz="0" w:space="0" w:color="auto"/>
        <w:right w:val="none" w:sz="0" w:space="0" w:color="auto"/>
      </w:divBdr>
    </w:div>
    <w:div w:id="485245472">
      <w:bodyDiv w:val="1"/>
      <w:marLeft w:val="0"/>
      <w:marRight w:val="0"/>
      <w:marTop w:val="0"/>
      <w:marBottom w:val="0"/>
      <w:divBdr>
        <w:top w:val="none" w:sz="0" w:space="0" w:color="auto"/>
        <w:left w:val="none" w:sz="0" w:space="0" w:color="auto"/>
        <w:bottom w:val="none" w:sz="0" w:space="0" w:color="auto"/>
        <w:right w:val="none" w:sz="0" w:space="0" w:color="auto"/>
      </w:divBdr>
    </w:div>
    <w:div w:id="485709415">
      <w:bodyDiv w:val="1"/>
      <w:marLeft w:val="0"/>
      <w:marRight w:val="0"/>
      <w:marTop w:val="0"/>
      <w:marBottom w:val="0"/>
      <w:divBdr>
        <w:top w:val="none" w:sz="0" w:space="0" w:color="auto"/>
        <w:left w:val="none" w:sz="0" w:space="0" w:color="auto"/>
        <w:bottom w:val="none" w:sz="0" w:space="0" w:color="auto"/>
        <w:right w:val="none" w:sz="0" w:space="0" w:color="auto"/>
      </w:divBdr>
    </w:div>
    <w:div w:id="493566672">
      <w:bodyDiv w:val="1"/>
      <w:marLeft w:val="0"/>
      <w:marRight w:val="0"/>
      <w:marTop w:val="0"/>
      <w:marBottom w:val="0"/>
      <w:divBdr>
        <w:top w:val="none" w:sz="0" w:space="0" w:color="auto"/>
        <w:left w:val="none" w:sz="0" w:space="0" w:color="auto"/>
        <w:bottom w:val="none" w:sz="0" w:space="0" w:color="auto"/>
        <w:right w:val="none" w:sz="0" w:space="0" w:color="auto"/>
      </w:divBdr>
    </w:div>
    <w:div w:id="507139603">
      <w:bodyDiv w:val="1"/>
      <w:marLeft w:val="0"/>
      <w:marRight w:val="0"/>
      <w:marTop w:val="0"/>
      <w:marBottom w:val="0"/>
      <w:divBdr>
        <w:top w:val="none" w:sz="0" w:space="0" w:color="auto"/>
        <w:left w:val="none" w:sz="0" w:space="0" w:color="auto"/>
        <w:bottom w:val="none" w:sz="0" w:space="0" w:color="auto"/>
        <w:right w:val="none" w:sz="0" w:space="0" w:color="auto"/>
      </w:divBdr>
    </w:div>
    <w:div w:id="511266504">
      <w:bodyDiv w:val="1"/>
      <w:marLeft w:val="0"/>
      <w:marRight w:val="0"/>
      <w:marTop w:val="0"/>
      <w:marBottom w:val="0"/>
      <w:divBdr>
        <w:top w:val="none" w:sz="0" w:space="0" w:color="auto"/>
        <w:left w:val="none" w:sz="0" w:space="0" w:color="auto"/>
        <w:bottom w:val="none" w:sz="0" w:space="0" w:color="auto"/>
        <w:right w:val="none" w:sz="0" w:space="0" w:color="auto"/>
      </w:divBdr>
    </w:div>
    <w:div w:id="533736805">
      <w:bodyDiv w:val="1"/>
      <w:marLeft w:val="0"/>
      <w:marRight w:val="0"/>
      <w:marTop w:val="0"/>
      <w:marBottom w:val="0"/>
      <w:divBdr>
        <w:top w:val="none" w:sz="0" w:space="0" w:color="auto"/>
        <w:left w:val="none" w:sz="0" w:space="0" w:color="auto"/>
        <w:bottom w:val="none" w:sz="0" w:space="0" w:color="auto"/>
        <w:right w:val="none" w:sz="0" w:space="0" w:color="auto"/>
      </w:divBdr>
    </w:div>
    <w:div w:id="545458319">
      <w:bodyDiv w:val="1"/>
      <w:marLeft w:val="0"/>
      <w:marRight w:val="0"/>
      <w:marTop w:val="0"/>
      <w:marBottom w:val="0"/>
      <w:divBdr>
        <w:top w:val="none" w:sz="0" w:space="0" w:color="auto"/>
        <w:left w:val="none" w:sz="0" w:space="0" w:color="auto"/>
        <w:bottom w:val="none" w:sz="0" w:space="0" w:color="auto"/>
        <w:right w:val="none" w:sz="0" w:space="0" w:color="auto"/>
      </w:divBdr>
    </w:div>
    <w:div w:id="550724582">
      <w:bodyDiv w:val="1"/>
      <w:marLeft w:val="0"/>
      <w:marRight w:val="0"/>
      <w:marTop w:val="0"/>
      <w:marBottom w:val="0"/>
      <w:divBdr>
        <w:top w:val="none" w:sz="0" w:space="0" w:color="auto"/>
        <w:left w:val="none" w:sz="0" w:space="0" w:color="auto"/>
        <w:bottom w:val="none" w:sz="0" w:space="0" w:color="auto"/>
        <w:right w:val="none" w:sz="0" w:space="0" w:color="auto"/>
      </w:divBdr>
    </w:div>
    <w:div w:id="563490468">
      <w:bodyDiv w:val="1"/>
      <w:marLeft w:val="0"/>
      <w:marRight w:val="0"/>
      <w:marTop w:val="0"/>
      <w:marBottom w:val="0"/>
      <w:divBdr>
        <w:top w:val="none" w:sz="0" w:space="0" w:color="auto"/>
        <w:left w:val="none" w:sz="0" w:space="0" w:color="auto"/>
        <w:bottom w:val="none" w:sz="0" w:space="0" w:color="auto"/>
        <w:right w:val="none" w:sz="0" w:space="0" w:color="auto"/>
      </w:divBdr>
    </w:div>
    <w:div w:id="567620396">
      <w:bodyDiv w:val="1"/>
      <w:marLeft w:val="0"/>
      <w:marRight w:val="0"/>
      <w:marTop w:val="0"/>
      <w:marBottom w:val="0"/>
      <w:divBdr>
        <w:top w:val="none" w:sz="0" w:space="0" w:color="auto"/>
        <w:left w:val="none" w:sz="0" w:space="0" w:color="auto"/>
        <w:bottom w:val="none" w:sz="0" w:space="0" w:color="auto"/>
        <w:right w:val="none" w:sz="0" w:space="0" w:color="auto"/>
      </w:divBdr>
    </w:div>
    <w:div w:id="570584685">
      <w:bodyDiv w:val="1"/>
      <w:marLeft w:val="0"/>
      <w:marRight w:val="0"/>
      <w:marTop w:val="0"/>
      <w:marBottom w:val="0"/>
      <w:divBdr>
        <w:top w:val="none" w:sz="0" w:space="0" w:color="auto"/>
        <w:left w:val="none" w:sz="0" w:space="0" w:color="auto"/>
        <w:bottom w:val="none" w:sz="0" w:space="0" w:color="auto"/>
        <w:right w:val="none" w:sz="0" w:space="0" w:color="auto"/>
      </w:divBdr>
    </w:div>
    <w:div w:id="581455265">
      <w:bodyDiv w:val="1"/>
      <w:marLeft w:val="0"/>
      <w:marRight w:val="0"/>
      <w:marTop w:val="0"/>
      <w:marBottom w:val="0"/>
      <w:divBdr>
        <w:top w:val="none" w:sz="0" w:space="0" w:color="auto"/>
        <w:left w:val="none" w:sz="0" w:space="0" w:color="auto"/>
        <w:bottom w:val="none" w:sz="0" w:space="0" w:color="auto"/>
        <w:right w:val="none" w:sz="0" w:space="0" w:color="auto"/>
      </w:divBdr>
    </w:div>
    <w:div w:id="588001590">
      <w:bodyDiv w:val="1"/>
      <w:marLeft w:val="0"/>
      <w:marRight w:val="0"/>
      <w:marTop w:val="0"/>
      <w:marBottom w:val="0"/>
      <w:divBdr>
        <w:top w:val="none" w:sz="0" w:space="0" w:color="auto"/>
        <w:left w:val="none" w:sz="0" w:space="0" w:color="auto"/>
        <w:bottom w:val="none" w:sz="0" w:space="0" w:color="auto"/>
        <w:right w:val="none" w:sz="0" w:space="0" w:color="auto"/>
      </w:divBdr>
    </w:div>
    <w:div w:id="589772479">
      <w:bodyDiv w:val="1"/>
      <w:marLeft w:val="0"/>
      <w:marRight w:val="0"/>
      <w:marTop w:val="0"/>
      <w:marBottom w:val="0"/>
      <w:divBdr>
        <w:top w:val="none" w:sz="0" w:space="0" w:color="auto"/>
        <w:left w:val="none" w:sz="0" w:space="0" w:color="auto"/>
        <w:bottom w:val="none" w:sz="0" w:space="0" w:color="auto"/>
        <w:right w:val="none" w:sz="0" w:space="0" w:color="auto"/>
      </w:divBdr>
    </w:div>
    <w:div w:id="592858338">
      <w:bodyDiv w:val="1"/>
      <w:marLeft w:val="0"/>
      <w:marRight w:val="0"/>
      <w:marTop w:val="0"/>
      <w:marBottom w:val="0"/>
      <w:divBdr>
        <w:top w:val="none" w:sz="0" w:space="0" w:color="auto"/>
        <w:left w:val="none" w:sz="0" w:space="0" w:color="auto"/>
        <w:bottom w:val="none" w:sz="0" w:space="0" w:color="auto"/>
        <w:right w:val="none" w:sz="0" w:space="0" w:color="auto"/>
      </w:divBdr>
    </w:div>
    <w:div w:id="597785983">
      <w:bodyDiv w:val="1"/>
      <w:marLeft w:val="0"/>
      <w:marRight w:val="0"/>
      <w:marTop w:val="0"/>
      <w:marBottom w:val="0"/>
      <w:divBdr>
        <w:top w:val="none" w:sz="0" w:space="0" w:color="auto"/>
        <w:left w:val="none" w:sz="0" w:space="0" w:color="auto"/>
        <w:bottom w:val="none" w:sz="0" w:space="0" w:color="auto"/>
        <w:right w:val="none" w:sz="0" w:space="0" w:color="auto"/>
      </w:divBdr>
    </w:div>
    <w:div w:id="598486404">
      <w:bodyDiv w:val="1"/>
      <w:marLeft w:val="0"/>
      <w:marRight w:val="0"/>
      <w:marTop w:val="0"/>
      <w:marBottom w:val="0"/>
      <w:divBdr>
        <w:top w:val="none" w:sz="0" w:space="0" w:color="auto"/>
        <w:left w:val="none" w:sz="0" w:space="0" w:color="auto"/>
        <w:bottom w:val="none" w:sz="0" w:space="0" w:color="auto"/>
        <w:right w:val="none" w:sz="0" w:space="0" w:color="auto"/>
      </w:divBdr>
    </w:div>
    <w:div w:id="602298507">
      <w:bodyDiv w:val="1"/>
      <w:marLeft w:val="0"/>
      <w:marRight w:val="0"/>
      <w:marTop w:val="0"/>
      <w:marBottom w:val="0"/>
      <w:divBdr>
        <w:top w:val="none" w:sz="0" w:space="0" w:color="auto"/>
        <w:left w:val="none" w:sz="0" w:space="0" w:color="auto"/>
        <w:bottom w:val="none" w:sz="0" w:space="0" w:color="auto"/>
        <w:right w:val="none" w:sz="0" w:space="0" w:color="auto"/>
      </w:divBdr>
    </w:div>
    <w:div w:id="603459074">
      <w:bodyDiv w:val="1"/>
      <w:marLeft w:val="0"/>
      <w:marRight w:val="0"/>
      <w:marTop w:val="0"/>
      <w:marBottom w:val="0"/>
      <w:divBdr>
        <w:top w:val="none" w:sz="0" w:space="0" w:color="auto"/>
        <w:left w:val="none" w:sz="0" w:space="0" w:color="auto"/>
        <w:bottom w:val="none" w:sz="0" w:space="0" w:color="auto"/>
        <w:right w:val="none" w:sz="0" w:space="0" w:color="auto"/>
      </w:divBdr>
    </w:div>
    <w:div w:id="606232614">
      <w:bodyDiv w:val="1"/>
      <w:marLeft w:val="0"/>
      <w:marRight w:val="0"/>
      <w:marTop w:val="0"/>
      <w:marBottom w:val="0"/>
      <w:divBdr>
        <w:top w:val="none" w:sz="0" w:space="0" w:color="auto"/>
        <w:left w:val="none" w:sz="0" w:space="0" w:color="auto"/>
        <w:bottom w:val="none" w:sz="0" w:space="0" w:color="auto"/>
        <w:right w:val="none" w:sz="0" w:space="0" w:color="auto"/>
      </w:divBdr>
    </w:div>
    <w:div w:id="616525831">
      <w:bodyDiv w:val="1"/>
      <w:marLeft w:val="0"/>
      <w:marRight w:val="0"/>
      <w:marTop w:val="0"/>
      <w:marBottom w:val="0"/>
      <w:divBdr>
        <w:top w:val="none" w:sz="0" w:space="0" w:color="auto"/>
        <w:left w:val="none" w:sz="0" w:space="0" w:color="auto"/>
        <w:bottom w:val="none" w:sz="0" w:space="0" w:color="auto"/>
        <w:right w:val="none" w:sz="0" w:space="0" w:color="auto"/>
      </w:divBdr>
    </w:div>
    <w:div w:id="620965871">
      <w:bodyDiv w:val="1"/>
      <w:marLeft w:val="0"/>
      <w:marRight w:val="0"/>
      <w:marTop w:val="0"/>
      <w:marBottom w:val="0"/>
      <w:divBdr>
        <w:top w:val="none" w:sz="0" w:space="0" w:color="auto"/>
        <w:left w:val="none" w:sz="0" w:space="0" w:color="auto"/>
        <w:bottom w:val="none" w:sz="0" w:space="0" w:color="auto"/>
        <w:right w:val="none" w:sz="0" w:space="0" w:color="auto"/>
      </w:divBdr>
    </w:div>
    <w:div w:id="621420056">
      <w:bodyDiv w:val="1"/>
      <w:marLeft w:val="0"/>
      <w:marRight w:val="0"/>
      <w:marTop w:val="0"/>
      <w:marBottom w:val="0"/>
      <w:divBdr>
        <w:top w:val="none" w:sz="0" w:space="0" w:color="auto"/>
        <w:left w:val="none" w:sz="0" w:space="0" w:color="auto"/>
        <w:bottom w:val="none" w:sz="0" w:space="0" w:color="auto"/>
        <w:right w:val="none" w:sz="0" w:space="0" w:color="auto"/>
      </w:divBdr>
    </w:div>
    <w:div w:id="623199045">
      <w:bodyDiv w:val="1"/>
      <w:marLeft w:val="0"/>
      <w:marRight w:val="0"/>
      <w:marTop w:val="0"/>
      <w:marBottom w:val="0"/>
      <w:divBdr>
        <w:top w:val="none" w:sz="0" w:space="0" w:color="auto"/>
        <w:left w:val="none" w:sz="0" w:space="0" w:color="auto"/>
        <w:bottom w:val="none" w:sz="0" w:space="0" w:color="auto"/>
        <w:right w:val="none" w:sz="0" w:space="0" w:color="auto"/>
      </w:divBdr>
    </w:div>
    <w:div w:id="628628375">
      <w:bodyDiv w:val="1"/>
      <w:marLeft w:val="0"/>
      <w:marRight w:val="0"/>
      <w:marTop w:val="0"/>
      <w:marBottom w:val="0"/>
      <w:divBdr>
        <w:top w:val="none" w:sz="0" w:space="0" w:color="auto"/>
        <w:left w:val="none" w:sz="0" w:space="0" w:color="auto"/>
        <w:bottom w:val="none" w:sz="0" w:space="0" w:color="auto"/>
        <w:right w:val="none" w:sz="0" w:space="0" w:color="auto"/>
      </w:divBdr>
    </w:div>
    <w:div w:id="656617195">
      <w:bodyDiv w:val="1"/>
      <w:marLeft w:val="0"/>
      <w:marRight w:val="0"/>
      <w:marTop w:val="0"/>
      <w:marBottom w:val="0"/>
      <w:divBdr>
        <w:top w:val="none" w:sz="0" w:space="0" w:color="auto"/>
        <w:left w:val="none" w:sz="0" w:space="0" w:color="auto"/>
        <w:bottom w:val="none" w:sz="0" w:space="0" w:color="auto"/>
        <w:right w:val="none" w:sz="0" w:space="0" w:color="auto"/>
      </w:divBdr>
    </w:div>
    <w:div w:id="656761639">
      <w:bodyDiv w:val="1"/>
      <w:marLeft w:val="0"/>
      <w:marRight w:val="0"/>
      <w:marTop w:val="0"/>
      <w:marBottom w:val="0"/>
      <w:divBdr>
        <w:top w:val="none" w:sz="0" w:space="0" w:color="auto"/>
        <w:left w:val="none" w:sz="0" w:space="0" w:color="auto"/>
        <w:bottom w:val="none" w:sz="0" w:space="0" w:color="auto"/>
        <w:right w:val="none" w:sz="0" w:space="0" w:color="auto"/>
      </w:divBdr>
    </w:div>
    <w:div w:id="669601510">
      <w:bodyDiv w:val="1"/>
      <w:marLeft w:val="0"/>
      <w:marRight w:val="0"/>
      <w:marTop w:val="0"/>
      <w:marBottom w:val="0"/>
      <w:divBdr>
        <w:top w:val="none" w:sz="0" w:space="0" w:color="auto"/>
        <w:left w:val="none" w:sz="0" w:space="0" w:color="auto"/>
        <w:bottom w:val="none" w:sz="0" w:space="0" w:color="auto"/>
        <w:right w:val="none" w:sz="0" w:space="0" w:color="auto"/>
      </w:divBdr>
    </w:div>
    <w:div w:id="680160677">
      <w:bodyDiv w:val="1"/>
      <w:marLeft w:val="0"/>
      <w:marRight w:val="0"/>
      <w:marTop w:val="0"/>
      <w:marBottom w:val="0"/>
      <w:divBdr>
        <w:top w:val="none" w:sz="0" w:space="0" w:color="auto"/>
        <w:left w:val="none" w:sz="0" w:space="0" w:color="auto"/>
        <w:bottom w:val="none" w:sz="0" w:space="0" w:color="auto"/>
        <w:right w:val="none" w:sz="0" w:space="0" w:color="auto"/>
      </w:divBdr>
    </w:div>
    <w:div w:id="683629631">
      <w:bodyDiv w:val="1"/>
      <w:marLeft w:val="0"/>
      <w:marRight w:val="0"/>
      <w:marTop w:val="0"/>
      <w:marBottom w:val="0"/>
      <w:divBdr>
        <w:top w:val="none" w:sz="0" w:space="0" w:color="auto"/>
        <w:left w:val="none" w:sz="0" w:space="0" w:color="auto"/>
        <w:bottom w:val="none" w:sz="0" w:space="0" w:color="auto"/>
        <w:right w:val="none" w:sz="0" w:space="0" w:color="auto"/>
      </w:divBdr>
    </w:div>
    <w:div w:id="710612919">
      <w:bodyDiv w:val="1"/>
      <w:marLeft w:val="0"/>
      <w:marRight w:val="0"/>
      <w:marTop w:val="0"/>
      <w:marBottom w:val="0"/>
      <w:divBdr>
        <w:top w:val="none" w:sz="0" w:space="0" w:color="auto"/>
        <w:left w:val="none" w:sz="0" w:space="0" w:color="auto"/>
        <w:bottom w:val="none" w:sz="0" w:space="0" w:color="auto"/>
        <w:right w:val="none" w:sz="0" w:space="0" w:color="auto"/>
      </w:divBdr>
    </w:div>
    <w:div w:id="713116424">
      <w:bodyDiv w:val="1"/>
      <w:marLeft w:val="0"/>
      <w:marRight w:val="0"/>
      <w:marTop w:val="0"/>
      <w:marBottom w:val="0"/>
      <w:divBdr>
        <w:top w:val="none" w:sz="0" w:space="0" w:color="auto"/>
        <w:left w:val="none" w:sz="0" w:space="0" w:color="auto"/>
        <w:bottom w:val="none" w:sz="0" w:space="0" w:color="auto"/>
        <w:right w:val="none" w:sz="0" w:space="0" w:color="auto"/>
      </w:divBdr>
    </w:div>
    <w:div w:id="721909290">
      <w:bodyDiv w:val="1"/>
      <w:marLeft w:val="0"/>
      <w:marRight w:val="0"/>
      <w:marTop w:val="0"/>
      <w:marBottom w:val="0"/>
      <w:divBdr>
        <w:top w:val="none" w:sz="0" w:space="0" w:color="auto"/>
        <w:left w:val="none" w:sz="0" w:space="0" w:color="auto"/>
        <w:bottom w:val="none" w:sz="0" w:space="0" w:color="auto"/>
        <w:right w:val="none" w:sz="0" w:space="0" w:color="auto"/>
      </w:divBdr>
    </w:div>
    <w:div w:id="726883105">
      <w:bodyDiv w:val="1"/>
      <w:marLeft w:val="0"/>
      <w:marRight w:val="0"/>
      <w:marTop w:val="0"/>
      <w:marBottom w:val="0"/>
      <w:divBdr>
        <w:top w:val="none" w:sz="0" w:space="0" w:color="auto"/>
        <w:left w:val="none" w:sz="0" w:space="0" w:color="auto"/>
        <w:bottom w:val="none" w:sz="0" w:space="0" w:color="auto"/>
        <w:right w:val="none" w:sz="0" w:space="0" w:color="auto"/>
      </w:divBdr>
    </w:div>
    <w:div w:id="731006062">
      <w:bodyDiv w:val="1"/>
      <w:marLeft w:val="0"/>
      <w:marRight w:val="0"/>
      <w:marTop w:val="0"/>
      <w:marBottom w:val="0"/>
      <w:divBdr>
        <w:top w:val="none" w:sz="0" w:space="0" w:color="auto"/>
        <w:left w:val="none" w:sz="0" w:space="0" w:color="auto"/>
        <w:bottom w:val="none" w:sz="0" w:space="0" w:color="auto"/>
        <w:right w:val="none" w:sz="0" w:space="0" w:color="auto"/>
      </w:divBdr>
    </w:div>
    <w:div w:id="736779328">
      <w:bodyDiv w:val="1"/>
      <w:marLeft w:val="0"/>
      <w:marRight w:val="0"/>
      <w:marTop w:val="0"/>
      <w:marBottom w:val="0"/>
      <w:divBdr>
        <w:top w:val="none" w:sz="0" w:space="0" w:color="auto"/>
        <w:left w:val="none" w:sz="0" w:space="0" w:color="auto"/>
        <w:bottom w:val="none" w:sz="0" w:space="0" w:color="auto"/>
        <w:right w:val="none" w:sz="0" w:space="0" w:color="auto"/>
      </w:divBdr>
    </w:div>
    <w:div w:id="737047435">
      <w:bodyDiv w:val="1"/>
      <w:marLeft w:val="0"/>
      <w:marRight w:val="0"/>
      <w:marTop w:val="0"/>
      <w:marBottom w:val="0"/>
      <w:divBdr>
        <w:top w:val="none" w:sz="0" w:space="0" w:color="auto"/>
        <w:left w:val="none" w:sz="0" w:space="0" w:color="auto"/>
        <w:bottom w:val="none" w:sz="0" w:space="0" w:color="auto"/>
        <w:right w:val="none" w:sz="0" w:space="0" w:color="auto"/>
      </w:divBdr>
    </w:div>
    <w:div w:id="738213125">
      <w:bodyDiv w:val="1"/>
      <w:marLeft w:val="0"/>
      <w:marRight w:val="0"/>
      <w:marTop w:val="0"/>
      <w:marBottom w:val="0"/>
      <w:divBdr>
        <w:top w:val="none" w:sz="0" w:space="0" w:color="auto"/>
        <w:left w:val="none" w:sz="0" w:space="0" w:color="auto"/>
        <w:bottom w:val="none" w:sz="0" w:space="0" w:color="auto"/>
        <w:right w:val="none" w:sz="0" w:space="0" w:color="auto"/>
      </w:divBdr>
    </w:div>
    <w:div w:id="740636336">
      <w:bodyDiv w:val="1"/>
      <w:marLeft w:val="0"/>
      <w:marRight w:val="0"/>
      <w:marTop w:val="0"/>
      <w:marBottom w:val="0"/>
      <w:divBdr>
        <w:top w:val="none" w:sz="0" w:space="0" w:color="auto"/>
        <w:left w:val="none" w:sz="0" w:space="0" w:color="auto"/>
        <w:bottom w:val="none" w:sz="0" w:space="0" w:color="auto"/>
        <w:right w:val="none" w:sz="0" w:space="0" w:color="auto"/>
      </w:divBdr>
    </w:div>
    <w:div w:id="756753130">
      <w:bodyDiv w:val="1"/>
      <w:marLeft w:val="0"/>
      <w:marRight w:val="0"/>
      <w:marTop w:val="0"/>
      <w:marBottom w:val="0"/>
      <w:divBdr>
        <w:top w:val="none" w:sz="0" w:space="0" w:color="auto"/>
        <w:left w:val="none" w:sz="0" w:space="0" w:color="auto"/>
        <w:bottom w:val="none" w:sz="0" w:space="0" w:color="auto"/>
        <w:right w:val="none" w:sz="0" w:space="0" w:color="auto"/>
      </w:divBdr>
    </w:div>
    <w:div w:id="757024928">
      <w:bodyDiv w:val="1"/>
      <w:marLeft w:val="0"/>
      <w:marRight w:val="0"/>
      <w:marTop w:val="0"/>
      <w:marBottom w:val="0"/>
      <w:divBdr>
        <w:top w:val="none" w:sz="0" w:space="0" w:color="auto"/>
        <w:left w:val="none" w:sz="0" w:space="0" w:color="auto"/>
        <w:bottom w:val="none" w:sz="0" w:space="0" w:color="auto"/>
        <w:right w:val="none" w:sz="0" w:space="0" w:color="auto"/>
      </w:divBdr>
    </w:div>
    <w:div w:id="759721564">
      <w:bodyDiv w:val="1"/>
      <w:marLeft w:val="0"/>
      <w:marRight w:val="0"/>
      <w:marTop w:val="0"/>
      <w:marBottom w:val="0"/>
      <w:divBdr>
        <w:top w:val="none" w:sz="0" w:space="0" w:color="auto"/>
        <w:left w:val="none" w:sz="0" w:space="0" w:color="auto"/>
        <w:bottom w:val="none" w:sz="0" w:space="0" w:color="auto"/>
        <w:right w:val="none" w:sz="0" w:space="0" w:color="auto"/>
      </w:divBdr>
    </w:div>
    <w:div w:id="764762461">
      <w:bodyDiv w:val="1"/>
      <w:marLeft w:val="0"/>
      <w:marRight w:val="0"/>
      <w:marTop w:val="0"/>
      <w:marBottom w:val="0"/>
      <w:divBdr>
        <w:top w:val="none" w:sz="0" w:space="0" w:color="auto"/>
        <w:left w:val="none" w:sz="0" w:space="0" w:color="auto"/>
        <w:bottom w:val="none" w:sz="0" w:space="0" w:color="auto"/>
        <w:right w:val="none" w:sz="0" w:space="0" w:color="auto"/>
      </w:divBdr>
    </w:div>
    <w:div w:id="766198479">
      <w:bodyDiv w:val="1"/>
      <w:marLeft w:val="0"/>
      <w:marRight w:val="0"/>
      <w:marTop w:val="0"/>
      <w:marBottom w:val="0"/>
      <w:divBdr>
        <w:top w:val="none" w:sz="0" w:space="0" w:color="auto"/>
        <w:left w:val="none" w:sz="0" w:space="0" w:color="auto"/>
        <w:bottom w:val="none" w:sz="0" w:space="0" w:color="auto"/>
        <w:right w:val="none" w:sz="0" w:space="0" w:color="auto"/>
      </w:divBdr>
    </w:div>
    <w:div w:id="773402999">
      <w:bodyDiv w:val="1"/>
      <w:marLeft w:val="0"/>
      <w:marRight w:val="0"/>
      <w:marTop w:val="0"/>
      <w:marBottom w:val="0"/>
      <w:divBdr>
        <w:top w:val="none" w:sz="0" w:space="0" w:color="auto"/>
        <w:left w:val="none" w:sz="0" w:space="0" w:color="auto"/>
        <w:bottom w:val="none" w:sz="0" w:space="0" w:color="auto"/>
        <w:right w:val="none" w:sz="0" w:space="0" w:color="auto"/>
      </w:divBdr>
    </w:div>
    <w:div w:id="773793191">
      <w:bodyDiv w:val="1"/>
      <w:marLeft w:val="0"/>
      <w:marRight w:val="0"/>
      <w:marTop w:val="0"/>
      <w:marBottom w:val="0"/>
      <w:divBdr>
        <w:top w:val="none" w:sz="0" w:space="0" w:color="auto"/>
        <w:left w:val="none" w:sz="0" w:space="0" w:color="auto"/>
        <w:bottom w:val="none" w:sz="0" w:space="0" w:color="auto"/>
        <w:right w:val="none" w:sz="0" w:space="0" w:color="auto"/>
      </w:divBdr>
    </w:div>
    <w:div w:id="779227971">
      <w:bodyDiv w:val="1"/>
      <w:marLeft w:val="0"/>
      <w:marRight w:val="0"/>
      <w:marTop w:val="0"/>
      <w:marBottom w:val="0"/>
      <w:divBdr>
        <w:top w:val="none" w:sz="0" w:space="0" w:color="auto"/>
        <w:left w:val="none" w:sz="0" w:space="0" w:color="auto"/>
        <w:bottom w:val="none" w:sz="0" w:space="0" w:color="auto"/>
        <w:right w:val="none" w:sz="0" w:space="0" w:color="auto"/>
      </w:divBdr>
    </w:div>
    <w:div w:id="785347284">
      <w:bodyDiv w:val="1"/>
      <w:marLeft w:val="0"/>
      <w:marRight w:val="0"/>
      <w:marTop w:val="0"/>
      <w:marBottom w:val="0"/>
      <w:divBdr>
        <w:top w:val="none" w:sz="0" w:space="0" w:color="auto"/>
        <w:left w:val="none" w:sz="0" w:space="0" w:color="auto"/>
        <w:bottom w:val="none" w:sz="0" w:space="0" w:color="auto"/>
        <w:right w:val="none" w:sz="0" w:space="0" w:color="auto"/>
      </w:divBdr>
    </w:div>
    <w:div w:id="787429976">
      <w:bodyDiv w:val="1"/>
      <w:marLeft w:val="0"/>
      <w:marRight w:val="0"/>
      <w:marTop w:val="0"/>
      <w:marBottom w:val="0"/>
      <w:divBdr>
        <w:top w:val="none" w:sz="0" w:space="0" w:color="auto"/>
        <w:left w:val="none" w:sz="0" w:space="0" w:color="auto"/>
        <w:bottom w:val="none" w:sz="0" w:space="0" w:color="auto"/>
        <w:right w:val="none" w:sz="0" w:space="0" w:color="auto"/>
      </w:divBdr>
    </w:div>
    <w:div w:id="792405323">
      <w:bodyDiv w:val="1"/>
      <w:marLeft w:val="0"/>
      <w:marRight w:val="0"/>
      <w:marTop w:val="0"/>
      <w:marBottom w:val="0"/>
      <w:divBdr>
        <w:top w:val="none" w:sz="0" w:space="0" w:color="auto"/>
        <w:left w:val="none" w:sz="0" w:space="0" w:color="auto"/>
        <w:bottom w:val="none" w:sz="0" w:space="0" w:color="auto"/>
        <w:right w:val="none" w:sz="0" w:space="0" w:color="auto"/>
      </w:divBdr>
    </w:div>
    <w:div w:id="812257450">
      <w:bodyDiv w:val="1"/>
      <w:marLeft w:val="0"/>
      <w:marRight w:val="0"/>
      <w:marTop w:val="0"/>
      <w:marBottom w:val="0"/>
      <w:divBdr>
        <w:top w:val="none" w:sz="0" w:space="0" w:color="auto"/>
        <w:left w:val="none" w:sz="0" w:space="0" w:color="auto"/>
        <w:bottom w:val="none" w:sz="0" w:space="0" w:color="auto"/>
        <w:right w:val="none" w:sz="0" w:space="0" w:color="auto"/>
      </w:divBdr>
    </w:div>
    <w:div w:id="814490070">
      <w:bodyDiv w:val="1"/>
      <w:marLeft w:val="0"/>
      <w:marRight w:val="0"/>
      <w:marTop w:val="0"/>
      <w:marBottom w:val="0"/>
      <w:divBdr>
        <w:top w:val="none" w:sz="0" w:space="0" w:color="auto"/>
        <w:left w:val="none" w:sz="0" w:space="0" w:color="auto"/>
        <w:bottom w:val="none" w:sz="0" w:space="0" w:color="auto"/>
        <w:right w:val="none" w:sz="0" w:space="0" w:color="auto"/>
      </w:divBdr>
    </w:div>
    <w:div w:id="818616543">
      <w:bodyDiv w:val="1"/>
      <w:marLeft w:val="0"/>
      <w:marRight w:val="0"/>
      <w:marTop w:val="0"/>
      <w:marBottom w:val="0"/>
      <w:divBdr>
        <w:top w:val="none" w:sz="0" w:space="0" w:color="auto"/>
        <w:left w:val="none" w:sz="0" w:space="0" w:color="auto"/>
        <w:bottom w:val="none" w:sz="0" w:space="0" w:color="auto"/>
        <w:right w:val="none" w:sz="0" w:space="0" w:color="auto"/>
      </w:divBdr>
    </w:div>
    <w:div w:id="826946001">
      <w:bodyDiv w:val="1"/>
      <w:marLeft w:val="0"/>
      <w:marRight w:val="0"/>
      <w:marTop w:val="0"/>
      <w:marBottom w:val="0"/>
      <w:divBdr>
        <w:top w:val="none" w:sz="0" w:space="0" w:color="auto"/>
        <w:left w:val="none" w:sz="0" w:space="0" w:color="auto"/>
        <w:bottom w:val="none" w:sz="0" w:space="0" w:color="auto"/>
        <w:right w:val="none" w:sz="0" w:space="0" w:color="auto"/>
      </w:divBdr>
    </w:div>
    <w:div w:id="840239187">
      <w:bodyDiv w:val="1"/>
      <w:marLeft w:val="0"/>
      <w:marRight w:val="0"/>
      <w:marTop w:val="0"/>
      <w:marBottom w:val="0"/>
      <w:divBdr>
        <w:top w:val="none" w:sz="0" w:space="0" w:color="auto"/>
        <w:left w:val="none" w:sz="0" w:space="0" w:color="auto"/>
        <w:bottom w:val="none" w:sz="0" w:space="0" w:color="auto"/>
        <w:right w:val="none" w:sz="0" w:space="0" w:color="auto"/>
      </w:divBdr>
    </w:div>
    <w:div w:id="842747370">
      <w:bodyDiv w:val="1"/>
      <w:marLeft w:val="0"/>
      <w:marRight w:val="0"/>
      <w:marTop w:val="0"/>
      <w:marBottom w:val="0"/>
      <w:divBdr>
        <w:top w:val="none" w:sz="0" w:space="0" w:color="auto"/>
        <w:left w:val="none" w:sz="0" w:space="0" w:color="auto"/>
        <w:bottom w:val="none" w:sz="0" w:space="0" w:color="auto"/>
        <w:right w:val="none" w:sz="0" w:space="0" w:color="auto"/>
      </w:divBdr>
    </w:div>
    <w:div w:id="843086373">
      <w:bodyDiv w:val="1"/>
      <w:marLeft w:val="0"/>
      <w:marRight w:val="0"/>
      <w:marTop w:val="0"/>
      <w:marBottom w:val="0"/>
      <w:divBdr>
        <w:top w:val="none" w:sz="0" w:space="0" w:color="auto"/>
        <w:left w:val="none" w:sz="0" w:space="0" w:color="auto"/>
        <w:bottom w:val="none" w:sz="0" w:space="0" w:color="auto"/>
        <w:right w:val="none" w:sz="0" w:space="0" w:color="auto"/>
      </w:divBdr>
    </w:div>
    <w:div w:id="860972600">
      <w:bodyDiv w:val="1"/>
      <w:marLeft w:val="0"/>
      <w:marRight w:val="0"/>
      <w:marTop w:val="0"/>
      <w:marBottom w:val="0"/>
      <w:divBdr>
        <w:top w:val="none" w:sz="0" w:space="0" w:color="auto"/>
        <w:left w:val="none" w:sz="0" w:space="0" w:color="auto"/>
        <w:bottom w:val="none" w:sz="0" w:space="0" w:color="auto"/>
        <w:right w:val="none" w:sz="0" w:space="0" w:color="auto"/>
      </w:divBdr>
    </w:div>
    <w:div w:id="862136403">
      <w:bodyDiv w:val="1"/>
      <w:marLeft w:val="0"/>
      <w:marRight w:val="0"/>
      <w:marTop w:val="0"/>
      <w:marBottom w:val="0"/>
      <w:divBdr>
        <w:top w:val="none" w:sz="0" w:space="0" w:color="auto"/>
        <w:left w:val="none" w:sz="0" w:space="0" w:color="auto"/>
        <w:bottom w:val="none" w:sz="0" w:space="0" w:color="auto"/>
        <w:right w:val="none" w:sz="0" w:space="0" w:color="auto"/>
      </w:divBdr>
    </w:div>
    <w:div w:id="863053334">
      <w:bodyDiv w:val="1"/>
      <w:marLeft w:val="0"/>
      <w:marRight w:val="0"/>
      <w:marTop w:val="0"/>
      <w:marBottom w:val="0"/>
      <w:divBdr>
        <w:top w:val="none" w:sz="0" w:space="0" w:color="auto"/>
        <w:left w:val="none" w:sz="0" w:space="0" w:color="auto"/>
        <w:bottom w:val="none" w:sz="0" w:space="0" w:color="auto"/>
        <w:right w:val="none" w:sz="0" w:space="0" w:color="auto"/>
      </w:divBdr>
    </w:div>
    <w:div w:id="867107926">
      <w:bodyDiv w:val="1"/>
      <w:marLeft w:val="0"/>
      <w:marRight w:val="0"/>
      <w:marTop w:val="0"/>
      <w:marBottom w:val="0"/>
      <w:divBdr>
        <w:top w:val="none" w:sz="0" w:space="0" w:color="auto"/>
        <w:left w:val="none" w:sz="0" w:space="0" w:color="auto"/>
        <w:bottom w:val="none" w:sz="0" w:space="0" w:color="auto"/>
        <w:right w:val="none" w:sz="0" w:space="0" w:color="auto"/>
      </w:divBdr>
    </w:div>
    <w:div w:id="868447601">
      <w:bodyDiv w:val="1"/>
      <w:marLeft w:val="0"/>
      <w:marRight w:val="0"/>
      <w:marTop w:val="0"/>
      <w:marBottom w:val="0"/>
      <w:divBdr>
        <w:top w:val="none" w:sz="0" w:space="0" w:color="auto"/>
        <w:left w:val="none" w:sz="0" w:space="0" w:color="auto"/>
        <w:bottom w:val="none" w:sz="0" w:space="0" w:color="auto"/>
        <w:right w:val="none" w:sz="0" w:space="0" w:color="auto"/>
      </w:divBdr>
    </w:div>
    <w:div w:id="872767159">
      <w:bodyDiv w:val="1"/>
      <w:marLeft w:val="0"/>
      <w:marRight w:val="0"/>
      <w:marTop w:val="0"/>
      <w:marBottom w:val="0"/>
      <w:divBdr>
        <w:top w:val="none" w:sz="0" w:space="0" w:color="auto"/>
        <w:left w:val="none" w:sz="0" w:space="0" w:color="auto"/>
        <w:bottom w:val="none" w:sz="0" w:space="0" w:color="auto"/>
        <w:right w:val="none" w:sz="0" w:space="0" w:color="auto"/>
      </w:divBdr>
    </w:div>
    <w:div w:id="879324048">
      <w:bodyDiv w:val="1"/>
      <w:marLeft w:val="0"/>
      <w:marRight w:val="0"/>
      <w:marTop w:val="0"/>
      <w:marBottom w:val="0"/>
      <w:divBdr>
        <w:top w:val="none" w:sz="0" w:space="0" w:color="auto"/>
        <w:left w:val="none" w:sz="0" w:space="0" w:color="auto"/>
        <w:bottom w:val="none" w:sz="0" w:space="0" w:color="auto"/>
        <w:right w:val="none" w:sz="0" w:space="0" w:color="auto"/>
      </w:divBdr>
    </w:div>
    <w:div w:id="894659195">
      <w:bodyDiv w:val="1"/>
      <w:marLeft w:val="0"/>
      <w:marRight w:val="0"/>
      <w:marTop w:val="0"/>
      <w:marBottom w:val="0"/>
      <w:divBdr>
        <w:top w:val="none" w:sz="0" w:space="0" w:color="auto"/>
        <w:left w:val="none" w:sz="0" w:space="0" w:color="auto"/>
        <w:bottom w:val="none" w:sz="0" w:space="0" w:color="auto"/>
        <w:right w:val="none" w:sz="0" w:space="0" w:color="auto"/>
      </w:divBdr>
    </w:div>
    <w:div w:id="901211612">
      <w:bodyDiv w:val="1"/>
      <w:marLeft w:val="0"/>
      <w:marRight w:val="0"/>
      <w:marTop w:val="0"/>
      <w:marBottom w:val="0"/>
      <w:divBdr>
        <w:top w:val="none" w:sz="0" w:space="0" w:color="auto"/>
        <w:left w:val="none" w:sz="0" w:space="0" w:color="auto"/>
        <w:bottom w:val="none" w:sz="0" w:space="0" w:color="auto"/>
        <w:right w:val="none" w:sz="0" w:space="0" w:color="auto"/>
      </w:divBdr>
    </w:div>
    <w:div w:id="939802809">
      <w:bodyDiv w:val="1"/>
      <w:marLeft w:val="0"/>
      <w:marRight w:val="0"/>
      <w:marTop w:val="0"/>
      <w:marBottom w:val="0"/>
      <w:divBdr>
        <w:top w:val="none" w:sz="0" w:space="0" w:color="auto"/>
        <w:left w:val="none" w:sz="0" w:space="0" w:color="auto"/>
        <w:bottom w:val="none" w:sz="0" w:space="0" w:color="auto"/>
        <w:right w:val="none" w:sz="0" w:space="0" w:color="auto"/>
      </w:divBdr>
    </w:div>
    <w:div w:id="950164806">
      <w:bodyDiv w:val="1"/>
      <w:marLeft w:val="0"/>
      <w:marRight w:val="0"/>
      <w:marTop w:val="0"/>
      <w:marBottom w:val="0"/>
      <w:divBdr>
        <w:top w:val="none" w:sz="0" w:space="0" w:color="auto"/>
        <w:left w:val="none" w:sz="0" w:space="0" w:color="auto"/>
        <w:bottom w:val="none" w:sz="0" w:space="0" w:color="auto"/>
        <w:right w:val="none" w:sz="0" w:space="0" w:color="auto"/>
      </w:divBdr>
    </w:div>
    <w:div w:id="959607936">
      <w:bodyDiv w:val="1"/>
      <w:marLeft w:val="0"/>
      <w:marRight w:val="0"/>
      <w:marTop w:val="0"/>
      <w:marBottom w:val="0"/>
      <w:divBdr>
        <w:top w:val="none" w:sz="0" w:space="0" w:color="auto"/>
        <w:left w:val="none" w:sz="0" w:space="0" w:color="auto"/>
        <w:bottom w:val="none" w:sz="0" w:space="0" w:color="auto"/>
        <w:right w:val="none" w:sz="0" w:space="0" w:color="auto"/>
      </w:divBdr>
    </w:div>
    <w:div w:id="974990249">
      <w:bodyDiv w:val="1"/>
      <w:marLeft w:val="0"/>
      <w:marRight w:val="0"/>
      <w:marTop w:val="0"/>
      <w:marBottom w:val="0"/>
      <w:divBdr>
        <w:top w:val="none" w:sz="0" w:space="0" w:color="auto"/>
        <w:left w:val="none" w:sz="0" w:space="0" w:color="auto"/>
        <w:bottom w:val="none" w:sz="0" w:space="0" w:color="auto"/>
        <w:right w:val="none" w:sz="0" w:space="0" w:color="auto"/>
      </w:divBdr>
    </w:div>
    <w:div w:id="985276430">
      <w:bodyDiv w:val="1"/>
      <w:marLeft w:val="0"/>
      <w:marRight w:val="0"/>
      <w:marTop w:val="0"/>
      <w:marBottom w:val="0"/>
      <w:divBdr>
        <w:top w:val="none" w:sz="0" w:space="0" w:color="auto"/>
        <w:left w:val="none" w:sz="0" w:space="0" w:color="auto"/>
        <w:bottom w:val="none" w:sz="0" w:space="0" w:color="auto"/>
        <w:right w:val="none" w:sz="0" w:space="0" w:color="auto"/>
      </w:divBdr>
    </w:div>
    <w:div w:id="1009335389">
      <w:bodyDiv w:val="1"/>
      <w:marLeft w:val="0"/>
      <w:marRight w:val="0"/>
      <w:marTop w:val="0"/>
      <w:marBottom w:val="0"/>
      <w:divBdr>
        <w:top w:val="none" w:sz="0" w:space="0" w:color="auto"/>
        <w:left w:val="none" w:sz="0" w:space="0" w:color="auto"/>
        <w:bottom w:val="none" w:sz="0" w:space="0" w:color="auto"/>
        <w:right w:val="none" w:sz="0" w:space="0" w:color="auto"/>
      </w:divBdr>
    </w:div>
    <w:div w:id="1014188346">
      <w:bodyDiv w:val="1"/>
      <w:marLeft w:val="0"/>
      <w:marRight w:val="0"/>
      <w:marTop w:val="0"/>
      <w:marBottom w:val="0"/>
      <w:divBdr>
        <w:top w:val="none" w:sz="0" w:space="0" w:color="auto"/>
        <w:left w:val="none" w:sz="0" w:space="0" w:color="auto"/>
        <w:bottom w:val="none" w:sz="0" w:space="0" w:color="auto"/>
        <w:right w:val="none" w:sz="0" w:space="0" w:color="auto"/>
      </w:divBdr>
    </w:div>
    <w:div w:id="1045056678">
      <w:bodyDiv w:val="1"/>
      <w:marLeft w:val="0"/>
      <w:marRight w:val="0"/>
      <w:marTop w:val="0"/>
      <w:marBottom w:val="0"/>
      <w:divBdr>
        <w:top w:val="none" w:sz="0" w:space="0" w:color="auto"/>
        <w:left w:val="none" w:sz="0" w:space="0" w:color="auto"/>
        <w:bottom w:val="none" w:sz="0" w:space="0" w:color="auto"/>
        <w:right w:val="none" w:sz="0" w:space="0" w:color="auto"/>
      </w:divBdr>
    </w:div>
    <w:div w:id="1072581807">
      <w:bodyDiv w:val="1"/>
      <w:marLeft w:val="0"/>
      <w:marRight w:val="0"/>
      <w:marTop w:val="0"/>
      <w:marBottom w:val="0"/>
      <w:divBdr>
        <w:top w:val="none" w:sz="0" w:space="0" w:color="auto"/>
        <w:left w:val="none" w:sz="0" w:space="0" w:color="auto"/>
        <w:bottom w:val="none" w:sz="0" w:space="0" w:color="auto"/>
        <w:right w:val="none" w:sz="0" w:space="0" w:color="auto"/>
      </w:divBdr>
    </w:div>
    <w:div w:id="1078289204">
      <w:bodyDiv w:val="1"/>
      <w:marLeft w:val="0"/>
      <w:marRight w:val="0"/>
      <w:marTop w:val="0"/>
      <w:marBottom w:val="0"/>
      <w:divBdr>
        <w:top w:val="none" w:sz="0" w:space="0" w:color="auto"/>
        <w:left w:val="none" w:sz="0" w:space="0" w:color="auto"/>
        <w:bottom w:val="none" w:sz="0" w:space="0" w:color="auto"/>
        <w:right w:val="none" w:sz="0" w:space="0" w:color="auto"/>
      </w:divBdr>
    </w:div>
    <w:div w:id="1085683492">
      <w:bodyDiv w:val="1"/>
      <w:marLeft w:val="0"/>
      <w:marRight w:val="0"/>
      <w:marTop w:val="0"/>
      <w:marBottom w:val="0"/>
      <w:divBdr>
        <w:top w:val="none" w:sz="0" w:space="0" w:color="auto"/>
        <w:left w:val="none" w:sz="0" w:space="0" w:color="auto"/>
        <w:bottom w:val="none" w:sz="0" w:space="0" w:color="auto"/>
        <w:right w:val="none" w:sz="0" w:space="0" w:color="auto"/>
      </w:divBdr>
    </w:div>
    <w:div w:id="1087310271">
      <w:bodyDiv w:val="1"/>
      <w:marLeft w:val="0"/>
      <w:marRight w:val="0"/>
      <w:marTop w:val="0"/>
      <w:marBottom w:val="0"/>
      <w:divBdr>
        <w:top w:val="none" w:sz="0" w:space="0" w:color="auto"/>
        <w:left w:val="none" w:sz="0" w:space="0" w:color="auto"/>
        <w:bottom w:val="none" w:sz="0" w:space="0" w:color="auto"/>
        <w:right w:val="none" w:sz="0" w:space="0" w:color="auto"/>
      </w:divBdr>
    </w:div>
    <w:div w:id="1088886732">
      <w:bodyDiv w:val="1"/>
      <w:marLeft w:val="0"/>
      <w:marRight w:val="0"/>
      <w:marTop w:val="0"/>
      <w:marBottom w:val="0"/>
      <w:divBdr>
        <w:top w:val="none" w:sz="0" w:space="0" w:color="auto"/>
        <w:left w:val="none" w:sz="0" w:space="0" w:color="auto"/>
        <w:bottom w:val="none" w:sz="0" w:space="0" w:color="auto"/>
        <w:right w:val="none" w:sz="0" w:space="0" w:color="auto"/>
      </w:divBdr>
    </w:div>
    <w:div w:id="1092117696">
      <w:bodyDiv w:val="1"/>
      <w:marLeft w:val="0"/>
      <w:marRight w:val="0"/>
      <w:marTop w:val="0"/>
      <w:marBottom w:val="0"/>
      <w:divBdr>
        <w:top w:val="none" w:sz="0" w:space="0" w:color="auto"/>
        <w:left w:val="none" w:sz="0" w:space="0" w:color="auto"/>
        <w:bottom w:val="none" w:sz="0" w:space="0" w:color="auto"/>
        <w:right w:val="none" w:sz="0" w:space="0" w:color="auto"/>
      </w:divBdr>
    </w:div>
    <w:div w:id="1096708238">
      <w:bodyDiv w:val="1"/>
      <w:marLeft w:val="0"/>
      <w:marRight w:val="0"/>
      <w:marTop w:val="0"/>
      <w:marBottom w:val="0"/>
      <w:divBdr>
        <w:top w:val="none" w:sz="0" w:space="0" w:color="auto"/>
        <w:left w:val="none" w:sz="0" w:space="0" w:color="auto"/>
        <w:bottom w:val="none" w:sz="0" w:space="0" w:color="auto"/>
        <w:right w:val="none" w:sz="0" w:space="0" w:color="auto"/>
      </w:divBdr>
    </w:div>
    <w:div w:id="1104688868">
      <w:bodyDiv w:val="1"/>
      <w:marLeft w:val="0"/>
      <w:marRight w:val="0"/>
      <w:marTop w:val="0"/>
      <w:marBottom w:val="0"/>
      <w:divBdr>
        <w:top w:val="none" w:sz="0" w:space="0" w:color="auto"/>
        <w:left w:val="none" w:sz="0" w:space="0" w:color="auto"/>
        <w:bottom w:val="none" w:sz="0" w:space="0" w:color="auto"/>
        <w:right w:val="none" w:sz="0" w:space="0" w:color="auto"/>
      </w:divBdr>
    </w:div>
    <w:div w:id="1111238844">
      <w:bodyDiv w:val="1"/>
      <w:marLeft w:val="0"/>
      <w:marRight w:val="0"/>
      <w:marTop w:val="0"/>
      <w:marBottom w:val="0"/>
      <w:divBdr>
        <w:top w:val="none" w:sz="0" w:space="0" w:color="auto"/>
        <w:left w:val="none" w:sz="0" w:space="0" w:color="auto"/>
        <w:bottom w:val="none" w:sz="0" w:space="0" w:color="auto"/>
        <w:right w:val="none" w:sz="0" w:space="0" w:color="auto"/>
      </w:divBdr>
    </w:div>
    <w:div w:id="1114329120">
      <w:bodyDiv w:val="1"/>
      <w:marLeft w:val="0"/>
      <w:marRight w:val="0"/>
      <w:marTop w:val="0"/>
      <w:marBottom w:val="0"/>
      <w:divBdr>
        <w:top w:val="none" w:sz="0" w:space="0" w:color="auto"/>
        <w:left w:val="none" w:sz="0" w:space="0" w:color="auto"/>
        <w:bottom w:val="none" w:sz="0" w:space="0" w:color="auto"/>
        <w:right w:val="none" w:sz="0" w:space="0" w:color="auto"/>
      </w:divBdr>
    </w:div>
    <w:div w:id="1115052204">
      <w:bodyDiv w:val="1"/>
      <w:marLeft w:val="0"/>
      <w:marRight w:val="0"/>
      <w:marTop w:val="0"/>
      <w:marBottom w:val="0"/>
      <w:divBdr>
        <w:top w:val="none" w:sz="0" w:space="0" w:color="auto"/>
        <w:left w:val="none" w:sz="0" w:space="0" w:color="auto"/>
        <w:bottom w:val="none" w:sz="0" w:space="0" w:color="auto"/>
        <w:right w:val="none" w:sz="0" w:space="0" w:color="auto"/>
      </w:divBdr>
    </w:div>
    <w:div w:id="1117916217">
      <w:bodyDiv w:val="1"/>
      <w:marLeft w:val="0"/>
      <w:marRight w:val="0"/>
      <w:marTop w:val="0"/>
      <w:marBottom w:val="0"/>
      <w:divBdr>
        <w:top w:val="none" w:sz="0" w:space="0" w:color="auto"/>
        <w:left w:val="none" w:sz="0" w:space="0" w:color="auto"/>
        <w:bottom w:val="none" w:sz="0" w:space="0" w:color="auto"/>
        <w:right w:val="none" w:sz="0" w:space="0" w:color="auto"/>
      </w:divBdr>
    </w:div>
    <w:div w:id="1168137622">
      <w:bodyDiv w:val="1"/>
      <w:marLeft w:val="0"/>
      <w:marRight w:val="0"/>
      <w:marTop w:val="0"/>
      <w:marBottom w:val="0"/>
      <w:divBdr>
        <w:top w:val="none" w:sz="0" w:space="0" w:color="auto"/>
        <w:left w:val="none" w:sz="0" w:space="0" w:color="auto"/>
        <w:bottom w:val="none" w:sz="0" w:space="0" w:color="auto"/>
        <w:right w:val="none" w:sz="0" w:space="0" w:color="auto"/>
      </w:divBdr>
    </w:div>
    <w:div w:id="1175420819">
      <w:bodyDiv w:val="1"/>
      <w:marLeft w:val="0"/>
      <w:marRight w:val="0"/>
      <w:marTop w:val="0"/>
      <w:marBottom w:val="0"/>
      <w:divBdr>
        <w:top w:val="none" w:sz="0" w:space="0" w:color="auto"/>
        <w:left w:val="none" w:sz="0" w:space="0" w:color="auto"/>
        <w:bottom w:val="none" w:sz="0" w:space="0" w:color="auto"/>
        <w:right w:val="none" w:sz="0" w:space="0" w:color="auto"/>
      </w:divBdr>
    </w:div>
    <w:div w:id="1186552149">
      <w:bodyDiv w:val="1"/>
      <w:marLeft w:val="0"/>
      <w:marRight w:val="0"/>
      <w:marTop w:val="0"/>
      <w:marBottom w:val="0"/>
      <w:divBdr>
        <w:top w:val="none" w:sz="0" w:space="0" w:color="auto"/>
        <w:left w:val="none" w:sz="0" w:space="0" w:color="auto"/>
        <w:bottom w:val="none" w:sz="0" w:space="0" w:color="auto"/>
        <w:right w:val="none" w:sz="0" w:space="0" w:color="auto"/>
      </w:divBdr>
    </w:div>
    <w:div w:id="1191185638">
      <w:bodyDiv w:val="1"/>
      <w:marLeft w:val="0"/>
      <w:marRight w:val="0"/>
      <w:marTop w:val="0"/>
      <w:marBottom w:val="0"/>
      <w:divBdr>
        <w:top w:val="none" w:sz="0" w:space="0" w:color="auto"/>
        <w:left w:val="none" w:sz="0" w:space="0" w:color="auto"/>
        <w:bottom w:val="none" w:sz="0" w:space="0" w:color="auto"/>
        <w:right w:val="none" w:sz="0" w:space="0" w:color="auto"/>
      </w:divBdr>
    </w:div>
    <w:div w:id="1191458896">
      <w:bodyDiv w:val="1"/>
      <w:marLeft w:val="0"/>
      <w:marRight w:val="0"/>
      <w:marTop w:val="0"/>
      <w:marBottom w:val="0"/>
      <w:divBdr>
        <w:top w:val="none" w:sz="0" w:space="0" w:color="auto"/>
        <w:left w:val="none" w:sz="0" w:space="0" w:color="auto"/>
        <w:bottom w:val="none" w:sz="0" w:space="0" w:color="auto"/>
        <w:right w:val="none" w:sz="0" w:space="0" w:color="auto"/>
      </w:divBdr>
    </w:div>
    <w:div w:id="1206943574">
      <w:bodyDiv w:val="1"/>
      <w:marLeft w:val="0"/>
      <w:marRight w:val="0"/>
      <w:marTop w:val="0"/>
      <w:marBottom w:val="0"/>
      <w:divBdr>
        <w:top w:val="none" w:sz="0" w:space="0" w:color="auto"/>
        <w:left w:val="none" w:sz="0" w:space="0" w:color="auto"/>
        <w:bottom w:val="none" w:sz="0" w:space="0" w:color="auto"/>
        <w:right w:val="none" w:sz="0" w:space="0" w:color="auto"/>
      </w:divBdr>
    </w:div>
    <w:div w:id="1209874310">
      <w:bodyDiv w:val="1"/>
      <w:marLeft w:val="0"/>
      <w:marRight w:val="0"/>
      <w:marTop w:val="0"/>
      <w:marBottom w:val="0"/>
      <w:divBdr>
        <w:top w:val="none" w:sz="0" w:space="0" w:color="auto"/>
        <w:left w:val="none" w:sz="0" w:space="0" w:color="auto"/>
        <w:bottom w:val="none" w:sz="0" w:space="0" w:color="auto"/>
        <w:right w:val="none" w:sz="0" w:space="0" w:color="auto"/>
      </w:divBdr>
    </w:div>
    <w:div w:id="1214923303">
      <w:bodyDiv w:val="1"/>
      <w:marLeft w:val="0"/>
      <w:marRight w:val="0"/>
      <w:marTop w:val="0"/>
      <w:marBottom w:val="0"/>
      <w:divBdr>
        <w:top w:val="none" w:sz="0" w:space="0" w:color="auto"/>
        <w:left w:val="none" w:sz="0" w:space="0" w:color="auto"/>
        <w:bottom w:val="none" w:sz="0" w:space="0" w:color="auto"/>
        <w:right w:val="none" w:sz="0" w:space="0" w:color="auto"/>
      </w:divBdr>
    </w:div>
    <w:div w:id="1231190990">
      <w:bodyDiv w:val="1"/>
      <w:marLeft w:val="0"/>
      <w:marRight w:val="0"/>
      <w:marTop w:val="0"/>
      <w:marBottom w:val="0"/>
      <w:divBdr>
        <w:top w:val="none" w:sz="0" w:space="0" w:color="auto"/>
        <w:left w:val="none" w:sz="0" w:space="0" w:color="auto"/>
        <w:bottom w:val="none" w:sz="0" w:space="0" w:color="auto"/>
        <w:right w:val="none" w:sz="0" w:space="0" w:color="auto"/>
      </w:divBdr>
    </w:div>
    <w:div w:id="1233084884">
      <w:bodyDiv w:val="1"/>
      <w:marLeft w:val="0"/>
      <w:marRight w:val="0"/>
      <w:marTop w:val="0"/>
      <w:marBottom w:val="0"/>
      <w:divBdr>
        <w:top w:val="none" w:sz="0" w:space="0" w:color="auto"/>
        <w:left w:val="none" w:sz="0" w:space="0" w:color="auto"/>
        <w:bottom w:val="none" w:sz="0" w:space="0" w:color="auto"/>
        <w:right w:val="none" w:sz="0" w:space="0" w:color="auto"/>
      </w:divBdr>
    </w:div>
    <w:div w:id="1259168962">
      <w:bodyDiv w:val="1"/>
      <w:marLeft w:val="0"/>
      <w:marRight w:val="0"/>
      <w:marTop w:val="0"/>
      <w:marBottom w:val="0"/>
      <w:divBdr>
        <w:top w:val="none" w:sz="0" w:space="0" w:color="auto"/>
        <w:left w:val="none" w:sz="0" w:space="0" w:color="auto"/>
        <w:bottom w:val="none" w:sz="0" w:space="0" w:color="auto"/>
        <w:right w:val="none" w:sz="0" w:space="0" w:color="auto"/>
      </w:divBdr>
    </w:div>
    <w:div w:id="1259218836">
      <w:bodyDiv w:val="1"/>
      <w:marLeft w:val="0"/>
      <w:marRight w:val="0"/>
      <w:marTop w:val="0"/>
      <w:marBottom w:val="0"/>
      <w:divBdr>
        <w:top w:val="none" w:sz="0" w:space="0" w:color="auto"/>
        <w:left w:val="none" w:sz="0" w:space="0" w:color="auto"/>
        <w:bottom w:val="none" w:sz="0" w:space="0" w:color="auto"/>
        <w:right w:val="none" w:sz="0" w:space="0" w:color="auto"/>
      </w:divBdr>
    </w:div>
    <w:div w:id="1260528362">
      <w:bodyDiv w:val="1"/>
      <w:marLeft w:val="0"/>
      <w:marRight w:val="0"/>
      <w:marTop w:val="0"/>
      <w:marBottom w:val="0"/>
      <w:divBdr>
        <w:top w:val="none" w:sz="0" w:space="0" w:color="auto"/>
        <w:left w:val="none" w:sz="0" w:space="0" w:color="auto"/>
        <w:bottom w:val="none" w:sz="0" w:space="0" w:color="auto"/>
        <w:right w:val="none" w:sz="0" w:space="0" w:color="auto"/>
      </w:divBdr>
    </w:div>
    <w:div w:id="1266960761">
      <w:bodyDiv w:val="1"/>
      <w:marLeft w:val="0"/>
      <w:marRight w:val="0"/>
      <w:marTop w:val="0"/>
      <w:marBottom w:val="0"/>
      <w:divBdr>
        <w:top w:val="none" w:sz="0" w:space="0" w:color="auto"/>
        <w:left w:val="none" w:sz="0" w:space="0" w:color="auto"/>
        <w:bottom w:val="none" w:sz="0" w:space="0" w:color="auto"/>
        <w:right w:val="none" w:sz="0" w:space="0" w:color="auto"/>
      </w:divBdr>
    </w:div>
    <w:div w:id="1271430044">
      <w:bodyDiv w:val="1"/>
      <w:marLeft w:val="0"/>
      <w:marRight w:val="0"/>
      <w:marTop w:val="0"/>
      <w:marBottom w:val="0"/>
      <w:divBdr>
        <w:top w:val="none" w:sz="0" w:space="0" w:color="auto"/>
        <w:left w:val="none" w:sz="0" w:space="0" w:color="auto"/>
        <w:bottom w:val="none" w:sz="0" w:space="0" w:color="auto"/>
        <w:right w:val="none" w:sz="0" w:space="0" w:color="auto"/>
      </w:divBdr>
    </w:div>
    <w:div w:id="1287539636">
      <w:bodyDiv w:val="1"/>
      <w:marLeft w:val="0"/>
      <w:marRight w:val="0"/>
      <w:marTop w:val="0"/>
      <w:marBottom w:val="0"/>
      <w:divBdr>
        <w:top w:val="none" w:sz="0" w:space="0" w:color="auto"/>
        <w:left w:val="none" w:sz="0" w:space="0" w:color="auto"/>
        <w:bottom w:val="none" w:sz="0" w:space="0" w:color="auto"/>
        <w:right w:val="none" w:sz="0" w:space="0" w:color="auto"/>
      </w:divBdr>
    </w:div>
    <w:div w:id="1300693113">
      <w:bodyDiv w:val="1"/>
      <w:marLeft w:val="0"/>
      <w:marRight w:val="0"/>
      <w:marTop w:val="0"/>
      <w:marBottom w:val="0"/>
      <w:divBdr>
        <w:top w:val="none" w:sz="0" w:space="0" w:color="auto"/>
        <w:left w:val="none" w:sz="0" w:space="0" w:color="auto"/>
        <w:bottom w:val="none" w:sz="0" w:space="0" w:color="auto"/>
        <w:right w:val="none" w:sz="0" w:space="0" w:color="auto"/>
      </w:divBdr>
    </w:div>
    <w:div w:id="1301112348">
      <w:bodyDiv w:val="1"/>
      <w:marLeft w:val="0"/>
      <w:marRight w:val="0"/>
      <w:marTop w:val="0"/>
      <w:marBottom w:val="0"/>
      <w:divBdr>
        <w:top w:val="none" w:sz="0" w:space="0" w:color="auto"/>
        <w:left w:val="none" w:sz="0" w:space="0" w:color="auto"/>
        <w:bottom w:val="none" w:sz="0" w:space="0" w:color="auto"/>
        <w:right w:val="none" w:sz="0" w:space="0" w:color="auto"/>
      </w:divBdr>
    </w:div>
    <w:div w:id="1327051650">
      <w:bodyDiv w:val="1"/>
      <w:marLeft w:val="0"/>
      <w:marRight w:val="0"/>
      <w:marTop w:val="0"/>
      <w:marBottom w:val="0"/>
      <w:divBdr>
        <w:top w:val="none" w:sz="0" w:space="0" w:color="auto"/>
        <w:left w:val="none" w:sz="0" w:space="0" w:color="auto"/>
        <w:bottom w:val="none" w:sz="0" w:space="0" w:color="auto"/>
        <w:right w:val="none" w:sz="0" w:space="0" w:color="auto"/>
      </w:divBdr>
    </w:div>
    <w:div w:id="1330864081">
      <w:bodyDiv w:val="1"/>
      <w:marLeft w:val="0"/>
      <w:marRight w:val="0"/>
      <w:marTop w:val="0"/>
      <w:marBottom w:val="0"/>
      <w:divBdr>
        <w:top w:val="none" w:sz="0" w:space="0" w:color="auto"/>
        <w:left w:val="none" w:sz="0" w:space="0" w:color="auto"/>
        <w:bottom w:val="none" w:sz="0" w:space="0" w:color="auto"/>
        <w:right w:val="none" w:sz="0" w:space="0" w:color="auto"/>
      </w:divBdr>
    </w:div>
    <w:div w:id="1342200937">
      <w:bodyDiv w:val="1"/>
      <w:marLeft w:val="0"/>
      <w:marRight w:val="0"/>
      <w:marTop w:val="0"/>
      <w:marBottom w:val="0"/>
      <w:divBdr>
        <w:top w:val="none" w:sz="0" w:space="0" w:color="auto"/>
        <w:left w:val="none" w:sz="0" w:space="0" w:color="auto"/>
        <w:bottom w:val="none" w:sz="0" w:space="0" w:color="auto"/>
        <w:right w:val="none" w:sz="0" w:space="0" w:color="auto"/>
      </w:divBdr>
    </w:div>
    <w:div w:id="1351644259">
      <w:bodyDiv w:val="1"/>
      <w:marLeft w:val="0"/>
      <w:marRight w:val="0"/>
      <w:marTop w:val="0"/>
      <w:marBottom w:val="0"/>
      <w:divBdr>
        <w:top w:val="none" w:sz="0" w:space="0" w:color="auto"/>
        <w:left w:val="none" w:sz="0" w:space="0" w:color="auto"/>
        <w:bottom w:val="none" w:sz="0" w:space="0" w:color="auto"/>
        <w:right w:val="none" w:sz="0" w:space="0" w:color="auto"/>
      </w:divBdr>
    </w:div>
    <w:div w:id="1354575219">
      <w:bodyDiv w:val="1"/>
      <w:marLeft w:val="0"/>
      <w:marRight w:val="0"/>
      <w:marTop w:val="0"/>
      <w:marBottom w:val="0"/>
      <w:divBdr>
        <w:top w:val="none" w:sz="0" w:space="0" w:color="auto"/>
        <w:left w:val="none" w:sz="0" w:space="0" w:color="auto"/>
        <w:bottom w:val="none" w:sz="0" w:space="0" w:color="auto"/>
        <w:right w:val="none" w:sz="0" w:space="0" w:color="auto"/>
      </w:divBdr>
    </w:div>
    <w:div w:id="1361394533">
      <w:bodyDiv w:val="1"/>
      <w:marLeft w:val="0"/>
      <w:marRight w:val="0"/>
      <w:marTop w:val="0"/>
      <w:marBottom w:val="0"/>
      <w:divBdr>
        <w:top w:val="none" w:sz="0" w:space="0" w:color="auto"/>
        <w:left w:val="none" w:sz="0" w:space="0" w:color="auto"/>
        <w:bottom w:val="none" w:sz="0" w:space="0" w:color="auto"/>
        <w:right w:val="none" w:sz="0" w:space="0" w:color="auto"/>
      </w:divBdr>
    </w:div>
    <w:div w:id="1361593194">
      <w:bodyDiv w:val="1"/>
      <w:marLeft w:val="0"/>
      <w:marRight w:val="0"/>
      <w:marTop w:val="0"/>
      <w:marBottom w:val="0"/>
      <w:divBdr>
        <w:top w:val="none" w:sz="0" w:space="0" w:color="auto"/>
        <w:left w:val="none" w:sz="0" w:space="0" w:color="auto"/>
        <w:bottom w:val="none" w:sz="0" w:space="0" w:color="auto"/>
        <w:right w:val="none" w:sz="0" w:space="0" w:color="auto"/>
      </w:divBdr>
    </w:div>
    <w:div w:id="1372262755">
      <w:bodyDiv w:val="1"/>
      <w:marLeft w:val="0"/>
      <w:marRight w:val="0"/>
      <w:marTop w:val="0"/>
      <w:marBottom w:val="0"/>
      <w:divBdr>
        <w:top w:val="none" w:sz="0" w:space="0" w:color="auto"/>
        <w:left w:val="none" w:sz="0" w:space="0" w:color="auto"/>
        <w:bottom w:val="none" w:sz="0" w:space="0" w:color="auto"/>
        <w:right w:val="none" w:sz="0" w:space="0" w:color="auto"/>
      </w:divBdr>
    </w:div>
    <w:div w:id="1381400424">
      <w:bodyDiv w:val="1"/>
      <w:marLeft w:val="0"/>
      <w:marRight w:val="0"/>
      <w:marTop w:val="0"/>
      <w:marBottom w:val="0"/>
      <w:divBdr>
        <w:top w:val="none" w:sz="0" w:space="0" w:color="auto"/>
        <w:left w:val="none" w:sz="0" w:space="0" w:color="auto"/>
        <w:bottom w:val="none" w:sz="0" w:space="0" w:color="auto"/>
        <w:right w:val="none" w:sz="0" w:space="0" w:color="auto"/>
      </w:divBdr>
    </w:div>
    <w:div w:id="1397967991">
      <w:bodyDiv w:val="1"/>
      <w:marLeft w:val="0"/>
      <w:marRight w:val="0"/>
      <w:marTop w:val="0"/>
      <w:marBottom w:val="0"/>
      <w:divBdr>
        <w:top w:val="none" w:sz="0" w:space="0" w:color="auto"/>
        <w:left w:val="none" w:sz="0" w:space="0" w:color="auto"/>
        <w:bottom w:val="none" w:sz="0" w:space="0" w:color="auto"/>
        <w:right w:val="none" w:sz="0" w:space="0" w:color="auto"/>
      </w:divBdr>
    </w:div>
    <w:div w:id="1400515074">
      <w:bodyDiv w:val="1"/>
      <w:marLeft w:val="0"/>
      <w:marRight w:val="0"/>
      <w:marTop w:val="0"/>
      <w:marBottom w:val="0"/>
      <w:divBdr>
        <w:top w:val="none" w:sz="0" w:space="0" w:color="auto"/>
        <w:left w:val="none" w:sz="0" w:space="0" w:color="auto"/>
        <w:bottom w:val="none" w:sz="0" w:space="0" w:color="auto"/>
        <w:right w:val="none" w:sz="0" w:space="0" w:color="auto"/>
      </w:divBdr>
    </w:div>
    <w:div w:id="1412511015">
      <w:bodyDiv w:val="1"/>
      <w:marLeft w:val="0"/>
      <w:marRight w:val="0"/>
      <w:marTop w:val="0"/>
      <w:marBottom w:val="0"/>
      <w:divBdr>
        <w:top w:val="none" w:sz="0" w:space="0" w:color="auto"/>
        <w:left w:val="none" w:sz="0" w:space="0" w:color="auto"/>
        <w:bottom w:val="none" w:sz="0" w:space="0" w:color="auto"/>
        <w:right w:val="none" w:sz="0" w:space="0" w:color="auto"/>
      </w:divBdr>
    </w:div>
    <w:div w:id="1432898717">
      <w:bodyDiv w:val="1"/>
      <w:marLeft w:val="0"/>
      <w:marRight w:val="0"/>
      <w:marTop w:val="0"/>
      <w:marBottom w:val="0"/>
      <w:divBdr>
        <w:top w:val="none" w:sz="0" w:space="0" w:color="auto"/>
        <w:left w:val="none" w:sz="0" w:space="0" w:color="auto"/>
        <w:bottom w:val="none" w:sz="0" w:space="0" w:color="auto"/>
        <w:right w:val="none" w:sz="0" w:space="0" w:color="auto"/>
      </w:divBdr>
    </w:div>
    <w:div w:id="1433428584">
      <w:bodyDiv w:val="1"/>
      <w:marLeft w:val="0"/>
      <w:marRight w:val="0"/>
      <w:marTop w:val="0"/>
      <w:marBottom w:val="0"/>
      <w:divBdr>
        <w:top w:val="none" w:sz="0" w:space="0" w:color="auto"/>
        <w:left w:val="none" w:sz="0" w:space="0" w:color="auto"/>
        <w:bottom w:val="none" w:sz="0" w:space="0" w:color="auto"/>
        <w:right w:val="none" w:sz="0" w:space="0" w:color="auto"/>
      </w:divBdr>
    </w:div>
    <w:div w:id="1433623675">
      <w:bodyDiv w:val="1"/>
      <w:marLeft w:val="0"/>
      <w:marRight w:val="0"/>
      <w:marTop w:val="0"/>
      <w:marBottom w:val="0"/>
      <w:divBdr>
        <w:top w:val="none" w:sz="0" w:space="0" w:color="auto"/>
        <w:left w:val="none" w:sz="0" w:space="0" w:color="auto"/>
        <w:bottom w:val="none" w:sz="0" w:space="0" w:color="auto"/>
        <w:right w:val="none" w:sz="0" w:space="0" w:color="auto"/>
      </w:divBdr>
    </w:div>
    <w:div w:id="1434547405">
      <w:bodyDiv w:val="1"/>
      <w:marLeft w:val="0"/>
      <w:marRight w:val="0"/>
      <w:marTop w:val="0"/>
      <w:marBottom w:val="0"/>
      <w:divBdr>
        <w:top w:val="none" w:sz="0" w:space="0" w:color="auto"/>
        <w:left w:val="none" w:sz="0" w:space="0" w:color="auto"/>
        <w:bottom w:val="none" w:sz="0" w:space="0" w:color="auto"/>
        <w:right w:val="none" w:sz="0" w:space="0" w:color="auto"/>
      </w:divBdr>
    </w:div>
    <w:div w:id="1445225639">
      <w:bodyDiv w:val="1"/>
      <w:marLeft w:val="0"/>
      <w:marRight w:val="0"/>
      <w:marTop w:val="0"/>
      <w:marBottom w:val="0"/>
      <w:divBdr>
        <w:top w:val="none" w:sz="0" w:space="0" w:color="auto"/>
        <w:left w:val="none" w:sz="0" w:space="0" w:color="auto"/>
        <w:bottom w:val="none" w:sz="0" w:space="0" w:color="auto"/>
        <w:right w:val="none" w:sz="0" w:space="0" w:color="auto"/>
      </w:divBdr>
    </w:div>
    <w:div w:id="1460875899">
      <w:bodyDiv w:val="1"/>
      <w:marLeft w:val="0"/>
      <w:marRight w:val="0"/>
      <w:marTop w:val="0"/>
      <w:marBottom w:val="0"/>
      <w:divBdr>
        <w:top w:val="none" w:sz="0" w:space="0" w:color="auto"/>
        <w:left w:val="none" w:sz="0" w:space="0" w:color="auto"/>
        <w:bottom w:val="none" w:sz="0" w:space="0" w:color="auto"/>
        <w:right w:val="none" w:sz="0" w:space="0" w:color="auto"/>
      </w:divBdr>
    </w:div>
    <w:div w:id="1466701767">
      <w:bodyDiv w:val="1"/>
      <w:marLeft w:val="0"/>
      <w:marRight w:val="0"/>
      <w:marTop w:val="0"/>
      <w:marBottom w:val="0"/>
      <w:divBdr>
        <w:top w:val="none" w:sz="0" w:space="0" w:color="auto"/>
        <w:left w:val="none" w:sz="0" w:space="0" w:color="auto"/>
        <w:bottom w:val="none" w:sz="0" w:space="0" w:color="auto"/>
        <w:right w:val="none" w:sz="0" w:space="0" w:color="auto"/>
      </w:divBdr>
    </w:div>
    <w:div w:id="1470512886">
      <w:bodyDiv w:val="1"/>
      <w:marLeft w:val="0"/>
      <w:marRight w:val="0"/>
      <w:marTop w:val="0"/>
      <w:marBottom w:val="0"/>
      <w:divBdr>
        <w:top w:val="none" w:sz="0" w:space="0" w:color="auto"/>
        <w:left w:val="none" w:sz="0" w:space="0" w:color="auto"/>
        <w:bottom w:val="none" w:sz="0" w:space="0" w:color="auto"/>
        <w:right w:val="none" w:sz="0" w:space="0" w:color="auto"/>
      </w:divBdr>
    </w:div>
    <w:div w:id="1471364566">
      <w:bodyDiv w:val="1"/>
      <w:marLeft w:val="0"/>
      <w:marRight w:val="0"/>
      <w:marTop w:val="0"/>
      <w:marBottom w:val="0"/>
      <w:divBdr>
        <w:top w:val="none" w:sz="0" w:space="0" w:color="auto"/>
        <w:left w:val="none" w:sz="0" w:space="0" w:color="auto"/>
        <w:bottom w:val="none" w:sz="0" w:space="0" w:color="auto"/>
        <w:right w:val="none" w:sz="0" w:space="0" w:color="auto"/>
      </w:divBdr>
    </w:div>
    <w:div w:id="1474178604">
      <w:bodyDiv w:val="1"/>
      <w:marLeft w:val="0"/>
      <w:marRight w:val="0"/>
      <w:marTop w:val="0"/>
      <w:marBottom w:val="0"/>
      <w:divBdr>
        <w:top w:val="none" w:sz="0" w:space="0" w:color="auto"/>
        <w:left w:val="none" w:sz="0" w:space="0" w:color="auto"/>
        <w:bottom w:val="none" w:sz="0" w:space="0" w:color="auto"/>
        <w:right w:val="none" w:sz="0" w:space="0" w:color="auto"/>
      </w:divBdr>
    </w:div>
    <w:div w:id="1505247233">
      <w:bodyDiv w:val="1"/>
      <w:marLeft w:val="0"/>
      <w:marRight w:val="0"/>
      <w:marTop w:val="0"/>
      <w:marBottom w:val="0"/>
      <w:divBdr>
        <w:top w:val="none" w:sz="0" w:space="0" w:color="auto"/>
        <w:left w:val="none" w:sz="0" w:space="0" w:color="auto"/>
        <w:bottom w:val="none" w:sz="0" w:space="0" w:color="auto"/>
        <w:right w:val="none" w:sz="0" w:space="0" w:color="auto"/>
      </w:divBdr>
    </w:div>
    <w:div w:id="1525441421">
      <w:bodyDiv w:val="1"/>
      <w:marLeft w:val="0"/>
      <w:marRight w:val="0"/>
      <w:marTop w:val="0"/>
      <w:marBottom w:val="0"/>
      <w:divBdr>
        <w:top w:val="none" w:sz="0" w:space="0" w:color="auto"/>
        <w:left w:val="none" w:sz="0" w:space="0" w:color="auto"/>
        <w:bottom w:val="none" w:sz="0" w:space="0" w:color="auto"/>
        <w:right w:val="none" w:sz="0" w:space="0" w:color="auto"/>
      </w:divBdr>
    </w:div>
    <w:div w:id="1526862518">
      <w:bodyDiv w:val="1"/>
      <w:marLeft w:val="0"/>
      <w:marRight w:val="0"/>
      <w:marTop w:val="0"/>
      <w:marBottom w:val="0"/>
      <w:divBdr>
        <w:top w:val="none" w:sz="0" w:space="0" w:color="auto"/>
        <w:left w:val="none" w:sz="0" w:space="0" w:color="auto"/>
        <w:bottom w:val="none" w:sz="0" w:space="0" w:color="auto"/>
        <w:right w:val="none" w:sz="0" w:space="0" w:color="auto"/>
      </w:divBdr>
    </w:div>
    <w:div w:id="1534033834">
      <w:bodyDiv w:val="1"/>
      <w:marLeft w:val="0"/>
      <w:marRight w:val="0"/>
      <w:marTop w:val="0"/>
      <w:marBottom w:val="0"/>
      <w:divBdr>
        <w:top w:val="none" w:sz="0" w:space="0" w:color="auto"/>
        <w:left w:val="none" w:sz="0" w:space="0" w:color="auto"/>
        <w:bottom w:val="none" w:sz="0" w:space="0" w:color="auto"/>
        <w:right w:val="none" w:sz="0" w:space="0" w:color="auto"/>
      </w:divBdr>
    </w:div>
    <w:div w:id="1538589391">
      <w:bodyDiv w:val="1"/>
      <w:marLeft w:val="0"/>
      <w:marRight w:val="0"/>
      <w:marTop w:val="0"/>
      <w:marBottom w:val="0"/>
      <w:divBdr>
        <w:top w:val="none" w:sz="0" w:space="0" w:color="auto"/>
        <w:left w:val="none" w:sz="0" w:space="0" w:color="auto"/>
        <w:bottom w:val="none" w:sz="0" w:space="0" w:color="auto"/>
        <w:right w:val="none" w:sz="0" w:space="0" w:color="auto"/>
      </w:divBdr>
    </w:div>
    <w:div w:id="1542279428">
      <w:bodyDiv w:val="1"/>
      <w:marLeft w:val="0"/>
      <w:marRight w:val="0"/>
      <w:marTop w:val="0"/>
      <w:marBottom w:val="0"/>
      <w:divBdr>
        <w:top w:val="none" w:sz="0" w:space="0" w:color="auto"/>
        <w:left w:val="none" w:sz="0" w:space="0" w:color="auto"/>
        <w:bottom w:val="none" w:sz="0" w:space="0" w:color="auto"/>
        <w:right w:val="none" w:sz="0" w:space="0" w:color="auto"/>
      </w:divBdr>
    </w:div>
    <w:div w:id="1574310975">
      <w:bodyDiv w:val="1"/>
      <w:marLeft w:val="0"/>
      <w:marRight w:val="0"/>
      <w:marTop w:val="0"/>
      <w:marBottom w:val="0"/>
      <w:divBdr>
        <w:top w:val="none" w:sz="0" w:space="0" w:color="auto"/>
        <w:left w:val="none" w:sz="0" w:space="0" w:color="auto"/>
        <w:bottom w:val="none" w:sz="0" w:space="0" w:color="auto"/>
        <w:right w:val="none" w:sz="0" w:space="0" w:color="auto"/>
      </w:divBdr>
    </w:div>
    <w:div w:id="1578519385">
      <w:bodyDiv w:val="1"/>
      <w:marLeft w:val="0"/>
      <w:marRight w:val="0"/>
      <w:marTop w:val="0"/>
      <w:marBottom w:val="0"/>
      <w:divBdr>
        <w:top w:val="none" w:sz="0" w:space="0" w:color="auto"/>
        <w:left w:val="none" w:sz="0" w:space="0" w:color="auto"/>
        <w:bottom w:val="none" w:sz="0" w:space="0" w:color="auto"/>
        <w:right w:val="none" w:sz="0" w:space="0" w:color="auto"/>
      </w:divBdr>
    </w:div>
    <w:div w:id="1587105916">
      <w:bodyDiv w:val="1"/>
      <w:marLeft w:val="0"/>
      <w:marRight w:val="0"/>
      <w:marTop w:val="0"/>
      <w:marBottom w:val="0"/>
      <w:divBdr>
        <w:top w:val="none" w:sz="0" w:space="0" w:color="auto"/>
        <w:left w:val="none" w:sz="0" w:space="0" w:color="auto"/>
        <w:bottom w:val="none" w:sz="0" w:space="0" w:color="auto"/>
        <w:right w:val="none" w:sz="0" w:space="0" w:color="auto"/>
      </w:divBdr>
    </w:div>
    <w:div w:id="1588071156">
      <w:bodyDiv w:val="1"/>
      <w:marLeft w:val="0"/>
      <w:marRight w:val="0"/>
      <w:marTop w:val="0"/>
      <w:marBottom w:val="0"/>
      <w:divBdr>
        <w:top w:val="none" w:sz="0" w:space="0" w:color="auto"/>
        <w:left w:val="none" w:sz="0" w:space="0" w:color="auto"/>
        <w:bottom w:val="none" w:sz="0" w:space="0" w:color="auto"/>
        <w:right w:val="none" w:sz="0" w:space="0" w:color="auto"/>
      </w:divBdr>
    </w:div>
    <w:div w:id="1589197300">
      <w:bodyDiv w:val="1"/>
      <w:marLeft w:val="0"/>
      <w:marRight w:val="0"/>
      <w:marTop w:val="0"/>
      <w:marBottom w:val="0"/>
      <w:divBdr>
        <w:top w:val="none" w:sz="0" w:space="0" w:color="auto"/>
        <w:left w:val="none" w:sz="0" w:space="0" w:color="auto"/>
        <w:bottom w:val="none" w:sz="0" w:space="0" w:color="auto"/>
        <w:right w:val="none" w:sz="0" w:space="0" w:color="auto"/>
      </w:divBdr>
    </w:div>
    <w:div w:id="1594970931">
      <w:bodyDiv w:val="1"/>
      <w:marLeft w:val="0"/>
      <w:marRight w:val="0"/>
      <w:marTop w:val="0"/>
      <w:marBottom w:val="0"/>
      <w:divBdr>
        <w:top w:val="none" w:sz="0" w:space="0" w:color="auto"/>
        <w:left w:val="none" w:sz="0" w:space="0" w:color="auto"/>
        <w:bottom w:val="none" w:sz="0" w:space="0" w:color="auto"/>
        <w:right w:val="none" w:sz="0" w:space="0" w:color="auto"/>
      </w:divBdr>
    </w:div>
    <w:div w:id="1603343033">
      <w:bodyDiv w:val="1"/>
      <w:marLeft w:val="0"/>
      <w:marRight w:val="0"/>
      <w:marTop w:val="0"/>
      <w:marBottom w:val="0"/>
      <w:divBdr>
        <w:top w:val="none" w:sz="0" w:space="0" w:color="auto"/>
        <w:left w:val="none" w:sz="0" w:space="0" w:color="auto"/>
        <w:bottom w:val="none" w:sz="0" w:space="0" w:color="auto"/>
        <w:right w:val="none" w:sz="0" w:space="0" w:color="auto"/>
      </w:divBdr>
    </w:div>
    <w:div w:id="1605261144">
      <w:bodyDiv w:val="1"/>
      <w:marLeft w:val="0"/>
      <w:marRight w:val="0"/>
      <w:marTop w:val="0"/>
      <w:marBottom w:val="0"/>
      <w:divBdr>
        <w:top w:val="none" w:sz="0" w:space="0" w:color="auto"/>
        <w:left w:val="none" w:sz="0" w:space="0" w:color="auto"/>
        <w:bottom w:val="none" w:sz="0" w:space="0" w:color="auto"/>
        <w:right w:val="none" w:sz="0" w:space="0" w:color="auto"/>
      </w:divBdr>
    </w:div>
    <w:div w:id="1607075570">
      <w:bodyDiv w:val="1"/>
      <w:marLeft w:val="0"/>
      <w:marRight w:val="0"/>
      <w:marTop w:val="0"/>
      <w:marBottom w:val="0"/>
      <w:divBdr>
        <w:top w:val="none" w:sz="0" w:space="0" w:color="auto"/>
        <w:left w:val="none" w:sz="0" w:space="0" w:color="auto"/>
        <w:bottom w:val="none" w:sz="0" w:space="0" w:color="auto"/>
        <w:right w:val="none" w:sz="0" w:space="0" w:color="auto"/>
      </w:divBdr>
    </w:div>
    <w:div w:id="1626305746">
      <w:bodyDiv w:val="1"/>
      <w:marLeft w:val="0"/>
      <w:marRight w:val="0"/>
      <w:marTop w:val="0"/>
      <w:marBottom w:val="0"/>
      <w:divBdr>
        <w:top w:val="none" w:sz="0" w:space="0" w:color="auto"/>
        <w:left w:val="none" w:sz="0" w:space="0" w:color="auto"/>
        <w:bottom w:val="none" w:sz="0" w:space="0" w:color="auto"/>
        <w:right w:val="none" w:sz="0" w:space="0" w:color="auto"/>
      </w:divBdr>
    </w:div>
    <w:div w:id="1642805554">
      <w:bodyDiv w:val="1"/>
      <w:marLeft w:val="0"/>
      <w:marRight w:val="0"/>
      <w:marTop w:val="0"/>
      <w:marBottom w:val="0"/>
      <w:divBdr>
        <w:top w:val="none" w:sz="0" w:space="0" w:color="auto"/>
        <w:left w:val="none" w:sz="0" w:space="0" w:color="auto"/>
        <w:bottom w:val="none" w:sz="0" w:space="0" w:color="auto"/>
        <w:right w:val="none" w:sz="0" w:space="0" w:color="auto"/>
      </w:divBdr>
    </w:div>
    <w:div w:id="1649287915">
      <w:bodyDiv w:val="1"/>
      <w:marLeft w:val="0"/>
      <w:marRight w:val="0"/>
      <w:marTop w:val="0"/>
      <w:marBottom w:val="0"/>
      <w:divBdr>
        <w:top w:val="none" w:sz="0" w:space="0" w:color="auto"/>
        <w:left w:val="none" w:sz="0" w:space="0" w:color="auto"/>
        <w:bottom w:val="none" w:sz="0" w:space="0" w:color="auto"/>
        <w:right w:val="none" w:sz="0" w:space="0" w:color="auto"/>
      </w:divBdr>
    </w:div>
    <w:div w:id="1658147185">
      <w:bodyDiv w:val="1"/>
      <w:marLeft w:val="0"/>
      <w:marRight w:val="0"/>
      <w:marTop w:val="0"/>
      <w:marBottom w:val="0"/>
      <w:divBdr>
        <w:top w:val="none" w:sz="0" w:space="0" w:color="auto"/>
        <w:left w:val="none" w:sz="0" w:space="0" w:color="auto"/>
        <w:bottom w:val="none" w:sz="0" w:space="0" w:color="auto"/>
        <w:right w:val="none" w:sz="0" w:space="0" w:color="auto"/>
      </w:divBdr>
    </w:div>
    <w:div w:id="1659766295">
      <w:bodyDiv w:val="1"/>
      <w:marLeft w:val="0"/>
      <w:marRight w:val="0"/>
      <w:marTop w:val="0"/>
      <w:marBottom w:val="0"/>
      <w:divBdr>
        <w:top w:val="none" w:sz="0" w:space="0" w:color="auto"/>
        <w:left w:val="none" w:sz="0" w:space="0" w:color="auto"/>
        <w:bottom w:val="none" w:sz="0" w:space="0" w:color="auto"/>
        <w:right w:val="none" w:sz="0" w:space="0" w:color="auto"/>
      </w:divBdr>
    </w:div>
    <w:div w:id="1670985854">
      <w:bodyDiv w:val="1"/>
      <w:marLeft w:val="0"/>
      <w:marRight w:val="0"/>
      <w:marTop w:val="0"/>
      <w:marBottom w:val="0"/>
      <w:divBdr>
        <w:top w:val="none" w:sz="0" w:space="0" w:color="auto"/>
        <w:left w:val="none" w:sz="0" w:space="0" w:color="auto"/>
        <w:bottom w:val="none" w:sz="0" w:space="0" w:color="auto"/>
        <w:right w:val="none" w:sz="0" w:space="0" w:color="auto"/>
      </w:divBdr>
    </w:div>
    <w:div w:id="1698123075">
      <w:bodyDiv w:val="1"/>
      <w:marLeft w:val="0"/>
      <w:marRight w:val="0"/>
      <w:marTop w:val="0"/>
      <w:marBottom w:val="0"/>
      <w:divBdr>
        <w:top w:val="none" w:sz="0" w:space="0" w:color="auto"/>
        <w:left w:val="none" w:sz="0" w:space="0" w:color="auto"/>
        <w:bottom w:val="none" w:sz="0" w:space="0" w:color="auto"/>
        <w:right w:val="none" w:sz="0" w:space="0" w:color="auto"/>
      </w:divBdr>
    </w:div>
    <w:div w:id="1701319200">
      <w:bodyDiv w:val="1"/>
      <w:marLeft w:val="0"/>
      <w:marRight w:val="0"/>
      <w:marTop w:val="0"/>
      <w:marBottom w:val="0"/>
      <w:divBdr>
        <w:top w:val="none" w:sz="0" w:space="0" w:color="auto"/>
        <w:left w:val="none" w:sz="0" w:space="0" w:color="auto"/>
        <w:bottom w:val="none" w:sz="0" w:space="0" w:color="auto"/>
        <w:right w:val="none" w:sz="0" w:space="0" w:color="auto"/>
      </w:divBdr>
    </w:div>
    <w:div w:id="1710109422">
      <w:bodyDiv w:val="1"/>
      <w:marLeft w:val="0"/>
      <w:marRight w:val="0"/>
      <w:marTop w:val="0"/>
      <w:marBottom w:val="0"/>
      <w:divBdr>
        <w:top w:val="none" w:sz="0" w:space="0" w:color="auto"/>
        <w:left w:val="none" w:sz="0" w:space="0" w:color="auto"/>
        <w:bottom w:val="none" w:sz="0" w:space="0" w:color="auto"/>
        <w:right w:val="none" w:sz="0" w:space="0" w:color="auto"/>
      </w:divBdr>
    </w:div>
    <w:div w:id="1713841357">
      <w:bodyDiv w:val="1"/>
      <w:marLeft w:val="0"/>
      <w:marRight w:val="0"/>
      <w:marTop w:val="0"/>
      <w:marBottom w:val="0"/>
      <w:divBdr>
        <w:top w:val="none" w:sz="0" w:space="0" w:color="auto"/>
        <w:left w:val="none" w:sz="0" w:space="0" w:color="auto"/>
        <w:bottom w:val="none" w:sz="0" w:space="0" w:color="auto"/>
        <w:right w:val="none" w:sz="0" w:space="0" w:color="auto"/>
      </w:divBdr>
    </w:div>
    <w:div w:id="1718580642">
      <w:bodyDiv w:val="1"/>
      <w:marLeft w:val="0"/>
      <w:marRight w:val="0"/>
      <w:marTop w:val="0"/>
      <w:marBottom w:val="0"/>
      <w:divBdr>
        <w:top w:val="none" w:sz="0" w:space="0" w:color="auto"/>
        <w:left w:val="none" w:sz="0" w:space="0" w:color="auto"/>
        <w:bottom w:val="none" w:sz="0" w:space="0" w:color="auto"/>
        <w:right w:val="none" w:sz="0" w:space="0" w:color="auto"/>
      </w:divBdr>
    </w:div>
    <w:div w:id="1727409315">
      <w:bodyDiv w:val="1"/>
      <w:marLeft w:val="0"/>
      <w:marRight w:val="0"/>
      <w:marTop w:val="0"/>
      <w:marBottom w:val="0"/>
      <w:divBdr>
        <w:top w:val="none" w:sz="0" w:space="0" w:color="auto"/>
        <w:left w:val="none" w:sz="0" w:space="0" w:color="auto"/>
        <w:bottom w:val="none" w:sz="0" w:space="0" w:color="auto"/>
        <w:right w:val="none" w:sz="0" w:space="0" w:color="auto"/>
      </w:divBdr>
    </w:div>
    <w:div w:id="1728332306">
      <w:bodyDiv w:val="1"/>
      <w:marLeft w:val="0"/>
      <w:marRight w:val="0"/>
      <w:marTop w:val="0"/>
      <w:marBottom w:val="0"/>
      <w:divBdr>
        <w:top w:val="none" w:sz="0" w:space="0" w:color="auto"/>
        <w:left w:val="none" w:sz="0" w:space="0" w:color="auto"/>
        <w:bottom w:val="none" w:sz="0" w:space="0" w:color="auto"/>
        <w:right w:val="none" w:sz="0" w:space="0" w:color="auto"/>
      </w:divBdr>
    </w:div>
    <w:div w:id="1743406412">
      <w:bodyDiv w:val="1"/>
      <w:marLeft w:val="0"/>
      <w:marRight w:val="0"/>
      <w:marTop w:val="0"/>
      <w:marBottom w:val="0"/>
      <w:divBdr>
        <w:top w:val="none" w:sz="0" w:space="0" w:color="auto"/>
        <w:left w:val="none" w:sz="0" w:space="0" w:color="auto"/>
        <w:bottom w:val="none" w:sz="0" w:space="0" w:color="auto"/>
        <w:right w:val="none" w:sz="0" w:space="0" w:color="auto"/>
      </w:divBdr>
    </w:div>
    <w:div w:id="1764374769">
      <w:bodyDiv w:val="1"/>
      <w:marLeft w:val="0"/>
      <w:marRight w:val="0"/>
      <w:marTop w:val="0"/>
      <w:marBottom w:val="0"/>
      <w:divBdr>
        <w:top w:val="none" w:sz="0" w:space="0" w:color="auto"/>
        <w:left w:val="none" w:sz="0" w:space="0" w:color="auto"/>
        <w:bottom w:val="none" w:sz="0" w:space="0" w:color="auto"/>
        <w:right w:val="none" w:sz="0" w:space="0" w:color="auto"/>
      </w:divBdr>
    </w:div>
    <w:div w:id="1782214945">
      <w:bodyDiv w:val="1"/>
      <w:marLeft w:val="0"/>
      <w:marRight w:val="0"/>
      <w:marTop w:val="0"/>
      <w:marBottom w:val="0"/>
      <w:divBdr>
        <w:top w:val="none" w:sz="0" w:space="0" w:color="auto"/>
        <w:left w:val="none" w:sz="0" w:space="0" w:color="auto"/>
        <w:bottom w:val="none" w:sz="0" w:space="0" w:color="auto"/>
        <w:right w:val="none" w:sz="0" w:space="0" w:color="auto"/>
      </w:divBdr>
    </w:div>
    <w:div w:id="1782841599">
      <w:bodyDiv w:val="1"/>
      <w:marLeft w:val="0"/>
      <w:marRight w:val="0"/>
      <w:marTop w:val="0"/>
      <w:marBottom w:val="0"/>
      <w:divBdr>
        <w:top w:val="none" w:sz="0" w:space="0" w:color="auto"/>
        <w:left w:val="none" w:sz="0" w:space="0" w:color="auto"/>
        <w:bottom w:val="none" w:sz="0" w:space="0" w:color="auto"/>
        <w:right w:val="none" w:sz="0" w:space="0" w:color="auto"/>
      </w:divBdr>
    </w:div>
    <w:div w:id="1784614441">
      <w:bodyDiv w:val="1"/>
      <w:marLeft w:val="0"/>
      <w:marRight w:val="0"/>
      <w:marTop w:val="0"/>
      <w:marBottom w:val="0"/>
      <w:divBdr>
        <w:top w:val="none" w:sz="0" w:space="0" w:color="auto"/>
        <w:left w:val="none" w:sz="0" w:space="0" w:color="auto"/>
        <w:bottom w:val="none" w:sz="0" w:space="0" w:color="auto"/>
        <w:right w:val="none" w:sz="0" w:space="0" w:color="auto"/>
      </w:divBdr>
    </w:div>
    <w:div w:id="1788231137">
      <w:bodyDiv w:val="1"/>
      <w:marLeft w:val="0"/>
      <w:marRight w:val="0"/>
      <w:marTop w:val="0"/>
      <w:marBottom w:val="0"/>
      <w:divBdr>
        <w:top w:val="none" w:sz="0" w:space="0" w:color="auto"/>
        <w:left w:val="none" w:sz="0" w:space="0" w:color="auto"/>
        <w:bottom w:val="none" w:sz="0" w:space="0" w:color="auto"/>
        <w:right w:val="none" w:sz="0" w:space="0" w:color="auto"/>
      </w:divBdr>
    </w:div>
    <w:div w:id="1793284735">
      <w:bodyDiv w:val="1"/>
      <w:marLeft w:val="0"/>
      <w:marRight w:val="0"/>
      <w:marTop w:val="0"/>
      <w:marBottom w:val="0"/>
      <w:divBdr>
        <w:top w:val="none" w:sz="0" w:space="0" w:color="auto"/>
        <w:left w:val="none" w:sz="0" w:space="0" w:color="auto"/>
        <w:bottom w:val="none" w:sz="0" w:space="0" w:color="auto"/>
        <w:right w:val="none" w:sz="0" w:space="0" w:color="auto"/>
      </w:divBdr>
    </w:div>
    <w:div w:id="1799369588">
      <w:bodyDiv w:val="1"/>
      <w:marLeft w:val="0"/>
      <w:marRight w:val="0"/>
      <w:marTop w:val="0"/>
      <w:marBottom w:val="0"/>
      <w:divBdr>
        <w:top w:val="none" w:sz="0" w:space="0" w:color="auto"/>
        <w:left w:val="none" w:sz="0" w:space="0" w:color="auto"/>
        <w:bottom w:val="none" w:sz="0" w:space="0" w:color="auto"/>
        <w:right w:val="none" w:sz="0" w:space="0" w:color="auto"/>
      </w:divBdr>
    </w:div>
    <w:div w:id="1800103912">
      <w:bodyDiv w:val="1"/>
      <w:marLeft w:val="0"/>
      <w:marRight w:val="0"/>
      <w:marTop w:val="0"/>
      <w:marBottom w:val="0"/>
      <w:divBdr>
        <w:top w:val="none" w:sz="0" w:space="0" w:color="auto"/>
        <w:left w:val="none" w:sz="0" w:space="0" w:color="auto"/>
        <w:bottom w:val="none" w:sz="0" w:space="0" w:color="auto"/>
        <w:right w:val="none" w:sz="0" w:space="0" w:color="auto"/>
      </w:divBdr>
    </w:div>
    <w:div w:id="1804928800">
      <w:bodyDiv w:val="1"/>
      <w:marLeft w:val="0"/>
      <w:marRight w:val="0"/>
      <w:marTop w:val="0"/>
      <w:marBottom w:val="0"/>
      <w:divBdr>
        <w:top w:val="none" w:sz="0" w:space="0" w:color="auto"/>
        <w:left w:val="none" w:sz="0" w:space="0" w:color="auto"/>
        <w:bottom w:val="none" w:sz="0" w:space="0" w:color="auto"/>
        <w:right w:val="none" w:sz="0" w:space="0" w:color="auto"/>
      </w:divBdr>
    </w:div>
    <w:div w:id="1818568906">
      <w:bodyDiv w:val="1"/>
      <w:marLeft w:val="0"/>
      <w:marRight w:val="0"/>
      <w:marTop w:val="0"/>
      <w:marBottom w:val="0"/>
      <w:divBdr>
        <w:top w:val="none" w:sz="0" w:space="0" w:color="auto"/>
        <w:left w:val="none" w:sz="0" w:space="0" w:color="auto"/>
        <w:bottom w:val="none" w:sz="0" w:space="0" w:color="auto"/>
        <w:right w:val="none" w:sz="0" w:space="0" w:color="auto"/>
      </w:divBdr>
    </w:div>
    <w:div w:id="1821581055">
      <w:bodyDiv w:val="1"/>
      <w:marLeft w:val="0"/>
      <w:marRight w:val="0"/>
      <w:marTop w:val="0"/>
      <w:marBottom w:val="0"/>
      <w:divBdr>
        <w:top w:val="none" w:sz="0" w:space="0" w:color="auto"/>
        <w:left w:val="none" w:sz="0" w:space="0" w:color="auto"/>
        <w:bottom w:val="none" w:sz="0" w:space="0" w:color="auto"/>
        <w:right w:val="none" w:sz="0" w:space="0" w:color="auto"/>
      </w:divBdr>
    </w:div>
    <w:div w:id="1828394386">
      <w:bodyDiv w:val="1"/>
      <w:marLeft w:val="0"/>
      <w:marRight w:val="0"/>
      <w:marTop w:val="0"/>
      <w:marBottom w:val="0"/>
      <w:divBdr>
        <w:top w:val="none" w:sz="0" w:space="0" w:color="auto"/>
        <w:left w:val="none" w:sz="0" w:space="0" w:color="auto"/>
        <w:bottom w:val="none" w:sz="0" w:space="0" w:color="auto"/>
        <w:right w:val="none" w:sz="0" w:space="0" w:color="auto"/>
      </w:divBdr>
    </w:div>
    <w:div w:id="1830293810">
      <w:bodyDiv w:val="1"/>
      <w:marLeft w:val="0"/>
      <w:marRight w:val="0"/>
      <w:marTop w:val="0"/>
      <w:marBottom w:val="0"/>
      <w:divBdr>
        <w:top w:val="none" w:sz="0" w:space="0" w:color="auto"/>
        <w:left w:val="none" w:sz="0" w:space="0" w:color="auto"/>
        <w:bottom w:val="none" w:sz="0" w:space="0" w:color="auto"/>
        <w:right w:val="none" w:sz="0" w:space="0" w:color="auto"/>
      </w:divBdr>
    </w:div>
    <w:div w:id="1832595890">
      <w:bodyDiv w:val="1"/>
      <w:marLeft w:val="0"/>
      <w:marRight w:val="0"/>
      <w:marTop w:val="0"/>
      <w:marBottom w:val="0"/>
      <w:divBdr>
        <w:top w:val="none" w:sz="0" w:space="0" w:color="auto"/>
        <w:left w:val="none" w:sz="0" w:space="0" w:color="auto"/>
        <w:bottom w:val="none" w:sz="0" w:space="0" w:color="auto"/>
        <w:right w:val="none" w:sz="0" w:space="0" w:color="auto"/>
      </w:divBdr>
    </w:div>
    <w:div w:id="1833912173">
      <w:bodyDiv w:val="1"/>
      <w:marLeft w:val="0"/>
      <w:marRight w:val="0"/>
      <w:marTop w:val="0"/>
      <w:marBottom w:val="0"/>
      <w:divBdr>
        <w:top w:val="none" w:sz="0" w:space="0" w:color="auto"/>
        <w:left w:val="none" w:sz="0" w:space="0" w:color="auto"/>
        <w:bottom w:val="none" w:sz="0" w:space="0" w:color="auto"/>
        <w:right w:val="none" w:sz="0" w:space="0" w:color="auto"/>
      </w:divBdr>
    </w:div>
    <w:div w:id="1848249768">
      <w:bodyDiv w:val="1"/>
      <w:marLeft w:val="0"/>
      <w:marRight w:val="0"/>
      <w:marTop w:val="0"/>
      <w:marBottom w:val="0"/>
      <w:divBdr>
        <w:top w:val="none" w:sz="0" w:space="0" w:color="auto"/>
        <w:left w:val="none" w:sz="0" w:space="0" w:color="auto"/>
        <w:bottom w:val="none" w:sz="0" w:space="0" w:color="auto"/>
        <w:right w:val="none" w:sz="0" w:space="0" w:color="auto"/>
      </w:divBdr>
    </w:div>
    <w:div w:id="1857767561">
      <w:bodyDiv w:val="1"/>
      <w:marLeft w:val="0"/>
      <w:marRight w:val="0"/>
      <w:marTop w:val="0"/>
      <w:marBottom w:val="0"/>
      <w:divBdr>
        <w:top w:val="none" w:sz="0" w:space="0" w:color="auto"/>
        <w:left w:val="none" w:sz="0" w:space="0" w:color="auto"/>
        <w:bottom w:val="none" w:sz="0" w:space="0" w:color="auto"/>
        <w:right w:val="none" w:sz="0" w:space="0" w:color="auto"/>
      </w:divBdr>
    </w:div>
    <w:div w:id="1865436494">
      <w:bodyDiv w:val="1"/>
      <w:marLeft w:val="0"/>
      <w:marRight w:val="0"/>
      <w:marTop w:val="0"/>
      <w:marBottom w:val="0"/>
      <w:divBdr>
        <w:top w:val="none" w:sz="0" w:space="0" w:color="auto"/>
        <w:left w:val="none" w:sz="0" w:space="0" w:color="auto"/>
        <w:bottom w:val="none" w:sz="0" w:space="0" w:color="auto"/>
        <w:right w:val="none" w:sz="0" w:space="0" w:color="auto"/>
      </w:divBdr>
    </w:div>
    <w:div w:id="1881361638">
      <w:bodyDiv w:val="1"/>
      <w:marLeft w:val="0"/>
      <w:marRight w:val="0"/>
      <w:marTop w:val="0"/>
      <w:marBottom w:val="0"/>
      <w:divBdr>
        <w:top w:val="none" w:sz="0" w:space="0" w:color="auto"/>
        <w:left w:val="none" w:sz="0" w:space="0" w:color="auto"/>
        <w:bottom w:val="none" w:sz="0" w:space="0" w:color="auto"/>
        <w:right w:val="none" w:sz="0" w:space="0" w:color="auto"/>
      </w:divBdr>
    </w:div>
    <w:div w:id="1883595968">
      <w:bodyDiv w:val="1"/>
      <w:marLeft w:val="0"/>
      <w:marRight w:val="0"/>
      <w:marTop w:val="0"/>
      <w:marBottom w:val="0"/>
      <w:divBdr>
        <w:top w:val="none" w:sz="0" w:space="0" w:color="auto"/>
        <w:left w:val="none" w:sz="0" w:space="0" w:color="auto"/>
        <w:bottom w:val="none" w:sz="0" w:space="0" w:color="auto"/>
        <w:right w:val="none" w:sz="0" w:space="0" w:color="auto"/>
      </w:divBdr>
    </w:div>
    <w:div w:id="1883789213">
      <w:bodyDiv w:val="1"/>
      <w:marLeft w:val="0"/>
      <w:marRight w:val="0"/>
      <w:marTop w:val="0"/>
      <w:marBottom w:val="0"/>
      <w:divBdr>
        <w:top w:val="none" w:sz="0" w:space="0" w:color="auto"/>
        <w:left w:val="none" w:sz="0" w:space="0" w:color="auto"/>
        <w:bottom w:val="none" w:sz="0" w:space="0" w:color="auto"/>
        <w:right w:val="none" w:sz="0" w:space="0" w:color="auto"/>
      </w:divBdr>
    </w:div>
    <w:div w:id="1890072504">
      <w:bodyDiv w:val="1"/>
      <w:marLeft w:val="0"/>
      <w:marRight w:val="0"/>
      <w:marTop w:val="0"/>
      <w:marBottom w:val="0"/>
      <w:divBdr>
        <w:top w:val="none" w:sz="0" w:space="0" w:color="auto"/>
        <w:left w:val="none" w:sz="0" w:space="0" w:color="auto"/>
        <w:bottom w:val="none" w:sz="0" w:space="0" w:color="auto"/>
        <w:right w:val="none" w:sz="0" w:space="0" w:color="auto"/>
      </w:divBdr>
    </w:div>
    <w:div w:id="1891960637">
      <w:bodyDiv w:val="1"/>
      <w:marLeft w:val="0"/>
      <w:marRight w:val="0"/>
      <w:marTop w:val="0"/>
      <w:marBottom w:val="0"/>
      <w:divBdr>
        <w:top w:val="none" w:sz="0" w:space="0" w:color="auto"/>
        <w:left w:val="none" w:sz="0" w:space="0" w:color="auto"/>
        <w:bottom w:val="none" w:sz="0" w:space="0" w:color="auto"/>
        <w:right w:val="none" w:sz="0" w:space="0" w:color="auto"/>
      </w:divBdr>
    </w:div>
    <w:div w:id="1894539683">
      <w:bodyDiv w:val="1"/>
      <w:marLeft w:val="0"/>
      <w:marRight w:val="0"/>
      <w:marTop w:val="0"/>
      <w:marBottom w:val="0"/>
      <w:divBdr>
        <w:top w:val="none" w:sz="0" w:space="0" w:color="auto"/>
        <w:left w:val="none" w:sz="0" w:space="0" w:color="auto"/>
        <w:bottom w:val="none" w:sz="0" w:space="0" w:color="auto"/>
        <w:right w:val="none" w:sz="0" w:space="0" w:color="auto"/>
      </w:divBdr>
    </w:div>
    <w:div w:id="1898854814">
      <w:bodyDiv w:val="1"/>
      <w:marLeft w:val="0"/>
      <w:marRight w:val="0"/>
      <w:marTop w:val="0"/>
      <w:marBottom w:val="0"/>
      <w:divBdr>
        <w:top w:val="none" w:sz="0" w:space="0" w:color="auto"/>
        <w:left w:val="none" w:sz="0" w:space="0" w:color="auto"/>
        <w:bottom w:val="none" w:sz="0" w:space="0" w:color="auto"/>
        <w:right w:val="none" w:sz="0" w:space="0" w:color="auto"/>
      </w:divBdr>
    </w:div>
    <w:div w:id="1902445567">
      <w:bodyDiv w:val="1"/>
      <w:marLeft w:val="0"/>
      <w:marRight w:val="0"/>
      <w:marTop w:val="0"/>
      <w:marBottom w:val="0"/>
      <w:divBdr>
        <w:top w:val="none" w:sz="0" w:space="0" w:color="auto"/>
        <w:left w:val="none" w:sz="0" w:space="0" w:color="auto"/>
        <w:bottom w:val="none" w:sz="0" w:space="0" w:color="auto"/>
        <w:right w:val="none" w:sz="0" w:space="0" w:color="auto"/>
      </w:divBdr>
    </w:div>
    <w:div w:id="1903369662">
      <w:bodyDiv w:val="1"/>
      <w:marLeft w:val="0"/>
      <w:marRight w:val="0"/>
      <w:marTop w:val="0"/>
      <w:marBottom w:val="0"/>
      <w:divBdr>
        <w:top w:val="none" w:sz="0" w:space="0" w:color="auto"/>
        <w:left w:val="none" w:sz="0" w:space="0" w:color="auto"/>
        <w:bottom w:val="none" w:sz="0" w:space="0" w:color="auto"/>
        <w:right w:val="none" w:sz="0" w:space="0" w:color="auto"/>
      </w:divBdr>
    </w:div>
    <w:div w:id="1905093583">
      <w:bodyDiv w:val="1"/>
      <w:marLeft w:val="0"/>
      <w:marRight w:val="0"/>
      <w:marTop w:val="0"/>
      <w:marBottom w:val="0"/>
      <w:divBdr>
        <w:top w:val="none" w:sz="0" w:space="0" w:color="auto"/>
        <w:left w:val="none" w:sz="0" w:space="0" w:color="auto"/>
        <w:bottom w:val="none" w:sz="0" w:space="0" w:color="auto"/>
        <w:right w:val="none" w:sz="0" w:space="0" w:color="auto"/>
      </w:divBdr>
    </w:div>
    <w:div w:id="1911042825">
      <w:bodyDiv w:val="1"/>
      <w:marLeft w:val="0"/>
      <w:marRight w:val="0"/>
      <w:marTop w:val="0"/>
      <w:marBottom w:val="0"/>
      <w:divBdr>
        <w:top w:val="none" w:sz="0" w:space="0" w:color="auto"/>
        <w:left w:val="none" w:sz="0" w:space="0" w:color="auto"/>
        <w:bottom w:val="none" w:sz="0" w:space="0" w:color="auto"/>
        <w:right w:val="none" w:sz="0" w:space="0" w:color="auto"/>
      </w:divBdr>
    </w:div>
    <w:div w:id="1913200193">
      <w:bodyDiv w:val="1"/>
      <w:marLeft w:val="0"/>
      <w:marRight w:val="0"/>
      <w:marTop w:val="0"/>
      <w:marBottom w:val="0"/>
      <w:divBdr>
        <w:top w:val="none" w:sz="0" w:space="0" w:color="auto"/>
        <w:left w:val="none" w:sz="0" w:space="0" w:color="auto"/>
        <w:bottom w:val="none" w:sz="0" w:space="0" w:color="auto"/>
        <w:right w:val="none" w:sz="0" w:space="0" w:color="auto"/>
      </w:divBdr>
    </w:div>
    <w:div w:id="1915584428">
      <w:bodyDiv w:val="1"/>
      <w:marLeft w:val="0"/>
      <w:marRight w:val="0"/>
      <w:marTop w:val="0"/>
      <w:marBottom w:val="0"/>
      <w:divBdr>
        <w:top w:val="none" w:sz="0" w:space="0" w:color="auto"/>
        <w:left w:val="none" w:sz="0" w:space="0" w:color="auto"/>
        <w:bottom w:val="none" w:sz="0" w:space="0" w:color="auto"/>
        <w:right w:val="none" w:sz="0" w:space="0" w:color="auto"/>
      </w:divBdr>
    </w:div>
    <w:div w:id="1916278228">
      <w:bodyDiv w:val="1"/>
      <w:marLeft w:val="0"/>
      <w:marRight w:val="0"/>
      <w:marTop w:val="0"/>
      <w:marBottom w:val="0"/>
      <w:divBdr>
        <w:top w:val="none" w:sz="0" w:space="0" w:color="auto"/>
        <w:left w:val="none" w:sz="0" w:space="0" w:color="auto"/>
        <w:bottom w:val="none" w:sz="0" w:space="0" w:color="auto"/>
        <w:right w:val="none" w:sz="0" w:space="0" w:color="auto"/>
      </w:divBdr>
    </w:div>
    <w:div w:id="1928731285">
      <w:bodyDiv w:val="1"/>
      <w:marLeft w:val="0"/>
      <w:marRight w:val="0"/>
      <w:marTop w:val="0"/>
      <w:marBottom w:val="0"/>
      <w:divBdr>
        <w:top w:val="none" w:sz="0" w:space="0" w:color="auto"/>
        <w:left w:val="none" w:sz="0" w:space="0" w:color="auto"/>
        <w:bottom w:val="none" w:sz="0" w:space="0" w:color="auto"/>
        <w:right w:val="none" w:sz="0" w:space="0" w:color="auto"/>
      </w:divBdr>
    </w:div>
    <w:div w:id="1942451350">
      <w:bodyDiv w:val="1"/>
      <w:marLeft w:val="0"/>
      <w:marRight w:val="0"/>
      <w:marTop w:val="0"/>
      <w:marBottom w:val="0"/>
      <w:divBdr>
        <w:top w:val="none" w:sz="0" w:space="0" w:color="auto"/>
        <w:left w:val="none" w:sz="0" w:space="0" w:color="auto"/>
        <w:bottom w:val="none" w:sz="0" w:space="0" w:color="auto"/>
        <w:right w:val="none" w:sz="0" w:space="0" w:color="auto"/>
      </w:divBdr>
    </w:div>
    <w:div w:id="1952742629">
      <w:bodyDiv w:val="1"/>
      <w:marLeft w:val="0"/>
      <w:marRight w:val="0"/>
      <w:marTop w:val="0"/>
      <w:marBottom w:val="0"/>
      <w:divBdr>
        <w:top w:val="none" w:sz="0" w:space="0" w:color="auto"/>
        <w:left w:val="none" w:sz="0" w:space="0" w:color="auto"/>
        <w:bottom w:val="none" w:sz="0" w:space="0" w:color="auto"/>
        <w:right w:val="none" w:sz="0" w:space="0" w:color="auto"/>
      </w:divBdr>
    </w:div>
    <w:div w:id="1954820500">
      <w:bodyDiv w:val="1"/>
      <w:marLeft w:val="0"/>
      <w:marRight w:val="0"/>
      <w:marTop w:val="0"/>
      <w:marBottom w:val="0"/>
      <w:divBdr>
        <w:top w:val="none" w:sz="0" w:space="0" w:color="auto"/>
        <w:left w:val="none" w:sz="0" w:space="0" w:color="auto"/>
        <w:bottom w:val="none" w:sz="0" w:space="0" w:color="auto"/>
        <w:right w:val="none" w:sz="0" w:space="0" w:color="auto"/>
      </w:divBdr>
    </w:div>
    <w:div w:id="1957445104">
      <w:bodyDiv w:val="1"/>
      <w:marLeft w:val="0"/>
      <w:marRight w:val="0"/>
      <w:marTop w:val="0"/>
      <w:marBottom w:val="0"/>
      <w:divBdr>
        <w:top w:val="none" w:sz="0" w:space="0" w:color="auto"/>
        <w:left w:val="none" w:sz="0" w:space="0" w:color="auto"/>
        <w:bottom w:val="none" w:sz="0" w:space="0" w:color="auto"/>
        <w:right w:val="none" w:sz="0" w:space="0" w:color="auto"/>
      </w:divBdr>
    </w:div>
    <w:div w:id="1967000971">
      <w:bodyDiv w:val="1"/>
      <w:marLeft w:val="0"/>
      <w:marRight w:val="0"/>
      <w:marTop w:val="0"/>
      <w:marBottom w:val="0"/>
      <w:divBdr>
        <w:top w:val="none" w:sz="0" w:space="0" w:color="auto"/>
        <w:left w:val="none" w:sz="0" w:space="0" w:color="auto"/>
        <w:bottom w:val="none" w:sz="0" w:space="0" w:color="auto"/>
        <w:right w:val="none" w:sz="0" w:space="0" w:color="auto"/>
      </w:divBdr>
    </w:div>
    <w:div w:id="1972056309">
      <w:bodyDiv w:val="1"/>
      <w:marLeft w:val="0"/>
      <w:marRight w:val="0"/>
      <w:marTop w:val="0"/>
      <w:marBottom w:val="0"/>
      <w:divBdr>
        <w:top w:val="none" w:sz="0" w:space="0" w:color="auto"/>
        <w:left w:val="none" w:sz="0" w:space="0" w:color="auto"/>
        <w:bottom w:val="none" w:sz="0" w:space="0" w:color="auto"/>
        <w:right w:val="none" w:sz="0" w:space="0" w:color="auto"/>
      </w:divBdr>
    </w:div>
    <w:div w:id="1980109973">
      <w:bodyDiv w:val="1"/>
      <w:marLeft w:val="0"/>
      <w:marRight w:val="0"/>
      <w:marTop w:val="0"/>
      <w:marBottom w:val="0"/>
      <w:divBdr>
        <w:top w:val="none" w:sz="0" w:space="0" w:color="auto"/>
        <w:left w:val="none" w:sz="0" w:space="0" w:color="auto"/>
        <w:bottom w:val="none" w:sz="0" w:space="0" w:color="auto"/>
        <w:right w:val="none" w:sz="0" w:space="0" w:color="auto"/>
      </w:divBdr>
    </w:div>
    <w:div w:id="1981691527">
      <w:bodyDiv w:val="1"/>
      <w:marLeft w:val="0"/>
      <w:marRight w:val="0"/>
      <w:marTop w:val="0"/>
      <w:marBottom w:val="0"/>
      <w:divBdr>
        <w:top w:val="none" w:sz="0" w:space="0" w:color="auto"/>
        <w:left w:val="none" w:sz="0" w:space="0" w:color="auto"/>
        <w:bottom w:val="none" w:sz="0" w:space="0" w:color="auto"/>
        <w:right w:val="none" w:sz="0" w:space="0" w:color="auto"/>
      </w:divBdr>
    </w:div>
    <w:div w:id="1990865434">
      <w:bodyDiv w:val="1"/>
      <w:marLeft w:val="0"/>
      <w:marRight w:val="0"/>
      <w:marTop w:val="0"/>
      <w:marBottom w:val="0"/>
      <w:divBdr>
        <w:top w:val="none" w:sz="0" w:space="0" w:color="auto"/>
        <w:left w:val="none" w:sz="0" w:space="0" w:color="auto"/>
        <w:bottom w:val="none" w:sz="0" w:space="0" w:color="auto"/>
        <w:right w:val="none" w:sz="0" w:space="0" w:color="auto"/>
      </w:divBdr>
    </w:div>
    <w:div w:id="2016691990">
      <w:bodyDiv w:val="1"/>
      <w:marLeft w:val="0"/>
      <w:marRight w:val="0"/>
      <w:marTop w:val="0"/>
      <w:marBottom w:val="0"/>
      <w:divBdr>
        <w:top w:val="none" w:sz="0" w:space="0" w:color="auto"/>
        <w:left w:val="none" w:sz="0" w:space="0" w:color="auto"/>
        <w:bottom w:val="none" w:sz="0" w:space="0" w:color="auto"/>
        <w:right w:val="none" w:sz="0" w:space="0" w:color="auto"/>
      </w:divBdr>
    </w:div>
    <w:div w:id="2032948180">
      <w:bodyDiv w:val="1"/>
      <w:marLeft w:val="0"/>
      <w:marRight w:val="0"/>
      <w:marTop w:val="0"/>
      <w:marBottom w:val="0"/>
      <w:divBdr>
        <w:top w:val="none" w:sz="0" w:space="0" w:color="auto"/>
        <w:left w:val="none" w:sz="0" w:space="0" w:color="auto"/>
        <w:bottom w:val="none" w:sz="0" w:space="0" w:color="auto"/>
        <w:right w:val="none" w:sz="0" w:space="0" w:color="auto"/>
      </w:divBdr>
    </w:div>
    <w:div w:id="2033408482">
      <w:bodyDiv w:val="1"/>
      <w:marLeft w:val="0"/>
      <w:marRight w:val="0"/>
      <w:marTop w:val="0"/>
      <w:marBottom w:val="0"/>
      <w:divBdr>
        <w:top w:val="none" w:sz="0" w:space="0" w:color="auto"/>
        <w:left w:val="none" w:sz="0" w:space="0" w:color="auto"/>
        <w:bottom w:val="none" w:sz="0" w:space="0" w:color="auto"/>
        <w:right w:val="none" w:sz="0" w:space="0" w:color="auto"/>
      </w:divBdr>
    </w:div>
    <w:div w:id="2039624557">
      <w:bodyDiv w:val="1"/>
      <w:marLeft w:val="0"/>
      <w:marRight w:val="0"/>
      <w:marTop w:val="0"/>
      <w:marBottom w:val="0"/>
      <w:divBdr>
        <w:top w:val="none" w:sz="0" w:space="0" w:color="auto"/>
        <w:left w:val="none" w:sz="0" w:space="0" w:color="auto"/>
        <w:bottom w:val="none" w:sz="0" w:space="0" w:color="auto"/>
        <w:right w:val="none" w:sz="0" w:space="0" w:color="auto"/>
      </w:divBdr>
    </w:div>
    <w:div w:id="2041739352">
      <w:bodyDiv w:val="1"/>
      <w:marLeft w:val="0"/>
      <w:marRight w:val="0"/>
      <w:marTop w:val="0"/>
      <w:marBottom w:val="0"/>
      <w:divBdr>
        <w:top w:val="none" w:sz="0" w:space="0" w:color="auto"/>
        <w:left w:val="none" w:sz="0" w:space="0" w:color="auto"/>
        <w:bottom w:val="none" w:sz="0" w:space="0" w:color="auto"/>
        <w:right w:val="none" w:sz="0" w:space="0" w:color="auto"/>
      </w:divBdr>
    </w:div>
    <w:div w:id="2042392772">
      <w:bodyDiv w:val="1"/>
      <w:marLeft w:val="0"/>
      <w:marRight w:val="0"/>
      <w:marTop w:val="0"/>
      <w:marBottom w:val="0"/>
      <w:divBdr>
        <w:top w:val="none" w:sz="0" w:space="0" w:color="auto"/>
        <w:left w:val="none" w:sz="0" w:space="0" w:color="auto"/>
        <w:bottom w:val="none" w:sz="0" w:space="0" w:color="auto"/>
        <w:right w:val="none" w:sz="0" w:space="0" w:color="auto"/>
      </w:divBdr>
    </w:div>
    <w:div w:id="2045788841">
      <w:bodyDiv w:val="1"/>
      <w:marLeft w:val="0"/>
      <w:marRight w:val="0"/>
      <w:marTop w:val="0"/>
      <w:marBottom w:val="0"/>
      <w:divBdr>
        <w:top w:val="none" w:sz="0" w:space="0" w:color="auto"/>
        <w:left w:val="none" w:sz="0" w:space="0" w:color="auto"/>
        <w:bottom w:val="none" w:sz="0" w:space="0" w:color="auto"/>
        <w:right w:val="none" w:sz="0" w:space="0" w:color="auto"/>
      </w:divBdr>
    </w:div>
    <w:div w:id="2071151390">
      <w:bodyDiv w:val="1"/>
      <w:marLeft w:val="0"/>
      <w:marRight w:val="0"/>
      <w:marTop w:val="0"/>
      <w:marBottom w:val="0"/>
      <w:divBdr>
        <w:top w:val="none" w:sz="0" w:space="0" w:color="auto"/>
        <w:left w:val="none" w:sz="0" w:space="0" w:color="auto"/>
        <w:bottom w:val="none" w:sz="0" w:space="0" w:color="auto"/>
        <w:right w:val="none" w:sz="0" w:space="0" w:color="auto"/>
      </w:divBdr>
    </w:div>
    <w:div w:id="2080320978">
      <w:bodyDiv w:val="1"/>
      <w:marLeft w:val="0"/>
      <w:marRight w:val="0"/>
      <w:marTop w:val="0"/>
      <w:marBottom w:val="0"/>
      <w:divBdr>
        <w:top w:val="none" w:sz="0" w:space="0" w:color="auto"/>
        <w:left w:val="none" w:sz="0" w:space="0" w:color="auto"/>
        <w:bottom w:val="none" w:sz="0" w:space="0" w:color="auto"/>
        <w:right w:val="none" w:sz="0" w:space="0" w:color="auto"/>
      </w:divBdr>
    </w:div>
    <w:div w:id="2085177314">
      <w:bodyDiv w:val="1"/>
      <w:marLeft w:val="0"/>
      <w:marRight w:val="0"/>
      <w:marTop w:val="0"/>
      <w:marBottom w:val="0"/>
      <w:divBdr>
        <w:top w:val="none" w:sz="0" w:space="0" w:color="auto"/>
        <w:left w:val="none" w:sz="0" w:space="0" w:color="auto"/>
        <w:bottom w:val="none" w:sz="0" w:space="0" w:color="auto"/>
        <w:right w:val="none" w:sz="0" w:space="0" w:color="auto"/>
      </w:divBdr>
    </w:div>
    <w:div w:id="2086612343">
      <w:bodyDiv w:val="1"/>
      <w:marLeft w:val="0"/>
      <w:marRight w:val="0"/>
      <w:marTop w:val="0"/>
      <w:marBottom w:val="0"/>
      <w:divBdr>
        <w:top w:val="none" w:sz="0" w:space="0" w:color="auto"/>
        <w:left w:val="none" w:sz="0" w:space="0" w:color="auto"/>
        <w:bottom w:val="none" w:sz="0" w:space="0" w:color="auto"/>
        <w:right w:val="none" w:sz="0" w:space="0" w:color="auto"/>
      </w:divBdr>
    </w:div>
    <w:div w:id="2093351635">
      <w:bodyDiv w:val="1"/>
      <w:marLeft w:val="0"/>
      <w:marRight w:val="0"/>
      <w:marTop w:val="0"/>
      <w:marBottom w:val="0"/>
      <w:divBdr>
        <w:top w:val="none" w:sz="0" w:space="0" w:color="auto"/>
        <w:left w:val="none" w:sz="0" w:space="0" w:color="auto"/>
        <w:bottom w:val="none" w:sz="0" w:space="0" w:color="auto"/>
        <w:right w:val="none" w:sz="0" w:space="0" w:color="auto"/>
      </w:divBdr>
    </w:div>
    <w:div w:id="2099713766">
      <w:bodyDiv w:val="1"/>
      <w:marLeft w:val="0"/>
      <w:marRight w:val="0"/>
      <w:marTop w:val="0"/>
      <w:marBottom w:val="0"/>
      <w:divBdr>
        <w:top w:val="none" w:sz="0" w:space="0" w:color="auto"/>
        <w:left w:val="none" w:sz="0" w:space="0" w:color="auto"/>
        <w:bottom w:val="none" w:sz="0" w:space="0" w:color="auto"/>
        <w:right w:val="none" w:sz="0" w:space="0" w:color="auto"/>
      </w:divBdr>
    </w:div>
    <w:div w:id="2099784227">
      <w:bodyDiv w:val="1"/>
      <w:marLeft w:val="0"/>
      <w:marRight w:val="0"/>
      <w:marTop w:val="0"/>
      <w:marBottom w:val="0"/>
      <w:divBdr>
        <w:top w:val="none" w:sz="0" w:space="0" w:color="auto"/>
        <w:left w:val="none" w:sz="0" w:space="0" w:color="auto"/>
        <w:bottom w:val="none" w:sz="0" w:space="0" w:color="auto"/>
        <w:right w:val="none" w:sz="0" w:space="0" w:color="auto"/>
      </w:divBdr>
    </w:div>
    <w:div w:id="2114326044">
      <w:bodyDiv w:val="1"/>
      <w:marLeft w:val="0"/>
      <w:marRight w:val="0"/>
      <w:marTop w:val="0"/>
      <w:marBottom w:val="0"/>
      <w:divBdr>
        <w:top w:val="none" w:sz="0" w:space="0" w:color="auto"/>
        <w:left w:val="none" w:sz="0" w:space="0" w:color="auto"/>
        <w:bottom w:val="none" w:sz="0" w:space="0" w:color="auto"/>
        <w:right w:val="none" w:sz="0" w:space="0" w:color="auto"/>
      </w:divBdr>
    </w:div>
    <w:div w:id="2116903628">
      <w:bodyDiv w:val="1"/>
      <w:marLeft w:val="0"/>
      <w:marRight w:val="0"/>
      <w:marTop w:val="0"/>
      <w:marBottom w:val="0"/>
      <w:divBdr>
        <w:top w:val="none" w:sz="0" w:space="0" w:color="auto"/>
        <w:left w:val="none" w:sz="0" w:space="0" w:color="auto"/>
        <w:bottom w:val="none" w:sz="0" w:space="0" w:color="auto"/>
        <w:right w:val="none" w:sz="0" w:space="0" w:color="auto"/>
      </w:divBdr>
    </w:div>
    <w:div w:id="2119712518">
      <w:bodyDiv w:val="1"/>
      <w:marLeft w:val="0"/>
      <w:marRight w:val="0"/>
      <w:marTop w:val="0"/>
      <w:marBottom w:val="0"/>
      <w:divBdr>
        <w:top w:val="none" w:sz="0" w:space="0" w:color="auto"/>
        <w:left w:val="none" w:sz="0" w:space="0" w:color="auto"/>
        <w:bottom w:val="none" w:sz="0" w:space="0" w:color="auto"/>
        <w:right w:val="none" w:sz="0" w:space="0" w:color="auto"/>
      </w:divBdr>
    </w:div>
    <w:div w:id="2138137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hart" Target="charts/chart3.xml"/><Relationship Id="rId42" Type="http://schemas.openxmlformats.org/officeDocument/2006/relationships/chart" Target="charts/chart19.xml"/><Relationship Id="rId47" Type="http://schemas.openxmlformats.org/officeDocument/2006/relationships/hyperlink" Target="https://www.nomisweb.co.uk/query/construct/summary.asp?mode=construct&amp;version=0&amp;dataset=1628" TargetMode="External"/><Relationship Id="rId63" Type="http://schemas.openxmlformats.org/officeDocument/2006/relationships/hyperlink" Target="https://www.nomisweb.co.uk/query/construct/summary.asp?mode=construct&amp;version=0&amp;dataset=758" TargetMode="External"/><Relationship Id="rId68" Type="http://schemas.openxmlformats.org/officeDocument/2006/relationships/chart" Target="charts/chart28.xml"/><Relationship Id="rId84" Type="http://schemas.openxmlformats.org/officeDocument/2006/relationships/chart" Target="charts/chart37.xml"/><Relationship Id="rId89" Type="http://schemas.openxmlformats.org/officeDocument/2006/relationships/chart" Target="charts/chart42.xml"/><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23.xml"/><Relationship Id="rId58" Type="http://schemas.openxmlformats.org/officeDocument/2006/relationships/hyperlink" Target="https://www.nomisweb.co.uk/query/construct/summary.asp?mode=construct&amp;version=0&amp;dataset=670" TargetMode="External"/><Relationship Id="rId74" Type="http://schemas.openxmlformats.org/officeDocument/2006/relationships/hyperlink" Target="https://www.gov.uk/government/statistics/english-housing-survey-2014-to-2015-adaptations-and-accessibility-of-homes-report" TargetMode="External"/><Relationship Id="rId79" Type="http://schemas.openxmlformats.org/officeDocument/2006/relationships/chart" Target="charts/chart33.xm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chart" Target="charts/chart43.xml"/><Relationship Id="rId95"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8.xml"/><Relationship Id="rId43" Type="http://schemas.openxmlformats.org/officeDocument/2006/relationships/chart" Target="charts/chart20.xml"/><Relationship Id="rId48" Type="http://schemas.openxmlformats.org/officeDocument/2006/relationships/hyperlink" Target="https://www.nomisweb.co.uk/query/construct/summary.asp?mode=construct&amp;version=0&amp;dataset=605" TargetMode="External"/><Relationship Id="rId64" Type="http://schemas.openxmlformats.org/officeDocument/2006/relationships/chart" Target="charts/chart26.xml"/><Relationship Id="rId69" Type="http://schemas.openxmlformats.org/officeDocument/2006/relationships/hyperlink" Target="https://www.nomisweb.co.uk/query/construct/summary.asp?mode=construct&amp;version=0&amp;dataset=1164" TargetMode="External"/><Relationship Id="rId80" Type="http://schemas.openxmlformats.org/officeDocument/2006/relationships/chart" Target="charts/chart34.xml"/><Relationship Id="rId85" Type="http://schemas.openxmlformats.org/officeDocument/2006/relationships/chart" Target="charts/chart38.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chart" Target="charts/chart7.xml"/><Relationship Id="rId33" Type="http://schemas.openxmlformats.org/officeDocument/2006/relationships/chart" Target="charts/chart14.xml"/><Relationship Id="rId38" Type="http://schemas.openxmlformats.org/officeDocument/2006/relationships/image" Target="media/image6.jpg"/><Relationship Id="rId46" Type="http://schemas.openxmlformats.org/officeDocument/2006/relationships/hyperlink" Target="https://www.nomisweb.co.uk/query/construct/summary.asp?mode=construct&amp;version=0&amp;dataset=605" TargetMode="External"/><Relationship Id="rId59" Type="http://schemas.openxmlformats.org/officeDocument/2006/relationships/hyperlink" Target="https://www.gov.uk/government/statistics/english-indices-of-deprivation-2019" TargetMode="External"/><Relationship Id="rId67" Type="http://schemas.openxmlformats.org/officeDocument/2006/relationships/hyperlink" Target="https://www.nomisweb.co.uk/query/construct/summary.asp?mode=construct&amp;version=0&amp;dataset=670" TargetMode="External"/><Relationship Id="rId103" Type="http://schemas.openxmlformats.org/officeDocument/2006/relationships/glossaryDocument" Target="glossary/document.xml"/><Relationship Id="rId20" Type="http://schemas.openxmlformats.org/officeDocument/2006/relationships/chart" Target="charts/chart2.xml"/><Relationship Id="rId41" Type="http://schemas.openxmlformats.org/officeDocument/2006/relationships/image" Target="media/image9.png"/><Relationship Id="rId54" Type="http://schemas.openxmlformats.org/officeDocument/2006/relationships/chart" Target="charts/chart24.xml"/><Relationship Id="rId62" Type="http://schemas.openxmlformats.org/officeDocument/2006/relationships/hyperlink" Target="https://www.nomisweb.co.uk/query/construct/summary.asp?mode=construct&amp;version=0&amp;dataset=532" TargetMode="External"/><Relationship Id="rId70" Type="http://schemas.openxmlformats.org/officeDocument/2006/relationships/hyperlink" Target="https://www.nomisweb.co.uk/query/construct/summary.asp?mode=construct&amp;version=0&amp;dataset=1164" TargetMode="External"/><Relationship Id="rId75" Type="http://schemas.openxmlformats.org/officeDocument/2006/relationships/chart" Target="charts/chart29.xml"/><Relationship Id="rId83" Type="http://schemas.openxmlformats.org/officeDocument/2006/relationships/chart" Target="charts/chart36.xml"/><Relationship Id="rId88" Type="http://schemas.openxmlformats.org/officeDocument/2006/relationships/chart" Target="charts/chart41.xml"/><Relationship Id="rId91" Type="http://schemas.openxmlformats.org/officeDocument/2006/relationships/chart" Target="charts/chart44.xml"/><Relationship Id="rId96"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s://www.nomisweb.co.uk/query/construct/summary.asp?mode=construct&amp;version=0&amp;dataset=1628" TargetMode="External"/><Relationship Id="rId57" Type="http://schemas.openxmlformats.org/officeDocument/2006/relationships/hyperlink" Target="https://cambridgeshireinsight.org.uk/wp-content/uploads/2018/07/older-peoples-housing-care-support-greater-cambridge.pdf" TargetMode="External"/><Relationship Id="rId10" Type="http://schemas.openxmlformats.org/officeDocument/2006/relationships/webSettings" Target="webSettings.xml"/><Relationship Id="rId31" Type="http://schemas.openxmlformats.org/officeDocument/2006/relationships/chart" Target="charts/chart12.xml"/><Relationship Id="rId44" Type="http://schemas.openxmlformats.org/officeDocument/2006/relationships/hyperlink" Target="https://www.google.com/search?q=Savills%2C+Detailed+affordability+analysis%2C+Cambridge+and+South+Cambridgeshire%2C+June+2017&amp;rlz=1C1GCEB_enGB900GB900&amp;oq=Savills%2C+Detailed+affordability+analysis%2C+Cambridge+and+South+Cambridgeshire%2C+June+2017&amp;aqs=chrome..69i57.1571j0j7&amp;sourceid=chrome&amp;ie=UTF-8" TargetMode="External"/><Relationship Id="rId52" Type="http://schemas.openxmlformats.org/officeDocument/2006/relationships/chart" Target="charts/chart22.xml"/><Relationship Id="rId60" Type="http://schemas.openxmlformats.org/officeDocument/2006/relationships/hyperlink" Target="http://www.eac.org.uk/" TargetMode="External"/><Relationship Id="rId65" Type="http://schemas.openxmlformats.org/officeDocument/2006/relationships/hyperlink" Target="https://www.nomisweb.co.uk/query/construct/summary.asp?mode=construct&amp;version=0&amp;dataset=670" TargetMode="External"/><Relationship Id="rId73" Type="http://schemas.openxmlformats.org/officeDocument/2006/relationships/hyperlink" Target="https://www.gov.uk/government/statistics/english-housing-survey-2011-to-2012-household-report" TargetMode="External"/><Relationship Id="rId78" Type="http://schemas.openxmlformats.org/officeDocument/2006/relationships/chart" Target="charts/chart32.xml"/><Relationship Id="rId81" Type="http://schemas.openxmlformats.org/officeDocument/2006/relationships/hyperlink" Target="file:///C://Users/Ivan.Tennant/Downloads/Final%20Report%20Student%20Housing%20Cambridge.pdf" TargetMode="External"/><Relationship Id="rId86" Type="http://schemas.openxmlformats.org/officeDocument/2006/relationships/chart" Target="charts/chart39.xml"/><Relationship Id="rId94" Type="http://schemas.openxmlformats.org/officeDocument/2006/relationships/chart" Target="charts/chart47.xml"/><Relationship Id="rId99" Type="http://schemas.openxmlformats.org/officeDocument/2006/relationships/chart" Target="charts/chart51.xml"/><Relationship Id="rId101" Type="http://schemas.openxmlformats.org/officeDocument/2006/relationships/chart" Target="charts/chart5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jpg"/><Relationship Id="rId39" Type="http://schemas.openxmlformats.org/officeDocument/2006/relationships/image" Target="media/image7.png"/><Relationship Id="rId34" Type="http://schemas.openxmlformats.org/officeDocument/2006/relationships/chart" Target="charts/chart15.xml"/><Relationship Id="rId50" Type="http://schemas.openxmlformats.org/officeDocument/2006/relationships/hyperlink" Target="https://www.nomisweb.co.uk/query/construct/summary.asp?mode=construct&amp;version=0&amp;dataset=605" TargetMode="External"/><Relationship Id="rId55" Type="http://schemas.openxmlformats.org/officeDocument/2006/relationships/chart" Target="charts/chart25.xml"/><Relationship Id="rId76" Type="http://schemas.openxmlformats.org/officeDocument/2006/relationships/chart" Target="charts/chart30.xml"/><Relationship Id="rId97" Type="http://schemas.openxmlformats.org/officeDocument/2006/relationships/chart" Target="charts/chart49.xml"/><Relationship Id="rId10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pansi.org.uk/" TargetMode="External"/><Relationship Id="rId92" Type="http://schemas.openxmlformats.org/officeDocument/2006/relationships/chart" Target="charts/chart45.xml"/><Relationship Id="rId2" Type="http://schemas.openxmlformats.org/officeDocument/2006/relationships/customXml" Target="../customXml/item2.xml"/><Relationship Id="rId29" Type="http://schemas.openxmlformats.org/officeDocument/2006/relationships/chart" Target="charts/chart10.xml"/><Relationship Id="rId24" Type="http://schemas.openxmlformats.org/officeDocument/2006/relationships/chart" Target="charts/chart6.xml"/><Relationship Id="rId40" Type="http://schemas.openxmlformats.org/officeDocument/2006/relationships/image" Target="media/image8.png"/><Relationship Id="rId45" Type="http://schemas.openxmlformats.org/officeDocument/2006/relationships/chart" Target="charts/chart21.xml"/><Relationship Id="rId66" Type="http://schemas.openxmlformats.org/officeDocument/2006/relationships/chart" Target="charts/chart27.xml"/><Relationship Id="rId87" Type="http://schemas.openxmlformats.org/officeDocument/2006/relationships/chart" Target="charts/chart40.xml"/><Relationship Id="rId61" Type="http://schemas.openxmlformats.org/officeDocument/2006/relationships/hyperlink" Target="https://www.gov.uk/guidance/housing-optional-technical-standards" TargetMode="External"/><Relationship Id="rId82" Type="http://schemas.openxmlformats.org/officeDocument/2006/relationships/chart" Target="charts/chart35.xml"/><Relationship Id="rId19" Type="http://schemas.openxmlformats.org/officeDocument/2006/relationships/chart" Target="charts/chart1.xml"/><Relationship Id="rId14" Type="http://schemas.openxmlformats.org/officeDocument/2006/relationships/footer" Target="footer1.xml"/><Relationship Id="rId30" Type="http://schemas.openxmlformats.org/officeDocument/2006/relationships/chart" Target="charts/chart11.xml"/><Relationship Id="rId35" Type="http://schemas.openxmlformats.org/officeDocument/2006/relationships/chart" Target="charts/chart16.xml"/><Relationship Id="rId56" Type="http://schemas.openxmlformats.org/officeDocument/2006/relationships/hyperlink" Target="https://www.housinglin.org.uk/Topics/browse/HousingExtraCare/ExtraCareStrategy/SHOP/SHOPv2/" TargetMode="External"/><Relationship Id="rId77" Type="http://schemas.openxmlformats.org/officeDocument/2006/relationships/chart" Target="charts/chart31.xml"/><Relationship Id="rId100" Type="http://schemas.openxmlformats.org/officeDocument/2006/relationships/chart" Target="charts/chart52.xml"/><Relationship Id="rId8" Type="http://schemas.openxmlformats.org/officeDocument/2006/relationships/styles" Target="styles.xml"/><Relationship Id="rId51" Type="http://schemas.openxmlformats.org/officeDocument/2006/relationships/hyperlink" Target="https://www.nomisweb.co.uk/query/construct/summary.asp?mode=construct&amp;version=0&amp;dataset=722" TargetMode="External"/><Relationship Id="rId72" Type="http://schemas.openxmlformats.org/officeDocument/2006/relationships/hyperlink" Target="https://www.poppi.org.uk/" TargetMode="External"/><Relationship Id="rId93" Type="http://schemas.openxmlformats.org/officeDocument/2006/relationships/chart" Target="charts/chart46.xml"/><Relationship Id="rId98" Type="http://schemas.openxmlformats.org/officeDocument/2006/relationships/chart" Target="charts/chart50.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notes.xml.rels><?xml version="1.0" encoding="UTF-8" standalone="yes"?>
<Relationships xmlns="http://schemas.openxmlformats.org/package/2006/relationships"><Relationship Id="rId8" Type="http://schemas.openxmlformats.org/officeDocument/2006/relationships/hyperlink" Target="http://www.housingcare.org/guides/item-retirement-villages.aspx" TargetMode="External"/><Relationship Id="rId13" Type="http://schemas.openxmlformats.org/officeDocument/2006/relationships/hyperlink" Target="https://www.prao.admin.cam.ac.uk/data-analysis-planning/student-numbers/student-statistics-archive" TargetMode="External"/><Relationship Id="rId3" Type="http://schemas.openxmlformats.org/officeDocument/2006/relationships/hyperlink" Target="https://www.gov.uk/guidance/housing-and-economic-development-needs-assessments" TargetMode="External"/><Relationship Id="rId7" Type="http://schemas.openxmlformats.org/officeDocument/2006/relationships/hyperlink" Target="https://www.gov.uk/guidance/housing-for-older-and-disabled-people" TargetMode="External"/><Relationship Id="rId12" Type="http://schemas.openxmlformats.org/officeDocument/2006/relationships/hyperlink" Target="https://www.gov.uk/government/consultations/raising-accessibility-standards-for-new-homes" TargetMode="External"/><Relationship Id="rId17" Type="http://schemas.openxmlformats.org/officeDocument/2006/relationships/hyperlink" Target="https://gravenhill.co.uk/" TargetMode="External"/><Relationship Id="rId2" Type="http://schemas.openxmlformats.org/officeDocument/2006/relationships/hyperlink" Target="https://www.gov.uk/guidance/housing-and-economic-development-needs-assessments" TargetMode="External"/><Relationship Id="rId16" Type="http://schemas.openxmlformats.org/officeDocument/2006/relationships/hyperlink" Target="https://aru.ac.uk/about-us/equality-diversity-and-inclusion/equality-diversity-and-inclusion-for-students/aru-student-snapshots" TargetMode="External"/><Relationship Id="rId1" Type="http://schemas.openxmlformats.org/officeDocument/2006/relationships/hyperlink" Target="https://www.ons.gov.uk/peoplepopulationandcommunity/housing/adhocs/13107housepricetoworkplacebasedearningsratioforformerlocalauthorities2019to2020" TargetMode="External"/><Relationship Id="rId6" Type="http://schemas.openxmlformats.org/officeDocument/2006/relationships/hyperlink" Target="https://www.gov.uk/guidance/housing-needs-of-different-groups" TargetMode="External"/><Relationship Id="rId11" Type="http://schemas.openxmlformats.org/officeDocument/2006/relationships/hyperlink" Target="https://assets.publishing.service.gov.uk/government/uploads/system/uploads/attachment_data/file/353387/021c_Cost_Report_11th_Sept_2014_FINAL.pdf" TargetMode="External"/><Relationship Id="rId5" Type="http://schemas.openxmlformats.org/officeDocument/2006/relationships/hyperlink" Target="https://www.gov.uk/government/publications/local-plans-expert-group-report-to-the-secretary-of-state" TargetMode="External"/><Relationship Id="rId15" Type="http://schemas.openxmlformats.org/officeDocument/2006/relationships/hyperlink" Target="https://www.prao.admin.cam.ac.uk/data-analysis-planning/student-numbers/time-series" TargetMode="External"/><Relationship Id="rId10" Type="http://schemas.openxmlformats.org/officeDocument/2006/relationships/hyperlink" Target="https://assets.publishing.service.gov.uk/government/uploads/system/uploads/attachment_data/file/416475/150323_Guide_to_disability_data___final_web_version.pdf" TargetMode="External"/><Relationship Id="rId4" Type="http://schemas.openxmlformats.org/officeDocument/2006/relationships/hyperlink" Target="https://www.ons.gov.uk/peoplepopulationandcommunity/housing/datasets/ratioofhousepricetoworkplacebasedearningslowerquartileandmedian" TargetMode="External"/><Relationship Id="rId9" Type="http://schemas.openxmlformats.org/officeDocument/2006/relationships/hyperlink" Target="https://www.housingcare.org/downloads/housingcare/EAC%20data%20products%202017.pdf" TargetMode="External"/><Relationship Id="rId14" Type="http://schemas.openxmlformats.org/officeDocument/2006/relationships/hyperlink" Target="https://www.prao.admin.cam.ac.uk/data-analysis-planning/facts-figures/facts-and-figures-archi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Market%20Signal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SPEC%20-%20A01947%20Cambridge%20Study%20Economics\10.Data\Market%20Signal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Market%20Signal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Market%20Signal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Market%20Signal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Market%20Signal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Market%20Signal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Market%20Signal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Market%20Signal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1.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Housing%20Mix%20Analysis.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3.xml.rels><?xml version="1.0" encoding="UTF-8" standalone="yes"?>
<Relationships xmlns="http://schemas.openxmlformats.org/package/2006/relationships"><Relationship Id="rId3" Type="http://schemas.openxmlformats.org/officeDocument/2006/relationships/oleObject" Target="file:///C:\Users\nena.pavlidou\Downloads\nomis_2020_02_27_141503.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aul.mccolgan\Downloads\nomis_2020_07_08_182134.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older%20persons.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9.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SPEC%20-%20A01947%20Cambridge%20Study%20Economics\10.Data\University%20Data\population%20(1).csv"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Demographic%20Data%20and%20OAN.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SPEC%20-%20A01947%20Cambridge%20Study%20Economics\10.Data\University%20Data\population%20(1).csv" TargetMode="External"/><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SPEC%20-%20A01947%20Cambridge%20Study%20Economics\10.Data\University%20Data\Both%20Uni%20Popualtion%20Change.%20LC.csv" TargetMode="External"/><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SPEC%20-%20A01947%20Cambridge%20Study%20Economics\10.Data\University%20Data\Both%20Uni%20Popualtion%20Change.%20LC.csv" TargetMode="External"/><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nena.pavlidou\Downloads\nomis_2020_01_28_152016.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nena.pavlidou\Downloads\nomis_2020_01_28_152016.xlsx" TargetMode="External"/><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Market%20Signals.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Ivan.Tennant\AppData\Local\Microsoft\Windows\INetCache\Content.Outlook\KEFGWOK9\Universal%20Credit%20Data%20from%20Stat%20Explore.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Rental%20Data%20Update.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oleObject" Target="file:///\\s2604-5012-fs01\LondonUserData\LOC_DATA\Planning\Job%20Files\J041864%20-%20Cambridgeshire%20Study%20Economics\10.Data\Demographic%20Data%20and%20OAN.xlsx" TargetMode="External"/><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Demographic%20Data%20and%20OAN.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46.xml"/><Relationship Id="rId1" Type="http://schemas.microsoft.com/office/2011/relationships/chartStyle" Target="style4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7.xml"/><Relationship Id="rId1" Type="http://schemas.microsoft.com/office/2011/relationships/chartStyle" Target="style4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8.xml"/><Relationship Id="rId1" Type="http://schemas.microsoft.com/office/2011/relationships/chartStyle" Target="style48.xml"/></Relationships>
</file>

<file path=word/charts/_rels/chart6.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Demographic%20Data%20and%20OA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SPEC%20-%20A01947%20Cambridge%20Study%20Economics\10.Data\Demographic%20Data%20and%20O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Market%20Signal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2604-5012-fs01.glhearn.local\LondonUserData\LOC_DATA\Planning\Job%20Files\J041864%20-%20Cambridgeshire%20Study%20Economics\10.Data\Market%20Signal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'population change'!$A$9</c:f>
              <c:strCache>
                <c:ptCount val="1"/>
                <c:pt idx="0">
                  <c:v>Cambridge</c:v>
                </c:pt>
              </c:strCache>
            </c:strRef>
          </c:tx>
          <c:spPr>
            <a:solidFill>
              <a:schemeClr val="accent1"/>
            </a:solidFill>
            <a:ln>
              <a:noFill/>
            </a:ln>
            <a:effectLst/>
          </c:spPr>
          <c:invertIfNegative val="0"/>
          <c:cat>
            <c:numRef>
              <c:f>'population change'!$B$8:$AD$8</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change'!$B$9:$AD$9</c:f>
              <c:numCache>
                <c:formatCode>#,##0</c:formatCode>
                <c:ptCount val="29"/>
                <c:pt idx="0">
                  <c:v>106680</c:v>
                </c:pt>
                <c:pt idx="1">
                  <c:v>108305</c:v>
                </c:pt>
                <c:pt idx="2">
                  <c:v>109596</c:v>
                </c:pt>
                <c:pt idx="3">
                  <c:v>107263</c:v>
                </c:pt>
                <c:pt idx="4">
                  <c:v>107583</c:v>
                </c:pt>
                <c:pt idx="5">
                  <c:v>108031</c:v>
                </c:pt>
                <c:pt idx="6">
                  <c:v>108113</c:v>
                </c:pt>
                <c:pt idx="7">
                  <c:v>109162</c:v>
                </c:pt>
                <c:pt idx="8">
                  <c:v>109870</c:v>
                </c:pt>
                <c:pt idx="9">
                  <c:v>109923</c:v>
                </c:pt>
                <c:pt idx="10">
                  <c:v>109941</c:v>
                </c:pt>
                <c:pt idx="11">
                  <c:v>109543</c:v>
                </c:pt>
                <c:pt idx="12">
                  <c:v>111317</c:v>
                </c:pt>
                <c:pt idx="13">
                  <c:v>112167</c:v>
                </c:pt>
                <c:pt idx="14">
                  <c:v>117217</c:v>
                </c:pt>
                <c:pt idx="15">
                  <c:v>116654</c:v>
                </c:pt>
                <c:pt idx="16">
                  <c:v>115454</c:v>
                </c:pt>
                <c:pt idx="17">
                  <c:v>116183</c:v>
                </c:pt>
                <c:pt idx="18">
                  <c:v>116746</c:v>
                </c:pt>
                <c:pt idx="19">
                  <c:v>120219</c:v>
                </c:pt>
                <c:pt idx="20">
                  <c:v>122725</c:v>
                </c:pt>
                <c:pt idx="21">
                  <c:v>122601</c:v>
                </c:pt>
                <c:pt idx="22">
                  <c:v>123024</c:v>
                </c:pt>
                <c:pt idx="23">
                  <c:v>123735</c:v>
                </c:pt>
                <c:pt idx="24">
                  <c:v>125105</c:v>
                </c:pt>
                <c:pt idx="25">
                  <c:v>124635</c:v>
                </c:pt>
                <c:pt idx="26">
                  <c:v>124919</c:v>
                </c:pt>
                <c:pt idx="27">
                  <c:v>125758</c:v>
                </c:pt>
                <c:pt idx="28">
                  <c:v>124800</c:v>
                </c:pt>
              </c:numCache>
            </c:numRef>
          </c:val>
          <c:extLst>
            <c:ext xmlns:c16="http://schemas.microsoft.com/office/drawing/2014/chart" uri="{C3380CC4-5D6E-409C-BE32-E72D297353CC}">
              <c16:uniqueId val="{00000000-0D9C-4053-AC98-89DF59BBD710}"/>
            </c:ext>
          </c:extLst>
        </c:ser>
        <c:ser>
          <c:idx val="1"/>
          <c:order val="1"/>
          <c:tx>
            <c:strRef>
              <c:f>'population change'!$A$10</c:f>
              <c:strCache>
                <c:ptCount val="1"/>
                <c:pt idx="0">
                  <c:v>East Cambridgeshire</c:v>
                </c:pt>
              </c:strCache>
            </c:strRef>
          </c:tx>
          <c:spPr>
            <a:solidFill>
              <a:schemeClr val="accent2"/>
            </a:solidFill>
            <a:ln>
              <a:noFill/>
            </a:ln>
            <a:effectLst/>
          </c:spPr>
          <c:invertIfNegative val="0"/>
          <c:cat>
            <c:numRef>
              <c:f>'population change'!$B$8:$AD$8</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change'!$B$10:$AD$10</c:f>
              <c:numCache>
                <c:formatCode>#,##0</c:formatCode>
                <c:ptCount val="29"/>
                <c:pt idx="0">
                  <c:v>60853</c:v>
                </c:pt>
                <c:pt idx="1">
                  <c:v>60845</c:v>
                </c:pt>
                <c:pt idx="2">
                  <c:v>61424</c:v>
                </c:pt>
                <c:pt idx="3">
                  <c:v>62466</c:v>
                </c:pt>
                <c:pt idx="4">
                  <c:v>63880</c:v>
                </c:pt>
                <c:pt idx="5">
                  <c:v>66322</c:v>
                </c:pt>
                <c:pt idx="6">
                  <c:v>68508</c:v>
                </c:pt>
                <c:pt idx="7">
                  <c:v>71308</c:v>
                </c:pt>
                <c:pt idx="8">
                  <c:v>71243</c:v>
                </c:pt>
                <c:pt idx="9">
                  <c:v>72676</c:v>
                </c:pt>
                <c:pt idx="10">
                  <c:v>73411</c:v>
                </c:pt>
                <c:pt idx="11">
                  <c:v>74328</c:v>
                </c:pt>
                <c:pt idx="12">
                  <c:v>77447</c:v>
                </c:pt>
                <c:pt idx="13">
                  <c:v>75996</c:v>
                </c:pt>
                <c:pt idx="14">
                  <c:v>77224</c:v>
                </c:pt>
                <c:pt idx="15">
                  <c:v>78429</c:v>
                </c:pt>
                <c:pt idx="16">
                  <c:v>79923</c:v>
                </c:pt>
                <c:pt idx="17">
                  <c:v>81035</c:v>
                </c:pt>
                <c:pt idx="18">
                  <c:v>82357</c:v>
                </c:pt>
                <c:pt idx="19">
                  <c:v>83303</c:v>
                </c:pt>
                <c:pt idx="20">
                  <c:v>84245</c:v>
                </c:pt>
                <c:pt idx="21">
                  <c:v>85220</c:v>
                </c:pt>
                <c:pt idx="22">
                  <c:v>85942</c:v>
                </c:pt>
                <c:pt idx="23">
                  <c:v>87045</c:v>
                </c:pt>
                <c:pt idx="24">
                  <c:v>87783</c:v>
                </c:pt>
                <c:pt idx="25">
                  <c:v>88189</c:v>
                </c:pt>
                <c:pt idx="26">
                  <c:v>88858</c:v>
                </c:pt>
                <c:pt idx="27">
                  <c:v>89362</c:v>
                </c:pt>
                <c:pt idx="28">
                  <c:v>89800</c:v>
                </c:pt>
              </c:numCache>
            </c:numRef>
          </c:val>
          <c:extLst>
            <c:ext xmlns:c16="http://schemas.microsoft.com/office/drawing/2014/chart" uri="{C3380CC4-5D6E-409C-BE32-E72D297353CC}">
              <c16:uniqueId val="{00000001-0D9C-4053-AC98-89DF59BBD710}"/>
            </c:ext>
          </c:extLst>
        </c:ser>
        <c:ser>
          <c:idx val="2"/>
          <c:order val="2"/>
          <c:tx>
            <c:strRef>
              <c:f>'population change'!$A$11</c:f>
              <c:strCache>
                <c:ptCount val="1"/>
                <c:pt idx="0">
                  <c:v>Fenland</c:v>
                </c:pt>
              </c:strCache>
            </c:strRef>
          </c:tx>
          <c:spPr>
            <a:solidFill>
              <a:schemeClr val="accent3"/>
            </a:solidFill>
            <a:ln>
              <a:noFill/>
            </a:ln>
            <a:effectLst/>
          </c:spPr>
          <c:invertIfNegative val="0"/>
          <c:cat>
            <c:numRef>
              <c:f>'population change'!$B$8:$AD$8</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change'!$B$11:$AD$11</c:f>
              <c:numCache>
                <c:formatCode>#,##0</c:formatCode>
                <c:ptCount val="29"/>
                <c:pt idx="0">
                  <c:v>75077</c:v>
                </c:pt>
                <c:pt idx="1">
                  <c:v>76662</c:v>
                </c:pt>
                <c:pt idx="2">
                  <c:v>77672</c:v>
                </c:pt>
                <c:pt idx="3">
                  <c:v>78202</c:v>
                </c:pt>
                <c:pt idx="4">
                  <c:v>78632</c:v>
                </c:pt>
                <c:pt idx="5">
                  <c:v>78991</c:v>
                </c:pt>
                <c:pt idx="6">
                  <c:v>80135</c:v>
                </c:pt>
                <c:pt idx="7">
                  <c:v>81311</c:v>
                </c:pt>
                <c:pt idx="8">
                  <c:v>82310</c:v>
                </c:pt>
                <c:pt idx="9">
                  <c:v>82881</c:v>
                </c:pt>
                <c:pt idx="10">
                  <c:v>83687</c:v>
                </c:pt>
                <c:pt idx="11">
                  <c:v>84676</c:v>
                </c:pt>
                <c:pt idx="12">
                  <c:v>86296</c:v>
                </c:pt>
                <c:pt idx="13">
                  <c:v>87983</c:v>
                </c:pt>
                <c:pt idx="14">
                  <c:v>88968</c:v>
                </c:pt>
                <c:pt idx="15">
                  <c:v>90647</c:v>
                </c:pt>
                <c:pt idx="16">
                  <c:v>92713</c:v>
                </c:pt>
                <c:pt idx="17">
                  <c:v>93653</c:v>
                </c:pt>
                <c:pt idx="18">
                  <c:v>94404</c:v>
                </c:pt>
                <c:pt idx="19">
                  <c:v>95135</c:v>
                </c:pt>
                <c:pt idx="20">
                  <c:v>95461</c:v>
                </c:pt>
                <c:pt idx="21">
                  <c:v>95975</c:v>
                </c:pt>
                <c:pt idx="22">
                  <c:v>96617</c:v>
                </c:pt>
                <c:pt idx="23">
                  <c:v>97591</c:v>
                </c:pt>
                <c:pt idx="24">
                  <c:v>98814</c:v>
                </c:pt>
                <c:pt idx="25">
                  <c:v>99636</c:v>
                </c:pt>
                <c:pt idx="26">
                  <c:v>100776</c:v>
                </c:pt>
                <c:pt idx="27">
                  <c:v>101491</c:v>
                </c:pt>
                <c:pt idx="28">
                  <c:v>101900</c:v>
                </c:pt>
              </c:numCache>
            </c:numRef>
          </c:val>
          <c:extLst>
            <c:ext xmlns:c16="http://schemas.microsoft.com/office/drawing/2014/chart" uri="{C3380CC4-5D6E-409C-BE32-E72D297353CC}">
              <c16:uniqueId val="{00000002-0D9C-4053-AC98-89DF59BBD710}"/>
            </c:ext>
          </c:extLst>
        </c:ser>
        <c:ser>
          <c:idx val="3"/>
          <c:order val="3"/>
          <c:tx>
            <c:strRef>
              <c:f>'population change'!$A$12</c:f>
              <c:strCache>
                <c:ptCount val="1"/>
                <c:pt idx="0">
                  <c:v>Huntingdonshire</c:v>
                </c:pt>
              </c:strCache>
            </c:strRef>
          </c:tx>
          <c:spPr>
            <a:solidFill>
              <a:schemeClr val="accent4"/>
            </a:solidFill>
            <a:ln>
              <a:noFill/>
            </a:ln>
            <a:effectLst/>
          </c:spPr>
          <c:invertIfNegative val="0"/>
          <c:cat>
            <c:numRef>
              <c:f>'population change'!$B$8:$AD$8</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change'!$B$12:$AD$12</c:f>
              <c:numCache>
                <c:formatCode>#,##0</c:formatCode>
                <c:ptCount val="29"/>
                <c:pt idx="0">
                  <c:v>146064</c:v>
                </c:pt>
                <c:pt idx="1">
                  <c:v>148758</c:v>
                </c:pt>
                <c:pt idx="2">
                  <c:v>148326</c:v>
                </c:pt>
                <c:pt idx="3">
                  <c:v>149329</c:v>
                </c:pt>
                <c:pt idx="4">
                  <c:v>148916</c:v>
                </c:pt>
                <c:pt idx="5">
                  <c:v>151805</c:v>
                </c:pt>
                <c:pt idx="6">
                  <c:v>154602</c:v>
                </c:pt>
                <c:pt idx="7">
                  <c:v>154776</c:v>
                </c:pt>
                <c:pt idx="8">
                  <c:v>155570</c:v>
                </c:pt>
                <c:pt idx="9">
                  <c:v>157213</c:v>
                </c:pt>
                <c:pt idx="10">
                  <c:v>157189</c:v>
                </c:pt>
                <c:pt idx="11">
                  <c:v>158476</c:v>
                </c:pt>
                <c:pt idx="12">
                  <c:v>159626</c:v>
                </c:pt>
                <c:pt idx="13">
                  <c:v>162654</c:v>
                </c:pt>
                <c:pt idx="14">
                  <c:v>162822</c:v>
                </c:pt>
                <c:pt idx="15">
                  <c:v>163896</c:v>
                </c:pt>
                <c:pt idx="16">
                  <c:v>164764</c:v>
                </c:pt>
                <c:pt idx="17">
                  <c:v>166346</c:v>
                </c:pt>
                <c:pt idx="18">
                  <c:v>167052</c:v>
                </c:pt>
                <c:pt idx="19">
                  <c:v>168352</c:v>
                </c:pt>
                <c:pt idx="20">
                  <c:v>170039</c:v>
                </c:pt>
                <c:pt idx="21">
                  <c:v>171206</c:v>
                </c:pt>
                <c:pt idx="22">
                  <c:v>172147</c:v>
                </c:pt>
                <c:pt idx="23">
                  <c:v>173883</c:v>
                </c:pt>
                <c:pt idx="24">
                  <c:v>175334</c:v>
                </c:pt>
                <c:pt idx="25">
                  <c:v>176095</c:v>
                </c:pt>
                <c:pt idx="26">
                  <c:v>176979</c:v>
                </c:pt>
                <c:pt idx="27">
                  <c:v>177352</c:v>
                </c:pt>
                <c:pt idx="28">
                  <c:v>178000</c:v>
                </c:pt>
              </c:numCache>
            </c:numRef>
          </c:val>
          <c:extLst>
            <c:ext xmlns:c16="http://schemas.microsoft.com/office/drawing/2014/chart" uri="{C3380CC4-5D6E-409C-BE32-E72D297353CC}">
              <c16:uniqueId val="{00000003-0D9C-4053-AC98-89DF59BBD710}"/>
            </c:ext>
          </c:extLst>
        </c:ser>
        <c:ser>
          <c:idx val="4"/>
          <c:order val="4"/>
          <c:tx>
            <c:strRef>
              <c:f>'population change'!$A$13</c:f>
              <c:strCache>
                <c:ptCount val="1"/>
                <c:pt idx="0">
                  <c:v>South Cambridgeshire</c:v>
                </c:pt>
              </c:strCache>
            </c:strRef>
          </c:tx>
          <c:spPr>
            <a:solidFill>
              <a:schemeClr val="accent5"/>
            </a:solidFill>
            <a:ln>
              <a:noFill/>
            </a:ln>
            <a:effectLst/>
          </c:spPr>
          <c:invertIfNegative val="0"/>
          <c:cat>
            <c:numRef>
              <c:f>'population change'!$B$8:$AD$8</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change'!$B$13:$AD$13</c:f>
              <c:numCache>
                <c:formatCode>#,##0</c:formatCode>
                <c:ptCount val="29"/>
                <c:pt idx="0">
                  <c:v>121912</c:v>
                </c:pt>
                <c:pt idx="1">
                  <c:v>121615</c:v>
                </c:pt>
                <c:pt idx="2">
                  <c:v>121999</c:v>
                </c:pt>
                <c:pt idx="3">
                  <c:v>121434</c:v>
                </c:pt>
                <c:pt idx="4">
                  <c:v>123674</c:v>
                </c:pt>
                <c:pt idx="5">
                  <c:v>125252</c:v>
                </c:pt>
                <c:pt idx="6">
                  <c:v>127569</c:v>
                </c:pt>
                <c:pt idx="7">
                  <c:v>128389</c:v>
                </c:pt>
                <c:pt idx="8">
                  <c:v>128589</c:v>
                </c:pt>
                <c:pt idx="9">
                  <c:v>128675</c:v>
                </c:pt>
                <c:pt idx="10">
                  <c:v>130476</c:v>
                </c:pt>
                <c:pt idx="11">
                  <c:v>131893</c:v>
                </c:pt>
                <c:pt idx="12">
                  <c:v>134057</c:v>
                </c:pt>
                <c:pt idx="13">
                  <c:v>135645</c:v>
                </c:pt>
                <c:pt idx="14">
                  <c:v>137420</c:v>
                </c:pt>
                <c:pt idx="15">
                  <c:v>139264</c:v>
                </c:pt>
                <c:pt idx="16">
                  <c:v>141484</c:v>
                </c:pt>
                <c:pt idx="17">
                  <c:v>143591</c:v>
                </c:pt>
                <c:pt idx="18">
                  <c:v>145679</c:v>
                </c:pt>
                <c:pt idx="19">
                  <c:v>147890</c:v>
                </c:pt>
                <c:pt idx="20">
                  <c:v>149842</c:v>
                </c:pt>
                <c:pt idx="21">
                  <c:v>150906</c:v>
                </c:pt>
                <c:pt idx="22">
                  <c:v>151188</c:v>
                </c:pt>
                <c:pt idx="23">
                  <c:v>152932</c:v>
                </c:pt>
                <c:pt idx="24">
                  <c:v>154488</c:v>
                </c:pt>
                <c:pt idx="25">
                  <c:v>156020</c:v>
                </c:pt>
                <c:pt idx="26">
                  <c:v>156705</c:v>
                </c:pt>
                <c:pt idx="27">
                  <c:v>157519</c:v>
                </c:pt>
                <c:pt idx="28">
                  <c:v>159100</c:v>
                </c:pt>
              </c:numCache>
            </c:numRef>
          </c:val>
          <c:extLst>
            <c:ext xmlns:c16="http://schemas.microsoft.com/office/drawing/2014/chart" uri="{C3380CC4-5D6E-409C-BE32-E72D297353CC}">
              <c16:uniqueId val="{00000004-0D9C-4053-AC98-89DF59BBD710}"/>
            </c:ext>
          </c:extLst>
        </c:ser>
        <c:ser>
          <c:idx val="5"/>
          <c:order val="5"/>
          <c:tx>
            <c:strRef>
              <c:f>'population change'!$A$14</c:f>
              <c:strCache>
                <c:ptCount val="1"/>
                <c:pt idx="0">
                  <c:v>West Suffolk</c:v>
                </c:pt>
              </c:strCache>
            </c:strRef>
          </c:tx>
          <c:spPr>
            <a:solidFill>
              <a:schemeClr val="tx1"/>
            </a:solidFill>
            <a:ln>
              <a:noFill/>
            </a:ln>
            <a:effectLst/>
          </c:spPr>
          <c:invertIfNegative val="0"/>
          <c:cat>
            <c:numRef>
              <c:f>'population change'!$B$8:$AD$8</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change'!$B$14:$AD$14</c:f>
              <c:numCache>
                <c:formatCode>#,##0</c:formatCode>
                <c:ptCount val="29"/>
                <c:pt idx="0">
                  <c:v>150219</c:v>
                </c:pt>
                <c:pt idx="1">
                  <c:v>151014</c:v>
                </c:pt>
                <c:pt idx="2">
                  <c:v>151976</c:v>
                </c:pt>
                <c:pt idx="3">
                  <c:v>153056</c:v>
                </c:pt>
                <c:pt idx="4">
                  <c:v>155975</c:v>
                </c:pt>
                <c:pt idx="5">
                  <c:v>156800</c:v>
                </c:pt>
                <c:pt idx="6">
                  <c:v>158145</c:v>
                </c:pt>
                <c:pt idx="7">
                  <c:v>159298</c:v>
                </c:pt>
                <c:pt idx="8">
                  <c:v>158787</c:v>
                </c:pt>
                <c:pt idx="9">
                  <c:v>159987</c:v>
                </c:pt>
                <c:pt idx="10">
                  <c:v>154468</c:v>
                </c:pt>
                <c:pt idx="11">
                  <c:v>155991</c:v>
                </c:pt>
                <c:pt idx="12">
                  <c:v>157990</c:v>
                </c:pt>
                <c:pt idx="13">
                  <c:v>159469</c:v>
                </c:pt>
                <c:pt idx="14">
                  <c:v>161406</c:v>
                </c:pt>
                <c:pt idx="15">
                  <c:v>162408</c:v>
                </c:pt>
                <c:pt idx="16">
                  <c:v>163691</c:v>
                </c:pt>
                <c:pt idx="17">
                  <c:v>164959</c:v>
                </c:pt>
                <c:pt idx="18">
                  <c:v>166325</c:v>
                </c:pt>
                <c:pt idx="19">
                  <c:v>168604</c:v>
                </c:pt>
                <c:pt idx="20">
                  <c:v>171481</c:v>
                </c:pt>
                <c:pt idx="21">
                  <c:v>171468</c:v>
                </c:pt>
                <c:pt idx="22">
                  <c:v>171679</c:v>
                </c:pt>
                <c:pt idx="23">
                  <c:v>174882</c:v>
                </c:pt>
                <c:pt idx="24">
                  <c:v>176625</c:v>
                </c:pt>
                <c:pt idx="25">
                  <c:v>176687</c:v>
                </c:pt>
                <c:pt idx="26">
                  <c:v>179248</c:v>
                </c:pt>
                <c:pt idx="27">
                  <c:v>178881</c:v>
                </c:pt>
                <c:pt idx="28">
                  <c:v>179000</c:v>
                </c:pt>
              </c:numCache>
            </c:numRef>
          </c:val>
          <c:extLst>
            <c:ext xmlns:c16="http://schemas.microsoft.com/office/drawing/2014/chart" uri="{C3380CC4-5D6E-409C-BE32-E72D297353CC}">
              <c16:uniqueId val="{00000005-0D9C-4053-AC98-89DF59BBD710}"/>
            </c:ext>
          </c:extLst>
        </c:ser>
        <c:dLbls>
          <c:showLegendKey val="0"/>
          <c:showVal val="0"/>
          <c:showCatName val="0"/>
          <c:showSerName val="0"/>
          <c:showPercent val="0"/>
          <c:showBubbleSize val="0"/>
        </c:dLbls>
        <c:gapWidth val="150"/>
        <c:overlap val="100"/>
        <c:axId val="776266960"/>
        <c:axId val="776293072"/>
      </c:barChart>
      <c:catAx>
        <c:axId val="77626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293072"/>
        <c:crosses val="autoZero"/>
        <c:auto val="1"/>
        <c:lblAlgn val="ctr"/>
        <c:lblOffset val="100"/>
        <c:noMultiLvlLbl val="0"/>
      </c:catAx>
      <c:valAx>
        <c:axId val="77629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26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'Type of Prop'!$A$4</c:f>
              <c:strCache>
                <c:ptCount val="1"/>
                <c:pt idx="0">
                  <c:v>Cambridge</c:v>
                </c:pt>
              </c:strCache>
            </c:strRef>
          </c:tx>
          <c:spPr>
            <a:solidFill>
              <a:schemeClr val="accent1"/>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Prop'!$B$4:$E$4</c:f>
              <c:numCache>
                <c:formatCode>"£"#,##0</c:formatCode>
                <c:ptCount val="4"/>
                <c:pt idx="0">
                  <c:v>691995</c:v>
                </c:pt>
                <c:pt idx="1">
                  <c:v>470000</c:v>
                </c:pt>
                <c:pt idx="2">
                  <c:v>452550</c:v>
                </c:pt>
                <c:pt idx="3">
                  <c:v>310000</c:v>
                </c:pt>
              </c:numCache>
            </c:numRef>
          </c:val>
          <c:extLst>
            <c:ext xmlns:c16="http://schemas.microsoft.com/office/drawing/2014/chart" uri="{C3380CC4-5D6E-409C-BE32-E72D297353CC}">
              <c16:uniqueId val="{00000000-D938-49E3-A130-583BF6910442}"/>
            </c:ext>
          </c:extLst>
        </c:ser>
        <c:ser>
          <c:idx val="1"/>
          <c:order val="1"/>
          <c:tx>
            <c:strRef>
              <c:f>'Type of Prop'!$A$5</c:f>
              <c:strCache>
                <c:ptCount val="1"/>
                <c:pt idx="0">
                  <c:v>East Cambridgeshire</c:v>
                </c:pt>
              </c:strCache>
            </c:strRef>
          </c:tx>
          <c:spPr>
            <a:solidFill>
              <a:schemeClr val="accent2"/>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Prop'!$B$5:$E$5</c:f>
              <c:numCache>
                <c:formatCode>"£"#,##0</c:formatCode>
                <c:ptCount val="4"/>
                <c:pt idx="0">
                  <c:v>377000</c:v>
                </c:pt>
                <c:pt idx="1">
                  <c:v>260000</c:v>
                </c:pt>
                <c:pt idx="2">
                  <c:v>235000</c:v>
                </c:pt>
                <c:pt idx="3">
                  <c:v>171061.5</c:v>
                </c:pt>
              </c:numCache>
            </c:numRef>
          </c:val>
          <c:extLst>
            <c:ext xmlns:c16="http://schemas.microsoft.com/office/drawing/2014/chart" uri="{C3380CC4-5D6E-409C-BE32-E72D297353CC}">
              <c16:uniqueId val="{00000001-D938-49E3-A130-583BF6910442}"/>
            </c:ext>
          </c:extLst>
        </c:ser>
        <c:ser>
          <c:idx val="2"/>
          <c:order val="2"/>
          <c:tx>
            <c:strRef>
              <c:f>'Type of Prop'!$A$6</c:f>
              <c:strCache>
                <c:ptCount val="1"/>
                <c:pt idx="0">
                  <c:v>Fenland</c:v>
                </c:pt>
              </c:strCache>
            </c:strRef>
          </c:tx>
          <c:spPr>
            <a:solidFill>
              <a:schemeClr val="accent3"/>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Prop'!$B$6:$E$6</c:f>
              <c:numCache>
                <c:formatCode>"£"#,##0</c:formatCode>
                <c:ptCount val="4"/>
                <c:pt idx="0">
                  <c:v>240000</c:v>
                </c:pt>
                <c:pt idx="1">
                  <c:v>170000</c:v>
                </c:pt>
                <c:pt idx="2">
                  <c:v>143000</c:v>
                </c:pt>
                <c:pt idx="3">
                  <c:v>90250</c:v>
                </c:pt>
              </c:numCache>
            </c:numRef>
          </c:val>
          <c:extLst>
            <c:ext xmlns:c16="http://schemas.microsoft.com/office/drawing/2014/chart" uri="{C3380CC4-5D6E-409C-BE32-E72D297353CC}">
              <c16:uniqueId val="{00000002-D938-49E3-A130-583BF6910442}"/>
            </c:ext>
          </c:extLst>
        </c:ser>
        <c:ser>
          <c:idx val="3"/>
          <c:order val="3"/>
          <c:tx>
            <c:strRef>
              <c:f>'Type of Prop'!$A$7</c:f>
              <c:strCache>
                <c:ptCount val="1"/>
                <c:pt idx="0">
                  <c:v>Huntingdonshire</c:v>
                </c:pt>
              </c:strCache>
            </c:strRef>
          </c:tx>
          <c:spPr>
            <a:solidFill>
              <a:schemeClr val="accent4"/>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Prop'!$B$7:$E$7</c:f>
              <c:numCache>
                <c:formatCode>"£"#,##0</c:formatCode>
                <c:ptCount val="4"/>
                <c:pt idx="0">
                  <c:v>360000</c:v>
                </c:pt>
                <c:pt idx="1">
                  <c:v>262000</c:v>
                </c:pt>
                <c:pt idx="2">
                  <c:v>220000</c:v>
                </c:pt>
                <c:pt idx="3">
                  <c:v>158000</c:v>
                </c:pt>
              </c:numCache>
            </c:numRef>
          </c:val>
          <c:extLst>
            <c:ext xmlns:c16="http://schemas.microsoft.com/office/drawing/2014/chart" uri="{C3380CC4-5D6E-409C-BE32-E72D297353CC}">
              <c16:uniqueId val="{00000003-D938-49E3-A130-583BF6910442}"/>
            </c:ext>
          </c:extLst>
        </c:ser>
        <c:ser>
          <c:idx val="4"/>
          <c:order val="4"/>
          <c:tx>
            <c:strRef>
              <c:f>'Type of Prop'!$A$8</c:f>
              <c:strCache>
                <c:ptCount val="1"/>
                <c:pt idx="0">
                  <c:v>South Cambridgeshire</c:v>
                </c:pt>
              </c:strCache>
            </c:strRef>
          </c:tx>
          <c:spPr>
            <a:solidFill>
              <a:schemeClr val="accent5"/>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Prop'!$B$8:$E$8</c:f>
              <c:numCache>
                <c:formatCode>"£"#,##0</c:formatCode>
                <c:ptCount val="4"/>
                <c:pt idx="0">
                  <c:v>480000</c:v>
                </c:pt>
                <c:pt idx="1">
                  <c:v>335000</c:v>
                </c:pt>
                <c:pt idx="2">
                  <c:v>275000</c:v>
                </c:pt>
                <c:pt idx="3">
                  <c:v>183500</c:v>
                </c:pt>
              </c:numCache>
            </c:numRef>
          </c:val>
          <c:extLst>
            <c:ext xmlns:c16="http://schemas.microsoft.com/office/drawing/2014/chart" uri="{C3380CC4-5D6E-409C-BE32-E72D297353CC}">
              <c16:uniqueId val="{00000004-D938-49E3-A130-583BF6910442}"/>
            </c:ext>
          </c:extLst>
        </c:ser>
        <c:ser>
          <c:idx val="5"/>
          <c:order val="5"/>
          <c:tx>
            <c:strRef>
              <c:f>'Type of Prop'!$A$9</c:f>
              <c:strCache>
                <c:ptCount val="1"/>
                <c:pt idx="0">
                  <c:v>West Suffolk</c:v>
                </c:pt>
              </c:strCache>
            </c:strRef>
          </c:tx>
          <c:spPr>
            <a:solidFill>
              <a:schemeClr val="accent6"/>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Prop'!$B$9:$E$9</c:f>
              <c:numCache>
                <c:formatCode>"£"#,##0</c:formatCode>
                <c:ptCount val="4"/>
                <c:pt idx="0">
                  <c:v>345000</c:v>
                </c:pt>
                <c:pt idx="1">
                  <c:v>242750</c:v>
                </c:pt>
                <c:pt idx="2">
                  <c:v>212750</c:v>
                </c:pt>
                <c:pt idx="3">
                  <c:v>168750</c:v>
                </c:pt>
              </c:numCache>
            </c:numRef>
          </c:val>
          <c:extLst>
            <c:ext xmlns:c16="http://schemas.microsoft.com/office/drawing/2014/chart" uri="{C3380CC4-5D6E-409C-BE32-E72D297353CC}">
              <c16:uniqueId val="{00000005-D938-49E3-A130-583BF6910442}"/>
            </c:ext>
          </c:extLst>
        </c:ser>
        <c:ser>
          <c:idx val="6"/>
          <c:order val="6"/>
          <c:tx>
            <c:strRef>
              <c:f>'Type of Prop'!$A$10</c:f>
              <c:strCache>
                <c:ptCount val="1"/>
                <c:pt idx="0">
                  <c:v>Greater Cambridge</c:v>
                </c:pt>
              </c:strCache>
            </c:strRef>
          </c:tx>
          <c:spPr>
            <a:solidFill>
              <a:schemeClr val="accent1">
                <a:lumMod val="60000"/>
              </a:schemeClr>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Prop'!$B$10:$E$10</c:f>
              <c:numCache>
                <c:formatCode>"£"#,##0</c:formatCode>
                <c:ptCount val="4"/>
                <c:pt idx="0">
                  <c:v>585997.5</c:v>
                </c:pt>
                <c:pt idx="1">
                  <c:v>402500</c:v>
                </c:pt>
                <c:pt idx="2">
                  <c:v>363775</c:v>
                </c:pt>
                <c:pt idx="3">
                  <c:v>246750</c:v>
                </c:pt>
              </c:numCache>
            </c:numRef>
          </c:val>
          <c:extLst>
            <c:ext xmlns:c16="http://schemas.microsoft.com/office/drawing/2014/chart" uri="{C3380CC4-5D6E-409C-BE32-E72D297353CC}">
              <c16:uniqueId val="{00000006-D938-49E3-A130-583BF6910442}"/>
            </c:ext>
          </c:extLst>
        </c:ser>
        <c:ser>
          <c:idx val="7"/>
          <c:order val="7"/>
          <c:tx>
            <c:strRef>
              <c:f>'Type of Prop'!$A$11</c:f>
              <c:strCache>
                <c:ptCount val="1"/>
                <c:pt idx="0">
                  <c:v>HMA</c:v>
                </c:pt>
              </c:strCache>
            </c:strRef>
          </c:tx>
          <c:spPr>
            <a:solidFill>
              <a:schemeClr val="accent2">
                <a:lumMod val="60000"/>
              </a:schemeClr>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Prop'!$B$11:$E$11</c:f>
              <c:numCache>
                <c:formatCode>"£"#,##0</c:formatCode>
                <c:ptCount val="4"/>
                <c:pt idx="0">
                  <c:v>369995</c:v>
                </c:pt>
                <c:pt idx="1">
                  <c:v>270000</c:v>
                </c:pt>
                <c:pt idx="2">
                  <c:v>234500</c:v>
                </c:pt>
                <c:pt idx="3">
                  <c:v>200000</c:v>
                </c:pt>
              </c:numCache>
            </c:numRef>
          </c:val>
          <c:extLst>
            <c:ext xmlns:c16="http://schemas.microsoft.com/office/drawing/2014/chart" uri="{C3380CC4-5D6E-409C-BE32-E72D297353CC}">
              <c16:uniqueId val="{00000007-D938-49E3-A130-583BF6910442}"/>
            </c:ext>
          </c:extLst>
        </c:ser>
        <c:ser>
          <c:idx val="8"/>
          <c:order val="8"/>
          <c:tx>
            <c:strRef>
              <c:f>'Type of Prop'!$A$12</c:f>
              <c:strCache>
                <c:ptCount val="1"/>
                <c:pt idx="0">
                  <c:v>East of England</c:v>
                </c:pt>
              </c:strCache>
            </c:strRef>
          </c:tx>
          <c:spPr>
            <a:solidFill>
              <a:schemeClr val="accent3">
                <a:lumMod val="60000"/>
              </a:schemeClr>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Prop'!$B$12:$E$12</c:f>
              <c:numCache>
                <c:formatCode>"£"#,##0</c:formatCode>
                <c:ptCount val="4"/>
                <c:pt idx="0">
                  <c:v>384995</c:v>
                </c:pt>
                <c:pt idx="1">
                  <c:v>285000</c:v>
                </c:pt>
                <c:pt idx="2">
                  <c:v>250000</c:v>
                </c:pt>
                <c:pt idx="3">
                  <c:v>193000</c:v>
                </c:pt>
              </c:numCache>
            </c:numRef>
          </c:val>
          <c:extLst>
            <c:ext xmlns:c16="http://schemas.microsoft.com/office/drawing/2014/chart" uri="{C3380CC4-5D6E-409C-BE32-E72D297353CC}">
              <c16:uniqueId val="{00000008-D938-49E3-A130-583BF6910442}"/>
            </c:ext>
          </c:extLst>
        </c:ser>
        <c:ser>
          <c:idx val="9"/>
          <c:order val="9"/>
          <c:tx>
            <c:strRef>
              <c:f>'Type of Prop'!$A$13</c:f>
              <c:strCache>
                <c:ptCount val="1"/>
                <c:pt idx="0">
                  <c:v>England</c:v>
                </c:pt>
              </c:strCache>
            </c:strRef>
          </c:tx>
          <c:spPr>
            <a:solidFill>
              <a:schemeClr val="accent4">
                <a:lumMod val="60000"/>
              </a:schemeClr>
            </a:solidFill>
            <a:ln>
              <a:noFill/>
            </a:ln>
            <a:effectLst/>
          </c:spPr>
          <c:invertIfNegative val="0"/>
          <c:cat>
            <c:strRef>
              <c:f>'Type of Prop'!$B$3:$E$3</c:f>
              <c:strCache>
                <c:ptCount val="4"/>
                <c:pt idx="0">
                  <c:v>Detached</c:v>
                </c:pt>
                <c:pt idx="1">
                  <c:v>Semi-Detached</c:v>
                </c:pt>
                <c:pt idx="2">
                  <c:v>Terrace</c:v>
                </c:pt>
                <c:pt idx="3">
                  <c:v>Flat</c:v>
                </c:pt>
              </c:strCache>
            </c:strRef>
          </c:cat>
          <c:val>
            <c:numRef>
              <c:f>'Type of Prop'!$B$13:$E$13</c:f>
              <c:numCache>
                <c:formatCode>"£"#,##0</c:formatCode>
                <c:ptCount val="4"/>
                <c:pt idx="0">
                  <c:v>343000</c:v>
                </c:pt>
                <c:pt idx="1">
                  <c:v>215000</c:v>
                </c:pt>
                <c:pt idx="2">
                  <c:v>181750</c:v>
                </c:pt>
                <c:pt idx="3">
                  <c:v>210000</c:v>
                </c:pt>
              </c:numCache>
            </c:numRef>
          </c:val>
          <c:extLst>
            <c:ext xmlns:c16="http://schemas.microsoft.com/office/drawing/2014/chart" uri="{C3380CC4-5D6E-409C-BE32-E72D297353CC}">
              <c16:uniqueId val="{00000009-D938-49E3-A130-583BF6910442}"/>
            </c:ext>
          </c:extLst>
        </c:ser>
        <c:dLbls>
          <c:showLegendKey val="0"/>
          <c:showVal val="0"/>
          <c:showCatName val="0"/>
          <c:showSerName val="0"/>
          <c:showPercent val="0"/>
          <c:showBubbleSize val="0"/>
        </c:dLbls>
        <c:gapWidth val="219"/>
        <c:overlap val="-27"/>
        <c:axId val="532688768"/>
        <c:axId val="532689752"/>
      </c:barChart>
      <c:catAx>
        <c:axId val="53268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689752"/>
        <c:crosses val="autoZero"/>
        <c:auto val="1"/>
        <c:lblAlgn val="ctr"/>
        <c:lblOffset val="100"/>
        <c:noMultiLvlLbl val="0"/>
      </c:catAx>
      <c:valAx>
        <c:axId val="5326897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688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'Sales Type'!$C$3</c:f>
              <c:strCache>
                <c:ptCount val="1"/>
                <c:pt idx="0">
                  <c:v>Detached</c:v>
                </c:pt>
              </c:strCache>
            </c:strRef>
          </c:tx>
          <c:spPr>
            <a:solidFill>
              <a:schemeClr val="accent1"/>
            </a:solidFill>
            <a:ln>
              <a:noFill/>
            </a:ln>
            <a:effectLst/>
          </c:spPr>
          <c:invertIfNegative val="0"/>
          <c:cat>
            <c:strRef>
              <c:f>'Sales Type'!$B$4:$B$13</c:f>
              <c:strCache>
                <c:ptCount val="10"/>
                <c:pt idx="0">
                  <c:v>Cambridge</c:v>
                </c:pt>
                <c:pt idx="1">
                  <c:v>East Cambridgeshire</c:v>
                </c:pt>
                <c:pt idx="2">
                  <c:v>Fenland</c:v>
                </c:pt>
                <c:pt idx="3">
                  <c:v>Huntingdonshire</c:v>
                </c:pt>
                <c:pt idx="4">
                  <c:v>South Cambridgeshire</c:v>
                </c:pt>
                <c:pt idx="5">
                  <c:v>West Suffolk</c:v>
                </c:pt>
                <c:pt idx="6">
                  <c:v>Greater Cambridge </c:v>
                </c:pt>
                <c:pt idx="7">
                  <c:v>HMA</c:v>
                </c:pt>
                <c:pt idx="8">
                  <c:v>East of England</c:v>
                </c:pt>
                <c:pt idx="9">
                  <c:v>England</c:v>
                </c:pt>
              </c:strCache>
            </c:strRef>
          </c:cat>
          <c:val>
            <c:numRef>
              <c:f>'Sales Type'!$C$4:$C$13</c:f>
              <c:numCache>
                <c:formatCode>0%</c:formatCode>
                <c:ptCount val="10"/>
                <c:pt idx="0">
                  <c:v>0.13547376664056382</c:v>
                </c:pt>
                <c:pt idx="1">
                  <c:v>0.41220735785953178</c:v>
                </c:pt>
                <c:pt idx="2">
                  <c:v>0.44951140065146578</c:v>
                </c:pt>
                <c:pt idx="3">
                  <c:v>0.37528430629264592</c:v>
                </c:pt>
                <c:pt idx="4">
                  <c:v>0.39810662680617837</c:v>
                </c:pt>
                <c:pt idx="5">
                  <c:v>0.34269662921348315</c:v>
                </c:pt>
                <c:pt idx="6">
                  <c:v>0.36345776031434185</c:v>
                </c:pt>
                <c:pt idx="7">
                  <c:v>0.35962680237489397</c:v>
                </c:pt>
                <c:pt idx="8">
                  <c:v>0.28792146226688459</c:v>
                </c:pt>
                <c:pt idx="9">
                  <c:v>0.22781161261897789</c:v>
                </c:pt>
              </c:numCache>
            </c:numRef>
          </c:val>
          <c:extLst>
            <c:ext xmlns:c16="http://schemas.microsoft.com/office/drawing/2014/chart" uri="{C3380CC4-5D6E-409C-BE32-E72D297353CC}">
              <c16:uniqueId val="{00000000-14D0-4B04-A2BE-72D2CF0A32EC}"/>
            </c:ext>
          </c:extLst>
        </c:ser>
        <c:ser>
          <c:idx val="1"/>
          <c:order val="1"/>
          <c:tx>
            <c:strRef>
              <c:f>'Sales Type'!$D$3</c:f>
              <c:strCache>
                <c:ptCount val="1"/>
                <c:pt idx="0">
                  <c:v>Semi-Detached</c:v>
                </c:pt>
              </c:strCache>
            </c:strRef>
          </c:tx>
          <c:spPr>
            <a:solidFill>
              <a:schemeClr val="accent2"/>
            </a:solidFill>
            <a:ln>
              <a:noFill/>
            </a:ln>
            <a:effectLst/>
          </c:spPr>
          <c:invertIfNegative val="0"/>
          <c:cat>
            <c:strRef>
              <c:f>'Sales Type'!$B$4:$B$13</c:f>
              <c:strCache>
                <c:ptCount val="10"/>
                <c:pt idx="0">
                  <c:v>Cambridge</c:v>
                </c:pt>
                <c:pt idx="1">
                  <c:v>East Cambridgeshire</c:v>
                </c:pt>
                <c:pt idx="2">
                  <c:v>Fenland</c:v>
                </c:pt>
                <c:pt idx="3">
                  <c:v>Huntingdonshire</c:v>
                </c:pt>
                <c:pt idx="4">
                  <c:v>South Cambridgeshire</c:v>
                </c:pt>
                <c:pt idx="5">
                  <c:v>West Suffolk</c:v>
                </c:pt>
                <c:pt idx="6">
                  <c:v>Greater Cambridge </c:v>
                </c:pt>
                <c:pt idx="7">
                  <c:v>HMA</c:v>
                </c:pt>
                <c:pt idx="8">
                  <c:v>East of England</c:v>
                </c:pt>
                <c:pt idx="9">
                  <c:v>England</c:v>
                </c:pt>
              </c:strCache>
            </c:strRef>
          </c:cat>
          <c:val>
            <c:numRef>
              <c:f>'Sales Type'!$D$4:$D$13</c:f>
              <c:numCache>
                <c:formatCode>0%</c:formatCode>
                <c:ptCount val="10"/>
                <c:pt idx="0">
                  <c:v>0.20281910728269381</c:v>
                </c:pt>
                <c:pt idx="1">
                  <c:v>0.24581939799331104</c:v>
                </c:pt>
                <c:pt idx="2">
                  <c:v>0.25993485342019546</c:v>
                </c:pt>
                <c:pt idx="3">
                  <c:v>0.26838514025777105</c:v>
                </c:pt>
                <c:pt idx="4">
                  <c:v>0.27553562531141007</c:v>
                </c:pt>
                <c:pt idx="5">
                  <c:v>0.24310520939734423</c:v>
                </c:pt>
                <c:pt idx="6">
                  <c:v>0.25574945105743674</c:v>
                </c:pt>
                <c:pt idx="7">
                  <c:v>0.25341626613891244</c:v>
                </c:pt>
                <c:pt idx="8">
                  <c:v>0.26424191847189865</c:v>
                </c:pt>
                <c:pt idx="9">
                  <c:v>0.27421803010479995</c:v>
                </c:pt>
              </c:numCache>
            </c:numRef>
          </c:val>
          <c:extLst>
            <c:ext xmlns:c16="http://schemas.microsoft.com/office/drawing/2014/chart" uri="{C3380CC4-5D6E-409C-BE32-E72D297353CC}">
              <c16:uniqueId val="{00000001-14D0-4B04-A2BE-72D2CF0A32EC}"/>
            </c:ext>
          </c:extLst>
        </c:ser>
        <c:ser>
          <c:idx val="2"/>
          <c:order val="2"/>
          <c:tx>
            <c:strRef>
              <c:f>'Sales Type'!$E$3</c:f>
              <c:strCache>
                <c:ptCount val="1"/>
                <c:pt idx="0">
                  <c:v>Terrace</c:v>
                </c:pt>
              </c:strCache>
            </c:strRef>
          </c:tx>
          <c:spPr>
            <a:solidFill>
              <a:schemeClr val="accent3"/>
            </a:solidFill>
            <a:ln>
              <a:noFill/>
            </a:ln>
            <a:effectLst/>
          </c:spPr>
          <c:invertIfNegative val="0"/>
          <c:cat>
            <c:strRef>
              <c:f>'Sales Type'!$B$4:$B$13</c:f>
              <c:strCache>
                <c:ptCount val="10"/>
                <c:pt idx="0">
                  <c:v>Cambridge</c:v>
                </c:pt>
                <c:pt idx="1">
                  <c:v>East Cambridgeshire</c:v>
                </c:pt>
                <c:pt idx="2">
                  <c:v>Fenland</c:v>
                </c:pt>
                <c:pt idx="3">
                  <c:v>Huntingdonshire</c:v>
                </c:pt>
                <c:pt idx="4">
                  <c:v>South Cambridgeshire</c:v>
                </c:pt>
                <c:pt idx="5">
                  <c:v>West Suffolk</c:v>
                </c:pt>
                <c:pt idx="6">
                  <c:v>Greater Cambridge </c:v>
                </c:pt>
                <c:pt idx="7">
                  <c:v>HMA</c:v>
                </c:pt>
                <c:pt idx="8">
                  <c:v>East of England</c:v>
                </c:pt>
                <c:pt idx="9">
                  <c:v>England</c:v>
                </c:pt>
              </c:strCache>
            </c:strRef>
          </c:cat>
          <c:val>
            <c:numRef>
              <c:f>'Sales Type'!$E$4:$E$13</c:f>
              <c:numCache>
                <c:formatCode>0%</c:formatCode>
                <c:ptCount val="10"/>
                <c:pt idx="0">
                  <c:v>0.35552075176194203</c:v>
                </c:pt>
                <c:pt idx="1">
                  <c:v>0.23745819397993312</c:v>
                </c:pt>
                <c:pt idx="2">
                  <c:v>0.22084690553745928</c:v>
                </c:pt>
                <c:pt idx="3">
                  <c:v>0.23275208491281274</c:v>
                </c:pt>
                <c:pt idx="4">
                  <c:v>0.20229197807673144</c:v>
                </c:pt>
                <c:pt idx="5">
                  <c:v>0.28600612870275793</c:v>
                </c:pt>
                <c:pt idx="6">
                  <c:v>0.24234369582803653</c:v>
                </c:pt>
                <c:pt idx="7">
                  <c:v>0.25040052775421734</c:v>
                </c:pt>
                <c:pt idx="8">
                  <c:v>0.25210658692351379</c:v>
                </c:pt>
                <c:pt idx="9">
                  <c:v>0.27539471245160962</c:v>
                </c:pt>
              </c:numCache>
            </c:numRef>
          </c:val>
          <c:extLst>
            <c:ext xmlns:c16="http://schemas.microsoft.com/office/drawing/2014/chart" uri="{C3380CC4-5D6E-409C-BE32-E72D297353CC}">
              <c16:uniqueId val="{00000002-14D0-4B04-A2BE-72D2CF0A32EC}"/>
            </c:ext>
          </c:extLst>
        </c:ser>
        <c:ser>
          <c:idx val="3"/>
          <c:order val="3"/>
          <c:tx>
            <c:strRef>
              <c:f>'Sales Type'!$F$3</c:f>
              <c:strCache>
                <c:ptCount val="1"/>
                <c:pt idx="0">
                  <c:v>Flat</c:v>
                </c:pt>
              </c:strCache>
            </c:strRef>
          </c:tx>
          <c:spPr>
            <a:solidFill>
              <a:schemeClr val="accent4"/>
            </a:solidFill>
            <a:ln>
              <a:noFill/>
            </a:ln>
            <a:effectLst/>
          </c:spPr>
          <c:invertIfNegative val="0"/>
          <c:cat>
            <c:strRef>
              <c:f>'Sales Type'!$B$4:$B$13</c:f>
              <c:strCache>
                <c:ptCount val="10"/>
                <c:pt idx="0">
                  <c:v>Cambridge</c:v>
                </c:pt>
                <c:pt idx="1">
                  <c:v>East Cambridgeshire</c:v>
                </c:pt>
                <c:pt idx="2">
                  <c:v>Fenland</c:v>
                </c:pt>
                <c:pt idx="3">
                  <c:v>Huntingdonshire</c:v>
                </c:pt>
                <c:pt idx="4">
                  <c:v>South Cambridgeshire</c:v>
                </c:pt>
                <c:pt idx="5">
                  <c:v>West Suffolk</c:v>
                </c:pt>
                <c:pt idx="6">
                  <c:v>Greater Cambridge </c:v>
                </c:pt>
                <c:pt idx="7">
                  <c:v>HMA</c:v>
                </c:pt>
                <c:pt idx="8">
                  <c:v>East of England</c:v>
                </c:pt>
                <c:pt idx="9">
                  <c:v>England</c:v>
                </c:pt>
              </c:strCache>
            </c:strRef>
          </c:cat>
          <c:val>
            <c:numRef>
              <c:f>'Sales Type'!$F$4:$F$13</c:f>
              <c:numCache>
                <c:formatCode>0%</c:formatCode>
                <c:ptCount val="10"/>
                <c:pt idx="0">
                  <c:v>0.26389976507439311</c:v>
                </c:pt>
                <c:pt idx="1">
                  <c:v>4.51505016722408E-2</c:v>
                </c:pt>
                <c:pt idx="2">
                  <c:v>2.6058631921824105E-2</c:v>
                </c:pt>
                <c:pt idx="3">
                  <c:v>8.1501137225170578E-2</c:v>
                </c:pt>
                <c:pt idx="4">
                  <c:v>6.1783756851021422E-2</c:v>
                </c:pt>
                <c:pt idx="5">
                  <c:v>7.5587334014300303E-2</c:v>
                </c:pt>
                <c:pt idx="6">
                  <c:v>8.8986478677915176E-2</c:v>
                </c:pt>
                <c:pt idx="7">
                  <c:v>8.6513994910941472E-2</c:v>
                </c:pt>
                <c:pt idx="8">
                  <c:v>0.14808118038411164</c:v>
                </c:pt>
                <c:pt idx="9">
                  <c:v>0.16822259176376086</c:v>
                </c:pt>
              </c:numCache>
            </c:numRef>
          </c:val>
          <c:extLst>
            <c:ext xmlns:c16="http://schemas.microsoft.com/office/drawing/2014/chart" uri="{C3380CC4-5D6E-409C-BE32-E72D297353CC}">
              <c16:uniqueId val="{00000003-14D0-4B04-A2BE-72D2CF0A32EC}"/>
            </c:ext>
          </c:extLst>
        </c:ser>
        <c:ser>
          <c:idx val="4"/>
          <c:order val="4"/>
          <c:tx>
            <c:strRef>
              <c:f>'Sales Type'!$G$3</c:f>
              <c:strCache>
                <c:ptCount val="1"/>
                <c:pt idx="0">
                  <c:v>Other</c:v>
                </c:pt>
              </c:strCache>
            </c:strRef>
          </c:tx>
          <c:spPr>
            <a:solidFill>
              <a:schemeClr val="accent5"/>
            </a:solidFill>
            <a:ln>
              <a:noFill/>
            </a:ln>
            <a:effectLst/>
          </c:spPr>
          <c:invertIfNegative val="0"/>
          <c:cat>
            <c:strRef>
              <c:f>'Sales Type'!$B$4:$B$13</c:f>
              <c:strCache>
                <c:ptCount val="10"/>
                <c:pt idx="0">
                  <c:v>Cambridge</c:v>
                </c:pt>
                <c:pt idx="1">
                  <c:v>East Cambridgeshire</c:v>
                </c:pt>
                <c:pt idx="2">
                  <c:v>Fenland</c:v>
                </c:pt>
                <c:pt idx="3">
                  <c:v>Huntingdonshire</c:v>
                </c:pt>
                <c:pt idx="4">
                  <c:v>South Cambridgeshire</c:v>
                </c:pt>
                <c:pt idx="5">
                  <c:v>West Suffolk</c:v>
                </c:pt>
                <c:pt idx="6">
                  <c:v>Greater Cambridge </c:v>
                </c:pt>
                <c:pt idx="7">
                  <c:v>HMA</c:v>
                </c:pt>
                <c:pt idx="8">
                  <c:v>East of England</c:v>
                </c:pt>
                <c:pt idx="9">
                  <c:v>England</c:v>
                </c:pt>
              </c:strCache>
            </c:strRef>
          </c:cat>
          <c:val>
            <c:numRef>
              <c:f>'Sales Type'!$G$4:$G$13</c:f>
              <c:numCache>
                <c:formatCode>0%</c:formatCode>
                <c:ptCount val="10"/>
                <c:pt idx="0">
                  <c:v>4.2286609240407204E-2</c:v>
                </c:pt>
                <c:pt idx="1">
                  <c:v>5.936454849498328E-2</c:v>
                </c:pt>
                <c:pt idx="2">
                  <c:v>4.3648208469055372E-2</c:v>
                </c:pt>
                <c:pt idx="3">
                  <c:v>4.20773313115997E-2</c:v>
                </c:pt>
                <c:pt idx="4">
                  <c:v>6.2282012954658697E-2</c:v>
                </c:pt>
                <c:pt idx="5">
                  <c:v>5.2604698672114404E-2</c:v>
                </c:pt>
                <c:pt idx="6">
                  <c:v>4.9462614122269731E-2</c:v>
                </c:pt>
                <c:pt idx="7">
                  <c:v>5.0042408821034778E-2</c:v>
                </c:pt>
                <c:pt idx="8">
                  <c:v>4.7648851953591337E-2</c:v>
                </c:pt>
                <c:pt idx="9">
                  <c:v>5.4353053060851669E-2</c:v>
                </c:pt>
              </c:numCache>
            </c:numRef>
          </c:val>
          <c:extLst>
            <c:ext xmlns:c16="http://schemas.microsoft.com/office/drawing/2014/chart" uri="{C3380CC4-5D6E-409C-BE32-E72D297353CC}">
              <c16:uniqueId val="{00000004-14D0-4B04-A2BE-72D2CF0A32EC}"/>
            </c:ext>
          </c:extLst>
        </c:ser>
        <c:dLbls>
          <c:showLegendKey val="0"/>
          <c:showVal val="0"/>
          <c:showCatName val="0"/>
          <c:showSerName val="0"/>
          <c:showPercent val="0"/>
          <c:showBubbleSize val="0"/>
        </c:dLbls>
        <c:gapWidth val="150"/>
        <c:overlap val="100"/>
        <c:axId val="780416608"/>
        <c:axId val="780412256"/>
      </c:barChart>
      <c:catAx>
        <c:axId val="78041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12256"/>
        <c:crosses val="autoZero"/>
        <c:auto val="1"/>
        <c:lblAlgn val="ctr"/>
        <c:lblOffset val="100"/>
        <c:noMultiLvlLbl val="0"/>
      </c:catAx>
      <c:valAx>
        <c:axId val="7804122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16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'Rents Room'!$A$3</c:f>
              <c:strCache>
                <c:ptCount val="1"/>
                <c:pt idx="0">
                  <c:v>Cambridge</c:v>
                </c:pt>
              </c:strCache>
            </c:strRef>
          </c:tx>
          <c:spPr>
            <a:solidFill>
              <a:schemeClr val="accent6"/>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Room'!$B$3:$G$3</c:f>
              <c:numCache>
                <c:formatCode>"£"#,##0</c:formatCode>
                <c:ptCount val="6"/>
                <c:pt idx="0">
                  <c:v>525</c:v>
                </c:pt>
                <c:pt idx="1">
                  <c:v>780</c:v>
                </c:pt>
                <c:pt idx="2">
                  <c:v>950</c:v>
                </c:pt>
                <c:pt idx="3">
                  <c:v>1250</c:v>
                </c:pt>
                <c:pt idx="4">
                  <c:v>1350</c:v>
                </c:pt>
                <c:pt idx="5">
                  <c:v>1900</c:v>
                </c:pt>
              </c:numCache>
            </c:numRef>
          </c:val>
          <c:extLst>
            <c:ext xmlns:c16="http://schemas.microsoft.com/office/drawing/2014/chart" uri="{C3380CC4-5D6E-409C-BE32-E72D297353CC}">
              <c16:uniqueId val="{00000000-2E35-41D1-AB78-9E41644BBFBD}"/>
            </c:ext>
          </c:extLst>
        </c:ser>
        <c:ser>
          <c:idx val="1"/>
          <c:order val="1"/>
          <c:tx>
            <c:strRef>
              <c:f>'Rents Room'!$A$4</c:f>
              <c:strCache>
                <c:ptCount val="1"/>
                <c:pt idx="0">
                  <c:v>East Cambridgeshire</c:v>
                </c:pt>
              </c:strCache>
            </c:strRef>
          </c:tx>
          <c:spPr>
            <a:solidFill>
              <a:schemeClr val="accent5"/>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Room'!$B$4:$G$4</c:f>
              <c:numCache>
                <c:formatCode>"£"#,##0</c:formatCode>
                <c:ptCount val="6"/>
                <c:pt idx="1">
                  <c:v>525</c:v>
                </c:pt>
                <c:pt idx="2">
                  <c:v>600</c:v>
                </c:pt>
                <c:pt idx="3">
                  <c:v>725</c:v>
                </c:pt>
                <c:pt idx="4">
                  <c:v>900</c:v>
                </c:pt>
                <c:pt idx="5">
                  <c:v>1300</c:v>
                </c:pt>
              </c:numCache>
            </c:numRef>
          </c:val>
          <c:extLst>
            <c:ext xmlns:c16="http://schemas.microsoft.com/office/drawing/2014/chart" uri="{C3380CC4-5D6E-409C-BE32-E72D297353CC}">
              <c16:uniqueId val="{00000001-2E35-41D1-AB78-9E41644BBFBD}"/>
            </c:ext>
          </c:extLst>
        </c:ser>
        <c:ser>
          <c:idx val="2"/>
          <c:order val="2"/>
          <c:tx>
            <c:strRef>
              <c:f>'Rents Room'!$A$5</c:f>
              <c:strCache>
                <c:ptCount val="1"/>
                <c:pt idx="0">
                  <c:v>Fenland</c:v>
                </c:pt>
              </c:strCache>
            </c:strRef>
          </c:tx>
          <c:spPr>
            <a:solidFill>
              <a:schemeClr val="accent4"/>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Room'!$B$5:$G$5</c:f>
              <c:numCache>
                <c:formatCode>"£"#,##0</c:formatCode>
                <c:ptCount val="6"/>
                <c:pt idx="0">
                  <c:v>347</c:v>
                </c:pt>
                <c:pt idx="1">
                  <c:v>390</c:v>
                </c:pt>
                <c:pt idx="2">
                  <c:v>475</c:v>
                </c:pt>
                <c:pt idx="3">
                  <c:v>595</c:v>
                </c:pt>
                <c:pt idx="4">
                  <c:v>700</c:v>
                </c:pt>
                <c:pt idx="5">
                  <c:v>895</c:v>
                </c:pt>
              </c:numCache>
            </c:numRef>
          </c:val>
          <c:extLst>
            <c:ext xmlns:c16="http://schemas.microsoft.com/office/drawing/2014/chart" uri="{C3380CC4-5D6E-409C-BE32-E72D297353CC}">
              <c16:uniqueId val="{00000002-2E35-41D1-AB78-9E41644BBFBD}"/>
            </c:ext>
          </c:extLst>
        </c:ser>
        <c:ser>
          <c:idx val="3"/>
          <c:order val="3"/>
          <c:tx>
            <c:strRef>
              <c:f>'Rents Room'!$A$6</c:f>
              <c:strCache>
                <c:ptCount val="1"/>
                <c:pt idx="0">
                  <c:v>Huntingdonshire</c:v>
                </c:pt>
              </c:strCache>
            </c:strRef>
          </c:tx>
          <c:spPr>
            <a:solidFill>
              <a:schemeClr val="accent6">
                <a:lumMod val="60000"/>
              </a:schemeClr>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Room'!$B$6:$G$6</c:f>
              <c:numCache>
                <c:formatCode>"£"#,##0</c:formatCode>
                <c:ptCount val="6"/>
                <c:pt idx="0">
                  <c:v>400</c:v>
                </c:pt>
                <c:pt idx="1">
                  <c:v>473</c:v>
                </c:pt>
                <c:pt idx="2">
                  <c:v>575</c:v>
                </c:pt>
                <c:pt idx="3">
                  <c:v>725</c:v>
                </c:pt>
                <c:pt idx="4">
                  <c:v>850</c:v>
                </c:pt>
                <c:pt idx="5">
                  <c:v>1200</c:v>
                </c:pt>
              </c:numCache>
            </c:numRef>
          </c:val>
          <c:extLst>
            <c:ext xmlns:c16="http://schemas.microsoft.com/office/drawing/2014/chart" uri="{C3380CC4-5D6E-409C-BE32-E72D297353CC}">
              <c16:uniqueId val="{00000003-2E35-41D1-AB78-9E41644BBFBD}"/>
            </c:ext>
          </c:extLst>
        </c:ser>
        <c:ser>
          <c:idx val="4"/>
          <c:order val="4"/>
          <c:tx>
            <c:strRef>
              <c:f>'Rents Room'!$A$7</c:f>
              <c:strCache>
                <c:ptCount val="1"/>
                <c:pt idx="0">
                  <c:v>South Cambridgeshire</c:v>
                </c:pt>
              </c:strCache>
            </c:strRef>
          </c:tx>
          <c:spPr>
            <a:solidFill>
              <a:schemeClr val="accent5">
                <a:lumMod val="60000"/>
              </a:schemeClr>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Room'!$B$7:$G$7</c:f>
              <c:numCache>
                <c:formatCode>"£"#,##0</c:formatCode>
                <c:ptCount val="6"/>
                <c:pt idx="0">
                  <c:v>520</c:v>
                </c:pt>
                <c:pt idx="1">
                  <c:v>625</c:v>
                </c:pt>
                <c:pt idx="2">
                  <c:v>750</c:v>
                </c:pt>
                <c:pt idx="3">
                  <c:v>895</c:v>
                </c:pt>
                <c:pt idx="4">
                  <c:v>1050</c:v>
                </c:pt>
                <c:pt idx="5">
                  <c:v>1375</c:v>
                </c:pt>
              </c:numCache>
            </c:numRef>
          </c:val>
          <c:extLst>
            <c:ext xmlns:c16="http://schemas.microsoft.com/office/drawing/2014/chart" uri="{C3380CC4-5D6E-409C-BE32-E72D297353CC}">
              <c16:uniqueId val="{00000004-2E35-41D1-AB78-9E41644BBFBD}"/>
            </c:ext>
          </c:extLst>
        </c:ser>
        <c:ser>
          <c:idx val="7"/>
          <c:order val="7"/>
          <c:tx>
            <c:strRef>
              <c:f>'Rents Room'!$A$10</c:f>
              <c:strCache>
                <c:ptCount val="1"/>
                <c:pt idx="0">
                  <c:v>West Suffolk </c:v>
                </c:pt>
              </c:strCache>
            </c:strRef>
          </c:tx>
          <c:spPr>
            <a:solidFill>
              <a:schemeClr val="accent5">
                <a:lumMod val="80000"/>
                <a:lumOff val="20000"/>
              </a:schemeClr>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Room'!$B$10:$G$10</c:f>
              <c:numCache>
                <c:formatCode>"£"#,##0</c:formatCode>
                <c:ptCount val="6"/>
                <c:pt idx="0">
                  <c:v>490</c:v>
                </c:pt>
                <c:pt idx="1">
                  <c:v>500</c:v>
                </c:pt>
                <c:pt idx="2">
                  <c:v>600</c:v>
                </c:pt>
                <c:pt idx="3">
                  <c:v>727.5</c:v>
                </c:pt>
                <c:pt idx="4">
                  <c:v>949</c:v>
                </c:pt>
                <c:pt idx="5">
                  <c:v>1400</c:v>
                </c:pt>
              </c:numCache>
            </c:numRef>
          </c:val>
          <c:extLst>
            <c:ext xmlns:c16="http://schemas.microsoft.com/office/drawing/2014/chart" uri="{C3380CC4-5D6E-409C-BE32-E72D297353CC}">
              <c16:uniqueId val="{00000005-2E35-41D1-AB78-9E41644BBFBD}"/>
            </c:ext>
          </c:extLst>
        </c:ser>
        <c:ser>
          <c:idx val="8"/>
          <c:order val="8"/>
          <c:tx>
            <c:strRef>
              <c:f>'Rents Room'!$A$11</c:f>
              <c:strCache>
                <c:ptCount val="1"/>
                <c:pt idx="0">
                  <c:v>HMA Average</c:v>
                </c:pt>
              </c:strCache>
            </c:strRef>
          </c:tx>
          <c:spPr>
            <a:solidFill>
              <a:schemeClr val="accent4">
                <a:lumMod val="80000"/>
                <a:lumOff val="20000"/>
              </a:schemeClr>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Room'!$B$11:$G$11</c:f>
              <c:numCache>
                <c:formatCode>"£"#,##0</c:formatCode>
                <c:ptCount val="6"/>
                <c:pt idx="0">
                  <c:v>456.4</c:v>
                </c:pt>
                <c:pt idx="1">
                  <c:v>541.85714285714289</c:v>
                </c:pt>
                <c:pt idx="2">
                  <c:v>650</c:v>
                </c:pt>
                <c:pt idx="3">
                  <c:v>806.42857142857144</c:v>
                </c:pt>
                <c:pt idx="4">
                  <c:v>964</c:v>
                </c:pt>
                <c:pt idx="5">
                  <c:v>1352.8571428571429</c:v>
                </c:pt>
              </c:numCache>
            </c:numRef>
          </c:val>
          <c:extLst>
            <c:ext xmlns:c16="http://schemas.microsoft.com/office/drawing/2014/chart" uri="{C3380CC4-5D6E-409C-BE32-E72D297353CC}">
              <c16:uniqueId val="{00000006-2E35-41D1-AB78-9E41644BBFBD}"/>
            </c:ext>
          </c:extLst>
        </c:ser>
        <c:ser>
          <c:idx val="10"/>
          <c:order val="10"/>
          <c:tx>
            <c:strRef>
              <c:f>'Rents Room'!$A$13</c:f>
              <c:strCache>
                <c:ptCount val="1"/>
                <c:pt idx="0">
                  <c:v>East Of England </c:v>
                </c:pt>
              </c:strCache>
            </c:strRef>
          </c:tx>
          <c:spPr>
            <a:solidFill>
              <a:schemeClr val="accent5">
                <a:lumMod val="80000"/>
              </a:schemeClr>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Room'!$B$13:$G$13</c:f>
              <c:numCache>
                <c:formatCode>"£"#,##0</c:formatCode>
                <c:ptCount val="6"/>
                <c:pt idx="0">
                  <c:v>440</c:v>
                </c:pt>
                <c:pt idx="1">
                  <c:v>550</c:v>
                </c:pt>
                <c:pt idx="2">
                  <c:v>650</c:v>
                </c:pt>
                <c:pt idx="3">
                  <c:v>775</c:v>
                </c:pt>
                <c:pt idx="4">
                  <c:v>900</c:v>
                </c:pt>
                <c:pt idx="5">
                  <c:v>1350</c:v>
                </c:pt>
              </c:numCache>
            </c:numRef>
          </c:val>
          <c:extLst>
            <c:ext xmlns:c16="http://schemas.microsoft.com/office/drawing/2014/chart" uri="{C3380CC4-5D6E-409C-BE32-E72D297353CC}">
              <c16:uniqueId val="{00000007-2E35-41D1-AB78-9E41644BBFBD}"/>
            </c:ext>
          </c:extLst>
        </c:ser>
        <c:ser>
          <c:idx val="11"/>
          <c:order val="11"/>
          <c:tx>
            <c:strRef>
              <c:f>'Rents Room'!$A$14</c:f>
              <c:strCache>
                <c:ptCount val="1"/>
                <c:pt idx="0">
                  <c:v>England</c:v>
                </c:pt>
              </c:strCache>
            </c:strRef>
          </c:tx>
          <c:spPr>
            <a:solidFill>
              <a:schemeClr val="accent4">
                <a:lumMod val="80000"/>
              </a:schemeClr>
            </a:solidFill>
            <a:ln>
              <a:noFill/>
            </a:ln>
            <a:effectLst/>
          </c:spPr>
          <c:invertIfNegative val="0"/>
          <c:cat>
            <c:strRef>
              <c:f>'Rents Room'!$B$2:$G$2</c:f>
              <c:strCache>
                <c:ptCount val="6"/>
                <c:pt idx="0">
                  <c:v>Room </c:v>
                </c:pt>
                <c:pt idx="1">
                  <c:v>Studio </c:v>
                </c:pt>
                <c:pt idx="2">
                  <c:v>1-bed</c:v>
                </c:pt>
                <c:pt idx="3">
                  <c:v>2-bed</c:v>
                </c:pt>
                <c:pt idx="4">
                  <c:v>3-bed</c:v>
                </c:pt>
                <c:pt idx="5">
                  <c:v>4-bed</c:v>
                </c:pt>
              </c:strCache>
            </c:strRef>
          </c:cat>
          <c:val>
            <c:numRef>
              <c:f>'Rents Room'!$B$14:$G$14</c:f>
              <c:numCache>
                <c:formatCode>"£"#,##0</c:formatCode>
                <c:ptCount val="6"/>
                <c:pt idx="0">
                  <c:v>390</c:v>
                </c:pt>
                <c:pt idx="1">
                  <c:v>575</c:v>
                </c:pt>
                <c:pt idx="2">
                  <c:v>615</c:v>
                </c:pt>
                <c:pt idx="3">
                  <c:v>675</c:v>
                </c:pt>
                <c:pt idx="4">
                  <c:v>760</c:v>
                </c:pt>
                <c:pt idx="5">
                  <c:v>1320</c:v>
                </c:pt>
              </c:numCache>
            </c:numRef>
          </c:val>
          <c:extLst>
            <c:ext xmlns:c16="http://schemas.microsoft.com/office/drawing/2014/chart" uri="{C3380CC4-5D6E-409C-BE32-E72D297353CC}">
              <c16:uniqueId val="{00000008-2E35-41D1-AB78-9E41644BBFBD}"/>
            </c:ext>
          </c:extLst>
        </c:ser>
        <c:dLbls>
          <c:showLegendKey val="0"/>
          <c:showVal val="0"/>
          <c:showCatName val="0"/>
          <c:showSerName val="0"/>
          <c:showPercent val="0"/>
          <c:showBubbleSize val="0"/>
        </c:dLbls>
        <c:gapWidth val="219"/>
        <c:overlap val="-27"/>
        <c:axId val="553471744"/>
        <c:axId val="553475352"/>
        <c:extLst>
          <c:ext xmlns:c15="http://schemas.microsoft.com/office/drawing/2012/chart" uri="{02D57815-91ED-43cb-92C2-25804820EDAC}">
            <c15:filteredBarSeries>
              <c15:ser>
                <c:idx val="5"/>
                <c:order val="5"/>
                <c:tx>
                  <c:strRef>
                    <c:extLst>
                      <c:ext uri="{02D57815-91ED-43cb-92C2-25804820EDAC}">
                        <c15:formulaRef>
                          <c15:sqref>'Rents Room'!$A$8</c15:sqref>
                        </c15:formulaRef>
                      </c:ext>
                    </c:extLst>
                    <c:strCache>
                      <c:ptCount val="1"/>
                      <c:pt idx="0">
                        <c:v>Forest Heath</c:v>
                      </c:pt>
                    </c:strCache>
                  </c:strRef>
                </c:tx>
                <c:spPr>
                  <a:solidFill>
                    <a:schemeClr val="accent4">
                      <a:lumMod val="60000"/>
                    </a:schemeClr>
                  </a:solidFill>
                  <a:ln>
                    <a:noFill/>
                  </a:ln>
                  <a:effectLst/>
                </c:spPr>
                <c:invertIfNegative val="0"/>
                <c:cat>
                  <c:strRef>
                    <c:extLst>
                      <c:ext uri="{02D57815-91ED-43cb-92C2-25804820EDAC}">
                        <c15:formulaRef>
                          <c15:sqref>'Rents Room'!$B$2:$G$2</c15:sqref>
                        </c15:formulaRef>
                      </c:ext>
                    </c:extLst>
                    <c:strCache>
                      <c:ptCount val="6"/>
                      <c:pt idx="0">
                        <c:v>Room </c:v>
                      </c:pt>
                      <c:pt idx="1">
                        <c:v>Studio </c:v>
                      </c:pt>
                      <c:pt idx="2">
                        <c:v>1-bed</c:v>
                      </c:pt>
                      <c:pt idx="3">
                        <c:v>2-bed</c:v>
                      </c:pt>
                      <c:pt idx="4">
                        <c:v>3-bed</c:v>
                      </c:pt>
                      <c:pt idx="5">
                        <c:v>4-bed</c:v>
                      </c:pt>
                    </c:strCache>
                  </c:strRef>
                </c:cat>
                <c:val>
                  <c:numRef>
                    <c:extLst>
                      <c:ext uri="{02D57815-91ED-43cb-92C2-25804820EDAC}">
                        <c15:formulaRef>
                          <c15:sqref>'Rents Room'!$B$8:$G$8</c15:sqref>
                        </c15:formulaRef>
                      </c:ext>
                    </c:extLst>
                    <c:numCache>
                      <c:formatCode>"£"#,##0</c:formatCode>
                      <c:ptCount val="6"/>
                      <c:pt idx="1">
                        <c:v>525</c:v>
                      </c:pt>
                      <c:pt idx="2">
                        <c:v>575</c:v>
                      </c:pt>
                      <c:pt idx="3">
                        <c:v>725</c:v>
                      </c:pt>
                      <c:pt idx="4">
                        <c:v>990</c:v>
                      </c:pt>
                      <c:pt idx="5">
                        <c:v>1400</c:v>
                      </c:pt>
                    </c:numCache>
                  </c:numRef>
                </c:val>
                <c:extLst>
                  <c:ext xmlns:c16="http://schemas.microsoft.com/office/drawing/2014/chart" uri="{C3380CC4-5D6E-409C-BE32-E72D297353CC}">
                    <c16:uniqueId val="{00000009-2E35-41D1-AB78-9E41644BBFB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'Rents Room'!$A$9</c15:sqref>
                        </c15:formulaRef>
                      </c:ext>
                    </c:extLst>
                    <c:strCache>
                      <c:ptCount val="1"/>
                      <c:pt idx="0">
                        <c:v>St Edmundsbury</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'Rents Room'!$B$2:$G$2</c15:sqref>
                        </c15:formulaRef>
                      </c:ext>
                    </c:extLst>
                    <c:strCache>
                      <c:ptCount val="6"/>
                      <c:pt idx="0">
                        <c:v>Room </c:v>
                      </c:pt>
                      <c:pt idx="1">
                        <c:v>Studio </c:v>
                      </c:pt>
                      <c:pt idx="2">
                        <c:v>1-bed</c:v>
                      </c:pt>
                      <c:pt idx="3">
                        <c:v>2-bed</c:v>
                      </c:pt>
                      <c:pt idx="4">
                        <c:v>3-bed</c:v>
                      </c:pt>
                      <c:pt idx="5">
                        <c:v>4-bed</c:v>
                      </c:pt>
                    </c:strCache>
                  </c:strRef>
                </c:cat>
                <c:val>
                  <c:numRef>
                    <c:extLst xmlns:c15="http://schemas.microsoft.com/office/drawing/2012/chart">
                      <c:ext xmlns:c15="http://schemas.microsoft.com/office/drawing/2012/chart" uri="{02D57815-91ED-43cb-92C2-25804820EDAC}">
                        <c15:formulaRef>
                          <c15:sqref>'Rents Room'!$B$9:$G$9</c15:sqref>
                        </c15:formulaRef>
                      </c:ext>
                    </c:extLst>
                    <c:numCache>
                      <c:formatCode>"£"#,##0</c:formatCode>
                      <c:ptCount val="6"/>
                      <c:pt idx="0">
                        <c:v>490</c:v>
                      </c:pt>
                      <c:pt idx="1">
                        <c:v>475</c:v>
                      </c:pt>
                      <c:pt idx="2">
                        <c:v>625</c:v>
                      </c:pt>
                      <c:pt idx="3">
                        <c:v>730</c:v>
                      </c:pt>
                      <c:pt idx="4">
                        <c:v>908</c:v>
                      </c:pt>
                      <c:pt idx="5">
                        <c:v>1400</c:v>
                      </c:pt>
                    </c:numCache>
                  </c:numRef>
                </c:val>
                <c:extLst xmlns:c15="http://schemas.microsoft.com/office/drawing/2012/chart">
                  <c:ext xmlns:c16="http://schemas.microsoft.com/office/drawing/2014/chart" uri="{C3380CC4-5D6E-409C-BE32-E72D297353CC}">
                    <c16:uniqueId val="{0000000A-2E35-41D1-AB78-9E41644BBFBD}"/>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'Rents Room'!$A$12</c15:sqref>
                        </c15:formulaRef>
                      </c:ext>
                    </c:extLst>
                    <c:strCache>
                      <c:ptCount val="1"/>
                      <c:pt idx="0">
                        <c:v>Greater Cambridge</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'Rents Room'!$B$2:$G$2</c15:sqref>
                        </c15:formulaRef>
                      </c:ext>
                    </c:extLst>
                    <c:strCache>
                      <c:ptCount val="6"/>
                      <c:pt idx="0">
                        <c:v>Room </c:v>
                      </c:pt>
                      <c:pt idx="1">
                        <c:v>Studio </c:v>
                      </c:pt>
                      <c:pt idx="2">
                        <c:v>1-bed</c:v>
                      </c:pt>
                      <c:pt idx="3">
                        <c:v>2-bed</c:v>
                      </c:pt>
                      <c:pt idx="4">
                        <c:v>3-bed</c:v>
                      </c:pt>
                      <c:pt idx="5">
                        <c:v>4-bed</c:v>
                      </c:pt>
                    </c:strCache>
                  </c:strRef>
                </c:cat>
                <c:val>
                  <c:numRef>
                    <c:extLst xmlns:c15="http://schemas.microsoft.com/office/drawing/2012/chart">
                      <c:ext xmlns:c15="http://schemas.microsoft.com/office/drawing/2012/chart" uri="{02D57815-91ED-43cb-92C2-25804820EDAC}">
                        <c15:formulaRef>
                          <c15:sqref>'Rents Room'!$B$12:$G$12</c15:sqref>
                        </c15:formulaRef>
                      </c:ext>
                    </c:extLst>
                    <c:numCache>
                      <c:formatCode>"£"#,##0</c:formatCode>
                      <c:ptCount val="6"/>
                      <c:pt idx="0">
                        <c:v>522.5</c:v>
                      </c:pt>
                      <c:pt idx="1">
                        <c:v>702.5</c:v>
                      </c:pt>
                      <c:pt idx="2">
                        <c:v>850</c:v>
                      </c:pt>
                      <c:pt idx="3">
                        <c:v>1072.5</c:v>
                      </c:pt>
                      <c:pt idx="4">
                        <c:v>1200</c:v>
                      </c:pt>
                      <c:pt idx="5">
                        <c:v>1637.5</c:v>
                      </c:pt>
                    </c:numCache>
                  </c:numRef>
                </c:val>
                <c:extLst xmlns:c15="http://schemas.microsoft.com/office/drawing/2012/chart">
                  <c:ext xmlns:c16="http://schemas.microsoft.com/office/drawing/2014/chart" uri="{C3380CC4-5D6E-409C-BE32-E72D297353CC}">
                    <c16:uniqueId val="{0000000B-2E35-41D1-AB78-9E41644BBFBD}"/>
                  </c:ext>
                </c:extLst>
              </c15:ser>
            </c15:filteredBarSeries>
          </c:ext>
        </c:extLst>
      </c:barChart>
      <c:catAx>
        <c:axId val="55347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475352"/>
        <c:crosses val="autoZero"/>
        <c:auto val="1"/>
        <c:lblAlgn val="ctr"/>
        <c:lblOffset val="100"/>
        <c:noMultiLvlLbl val="0"/>
      </c:catAx>
      <c:valAx>
        <c:axId val="5534753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47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'MED WORK '!$B$10</c:f>
              <c:strCache>
                <c:ptCount val="1"/>
                <c:pt idx="0">
                  <c:v>HMA Average</c:v>
                </c:pt>
              </c:strCache>
            </c:strRef>
          </c:tx>
          <c:spPr>
            <a:ln w="28575" cap="rnd">
              <a:solidFill>
                <a:schemeClr val="accent1"/>
              </a:solidFill>
              <a:round/>
            </a:ln>
            <a:effectLst/>
          </c:spPr>
          <c:marker>
            <c:symbol val="none"/>
          </c:marker>
          <c:cat>
            <c:numRef>
              <c:f>'MED WORK '!$C$3:$Y$3</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'!$C$10:$Y$10</c:f>
              <c:numCache>
                <c:formatCode>0.00</c:formatCode>
                <c:ptCount val="23"/>
                <c:pt idx="0">
                  <c:v>3.9075000000000006</c:v>
                </c:pt>
                <c:pt idx="1">
                  <c:v>4.3340000000000005</c:v>
                </c:pt>
                <c:pt idx="2">
                  <c:v>4.76</c:v>
                </c:pt>
                <c:pt idx="3">
                  <c:v>4.8180000000000005</c:v>
                </c:pt>
                <c:pt idx="4">
                  <c:v>5.3759999999999994</c:v>
                </c:pt>
                <c:pt idx="5">
                  <c:v>6.2120000000000006</c:v>
                </c:pt>
                <c:pt idx="6">
                  <c:v>6.7649999999999997</c:v>
                </c:pt>
                <c:pt idx="7">
                  <c:v>7.1083333333333334</c:v>
                </c:pt>
                <c:pt idx="8">
                  <c:v>7.6583333333333323</c:v>
                </c:pt>
                <c:pt idx="9">
                  <c:v>7.6416666666666684</c:v>
                </c:pt>
                <c:pt idx="10">
                  <c:v>8.0733333333333324</c:v>
                </c:pt>
                <c:pt idx="11">
                  <c:v>7.8083333333333327</c:v>
                </c:pt>
                <c:pt idx="12">
                  <c:v>6.8033333333333337</c:v>
                </c:pt>
                <c:pt idx="13">
                  <c:v>7.3583333333333334</c:v>
                </c:pt>
                <c:pt idx="14">
                  <c:v>7.2866666666666662</c:v>
                </c:pt>
                <c:pt idx="15">
                  <c:v>7.4216666666666669</c:v>
                </c:pt>
                <c:pt idx="16">
                  <c:v>7.4783333333333344</c:v>
                </c:pt>
                <c:pt idx="17">
                  <c:v>8.0716666666666654</c:v>
                </c:pt>
                <c:pt idx="18">
                  <c:v>8.9383333333333344</c:v>
                </c:pt>
                <c:pt idx="19">
                  <c:v>9.3716666666666679</c:v>
                </c:pt>
                <c:pt idx="20">
                  <c:v>9.9250000000000007</c:v>
                </c:pt>
                <c:pt idx="21">
                  <c:v>10.183333333333334</c:v>
                </c:pt>
                <c:pt idx="22">
                  <c:v>9.8766666666666669</c:v>
                </c:pt>
              </c:numCache>
            </c:numRef>
          </c:val>
          <c:smooth val="0"/>
          <c:extLst xmlns:c15="http://schemas.microsoft.com/office/drawing/2012/chart">
            <c:ext xmlns:c16="http://schemas.microsoft.com/office/drawing/2014/chart" uri="{C3380CC4-5D6E-409C-BE32-E72D297353CC}">
              <c16:uniqueId val="{00000000-6258-466A-B270-1728F49BD1B7}"/>
            </c:ext>
          </c:extLst>
        </c:ser>
        <c:ser>
          <c:idx val="1"/>
          <c:order val="1"/>
          <c:tx>
            <c:strRef>
              <c:f>'MED WORK '!$B$11</c:f>
              <c:strCache>
                <c:ptCount val="1"/>
                <c:pt idx="0">
                  <c:v>Greater Cambridge </c:v>
                </c:pt>
              </c:strCache>
            </c:strRef>
          </c:tx>
          <c:spPr>
            <a:ln w="28575" cap="rnd">
              <a:solidFill>
                <a:schemeClr val="accent2"/>
              </a:solidFill>
              <a:round/>
            </a:ln>
            <a:effectLst/>
          </c:spPr>
          <c:marker>
            <c:symbol val="none"/>
          </c:marker>
          <c:cat>
            <c:numRef>
              <c:f>'MED WORK '!$C$3:$Y$3</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'!$C$11:$Y$11</c:f>
              <c:numCache>
                <c:formatCode>0.00</c:formatCode>
                <c:ptCount val="23"/>
                <c:pt idx="0">
                  <c:v>4.4850000000000003</c:v>
                </c:pt>
                <c:pt idx="1">
                  <c:v>5.0549999999999997</c:v>
                </c:pt>
                <c:pt idx="2">
                  <c:v>5.54</c:v>
                </c:pt>
                <c:pt idx="3">
                  <c:v>5.8350000000000009</c:v>
                </c:pt>
                <c:pt idx="4">
                  <c:v>6.3450000000000006</c:v>
                </c:pt>
                <c:pt idx="5">
                  <c:v>6.98</c:v>
                </c:pt>
                <c:pt idx="6">
                  <c:v>7.6099999999999994</c:v>
                </c:pt>
                <c:pt idx="7">
                  <c:v>7.6050000000000004</c:v>
                </c:pt>
                <c:pt idx="8">
                  <c:v>8.1050000000000004</c:v>
                </c:pt>
                <c:pt idx="9">
                  <c:v>8.1950000000000003</c:v>
                </c:pt>
                <c:pt idx="10">
                  <c:v>8.92</c:v>
                </c:pt>
                <c:pt idx="11">
                  <c:v>8.4049999999999994</c:v>
                </c:pt>
                <c:pt idx="12">
                  <c:v>7.41</c:v>
                </c:pt>
                <c:pt idx="13">
                  <c:v>7.9649999999999999</c:v>
                </c:pt>
                <c:pt idx="14">
                  <c:v>8.3350000000000009</c:v>
                </c:pt>
                <c:pt idx="15">
                  <c:v>8.43</c:v>
                </c:pt>
                <c:pt idx="16">
                  <c:v>8.6750000000000007</c:v>
                </c:pt>
                <c:pt idx="17">
                  <c:v>9.5950000000000006</c:v>
                </c:pt>
                <c:pt idx="18">
                  <c:v>10.855</c:v>
                </c:pt>
                <c:pt idx="19">
                  <c:v>11.629999999999999</c:v>
                </c:pt>
                <c:pt idx="20">
                  <c:v>12.254999999999999</c:v>
                </c:pt>
                <c:pt idx="21">
                  <c:v>11.645</c:v>
                </c:pt>
                <c:pt idx="22">
                  <c:v>11.27</c:v>
                </c:pt>
              </c:numCache>
            </c:numRef>
          </c:val>
          <c:smooth val="0"/>
          <c:extLst xmlns:c15="http://schemas.microsoft.com/office/drawing/2012/chart">
            <c:ext xmlns:c16="http://schemas.microsoft.com/office/drawing/2014/chart" uri="{C3380CC4-5D6E-409C-BE32-E72D297353CC}">
              <c16:uniqueId val="{00000001-6258-466A-B270-1728F49BD1B7}"/>
            </c:ext>
          </c:extLst>
        </c:ser>
        <c:ser>
          <c:idx val="2"/>
          <c:order val="2"/>
          <c:tx>
            <c:strRef>
              <c:f>'MED WORK '!$B$12</c:f>
              <c:strCache>
                <c:ptCount val="1"/>
                <c:pt idx="0">
                  <c:v>East of England</c:v>
                </c:pt>
              </c:strCache>
            </c:strRef>
          </c:tx>
          <c:spPr>
            <a:ln w="28575" cap="rnd">
              <a:solidFill>
                <a:schemeClr val="accent3"/>
              </a:solidFill>
              <a:round/>
            </a:ln>
            <a:effectLst/>
          </c:spPr>
          <c:marker>
            <c:symbol val="none"/>
          </c:marker>
          <c:cat>
            <c:numRef>
              <c:f>'MED WORK '!$C$3:$Y$3</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'!$C$12:$Y$12</c:f>
              <c:numCache>
                <c:formatCode>#,##0.00</c:formatCode>
                <c:ptCount val="23"/>
                <c:pt idx="0">
                  <c:v>3.68</c:v>
                </c:pt>
                <c:pt idx="1">
                  <c:v>3.85</c:v>
                </c:pt>
                <c:pt idx="2" formatCode="0.00">
                  <c:v>4.1100000000000003</c:v>
                </c:pt>
                <c:pt idx="3" formatCode="0.00">
                  <c:v>4.42</c:v>
                </c:pt>
                <c:pt idx="4" formatCode="0.00">
                  <c:v>4.78</c:v>
                </c:pt>
                <c:pt idx="5" formatCode="0.00">
                  <c:v>5.78</c:v>
                </c:pt>
                <c:pt idx="6" formatCode="0.00">
                  <c:v>6.51</c:v>
                </c:pt>
                <c:pt idx="7" formatCode="0.00">
                  <c:v>7.19</c:v>
                </c:pt>
                <c:pt idx="8" formatCode="0.00">
                  <c:v>7.39</c:v>
                </c:pt>
                <c:pt idx="9" formatCode="0.00">
                  <c:v>7.44</c:v>
                </c:pt>
                <c:pt idx="10" formatCode="0.00">
                  <c:v>7.77</c:v>
                </c:pt>
                <c:pt idx="11" formatCode="0.00">
                  <c:v>7.62</c:v>
                </c:pt>
                <c:pt idx="12" formatCode="0.00">
                  <c:v>6.86</c:v>
                </c:pt>
                <c:pt idx="13" formatCode="0.00">
                  <c:v>7.45</c:v>
                </c:pt>
                <c:pt idx="14" formatCode="0.00">
                  <c:v>7.32</c:v>
                </c:pt>
                <c:pt idx="15" formatCode="0.00">
                  <c:v>7.27</c:v>
                </c:pt>
                <c:pt idx="16" formatCode="0.00">
                  <c:v>7.43</c:v>
                </c:pt>
                <c:pt idx="17" formatCode="0.00">
                  <c:v>7.83</c:v>
                </c:pt>
                <c:pt idx="18" formatCode="0.00">
                  <c:v>8.42</c:v>
                </c:pt>
                <c:pt idx="19" formatCode="0.00">
                  <c:v>8.9600000000000009</c:v>
                </c:pt>
                <c:pt idx="20" formatCode="0.00">
                  <c:v>9.66</c:v>
                </c:pt>
                <c:pt idx="21" formatCode="0.00">
                  <c:v>9.7799999999999994</c:v>
                </c:pt>
                <c:pt idx="22" formatCode="0.00">
                  <c:v>9.4700000000000006</c:v>
                </c:pt>
              </c:numCache>
            </c:numRef>
          </c:val>
          <c:smooth val="0"/>
          <c:extLst xmlns:c15="http://schemas.microsoft.com/office/drawing/2012/chart">
            <c:ext xmlns:c16="http://schemas.microsoft.com/office/drawing/2014/chart" uri="{C3380CC4-5D6E-409C-BE32-E72D297353CC}">
              <c16:uniqueId val="{00000002-6258-466A-B270-1728F49BD1B7}"/>
            </c:ext>
          </c:extLst>
        </c:ser>
        <c:ser>
          <c:idx val="3"/>
          <c:order val="3"/>
          <c:tx>
            <c:strRef>
              <c:f>'MED WORK '!$B$13</c:f>
              <c:strCache>
                <c:ptCount val="1"/>
                <c:pt idx="0">
                  <c:v>England </c:v>
                </c:pt>
              </c:strCache>
            </c:strRef>
          </c:tx>
          <c:spPr>
            <a:ln w="28575" cap="rnd">
              <a:solidFill>
                <a:schemeClr val="accent4"/>
              </a:solidFill>
              <a:round/>
            </a:ln>
            <a:effectLst/>
          </c:spPr>
          <c:marker>
            <c:symbol val="none"/>
          </c:marker>
          <c:cat>
            <c:numRef>
              <c:f>'MED WORK '!$C$3:$Y$3</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'!$C$13:$Y$13</c:f>
              <c:numCache>
                <c:formatCode>#,##0.00</c:formatCode>
                <c:ptCount val="23"/>
                <c:pt idx="0">
                  <c:v>3.54</c:v>
                </c:pt>
                <c:pt idx="1">
                  <c:v>3.67</c:v>
                </c:pt>
                <c:pt idx="2" formatCode="0.00">
                  <c:v>3.96</c:v>
                </c:pt>
                <c:pt idx="3" formatCode="0.00">
                  <c:v>4.1900000000000004</c:v>
                </c:pt>
                <c:pt idx="4" formatCode="0.00">
                  <c:v>4.5</c:v>
                </c:pt>
                <c:pt idx="5" formatCode="0.00">
                  <c:v>5.12</c:v>
                </c:pt>
                <c:pt idx="6" formatCode="0.00">
                  <c:v>5.92</c:v>
                </c:pt>
                <c:pt idx="7" formatCode="0.00">
                  <c:v>6.6</c:v>
                </c:pt>
                <c:pt idx="8" formatCode="0.00">
                  <c:v>6.79</c:v>
                </c:pt>
                <c:pt idx="9" formatCode="0.00">
                  <c:v>6.95</c:v>
                </c:pt>
                <c:pt idx="10" formatCode="0.00">
                  <c:v>7.15</c:v>
                </c:pt>
                <c:pt idx="11" formatCode="0.00">
                  <c:v>6.96</c:v>
                </c:pt>
                <c:pt idx="12" formatCode="0.00">
                  <c:v>6.39</c:v>
                </c:pt>
                <c:pt idx="13" formatCode="0.00">
                  <c:v>6.85</c:v>
                </c:pt>
                <c:pt idx="14" formatCode="0.00">
                  <c:v>6.8</c:v>
                </c:pt>
                <c:pt idx="15" formatCode="0.00">
                  <c:v>6.77</c:v>
                </c:pt>
                <c:pt idx="16" formatCode="0.00">
                  <c:v>6.76</c:v>
                </c:pt>
                <c:pt idx="17" formatCode="0.00">
                  <c:v>7.09</c:v>
                </c:pt>
                <c:pt idx="18" formatCode="0.00">
                  <c:v>7.52</c:v>
                </c:pt>
                <c:pt idx="19" formatCode="0.00">
                  <c:v>7.72</c:v>
                </c:pt>
                <c:pt idx="20" formatCode="0.00">
                  <c:v>7.92</c:v>
                </c:pt>
                <c:pt idx="21" formatCode="0.00">
                  <c:v>8.0399999999999991</c:v>
                </c:pt>
                <c:pt idx="22" formatCode="0.00">
                  <c:v>7.83</c:v>
                </c:pt>
              </c:numCache>
            </c:numRef>
          </c:val>
          <c:smooth val="0"/>
          <c:extLst xmlns:c15="http://schemas.microsoft.com/office/drawing/2012/chart">
            <c:ext xmlns:c16="http://schemas.microsoft.com/office/drawing/2014/chart" uri="{C3380CC4-5D6E-409C-BE32-E72D297353CC}">
              <c16:uniqueId val="{00000003-6258-466A-B270-1728F49BD1B7}"/>
            </c:ext>
          </c:extLst>
        </c:ser>
        <c:dLbls>
          <c:showLegendKey val="0"/>
          <c:showVal val="0"/>
          <c:showCatName val="0"/>
          <c:showSerName val="0"/>
          <c:showPercent val="0"/>
          <c:showBubbleSize val="0"/>
        </c:dLbls>
        <c:smooth val="0"/>
        <c:axId val="780406816"/>
        <c:axId val="780404640"/>
        <c:extLst/>
      </c:lineChart>
      <c:catAx>
        <c:axId val="78040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04640"/>
        <c:crosses val="autoZero"/>
        <c:auto val="1"/>
        <c:lblAlgn val="ctr"/>
        <c:lblOffset val="100"/>
        <c:tickLblSkip val="1"/>
        <c:noMultiLvlLbl val="0"/>
      </c:catAx>
      <c:valAx>
        <c:axId val="78040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Affordability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0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'MED WORK '!$B$65</c:f>
              <c:strCache>
                <c:ptCount val="1"/>
                <c:pt idx="0">
                  <c:v>Cambridge</c:v>
                </c:pt>
              </c:strCache>
            </c:strRef>
          </c:tx>
          <c:spPr>
            <a:ln w="28575" cap="rnd">
              <a:solidFill>
                <a:schemeClr val="accent1"/>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'!$C$65:$Y$65</c:f>
              <c:numCache>
                <c:formatCode>0.00</c:formatCode>
                <c:ptCount val="23"/>
                <c:pt idx="0">
                  <c:v>1</c:v>
                </c:pt>
                <c:pt idx="1">
                  <c:v>1.2027027027027026</c:v>
                </c:pt>
                <c:pt idx="2">
                  <c:v>1.261261261261261</c:v>
                </c:pt>
                <c:pt idx="3">
                  <c:v>1.3468468468468469</c:v>
                </c:pt>
                <c:pt idx="4">
                  <c:v>1.4797297297297296</c:v>
                </c:pt>
                <c:pt idx="5">
                  <c:v>1.7387387387387385</c:v>
                </c:pt>
                <c:pt idx="6">
                  <c:v>1.8648648648648645</c:v>
                </c:pt>
                <c:pt idx="7">
                  <c:v>1.894144144144144</c:v>
                </c:pt>
                <c:pt idx="8">
                  <c:v>1.9459459459459458</c:v>
                </c:pt>
                <c:pt idx="9">
                  <c:v>2.0382882882882885</c:v>
                </c:pt>
                <c:pt idx="10">
                  <c:v>2.2454954954954953</c:v>
                </c:pt>
                <c:pt idx="11">
                  <c:v>2.0495495495495493</c:v>
                </c:pt>
                <c:pt idx="12">
                  <c:v>1.8355855855855856</c:v>
                </c:pt>
                <c:pt idx="13">
                  <c:v>1.9729729729729728</c:v>
                </c:pt>
                <c:pt idx="14">
                  <c:v>1.993243243243243</c:v>
                </c:pt>
                <c:pt idx="15">
                  <c:v>2.1261261261261257</c:v>
                </c:pt>
                <c:pt idx="16">
                  <c:v>2.1644144144144142</c:v>
                </c:pt>
                <c:pt idx="17">
                  <c:v>2.5653153153153152</c:v>
                </c:pt>
                <c:pt idx="18">
                  <c:v>2.8288288288288288</c:v>
                </c:pt>
                <c:pt idx="19">
                  <c:v>2.9279279279279278</c:v>
                </c:pt>
                <c:pt idx="20">
                  <c:v>3.0472972972972969</c:v>
                </c:pt>
                <c:pt idx="21">
                  <c:v>2.9189189189189189</c:v>
                </c:pt>
                <c:pt idx="22">
                  <c:v>2.8738738738738734</c:v>
                </c:pt>
              </c:numCache>
            </c:numRef>
          </c:val>
          <c:smooth val="0"/>
          <c:extLst>
            <c:ext xmlns:c16="http://schemas.microsoft.com/office/drawing/2014/chart" uri="{C3380CC4-5D6E-409C-BE32-E72D297353CC}">
              <c16:uniqueId val="{00000000-6EE4-46BD-9D68-E5DCA6A6EBB8}"/>
            </c:ext>
          </c:extLst>
        </c:ser>
        <c:ser>
          <c:idx val="1"/>
          <c:order val="1"/>
          <c:tx>
            <c:strRef>
              <c:f>'MED WORK '!$B$66</c:f>
              <c:strCache>
                <c:ptCount val="1"/>
                <c:pt idx="0">
                  <c:v>East Cambridgeshire</c:v>
                </c:pt>
              </c:strCache>
            </c:strRef>
          </c:tx>
          <c:spPr>
            <a:ln w="28575" cap="rnd">
              <a:solidFill>
                <a:schemeClr val="accent2"/>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'!$C$66:$Y$66</c:f>
              <c:numCache>
                <c:formatCode>0.00</c:formatCode>
                <c:ptCount val="23"/>
                <c:pt idx="0">
                  <c:v>1</c:v>
                </c:pt>
                <c:pt idx="1">
                  <c:v>1.29923273657289</c:v>
                </c:pt>
                <c:pt idx="2">
                  <c:v>1.4475703324808185</c:v>
                </c:pt>
                <c:pt idx="3">
                  <c:v>1.2685421994884909</c:v>
                </c:pt>
                <c:pt idx="4">
                  <c:v>1.5907928388746801</c:v>
                </c:pt>
                <c:pt idx="5">
                  <c:v>1.7084398976982096</c:v>
                </c:pt>
                <c:pt idx="6">
                  <c:v>1.8823529411764706</c:v>
                </c:pt>
                <c:pt idx="7">
                  <c:v>1.9104859335038362</c:v>
                </c:pt>
                <c:pt idx="8">
                  <c:v>2.1585677749360612</c:v>
                </c:pt>
                <c:pt idx="9">
                  <c:v>2.0843989769820972</c:v>
                </c:pt>
                <c:pt idx="10">
                  <c:v>2.0460358056265986</c:v>
                </c:pt>
                <c:pt idx="11">
                  <c:v>2.0869565217391304</c:v>
                </c:pt>
                <c:pt idx="12">
                  <c:v>1.8414322250639386</c:v>
                </c:pt>
                <c:pt idx="13">
                  <c:v>1.9744245524296673</c:v>
                </c:pt>
                <c:pt idx="14">
                  <c:v>2.0255754475703323</c:v>
                </c:pt>
                <c:pt idx="15">
                  <c:v>2.0332480818414322</c:v>
                </c:pt>
                <c:pt idx="16">
                  <c:v>1.9258312020460358</c:v>
                </c:pt>
                <c:pt idx="17">
                  <c:v>2.163682864450128</c:v>
                </c:pt>
                <c:pt idx="18">
                  <c:v>2.281329923273657</c:v>
                </c:pt>
                <c:pt idx="19">
                  <c:v>2.4271099744245523</c:v>
                </c:pt>
                <c:pt idx="20">
                  <c:v>2.5217391304347823</c:v>
                </c:pt>
                <c:pt idx="21">
                  <c:v>2.7263427109974425</c:v>
                </c:pt>
                <c:pt idx="22">
                  <c:v>2.6189258312020458</c:v>
                </c:pt>
              </c:numCache>
            </c:numRef>
          </c:val>
          <c:smooth val="0"/>
          <c:extLst>
            <c:ext xmlns:c16="http://schemas.microsoft.com/office/drawing/2014/chart" uri="{C3380CC4-5D6E-409C-BE32-E72D297353CC}">
              <c16:uniqueId val="{00000001-6EE4-46BD-9D68-E5DCA6A6EBB8}"/>
            </c:ext>
          </c:extLst>
        </c:ser>
        <c:ser>
          <c:idx val="2"/>
          <c:order val="2"/>
          <c:tx>
            <c:strRef>
              <c:f>'MED WORK '!$B$67</c:f>
              <c:strCache>
                <c:ptCount val="1"/>
                <c:pt idx="0">
                  <c:v>Fenland</c:v>
                </c:pt>
              </c:strCache>
            </c:strRef>
          </c:tx>
          <c:spPr>
            <a:ln w="28575" cap="rnd">
              <a:solidFill>
                <a:schemeClr val="accent3"/>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'!$C$67:$Y$67</c:f>
              <c:numCache>
                <c:formatCode>0.00</c:formatCode>
                <c:ptCount val="23"/>
                <c:pt idx="0">
                  <c:v>1</c:v>
                </c:pt>
                <c:pt idx="1">
                  <c:v>1.0145454545454546</c:v>
                </c:pt>
                <c:pt idx="2">
                  <c:v>1.08</c:v>
                </c:pt>
                <c:pt idx="3">
                  <c:v>1.1781818181818182</c:v>
                </c:pt>
                <c:pt idx="4">
                  <c:v>1.3127272727272727</c:v>
                </c:pt>
                <c:pt idx="5">
                  <c:v>1.7636363636363634</c:v>
                </c:pt>
                <c:pt idx="6">
                  <c:v>1.9163636363636363</c:v>
                </c:pt>
                <c:pt idx="7">
                  <c:v>2.101818181818182</c:v>
                </c:pt>
                <c:pt idx="8">
                  <c:v>2.3745454545454545</c:v>
                </c:pt>
                <c:pt idx="9">
                  <c:v>2.2472727272727271</c:v>
                </c:pt>
                <c:pt idx="10">
                  <c:v>2.330909090909091</c:v>
                </c:pt>
                <c:pt idx="11">
                  <c:v>2.4254545454545453</c:v>
                </c:pt>
                <c:pt idx="12">
                  <c:v>1.9963636363636363</c:v>
                </c:pt>
                <c:pt idx="13">
                  <c:v>2.4145454545454546</c:v>
                </c:pt>
                <c:pt idx="14">
                  <c:v>2.061818181818182</c:v>
                </c:pt>
                <c:pt idx="15">
                  <c:v>1.9963636363636363</c:v>
                </c:pt>
                <c:pt idx="16">
                  <c:v>2.0254545454545454</c:v>
                </c:pt>
                <c:pt idx="17">
                  <c:v>2.0945454545454543</c:v>
                </c:pt>
                <c:pt idx="18">
                  <c:v>2.229090909090909</c:v>
                </c:pt>
                <c:pt idx="19">
                  <c:v>2.36</c:v>
                </c:pt>
                <c:pt idx="20">
                  <c:v>2.5890909090909093</c:v>
                </c:pt>
                <c:pt idx="21">
                  <c:v>3.083636363636364</c:v>
                </c:pt>
                <c:pt idx="22">
                  <c:v>2.9454545454545453</c:v>
                </c:pt>
              </c:numCache>
            </c:numRef>
          </c:val>
          <c:smooth val="0"/>
          <c:extLst>
            <c:ext xmlns:c16="http://schemas.microsoft.com/office/drawing/2014/chart" uri="{C3380CC4-5D6E-409C-BE32-E72D297353CC}">
              <c16:uniqueId val="{00000002-6EE4-46BD-9D68-E5DCA6A6EBB8}"/>
            </c:ext>
          </c:extLst>
        </c:ser>
        <c:ser>
          <c:idx val="3"/>
          <c:order val="3"/>
          <c:tx>
            <c:strRef>
              <c:f>'MED WORK '!$B$68</c:f>
              <c:strCache>
                <c:ptCount val="1"/>
                <c:pt idx="0">
                  <c:v>Huntingdonshire</c:v>
                </c:pt>
              </c:strCache>
            </c:strRef>
          </c:tx>
          <c:spPr>
            <a:ln w="28575" cap="rnd">
              <a:solidFill>
                <a:schemeClr val="accent4"/>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'!$C$68:$Y$68</c:f>
              <c:numCache>
                <c:formatCode>0.00</c:formatCode>
                <c:ptCount val="23"/>
                <c:pt idx="1">
                  <c:v>1</c:v>
                </c:pt>
                <c:pt idx="2">
                  <c:v>1.10840108401084</c:v>
                </c:pt>
                <c:pt idx="3">
                  <c:v>1.1436314363143631</c:v>
                </c:pt>
                <c:pt idx="4">
                  <c:v>1.1815718157181574</c:v>
                </c:pt>
                <c:pt idx="5">
                  <c:v>1.5094850948509486</c:v>
                </c:pt>
                <c:pt idx="6">
                  <c:v>1.6504065040650406</c:v>
                </c:pt>
                <c:pt idx="7">
                  <c:v>1.813008130081301</c:v>
                </c:pt>
                <c:pt idx="8">
                  <c:v>1.8997289972899729</c:v>
                </c:pt>
                <c:pt idx="9">
                  <c:v>2.013550135501355</c:v>
                </c:pt>
                <c:pt idx="10">
                  <c:v>2.0704607046070462</c:v>
                </c:pt>
                <c:pt idx="11">
                  <c:v>2.0162601626016263</c:v>
                </c:pt>
                <c:pt idx="12">
                  <c:v>1.7452574525745259</c:v>
                </c:pt>
                <c:pt idx="13">
                  <c:v>1.8292682926829269</c:v>
                </c:pt>
                <c:pt idx="14">
                  <c:v>1.813008130081301</c:v>
                </c:pt>
                <c:pt idx="15">
                  <c:v>1.8672086720867207</c:v>
                </c:pt>
                <c:pt idx="16">
                  <c:v>1.8861788617886179</c:v>
                </c:pt>
                <c:pt idx="17">
                  <c:v>1.9268292682926831</c:v>
                </c:pt>
                <c:pt idx="18">
                  <c:v>2.1842818428184283</c:v>
                </c:pt>
                <c:pt idx="19">
                  <c:v>2.2330623306233064</c:v>
                </c:pt>
                <c:pt idx="20">
                  <c:v>2.3902439024390243</c:v>
                </c:pt>
                <c:pt idx="21">
                  <c:v>2.5365853658536586</c:v>
                </c:pt>
                <c:pt idx="22">
                  <c:v>2.5230352303523036</c:v>
                </c:pt>
              </c:numCache>
            </c:numRef>
          </c:val>
          <c:smooth val="0"/>
          <c:extLst>
            <c:ext xmlns:c16="http://schemas.microsoft.com/office/drawing/2014/chart" uri="{C3380CC4-5D6E-409C-BE32-E72D297353CC}">
              <c16:uniqueId val="{00000003-6EE4-46BD-9D68-E5DCA6A6EBB8}"/>
            </c:ext>
          </c:extLst>
        </c:ser>
        <c:ser>
          <c:idx val="4"/>
          <c:order val="4"/>
          <c:tx>
            <c:strRef>
              <c:f>'MED WORK '!$B$69</c:f>
              <c:strCache>
                <c:ptCount val="1"/>
                <c:pt idx="0">
                  <c:v>South Cambridgeshire</c:v>
                </c:pt>
              </c:strCache>
            </c:strRef>
          </c:tx>
          <c:spPr>
            <a:ln w="28575" cap="rnd">
              <a:solidFill>
                <a:schemeClr val="accent5"/>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'!$C$69:$Y$69</c:f>
              <c:numCache>
                <c:formatCode>0.00</c:formatCode>
                <c:ptCount val="23"/>
                <c:pt idx="0">
                  <c:v>1</c:v>
                </c:pt>
                <c:pt idx="1">
                  <c:v>1.052980132450331</c:v>
                </c:pt>
                <c:pt idx="2">
                  <c:v>1.2097130242825607</c:v>
                </c:pt>
                <c:pt idx="3">
                  <c:v>1.2560706401766004</c:v>
                </c:pt>
                <c:pt idx="4">
                  <c:v>1.3509933774834437</c:v>
                </c:pt>
                <c:pt idx="5">
                  <c:v>1.3774834437086092</c:v>
                </c:pt>
                <c:pt idx="6">
                  <c:v>1.5320088300220751</c:v>
                </c:pt>
                <c:pt idx="7">
                  <c:v>1.5011037527593818</c:v>
                </c:pt>
                <c:pt idx="8">
                  <c:v>1.6710816777041941</c:v>
                </c:pt>
                <c:pt idx="9">
                  <c:v>1.6203090507726268</c:v>
                </c:pt>
                <c:pt idx="10">
                  <c:v>1.7373068432671082</c:v>
                </c:pt>
                <c:pt idx="11">
                  <c:v>1.7019867549668872</c:v>
                </c:pt>
                <c:pt idx="12">
                  <c:v>1.4724061810154525</c:v>
                </c:pt>
                <c:pt idx="13">
                  <c:v>1.5827814569536423</c:v>
                </c:pt>
                <c:pt idx="14">
                  <c:v>1.7262693156732891</c:v>
                </c:pt>
                <c:pt idx="15">
                  <c:v>1.6379690949227372</c:v>
                </c:pt>
                <c:pt idx="16">
                  <c:v>1.7086092715231787</c:v>
                </c:pt>
                <c:pt idx="17">
                  <c:v>1.7218543046357615</c:v>
                </c:pt>
                <c:pt idx="18">
                  <c:v>2.0198675496688741</c:v>
                </c:pt>
                <c:pt idx="19">
                  <c:v>2.2649006622516556</c:v>
                </c:pt>
                <c:pt idx="20">
                  <c:v>2.423841059602649</c:v>
                </c:pt>
                <c:pt idx="21">
                  <c:v>2.2803532008830021</c:v>
                </c:pt>
                <c:pt idx="22">
                  <c:v>2.1589403973509933</c:v>
                </c:pt>
              </c:numCache>
            </c:numRef>
          </c:val>
          <c:smooth val="0"/>
          <c:extLst>
            <c:ext xmlns:c16="http://schemas.microsoft.com/office/drawing/2014/chart" uri="{C3380CC4-5D6E-409C-BE32-E72D297353CC}">
              <c16:uniqueId val="{00000004-6EE4-46BD-9D68-E5DCA6A6EBB8}"/>
            </c:ext>
          </c:extLst>
        </c:ser>
        <c:ser>
          <c:idx val="5"/>
          <c:order val="5"/>
          <c:tx>
            <c:strRef>
              <c:f>'MED WORK '!$B$70</c:f>
              <c:strCache>
                <c:ptCount val="1"/>
                <c:pt idx="0">
                  <c:v>West Suffolk</c:v>
                </c:pt>
              </c:strCache>
            </c:strRef>
          </c:tx>
          <c:spPr>
            <a:ln w="28575" cap="rnd">
              <a:solidFill>
                <a:schemeClr val="accent6"/>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'!$C$70:$Y$70</c:f>
              <c:numCache>
                <c:formatCode>General</c:formatCode>
                <c:ptCount val="23"/>
                <c:pt idx="6" formatCode="0.00">
                  <c:v>1</c:v>
                </c:pt>
                <c:pt idx="7" formatCode="0.00">
                  <c:v>1.1278195488721805</c:v>
                </c:pt>
                <c:pt idx="8" formatCode="0.00">
                  <c:v>1.1669172932330827</c:v>
                </c:pt>
                <c:pt idx="9" formatCode="0.00">
                  <c:v>1.1578947368421053</c:v>
                </c:pt>
                <c:pt idx="10" formatCode="0.00">
                  <c:v>1.2857142857142858</c:v>
                </c:pt>
                <c:pt idx="11" formatCode="0.00">
                  <c:v>1.1684210526315788</c:v>
                </c:pt>
                <c:pt idx="12" formatCode="0.00">
                  <c:v>1.0330827067669173</c:v>
                </c:pt>
                <c:pt idx="13" formatCode="0.00">
                  <c:v>1.069172932330827</c:v>
                </c:pt>
                <c:pt idx="14" formatCode="0.00">
                  <c:v>1.0180451127819548</c:v>
                </c:pt>
                <c:pt idx="15" formatCode="0.00">
                  <c:v>1.1037593984962406</c:v>
                </c:pt>
                <c:pt idx="16" formatCode="0.00">
                  <c:v>1.1218045112781954</c:v>
                </c:pt>
                <c:pt idx="17" formatCode="0.00">
                  <c:v>1.1894736842105262</c:v>
                </c:pt>
                <c:pt idx="18" formatCode="0.00">
                  <c:v>1.324812030075188</c:v>
                </c:pt>
                <c:pt idx="19" formatCode="0.00">
                  <c:v>1.3157894736842104</c:v>
                </c:pt>
                <c:pt idx="20" formatCode="0.00">
                  <c:v>1.3894736842105262</c:v>
                </c:pt>
                <c:pt idx="21" formatCode="0.00">
                  <c:v>1.4</c:v>
                </c:pt>
                <c:pt idx="22" formatCode="0.00">
                  <c:v>1.3639097744360902</c:v>
                </c:pt>
              </c:numCache>
            </c:numRef>
          </c:val>
          <c:smooth val="0"/>
          <c:extLst>
            <c:ext xmlns:c16="http://schemas.microsoft.com/office/drawing/2014/chart" uri="{C3380CC4-5D6E-409C-BE32-E72D297353CC}">
              <c16:uniqueId val="{00000005-6EE4-46BD-9D68-E5DCA6A6EBB8}"/>
            </c:ext>
          </c:extLst>
        </c:ser>
        <c:ser>
          <c:idx val="6"/>
          <c:order val="6"/>
          <c:tx>
            <c:strRef>
              <c:f>'MED WORK '!$B$71</c:f>
              <c:strCache>
                <c:ptCount val="1"/>
                <c:pt idx="0">
                  <c:v>HMA Average</c:v>
                </c:pt>
              </c:strCache>
            </c:strRef>
          </c:tx>
          <c:spPr>
            <a:ln w="28575" cap="rnd">
              <a:solidFill>
                <a:schemeClr val="accent1">
                  <a:lumMod val="60000"/>
                </a:schemeClr>
              </a:solidFill>
              <a:round/>
            </a:ln>
            <a:effectLst/>
          </c:spPr>
          <c:marker>
            <c:symbol val="none"/>
          </c:marker>
          <c:cat>
            <c:numRef>
              <c:f>'MED WORK '!$C$64:$Y$64</c:f>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f>'MED WORK '!$C$71:$Y$71</c:f>
              <c:numCache>
                <c:formatCode>0.00</c:formatCode>
                <c:ptCount val="23"/>
                <c:pt idx="0">
                  <c:v>1</c:v>
                </c:pt>
                <c:pt idx="1">
                  <c:v>1.1091490722968649</c:v>
                </c:pt>
                <c:pt idx="2">
                  <c:v>1.2181701855406268</c:v>
                </c:pt>
                <c:pt idx="3">
                  <c:v>1.2330134357005758</c:v>
                </c:pt>
                <c:pt idx="4">
                  <c:v>1.3758157389635313</c:v>
                </c:pt>
                <c:pt idx="5">
                  <c:v>1.5897632757517592</c:v>
                </c:pt>
                <c:pt idx="6">
                  <c:v>1.7312859884836849</c:v>
                </c:pt>
                <c:pt idx="7">
                  <c:v>1.8191512049477498</c:v>
                </c:pt>
                <c:pt idx="8">
                  <c:v>1.9599061633610573</c:v>
                </c:pt>
                <c:pt idx="9">
                  <c:v>1.9556408615909577</c:v>
                </c:pt>
                <c:pt idx="10">
                  <c:v>2.066112177436553</c:v>
                </c:pt>
                <c:pt idx="11">
                  <c:v>1.9982938792919593</c:v>
                </c:pt>
                <c:pt idx="12">
                  <c:v>1.7410961825549156</c:v>
                </c:pt>
                <c:pt idx="13">
                  <c:v>1.8831307314992534</c:v>
                </c:pt>
                <c:pt idx="14">
                  <c:v>1.8647899338878222</c:v>
                </c:pt>
                <c:pt idx="15">
                  <c:v>1.8993388782256342</c:v>
                </c:pt>
                <c:pt idx="16">
                  <c:v>1.9138409042439752</c:v>
                </c:pt>
                <c:pt idx="17">
                  <c:v>2.0656856472595431</c:v>
                </c:pt>
                <c:pt idx="18">
                  <c:v>2.2874813393047555</c:v>
                </c:pt>
                <c:pt idx="19">
                  <c:v>2.3983791853273617</c:v>
                </c:pt>
                <c:pt idx="20">
                  <c:v>2.5399872040946896</c:v>
                </c:pt>
                <c:pt idx="21">
                  <c:v>2.606099381531243</c:v>
                </c:pt>
                <c:pt idx="22">
                  <c:v>2.5276178289613989</c:v>
                </c:pt>
              </c:numCache>
            </c:numRef>
          </c:val>
          <c:smooth val="0"/>
          <c:extLst>
            <c:ext xmlns:c16="http://schemas.microsoft.com/office/drawing/2014/chart" uri="{C3380CC4-5D6E-409C-BE32-E72D297353CC}">
              <c16:uniqueId val="{00000006-6EE4-46BD-9D68-E5DCA6A6EBB8}"/>
            </c:ext>
          </c:extLst>
        </c:ser>
        <c:dLbls>
          <c:showLegendKey val="0"/>
          <c:showVal val="0"/>
          <c:showCatName val="0"/>
          <c:showSerName val="0"/>
          <c:showPercent val="0"/>
          <c:showBubbleSize val="0"/>
        </c:dLbls>
        <c:smooth val="0"/>
        <c:axId val="627158792"/>
        <c:axId val="627163384"/>
        <c:extLst>
          <c:ext xmlns:c15="http://schemas.microsoft.com/office/drawing/2012/chart" uri="{02D57815-91ED-43cb-92C2-25804820EDAC}">
            <c15:filteredLineSeries>
              <c15:ser>
                <c:idx val="7"/>
                <c:order val="7"/>
                <c:tx>
                  <c:strRef>
                    <c:extLst>
                      <c:ext uri="{02D57815-91ED-43cb-92C2-25804820EDAC}">
                        <c15:formulaRef>
                          <c15:sqref>'MED WORK '!$B$72</c15:sqref>
                        </c15:formulaRef>
                      </c:ext>
                    </c:extLst>
                    <c:strCache>
                      <c:ptCount val="1"/>
                      <c:pt idx="0">
                        <c:v>Greater Cambridge </c:v>
                      </c:pt>
                    </c:strCache>
                  </c:strRef>
                </c:tx>
                <c:spPr>
                  <a:ln w="28575" cap="rnd">
                    <a:solidFill>
                      <a:schemeClr val="accent2">
                        <a:lumMod val="60000"/>
                      </a:schemeClr>
                    </a:solidFill>
                    <a:round/>
                  </a:ln>
                  <a:effectLst/>
                </c:spPr>
                <c:marker>
                  <c:symbol val="none"/>
                </c:marker>
                <c:cat>
                  <c:numRef>
                    <c:extLst>
                      <c:ext uri="{02D57815-91ED-43cb-92C2-25804820EDAC}">
                        <c15:formulaRef>
                          <c15:sqref>'MED WORK '!$C$64:$Y$64</c15:sqref>
                        </c15:formulaRef>
                      </c:ext>
                    </c:extLst>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extLst>
                      <c:ext uri="{02D57815-91ED-43cb-92C2-25804820EDAC}">
                        <c15:formulaRef>
                          <c15:sqref>'MED WORK '!$C$72:$Y$72</c15:sqref>
                        </c15:formulaRef>
                      </c:ext>
                    </c:extLst>
                    <c:numCache>
                      <c:formatCode>0.00</c:formatCode>
                      <c:ptCount val="23"/>
                      <c:pt idx="0">
                        <c:v>1</c:v>
                      </c:pt>
                      <c:pt idx="1">
                        <c:v>1.1270903010033444</c:v>
                      </c:pt>
                      <c:pt idx="2">
                        <c:v>1.2352285395763656</c:v>
                      </c:pt>
                      <c:pt idx="3">
                        <c:v>1.3010033444816054</c:v>
                      </c:pt>
                      <c:pt idx="4">
                        <c:v>1.4147157190635451</c:v>
                      </c:pt>
                      <c:pt idx="5">
                        <c:v>1.556298773690078</c:v>
                      </c:pt>
                      <c:pt idx="6">
                        <c:v>1.696767001114827</c:v>
                      </c:pt>
                      <c:pt idx="7">
                        <c:v>1.6956521739130435</c:v>
                      </c:pt>
                      <c:pt idx="8">
                        <c:v>1.8071348940914158</c:v>
                      </c:pt>
                      <c:pt idx="9">
                        <c:v>1.8272017837235228</c:v>
                      </c:pt>
                      <c:pt idx="10">
                        <c:v>1.9888517279821627</c:v>
                      </c:pt>
                      <c:pt idx="11">
                        <c:v>1.874024526198439</c:v>
                      </c:pt>
                      <c:pt idx="12">
                        <c:v>1.6521739130434783</c:v>
                      </c:pt>
                      <c:pt idx="13">
                        <c:v>1.7759197324414715</c:v>
                      </c:pt>
                      <c:pt idx="14">
                        <c:v>1.8584169453734671</c:v>
                      </c:pt>
                      <c:pt idx="15">
                        <c:v>1.8795986622073577</c:v>
                      </c:pt>
                      <c:pt idx="16">
                        <c:v>1.9342251950947604</c:v>
                      </c:pt>
                      <c:pt idx="17">
                        <c:v>2.1393534002229653</c:v>
                      </c:pt>
                      <c:pt idx="18">
                        <c:v>2.4202898550724639</c:v>
                      </c:pt>
                      <c:pt idx="19">
                        <c:v>2.5930880713489404</c:v>
                      </c:pt>
                      <c:pt idx="20">
                        <c:v>2.7324414715719061</c:v>
                      </c:pt>
                      <c:pt idx="21">
                        <c:v>2.5964325529542918</c:v>
                      </c:pt>
                      <c:pt idx="22">
                        <c:v>2.5128205128205123</c:v>
                      </c:pt>
                    </c:numCache>
                  </c:numRef>
                </c:val>
                <c:smooth val="0"/>
                <c:extLst>
                  <c:ext xmlns:c16="http://schemas.microsoft.com/office/drawing/2014/chart" uri="{C3380CC4-5D6E-409C-BE32-E72D297353CC}">
                    <c16:uniqueId val="{00000007-6EE4-46BD-9D68-E5DCA6A6EBB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'MED WORK '!$B$73</c15:sqref>
                        </c15:formulaRef>
                      </c:ext>
                    </c:extLst>
                    <c:strCache>
                      <c:ptCount val="1"/>
                      <c:pt idx="0">
                        <c:v>East of England</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'MED WORK '!$C$64:$Y$64</c15:sqref>
                        </c15:formulaRef>
                      </c:ext>
                    </c:extLst>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extLst xmlns:c15="http://schemas.microsoft.com/office/drawing/2012/chart">
                      <c:ext xmlns:c15="http://schemas.microsoft.com/office/drawing/2012/chart" uri="{02D57815-91ED-43cb-92C2-25804820EDAC}">
                        <c15:formulaRef>
                          <c15:sqref>'MED WORK '!$C$73:$Y$73</c15:sqref>
                        </c15:formulaRef>
                      </c:ext>
                    </c:extLst>
                    <c:numCache>
                      <c:formatCode>0.00</c:formatCode>
                      <c:ptCount val="23"/>
                      <c:pt idx="0">
                        <c:v>1</c:v>
                      </c:pt>
                      <c:pt idx="1">
                        <c:v>1.0461956521739131</c:v>
                      </c:pt>
                      <c:pt idx="2">
                        <c:v>1.1168478260869565</c:v>
                      </c:pt>
                      <c:pt idx="3">
                        <c:v>1.201086956521739</c:v>
                      </c:pt>
                      <c:pt idx="4">
                        <c:v>1.298913043478261</c:v>
                      </c:pt>
                      <c:pt idx="5">
                        <c:v>1.5706521739130435</c:v>
                      </c:pt>
                      <c:pt idx="6">
                        <c:v>1.7690217391304346</c:v>
                      </c:pt>
                      <c:pt idx="7">
                        <c:v>1.9538043478260869</c:v>
                      </c:pt>
                      <c:pt idx="8">
                        <c:v>2.0081521739130435</c:v>
                      </c:pt>
                      <c:pt idx="9">
                        <c:v>2.0217391304347827</c:v>
                      </c:pt>
                      <c:pt idx="10">
                        <c:v>2.1114130434782608</c:v>
                      </c:pt>
                      <c:pt idx="11">
                        <c:v>2.0706521739130435</c:v>
                      </c:pt>
                      <c:pt idx="12">
                        <c:v>1.8641304347826086</c:v>
                      </c:pt>
                      <c:pt idx="13">
                        <c:v>2.0244565217391304</c:v>
                      </c:pt>
                      <c:pt idx="14">
                        <c:v>1.9891304347826086</c:v>
                      </c:pt>
                      <c:pt idx="15">
                        <c:v>1.9755434782608694</c:v>
                      </c:pt>
                      <c:pt idx="16">
                        <c:v>2.0190217391304346</c:v>
                      </c:pt>
                      <c:pt idx="17">
                        <c:v>2.1277173913043477</c:v>
                      </c:pt>
                      <c:pt idx="18">
                        <c:v>2.2880434782608696</c:v>
                      </c:pt>
                      <c:pt idx="19">
                        <c:v>2.4347826086956523</c:v>
                      </c:pt>
                      <c:pt idx="20">
                        <c:v>2.625</c:v>
                      </c:pt>
                      <c:pt idx="21">
                        <c:v>2.6576086956521738</c:v>
                      </c:pt>
                      <c:pt idx="22">
                        <c:v>2.5733695652173916</c:v>
                      </c:pt>
                    </c:numCache>
                  </c:numRef>
                </c:val>
                <c:smooth val="0"/>
                <c:extLst xmlns:c15="http://schemas.microsoft.com/office/drawing/2012/chart">
                  <c:ext xmlns:c16="http://schemas.microsoft.com/office/drawing/2014/chart" uri="{C3380CC4-5D6E-409C-BE32-E72D297353CC}">
                    <c16:uniqueId val="{00000008-6EE4-46BD-9D68-E5DCA6A6EBB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'MED WORK '!$B$74</c15:sqref>
                        </c15:formulaRef>
                      </c:ext>
                    </c:extLst>
                    <c:strCache>
                      <c:ptCount val="1"/>
                      <c:pt idx="0">
                        <c:v>England </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'MED WORK '!$C$64:$Y$64</c15:sqref>
                        </c15:formulaRef>
                      </c:ext>
                    </c:extLst>
                    <c:numCache>
                      <c:formatCode>General</c:formatCode>
                      <c:ptCount val="2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numCache>
                  </c:numRef>
                </c:cat>
                <c:val>
                  <c:numRef>
                    <c:extLst xmlns:c15="http://schemas.microsoft.com/office/drawing/2012/chart">
                      <c:ext xmlns:c15="http://schemas.microsoft.com/office/drawing/2012/chart" uri="{02D57815-91ED-43cb-92C2-25804820EDAC}">
                        <c15:formulaRef>
                          <c15:sqref>'MED WORK '!$C$74:$Y$74</c15:sqref>
                        </c15:formulaRef>
                      </c:ext>
                    </c:extLst>
                    <c:numCache>
                      <c:formatCode>0.00</c:formatCode>
                      <c:ptCount val="23"/>
                      <c:pt idx="0">
                        <c:v>1</c:v>
                      </c:pt>
                      <c:pt idx="1">
                        <c:v>1.036723163841808</c:v>
                      </c:pt>
                      <c:pt idx="2">
                        <c:v>1.1186440677966101</c:v>
                      </c:pt>
                      <c:pt idx="3">
                        <c:v>1.1836158192090396</c:v>
                      </c:pt>
                      <c:pt idx="4">
                        <c:v>1.271186440677966</c:v>
                      </c:pt>
                      <c:pt idx="5">
                        <c:v>1.4463276836158192</c:v>
                      </c:pt>
                      <c:pt idx="6">
                        <c:v>1.6723163841807909</c:v>
                      </c:pt>
                      <c:pt idx="7">
                        <c:v>1.8644067796610169</c:v>
                      </c:pt>
                      <c:pt idx="8">
                        <c:v>1.9180790960451977</c:v>
                      </c:pt>
                      <c:pt idx="9">
                        <c:v>1.963276836158192</c:v>
                      </c:pt>
                      <c:pt idx="10">
                        <c:v>2.0197740112994351</c:v>
                      </c:pt>
                      <c:pt idx="11">
                        <c:v>1.9661016949152541</c:v>
                      </c:pt>
                      <c:pt idx="12">
                        <c:v>1.8050847457627117</c:v>
                      </c:pt>
                      <c:pt idx="13">
                        <c:v>1.9350282485875705</c:v>
                      </c:pt>
                      <c:pt idx="14">
                        <c:v>1.9209039548022597</c:v>
                      </c:pt>
                      <c:pt idx="15">
                        <c:v>1.9124293785310733</c:v>
                      </c:pt>
                      <c:pt idx="16">
                        <c:v>1.9096045197740112</c:v>
                      </c:pt>
                      <c:pt idx="17">
                        <c:v>2.0028248587570623</c:v>
                      </c:pt>
                      <c:pt idx="18">
                        <c:v>2.1242937853107344</c:v>
                      </c:pt>
                      <c:pt idx="19">
                        <c:v>2.1807909604519775</c:v>
                      </c:pt>
                      <c:pt idx="20">
                        <c:v>2.2372881355932202</c:v>
                      </c:pt>
                      <c:pt idx="21">
                        <c:v>2.2711864406779658</c:v>
                      </c:pt>
                      <c:pt idx="22">
                        <c:v>2.2118644067796609</c:v>
                      </c:pt>
                    </c:numCache>
                  </c:numRef>
                </c:val>
                <c:smooth val="0"/>
                <c:extLst xmlns:c15="http://schemas.microsoft.com/office/drawing/2012/chart">
                  <c:ext xmlns:c16="http://schemas.microsoft.com/office/drawing/2014/chart" uri="{C3380CC4-5D6E-409C-BE32-E72D297353CC}">
                    <c16:uniqueId val="{00000009-6EE4-46BD-9D68-E5DCA6A6EBB8}"/>
                  </c:ext>
                </c:extLst>
              </c15:ser>
            </c15:filteredLineSeries>
          </c:ext>
        </c:extLst>
      </c:lineChart>
      <c:catAx>
        <c:axId val="6271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63384"/>
        <c:crosses val="autoZero"/>
        <c:auto val="1"/>
        <c:lblAlgn val="ctr"/>
        <c:lblOffset val="100"/>
        <c:noMultiLvlLbl val="0"/>
      </c:catAx>
      <c:valAx>
        <c:axId val="627163384"/>
        <c:scaling>
          <c:orientation val="minMax"/>
          <c:max val="3.25"/>
          <c:min val="0.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5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6"/>
          <c:order val="0"/>
          <c:tx>
            <c:strRef>
              <c:f>'MED RES'!$B$10</c:f>
              <c:strCache>
                <c:ptCount val="1"/>
                <c:pt idx="0">
                  <c:v>HMA </c:v>
                </c:pt>
              </c:strCache>
            </c:strRef>
          </c:tx>
          <c:spPr>
            <a:ln w="28575" cap="rnd">
              <a:solidFill>
                <a:schemeClr val="accent1"/>
              </a:solidFill>
              <a:round/>
            </a:ln>
            <a:effectLst/>
          </c:spPr>
          <c:marker>
            <c:symbol val="none"/>
          </c:marker>
          <c:cat>
            <c:numRef>
              <c:f>'MED RES'!$H$3:$Y$3</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'MED RES'!$H$10:$Y$10</c:f>
              <c:numCache>
                <c:formatCode>0.00</c:formatCode>
                <c:ptCount val="18"/>
                <c:pt idx="0">
                  <c:v>6.008</c:v>
                </c:pt>
                <c:pt idx="1">
                  <c:v>6.5683333333333342</c:v>
                </c:pt>
                <c:pt idx="2">
                  <c:v>6.871666666666667</c:v>
                </c:pt>
                <c:pt idx="3">
                  <c:v>7.4033333333333333</c:v>
                </c:pt>
                <c:pt idx="4">
                  <c:v>7.2583333333333337</c:v>
                </c:pt>
                <c:pt idx="5">
                  <c:v>7.6516666666666664</c:v>
                </c:pt>
                <c:pt idx="6">
                  <c:v>7.6000000000000005</c:v>
                </c:pt>
                <c:pt idx="7">
                  <c:v>6.585</c:v>
                </c:pt>
                <c:pt idx="8">
                  <c:v>6.7616666666666667</c:v>
                </c:pt>
                <c:pt idx="9">
                  <c:v>6.8416666666666659</c:v>
                </c:pt>
                <c:pt idx="10">
                  <c:v>7.0333333333333323</c:v>
                </c:pt>
                <c:pt idx="11">
                  <c:v>7.1950000000000003</c:v>
                </c:pt>
                <c:pt idx="12">
                  <c:v>7.72</c:v>
                </c:pt>
                <c:pt idx="13">
                  <c:v>8.5583333333333318</c:v>
                </c:pt>
                <c:pt idx="14">
                  <c:v>8.9416666666666682</c:v>
                </c:pt>
                <c:pt idx="15">
                  <c:v>9.2949999999999999</c:v>
                </c:pt>
                <c:pt idx="16">
                  <c:v>9.3550000000000004</c:v>
                </c:pt>
                <c:pt idx="17">
                  <c:v>9.1683333333333348</c:v>
                </c:pt>
              </c:numCache>
            </c:numRef>
          </c:val>
          <c:smooth val="0"/>
          <c:extLst>
            <c:ext xmlns:c16="http://schemas.microsoft.com/office/drawing/2014/chart" uri="{C3380CC4-5D6E-409C-BE32-E72D297353CC}">
              <c16:uniqueId val="{00000000-1D28-4170-9ADF-226AF8A66F50}"/>
            </c:ext>
          </c:extLst>
        </c:ser>
        <c:ser>
          <c:idx val="7"/>
          <c:order val="1"/>
          <c:tx>
            <c:strRef>
              <c:f>'MED RES'!$B$11</c:f>
              <c:strCache>
                <c:ptCount val="1"/>
                <c:pt idx="0">
                  <c:v>Greater Cambridge </c:v>
                </c:pt>
              </c:strCache>
            </c:strRef>
          </c:tx>
          <c:spPr>
            <a:ln w="28575" cap="rnd">
              <a:solidFill>
                <a:schemeClr val="accent2"/>
              </a:solidFill>
              <a:round/>
            </a:ln>
            <a:effectLst/>
          </c:spPr>
          <c:marker>
            <c:symbol val="none"/>
          </c:marker>
          <c:cat>
            <c:numRef>
              <c:f>'MED RES'!$H$3:$Y$3</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'MED RES'!$H$11:$Y$11</c:f>
              <c:numCache>
                <c:formatCode>0.00</c:formatCode>
                <c:ptCount val="18"/>
                <c:pt idx="0">
                  <c:v>7.3599999999999994</c:v>
                </c:pt>
                <c:pt idx="1">
                  <c:v>7.7249999999999996</c:v>
                </c:pt>
                <c:pt idx="2">
                  <c:v>7.7050000000000001</c:v>
                </c:pt>
                <c:pt idx="3">
                  <c:v>8.1550000000000011</c:v>
                </c:pt>
                <c:pt idx="4">
                  <c:v>8.0549999999999997</c:v>
                </c:pt>
                <c:pt idx="5">
                  <c:v>8.68</c:v>
                </c:pt>
                <c:pt idx="6">
                  <c:v>8.125</c:v>
                </c:pt>
                <c:pt idx="7">
                  <c:v>7.51</c:v>
                </c:pt>
                <c:pt idx="8">
                  <c:v>7.6349999999999998</c:v>
                </c:pt>
                <c:pt idx="9">
                  <c:v>8.1349999999999998</c:v>
                </c:pt>
                <c:pt idx="10">
                  <c:v>8.375</c:v>
                </c:pt>
                <c:pt idx="11">
                  <c:v>8.39</c:v>
                </c:pt>
                <c:pt idx="12">
                  <c:v>9.2899999999999991</c:v>
                </c:pt>
                <c:pt idx="13">
                  <c:v>10.98</c:v>
                </c:pt>
                <c:pt idx="14">
                  <c:v>11.43</c:v>
                </c:pt>
                <c:pt idx="15">
                  <c:v>11.815000000000001</c:v>
                </c:pt>
                <c:pt idx="16">
                  <c:v>11.385</c:v>
                </c:pt>
                <c:pt idx="17">
                  <c:v>10.86</c:v>
                </c:pt>
              </c:numCache>
            </c:numRef>
          </c:val>
          <c:smooth val="0"/>
          <c:extLst>
            <c:ext xmlns:c16="http://schemas.microsoft.com/office/drawing/2014/chart" uri="{C3380CC4-5D6E-409C-BE32-E72D297353CC}">
              <c16:uniqueId val="{00000001-1D28-4170-9ADF-226AF8A66F50}"/>
            </c:ext>
          </c:extLst>
        </c:ser>
        <c:ser>
          <c:idx val="8"/>
          <c:order val="2"/>
          <c:tx>
            <c:strRef>
              <c:f>'MED RES'!$B$12</c:f>
              <c:strCache>
                <c:ptCount val="1"/>
                <c:pt idx="0">
                  <c:v>East of England</c:v>
                </c:pt>
              </c:strCache>
            </c:strRef>
          </c:tx>
          <c:spPr>
            <a:ln w="28575" cap="rnd">
              <a:solidFill>
                <a:schemeClr val="accent3">
                  <a:lumMod val="60000"/>
                </a:schemeClr>
              </a:solidFill>
              <a:round/>
            </a:ln>
            <a:effectLst/>
          </c:spPr>
          <c:marker>
            <c:symbol val="none"/>
          </c:marker>
          <c:cat>
            <c:numRef>
              <c:f>'MED RES'!$H$3:$Y$3</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'MED RES'!$H$12:$Y$12</c:f>
              <c:numCache>
                <c:formatCode>0.00</c:formatCode>
                <c:ptCount val="18"/>
                <c:pt idx="0">
                  <c:v>5.45</c:v>
                </c:pt>
                <c:pt idx="1">
                  <c:v>6.18</c:v>
                </c:pt>
                <c:pt idx="2">
                  <c:v>6.75</c:v>
                </c:pt>
                <c:pt idx="3">
                  <c:v>6.93</c:v>
                </c:pt>
                <c:pt idx="4">
                  <c:v>7.07</c:v>
                </c:pt>
                <c:pt idx="5">
                  <c:v>7.32</c:v>
                </c:pt>
                <c:pt idx="6">
                  <c:v>7.15</c:v>
                </c:pt>
                <c:pt idx="7">
                  <c:v>6.41</c:v>
                </c:pt>
                <c:pt idx="8">
                  <c:v>6.94</c:v>
                </c:pt>
                <c:pt idx="9">
                  <c:v>6.83</c:v>
                </c:pt>
                <c:pt idx="10">
                  <c:v>6.79</c:v>
                </c:pt>
                <c:pt idx="11">
                  <c:v>6.94</c:v>
                </c:pt>
                <c:pt idx="12">
                  <c:v>7.3</c:v>
                </c:pt>
                <c:pt idx="13">
                  <c:v>7.86</c:v>
                </c:pt>
                <c:pt idx="14">
                  <c:v>8.33</c:v>
                </c:pt>
                <c:pt idx="15">
                  <c:v>9.1</c:v>
                </c:pt>
                <c:pt idx="16">
                  <c:v>9.19</c:v>
                </c:pt>
                <c:pt idx="17">
                  <c:v>9.02</c:v>
                </c:pt>
              </c:numCache>
            </c:numRef>
          </c:val>
          <c:smooth val="0"/>
          <c:extLst>
            <c:ext xmlns:c16="http://schemas.microsoft.com/office/drawing/2014/chart" uri="{C3380CC4-5D6E-409C-BE32-E72D297353CC}">
              <c16:uniqueId val="{00000002-1D28-4170-9ADF-226AF8A66F50}"/>
            </c:ext>
          </c:extLst>
        </c:ser>
        <c:ser>
          <c:idx val="9"/>
          <c:order val="3"/>
          <c:tx>
            <c:strRef>
              <c:f>'MED RES'!$B$13</c:f>
              <c:strCache>
                <c:ptCount val="1"/>
                <c:pt idx="0">
                  <c:v>England </c:v>
                </c:pt>
              </c:strCache>
            </c:strRef>
          </c:tx>
          <c:spPr>
            <a:ln w="28575" cap="rnd">
              <a:solidFill>
                <a:schemeClr val="accent4">
                  <a:lumMod val="60000"/>
                </a:schemeClr>
              </a:solidFill>
              <a:round/>
            </a:ln>
            <a:effectLst/>
          </c:spPr>
          <c:marker>
            <c:symbol val="none"/>
          </c:marker>
          <c:cat>
            <c:numRef>
              <c:f>'MED RES'!$H$3:$Y$3</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'MED RES'!$H$13:$Y$13</c:f>
              <c:numCache>
                <c:formatCode>0.00</c:formatCode>
                <c:ptCount val="18"/>
                <c:pt idx="0">
                  <c:v>5.1100000000000003</c:v>
                </c:pt>
                <c:pt idx="1">
                  <c:v>5.91</c:v>
                </c:pt>
                <c:pt idx="2">
                  <c:v>6.6</c:v>
                </c:pt>
                <c:pt idx="3">
                  <c:v>6.78</c:v>
                </c:pt>
                <c:pt idx="4">
                  <c:v>6.95</c:v>
                </c:pt>
                <c:pt idx="5">
                  <c:v>7.14</c:v>
                </c:pt>
                <c:pt idx="6">
                  <c:v>6.96</c:v>
                </c:pt>
                <c:pt idx="7">
                  <c:v>6.39</c:v>
                </c:pt>
                <c:pt idx="8">
                  <c:v>6.85</c:v>
                </c:pt>
                <c:pt idx="9">
                  <c:v>6.79</c:v>
                </c:pt>
                <c:pt idx="10">
                  <c:v>6.77</c:v>
                </c:pt>
                <c:pt idx="11">
                  <c:v>6.76</c:v>
                </c:pt>
                <c:pt idx="12">
                  <c:v>7.09</c:v>
                </c:pt>
                <c:pt idx="13">
                  <c:v>7.53</c:v>
                </c:pt>
                <c:pt idx="14">
                  <c:v>7.72</c:v>
                </c:pt>
                <c:pt idx="15">
                  <c:v>7.92</c:v>
                </c:pt>
                <c:pt idx="16">
                  <c:v>8.0399999999999991</c:v>
                </c:pt>
                <c:pt idx="17">
                  <c:v>7.83</c:v>
                </c:pt>
              </c:numCache>
            </c:numRef>
          </c:val>
          <c:smooth val="0"/>
          <c:extLst>
            <c:ext xmlns:c16="http://schemas.microsoft.com/office/drawing/2014/chart" uri="{C3380CC4-5D6E-409C-BE32-E72D297353CC}">
              <c16:uniqueId val="{00000003-1D28-4170-9ADF-226AF8A66F50}"/>
            </c:ext>
          </c:extLst>
        </c:ser>
        <c:dLbls>
          <c:showLegendKey val="0"/>
          <c:showVal val="0"/>
          <c:showCatName val="0"/>
          <c:showSerName val="0"/>
          <c:showPercent val="0"/>
          <c:showBubbleSize val="0"/>
        </c:dLbls>
        <c:smooth val="0"/>
        <c:axId val="780413344"/>
        <c:axId val="780416064"/>
      </c:lineChart>
      <c:catAx>
        <c:axId val="7804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0416064"/>
        <c:crosses val="autoZero"/>
        <c:auto val="1"/>
        <c:lblAlgn val="ctr"/>
        <c:lblOffset val="100"/>
        <c:noMultiLvlLbl val="0"/>
      </c:catAx>
      <c:valAx>
        <c:axId val="78041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Affordability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'Change in Tenure 2001 to 2011'!$B$46</c:f>
              <c:strCache>
                <c:ptCount val="1"/>
                <c:pt idx="0">
                  <c:v>Owned outright</c:v>
                </c:pt>
              </c:strCache>
            </c:strRef>
          </c:tx>
          <c:spPr>
            <a:solidFill>
              <a:schemeClr val="accent1"/>
            </a:solidFill>
            <a:ln>
              <a:noFill/>
            </a:ln>
            <a:effectLst/>
          </c:spPr>
          <c:invertIfNegative val="0"/>
          <c:cat>
            <c:strRef>
              <c:f>'Change in Tenure 2001 to 2011'!$A$47:$A$58</c:f>
              <c:strCache>
                <c:ptCount val="10"/>
                <c:pt idx="0">
                  <c:v>Cambridge</c:v>
                </c:pt>
                <c:pt idx="1">
                  <c:v>East Cambridgeshire</c:v>
                </c:pt>
                <c:pt idx="2">
                  <c:v>Fenland</c:v>
                </c:pt>
                <c:pt idx="3">
                  <c:v>Huntingdonshire</c:v>
                </c:pt>
                <c:pt idx="4">
                  <c:v>South Cambridgeshire</c:v>
                </c:pt>
                <c:pt idx="5">
                  <c:v>West Suffolk</c:v>
                </c:pt>
                <c:pt idx="6">
                  <c:v>HMA</c:v>
                </c:pt>
                <c:pt idx="7">
                  <c:v>Greater Cambridge</c:v>
                </c:pt>
                <c:pt idx="8">
                  <c:v>East</c:v>
                </c:pt>
                <c:pt idx="9">
                  <c:v>England</c:v>
                </c:pt>
              </c:strCache>
              <c:extLst/>
            </c:strRef>
          </c:cat>
          <c:val>
            <c:numRef>
              <c:f>'Change in Tenure 2001 to 2011'!$B$47:$B$58</c:f>
              <c:numCache>
                <c:formatCode>0.0%</c:formatCode>
                <c:ptCount val="10"/>
                <c:pt idx="0">
                  <c:v>1.3228382871973421E-3</c:v>
                </c:pt>
                <c:pt idx="1">
                  <c:v>5.1561744583057956E-3</c:v>
                </c:pt>
                <c:pt idx="2">
                  <c:v>1.2324373439243475E-2</c:v>
                </c:pt>
                <c:pt idx="3">
                  <c:v>4.9708023276799962E-2</c:v>
                </c:pt>
                <c:pt idx="4">
                  <c:v>3.6407891444311835E-2</c:v>
                </c:pt>
                <c:pt idx="5">
                  <c:v>3.0029713355846532E-2</c:v>
                </c:pt>
                <c:pt idx="6">
                  <c:v>2.7003164308735061E-2</c:v>
                </c:pt>
                <c:pt idx="7">
                  <c:v>2.1779940447396839E-2</c:v>
                </c:pt>
                <c:pt idx="8">
                  <c:v>2.2274681096877413E-2</c:v>
                </c:pt>
                <c:pt idx="9">
                  <c:v>1.3841786321304284E-2</c:v>
                </c:pt>
              </c:numCache>
              <c:extLst/>
            </c:numRef>
          </c:val>
          <c:extLst>
            <c:ext xmlns:c16="http://schemas.microsoft.com/office/drawing/2014/chart" uri="{C3380CC4-5D6E-409C-BE32-E72D297353CC}">
              <c16:uniqueId val="{00000000-F403-4DD1-ABCE-2879B425C343}"/>
            </c:ext>
          </c:extLst>
        </c:ser>
        <c:ser>
          <c:idx val="1"/>
          <c:order val="1"/>
          <c:tx>
            <c:strRef>
              <c:f>'Change in Tenure 2001 to 2011'!$C$46</c:f>
              <c:strCache>
                <c:ptCount val="1"/>
                <c:pt idx="0">
                  <c:v>Owned with a mortgage</c:v>
                </c:pt>
              </c:strCache>
            </c:strRef>
          </c:tx>
          <c:spPr>
            <a:solidFill>
              <a:schemeClr val="accent2"/>
            </a:solidFill>
            <a:ln>
              <a:noFill/>
            </a:ln>
            <a:effectLst/>
          </c:spPr>
          <c:invertIfNegative val="0"/>
          <c:cat>
            <c:strRef>
              <c:f>'Change in Tenure 2001 to 2011'!$A$47:$A$58</c:f>
              <c:strCache>
                <c:ptCount val="10"/>
                <c:pt idx="0">
                  <c:v>Cambridge</c:v>
                </c:pt>
                <c:pt idx="1">
                  <c:v>East Cambridgeshire</c:v>
                </c:pt>
                <c:pt idx="2">
                  <c:v>Fenland</c:v>
                </c:pt>
                <c:pt idx="3">
                  <c:v>Huntingdonshire</c:v>
                </c:pt>
                <c:pt idx="4">
                  <c:v>South Cambridgeshire</c:v>
                </c:pt>
                <c:pt idx="5">
                  <c:v>West Suffolk</c:v>
                </c:pt>
                <c:pt idx="6">
                  <c:v>HMA</c:v>
                </c:pt>
                <c:pt idx="7">
                  <c:v>Greater Cambridge</c:v>
                </c:pt>
                <c:pt idx="8">
                  <c:v>East</c:v>
                </c:pt>
                <c:pt idx="9">
                  <c:v>England</c:v>
                </c:pt>
              </c:strCache>
              <c:extLst/>
            </c:strRef>
          </c:cat>
          <c:val>
            <c:numRef>
              <c:f>'Change in Tenure 2001 to 2011'!$C$47:$C$58</c:f>
              <c:numCache>
                <c:formatCode>0.0%</c:formatCode>
                <c:ptCount val="10"/>
                <c:pt idx="0">
                  <c:v>-4.9981816565138171E-2</c:v>
                </c:pt>
                <c:pt idx="1">
                  <c:v>-3.4173288579181393E-2</c:v>
                </c:pt>
                <c:pt idx="2">
                  <c:v>-5.8848047914743629E-2</c:v>
                </c:pt>
                <c:pt idx="3">
                  <c:v>-9.1442751666461708E-2</c:v>
                </c:pt>
                <c:pt idx="4">
                  <c:v>-6.4691694643876918E-2</c:v>
                </c:pt>
                <c:pt idx="5">
                  <c:v>-6.5646529745179649E-2</c:v>
                </c:pt>
                <c:pt idx="6">
                  <c:v>-6.4287708311274505E-2</c:v>
                </c:pt>
                <c:pt idx="7">
                  <c:v>-5.6404116752449218E-2</c:v>
                </c:pt>
                <c:pt idx="8">
                  <c:v>-6.6091464187849891E-2</c:v>
                </c:pt>
                <c:pt idx="9">
                  <c:v>-5.975753594900407E-2</c:v>
                </c:pt>
              </c:numCache>
              <c:extLst/>
            </c:numRef>
          </c:val>
          <c:extLst>
            <c:ext xmlns:c16="http://schemas.microsoft.com/office/drawing/2014/chart" uri="{C3380CC4-5D6E-409C-BE32-E72D297353CC}">
              <c16:uniqueId val="{00000001-F403-4DD1-ABCE-2879B425C343}"/>
            </c:ext>
          </c:extLst>
        </c:ser>
        <c:ser>
          <c:idx val="2"/>
          <c:order val="2"/>
          <c:tx>
            <c:strRef>
              <c:f>'Change in Tenure 2001 to 2011'!$D$46</c:f>
              <c:strCache>
                <c:ptCount val="1"/>
                <c:pt idx="0">
                  <c:v>Social Rent</c:v>
                </c:pt>
              </c:strCache>
            </c:strRef>
          </c:tx>
          <c:spPr>
            <a:solidFill>
              <a:schemeClr val="accent3"/>
            </a:solidFill>
            <a:ln>
              <a:noFill/>
            </a:ln>
            <a:effectLst/>
          </c:spPr>
          <c:invertIfNegative val="0"/>
          <c:cat>
            <c:strRef>
              <c:f>'Change in Tenure 2001 to 2011'!$A$47:$A$58</c:f>
              <c:strCache>
                <c:ptCount val="10"/>
                <c:pt idx="0">
                  <c:v>Cambridge</c:v>
                </c:pt>
                <c:pt idx="1">
                  <c:v>East Cambridgeshire</c:v>
                </c:pt>
                <c:pt idx="2">
                  <c:v>Fenland</c:v>
                </c:pt>
                <c:pt idx="3">
                  <c:v>Huntingdonshire</c:v>
                </c:pt>
                <c:pt idx="4">
                  <c:v>South Cambridgeshire</c:v>
                </c:pt>
                <c:pt idx="5">
                  <c:v>West Suffolk</c:v>
                </c:pt>
                <c:pt idx="6">
                  <c:v>HMA</c:v>
                </c:pt>
                <c:pt idx="7">
                  <c:v>Greater Cambridge</c:v>
                </c:pt>
                <c:pt idx="8">
                  <c:v>East</c:v>
                </c:pt>
                <c:pt idx="9">
                  <c:v>England</c:v>
                </c:pt>
              </c:strCache>
              <c:extLst/>
            </c:strRef>
          </c:cat>
          <c:val>
            <c:numRef>
              <c:f>'Change in Tenure 2001 to 2011'!$D$47:$D$58</c:f>
              <c:numCache>
                <c:formatCode>0.0%</c:formatCode>
                <c:ptCount val="10"/>
                <c:pt idx="0">
                  <c:v>-5.177320400966412E-4</c:v>
                </c:pt>
                <c:pt idx="1">
                  <c:v>-6.5318081718118703E-4</c:v>
                </c:pt>
                <c:pt idx="2">
                  <c:v>-1.3734931924123575E-2</c:v>
                </c:pt>
                <c:pt idx="3">
                  <c:v>-1.0864015015939477E-3</c:v>
                </c:pt>
                <c:pt idx="4">
                  <c:v>-2.2178197434830627E-3</c:v>
                </c:pt>
                <c:pt idx="5">
                  <c:v>-8.2092341821295989E-3</c:v>
                </c:pt>
                <c:pt idx="6">
                  <c:v>-4.6759112200125963E-3</c:v>
                </c:pt>
                <c:pt idx="7">
                  <c:v>-2.563211764355533E-3</c:v>
                </c:pt>
                <c:pt idx="8">
                  <c:v>-8.1940181891715369E-3</c:v>
                </c:pt>
                <c:pt idx="9">
                  <c:v>-1.576270593530063E-2</c:v>
                </c:pt>
              </c:numCache>
              <c:extLst/>
            </c:numRef>
          </c:val>
          <c:extLst>
            <c:ext xmlns:c16="http://schemas.microsoft.com/office/drawing/2014/chart" uri="{C3380CC4-5D6E-409C-BE32-E72D297353CC}">
              <c16:uniqueId val="{00000002-F403-4DD1-ABCE-2879B425C343}"/>
            </c:ext>
          </c:extLst>
        </c:ser>
        <c:ser>
          <c:idx val="3"/>
          <c:order val="3"/>
          <c:tx>
            <c:strRef>
              <c:f>'Change in Tenure 2001 to 2011'!$E$46</c:f>
              <c:strCache>
                <c:ptCount val="1"/>
                <c:pt idx="0">
                  <c:v>PRS</c:v>
                </c:pt>
              </c:strCache>
            </c:strRef>
          </c:tx>
          <c:spPr>
            <a:solidFill>
              <a:schemeClr val="accent4"/>
            </a:solidFill>
            <a:ln>
              <a:noFill/>
            </a:ln>
            <a:effectLst/>
          </c:spPr>
          <c:invertIfNegative val="0"/>
          <c:cat>
            <c:strRef>
              <c:f>'Change in Tenure 2001 to 2011'!$A$47:$A$58</c:f>
              <c:strCache>
                <c:ptCount val="10"/>
                <c:pt idx="0">
                  <c:v>Cambridge</c:v>
                </c:pt>
                <c:pt idx="1">
                  <c:v>East Cambridgeshire</c:v>
                </c:pt>
                <c:pt idx="2">
                  <c:v>Fenland</c:v>
                </c:pt>
                <c:pt idx="3">
                  <c:v>Huntingdonshire</c:v>
                </c:pt>
                <c:pt idx="4">
                  <c:v>South Cambridgeshire</c:v>
                </c:pt>
                <c:pt idx="5">
                  <c:v>West Suffolk</c:v>
                </c:pt>
                <c:pt idx="6">
                  <c:v>HMA</c:v>
                </c:pt>
                <c:pt idx="7">
                  <c:v>Greater Cambridge</c:v>
                </c:pt>
                <c:pt idx="8">
                  <c:v>East</c:v>
                </c:pt>
                <c:pt idx="9">
                  <c:v>England</c:v>
                </c:pt>
              </c:strCache>
              <c:extLst/>
            </c:strRef>
          </c:cat>
          <c:val>
            <c:numRef>
              <c:f>'Change in Tenure 2001 to 2011'!$E$47:$E$58</c:f>
              <c:numCache>
                <c:formatCode>0.0%</c:formatCode>
                <c:ptCount val="10"/>
                <c:pt idx="0">
                  <c:v>4.917671031803747E-2</c:v>
                </c:pt>
                <c:pt idx="1">
                  <c:v>2.9670294938056757E-2</c:v>
                </c:pt>
                <c:pt idx="2">
                  <c:v>6.0258606399623743E-2</c:v>
                </c:pt>
                <c:pt idx="3">
                  <c:v>4.2821129891255777E-2</c:v>
                </c:pt>
                <c:pt idx="4">
                  <c:v>3.0501622943048132E-2</c:v>
                </c:pt>
                <c:pt idx="5">
                  <c:v>4.3826050571462744E-2</c:v>
                </c:pt>
                <c:pt idx="6">
                  <c:v>4.1960455222552123E-2</c:v>
                </c:pt>
                <c:pt idx="7">
                  <c:v>3.7187388069407856E-2</c:v>
                </c:pt>
                <c:pt idx="8">
                  <c:v>5.2010801280144014E-2</c:v>
                </c:pt>
                <c:pt idx="9">
                  <c:v>6.1678455563000362E-2</c:v>
                </c:pt>
              </c:numCache>
              <c:extLst/>
            </c:numRef>
          </c:val>
          <c:extLst>
            <c:ext xmlns:c16="http://schemas.microsoft.com/office/drawing/2014/chart" uri="{C3380CC4-5D6E-409C-BE32-E72D297353CC}">
              <c16:uniqueId val="{00000003-F403-4DD1-ABCE-2879B425C343}"/>
            </c:ext>
          </c:extLst>
        </c:ser>
        <c:dLbls>
          <c:showLegendKey val="0"/>
          <c:showVal val="0"/>
          <c:showCatName val="0"/>
          <c:showSerName val="0"/>
          <c:showPercent val="0"/>
          <c:showBubbleSize val="0"/>
        </c:dLbls>
        <c:gapWidth val="219"/>
        <c:overlap val="-27"/>
        <c:axId val="780417152"/>
        <c:axId val="780407360"/>
      </c:barChart>
      <c:catAx>
        <c:axId val="7804171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07360"/>
        <c:crosses val="autoZero"/>
        <c:auto val="1"/>
        <c:lblAlgn val="ctr"/>
        <c:lblOffset val="100"/>
        <c:noMultiLvlLbl val="0"/>
      </c:catAx>
      <c:valAx>
        <c:axId val="780407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17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'Change in tenure 11-19'!$I$27</c:f>
              <c:strCache>
                <c:ptCount val="1"/>
                <c:pt idx="0">
                  <c:v>Council Owned</c:v>
                </c:pt>
              </c:strCache>
            </c:strRef>
          </c:tx>
          <c:spPr>
            <a:solidFill>
              <a:schemeClr val="accent1"/>
            </a:solidFill>
            <a:ln>
              <a:noFill/>
            </a:ln>
            <a:effectLst/>
          </c:spPr>
          <c:invertIfNegative val="0"/>
          <c:cat>
            <c:strRef>
              <c:f>'Change in tenure 11-19'!$H$28:$H$38</c:f>
              <c:strCache>
                <c:ptCount val="11"/>
                <c:pt idx="0">
                  <c:v>Cambridge</c:v>
                </c:pt>
                <c:pt idx="1">
                  <c:v>East Cambridgeshire</c:v>
                </c:pt>
                <c:pt idx="2">
                  <c:v>Fenland</c:v>
                </c:pt>
                <c:pt idx="3">
                  <c:v>Huntingdonshire</c:v>
                </c:pt>
                <c:pt idx="4">
                  <c:v>South Cambridgeshire</c:v>
                </c:pt>
                <c:pt idx="5">
                  <c:v>Forest Heath</c:v>
                </c:pt>
                <c:pt idx="6">
                  <c:v>St Edmundsbury</c:v>
                </c:pt>
                <c:pt idx="7">
                  <c:v>West Suffolk</c:v>
                </c:pt>
                <c:pt idx="8">
                  <c:v>HMA</c:v>
                </c:pt>
                <c:pt idx="9">
                  <c:v>Greater Cambridge</c:v>
                </c:pt>
                <c:pt idx="10">
                  <c:v>England</c:v>
                </c:pt>
              </c:strCache>
              <c:extLst/>
            </c:strRef>
          </c:cat>
          <c:val>
            <c:numRef>
              <c:f>'Change in tenure 11-19'!$I$28:$I$38</c:f>
              <c:numCache>
                <c:formatCode>0.0%</c:formatCode>
                <c:ptCount val="11"/>
                <c:pt idx="0">
                  <c:v>-2.2377660363586349E-2</c:v>
                </c:pt>
                <c:pt idx="1">
                  <c:v>2.3787498348090393E-4</c:v>
                </c:pt>
                <c:pt idx="2">
                  <c:v>3.7078695181898995E-4</c:v>
                </c:pt>
                <c:pt idx="3">
                  <c:v>6.015214478881654E-4</c:v>
                </c:pt>
                <c:pt idx="4">
                  <c:v>7.9735545991036966E-2</c:v>
                </c:pt>
                <c:pt idx="5">
                  <c:v>-8.8228535433851479E-2</c:v>
                </c:pt>
                <c:pt idx="6">
                  <c:v>3.2253512609107588E-4</c:v>
                </c:pt>
                <c:pt idx="7">
                  <c:v>5.4417452421553429E-4</c:v>
                </c:pt>
                <c:pt idx="8">
                  <c:v>-3.3964920956528269E-3</c:v>
                </c:pt>
                <c:pt idx="9">
                  <c:v>-3.2522330472418093E-2</c:v>
                </c:pt>
                <c:pt idx="10">
                  <c:v>-1.0106046566165386E-2</c:v>
                </c:pt>
              </c:numCache>
              <c:extLst/>
            </c:numRef>
          </c:val>
          <c:extLst>
            <c:ext xmlns:c16="http://schemas.microsoft.com/office/drawing/2014/chart" uri="{C3380CC4-5D6E-409C-BE32-E72D297353CC}">
              <c16:uniqueId val="{00000000-48EA-438A-B19A-FA7E3FFE319C}"/>
            </c:ext>
          </c:extLst>
        </c:ser>
        <c:ser>
          <c:idx val="1"/>
          <c:order val="1"/>
          <c:tx>
            <c:strRef>
              <c:f>'Change in tenure 11-19'!$J$27</c:f>
              <c:strCache>
                <c:ptCount val="1"/>
                <c:pt idx="0">
                  <c:v>Housing association</c:v>
                </c:pt>
              </c:strCache>
            </c:strRef>
          </c:tx>
          <c:spPr>
            <a:solidFill>
              <a:schemeClr val="accent2"/>
            </a:solidFill>
            <a:ln>
              <a:noFill/>
            </a:ln>
            <a:effectLst/>
          </c:spPr>
          <c:invertIfNegative val="0"/>
          <c:cat>
            <c:strRef>
              <c:f>'Change in tenure 11-19'!$H$28:$H$38</c:f>
              <c:strCache>
                <c:ptCount val="11"/>
                <c:pt idx="0">
                  <c:v>Cambridge</c:v>
                </c:pt>
                <c:pt idx="1">
                  <c:v>East Cambridgeshire</c:v>
                </c:pt>
                <c:pt idx="2">
                  <c:v>Fenland</c:v>
                </c:pt>
                <c:pt idx="3">
                  <c:v>Huntingdonshire</c:v>
                </c:pt>
                <c:pt idx="4">
                  <c:v>South Cambridgeshire</c:v>
                </c:pt>
                <c:pt idx="5">
                  <c:v>Forest Heath</c:v>
                </c:pt>
                <c:pt idx="6">
                  <c:v>St Edmundsbury</c:v>
                </c:pt>
                <c:pt idx="7">
                  <c:v>West Suffolk</c:v>
                </c:pt>
                <c:pt idx="8">
                  <c:v>HMA</c:v>
                </c:pt>
                <c:pt idx="9">
                  <c:v>Greater Cambridge</c:v>
                </c:pt>
                <c:pt idx="10">
                  <c:v>England</c:v>
                </c:pt>
              </c:strCache>
              <c:extLst/>
            </c:strRef>
          </c:cat>
          <c:val>
            <c:numRef>
              <c:f>'Change in tenure 11-19'!$J$28:$J$38</c:f>
              <c:numCache>
                <c:formatCode>0.0%</c:formatCode>
                <c:ptCount val="11"/>
                <c:pt idx="0">
                  <c:v>5.2029543445037407E-3</c:v>
                </c:pt>
                <c:pt idx="1">
                  <c:v>-2.8024690160871057E-3</c:v>
                </c:pt>
                <c:pt idx="2">
                  <c:v>-9.8122300349468006E-4</c:v>
                </c:pt>
                <c:pt idx="3">
                  <c:v>-1.2791743135581179E-2</c:v>
                </c:pt>
                <c:pt idx="4">
                  <c:v>-7.1384243112293591E-2</c:v>
                </c:pt>
                <c:pt idx="5">
                  <c:v>9.1942445160344721E-2</c:v>
                </c:pt>
                <c:pt idx="6">
                  <c:v>-3.1427828433774341E-3</c:v>
                </c:pt>
                <c:pt idx="7">
                  <c:v>-1.4776731400571647E-2</c:v>
                </c:pt>
                <c:pt idx="8">
                  <c:v>7.5981747150803691E-4</c:v>
                </c:pt>
                <c:pt idx="9">
                  <c:v>4.4562365966946321E-2</c:v>
                </c:pt>
                <c:pt idx="10">
                  <c:v>3.9473290196816169E-3</c:v>
                </c:pt>
              </c:numCache>
              <c:extLst/>
            </c:numRef>
          </c:val>
          <c:extLst>
            <c:ext xmlns:c16="http://schemas.microsoft.com/office/drawing/2014/chart" uri="{C3380CC4-5D6E-409C-BE32-E72D297353CC}">
              <c16:uniqueId val="{00000001-48EA-438A-B19A-FA7E3FFE319C}"/>
            </c:ext>
          </c:extLst>
        </c:ser>
        <c:ser>
          <c:idx val="2"/>
          <c:order val="2"/>
          <c:tx>
            <c:strRef>
              <c:f>'Change in tenure 11-19'!$K$27</c:f>
              <c:strCache>
                <c:ptCount val="1"/>
                <c:pt idx="0">
                  <c:v>Other Public</c:v>
                </c:pt>
              </c:strCache>
            </c:strRef>
          </c:tx>
          <c:spPr>
            <a:solidFill>
              <a:schemeClr val="accent3"/>
            </a:solidFill>
            <a:ln>
              <a:noFill/>
            </a:ln>
            <a:effectLst/>
          </c:spPr>
          <c:invertIfNegative val="0"/>
          <c:cat>
            <c:strRef>
              <c:f>'Change in tenure 11-19'!$H$28:$H$38</c:f>
              <c:strCache>
                <c:ptCount val="11"/>
                <c:pt idx="0">
                  <c:v>Cambridge</c:v>
                </c:pt>
                <c:pt idx="1">
                  <c:v>East Cambridgeshire</c:v>
                </c:pt>
                <c:pt idx="2">
                  <c:v>Fenland</c:v>
                </c:pt>
                <c:pt idx="3">
                  <c:v>Huntingdonshire</c:v>
                </c:pt>
                <c:pt idx="4">
                  <c:v>South Cambridgeshire</c:v>
                </c:pt>
                <c:pt idx="5">
                  <c:v>Forest Heath</c:v>
                </c:pt>
                <c:pt idx="6">
                  <c:v>St Edmundsbury</c:v>
                </c:pt>
                <c:pt idx="7">
                  <c:v>West Suffolk</c:v>
                </c:pt>
                <c:pt idx="8">
                  <c:v>HMA</c:v>
                </c:pt>
                <c:pt idx="9">
                  <c:v>Greater Cambridge</c:v>
                </c:pt>
                <c:pt idx="10">
                  <c:v>England</c:v>
                </c:pt>
              </c:strCache>
              <c:extLst/>
            </c:strRef>
          </c:cat>
          <c:val>
            <c:numRef>
              <c:f>'Change in tenure 11-19'!$K$28:$K$38</c:f>
              <c:numCache>
                <c:formatCode>0.0%</c:formatCode>
                <c:ptCount val="11"/>
                <c:pt idx="0">
                  <c:v>1.2625467151084831E-3</c:v>
                </c:pt>
                <c:pt idx="1">
                  <c:v>3.3022753932605872E-3</c:v>
                </c:pt>
                <c:pt idx="2">
                  <c:v>2.2182294092855082E-5</c:v>
                </c:pt>
                <c:pt idx="3">
                  <c:v>6.0335342916008573E-3</c:v>
                </c:pt>
                <c:pt idx="4">
                  <c:v>-1.5434389837392681E-2</c:v>
                </c:pt>
                <c:pt idx="5">
                  <c:v>-7.4849329272244185E-3</c:v>
                </c:pt>
                <c:pt idx="6">
                  <c:v>-1.0057478989507606E-2</c:v>
                </c:pt>
                <c:pt idx="7">
                  <c:v>-2.3603717113537086E-3</c:v>
                </c:pt>
                <c:pt idx="8">
                  <c:v>-4.098589239416776E-3</c:v>
                </c:pt>
                <c:pt idx="9">
                  <c:v>-3.2510231076168651E-3</c:v>
                </c:pt>
                <c:pt idx="10">
                  <c:v>-1.0461936832114557E-3</c:v>
                </c:pt>
              </c:numCache>
              <c:extLst/>
            </c:numRef>
          </c:val>
          <c:extLst>
            <c:ext xmlns:c16="http://schemas.microsoft.com/office/drawing/2014/chart" uri="{C3380CC4-5D6E-409C-BE32-E72D297353CC}">
              <c16:uniqueId val="{00000002-48EA-438A-B19A-FA7E3FFE319C}"/>
            </c:ext>
          </c:extLst>
        </c:ser>
        <c:ser>
          <c:idx val="3"/>
          <c:order val="3"/>
          <c:tx>
            <c:strRef>
              <c:f>'Change in tenure 11-19'!$L$27</c:f>
              <c:strCache>
                <c:ptCount val="1"/>
                <c:pt idx="0">
                  <c:v>Private Sector</c:v>
                </c:pt>
              </c:strCache>
            </c:strRef>
          </c:tx>
          <c:spPr>
            <a:solidFill>
              <a:schemeClr val="accent4"/>
            </a:solidFill>
            <a:ln>
              <a:noFill/>
            </a:ln>
            <a:effectLst/>
          </c:spPr>
          <c:invertIfNegative val="0"/>
          <c:cat>
            <c:strRef>
              <c:f>'Change in tenure 11-19'!$H$28:$H$38</c:f>
              <c:strCache>
                <c:ptCount val="11"/>
                <c:pt idx="0">
                  <c:v>Cambridge</c:v>
                </c:pt>
                <c:pt idx="1">
                  <c:v>East Cambridgeshire</c:v>
                </c:pt>
                <c:pt idx="2">
                  <c:v>Fenland</c:v>
                </c:pt>
                <c:pt idx="3">
                  <c:v>Huntingdonshire</c:v>
                </c:pt>
                <c:pt idx="4">
                  <c:v>South Cambridgeshire</c:v>
                </c:pt>
                <c:pt idx="5">
                  <c:v>Forest Heath</c:v>
                </c:pt>
                <c:pt idx="6">
                  <c:v>St Edmundsbury</c:v>
                </c:pt>
                <c:pt idx="7">
                  <c:v>West Suffolk</c:v>
                </c:pt>
                <c:pt idx="8">
                  <c:v>HMA</c:v>
                </c:pt>
                <c:pt idx="9">
                  <c:v>Greater Cambridge</c:v>
                </c:pt>
                <c:pt idx="10">
                  <c:v>England</c:v>
                </c:pt>
              </c:strCache>
              <c:extLst/>
            </c:strRef>
          </c:cat>
          <c:val>
            <c:numRef>
              <c:f>'Change in tenure 11-19'!$L$28:$L$38</c:f>
              <c:numCache>
                <c:formatCode>0.0%</c:formatCode>
                <c:ptCount val="11"/>
                <c:pt idx="0">
                  <c:v>1.591215930397416E-2</c:v>
                </c:pt>
                <c:pt idx="1">
                  <c:v>-7.3768136065432977E-4</c:v>
                </c:pt>
                <c:pt idx="2">
                  <c:v>5.8825375758275733E-4</c:v>
                </c:pt>
                <c:pt idx="3">
                  <c:v>6.1566873960922086E-3</c:v>
                </c:pt>
                <c:pt idx="4">
                  <c:v>7.0830869586493428E-3</c:v>
                </c:pt>
                <c:pt idx="5">
                  <c:v>3.7710232007311939E-3</c:v>
                </c:pt>
                <c:pt idx="6">
                  <c:v>1.287772670679399E-2</c:v>
                </c:pt>
                <c:pt idx="7">
                  <c:v>1.6592928587709888E-2</c:v>
                </c:pt>
                <c:pt idx="8">
                  <c:v>6.7352638635616024E-3</c:v>
                </c:pt>
                <c:pt idx="9">
                  <c:v>-8.7890123869113213E-3</c:v>
                </c:pt>
                <c:pt idx="10">
                  <c:v>4.835156878270519E-3</c:v>
                </c:pt>
              </c:numCache>
              <c:extLst/>
            </c:numRef>
          </c:val>
          <c:extLst>
            <c:ext xmlns:c16="http://schemas.microsoft.com/office/drawing/2014/chart" uri="{C3380CC4-5D6E-409C-BE32-E72D297353CC}">
              <c16:uniqueId val="{00000003-48EA-438A-B19A-FA7E3FFE319C}"/>
            </c:ext>
          </c:extLst>
        </c:ser>
        <c:dLbls>
          <c:showLegendKey val="0"/>
          <c:showVal val="0"/>
          <c:showCatName val="0"/>
          <c:showSerName val="0"/>
          <c:showPercent val="0"/>
          <c:showBubbleSize val="0"/>
        </c:dLbls>
        <c:gapWidth val="219"/>
        <c:overlap val="-27"/>
        <c:axId val="780410624"/>
        <c:axId val="780408992"/>
      </c:barChart>
      <c:catAx>
        <c:axId val="780410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08992"/>
        <c:crosses val="autoZero"/>
        <c:auto val="1"/>
        <c:lblAlgn val="ctr"/>
        <c:lblOffset val="100"/>
        <c:noMultiLvlLbl val="0"/>
      </c:catAx>
      <c:valAx>
        <c:axId val="780408992"/>
        <c:scaling>
          <c:orientation val="minMax"/>
          <c:max val="8.0000000000000016E-2"/>
          <c:min val="-8.0000000000000016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10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'Delivery v Target'!$B$45</c:f>
              <c:strCache>
                <c:ptCount val="1"/>
                <c:pt idx="0">
                  <c:v>Cambridge</c:v>
                </c:pt>
              </c:strCache>
            </c:strRef>
          </c:tx>
          <c:spPr>
            <a:solidFill>
              <a:schemeClr val="accent1"/>
            </a:solidFill>
            <a:ln>
              <a:noFill/>
            </a:ln>
            <a:effectLst/>
          </c:spPr>
          <c:invertIfNegative val="0"/>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Target'!$C$45:$K$45</c:f>
              <c:numCache>
                <c:formatCode>_-* #,##0_-;\-* #,##0_-;_-* "-"??_-;_-@_-</c:formatCode>
                <c:ptCount val="9"/>
                <c:pt idx="0">
                  <c:v>355</c:v>
                </c:pt>
                <c:pt idx="1">
                  <c:v>473</c:v>
                </c:pt>
                <c:pt idx="2">
                  <c:v>1322</c:v>
                </c:pt>
                <c:pt idx="3">
                  <c:v>720</c:v>
                </c:pt>
                <c:pt idx="4">
                  <c:v>869</c:v>
                </c:pt>
                <c:pt idx="5">
                  <c:v>1183</c:v>
                </c:pt>
                <c:pt idx="6">
                  <c:v>1112</c:v>
                </c:pt>
                <c:pt idx="7">
                  <c:v>868</c:v>
                </c:pt>
                <c:pt idx="8">
                  <c:v>541</c:v>
                </c:pt>
              </c:numCache>
            </c:numRef>
          </c:val>
          <c:extLst>
            <c:ext xmlns:c16="http://schemas.microsoft.com/office/drawing/2014/chart" uri="{C3380CC4-5D6E-409C-BE32-E72D297353CC}">
              <c16:uniqueId val="{00000000-CBBF-45A7-9AF9-7CE54A153ED6}"/>
            </c:ext>
          </c:extLst>
        </c:ser>
        <c:ser>
          <c:idx val="1"/>
          <c:order val="1"/>
          <c:tx>
            <c:strRef>
              <c:f>'Delivery v Target'!$B$46</c:f>
              <c:strCache>
                <c:ptCount val="1"/>
                <c:pt idx="0">
                  <c:v>East Cambridgeshire</c:v>
                </c:pt>
              </c:strCache>
            </c:strRef>
          </c:tx>
          <c:spPr>
            <a:solidFill>
              <a:schemeClr val="accent2"/>
            </a:solidFill>
            <a:ln>
              <a:noFill/>
            </a:ln>
            <a:effectLst/>
          </c:spPr>
          <c:invertIfNegative val="0"/>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Target'!$C$46:$K$46</c:f>
              <c:numCache>
                <c:formatCode>_-* #,##0_-;\-* #,##0_-;_-* "-"??_-;_-@_-</c:formatCode>
                <c:ptCount val="9"/>
                <c:pt idx="0">
                  <c:v>369</c:v>
                </c:pt>
                <c:pt idx="1">
                  <c:v>287</c:v>
                </c:pt>
                <c:pt idx="2">
                  <c:v>191</c:v>
                </c:pt>
                <c:pt idx="3">
                  <c:v>162</c:v>
                </c:pt>
                <c:pt idx="4">
                  <c:v>181</c:v>
                </c:pt>
                <c:pt idx="5">
                  <c:v>234</c:v>
                </c:pt>
                <c:pt idx="6">
                  <c:v>289</c:v>
                </c:pt>
                <c:pt idx="7">
                  <c:v>289</c:v>
                </c:pt>
                <c:pt idx="8">
                  <c:v>525</c:v>
                </c:pt>
              </c:numCache>
            </c:numRef>
          </c:val>
          <c:extLst>
            <c:ext xmlns:c16="http://schemas.microsoft.com/office/drawing/2014/chart" uri="{C3380CC4-5D6E-409C-BE32-E72D297353CC}">
              <c16:uniqueId val="{00000001-CBBF-45A7-9AF9-7CE54A153ED6}"/>
            </c:ext>
          </c:extLst>
        </c:ser>
        <c:ser>
          <c:idx val="2"/>
          <c:order val="2"/>
          <c:tx>
            <c:strRef>
              <c:f>'Delivery v Target'!$B$47</c:f>
              <c:strCache>
                <c:ptCount val="1"/>
                <c:pt idx="0">
                  <c:v>Fenland</c:v>
                </c:pt>
              </c:strCache>
            </c:strRef>
          </c:tx>
          <c:spPr>
            <a:solidFill>
              <a:schemeClr val="accent3"/>
            </a:solidFill>
            <a:ln>
              <a:noFill/>
            </a:ln>
            <a:effectLst/>
          </c:spPr>
          <c:invertIfNegative val="0"/>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Target'!$C$47:$K$47</c:f>
              <c:numCache>
                <c:formatCode>_-* #,##0_-;\-* #,##0_-;_-* "-"??_-;_-@_-</c:formatCode>
                <c:ptCount val="9"/>
                <c:pt idx="0">
                  <c:v>210</c:v>
                </c:pt>
                <c:pt idx="1">
                  <c:v>321</c:v>
                </c:pt>
                <c:pt idx="2">
                  <c:v>326</c:v>
                </c:pt>
                <c:pt idx="3">
                  <c:v>552</c:v>
                </c:pt>
                <c:pt idx="4">
                  <c:v>295</c:v>
                </c:pt>
                <c:pt idx="5">
                  <c:v>435</c:v>
                </c:pt>
                <c:pt idx="6">
                  <c:v>449</c:v>
                </c:pt>
                <c:pt idx="7">
                  <c:v>400</c:v>
                </c:pt>
                <c:pt idx="8">
                  <c:v>561</c:v>
                </c:pt>
              </c:numCache>
            </c:numRef>
          </c:val>
          <c:extLst>
            <c:ext xmlns:c16="http://schemas.microsoft.com/office/drawing/2014/chart" uri="{C3380CC4-5D6E-409C-BE32-E72D297353CC}">
              <c16:uniqueId val="{00000002-CBBF-45A7-9AF9-7CE54A153ED6}"/>
            </c:ext>
          </c:extLst>
        </c:ser>
        <c:ser>
          <c:idx val="3"/>
          <c:order val="3"/>
          <c:tx>
            <c:strRef>
              <c:f>'Delivery v Target'!$B$48</c:f>
              <c:strCache>
                <c:ptCount val="1"/>
                <c:pt idx="0">
                  <c:v>Huntingdonshire</c:v>
                </c:pt>
              </c:strCache>
            </c:strRef>
          </c:tx>
          <c:spPr>
            <a:solidFill>
              <a:schemeClr val="accent4"/>
            </a:solidFill>
            <a:ln>
              <a:noFill/>
            </a:ln>
            <a:effectLst/>
          </c:spPr>
          <c:invertIfNegative val="0"/>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Target'!$C$48:$K$48</c:f>
              <c:numCache>
                <c:formatCode>_-* #,##0_-;\-* #,##0_-;_-* "-"??_-;_-@_-</c:formatCode>
                <c:ptCount val="9"/>
                <c:pt idx="0">
                  <c:v>844</c:v>
                </c:pt>
                <c:pt idx="1">
                  <c:v>412</c:v>
                </c:pt>
                <c:pt idx="2">
                  <c:v>686</c:v>
                </c:pt>
                <c:pt idx="3">
                  <c:v>514</c:v>
                </c:pt>
                <c:pt idx="4">
                  <c:v>526</c:v>
                </c:pt>
                <c:pt idx="5">
                  <c:v>688</c:v>
                </c:pt>
                <c:pt idx="6">
                  <c:v>746</c:v>
                </c:pt>
                <c:pt idx="7">
                  <c:v>1040</c:v>
                </c:pt>
                <c:pt idx="8">
                  <c:v>1010</c:v>
                </c:pt>
              </c:numCache>
            </c:numRef>
          </c:val>
          <c:extLst>
            <c:ext xmlns:c16="http://schemas.microsoft.com/office/drawing/2014/chart" uri="{C3380CC4-5D6E-409C-BE32-E72D297353CC}">
              <c16:uniqueId val="{00000003-CBBF-45A7-9AF9-7CE54A153ED6}"/>
            </c:ext>
          </c:extLst>
        </c:ser>
        <c:ser>
          <c:idx val="4"/>
          <c:order val="4"/>
          <c:tx>
            <c:strRef>
              <c:f>'Delivery v Target'!$B$49</c:f>
              <c:strCache>
                <c:ptCount val="1"/>
                <c:pt idx="0">
                  <c:v>South Cambridgeshire</c:v>
                </c:pt>
              </c:strCache>
            </c:strRef>
          </c:tx>
          <c:spPr>
            <a:solidFill>
              <a:schemeClr val="accent5"/>
            </a:solidFill>
            <a:ln>
              <a:noFill/>
            </a:ln>
            <a:effectLst/>
          </c:spPr>
          <c:invertIfNegative val="0"/>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Target'!$C$49:$K$49</c:f>
              <c:numCache>
                <c:formatCode>_-* #,##0_-;\-* #,##0_-;_-* "-"??_-;_-@_-</c:formatCode>
                <c:ptCount val="9"/>
                <c:pt idx="0">
                  <c:v>693</c:v>
                </c:pt>
                <c:pt idx="1">
                  <c:v>555</c:v>
                </c:pt>
                <c:pt idx="2">
                  <c:v>631</c:v>
                </c:pt>
                <c:pt idx="3">
                  <c:v>868</c:v>
                </c:pt>
                <c:pt idx="4">
                  <c:v>679</c:v>
                </c:pt>
                <c:pt idx="5">
                  <c:v>551</c:v>
                </c:pt>
                <c:pt idx="6">
                  <c:v>737</c:v>
                </c:pt>
                <c:pt idx="7" formatCode="#,##0">
                  <c:v>1152</c:v>
                </c:pt>
                <c:pt idx="8">
                  <c:v>989</c:v>
                </c:pt>
              </c:numCache>
            </c:numRef>
          </c:val>
          <c:extLst>
            <c:ext xmlns:c16="http://schemas.microsoft.com/office/drawing/2014/chart" uri="{C3380CC4-5D6E-409C-BE32-E72D297353CC}">
              <c16:uniqueId val="{00000004-CBBF-45A7-9AF9-7CE54A153ED6}"/>
            </c:ext>
          </c:extLst>
        </c:ser>
        <c:ser>
          <c:idx val="5"/>
          <c:order val="5"/>
          <c:tx>
            <c:strRef>
              <c:f>'Delivery v Target'!$B$50</c:f>
              <c:strCache>
                <c:ptCount val="1"/>
                <c:pt idx="0">
                  <c:v>West Sufolk </c:v>
                </c:pt>
              </c:strCache>
            </c:strRef>
          </c:tx>
          <c:spPr>
            <a:solidFill>
              <a:schemeClr val="accent6"/>
            </a:solidFill>
            <a:ln>
              <a:noFill/>
            </a:ln>
            <a:effectLst/>
          </c:spPr>
          <c:invertIfNegative val="0"/>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Target'!$C$50:$K$50</c:f>
              <c:numCache>
                <c:formatCode>_-* #,##0_-;\-* #,##0_-;_-* "-"??_-;_-@_-</c:formatCode>
                <c:ptCount val="9"/>
                <c:pt idx="0">
                  <c:v>466</c:v>
                </c:pt>
                <c:pt idx="1">
                  <c:v>496</c:v>
                </c:pt>
                <c:pt idx="2">
                  <c:v>484</c:v>
                </c:pt>
                <c:pt idx="3">
                  <c:v>596</c:v>
                </c:pt>
                <c:pt idx="4">
                  <c:v>629</c:v>
                </c:pt>
                <c:pt idx="5">
                  <c:v>732</c:v>
                </c:pt>
                <c:pt idx="6">
                  <c:v>615</c:v>
                </c:pt>
                <c:pt idx="7">
                  <c:v>815</c:v>
                </c:pt>
                <c:pt idx="8">
                  <c:v>901</c:v>
                </c:pt>
              </c:numCache>
            </c:numRef>
          </c:val>
          <c:extLst>
            <c:ext xmlns:c16="http://schemas.microsoft.com/office/drawing/2014/chart" uri="{C3380CC4-5D6E-409C-BE32-E72D297353CC}">
              <c16:uniqueId val="{00000005-CBBF-45A7-9AF9-7CE54A153ED6}"/>
            </c:ext>
          </c:extLst>
        </c:ser>
        <c:dLbls>
          <c:showLegendKey val="0"/>
          <c:showVal val="0"/>
          <c:showCatName val="0"/>
          <c:showSerName val="0"/>
          <c:showPercent val="0"/>
          <c:showBubbleSize val="0"/>
        </c:dLbls>
        <c:gapWidth val="219"/>
        <c:overlap val="100"/>
        <c:axId val="481038456"/>
        <c:axId val="481036816"/>
        <c:extLst>
          <c:ext xmlns:c15="http://schemas.microsoft.com/office/drawing/2012/chart" uri="{02D57815-91ED-43cb-92C2-25804820EDAC}">
            <c15:filteredBarSeries>
              <c15:ser>
                <c:idx val="6"/>
                <c:order val="6"/>
                <c:tx>
                  <c:strRef>
                    <c:extLst>
                      <c:ext uri="{02D57815-91ED-43cb-92C2-25804820EDAC}">
                        <c15:formulaRef>
                          <c15:sqref>'Delivery v Target'!$B$51</c15:sqref>
                        </c15:formulaRef>
                      </c:ext>
                    </c:extLst>
                    <c:strCache>
                      <c:ptCount val="1"/>
                      <c:pt idx="0">
                        <c:v>HMA</c:v>
                      </c:pt>
                    </c:strCache>
                  </c:strRef>
                </c:tx>
                <c:spPr>
                  <a:solidFill>
                    <a:schemeClr val="accent1">
                      <a:lumMod val="60000"/>
                    </a:schemeClr>
                  </a:solidFill>
                  <a:ln>
                    <a:noFill/>
                  </a:ln>
                  <a:effectLst/>
                </c:spPr>
                <c:invertIfNegative val="0"/>
                <c:cat>
                  <c:strRef>
                    <c:extLst>
                      <c:ext uri="{02D57815-91ED-43cb-92C2-25804820EDAC}">
                        <c15:formulaRef>
                          <c15:sqref>'Delivery v Target'!$C$44:$K$44</c15:sqref>
                        </c15:formulaRef>
                      </c:ext>
                    </c:extLst>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extLst>
                      <c:ext uri="{02D57815-91ED-43cb-92C2-25804820EDAC}">
                        <c15:formulaRef>
                          <c15:sqref>'Delivery v Target'!$C$51:$K$51</c15:sqref>
                        </c15:formulaRef>
                      </c:ext>
                    </c:extLst>
                    <c:numCache>
                      <c:formatCode>_-* #,##0_-;\-* #,##0_-;_-* "-"??_-;_-@_-</c:formatCode>
                      <c:ptCount val="9"/>
                      <c:pt idx="0">
                        <c:v>2937</c:v>
                      </c:pt>
                      <c:pt idx="1">
                        <c:v>2544</c:v>
                      </c:pt>
                      <c:pt idx="2">
                        <c:v>3641</c:v>
                      </c:pt>
                      <c:pt idx="3">
                        <c:v>3412</c:v>
                      </c:pt>
                      <c:pt idx="4">
                        <c:v>3179</c:v>
                      </c:pt>
                      <c:pt idx="5">
                        <c:v>3823</c:v>
                      </c:pt>
                      <c:pt idx="6">
                        <c:v>3962</c:v>
                      </c:pt>
                      <c:pt idx="7">
                        <c:v>4556</c:v>
                      </c:pt>
                      <c:pt idx="8">
                        <c:v>4329</c:v>
                      </c:pt>
                    </c:numCache>
                  </c:numRef>
                </c:val>
                <c:extLst>
                  <c:ext xmlns:c16="http://schemas.microsoft.com/office/drawing/2014/chart" uri="{C3380CC4-5D6E-409C-BE32-E72D297353CC}">
                    <c16:uniqueId val="{00000007-CBBF-45A7-9AF9-7CE54A153ED6}"/>
                  </c:ext>
                </c:extLst>
              </c15:ser>
            </c15:filteredBarSeries>
          </c:ext>
        </c:extLst>
      </c:barChart>
      <c:lineChart>
        <c:grouping val="standard"/>
        <c:varyColors val="0"/>
        <c:ser>
          <c:idx val="7"/>
          <c:order val="7"/>
          <c:tx>
            <c:strRef>
              <c:f>'Delivery v Target'!$B$52</c:f>
              <c:strCache>
                <c:ptCount val="1"/>
                <c:pt idx="0">
                  <c:v>HMA Average Housing Target </c:v>
                </c:pt>
              </c:strCache>
            </c:strRef>
          </c:tx>
          <c:spPr>
            <a:ln w="28575" cap="rnd">
              <a:solidFill>
                <a:schemeClr val="accent2">
                  <a:lumMod val="60000"/>
                </a:schemeClr>
              </a:solidFill>
              <a:round/>
            </a:ln>
            <a:effectLst/>
          </c:spPr>
          <c:marker>
            <c:symbol val="none"/>
          </c:marker>
          <c:cat>
            <c:strRef>
              <c:f>'Delivery v Target'!$C$44:$K$44</c:f>
              <c:strCache>
                <c:ptCount val="9"/>
                <c:pt idx="0">
                  <c:v>2011-12</c:v>
                </c:pt>
                <c:pt idx="1">
                  <c:v>2012-13</c:v>
                </c:pt>
                <c:pt idx="2">
                  <c:v>2013-14</c:v>
                </c:pt>
                <c:pt idx="3">
                  <c:v>2014-15</c:v>
                </c:pt>
                <c:pt idx="4">
                  <c:v>2015-16</c:v>
                </c:pt>
                <c:pt idx="5">
                  <c:v>2016-17</c:v>
                </c:pt>
                <c:pt idx="6">
                  <c:v>2017-18</c:v>
                </c:pt>
                <c:pt idx="7">
                  <c:v>2018-19</c:v>
                </c:pt>
                <c:pt idx="8">
                  <c:v>2019-20 (traj)</c:v>
                </c:pt>
              </c:strCache>
            </c:strRef>
          </c:cat>
          <c:val>
            <c:numRef>
              <c:f>'Delivery v Target'!$C$52:$K$52</c:f>
              <c:numCache>
                <c:formatCode>_-* #,##0_-;\-* #,##0_-;_-* "-"??_-;_-@_-</c:formatCode>
                <c:ptCount val="9"/>
                <c:pt idx="0">
                  <c:v>4461</c:v>
                </c:pt>
                <c:pt idx="1">
                  <c:v>4461</c:v>
                </c:pt>
                <c:pt idx="2">
                  <c:v>4461</c:v>
                </c:pt>
                <c:pt idx="3">
                  <c:v>4461</c:v>
                </c:pt>
                <c:pt idx="4">
                  <c:v>4461</c:v>
                </c:pt>
                <c:pt idx="5">
                  <c:v>4461</c:v>
                </c:pt>
                <c:pt idx="6">
                  <c:v>4461</c:v>
                </c:pt>
                <c:pt idx="7">
                  <c:v>4461</c:v>
                </c:pt>
                <c:pt idx="8">
                  <c:v>4461</c:v>
                </c:pt>
              </c:numCache>
            </c:numRef>
          </c:val>
          <c:smooth val="0"/>
          <c:extLst>
            <c:ext xmlns:c16="http://schemas.microsoft.com/office/drawing/2014/chart" uri="{C3380CC4-5D6E-409C-BE32-E72D297353CC}">
              <c16:uniqueId val="{00000006-CBBF-45A7-9AF9-7CE54A153ED6}"/>
            </c:ext>
          </c:extLst>
        </c:ser>
        <c:dLbls>
          <c:showLegendKey val="0"/>
          <c:showVal val="0"/>
          <c:showCatName val="0"/>
          <c:showSerName val="0"/>
          <c:showPercent val="0"/>
          <c:showBubbleSize val="0"/>
        </c:dLbls>
        <c:marker val="1"/>
        <c:smooth val="0"/>
        <c:axId val="481038456"/>
        <c:axId val="481036816"/>
      </c:lineChart>
      <c:catAx>
        <c:axId val="48103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36816"/>
        <c:crosses val="autoZero"/>
        <c:auto val="1"/>
        <c:lblAlgn val="ctr"/>
        <c:lblOffset val="100"/>
        <c:noMultiLvlLbl val="0"/>
      </c:catAx>
      <c:valAx>
        <c:axId val="48103681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3845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6.3196761421771427E-2"/>
          <c:y val="0.79948824482046121"/>
          <c:w val="0.8853348279381742"/>
          <c:h val="0.16442560064607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709172</c:v>
                </c:pt>
                <c:pt idx="1">
                  <c:v>714907</c:v>
                </c:pt>
                <c:pt idx="2">
                  <c:v>726733</c:v>
                </c:pt>
                <c:pt idx="3">
                  <c:v>733914</c:v>
                </c:pt>
                <c:pt idx="4">
                  <c:v>745057</c:v>
                </c:pt>
                <c:pt idx="5">
                  <c:v>751298</c:v>
                </c:pt>
                <c:pt idx="6">
                  <c:v>758029</c:v>
                </c:pt>
                <c:pt idx="7">
                  <c:v>765767</c:v>
                </c:pt>
                <c:pt idx="8">
                  <c:v>772563</c:v>
                </c:pt>
                <c:pt idx="9">
                  <c:v>783503</c:v>
                </c:pt>
                <c:pt idx="10">
                  <c:v>793793</c:v>
                </c:pt>
                <c:pt idx="11">
                  <c:v>797376</c:v>
                </c:pt>
                <c:pt idx="12">
                  <c:v>800597</c:v>
                </c:pt>
                <c:pt idx="13">
                  <c:v>810068</c:v>
                </c:pt>
                <c:pt idx="14">
                  <c:v>818149</c:v>
                </c:pt>
                <c:pt idx="15">
                  <c:v>821262</c:v>
                </c:pt>
                <c:pt idx="16">
                  <c:v>827485</c:v>
                </c:pt>
                <c:pt idx="17">
                  <c:v>830363</c:v>
                </c:pt>
              </c:numCache>
            </c:numRef>
          </c:val>
          <c:smooth val="0"/>
          <c:extLst>
            <c:ext xmlns:c16="http://schemas.microsoft.com/office/drawing/2014/chart" uri="{C3380CC4-5D6E-409C-BE32-E72D297353CC}">
              <c16:uniqueId val="{00000000-51AD-41D6-9D72-7E9FFCB07822}"/>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709172</c:v>
                </c:pt>
                <c:pt idx="1">
                  <c:v>714907</c:v>
                </c:pt>
                <c:pt idx="2">
                  <c:v>726733</c:v>
                </c:pt>
                <c:pt idx="3">
                  <c:v>733914</c:v>
                </c:pt>
                <c:pt idx="4">
                  <c:v>745057</c:v>
                </c:pt>
                <c:pt idx="5">
                  <c:v>751298</c:v>
                </c:pt>
                <c:pt idx="6">
                  <c:v>758029</c:v>
                </c:pt>
                <c:pt idx="7">
                  <c:v>765767</c:v>
                </c:pt>
                <c:pt idx="8">
                  <c:v>772563</c:v>
                </c:pt>
                <c:pt idx="9">
                  <c:v>783503</c:v>
                </c:pt>
                <c:pt idx="10">
                  <c:v>793793</c:v>
                </c:pt>
                <c:pt idx="11">
                  <c:v>800684</c:v>
                </c:pt>
                <c:pt idx="12">
                  <c:v>805845</c:v>
                </c:pt>
                <c:pt idx="13">
                  <c:v>814703</c:v>
                </c:pt>
                <c:pt idx="14">
                  <c:v>823452</c:v>
                </c:pt>
                <c:pt idx="15">
                  <c:v>829325</c:v>
                </c:pt>
              </c:numCache>
            </c:numRef>
          </c:val>
          <c:smooth val="0"/>
          <c:extLst>
            <c:ext xmlns:c16="http://schemas.microsoft.com/office/drawing/2014/chart" uri="{C3380CC4-5D6E-409C-BE32-E72D297353CC}">
              <c16:uniqueId val="{00000001-51AD-41D6-9D72-7E9FFCB07822}"/>
            </c:ext>
          </c:extLst>
        </c:ser>
        <c:ser>
          <c:idx val="2"/>
          <c:order val="2"/>
          <c:tx>
            <c:strRef>
              <c:f>Sheet1!$D$1</c:f>
              <c:strCache>
                <c:ptCount val="1"/>
                <c:pt idx="0">
                  <c:v>2018-SNPP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5">
                  <c:v>821262</c:v>
                </c:pt>
                <c:pt idx="16">
                  <c:v>825573</c:v>
                </c:pt>
                <c:pt idx="17">
                  <c:v>830241</c:v>
                </c:pt>
                <c:pt idx="18">
                  <c:v>834848</c:v>
                </c:pt>
                <c:pt idx="19">
                  <c:v>839281</c:v>
                </c:pt>
                <c:pt idx="20">
                  <c:v>843481</c:v>
                </c:pt>
                <c:pt idx="21">
                  <c:v>847532</c:v>
                </c:pt>
                <c:pt idx="22">
                  <c:v>851500</c:v>
                </c:pt>
                <c:pt idx="23">
                  <c:v>855414</c:v>
                </c:pt>
                <c:pt idx="24">
                  <c:v>859305</c:v>
                </c:pt>
                <c:pt idx="25">
                  <c:v>863085</c:v>
                </c:pt>
                <c:pt idx="26">
                  <c:v>866716</c:v>
                </c:pt>
                <c:pt idx="27">
                  <c:v>870127</c:v>
                </c:pt>
                <c:pt idx="28">
                  <c:v>873410</c:v>
                </c:pt>
                <c:pt idx="29">
                  <c:v>876543</c:v>
                </c:pt>
                <c:pt idx="30">
                  <c:v>879538</c:v>
                </c:pt>
                <c:pt idx="31">
                  <c:v>882323</c:v>
                </c:pt>
                <c:pt idx="32">
                  <c:v>885021</c:v>
                </c:pt>
                <c:pt idx="33">
                  <c:v>887639</c:v>
                </c:pt>
                <c:pt idx="34">
                  <c:v>890139</c:v>
                </c:pt>
                <c:pt idx="35">
                  <c:v>892598</c:v>
                </c:pt>
                <c:pt idx="36">
                  <c:v>895049</c:v>
                </c:pt>
                <c:pt idx="37">
                  <c:v>897504</c:v>
                </c:pt>
                <c:pt idx="38">
                  <c:v>899993</c:v>
                </c:pt>
                <c:pt idx="39">
                  <c:v>902532</c:v>
                </c:pt>
              </c:numCache>
            </c:numRef>
          </c:val>
          <c:smooth val="0"/>
          <c:extLst>
            <c:ext xmlns:c16="http://schemas.microsoft.com/office/drawing/2014/chart" uri="{C3380CC4-5D6E-409C-BE32-E72D297353CC}">
              <c16:uniqueId val="{00000002-51AD-41D6-9D72-7E9FFCB07822}"/>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814703</c:v>
                </c:pt>
                <c:pt idx="14">
                  <c:v>822810.61600000004</c:v>
                </c:pt>
                <c:pt idx="15">
                  <c:v>830445.23600000003</c:v>
                </c:pt>
                <c:pt idx="16">
                  <c:v>837856.34699999995</c:v>
                </c:pt>
                <c:pt idx="17">
                  <c:v>845184.64800000004</c:v>
                </c:pt>
                <c:pt idx="18">
                  <c:v>852204.69</c:v>
                </c:pt>
                <c:pt idx="19">
                  <c:v>859019.09699999995</c:v>
                </c:pt>
                <c:pt idx="20">
                  <c:v>865624.60100000002</c:v>
                </c:pt>
                <c:pt idx="21">
                  <c:v>872252.821</c:v>
                </c:pt>
                <c:pt idx="22">
                  <c:v>878879.42599999998</c:v>
                </c:pt>
                <c:pt idx="23">
                  <c:v>885445.45</c:v>
                </c:pt>
                <c:pt idx="24">
                  <c:v>891952.20499999996</c:v>
                </c:pt>
                <c:pt idx="25">
                  <c:v>898296.98599999992</c:v>
                </c:pt>
                <c:pt idx="26">
                  <c:v>904472.53799999983</c:v>
                </c:pt>
                <c:pt idx="27">
                  <c:v>910404.46399999992</c:v>
                </c:pt>
                <c:pt idx="28">
                  <c:v>916208.03299999994</c:v>
                </c:pt>
                <c:pt idx="29">
                  <c:v>921838.81</c:v>
                </c:pt>
                <c:pt idx="30">
                  <c:v>927302.33100000001</c:v>
                </c:pt>
                <c:pt idx="31">
                  <c:v>932591.78899999999</c:v>
                </c:pt>
                <c:pt idx="32">
                  <c:v>937758.03500000003</c:v>
                </c:pt>
                <c:pt idx="33">
                  <c:v>942838.26699999988</c:v>
                </c:pt>
                <c:pt idx="34">
                  <c:v>947851.03600000008</c:v>
                </c:pt>
                <c:pt idx="35">
                  <c:v>952816.69699999993</c:v>
                </c:pt>
                <c:pt idx="36">
                  <c:v>957714.19100000011</c:v>
                </c:pt>
                <c:pt idx="37">
                  <c:v>962564.9709999999</c:v>
                </c:pt>
                <c:pt idx="38">
                  <c:v>967377.47500000009</c:v>
                </c:pt>
              </c:numCache>
            </c:numRef>
          </c:val>
          <c:smooth val="0"/>
          <c:extLst>
            <c:ext xmlns:c16="http://schemas.microsoft.com/office/drawing/2014/chart" uri="{C3380CC4-5D6E-409C-BE32-E72D297353CC}">
              <c16:uniqueId val="{00000003-51AD-41D6-9D72-7E9FFCB07822}"/>
            </c:ext>
          </c:extLst>
        </c:ser>
        <c:ser>
          <c:idx val="4"/>
          <c:order val="4"/>
          <c:tx>
            <c:strRef>
              <c:f>Sheet1!$F$1</c:f>
              <c:strCache>
                <c:ptCount val="1"/>
                <c:pt idx="0">
                  <c:v>GLH (SM)</c:v>
                </c:pt>
              </c:strCache>
            </c:strRef>
          </c:tx>
          <c:spPr>
            <a:ln w="28575" cap="rnd">
              <a:solidFill>
                <a:srgbClr val="00B050"/>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843878.33333333326</c:v>
                </c:pt>
                <c:pt idx="18">
                  <c:v>853652.42543599044</c:v>
                </c:pt>
                <c:pt idx="19">
                  <c:v>862375.80242818268</c:v>
                </c:pt>
                <c:pt idx="20">
                  <c:v>871723.75801253202</c:v>
                </c:pt>
                <c:pt idx="21">
                  <c:v>881017.29092381638</c:v>
                </c:pt>
                <c:pt idx="22">
                  <c:v>890330.53114617115</c:v>
                </c:pt>
                <c:pt idx="23">
                  <c:v>899707.6247476358</c:v>
                </c:pt>
                <c:pt idx="24">
                  <c:v>909158.80100968259</c:v>
                </c:pt>
                <c:pt idx="25">
                  <c:v>918601.901859615</c:v>
                </c:pt>
                <c:pt idx="26">
                  <c:v>927990.86092283821</c:v>
                </c:pt>
                <c:pt idx="27">
                  <c:v>937229.8102983227</c:v>
                </c:pt>
                <c:pt idx="28">
                  <c:v>946408.41450591176</c:v>
                </c:pt>
                <c:pt idx="29">
                  <c:v>955484.17122676864</c:v>
                </c:pt>
                <c:pt idx="30">
                  <c:v>964455.60663442221</c:v>
                </c:pt>
                <c:pt idx="31">
                  <c:v>973235.90931406419</c:v>
                </c:pt>
                <c:pt idx="32">
                  <c:v>981919.57434785564</c:v>
                </c:pt>
                <c:pt idx="33">
                  <c:v>990521.11684191437</c:v>
                </c:pt>
                <c:pt idx="34">
                  <c:v>999013.58651492326</c:v>
                </c:pt>
                <c:pt idx="35">
                  <c:v>1007421.2070313733</c:v>
                </c:pt>
                <c:pt idx="36">
                  <c:v>1015798.1032470786</c:v>
                </c:pt>
                <c:pt idx="37">
                  <c:v>1024170.0227131589</c:v>
                </c:pt>
                <c:pt idx="38">
                  <c:v>1032560.1409789821</c:v>
                </c:pt>
                <c:pt idx="39">
                  <c:v>1040978.2814697369</c:v>
                </c:pt>
              </c:numCache>
            </c:numRef>
          </c:val>
          <c:smooth val="0"/>
          <c:extLst>
            <c:ext xmlns:c16="http://schemas.microsoft.com/office/drawing/2014/chart" uri="{C3380CC4-5D6E-409C-BE32-E72D297353CC}">
              <c16:uniqueId val="{00000004-51AD-41D6-9D72-7E9FFCB07822}"/>
            </c:ext>
          </c:extLst>
        </c:ser>
        <c:dLbls>
          <c:showLegendKey val="0"/>
          <c:showVal val="0"/>
          <c:showCatName val="0"/>
          <c:showSerName val="0"/>
          <c:showPercent val="0"/>
          <c:showBubbleSize val="0"/>
        </c:dLbls>
        <c:smooth val="0"/>
        <c:axId val="780409536"/>
        <c:axId val="780404096"/>
      </c:lineChart>
      <c:catAx>
        <c:axId val="78040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780404096"/>
        <c:crosses val="autoZero"/>
        <c:auto val="1"/>
        <c:lblAlgn val="ctr"/>
        <c:lblOffset val="100"/>
        <c:noMultiLvlLbl val="0"/>
      </c:catAx>
      <c:valAx>
        <c:axId val="780404096"/>
        <c:scaling>
          <c:orientation val="minMax"/>
          <c:min val="6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78040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16836487700006E-2"/>
          <c:y val="5.6361985152227789E-2"/>
          <c:w val="0.88040212580484489"/>
          <c:h val="0.57239852321109197"/>
        </c:manualLayout>
      </c:layout>
      <c:lineChart>
        <c:grouping val="standard"/>
        <c:varyColors val="0"/>
        <c:ser>
          <c:idx val="0"/>
          <c:order val="0"/>
          <c:tx>
            <c:strRef>
              <c:f>'population change'!$A$22</c:f>
              <c:strCache>
                <c:ptCount val="1"/>
                <c:pt idx="0">
                  <c:v>Cambridge</c:v>
                </c:pt>
              </c:strCache>
            </c:strRef>
          </c:tx>
          <c:spPr>
            <a:ln w="15875" cap="rnd">
              <a:solidFill>
                <a:schemeClr val="accent1"/>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change'!$B$22:$AD$22</c:f>
              <c:numCache>
                <c:formatCode>_(* #,##0.00_);_(* \(#,##0.00\);_(* "-"??_);_(@_)</c:formatCode>
                <c:ptCount val="29"/>
                <c:pt idx="0">
                  <c:v>1</c:v>
                </c:pt>
                <c:pt idx="1">
                  <c:v>1.0152324709411324</c:v>
                </c:pt>
                <c:pt idx="2">
                  <c:v>1.027334083239595</c:v>
                </c:pt>
                <c:pt idx="3">
                  <c:v>1.0054649418822648</c:v>
                </c:pt>
                <c:pt idx="4">
                  <c:v>1.0084645669291339</c:v>
                </c:pt>
                <c:pt idx="5">
                  <c:v>1.0126640419947506</c:v>
                </c:pt>
                <c:pt idx="6">
                  <c:v>1.0134326959130109</c:v>
                </c:pt>
                <c:pt idx="7">
                  <c:v>1.0232658417697789</c:v>
                </c:pt>
                <c:pt idx="8">
                  <c:v>1.0299025121859768</c:v>
                </c:pt>
                <c:pt idx="9">
                  <c:v>1.0303993250843644</c:v>
                </c:pt>
                <c:pt idx="10">
                  <c:v>1.0305680539932509</c:v>
                </c:pt>
                <c:pt idx="11">
                  <c:v>1.0268372703412074</c:v>
                </c:pt>
                <c:pt idx="12">
                  <c:v>1.0434664416947881</c:v>
                </c:pt>
                <c:pt idx="13">
                  <c:v>1.0514341957255342</c:v>
                </c:pt>
                <c:pt idx="14">
                  <c:v>1.098772028496438</c:v>
                </c:pt>
                <c:pt idx="15">
                  <c:v>1.0934945631796025</c:v>
                </c:pt>
                <c:pt idx="16">
                  <c:v>1.0822459692538433</c:v>
                </c:pt>
                <c:pt idx="17">
                  <c:v>1.0890794900637419</c:v>
                </c:pt>
                <c:pt idx="18">
                  <c:v>1.0943569553805774</c:v>
                </c:pt>
                <c:pt idx="19">
                  <c:v>1.1269122609673792</c:v>
                </c:pt>
                <c:pt idx="20">
                  <c:v>1.150403074615673</c:v>
                </c:pt>
                <c:pt idx="21">
                  <c:v>1.1492407199100112</c:v>
                </c:pt>
                <c:pt idx="22">
                  <c:v>1.1532058492688413</c:v>
                </c:pt>
                <c:pt idx="23">
                  <c:v>1.1598706411698538</c:v>
                </c:pt>
                <c:pt idx="24">
                  <c:v>1.1727127859017623</c:v>
                </c:pt>
                <c:pt idx="25">
                  <c:v>1.1683070866141732</c:v>
                </c:pt>
                <c:pt idx="26">
                  <c:v>1.1709692538432697</c:v>
                </c:pt>
                <c:pt idx="27">
                  <c:v>1.1788338957630295</c:v>
                </c:pt>
                <c:pt idx="28">
                  <c:v>1.1698537682789651</c:v>
                </c:pt>
              </c:numCache>
            </c:numRef>
          </c:val>
          <c:smooth val="0"/>
          <c:extLst>
            <c:ext xmlns:c16="http://schemas.microsoft.com/office/drawing/2014/chart" uri="{C3380CC4-5D6E-409C-BE32-E72D297353CC}">
              <c16:uniqueId val="{00000000-DD55-4F00-9E52-E545E1C79B9A}"/>
            </c:ext>
          </c:extLst>
        </c:ser>
        <c:ser>
          <c:idx val="1"/>
          <c:order val="1"/>
          <c:tx>
            <c:strRef>
              <c:f>'population change'!$A$23</c:f>
              <c:strCache>
                <c:ptCount val="1"/>
                <c:pt idx="0">
                  <c:v>East Cambridgeshire</c:v>
                </c:pt>
              </c:strCache>
            </c:strRef>
          </c:tx>
          <c:spPr>
            <a:ln w="15875" cap="rnd">
              <a:solidFill>
                <a:schemeClr val="accent2"/>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change'!$B$23:$AD$23</c:f>
              <c:numCache>
                <c:formatCode>_(* #,##0.00_);_(* \(#,##0.00\);_(* "-"??_);_(@_)</c:formatCode>
                <c:ptCount val="29"/>
                <c:pt idx="0">
                  <c:v>1</c:v>
                </c:pt>
                <c:pt idx="1">
                  <c:v>0.99986853565148803</c:v>
                </c:pt>
                <c:pt idx="2">
                  <c:v>1.0093832678750432</c:v>
                </c:pt>
                <c:pt idx="3">
                  <c:v>1.0265064992687296</c:v>
                </c:pt>
                <c:pt idx="4">
                  <c:v>1.0497428228682235</c:v>
                </c:pt>
                <c:pt idx="5">
                  <c:v>1.0898723152515077</c:v>
                </c:pt>
                <c:pt idx="6">
                  <c:v>1.1257949484824084</c:v>
                </c:pt>
                <c:pt idx="7">
                  <c:v>1.1718074704616042</c:v>
                </c:pt>
                <c:pt idx="8">
                  <c:v>1.1707393226299443</c:v>
                </c:pt>
                <c:pt idx="9">
                  <c:v>1.1942878740571541</c:v>
                </c:pt>
                <c:pt idx="10">
                  <c:v>1.2063661610766929</c:v>
                </c:pt>
                <c:pt idx="11">
                  <c:v>1.2214352620248796</c:v>
                </c:pt>
                <c:pt idx="12">
                  <c:v>1.2726899249009909</c:v>
                </c:pt>
                <c:pt idx="13">
                  <c:v>1.2488455786896291</c:v>
                </c:pt>
                <c:pt idx="14">
                  <c:v>1.2690253561862193</c:v>
                </c:pt>
                <c:pt idx="15">
                  <c:v>1.2888271736808374</c:v>
                </c:pt>
                <c:pt idx="16">
                  <c:v>1.3133781407654512</c:v>
                </c:pt>
                <c:pt idx="17">
                  <c:v>1.3316516852086175</c:v>
                </c:pt>
                <c:pt idx="18">
                  <c:v>1.3533761688002235</c:v>
                </c:pt>
                <c:pt idx="19">
                  <c:v>1.3689218280117661</c:v>
                </c:pt>
                <c:pt idx="20">
                  <c:v>1.3844017550490526</c:v>
                </c:pt>
                <c:pt idx="21">
                  <c:v>1.4004239725239511</c:v>
                </c:pt>
                <c:pt idx="22">
                  <c:v>1.412288629977158</c:v>
                </c:pt>
                <c:pt idx="23">
                  <c:v>1.4304142770282484</c:v>
                </c:pt>
                <c:pt idx="24">
                  <c:v>1.4425418631784792</c:v>
                </c:pt>
                <c:pt idx="25">
                  <c:v>1.4492136788654626</c:v>
                </c:pt>
                <c:pt idx="26">
                  <c:v>1.4602073850097776</c:v>
                </c:pt>
                <c:pt idx="27">
                  <c:v>1.4684896389660329</c:v>
                </c:pt>
                <c:pt idx="28">
                  <c:v>1.4756873120470642</c:v>
                </c:pt>
              </c:numCache>
            </c:numRef>
          </c:val>
          <c:smooth val="0"/>
          <c:extLst>
            <c:ext xmlns:c16="http://schemas.microsoft.com/office/drawing/2014/chart" uri="{C3380CC4-5D6E-409C-BE32-E72D297353CC}">
              <c16:uniqueId val="{00000001-DD55-4F00-9E52-E545E1C79B9A}"/>
            </c:ext>
          </c:extLst>
        </c:ser>
        <c:ser>
          <c:idx val="2"/>
          <c:order val="2"/>
          <c:tx>
            <c:strRef>
              <c:f>'population change'!$A$24</c:f>
              <c:strCache>
                <c:ptCount val="1"/>
                <c:pt idx="0">
                  <c:v>Fenland</c:v>
                </c:pt>
              </c:strCache>
            </c:strRef>
          </c:tx>
          <c:spPr>
            <a:ln w="15875" cap="rnd">
              <a:solidFill>
                <a:schemeClr val="accent3"/>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change'!$B$24:$AD$24</c:f>
              <c:numCache>
                <c:formatCode>_(* #,##0.00_);_(* \(#,##0.00\);_(* "-"??_);_(@_)</c:formatCode>
                <c:ptCount val="29"/>
                <c:pt idx="0">
                  <c:v>1</c:v>
                </c:pt>
                <c:pt idx="1">
                  <c:v>1.021111658697071</c:v>
                </c:pt>
                <c:pt idx="2">
                  <c:v>1.034564513765867</c:v>
                </c:pt>
                <c:pt idx="3">
                  <c:v>1.041623932762364</c:v>
                </c:pt>
                <c:pt idx="4">
                  <c:v>1.0473513859104653</c:v>
                </c:pt>
                <c:pt idx="5">
                  <c:v>1.0521331433062056</c:v>
                </c:pt>
                <c:pt idx="6">
                  <c:v>1.0673708326118518</c:v>
                </c:pt>
                <c:pt idx="7">
                  <c:v>1.0830347509889846</c:v>
                </c:pt>
                <c:pt idx="8">
                  <c:v>1.0963410898144572</c:v>
                </c:pt>
                <c:pt idx="9">
                  <c:v>1.1039466148087964</c:v>
                </c:pt>
                <c:pt idx="10">
                  <c:v>1.1146822595468653</c:v>
                </c:pt>
                <c:pt idx="11">
                  <c:v>1.1278554017874982</c:v>
                </c:pt>
                <c:pt idx="12">
                  <c:v>1.1494332485315077</c:v>
                </c:pt>
                <c:pt idx="13">
                  <c:v>1.1719035123939423</c:v>
                </c:pt>
                <c:pt idx="14">
                  <c:v>1.1850233760006395</c:v>
                </c:pt>
                <c:pt idx="15">
                  <c:v>1.2073870825952022</c:v>
                </c:pt>
                <c:pt idx="16">
                  <c:v>1.2349054970230564</c:v>
                </c:pt>
                <c:pt idx="17">
                  <c:v>1.2474259759979753</c:v>
                </c:pt>
                <c:pt idx="18">
                  <c:v>1.2574290395194268</c:v>
                </c:pt>
                <c:pt idx="19">
                  <c:v>1.2671657098711988</c:v>
                </c:pt>
                <c:pt idx="20">
                  <c:v>1.2715079185369687</c:v>
                </c:pt>
                <c:pt idx="21">
                  <c:v>1.2783542229977223</c:v>
                </c:pt>
                <c:pt idx="22">
                  <c:v>1.2869054437444223</c:v>
                </c:pt>
                <c:pt idx="23">
                  <c:v>1.299878791107796</c:v>
                </c:pt>
                <c:pt idx="24">
                  <c:v>1.3161687334336747</c:v>
                </c:pt>
                <c:pt idx="25">
                  <c:v>1.3271174927074869</c:v>
                </c:pt>
                <c:pt idx="26">
                  <c:v>1.3423019033791974</c:v>
                </c:pt>
                <c:pt idx="27">
                  <c:v>1.3518254591952263</c:v>
                </c:pt>
                <c:pt idx="28">
                  <c:v>1.3572731995151643</c:v>
                </c:pt>
              </c:numCache>
            </c:numRef>
          </c:val>
          <c:smooth val="0"/>
          <c:extLst>
            <c:ext xmlns:c16="http://schemas.microsoft.com/office/drawing/2014/chart" uri="{C3380CC4-5D6E-409C-BE32-E72D297353CC}">
              <c16:uniqueId val="{00000002-DD55-4F00-9E52-E545E1C79B9A}"/>
            </c:ext>
          </c:extLst>
        </c:ser>
        <c:ser>
          <c:idx val="3"/>
          <c:order val="3"/>
          <c:tx>
            <c:strRef>
              <c:f>'population change'!$A$25</c:f>
              <c:strCache>
                <c:ptCount val="1"/>
                <c:pt idx="0">
                  <c:v>Huntingdonshire</c:v>
                </c:pt>
              </c:strCache>
            </c:strRef>
          </c:tx>
          <c:spPr>
            <a:ln w="15875" cap="rnd">
              <a:solidFill>
                <a:schemeClr val="accent4"/>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change'!$B$25:$AD$25</c:f>
              <c:numCache>
                <c:formatCode>_(* #,##0.00_);_(* \(#,##0.00\);_(* "-"??_);_(@_)</c:formatCode>
                <c:ptCount val="29"/>
                <c:pt idx="0">
                  <c:v>1</c:v>
                </c:pt>
                <c:pt idx="1">
                  <c:v>1.0184439697666776</c:v>
                </c:pt>
                <c:pt idx="2">
                  <c:v>1.0154863621426224</c:v>
                </c:pt>
                <c:pt idx="3">
                  <c:v>1.0223532150290284</c:v>
                </c:pt>
                <c:pt idx="4">
                  <c:v>1.0195256873699201</c:v>
                </c:pt>
                <c:pt idx="5">
                  <c:v>1.0393046883557893</c:v>
                </c:pt>
                <c:pt idx="6">
                  <c:v>1.0584538284587579</c:v>
                </c:pt>
                <c:pt idx="7">
                  <c:v>1.0596450870851133</c:v>
                </c:pt>
                <c:pt idx="8">
                  <c:v>1.0650810603571037</c:v>
                </c:pt>
                <c:pt idx="9">
                  <c:v>1.076329554168036</c:v>
                </c:pt>
                <c:pt idx="10">
                  <c:v>1.0761652426333661</c:v>
                </c:pt>
                <c:pt idx="11">
                  <c:v>1.0849764486800306</c:v>
                </c:pt>
                <c:pt idx="12">
                  <c:v>1.0928497097162888</c:v>
                </c:pt>
                <c:pt idx="13">
                  <c:v>1.1135803483404536</c:v>
                </c:pt>
                <c:pt idx="14">
                  <c:v>1.1147305290831417</c:v>
                </c:pt>
                <c:pt idx="15">
                  <c:v>1.1220834702596123</c:v>
                </c:pt>
                <c:pt idx="16">
                  <c:v>1.128026070763501</c:v>
                </c:pt>
                <c:pt idx="17">
                  <c:v>1.1388569394238142</c:v>
                </c:pt>
                <c:pt idx="18">
                  <c:v>1.1436904370686822</c:v>
                </c:pt>
                <c:pt idx="19">
                  <c:v>1.1525906451966261</c:v>
                </c:pt>
                <c:pt idx="20">
                  <c:v>1.1641403768211196</c:v>
                </c:pt>
                <c:pt idx="21">
                  <c:v>1.1721300251944353</c:v>
                </c:pt>
                <c:pt idx="22">
                  <c:v>1.1785724066162777</c:v>
                </c:pt>
                <c:pt idx="23">
                  <c:v>1.1904576076240552</c:v>
                </c:pt>
                <c:pt idx="24">
                  <c:v>1.2003916091576294</c:v>
                </c:pt>
                <c:pt idx="25">
                  <c:v>1.205601654069449</c:v>
                </c:pt>
                <c:pt idx="26">
                  <c:v>1.2116537955964508</c:v>
                </c:pt>
                <c:pt idx="27">
                  <c:v>1.2142074706977763</c:v>
                </c:pt>
                <c:pt idx="28">
                  <c:v>1.2186438821338592</c:v>
                </c:pt>
              </c:numCache>
            </c:numRef>
          </c:val>
          <c:smooth val="0"/>
          <c:extLst>
            <c:ext xmlns:c16="http://schemas.microsoft.com/office/drawing/2014/chart" uri="{C3380CC4-5D6E-409C-BE32-E72D297353CC}">
              <c16:uniqueId val="{00000003-DD55-4F00-9E52-E545E1C79B9A}"/>
            </c:ext>
          </c:extLst>
        </c:ser>
        <c:ser>
          <c:idx val="4"/>
          <c:order val="4"/>
          <c:tx>
            <c:strRef>
              <c:f>'population change'!$A$26</c:f>
              <c:strCache>
                <c:ptCount val="1"/>
                <c:pt idx="0">
                  <c:v>South Cambridgeshire</c:v>
                </c:pt>
              </c:strCache>
            </c:strRef>
          </c:tx>
          <c:spPr>
            <a:ln w="15875" cap="rnd">
              <a:solidFill>
                <a:schemeClr val="accent5"/>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change'!$B$26:$AD$26</c:f>
              <c:numCache>
                <c:formatCode>_(* #,##0.00_);_(* \(#,##0.00\);_(* "-"??_);_(@_)</c:formatCode>
                <c:ptCount val="29"/>
                <c:pt idx="0">
                  <c:v>1</c:v>
                </c:pt>
                <c:pt idx="1">
                  <c:v>0.99756381652339388</c:v>
                </c:pt>
                <c:pt idx="2">
                  <c:v>1.0007136295032482</c:v>
                </c:pt>
                <c:pt idx="3">
                  <c:v>0.99607913905111889</c:v>
                </c:pt>
                <c:pt idx="4">
                  <c:v>1.0144530481002692</c:v>
                </c:pt>
                <c:pt idx="5">
                  <c:v>1.0273968108143579</c:v>
                </c:pt>
                <c:pt idx="6">
                  <c:v>1.0464023229870727</c:v>
                </c:pt>
                <c:pt idx="7">
                  <c:v>1.0531284861211365</c:v>
                </c:pt>
                <c:pt idx="8">
                  <c:v>1.0547690137148107</c:v>
                </c:pt>
                <c:pt idx="9">
                  <c:v>1.0554744405800907</c:v>
                </c:pt>
                <c:pt idx="10">
                  <c:v>1.0702473915611261</c:v>
                </c:pt>
                <c:pt idx="11">
                  <c:v>1.0818705295623072</c:v>
                </c:pt>
                <c:pt idx="12">
                  <c:v>1.0996210381258613</c:v>
                </c:pt>
                <c:pt idx="13">
                  <c:v>1.1126468272196339</c:v>
                </c:pt>
                <c:pt idx="14">
                  <c:v>1.1272065096134918</c:v>
                </c:pt>
                <c:pt idx="15">
                  <c:v>1.1423321740271672</c:v>
                </c:pt>
                <c:pt idx="16">
                  <c:v>1.16054203031695</c:v>
                </c:pt>
                <c:pt idx="17">
                  <c:v>1.1778249885163068</c:v>
                </c:pt>
                <c:pt idx="18">
                  <c:v>1.1949520965942648</c:v>
                </c:pt>
                <c:pt idx="19">
                  <c:v>1.2130881291423321</c:v>
                </c:pt>
                <c:pt idx="20">
                  <c:v>1.2290996784565917</c:v>
                </c:pt>
                <c:pt idx="21">
                  <c:v>1.2378272852549379</c:v>
                </c:pt>
                <c:pt idx="22">
                  <c:v>1.2401404291620186</c:v>
                </c:pt>
                <c:pt idx="23">
                  <c:v>1.254445829778857</c:v>
                </c:pt>
                <c:pt idx="24">
                  <c:v>1.2672091344576415</c:v>
                </c:pt>
                <c:pt idx="25">
                  <c:v>1.2797755758251854</c:v>
                </c:pt>
                <c:pt idx="26">
                  <c:v>1.2853943828335193</c:v>
                </c:pt>
                <c:pt idx="27">
                  <c:v>1.292071330139773</c:v>
                </c:pt>
                <c:pt idx="28">
                  <c:v>1.305039700767767</c:v>
                </c:pt>
              </c:numCache>
            </c:numRef>
          </c:val>
          <c:smooth val="0"/>
          <c:extLst>
            <c:ext xmlns:c16="http://schemas.microsoft.com/office/drawing/2014/chart" uri="{C3380CC4-5D6E-409C-BE32-E72D297353CC}">
              <c16:uniqueId val="{00000004-DD55-4F00-9E52-E545E1C79B9A}"/>
            </c:ext>
          </c:extLst>
        </c:ser>
        <c:ser>
          <c:idx val="5"/>
          <c:order val="5"/>
          <c:tx>
            <c:strRef>
              <c:f>'population change'!$A$27</c:f>
              <c:strCache>
                <c:ptCount val="1"/>
                <c:pt idx="0">
                  <c:v>West Suffolk</c:v>
                </c:pt>
              </c:strCache>
            </c:strRef>
          </c:tx>
          <c:spPr>
            <a:ln w="15875" cap="rnd">
              <a:solidFill>
                <a:schemeClr val="accent6"/>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change'!$B$27:$AD$27</c:f>
              <c:numCache>
                <c:formatCode>_(* #,##0.00_);_(* \(#,##0.00\);_(* "-"??_);_(@_)</c:formatCode>
                <c:ptCount val="29"/>
                <c:pt idx="0">
                  <c:v>1</c:v>
                </c:pt>
                <c:pt idx="1">
                  <c:v>1.0052922732810097</c:v>
                </c:pt>
                <c:pt idx="2">
                  <c:v>1.0116962567984076</c:v>
                </c:pt>
                <c:pt idx="3">
                  <c:v>1.018885760123553</c:v>
                </c:pt>
                <c:pt idx="4">
                  <c:v>1.038317389944015</c:v>
                </c:pt>
                <c:pt idx="5">
                  <c:v>1.0438093716507233</c:v>
                </c:pt>
                <c:pt idx="6">
                  <c:v>1.0527629660695386</c:v>
                </c:pt>
                <c:pt idx="7">
                  <c:v>1.0604384265638833</c:v>
                </c:pt>
                <c:pt idx="8">
                  <c:v>1.057036726379486</c:v>
                </c:pt>
                <c:pt idx="9">
                  <c:v>1.0650250634074252</c:v>
                </c:pt>
                <c:pt idx="10">
                  <c:v>1.0282853700264281</c:v>
                </c:pt>
                <c:pt idx="11">
                  <c:v>1.0384239011043876</c:v>
                </c:pt>
                <c:pt idx="12">
                  <c:v>1.0517311392034296</c:v>
                </c:pt>
                <c:pt idx="13">
                  <c:v>1.0615767645903647</c:v>
                </c:pt>
                <c:pt idx="14">
                  <c:v>1.0744712719429632</c:v>
                </c:pt>
                <c:pt idx="15">
                  <c:v>1.0811415333612926</c:v>
                </c:pt>
                <c:pt idx="16">
                  <c:v>1.0896823970336642</c:v>
                </c:pt>
                <c:pt idx="17">
                  <c:v>1.0981234064931866</c:v>
                </c:pt>
                <c:pt idx="18">
                  <c:v>1.1072167968099909</c:v>
                </c:pt>
                <c:pt idx="19">
                  <c:v>1.1223879802155519</c:v>
                </c:pt>
                <c:pt idx="20">
                  <c:v>1.1415400182400361</c:v>
                </c:pt>
                <c:pt idx="21">
                  <c:v>1.1414534779222336</c:v>
                </c:pt>
                <c:pt idx="22">
                  <c:v>1.1428580938496462</c:v>
                </c:pt>
                <c:pt idx="23">
                  <c:v>1.1641802967667205</c:v>
                </c:pt>
                <c:pt idx="24">
                  <c:v>1.1757833562998024</c:v>
                </c:pt>
                <c:pt idx="25">
                  <c:v>1.1761960870462458</c:v>
                </c:pt>
                <c:pt idx="26">
                  <c:v>1.1932445296533727</c:v>
                </c:pt>
                <c:pt idx="27">
                  <c:v>1.190801429912328</c:v>
                </c:pt>
                <c:pt idx="28">
                  <c:v>1.1915936066675987</c:v>
                </c:pt>
              </c:numCache>
            </c:numRef>
          </c:val>
          <c:smooth val="0"/>
          <c:extLst>
            <c:ext xmlns:c16="http://schemas.microsoft.com/office/drawing/2014/chart" uri="{C3380CC4-5D6E-409C-BE32-E72D297353CC}">
              <c16:uniqueId val="{00000005-DD55-4F00-9E52-E545E1C79B9A}"/>
            </c:ext>
          </c:extLst>
        </c:ser>
        <c:ser>
          <c:idx val="6"/>
          <c:order val="6"/>
          <c:tx>
            <c:strRef>
              <c:f>'population change'!$A$28</c:f>
              <c:strCache>
                <c:ptCount val="1"/>
                <c:pt idx="0">
                  <c:v>HMA</c:v>
                </c:pt>
              </c:strCache>
            </c:strRef>
          </c:tx>
          <c:spPr>
            <a:ln w="28575" cap="rnd">
              <a:solidFill>
                <a:schemeClr val="accent1">
                  <a:lumMod val="60000"/>
                </a:schemeClr>
              </a:solidFill>
              <a:prstDash val="sysDash"/>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change'!$B$28:$AD$28</c:f>
              <c:numCache>
                <c:formatCode>_(* #,##0.00_);_(* \(#,##0.00\);_(* "-"??_);_(@_)</c:formatCode>
                <c:ptCount val="29"/>
                <c:pt idx="0">
                  <c:v>1</c:v>
                </c:pt>
                <c:pt idx="1">
                  <c:v>1.0096760769061977</c:v>
                </c:pt>
                <c:pt idx="2">
                  <c:v>1.0154175588865095</c:v>
                </c:pt>
                <c:pt idx="3">
                  <c:v>1.0165631313322387</c:v>
                </c:pt>
                <c:pt idx="4">
                  <c:v>1.0270200740006508</c:v>
                </c:pt>
                <c:pt idx="5">
                  <c:v>1.0399452183321858</c:v>
                </c:pt>
                <c:pt idx="6">
                  <c:v>1.0548830592988854</c:v>
                </c:pt>
                <c:pt idx="7">
                  <c:v>1.0657364880713676</c:v>
                </c:pt>
                <c:pt idx="8">
                  <c:v>1.0689522627704089</c:v>
                </c:pt>
                <c:pt idx="9">
                  <c:v>1.0764976051936652</c:v>
                </c:pt>
                <c:pt idx="10">
                  <c:v>1.073194058761662</c:v>
                </c:pt>
                <c:pt idx="11">
                  <c:v>1.0818728671847218</c:v>
                </c:pt>
                <c:pt idx="12">
                  <c:v>1.0997692208745393</c:v>
                </c:pt>
                <c:pt idx="13">
                  <c:v>1.110636269398688</c:v>
                </c:pt>
                <c:pt idx="14">
                  <c:v>1.1274990352675902</c:v>
                </c:pt>
                <c:pt idx="15">
                  <c:v>1.136943576395457</c:v>
                </c:pt>
                <c:pt idx="16">
                  <c:v>1.1471296373362792</c:v>
                </c:pt>
                <c:pt idx="17">
                  <c:v>1.1588395971580119</c:v>
                </c:pt>
                <c:pt idx="18">
                  <c:v>1.169124022971981</c:v>
                </c:pt>
                <c:pt idx="19">
                  <c:v>1.1856795877755162</c:v>
                </c:pt>
                <c:pt idx="20">
                  <c:v>1.2012515038475799</c:v>
                </c:pt>
                <c:pt idx="21">
                  <c:v>1.2066736783165988</c:v>
                </c:pt>
                <c:pt idx="22">
                  <c:v>1.2115480361074751</c:v>
                </c:pt>
                <c:pt idx="23">
                  <c:v>1.2258805547778846</c:v>
                </c:pt>
                <c:pt idx="24">
                  <c:v>1.238109578468686</c:v>
                </c:pt>
                <c:pt idx="25">
                  <c:v>1.2428204992395639</c:v>
                </c:pt>
                <c:pt idx="26">
                  <c:v>1.2522378008640975</c:v>
                </c:pt>
                <c:pt idx="27">
                  <c:v>1.256593094785905</c:v>
                </c:pt>
                <c:pt idx="28">
                  <c:v>1.2599783597279077</c:v>
                </c:pt>
              </c:numCache>
            </c:numRef>
          </c:val>
          <c:smooth val="0"/>
          <c:extLst>
            <c:ext xmlns:c16="http://schemas.microsoft.com/office/drawing/2014/chart" uri="{C3380CC4-5D6E-409C-BE32-E72D297353CC}">
              <c16:uniqueId val="{00000006-DD55-4F00-9E52-E545E1C79B9A}"/>
            </c:ext>
          </c:extLst>
        </c:ser>
        <c:ser>
          <c:idx val="7"/>
          <c:order val="7"/>
          <c:tx>
            <c:strRef>
              <c:f>'population change'!$A$29</c:f>
              <c:strCache>
                <c:ptCount val="1"/>
                <c:pt idx="0">
                  <c:v>Greater Cambridge</c:v>
                </c:pt>
              </c:strCache>
            </c:strRef>
          </c:tx>
          <c:spPr>
            <a:ln w="15875" cap="rnd">
              <a:solidFill>
                <a:schemeClr val="accent2">
                  <a:lumMod val="60000"/>
                </a:schemeClr>
              </a:solidFill>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change'!$B$29:$AD$29</c:f>
              <c:numCache>
                <c:formatCode>_(* #,##0.00_);_(* \(#,##0.00\);_(* "-"??_);_(@_)</c:formatCode>
                <c:ptCount val="29"/>
                <c:pt idx="0">
                  <c:v>1</c:v>
                </c:pt>
                <c:pt idx="1">
                  <c:v>1.0058094771470567</c:v>
                </c:pt>
                <c:pt idx="2">
                  <c:v>1.0131369426751593</c:v>
                </c:pt>
                <c:pt idx="3">
                  <c:v>1.0004593336599705</c:v>
                </c:pt>
                <c:pt idx="4">
                  <c:v>1.0116583257506824</c:v>
                </c:pt>
                <c:pt idx="5">
                  <c:v>1.0205212780849724</c:v>
                </c:pt>
                <c:pt idx="6">
                  <c:v>1.0310159585637293</c:v>
                </c:pt>
                <c:pt idx="7">
                  <c:v>1.0391920977112059</c:v>
                </c:pt>
                <c:pt idx="8">
                  <c:v>1.0431642402183803</c:v>
                </c:pt>
                <c:pt idx="9">
                  <c:v>1.0437723104920558</c:v>
                </c:pt>
                <c:pt idx="10">
                  <c:v>1.0517297193252608</c:v>
                </c:pt>
                <c:pt idx="11">
                  <c:v>1.0561874431301184</c:v>
                </c:pt>
                <c:pt idx="12">
                  <c:v>1.0734146426821587</c:v>
                </c:pt>
                <c:pt idx="13">
                  <c:v>1.0840799328060475</c:v>
                </c:pt>
                <c:pt idx="14">
                  <c:v>1.1139366207041366</c:v>
                </c:pt>
                <c:pt idx="15">
                  <c:v>1.119540491355778</c:v>
                </c:pt>
                <c:pt idx="16">
                  <c:v>1.124002589766921</c:v>
                </c:pt>
                <c:pt idx="17">
                  <c:v>1.1364089731924127</c:v>
                </c:pt>
                <c:pt idx="18">
                  <c:v>1.148006054455099</c:v>
                </c:pt>
                <c:pt idx="19">
                  <c:v>1.1728713165815077</c:v>
                </c:pt>
                <c:pt idx="20">
                  <c:v>1.1923733114019739</c:v>
                </c:pt>
                <c:pt idx="21">
                  <c:v>1.1964854413102821</c:v>
                </c:pt>
                <c:pt idx="22">
                  <c:v>1.1995695387415133</c:v>
                </c:pt>
                <c:pt idx="23">
                  <c:v>1.2103091971722546</c:v>
                </c:pt>
                <c:pt idx="24">
                  <c:v>1.2231092951634353</c:v>
                </c:pt>
                <c:pt idx="25">
                  <c:v>1.2277551270385665</c:v>
                </c:pt>
                <c:pt idx="26">
                  <c:v>1.2319941205291525</c:v>
                </c:pt>
                <c:pt idx="27">
                  <c:v>1.2392253447189754</c:v>
                </c:pt>
                <c:pt idx="28">
                  <c:v>1.2419507244348009</c:v>
                </c:pt>
              </c:numCache>
            </c:numRef>
          </c:val>
          <c:smooth val="0"/>
          <c:extLst>
            <c:ext xmlns:c16="http://schemas.microsoft.com/office/drawing/2014/chart" uri="{C3380CC4-5D6E-409C-BE32-E72D297353CC}">
              <c16:uniqueId val="{00000007-DD55-4F00-9E52-E545E1C79B9A}"/>
            </c:ext>
          </c:extLst>
        </c:ser>
        <c:ser>
          <c:idx val="8"/>
          <c:order val="8"/>
          <c:tx>
            <c:strRef>
              <c:f>'population change'!$A$30</c:f>
              <c:strCache>
                <c:ptCount val="1"/>
                <c:pt idx="0">
                  <c:v>East</c:v>
                </c:pt>
              </c:strCache>
            </c:strRef>
          </c:tx>
          <c:spPr>
            <a:ln w="15875" cap="rnd">
              <a:solidFill>
                <a:schemeClr val="accent3">
                  <a:lumMod val="60000"/>
                </a:schemeClr>
              </a:solidFill>
              <a:prstDash val="sysDash"/>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change'!$B$30:$AD$30</c:f>
              <c:numCache>
                <c:formatCode>_(* #,##0.00_);_(* \(#,##0.00\);_(* "-"??_);_(@_)</c:formatCode>
                <c:ptCount val="29"/>
                <c:pt idx="0">
                  <c:v>1</c:v>
                </c:pt>
                <c:pt idx="1">
                  <c:v>1.0042055811969883</c:v>
                </c:pt>
                <c:pt idx="2">
                  <c:v>1.006505889805454</c:v>
                </c:pt>
                <c:pt idx="3">
                  <c:v>1.0111037732090984</c:v>
                </c:pt>
                <c:pt idx="4">
                  <c:v>1.0165294162215108</c:v>
                </c:pt>
                <c:pt idx="5">
                  <c:v>1.0218134867601423</c:v>
                </c:pt>
                <c:pt idx="6">
                  <c:v>1.028483014818049</c:v>
                </c:pt>
                <c:pt idx="7">
                  <c:v>1.0353396138137243</c:v>
                </c:pt>
                <c:pt idx="8">
                  <c:v>1.0425049384384302</c:v>
                </c:pt>
                <c:pt idx="9">
                  <c:v>1.0495835621274692</c:v>
                </c:pt>
                <c:pt idx="10">
                  <c:v>1.0545612503056012</c:v>
                </c:pt>
                <c:pt idx="11">
                  <c:v>1.0608539026746848</c:v>
                </c:pt>
                <c:pt idx="12">
                  <c:v>1.0689469663655047</c:v>
                </c:pt>
                <c:pt idx="13">
                  <c:v>1.0756703895996369</c:v>
                </c:pt>
                <c:pt idx="14">
                  <c:v>1.0862324772331935</c:v>
                </c:pt>
                <c:pt idx="15">
                  <c:v>1.0947543590652857</c:v>
                </c:pt>
                <c:pt idx="16">
                  <c:v>1.1039790261844638</c:v>
                </c:pt>
                <c:pt idx="17">
                  <c:v>1.1146830768365563</c:v>
                </c:pt>
                <c:pt idx="18">
                  <c:v>1.1230979494057081</c:v>
                </c:pt>
                <c:pt idx="19">
                  <c:v>1.1340251963854302</c:v>
                </c:pt>
                <c:pt idx="20">
                  <c:v>1.1447683015130485</c:v>
                </c:pt>
                <c:pt idx="21">
                  <c:v>1.1532618688503846</c:v>
                </c:pt>
                <c:pt idx="22">
                  <c:v>1.1622483036688556</c:v>
                </c:pt>
                <c:pt idx="23">
                  <c:v>1.1750027142860491</c:v>
                </c:pt>
                <c:pt idx="24">
                  <c:v>1.186469108300404</c:v>
                </c:pt>
                <c:pt idx="25">
                  <c:v>1.1968253788479399</c:v>
                </c:pt>
                <c:pt idx="26">
                  <c:v>1.2045243828807051</c:v>
                </c:pt>
                <c:pt idx="27">
                  <c:v>1.2109258019641276</c:v>
                </c:pt>
                <c:pt idx="28">
                  <c:v>1.2177380741300812</c:v>
                </c:pt>
              </c:numCache>
            </c:numRef>
          </c:val>
          <c:smooth val="0"/>
          <c:extLst>
            <c:ext xmlns:c16="http://schemas.microsoft.com/office/drawing/2014/chart" uri="{C3380CC4-5D6E-409C-BE32-E72D297353CC}">
              <c16:uniqueId val="{00000008-DD55-4F00-9E52-E545E1C79B9A}"/>
            </c:ext>
          </c:extLst>
        </c:ser>
        <c:ser>
          <c:idx val="9"/>
          <c:order val="9"/>
          <c:tx>
            <c:strRef>
              <c:f>'population change'!$A$31</c:f>
              <c:strCache>
                <c:ptCount val="1"/>
                <c:pt idx="0">
                  <c:v>England</c:v>
                </c:pt>
              </c:strCache>
            </c:strRef>
          </c:tx>
          <c:spPr>
            <a:ln w="15875" cap="rnd">
              <a:solidFill>
                <a:schemeClr val="accent4">
                  <a:lumMod val="60000"/>
                </a:schemeClr>
              </a:solidFill>
              <a:prstDash val="dash"/>
              <a:round/>
            </a:ln>
            <a:effectLst/>
          </c:spPr>
          <c:marker>
            <c:symbol val="none"/>
          </c:marker>
          <c:cat>
            <c:numRef>
              <c:f>'population change'!$B$21:$AD$21</c:f>
              <c:numCache>
                <c:formatCode>General</c:formatCode>
                <c:ptCount val="29"/>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numCache>
            </c:numRef>
          </c:cat>
          <c:val>
            <c:numRef>
              <c:f>'population change'!$B$31:$AD$31</c:f>
              <c:numCache>
                <c:formatCode>_(* #,##0.00_);_(* \(#,##0.00\);_(* "-"??_);_(@_)</c:formatCode>
                <c:ptCount val="29"/>
                <c:pt idx="0">
                  <c:v>1</c:v>
                </c:pt>
                <c:pt idx="1">
                  <c:v>1.0025678936840463</c:v>
                </c:pt>
                <c:pt idx="2">
                  <c:v>1.0047474430044803</c:v>
                </c:pt>
                <c:pt idx="3">
                  <c:v>1.0073889449898052</c:v>
                </c:pt>
                <c:pt idx="4">
                  <c:v>1.0106198564659012</c:v>
                </c:pt>
                <c:pt idx="5">
                  <c:v>1.0134536507388454</c:v>
                </c:pt>
                <c:pt idx="6">
                  <c:v>1.0164959043894171</c:v>
                </c:pt>
                <c:pt idx="7">
                  <c:v>1.0197503354305641</c:v>
                </c:pt>
                <c:pt idx="8">
                  <c:v>1.0241845671757734</c:v>
                </c:pt>
                <c:pt idx="9">
                  <c:v>1.0283712795196913</c:v>
                </c:pt>
                <c:pt idx="10">
                  <c:v>1.0328921117237826</c:v>
                </c:pt>
                <c:pt idx="11">
                  <c:v>1.037686280542667</c:v>
                </c:pt>
                <c:pt idx="12">
                  <c:v>1.0428298799154925</c:v>
                </c:pt>
                <c:pt idx="13">
                  <c:v>1.0484504084435655</c:v>
                </c:pt>
                <c:pt idx="14">
                  <c:v>1.0570443238318259</c:v>
                </c:pt>
                <c:pt idx="15">
                  <c:v>1.0645461877991316</c:v>
                </c:pt>
                <c:pt idx="16">
                  <c:v>1.0732335339284869</c:v>
                </c:pt>
                <c:pt idx="17">
                  <c:v>1.0823146761145972</c:v>
                </c:pt>
                <c:pt idx="18">
                  <c:v>1.0902630358390339</c:v>
                </c:pt>
                <c:pt idx="19">
                  <c:v>1.0995804389490265</c:v>
                </c:pt>
                <c:pt idx="20">
                  <c:v>1.1092873143591435</c:v>
                </c:pt>
                <c:pt idx="21">
                  <c:v>1.1173616687695371</c:v>
                </c:pt>
                <c:pt idx="22">
                  <c:v>1.1251337361946576</c:v>
                </c:pt>
                <c:pt idx="23">
                  <c:v>1.1345499381880348</c:v>
                </c:pt>
                <c:pt idx="24">
                  <c:v>1.1443610850623922</c:v>
                </c:pt>
                <c:pt idx="25">
                  <c:v>1.1544235320141281</c:v>
                </c:pt>
                <c:pt idx="26">
                  <c:v>1.1617627015834036</c:v>
                </c:pt>
                <c:pt idx="27">
                  <c:v>1.1692352392013916</c:v>
                </c:pt>
                <c:pt idx="28">
                  <c:v>1.1757067122770772</c:v>
                </c:pt>
              </c:numCache>
            </c:numRef>
          </c:val>
          <c:smooth val="0"/>
          <c:extLst>
            <c:ext xmlns:c16="http://schemas.microsoft.com/office/drawing/2014/chart" uri="{C3380CC4-5D6E-409C-BE32-E72D297353CC}">
              <c16:uniqueId val="{00000009-DD55-4F00-9E52-E545E1C79B9A}"/>
            </c:ext>
          </c:extLst>
        </c:ser>
        <c:dLbls>
          <c:showLegendKey val="0"/>
          <c:showVal val="0"/>
          <c:showCatName val="0"/>
          <c:showSerName val="0"/>
          <c:showPercent val="0"/>
          <c:showBubbleSize val="0"/>
        </c:dLbls>
        <c:smooth val="0"/>
        <c:axId val="776287088"/>
        <c:axId val="776263696"/>
      </c:lineChart>
      <c:catAx>
        <c:axId val="7762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263696"/>
        <c:crosses val="autoZero"/>
        <c:auto val="1"/>
        <c:lblAlgn val="ctr"/>
        <c:lblOffset val="100"/>
        <c:noMultiLvlLbl val="0"/>
      </c:catAx>
      <c:valAx>
        <c:axId val="776263696"/>
        <c:scaling>
          <c:orientation val="minMax"/>
          <c:min val="0.9"/>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287088"/>
        <c:crosses val="autoZero"/>
        <c:crossBetween val="between"/>
      </c:valAx>
      <c:spPr>
        <a:noFill/>
        <a:ln>
          <a:noFill/>
        </a:ln>
        <a:effectLst/>
      </c:spPr>
    </c:plotArea>
    <c:legend>
      <c:legendPos val="b"/>
      <c:layout>
        <c:manualLayout>
          <c:xMode val="edge"/>
          <c:yMode val="edge"/>
          <c:x val="2.0875566178466268E-2"/>
          <c:y val="0.74893055453011981"/>
          <c:w val="0.9738928647244588"/>
          <c:h val="0.22032654447775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6087532557476"/>
          <c:y val="4.6709129511677279E-2"/>
          <c:w val="0.88031255175320577"/>
          <c:h val="0.75335318476590651"/>
        </c:manualLayout>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Under 10k</c:v>
                </c:pt>
                <c:pt idx="1">
                  <c:v>£10k to £20k</c:v>
                </c:pt>
                <c:pt idx="2">
                  <c:v>£20k to £30k</c:v>
                </c:pt>
                <c:pt idx="3">
                  <c:v>£30k to £40k</c:v>
                </c:pt>
                <c:pt idx="4">
                  <c:v>£40k to £50k</c:v>
                </c:pt>
                <c:pt idx="5">
                  <c:v>£50k to £60k</c:v>
                </c:pt>
                <c:pt idx="6">
                  <c:v>£60k to £70k</c:v>
                </c:pt>
                <c:pt idx="7">
                  <c:v>£70k to £80k</c:v>
                </c:pt>
                <c:pt idx="8">
                  <c:v>£80k to £90k</c:v>
                </c:pt>
                <c:pt idx="9">
                  <c:v>£90k to £100k</c:v>
                </c:pt>
                <c:pt idx="10">
                  <c:v>£100k to £110k</c:v>
                </c:pt>
                <c:pt idx="11">
                  <c:v>£110k to £120k</c:v>
                </c:pt>
                <c:pt idx="12">
                  <c:v>Over £120k</c:v>
                </c:pt>
              </c:strCache>
            </c:strRef>
          </c:cat>
          <c:val>
            <c:numRef>
              <c:f>Sheet1!$B$2:$B$14</c:f>
              <c:numCache>
                <c:formatCode>0.0%</c:formatCode>
                <c:ptCount val="13"/>
                <c:pt idx="0">
                  <c:v>1.4999999999999999E-2</c:v>
                </c:pt>
                <c:pt idx="1">
                  <c:v>0.17199999999999999</c:v>
                </c:pt>
                <c:pt idx="2">
                  <c:v>0.18</c:v>
                </c:pt>
                <c:pt idx="3">
                  <c:v>0.13400000000000001</c:v>
                </c:pt>
                <c:pt idx="4">
                  <c:v>0.109</c:v>
                </c:pt>
                <c:pt idx="5">
                  <c:v>8.5999999999999993E-2</c:v>
                </c:pt>
                <c:pt idx="6">
                  <c:v>6.9000000000000006E-2</c:v>
                </c:pt>
                <c:pt idx="7">
                  <c:v>0.05</c:v>
                </c:pt>
                <c:pt idx="8">
                  <c:v>3.5000000000000003E-2</c:v>
                </c:pt>
                <c:pt idx="9">
                  <c:v>2.7000000000000003E-2</c:v>
                </c:pt>
                <c:pt idx="10">
                  <c:v>2.1000000000000001E-2</c:v>
                </c:pt>
                <c:pt idx="11">
                  <c:v>1.7000000000000001E-2</c:v>
                </c:pt>
                <c:pt idx="12">
                  <c:v>8.5999999999999993E-2</c:v>
                </c:pt>
              </c:numCache>
            </c:numRef>
          </c:val>
          <c:extLst>
            <c:ext xmlns:c16="http://schemas.microsoft.com/office/drawing/2014/chart" uri="{C3380CC4-5D6E-409C-BE32-E72D297353CC}">
              <c16:uniqueId val="{00000000-7C1A-454E-9C5F-30F1281CD0D8}"/>
            </c:ext>
          </c:extLst>
        </c:ser>
        <c:dLbls>
          <c:showLegendKey val="0"/>
          <c:showVal val="1"/>
          <c:showCatName val="0"/>
          <c:showSerName val="0"/>
          <c:showPercent val="0"/>
          <c:showBubbleSize val="0"/>
        </c:dLbls>
        <c:gapWidth val="50"/>
        <c:axId val="780403552"/>
        <c:axId val="780414432"/>
      </c:barChart>
      <c:catAx>
        <c:axId val="7804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780414432"/>
        <c:crosses val="autoZero"/>
        <c:auto val="1"/>
        <c:lblAlgn val="ctr"/>
        <c:lblOffset val="100"/>
        <c:noMultiLvlLbl val="0"/>
      </c:catAx>
      <c:valAx>
        <c:axId val="78041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GB"/>
                  <a:t>Proportion of households in group</a:t>
                </a:r>
              </a:p>
            </c:rich>
          </c:tx>
          <c:layout>
            <c:manualLayout>
              <c:xMode val="edge"/>
              <c:yMode val="edge"/>
              <c:x val="2.5493945188018066E-3"/>
              <c:y val="0.1415109417055352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780403552"/>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bg2"/>
      </a:solidFill>
      <a:round/>
    </a:ln>
    <a:effectLst/>
  </c:spPr>
  <c:txPr>
    <a:bodyPr/>
    <a:lstStyle/>
    <a:p>
      <a:pPr>
        <a:defRPr>
          <a:solidFill>
            <a:sysClr val="windowText" lastClr="000000"/>
          </a:solidFill>
          <a:latin typeface="Arial Narrow" panose="020B060602020203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'Tenure by Composition'!$B$283</c:f>
              <c:strCache>
                <c:ptCount val="1"/>
                <c:pt idx="0">
                  <c:v>Owned Outright</c:v>
                </c:pt>
              </c:strCache>
            </c:strRef>
          </c:tx>
          <c:spPr>
            <a:solidFill>
              <a:schemeClr val="accent1"/>
            </a:solidFill>
            <a:ln>
              <a:noFill/>
            </a:ln>
            <a:effectLst/>
          </c:spPr>
          <c:invertIfNegative val="0"/>
          <c:cat>
            <c:strRef>
              <c:f>'Tenure by Composition'!$A$284:$A$290</c:f>
              <c:strCache>
                <c:ptCount val="7"/>
                <c:pt idx="0">
                  <c:v>Married Couple</c:v>
                </c:pt>
                <c:pt idx="1">
                  <c:v>Cohabiting Couple</c:v>
                </c:pt>
                <c:pt idx="2">
                  <c:v>Lone Parent</c:v>
                </c:pt>
                <c:pt idx="3">
                  <c:v>Other</c:v>
                </c:pt>
                <c:pt idx="4">
                  <c:v>Households without dependent children</c:v>
                </c:pt>
                <c:pt idx="5">
                  <c:v>Total without Dependent Children</c:v>
                </c:pt>
                <c:pt idx="6">
                  <c:v>Total with Dependent Children</c:v>
                </c:pt>
              </c:strCache>
            </c:strRef>
          </c:cat>
          <c:val>
            <c:numRef>
              <c:f>'Tenure by Composition'!$B$284:$B$290</c:f>
              <c:numCache>
                <c:formatCode>0%</c:formatCode>
                <c:ptCount val="7"/>
                <c:pt idx="0">
                  <c:v>0.1126130958766942</c:v>
                </c:pt>
                <c:pt idx="1">
                  <c:v>5.6585582913082175E-2</c:v>
                </c:pt>
                <c:pt idx="2">
                  <c:v>7.3065728838224597E-2</c:v>
                </c:pt>
                <c:pt idx="3">
                  <c:v>0.14556213017751479</c:v>
                </c:pt>
                <c:pt idx="4">
                  <c:v>0.40607250268762213</c:v>
                </c:pt>
                <c:pt idx="5">
                  <c:v>0.3180581789534736</c:v>
                </c:pt>
                <c:pt idx="6">
                  <c:v>9.9825171051779585E-2</c:v>
                </c:pt>
              </c:numCache>
            </c:numRef>
          </c:val>
          <c:extLst>
            <c:ext xmlns:c16="http://schemas.microsoft.com/office/drawing/2014/chart" uri="{C3380CC4-5D6E-409C-BE32-E72D297353CC}">
              <c16:uniqueId val="{00000000-4BBB-4550-9B98-2B3BFDEF2F89}"/>
            </c:ext>
          </c:extLst>
        </c:ser>
        <c:ser>
          <c:idx val="1"/>
          <c:order val="1"/>
          <c:tx>
            <c:strRef>
              <c:f>'Tenure by Composition'!$C$283</c:f>
              <c:strCache>
                <c:ptCount val="1"/>
                <c:pt idx="0">
                  <c:v>Owned with Mortgage</c:v>
                </c:pt>
              </c:strCache>
            </c:strRef>
          </c:tx>
          <c:spPr>
            <a:solidFill>
              <a:schemeClr val="accent2"/>
            </a:solidFill>
            <a:ln>
              <a:noFill/>
            </a:ln>
            <a:effectLst/>
          </c:spPr>
          <c:invertIfNegative val="0"/>
          <c:cat>
            <c:strRef>
              <c:f>'Tenure by Composition'!$A$284:$A$290</c:f>
              <c:strCache>
                <c:ptCount val="7"/>
                <c:pt idx="0">
                  <c:v>Married Couple</c:v>
                </c:pt>
                <c:pt idx="1">
                  <c:v>Cohabiting Couple</c:v>
                </c:pt>
                <c:pt idx="2">
                  <c:v>Lone Parent</c:v>
                </c:pt>
                <c:pt idx="3">
                  <c:v>Other</c:v>
                </c:pt>
                <c:pt idx="4">
                  <c:v>Households without dependent children</c:v>
                </c:pt>
                <c:pt idx="5">
                  <c:v>Total without Dependent Children</c:v>
                </c:pt>
                <c:pt idx="6">
                  <c:v>Total with Dependent Children</c:v>
                </c:pt>
              </c:strCache>
            </c:strRef>
          </c:cat>
          <c:val>
            <c:numRef>
              <c:f>'Tenure by Composition'!$C$284:$C$290</c:f>
              <c:numCache>
                <c:formatCode>0%</c:formatCode>
                <c:ptCount val="7"/>
                <c:pt idx="0">
                  <c:v>0.63750312913492835</c:v>
                </c:pt>
                <c:pt idx="1">
                  <c:v>0.43755562147730642</c:v>
                </c:pt>
                <c:pt idx="2">
                  <c:v>0.25436575309240844</c:v>
                </c:pt>
                <c:pt idx="3">
                  <c:v>0.42130177514792899</c:v>
                </c:pt>
                <c:pt idx="4">
                  <c:v>0.25900843064629153</c:v>
                </c:pt>
                <c:pt idx="5">
                  <c:v>0.33529351558065745</c:v>
                </c:pt>
                <c:pt idx="6">
                  <c:v>0.52444367701970607</c:v>
                </c:pt>
              </c:numCache>
            </c:numRef>
          </c:val>
          <c:extLst>
            <c:ext xmlns:c16="http://schemas.microsoft.com/office/drawing/2014/chart" uri="{C3380CC4-5D6E-409C-BE32-E72D297353CC}">
              <c16:uniqueId val="{00000001-4BBB-4550-9B98-2B3BFDEF2F89}"/>
            </c:ext>
          </c:extLst>
        </c:ser>
        <c:ser>
          <c:idx val="2"/>
          <c:order val="2"/>
          <c:tx>
            <c:strRef>
              <c:f>'Tenure by Composition'!$D$283</c:f>
              <c:strCache>
                <c:ptCount val="1"/>
                <c:pt idx="0">
                  <c:v>Shared Ownership</c:v>
                </c:pt>
              </c:strCache>
            </c:strRef>
          </c:tx>
          <c:spPr>
            <a:solidFill>
              <a:schemeClr val="accent3"/>
            </a:solidFill>
            <a:ln>
              <a:noFill/>
            </a:ln>
            <a:effectLst/>
          </c:spPr>
          <c:invertIfNegative val="0"/>
          <c:cat>
            <c:strRef>
              <c:f>'Tenure by Composition'!$A$284:$A$290</c:f>
              <c:strCache>
                <c:ptCount val="7"/>
                <c:pt idx="0">
                  <c:v>Married Couple</c:v>
                </c:pt>
                <c:pt idx="1">
                  <c:v>Cohabiting Couple</c:v>
                </c:pt>
                <c:pt idx="2">
                  <c:v>Lone Parent</c:v>
                </c:pt>
                <c:pt idx="3">
                  <c:v>Other</c:v>
                </c:pt>
                <c:pt idx="4">
                  <c:v>Households without dependent children</c:v>
                </c:pt>
                <c:pt idx="5">
                  <c:v>Total without Dependent Children</c:v>
                </c:pt>
                <c:pt idx="6">
                  <c:v>Total with Dependent Children</c:v>
                </c:pt>
              </c:strCache>
            </c:strRef>
          </c:cat>
          <c:val>
            <c:numRef>
              <c:f>'Tenure by Composition'!$D$284:$D$290</c:f>
              <c:numCache>
                <c:formatCode>0%</c:formatCode>
                <c:ptCount val="7"/>
                <c:pt idx="0">
                  <c:v>9.8880663734220216E-3</c:v>
                </c:pt>
                <c:pt idx="1">
                  <c:v>1.7353900919608426E-2</c:v>
                </c:pt>
                <c:pt idx="2">
                  <c:v>1.321853019645889E-2</c:v>
                </c:pt>
                <c:pt idx="3">
                  <c:v>1.4644970414201184E-2</c:v>
                </c:pt>
                <c:pt idx="4">
                  <c:v>1.1442524058026524E-2</c:v>
                </c:pt>
                <c:pt idx="5">
                  <c:v>1.1578101786805368E-2</c:v>
                </c:pt>
                <c:pt idx="6">
                  <c:v>1.1914269063909693E-2</c:v>
                </c:pt>
              </c:numCache>
            </c:numRef>
          </c:val>
          <c:extLst>
            <c:ext xmlns:c16="http://schemas.microsoft.com/office/drawing/2014/chart" uri="{C3380CC4-5D6E-409C-BE32-E72D297353CC}">
              <c16:uniqueId val="{00000002-4BBB-4550-9B98-2B3BFDEF2F89}"/>
            </c:ext>
          </c:extLst>
        </c:ser>
        <c:ser>
          <c:idx val="3"/>
          <c:order val="3"/>
          <c:tx>
            <c:strRef>
              <c:f>'Tenure by Composition'!$E$283</c:f>
              <c:strCache>
                <c:ptCount val="1"/>
                <c:pt idx="0">
                  <c:v>Social Rent</c:v>
                </c:pt>
              </c:strCache>
            </c:strRef>
          </c:tx>
          <c:spPr>
            <a:solidFill>
              <a:schemeClr val="accent4"/>
            </a:solidFill>
            <a:ln>
              <a:noFill/>
            </a:ln>
            <a:effectLst/>
          </c:spPr>
          <c:invertIfNegative val="0"/>
          <c:cat>
            <c:strRef>
              <c:f>'Tenure by Composition'!$A$284:$A$290</c:f>
              <c:strCache>
                <c:ptCount val="7"/>
                <c:pt idx="0">
                  <c:v>Married Couple</c:v>
                </c:pt>
                <c:pt idx="1">
                  <c:v>Cohabiting Couple</c:v>
                </c:pt>
                <c:pt idx="2">
                  <c:v>Lone Parent</c:v>
                </c:pt>
                <c:pt idx="3">
                  <c:v>Other</c:v>
                </c:pt>
                <c:pt idx="4">
                  <c:v>Households without dependent children</c:v>
                </c:pt>
                <c:pt idx="5">
                  <c:v>Total without Dependent Children</c:v>
                </c:pt>
                <c:pt idx="6">
                  <c:v>Total with Dependent Children</c:v>
                </c:pt>
              </c:strCache>
            </c:strRef>
          </c:cat>
          <c:val>
            <c:numRef>
              <c:f>'Tenure by Composition'!$E$284:$E$290</c:f>
              <c:numCache>
                <c:formatCode>0%</c:formatCode>
                <c:ptCount val="7"/>
                <c:pt idx="0">
                  <c:v>8.5774058577405859E-2</c:v>
                </c:pt>
                <c:pt idx="1">
                  <c:v>0.27009789380005933</c:v>
                </c:pt>
                <c:pt idx="2">
                  <c:v>0.41480717923841864</c:v>
                </c:pt>
                <c:pt idx="3">
                  <c:v>0.17766272189349114</c:v>
                </c:pt>
                <c:pt idx="4">
                  <c:v>0.14399996518060384</c:v>
                </c:pt>
                <c:pt idx="5">
                  <c:v>0.15373163492225955</c:v>
                </c:pt>
                <c:pt idx="6">
                  <c:v>0.17786147503831129</c:v>
                </c:pt>
              </c:numCache>
            </c:numRef>
          </c:val>
          <c:extLst>
            <c:ext xmlns:c16="http://schemas.microsoft.com/office/drawing/2014/chart" uri="{C3380CC4-5D6E-409C-BE32-E72D297353CC}">
              <c16:uniqueId val="{00000003-4BBB-4550-9B98-2B3BFDEF2F89}"/>
            </c:ext>
          </c:extLst>
        </c:ser>
        <c:ser>
          <c:idx val="4"/>
          <c:order val="4"/>
          <c:tx>
            <c:strRef>
              <c:f>'Tenure by Composition'!$F$283</c:f>
              <c:strCache>
                <c:ptCount val="1"/>
                <c:pt idx="0">
                  <c:v>Private Rent/Other</c:v>
                </c:pt>
              </c:strCache>
            </c:strRef>
          </c:tx>
          <c:spPr>
            <a:solidFill>
              <a:schemeClr val="accent5"/>
            </a:solidFill>
            <a:ln>
              <a:noFill/>
            </a:ln>
            <a:effectLst/>
          </c:spPr>
          <c:invertIfNegative val="0"/>
          <c:cat>
            <c:strRef>
              <c:f>'Tenure by Composition'!$A$284:$A$290</c:f>
              <c:strCache>
                <c:ptCount val="7"/>
                <c:pt idx="0">
                  <c:v>Married Couple</c:v>
                </c:pt>
                <c:pt idx="1">
                  <c:v>Cohabiting Couple</c:v>
                </c:pt>
                <c:pt idx="2">
                  <c:v>Lone Parent</c:v>
                </c:pt>
                <c:pt idx="3">
                  <c:v>Other</c:v>
                </c:pt>
                <c:pt idx="4">
                  <c:v>Households without dependent children</c:v>
                </c:pt>
                <c:pt idx="5">
                  <c:v>Total without Dependent Children</c:v>
                </c:pt>
                <c:pt idx="6">
                  <c:v>Total with Dependent Children</c:v>
                </c:pt>
              </c:strCache>
            </c:strRef>
          </c:cat>
          <c:val>
            <c:numRef>
              <c:f>'Tenure by Composition'!$F$284:$F$290</c:f>
              <c:numCache>
                <c:formatCode>0%</c:formatCode>
                <c:ptCount val="7"/>
                <c:pt idx="0">
                  <c:v>0.15422165003754962</c:v>
                </c:pt>
                <c:pt idx="1">
                  <c:v>0.21840700088994364</c:v>
                </c:pt>
                <c:pt idx="2">
                  <c:v>0.24454280863448946</c:v>
                </c:pt>
                <c:pt idx="3">
                  <c:v>0.2408284023668639</c:v>
                </c:pt>
                <c:pt idx="4">
                  <c:v>0.17947657742745596</c:v>
                </c:pt>
                <c:pt idx="5">
                  <c:v>0.18133856875680404</c:v>
                </c:pt>
                <c:pt idx="6">
                  <c:v>0.18595540782629341</c:v>
                </c:pt>
              </c:numCache>
            </c:numRef>
          </c:val>
          <c:extLst>
            <c:ext xmlns:c16="http://schemas.microsoft.com/office/drawing/2014/chart" uri="{C3380CC4-5D6E-409C-BE32-E72D297353CC}">
              <c16:uniqueId val="{00000004-4BBB-4550-9B98-2B3BFDEF2F89}"/>
            </c:ext>
          </c:extLst>
        </c:ser>
        <c:dLbls>
          <c:showLegendKey val="0"/>
          <c:showVal val="0"/>
          <c:showCatName val="0"/>
          <c:showSerName val="0"/>
          <c:showPercent val="0"/>
          <c:showBubbleSize val="0"/>
        </c:dLbls>
        <c:gapWidth val="150"/>
        <c:overlap val="100"/>
        <c:axId val="600068576"/>
        <c:axId val="677040144"/>
      </c:barChart>
      <c:catAx>
        <c:axId val="60006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040144"/>
        <c:crosses val="autoZero"/>
        <c:auto val="1"/>
        <c:lblAlgn val="ctr"/>
        <c:lblOffset val="100"/>
        <c:noMultiLvlLbl val="0"/>
      </c:catAx>
      <c:valAx>
        <c:axId val="6770401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06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57363504596"/>
          <c:y val="4.6267087276551003E-2"/>
          <c:w val="0.87541782853805405"/>
          <c:h val="0.67658647961176843"/>
        </c:manualLayout>
      </c:layout>
      <c:lineChart>
        <c:grouping val="standard"/>
        <c:varyColors val="0"/>
        <c:ser>
          <c:idx val="0"/>
          <c:order val="0"/>
          <c:tx>
            <c:strRef>
              <c:f>Sheet1!$B$1</c:f>
              <c:strCache>
                <c:ptCount val="1"/>
                <c:pt idx="0">
                  <c:v>Owner-occupied</c:v>
                </c:pt>
              </c:strCache>
            </c:strRef>
          </c:tx>
          <c:spPr>
            <a:ln w="28557" cap="rnd">
              <a:solidFill>
                <a:schemeClr val="accent1"/>
              </a:solidFill>
              <a:round/>
            </a:ln>
            <a:effectLst/>
          </c:spPr>
          <c:marker>
            <c:symbol val="none"/>
          </c:marker>
          <c:cat>
            <c:strRef>
              <c:f>Sheet1!$A$2:$A$15</c:f>
              <c:strCache>
                <c:ptCount val="14"/>
                <c:pt idx="0">
                  <c:v>16-24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strCache>
            </c:strRef>
          </c:cat>
          <c:val>
            <c:numRef>
              <c:f>Sheet1!$B$2:$B$15</c:f>
              <c:numCache>
                <c:formatCode>General</c:formatCode>
                <c:ptCount val="14"/>
                <c:pt idx="0">
                  <c:v>2.5248322147651008</c:v>
                </c:pt>
                <c:pt idx="1">
                  <c:v>2.5740889388344832</c:v>
                </c:pt>
                <c:pt idx="2">
                  <c:v>2.8277598877053922</c:v>
                </c:pt>
                <c:pt idx="3">
                  <c:v>3.1487391532234574</c:v>
                </c:pt>
                <c:pt idx="4">
                  <c:v>3.3496733540286336</c:v>
                </c:pt>
                <c:pt idx="5">
                  <c:v>3.4038620575587175</c:v>
                </c:pt>
                <c:pt idx="6">
                  <c:v>3.4064348133109723</c:v>
                </c:pt>
                <c:pt idx="7">
                  <c:v>3.3214787084698179</c:v>
                </c:pt>
                <c:pt idx="8">
                  <c:v>3.2418791477471185</c:v>
                </c:pt>
                <c:pt idx="9">
                  <c:v>3.1510052204820607</c:v>
                </c:pt>
                <c:pt idx="10">
                  <c:v>3.015785213167836</c:v>
                </c:pt>
                <c:pt idx="11">
                  <c:v>2.9130536676822127</c:v>
                </c:pt>
                <c:pt idx="12">
                  <c:v>2.8042297244858361</c:v>
                </c:pt>
                <c:pt idx="13">
                  <c:v>2.6853546910755148</c:v>
                </c:pt>
              </c:numCache>
            </c:numRef>
          </c:val>
          <c:smooth val="1"/>
          <c:extLst>
            <c:ext xmlns:c16="http://schemas.microsoft.com/office/drawing/2014/chart" uri="{C3380CC4-5D6E-409C-BE32-E72D297353CC}">
              <c16:uniqueId val="{00000000-2AC7-42C9-96D9-B2BF6B7C0448}"/>
            </c:ext>
          </c:extLst>
        </c:ser>
        <c:ser>
          <c:idx val="1"/>
          <c:order val="1"/>
          <c:tx>
            <c:strRef>
              <c:f>Sheet1!$C$1</c:f>
              <c:strCache>
                <c:ptCount val="1"/>
                <c:pt idx="0">
                  <c:v>Private rented</c:v>
                </c:pt>
              </c:strCache>
            </c:strRef>
          </c:tx>
          <c:spPr>
            <a:ln w="28557" cap="rnd">
              <a:solidFill>
                <a:schemeClr val="accent2"/>
              </a:solidFill>
              <a:round/>
            </a:ln>
            <a:effectLst/>
          </c:spPr>
          <c:marker>
            <c:symbol val="none"/>
          </c:marker>
          <c:cat>
            <c:strRef>
              <c:f>Sheet1!$A$2:$A$15</c:f>
              <c:strCache>
                <c:ptCount val="14"/>
                <c:pt idx="0">
                  <c:v>16-24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strCache>
            </c:strRef>
          </c:cat>
          <c:val>
            <c:numRef>
              <c:f>Sheet1!$C$2:$C$15</c:f>
              <c:numCache>
                <c:formatCode>General</c:formatCode>
                <c:ptCount val="14"/>
                <c:pt idx="0">
                  <c:v>2.3680792891319209</c:v>
                </c:pt>
                <c:pt idx="1">
                  <c:v>2.3385665529010233</c:v>
                </c:pt>
                <c:pt idx="2">
                  <c:v>2.4401049256776446</c:v>
                </c:pt>
                <c:pt idx="3">
                  <c:v>2.6079757140885889</c:v>
                </c:pt>
                <c:pt idx="4">
                  <c:v>2.7073534282875125</c:v>
                </c:pt>
                <c:pt idx="5">
                  <c:v>2.6918379808670876</c:v>
                </c:pt>
                <c:pt idx="6">
                  <c:v>2.6023121387283239</c:v>
                </c:pt>
                <c:pt idx="7">
                  <c:v>2.5409772989611392</c:v>
                </c:pt>
                <c:pt idx="8">
                  <c:v>2.4413382218148492</c:v>
                </c:pt>
                <c:pt idx="9">
                  <c:v>2.3985663082437276</c:v>
                </c:pt>
                <c:pt idx="10">
                  <c:v>2.3768115942028989</c:v>
                </c:pt>
                <c:pt idx="11">
                  <c:v>2.3012422360248448</c:v>
                </c:pt>
                <c:pt idx="12">
                  <c:v>2.2673684210526317</c:v>
                </c:pt>
                <c:pt idx="13">
                  <c:v>2.1769841269841268</c:v>
                </c:pt>
              </c:numCache>
            </c:numRef>
          </c:val>
          <c:smooth val="1"/>
          <c:extLst>
            <c:ext xmlns:c16="http://schemas.microsoft.com/office/drawing/2014/chart" uri="{C3380CC4-5D6E-409C-BE32-E72D297353CC}">
              <c16:uniqueId val="{00000001-2AC7-42C9-96D9-B2BF6B7C0448}"/>
            </c:ext>
          </c:extLst>
        </c:ser>
        <c:ser>
          <c:idx val="2"/>
          <c:order val="2"/>
          <c:tx>
            <c:strRef>
              <c:f>Sheet1!$D$1</c:f>
              <c:strCache>
                <c:ptCount val="1"/>
                <c:pt idx="0">
                  <c:v>Social rented</c:v>
                </c:pt>
              </c:strCache>
            </c:strRef>
          </c:tx>
          <c:spPr>
            <a:ln w="28557" cap="rnd">
              <a:solidFill>
                <a:schemeClr val="accent3"/>
              </a:solidFill>
              <a:round/>
            </a:ln>
            <a:effectLst/>
          </c:spPr>
          <c:marker>
            <c:symbol val="none"/>
          </c:marker>
          <c:cat>
            <c:strRef>
              <c:f>Sheet1!$A$2:$A$15</c:f>
              <c:strCache>
                <c:ptCount val="14"/>
                <c:pt idx="0">
                  <c:v>16-24</c:v>
                </c:pt>
                <c:pt idx="1">
                  <c:v>25-29</c:v>
                </c:pt>
                <c:pt idx="2">
                  <c:v>30-34</c:v>
                </c:pt>
                <c:pt idx="3">
                  <c:v>35-39</c:v>
                </c:pt>
                <c:pt idx="4">
                  <c:v>40-44</c:v>
                </c:pt>
                <c:pt idx="5">
                  <c:v>45-49</c:v>
                </c:pt>
                <c:pt idx="6">
                  <c:v>50-54</c:v>
                </c:pt>
                <c:pt idx="7">
                  <c:v>55-59</c:v>
                </c:pt>
                <c:pt idx="8">
                  <c:v>60-64</c:v>
                </c:pt>
                <c:pt idx="9">
                  <c:v>65-69</c:v>
                </c:pt>
                <c:pt idx="10">
                  <c:v>70-74</c:v>
                </c:pt>
                <c:pt idx="11">
                  <c:v>75-79</c:v>
                </c:pt>
                <c:pt idx="12">
                  <c:v>80-84</c:v>
                </c:pt>
                <c:pt idx="13">
                  <c:v>85+</c:v>
                </c:pt>
              </c:strCache>
            </c:strRef>
          </c:cat>
          <c:val>
            <c:numRef>
              <c:f>Sheet1!$D$2:$D$15</c:f>
              <c:numCache>
                <c:formatCode>General</c:formatCode>
                <c:ptCount val="14"/>
                <c:pt idx="0">
                  <c:v>1.9401330376940134</c:v>
                </c:pt>
                <c:pt idx="1">
                  <c:v>2.1308411214953269</c:v>
                </c:pt>
                <c:pt idx="2">
                  <c:v>2.2727991565629937</c:v>
                </c:pt>
                <c:pt idx="3">
                  <c:v>2.38636920813925</c:v>
                </c:pt>
                <c:pt idx="4">
                  <c:v>2.4114891016500311</c:v>
                </c:pt>
                <c:pt idx="5">
                  <c:v>2.4081419624217117</c:v>
                </c:pt>
                <c:pt idx="6">
                  <c:v>2.313776169552856</c:v>
                </c:pt>
                <c:pt idx="7">
                  <c:v>2.1683461766449317</c:v>
                </c:pt>
                <c:pt idx="8">
                  <c:v>2.0634696755994355</c:v>
                </c:pt>
                <c:pt idx="9">
                  <c:v>1.947438901908269</c:v>
                </c:pt>
                <c:pt idx="10">
                  <c:v>1.9240810717966339</c:v>
                </c:pt>
                <c:pt idx="11">
                  <c:v>1.850377487989018</c:v>
                </c:pt>
                <c:pt idx="12">
                  <c:v>1.7955493741307369</c:v>
                </c:pt>
                <c:pt idx="13">
                  <c:v>1.5998227997637331</c:v>
                </c:pt>
              </c:numCache>
            </c:numRef>
          </c:val>
          <c:smooth val="1"/>
          <c:extLst>
            <c:ext xmlns:c16="http://schemas.microsoft.com/office/drawing/2014/chart" uri="{C3380CC4-5D6E-409C-BE32-E72D297353CC}">
              <c16:uniqueId val="{00000002-2AC7-42C9-96D9-B2BF6B7C0448}"/>
            </c:ext>
          </c:extLst>
        </c:ser>
        <c:dLbls>
          <c:showLegendKey val="0"/>
          <c:showVal val="0"/>
          <c:showCatName val="0"/>
          <c:showSerName val="0"/>
          <c:showPercent val="0"/>
          <c:showBubbleSize val="0"/>
        </c:dLbls>
        <c:smooth val="0"/>
        <c:axId val="1361603872"/>
        <c:axId val="1"/>
      </c:lineChart>
      <c:catAx>
        <c:axId val="1361603872"/>
        <c:scaling>
          <c:orientation val="minMax"/>
        </c:scaling>
        <c:delete val="0"/>
        <c:axPos val="b"/>
        <c:title>
          <c:tx>
            <c:rich>
              <a:bodyPr/>
              <a:lstStyle/>
              <a:p>
                <a:pPr>
                  <a:defRPr sz="999" b="0" i="0" u="none" strike="noStrike" baseline="0">
                    <a:solidFill>
                      <a:srgbClr val="000000"/>
                    </a:solidFill>
                    <a:latin typeface="Arial Narrow"/>
                    <a:ea typeface="Arial Narrow"/>
                    <a:cs typeface="Arial Narrow"/>
                  </a:defRPr>
                </a:pPr>
                <a:r>
                  <a:rPr lang="en-GB"/>
                  <a:t>Age of household reference person</a:t>
                </a:r>
              </a:p>
            </c:rich>
          </c:tx>
          <c:layout>
            <c:manualLayout>
              <c:xMode val="edge"/>
              <c:yMode val="edge"/>
              <c:x val="0.36627097474884601"/>
              <c:y val="0.84436414626253908"/>
            </c:manualLayout>
          </c:layout>
          <c:overlay val="0"/>
          <c:spPr>
            <a:noFill/>
            <a:ln>
              <a:noFill/>
            </a:ln>
            <a:effectLst/>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Arial Narrow"/>
                    <a:ea typeface="Arial Narrow"/>
                    <a:cs typeface="Arial Narrow"/>
                  </a:defRPr>
                </a:pPr>
                <a:r>
                  <a:rPr lang="en-GB"/>
                  <a:t>Average number of bedrooms</a:t>
                </a:r>
              </a:p>
            </c:rich>
          </c:tx>
          <c:layout>
            <c:manualLayout>
              <c:xMode val="edge"/>
              <c:yMode val="edge"/>
              <c:x val="4.3450085980631728E-3"/>
              <c:y val="0.159429403516341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crossAx val="1361603872"/>
        <c:crosses val="autoZero"/>
        <c:crossBetween val="between"/>
      </c:valAx>
      <c:spPr>
        <a:noFill/>
        <a:ln w="25384">
          <a:noFill/>
        </a:ln>
      </c:spPr>
    </c:plotArea>
    <c:legend>
      <c:legendPos val="b"/>
      <c:layout>
        <c:manualLayout>
          <c:xMode val="edge"/>
          <c:yMode val="edge"/>
          <c:x val="0.17988523848312063"/>
          <c:y val="0.92378420163233022"/>
          <c:w val="0.68713711648112941"/>
          <c:h val="6.0934095566821278E-2"/>
        </c:manualLayout>
      </c:layout>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19" cap="flat" cmpd="sng" algn="ctr">
      <a:solidFill>
        <a:schemeClr val="tx1"/>
      </a:solidFill>
      <a:round/>
    </a:ln>
    <a:effectLst/>
  </c:spPr>
  <c:txPr>
    <a:bodyPr/>
    <a:lstStyle/>
    <a:p>
      <a:pPr>
        <a:defRPr>
          <a:solidFill>
            <a:sysClr val="windowText" lastClr="000000"/>
          </a:solidFill>
          <a:latin typeface="Arial Narrow" panose="020B060602020203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Data!$A$71</c:f>
              <c:strCache>
                <c:ptCount val="1"/>
                <c:pt idx="0">
                  <c:v>Owned outright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Data!$B$70:$E$70</c:f>
              <c:strCache>
                <c:ptCount val="4"/>
                <c:pt idx="0">
                  <c:v>Single older person household</c:v>
                </c:pt>
                <c:pt idx="1">
                  <c:v>one family household - all older persons</c:v>
                </c:pt>
                <c:pt idx="2">
                  <c:v>all other households</c:v>
                </c:pt>
                <c:pt idx="3">
                  <c:v>All households</c:v>
                </c:pt>
              </c:strCache>
            </c:strRef>
          </c:cat>
          <c:val>
            <c:numRef>
              <c:f>Data!$B$71:$E$71</c:f>
              <c:numCache>
                <c:formatCode>0%</c:formatCode>
                <c:ptCount val="4"/>
                <c:pt idx="0">
                  <c:v>0.60128937575344621</c:v>
                </c:pt>
                <c:pt idx="1">
                  <c:v>0.79647333040570212</c:v>
                </c:pt>
                <c:pt idx="2">
                  <c:v>0.22000486927565599</c:v>
                </c:pt>
                <c:pt idx="3">
                  <c:v>0.3180581789534736</c:v>
                </c:pt>
              </c:numCache>
            </c:numRef>
          </c:val>
          <c:extLst>
            <c:ext xmlns:c16="http://schemas.microsoft.com/office/drawing/2014/chart" uri="{C3380CC4-5D6E-409C-BE32-E72D297353CC}">
              <c16:uniqueId val="{00000000-6BE2-4B0E-89AA-75CD5B969F36}"/>
            </c:ext>
          </c:extLst>
        </c:ser>
        <c:ser>
          <c:idx val="1"/>
          <c:order val="1"/>
          <c:tx>
            <c:strRef>
              <c:f>Data!$A$72</c:f>
              <c:strCache>
                <c:ptCount val="1"/>
                <c:pt idx="0">
                  <c:v>Owned with a mortgage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Data!$B$70:$E$70</c:f>
              <c:strCache>
                <c:ptCount val="4"/>
                <c:pt idx="0">
                  <c:v>Single older person household</c:v>
                </c:pt>
                <c:pt idx="1">
                  <c:v>one family household - all older persons</c:v>
                </c:pt>
                <c:pt idx="2">
                  <c:v>all other households</c:v>
                </c:pt>
                <c:pt idx="3">
                  <c:v>All households</c:v>
                </c:pt>
              </c:strCache>
            </c:strRef>
          </c:cat>
          <c:val>
            <c:numRef>
              <c:f>Data!$B$72:$E$72</c:f>
              <c:numCache>
                <c:formatCode>0%</c:formatCode>
                <c:ptCount val="4"/>
                <c:pt idx="0">
                  <c:v>5.2911578174956758E-2</c:v>
                </c:pt>
                <c:pt idx="1">
                  <c:v>6.5364996790865784E-2</c:v>
                </c:pt>
                <c:pt idx="2">
                  <c:v>0.42364268941089617</c:v>
                </c:pt>
                <c:pt idx="3">
                  <c:v>0.34687161736746286</c:v>
                </c:pt>
              </c:numCache>
            </c:numRef>
          </c:val>
          <c:extLst>
            <c:ext xmlns:c16="http://schemas.microsoft.com/office/drawing/2014/chart" uri="{C3380CC4-5D6E-409C-BE32-E72D297353CC}">
              <c16:uniqueId val="{00000001-6BE2-4B0E-89AA-75CD5B969F36}"/>
            </c:ext>
          </c:extLst>
        </c:ser>
        <c:ser>
          <c:idx val="2"/>
          <c:order val="2"/>
          <c:tx>
            <c:strRef>
              <c:f>Data!$A$73</c:f>
              <c:strCache>
                <c:ptCount val="1"/>
                <c:pt idx="0">
                  <c:v>Social rented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Data!$B$70:$E$70</c:f>
              <c:strCache>
                <c:ptCount val="4"/>
                <c:pt idx="0">
                  <c:v>Single older person household</c:v>
                </c:pt>
                <c:pt idx="1">
                  <c:v>one family household - all older persons</c:v>
                </c:pt>
                <c:pt idx="2">
                  <c:v>all other households</c:v>
                </c:pt>
                <c:pt idx="3">
                  <c:v>All households</c:v>
                </c:pt>
              </c:strCache>
            </c:strRef>
          </c:cat>
          <c:val>
            <c:numRef>
              <c:f>Data!$B$73:$E$73</c:f>
              <c:numCache>
                <c:formatCode>0%</c:formatCode>
                <c:ptCount val="4"/>
                <c:pt idx="0">
                  <c:v>0.25766549609518319</c:v>
                </c:pt>
                <c:pt idx="1">
                  <c:v>9.6510488801810623E-2</c:v>
                </c:pt>
                <c:pt idx="2">
                  <c:v>0.14480990190765655</c:v>
                </c:pt>
                <c:pt idx="3">
                  <c:v>0.15373163492225955</c:v>
                </c:pt>
              </c:numCache>
            </c:numRef>
          </c:val>
          <c:extLst>
            <c:ext xmlns:c16="http://schemas.microsoft.com/office/drawing/2014/chart" uri="{C3380CC4-5D6E-409C-BE32-E72D297353CC}">
              <c16:uniqueId val="{00000002-6BE2-4B0E-89AA-75CD5B969F36}"/>
            </c:ext>
          </c:extLst>
        </c:ser>
        <c:ser>
          <c:idx val="3"/>
          <c:order val="3"/>
          <c:tx>
            <c:strRef>
              <c:f>Data!$A$74</c:f>
              <c:strCache>
                <c:ptCount val="1"/>
                <c:pt idx="0">
                  <c:v>Private rented or living rent free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Data!$B$70:$E$70</c:f>
              <c:strCache>
                <c:ptCount val="4"/>
                <c:pt idx="0">
                  <c:v>Single older person household</c:v>
                </c:pt>
                <c:pt idx="1">
                  <c:v>one family household - all older persons</c:v>
                </c:pt>
                <c:pt idx="2">
                  <c:v>all other households</c:v>
                </c:pt>
                <c:pt idx="3">
                  <c:v>All households</c:v>
                </c:pt>
              </c:strCache>
            </c:strRef>
          </c:cat>
          <c:val>
            <c:numRef>
              <c:f>Data!$B$74:$E$74</c:f>
              <c:numCache>
                <c:formatCode>0%</c:formatCode>
                <c:ptCount val="4"/>
                <c:pt idx="0">
                  <c:v>8.8133549976413858E-2</c:v>
                </c:pt>
                <c:pt idx="1">
                  <c:v>4.1651184001621461E-2</c:v>
                </c:pt>
                <c:pt idx="2">
                  <c:v>0.21154253940579129</c:v>
                </c:pt>
                <c:pt idx="3">
                  <c:v>0.18133856875680404</c:v>
                </c:pt>
              </c:numCache>
            </c:numRef>
          </c:val>
          <c:extLst>
            <c:ext xmlns:c16="http://schemas.microsoft.com/office/drawing/2014/chart" uri="{C3380CC4-5D6E-409C-BE32-E72D297353CC}">
              <c16:uniqueId val="{00000003-6BE2-4B0E-89AA-75CD5B969F36}"/>
            </c:ext>
          </c:extLst>
        </c:ser>
        <c:dLbls>
          <c:dLblPos val="ctr"/>
          <c:showLegendKey val="0"/>
          <c:showVal val="1"/>
          <c:showCatName val="0"/>
          <c:showSerName val="0"/>
          <c:showPercent val="0"/>
          <c:showBubbleSize val="0"/>
        </c:dLbls>
        <c:gapWidth val="150"/>
        <c:overlap val="100"/>
        <c:axId val="780406272"/>
        <c:axId val="1217100816"/>
      </c:barChart>
      <c:catAx>
        <c:axId val="78040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00816"/>
        <c:crosses val="autoZero"/>
        <c:auto val="1"/>
        <c:lblAlgn val="ctr"/>
        <c:lblOffset val="100"/>
        <c:noMultiLvlLbl val="0"/>
      </c:catAx>
      <c:valAx>
        <c:axId val="121710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06272"/>
        <c:crosses val="autoZero"/>
        <c:crossBetween val="between"/>
      </c:valAx>
      <c:spPr>
        <a:noFill/>
        <a:ln>
          <a:noFill/>
        </a:ln>
        <a:effectLst/>
      </c:spPr>
    </c:plotArea>
    <c:legend>
      <c:legendPos val="b"/>
      <c:layout>
        <c:manualLayout>
          <c:xMode val="edge"/>
          <c:yMode val="edge"/>
          <c:x val="1.9314009678881999E-2"/>
          <c:y val="0.87384149897929431"/>
          <c:w val="0.96477917293723903"/>
          <c:h val="9.8380723242927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Data!$B$49</c:f>
              <c:strCache>
                <c:ptCount val="1"/>
                <c:pt idx="0">
                  <c:v>Owned Outright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Data!$A$50:$A$59</c:f>
              <c:strCache>
                <c:ptCount val="10"/>
                <c:pt idx="0">
                  <c:v>Cambridge</c:v>
                </c:pt>
                <c:pt idx="1">
                  <c:v>East Cambridgeshire</c:v>
                </c:pt>
                <c:pt idx="2">
                  <c:v>Fenland</c:v>
                </c:pt>
                <c:pt idx="3">
                  <c:v>Huntingdonshire</c:v>
                </c:pt>
                <c:pt idx="4">
                  <c:v>South Cambridgeshire</c:v>
                </c:pt>
                <c:pt idx="5">
                  <c:v>West Suffolk</c:v>
                </c:pt>
                <c:pt idx="6">
                  <c:v>Greater Cambridge</c:v>
                </c:pt>
                <c:pt idx="7">
                  <c:v>HMA</c:v>
                </c:pt>
                <c:pt idx="8">
                  <c:v>East</c:v>
                </c:pt>
                <c:pt idx="9">
                  <c:v>England</c:v>
                </c:pt>
              </c:strCache>
            </c:strRef>
          </c:cat>
          <c:val>
            <c:numRef>
              <c:f>Data!$B$50:$B$59</c:f>
              <c:numCache>
                <c:formatCode>0.0%</c:formatCode>
                <c:ptCount val="10"/>
                <c:pt idx="0">
                  <c:v>0.63146923519263942</c:v>
                </c:pt>
                <c:pt idx="1">
                  <c:v>0.69365363929723911</c:v>
                </c:pt>
                <c:pt idx="2">
                  <c:v>0.72200813530293295</c:v>
                </c:pt>
                <c:pt idx="3">
                  <c:v>0.72698412698412695</c:v>
                </c:pt>
                <c:pt idx="4">
                  <c:v>0.71139690679017453</c:v>
                </c:pt>
                <c:pt idx="5">
                  <c:v>0.69557748661120278</c:v>
                </c:pt>
                <c:pt idx="6">
                  <c:v>0.68220717173308132</c:v>
                </c:pt>
                <c:pt idx="7">
                  <c:v>0.70179393404376067</c:v>
                </c:pt>
                <c:pt idx="8">
                  <c:v>0.71037552093915102</c:v>
                </c:pt>
                <c:pt idx="9">
                  <c:v>0.68723546711210148</c:v>
                </c:pt>
              </c:numCache>
            </c:numRef>
          </c:val>
          <c:extLst>
            <c:ext xmlns:c16="http://schemas.microsoft.com/office/drawing/2014/chart" uri="{C3380CC4-5D6E-409C-BE32-E72D297353CC}">
              <c16:uniqueId val="{00000000-BCE6-4282-91AB-D8664F9C30D3}"/>
            </c:ext>
          </c:extLst>
        </c:ser>
        <c:ser>
          <c:idx val="1"/>
          <c:order val="1"/>
          <c:tx>
            <c:strRef>
              <c:f>Data!$C$49</c:f>
              <c:strCache>
                <c:ptCount val="1"/>
                <c:pt idx="0">
                  <c:v>Owned with a Mortgage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Data!$A$50:$A$59</c:f>
              <c:strCache>
                <c:ptCount val="10"/>
                <c:pt idx="0">
                  <c:v>Cambridge</c:v>
                </c:pt>
                <c:pt idx="1">
                  <c:v>East Cambridgeshire</c:v>
                </c:pt>
                <c:pt idx="2">
                  <c:v>Fenland</c:v>
                </c:pt>
                <c:pt idx="3">
                  <c:v>Huntingdonshire</c:v>
                </c:pt>
                <c:pt idx="4">
                  <c:v>South Cambridgeshire</c:v>
                </c:pt>
                <c:pt idx="5">
                  <c:v>West Suffolk</c:v>
                </c:pt>
                <c:pt idx="6">
                  <c:v>Greater Cambridge</c:v>
                </c:pt>
                <c:pt idx="7">
                  <c:v>HMA</c:v>
                </c:pt>
                <c:pt idx="8">
                  <c:v>East</c:v>
                </c:pt>
                <c:pt idx="9">
                  <c:v>England</c:v>
                </c:pt>
              </c:strCache>
            </c:strRef>
          </c:cat>
          <c:val>
            <c:numRef>
              <c:f>Data!$C$50:$C$59</c:f>
              <c:numCache>
                <c:formatCode>0.0%</c:formatCode>
                <c:ptCount val="10"/>
                <c:pt idx="0">
                  <c:v>6.9220816561242099E-2</c:v>
                </c:pt>
                <c:pt idx="1">
                  <c:v>8.1893151667264255E-2</c:v>
                </c:pt>
                <c:pt idx="2">
                  <c:v>9.0130593020766425E-2</c:v>
                </c:pt>
                <c:pt idx="3">
                  <c:v>9.5464852607709746E-2</c:v>
                </c:pt>
                <c:pt idx="4">
                  <c:v>9.196923331403524E-2</c:v>
                </c:pt>
                <c:pt idx="5">
                  <c:v>8.5856714608104012E-2</c:v>
                </c:pt>
                <c:pt idx="6">
                  <c:v>8.3661468997742433E-2</c:v>
                </c:pt>
                <c:pt idx="7">
                  <c:v>8.7395169935052655E-2</c:v>
                </c:pt>
                <c:pt idx="8">
                  <c:v>9.1213248709465802E-2</c:v>
                </c:pt>
                <c:pt idx="9">
                  <c:v>9.2850923791515008E-2</c:v>
                </c:pt>
              </c:numCache>
            </c:numRef>
          </c:val>
          <c:extLst>
            <c:ext xmlns:c16="http://schemas.microsoft.com/office/drawing/2014/chart" uri="{C3380CC4-5D6E-409C-BE32-E72D297353CC}">
              <c16:uniqueId val="{00000001-BCE6-4282-91AB-D8664F9C30D3}"/>
            </c:ext>
          </c:extLst>
        </c:ser>
        <c:ser>
          <c:idx val="2"/>
          <c:order val="2"/>
          <c:tx>
            <c:strRef>
              <c:f>Data!$D$49</c:f>
              <c:strCache>
                <c:ptCount val="1"/>
                <c:pt idx="0">
                  <c:v>Social Rented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Data!$A$50:$A$59</c:f>
              <c:strCache>
                <c:ptCount val="10"/>
                <c:pt idx="0">
                  <c:v>Cambridge</c:v>
                </c:pt>
                <c:pt idx="1">
                  <c:v>East Cambridgeshire</c:v>
                </c:pt>
                <c:pt idx="2">
                  <c:v>Fenland</c:v>
                </c:pt>
                <c:pt idx="3">
                  <c:v>Huntingdonshire</c:v>
                </c:pt>
                <c:pt idx="4">
                  <c:v>South Cambridgeshire</c:v>
                </c:pt>
                <c:pt idx="5">
                  <c:v>West Suffolk</c:v>
                </c:pt>
                <c:pt idx="6">
                  <c:v>Greater Cambridge</c:v>
                </c:pt>
                <c:pt idx="7">
                  <c:v>HMA</c:v>
                </c:pt>
                <c:pt idx="8">
                  <c:v>East</c:v>
                </c:pt>
                <c:pt idx="9">
                  <c:v>England</c:v>
                </c:pt>
              </c:strCache>
            </c:strRef>
          </c:cat>
          <c:val>
            <c:numRef>
              <c:f>Data!$D$50:$D$59</c:f>
              <c:numCache>
                <c:formatCode>0.0%</c:formatCode>
                <c:ptCount val="10"/>
                <c:pt idx="0">
                  <c:v>0.2444652098907418</c:v>
                </c:pt>
                <c:pt idx="1">
                  <c:v>0.15718895661527429</c:v>
                </c:pt>
                <c:pt idx="2">
                  <c:v>0.11608863198458574</c:v>
                </c:pt>
                <c:pt idx="3">
                  <c:v>0.12615268329554044</c:v>
                </c:pt>
                <c:pt idx="4">
                  <c:v>0.15048383094863949</c:v>
                </c:pt>
                <c:pt idx="5">
                  <c:v>0.14955033850921218</c:v>
                </c:pt>
                <c:pt idx="6">
                  <c:v>0.18480600619520135</c:v>
                </c:pt>
                <c:pt idx="7">
                  <c:v>0.15116810643798473</c:v>
                </c:pt>
                <c:pt idx="8">
                  <c:v>0.14431846553032945</c:v>
                </c:pt>
                <c:pt idx="9">
                  <c:v>0.16152435668286547</c:v>
                </c:pt>
              </c:numCache>
            </c:numRef>
          </c:val>
          <c:extLst>
            <c:ext xmlns:c16="http://schemas.microsoft.com/office/drawing/2014/chart" uri="{C3380CC4-5D6E-409C-BE32-E72D297353CC}">
              <c16:uniqueId val="{00000002-BCE6-4282-91AB-D8664F9C30D3}"/>
            </c:ext>
          </c:extLst>
        </c:ser>
        <c:ser>
          <c:idx val="3"/>
          <c:order val="3"/>
          <c:tx>
            <c:strRef>
              <c:f>Data!$E$49</c:f>
              <c:strCache>
                <c:ptCount val="1"/>
                <c:pt idx="0">
                  <c:v>PRS or Living Rent Free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Data!$A$50:$A$59</c:f>
              <c:strCache>
                <c:ptCount val="10"/>
                <c:pt idx="0">
                  <c:v>Cambridge</c:v>
                </c:pt>
                <c:pt idx="1">
                  <c:v>East Cambridgeshire</c:v>
                </c:pt>
                <c:pt idx="2">
                  <c:v>Fenland</c:v>
                </c:pt>
                <c:pt idx="3">
                  <c:v>Huntingdonshire</c:v>
                </c:pt>
                <c:pt idx="4">
                  <c:v>South Cambridgeshire</c:v>
                </c:pt>
                <c:pt idx="5">
                  <c:v>West Suffolk</c:v>
                </c:pt>
                <c:pt idx="6">
                  <c:v>Greater Cambridge</c:v>
                </c:pt>
                <c:pt idx="7">
                  <c:v>HMA</c:v>
                </c:pt>
                <c:pt idx="8">
                  <c:v>East</c:v>
                </c:pt>
                <c:pt idx="9">
                  <c:v>England</c:v>
                </c:pt>
              </c:strCache>
            </c:strRef>
          </c:cat>
          <c:val>
            <c:numRef>
              <c:f>Data!$E$50:$E$59</c:f>
              <c:numCache>
                <c:formatCode>0.0%</c:formatCode>
                <c:ptCount val="10"/>
                <c:pt idx="0">
                  <c:v>5.4844738355376656E-2</c:v>
                </c:pt>
                <c:pt idx="1">
                  <c:v>6.7264252420222298E-2</c:v>
                </c:pt>
                <c:pt idx="2">
                  <c:v>7.1772639691714837E-2</c:v>
                </c:pt>
                <c:pt idx="3">
                  <c:v>5.139833711262283E-2</c:v>
                </c:pt>
                <c:pt idx="4">
                  <c:v>4.615002894715077E-2</c:v>
                </c:pt>
                <c:pt idx="5">
                  <c:v>6.9015460271481019E-2</c:v>
                </c:pt>
                <c:pt idx="6">
                  <c:v>4.9325353073974905E-2</c:v>
                </c:pt>
                <c:pt idx="7">
                  <c:v>5.9642789583201967E-2</c:v>
                </c:pt>
                <c:pt idx="8">
                  <c:v>5.4092764821053671E-2</c:v>
                </c:pt>
                <c:pt idx="9">
                  <c:v>5.8389252413518E-2</c:v>
                </c:pt>
              </c:numCache>
            </c:numRef>
          </c:val>
          <c:extLst>
            <c:ext xmlns:c16="http://schemas.microsoft.com/office/drawing/2014/chart" uri="{C3380CC4-5D6E-409C-BE32-E72D297353CC}">
              <c16:uniqueId val="{00000003-BCE6-4282-91AB-D8664F9C30D3}"/>
            </c:ext>
          </c:extLst>
        </c:ser>
        <c:dLbls>
          <c:dLblPos val="ctr"/>
          <c:showLegendKey val="0"/>
          <c:showVal val="1"/>
          <c:showCatName val="0"/>
          <c:showSerName val="0"/>
          <c:showPercent val="0"/>
          <c:showBubbleSize val="0"/>
        </c:dLbls>
        <c:gapWidth val="50"/>
        <c:overlap val="100"/>
        <c:axId val="1217104080"/>
        <c:axId val="1217106256"/>
      </c:barChart>
      <c:catAx>
        <c:axId val="121710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6256"/>
        <c:crosses val="autoZero"/>
        <c:auto val="1"/>
        <c:lblAlgn val="ctr"/>
        <c:lblOffset val="100"/>
        <c:noMultiLvlLbl val="0"/>
      </c:catAx>
      <c:valAx>
        <c:axId val="121710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07033226935888E-2"/>
          <c:y val="4.9988468753058173E-2"/>
          <c:w val="0.87232174103237092"/>
          <c:h val="0.50863298337707785"/>
        </c:manualLayout>
      </c:layout>
      <c:barChart>
        <c:barDir val="col"/>
        <c:grouping val="clustered"/>
        <c:varyColors val="0"/>
        <c:ser>
          <c:idx val="0"/>
          <c:order val="0"/>
          <c:tx>
            <c:strRef>
              <c:f>Sheet1!$H$80</c:f>
              <c:strCache>
                <c:ptCount val="1"/>
                <c:pt idx="0">
                  <c:v>All ages</c:v>
                </c:pt>
              </c:strCache>
            </c:strRef>
          </c:tx>
          <c:spPr>
            <a:solidFill>
              <a:schemeClr val="accent1"/>
            </a:solidFill>
            <a:ln>
              <a:noFill/>
            </a:ln>
            <a:effectLst/>
          </c:spPr>
          <c:invertIfNegative val="0"/>
          <c:cat>
            <c:strRef>
              <c:f>(Sheet1!$A$81:$A$83,Sheet1!$A$85:$A$86,Sheet1!$A$88:$A$92)</c:f>
              <c:strCache>
                <c:ptCount val="10"/>
                <c:pt idx="0">
                  <c:v>Cambridge</c:v>
                </c:pt>
                <c:pt idx="1">
                  <c:v>East Cambridgeshire</c:v>
                </c:pt>
                <c:pt idx="2">
                  <c:v>Fenland</c:v>
                </c:pt>
                <c:pt idx="3">
                  <c:v>Huntingdonshire</c:v>
                </c:pt>
                <c:pt idx="4">
                  <c:v>South Cambridgeshire</c:v>
                </c:pt>
                <c:pt idx="5">
                  <c:v>West Suffolk</c:v>
                </c:pt>
                <c:pt idx="6">
                  <c:v>HMA</c:v>
                </c:pt>
                <c:pt idx="7">
                  <c:v>Great Cambridge</c:v>
                </c:pt>
                <c:pt idx="8">
                  <c:v>East England</c:v>
                </c:pt>
                <c:pt idx="9">
                  <c:v>England</c:v>
                </c:pt>
              </c:strCache>
            </c:strRef>
          </c:cat>
          <c:val>
            <c:numRef>
              <c:f>(Sheet1!$H$81:$H$83,Sheet1!$H$85:$H$86,Sheet1!$H$88:$H$92)</c:f>
              <c:numCache>
                <c:formatCode>0%</c:formatCode>
                <c:ptCount val="10"/>
                <c:pt idx="0">
                  <c:v>0.57290977688760536</c:v>
                </c:pt>
                <c:pt idx="1">
                  <c:v>0.74052446542092087</c:v>
                </c:pt>
                <c:pt idx="2">
                  <c:v>0.67538910298720378</c:v>
                </c:pt>
                <c:pt idx="3">
                  <c:v>0.7406739661699171</c:v>
                </c:pt>
                <c:pt idx="4">
                  <c:v>0.76632897076557271</c:v>
                </c:pt>
                <c:pt idx="5">
                  <c:v>0.69477536916751448</c:v>
                </c:pt>
                <c:pt idx="6">
                  <c:v>0.70401723147465989</c:v>
                </c:pt>
                <c:pt idx="7">
                  <c:v>0.684626402858447</c:v>
                </c:pt>
                <c:pt idx="8">
                  <c:v>0.66997680306787477</c:v>
                </c:pt>
                <c:pt idx="9">
                  <c:v>0.62566654189380311</c:v>
                </c:pt>
              </c:numCache>
            </c:numRef>
          </c:val>
          <c:extLst>
            <c:ext xmlns:c16="http://schemas.microsoft.com/office/drawing/2014/chart" uri="{C3380CC4-5D6E-409C-BE32-E72D297353CC}">
              <c16:uniqueId val="{00000000-0A99-4908-9A2F-3A957C0AD7F8}"/>
            </c:ext>
          </c:extLst>
        </c:ser>
        <c:ser>
          <c:idx val="1"/>
          <c:order val="1"/>
          <c:tx>
            <c:strRef>
              <c:f>Sheet1!$I$80</c:f>
              <c:strCache>
                <c:ptCount val="1"/>
                <c:pt idx="0">
                  <c:v>Age 50 to 64</c:v>
                </c:pt>
              </c:strCache>
            </c:strRef>
          </c:tx>
          <c:spPr>
            <a:solidFill>
              <a:schemeClr val="accent2"/>
            </a:solidFill>
            <a:ln>
              <a:noFill/>
            </a:ln>
            <a:effectLst/>
          </c:spPr>
          <c:invertIfNegative val="0"/>
          <c:cat>
            <c:strRef>
              <c:f>(Sheet1!$A$81:$A$83,Sheet1!$A$85:$A$86,Sheet1!$A$88:$A$92)</c:f>
              <c:strCache>
                <c:ptCount val="10"/>
                <c:pt idx="0">
                  <c:v>Cambridge</c:v>
                </c:pt>
                <c:pt idx="1">
                  <c:v>East Cambridgeshire</c:v>
                </c:pt>
                <c:pt idx="2">
                  <c:v>Fenland</c:v>
                </c:pt>
                <c:pt idx="3">
                  <c:v>Huntingdonshire</c:v>
                </c:pt>
                <c:pt idx="4">
                  <c:v>South Cambridgeshire</c:v>
                </c:pt>
                <c:pt idx="5">
                  <c:v>West Suffolk</c:v>
                </c:pt>
                <c:pt idx="6">
                  <c:v>HMA</c:v>
                </c:pt>
                <c:pt idx="7">
                  <c:v>Great Cambridge</c:v>
                </c:pt>
                <c:pt idx="8">
                  <c:v>East England</c:v>
                </c:pt>
                <c:pt idx="9">
                  <c:v>England</c:v>
                </c:pt>
              </c:strCache>
            </c:strRef>
          </c:cat>
          <c:val>
            <c:numRef>
              <c:f>(Sheet1!$I$81:$I$83,Sheet1!$I$85:$I$86,Sheet1!$I$88:$I$92)</c:f>
              <c:numCache>
                <c:formatCode>0%</c:formatCode>
                <c:ptCount val="10"/>
                <c:pt idx="0">
                  <c:v>0.75070115300716733</c:v>
                </c:pt>
                <c:pt idx="1">
                  <c:v>0.85428408587169902</c:v>
                </c:pt>
                <c:pt idx="2">
                  <c:v>0.8230540195661421</c:v>
                </c:pt>
                <c:pt idx="3">
                  <c:v>0.86656238719768985</c:v>
                </c:pt>
                <c:pt idx="4">
                  <c:v>0.87247062095820871</c:v>
                </c:pt>
                <c:pt idx="5">
                  <c:v>0.83317575718058223</c:v>
                </c:pt>
                <c:pt idx="6">
                  <c:v>0.84056990155104205</c:v>
                </c:pt>
                <c:pt idx="7">
                  <c:v>0.82886602539781729</c:v>
                </c:pt>
                <c:pt idx="8">
                  <c:v>0.81241355606345911</c:v>
                </c:pt>
                <c:pt idx="9">
                  <c:v>0.78299646193596339</c:v>
                </c:pt>
              </c:numCache>
            </c:numRef>
          </c:val>
          <c:extLst>
            <c:ext xmlns:c16="http://schemas.microsoft.com/office/drawing/2014/chart" uri="{C3380CC4-5D6E-409C-BE32-E72D297353CC}">
              <c16:uniqueId val="{00000001-0A99-4908-9A2F-3A957C0AD7F8}"/>
            </c:ext>
          </c:extLst>
        </c:ser>
        <c:ser>
          <c:idx val="2"/>
          <c:order val="2"/>
          <c:tx>
            <c:strRef>
              <c:f>Sheet1!$J$80</c:f>
              <c:strCache>
                <c:ptCount val="1"/>
                <c:pt idx="0">
                  <c:v>Age 65 and over</c:v>
                </c:pt>
              </c:strCache>
            </c:strRef>
          </c:tx>
          <c:spPr>
            <a:solidFill>
              <a:schemeClr val="accent3"/>
            </a:solidFill>
            <a:ln>
              <a:noFill/>
            </a:ln>
            <a:effectLst/>
          </c:spPr>
          <c:invertIfNegative val="0"/>
          <c:cat>
            <c:strRef>
              <c:f>(Sheet1!$A$81:$A$83,Sheet1!$A$85:$A$86,Sheet1!$A$88:$A$92)</c:f>
              <c:strCache>
                <c:ptCount val="10"/>
                <c:pt idx="0">
                  <c:v>Cambridge</c:v>
                </c:pt>
                <c:pt idx="1">
                  <c:v>East Cambridgeshire</c:v>
                </c:pt>
                <c:pt idx="2">
                  <c:v>Fenland</c:v>
                </c:pt>
                <c:pt idx="3">
                  <c:v>Huntingdonshire</c:v>
                </c:pt>
                <c:pt idx="4">
                  <c:v>South Cambridgeshire</c:v>
                </c:pt>
                <c:pt idx="5">
                  <c:v>West Suffolk</c:v>
                </c:pt>
                <c:pt idx="6">
                  <c:v>HMA</c:v>
                </c:pt>
                <c:pt idx="7">
                  <c:v>Great Cambridge</c:v>
                </c:pt>
                <c:pt idx="8">
                  <c:v>East England</c:v>
                </c:pt>
                <c:pt idx="9">
                  <c:v>England</c:v>
                </c:pt>
              </c:strCache>
            </c:strRef>
          </c:cat>
          <c:val>
            <c:numRef>
              <c:f>(Sheet1!$J$81:$J$83,Sheet1!$J$85:$J$86,Sheet1!$J$88:$J$92)</c:f>
              <c:numCache>
                <c:formatCode>0%</c:formatCode>
                <c:ptCount val="10"/>
                <c:pt idx="0">
                  <c:v>0.80081943645773435</c:v>
                </c:pt>
                <c:pt idx="1">
                  <c:v>0.86418070993187523</c:v>
                </c:pt>
                <c:pt idx="2">
                  <c:v>0.85094198244487262</c:v>
                </c:pt>
                <c:pt idx="3">
                  <c:v>0.88356009070294783</c:v>
                </c:pt>
                <c:pt idx="4">
                  <c:v>0.90058721362997274</c:v>
                </c:pt>
                <c:pt idx="5">
                  <c:v>0.86927818383913236</c:v>
                </c:pt>
                <c:pt idx="6">
                  <c:v>0.86745696449965315</c:v>
                </c:pt>
                <c:pt idx="7">
                  <c:v>0.86415183493463532</c:v>
                </c:pt>
                <c:pt idx="8">
                  <c:v>0.85384289597187557</c:v>
                </c:pt>
                <c:pt idx="9">
                  <c:v>0.83307806968421938</c:v>
                </c:pt>
              </c:numCache>
            </c:numRef>
          </c:val>
          <c:extLst>
            <c:ext xmlns:c16="http://schemas.microsoft.com/office/drawing/2014/chart" uri="{C3380CC4-5D6E-409C-BE32-E72D297353CC}">
              <c16:uniqueId val="{00000002-0A99-4908-9A2F-3A957C0AD7F8}"/>
            </c:ext>
          </c:extLst>
        </c:ser>
        <c:dLbls>
          <c:showLegendKey val="0"/>
          <c:showVal val="0"/>
          <c:showCatName val="0"/>
          <c:showSerName val="0"/>
          <c:showPercent val="0"/>
          <c:showBubbleSize val="0"/>
        </c:dLbls>
        <c:gapWidth val="219"/>
        <c:overlap val="-27"/>
        <c:axId val="1217106800"/>
        <c:axId val="1217089936"/>
      </c:barChart>
      <c:catAx>
        <c:axId val="121710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2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89936"/>
        <c:crosses val="autoZero"/>
        <c:auto val="1"/>
        <c:lblAlgn val="ctr"/>
        <c:lblOffset val="100"/>
        <c:noMultiLvlLbl val="0"/>
      </c:catAx>
      <c:valAx>
        <c:axId val="121708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6800"/>
        <c:crosses val="autoZero"/>
        <c:crossBetween val="between"/>
      </c:valAx>
      <c:spPr>
        <a:noFill/>
        <a:ln>
          <a:noFill/>
        </a:ln>
        <a:effectLst/>
      </c:spPr>
    </c:plotArea>
    <c:legend>
      <c:legendPos val="b"/>
      <c:layout>
        <c:manualLayout>
          <c:xMode val="edge"/>
          <c:yMode val="edge"/>
          <c:x val="0.22163797321944925"/>
          <c:y val="0.89243875548327067"/>
          <c:w val="0.55496973884502587"/>
          <c:h val="7.33325714270072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4431631381"/>
          <c:y val="4.3650793650793697E-2"/>
          <c:w val="0.86745244786949205"/>
          <c:h val="0.76160154181388851"/>
        </c:manualLayout>
      </c:layout>
      <c:barChart>
        <c:barDir val="col"/>
        <c:grouping val="clustered"/>
        <c:varyColors val="0"/>
        <c:ser>
          <c:idx val="0"/>
          <c:order val="0"/>
          <c:tx>
            <c:strRef>
              <c:f>Sheet1!$B$1</c:f>
              <c:strCache>
                <c:ptCount val="1"/>
                <c:pt idx="0">
                  <c:v>HMA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Sheet1!$B$2:$B$5</c:f>
              <c:numCache>
                <c:formatCode>0.0%</c:formatCode>
                <c:ptCount val="4"/>
                <c:pt idx="0">
                  <c:v>3.416360230347603E-2</c:v>
                </c:pt>
                <c:pt idx="1">
                  <c:v>7.1404805220592574E-2</c:v>
                </c:pt>
                <c:pt idx="2">
                  <c:v>0.18369440881832994</c:v>
                </c:pt>
                <c:pt idx="3">
                  <c:v>0.490539518611597</c:v>
                </c:pt>
              </c:numCache>
            </c:numRef>
          </c:val>
          <c:extLst>
            <c:ext xmlns:c16="http://schemas.microsoft.com/office/drawing/2014/chart" uri="{C3380CC4-5D6E-409C-BE32-E72D297353CC}">
              <c16:uniqueId val="{00000000-5675-45E9-909E-0472FB7BA896}"/>
            </c:ext>
          </c:extLst>
        </c:ser>
        <c:ser>
          <c:idx val="1"/>
          <c:order val="1"/>
          <c:tx>
            <c:strRef>
              <c:f>Sheet1!$C$1</c:f>
              <c:strCache>
                <c:ptCount val="1"/>
                <c:pt idx="0">
                  <c:v>East</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Sheet1!$C$2:$C$5</c:f>
              <c:numCache>
                <c:formatCode>0.0%</c:formatCode>
                <c:ptCount val="4"/>
                <c:pt idx="0">
                  <c:v>3.605524646591475E-2</c:v>
                </c:pt>
                <c:pt idx="1">
                  <c:v>7.8531170461613606E-2</c:v>
                </c:pt>
                <c:pt idx="2">
                  <c:v>0.19886042022347175</c:v>
                </c:pt>
                <c:pt idx="3">
                  <c:v>0.50115897369803419</c:v>
                </c:pt>
              </c:numCache>
            </c:numRef>
          </c:val>
          <c:extLst>
            <c:ext xmlns:c16="http://schemas.microsoft.com/office/drawing/2014/chart" uri="{C3380CC4-5D6E-409C-BE32-E72D297353CC}">
              <c16:uniqueId val="{00000001-5675-45E9-909E-0472FB7BA896}"/>
            </c:ext>
          </c:extLst>
        </c:ser>
        <c:ser>
          <c:idx val="3"/>
          <c:order val="2"/>
          <c:tx>
            <c:strRef>
              <c:f>Sheet1!$D$1</c:f>
              <c:strCache>
                <c:ptCount val="1"/>
                <c:pt idx="0">
                  <c:v>England</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Sheet1!$D$2:$D$5</c:f>
              <c:numCache>
                <c:formatCode>0.0%</c:formatCode>
                <c:ptCount val="4"/>
                <c:pt idx="0">
                  <c:v>3.7394306361991758E-2</c:v>
                </c:pt>
                <c:pt idx="1">
                  <c:v>8.6529346628094889E-2</c:v>
                </c:pt>
                <c:pt idx="2">
                  <c:v>0.23349294686668831</c:v>
                </c:pt>
                <c:pt idx="3">
                  <c:v>0.53125703984133066</c:v>
                </c:pt>
              </c:numCache>
            </c:numRef>
          </c:val>
          <c:extLst>
            <c:ext xmlns:c16="http://schemas.microsoft.com/office/drawing/2014/chart" uri="{C3380CC4-5D6E-409C-BE32-E72D297353CC}">
              <c16:uniqueId val="{00000002-5675-45E9-909E-0472FB7BA896}"/>
            </c:ext>
          </c:extLst>
        </c:ser>
        <c:dLbls>
          <c:showLegendKey val="0"/>
          <c:showVal val="0"/>
          <c:showCatName val="0"/>
          <c:showSerName val="0"/>
          <c:showPercent val="0"/>
          <c:showBubbleSize val="0"/>
        </c:dLbls>
        <c:gapWidth val="219"/>
        <c:overlap val="-27"/>
        <c:axId val="2058560415"/>
        <c:axId val="1"/>
      </c:barChart>
      <c:catAx>
        <c:axId val="2058560415"/>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crossAx val="1"/>
        <c:crosses val="autoZero"/>
        <c:auto val="1"/>
        <c:lblAlgn val="ctr"/>
        <c:lblOffset val="100"/>
        <c:noMultiLvlLbl val="0"/>
      </c:catAx>
      <c:valAx>
        <c:axId val="1"/>
        <c:scaling>
          <c:orientation val="minMax"/>
          <c:max val="0.70000000000000007"/>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Arial Narrow"/>
                    <a:ea typeface="Arial Narrow"/>
                    <a:cs typeface="Arial Narrow"/>
                  </a:defRPr>
                </a:pPr>
                <a:r>
                  <a:rPr lang="en-GB"/>
                  <a:t>% with long-term health problem or disability</a:t>
                </a:r>
              </a:p>
            </c:rich>
          </c:tx>
          <c:layout>
            <c:manualLayout>
              <c:xMode val="edge"/>
              <c:yMode val="edge"/>
              <c:x val="0"/>
              <c:y val="8.2334879372955097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crossAx val="2058560415"/>
        <c:crosses val="autoZero"/>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4431631381"/>
          <c:y val="4.3650793650793697E-2"/>
          <c:w val="0.86745244786949205"/>
          <c:h val="0.76160154181388851"/>
        </c:manualLayout>
      </c:layout>
      <c:barChart>
        <c:barDir val="col"/>
        <c:grouping val="clustered"/>
        <c:varyColors val="0"/>
        <c:ser>
          <c:idx val="0"/>
          <c:order val="0"/>
          <c:tx>
            <c:strRef>
              <c:f>Sheet1!$B$1</c:f>
              <c:strCache>
                <c:ptCount val="1"/>
                <c:pt idx="0">
                  <c:v>Cambridge</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Sheet1!$B$2:$B$5</c:f>
              <c:numCache>
                <c:formatCode>0.0%</c:formatCode>
                <c:ptCount val="4"/>
                <c:pt idx="0">
                  <c:v>3.230683090705487E-2</c:v>
                </c:pt>
                <c:pt idx="1">
                  <c:v>6.5253831417624517E-2</c:v>
                </c:pt>
                <c:pt idx="2">
                  <c:v>0.19361990392905531</c:v>
                </c:pt>
                <c:pt idx="3">
                  <c:v>0.50941716320799946</c:v>
                </c:pt>
              </c:numCache>
            </c:numRef>
          </c:val>
          <c:extLst>
            <c:ext xmlns:c16="http://schemas.microsoft.com/office/drawing/2014/chart" uri="{C3380CC4-5D6E-409C-BE32-E72D297353CC}">
              <c16:uniqueId val="{00000000-CECC-4606-8959-545AB22236CB}"/>
            </c:ext>
          </c:extLst>
        </c:ser>
        <c:ser>
          <c:idx val="1"/>
          <c:order val="1"/>
          <c:tx>
            <c:strRef>
              <c:f>Sheet1!$C$1</c:f>
              <c:strCache>
                <c:ptCount val="1"/>
                <c:pt idx="0">
                  <c:v>East Cambs</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Sheet1!$C$2:$C$5</c:f>
              <c:numCache>
                <c:formatCode>0.0%</c:formatCode>
                <c:ptCount val="4"/>
                <c:pt idx="0">
                  <c:v>3.1217481789802288E-2</c:v>
                </c:pt>
                <c:pt idx="1">
                  <c:v>6.6563011017880605E-2</c:v>
                </c:pt>
                <c:pt idx="2">
                  <c:v>0.17925776573624849</c:v>
                </c:pt>
                <c:pt idx="3">
                  <c:v>0.49374432096176696</c:v>
                </c:pt>
              </c:numCache>
            </c:numRef>
          </c:val>
          <c:extLst>
            <c:ext xmlns:c16="http://schemas.microsoft.com/office/drawing/2014/chart" uri="{C3380CC4-5D6E-409C-BE32-E72D297353CC}">
              <c16:uniqueId val="{00000001-CECC-4606-8959-545AB22236CB}"/>
            </c:ext>
          </c:extLst>
        </c:ser>
        <c:ser>
          <c:idx val="3"/>
          <c:order val="2"/>
          <c:tx>
            <c:strRef>
              <c:f>Sheet1!$D$1</c:f>
              <c:strCache>
                <c:ptCount val="1"/>
                <c:pt idx="0">
                  <c:v>Fenland</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Sheet1!$D$2:$D$5</c:f>
              <c:numCache>
                <c:formatCode>0.0%</c:formatCode>
                <c:ptCount val="4"/>
                <c:pt idx="0">
                  <c:v>4.6007151370679379E-2</c:v>
                </c:pt>
                <c:pt idx="1">
                  <c:v>9.9119709553886701E-2</c:v>
                </c:pt>
                <c:pt idx="2">
                  <c:v>0.24824528998891762</c:v>
                </c:pt>
                <c:pt idx="3">
                  <c:v>0.54702624359438889</c:v>
                </c:pt>
              </c:numCache>
            </c:numRef>
          </c:val>
          <c:extLst>
            <c:ext xmlns:c16="http://schemas.microsoft.com/office/drawing/2014/chart" uri="{C3380CC4-5D6E-409C-BE32-E72D297353CC}">
              <c16:uniqueId val="{00000002-CECC-4606-8959-545AB22236CB}"/>
            </c:ext>
          </c:extLst>
        </c:ser>
        <c:ser>
          <c:idx val="2"/>
          <c:order val="3"/>
          <c:tx>
            <c:strRef>
              <c:f>Sheet1!$E$1</c:f>
              <c:strCache>
                <c:ptCount val="1"/>
                <c:pt idx="0">
                  <c:v>Huntingdonshire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Sheet1!$E$2:$E$5</c:f>
              <c:numCache>
                <c:formatCode>0.0%</c:formatCode>
                <c:ptCount val="4"/>
                <c:pt idx="0">
                  <c:v>3.7556798862477203E-2</c:v>
                </c:pt>
                <c:pt idx="1">
                  <c:v>7.2723939715336972E-2</c:v>
                </c:pt>
                <c:pt idx="2">
                  <c:v>0.17350534551752972</c:v>
                </c:pt>
                <c:pt idx="3">
                  <c:v>0.46608058608058606</c:v>
                </c:pt>
              </c:numCache>
            </c:numRef>
          </c:val>
          <c:extLst>
            <c:ext xmlns:c16="http://schemas.microsoft.com/office/drawing/2014/chart" uri="{C3380CC4-5D6E-409C-BE32-E72D297353CC}">
              <c16:uniqueId val="{00000003-CECC-4606-8959-545AB22236CB}"/>
            </c:ext>
          </c:extLst>
        </c:ser>
        <c:ser>
          <c:idx val="4"/>
          <c:order val="4"/>
          <c:tx>
            <c:strRef>
              <c:f>Sheet1!$F$1</c:f>
              <c:strCache>
                <c:ptCount val="1"/>
                <c:pt idx="0">
                  <c:v>South Cambs</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Sheet1!$F$2:$F$5</c:f>
              <c:numCache>
                <c:formatCode>0.0%</c:formatCode>
                <c:ptCount val="4"/>
                <c:pt idx="0">
                  <c:v>2.8422806242137829E-2</c:v>
                </c:pt>
                <c:pt idx="1">
                  <c:v>6.3736297152240343E-2</c:v>
                </c:pt>
                <c:pt idx="2">
                  <c:v>0.15081921784613253</c:v>
                </c:pt>
                <c:pt idx="3">
                  <c:v>0.45931503521982026</c:v>
                </c:pt>
              </c:numCache>
            </c:numRef>
          </c:val>
          <c:extLst>
            <c:ext xmlns:c16="http://schemas.microsoft.com/office/drawing/2014/chart" uri="{C3380CC4-5D6E-409C-BE32-E72D297353CC}">
              <c16:uniqueId val="{00000004-CECC-4606-8959-545AB22236CB}"/>
            </c:ext>
          </c:extLst>
        </c:ser>
        <c:ser>
          <c:idx val="5"/>
          <c:order val="5"/>
          <c:tx>
            <c:strRef>
              <c:f>Sheet1!$G$1</c:f>
              <c:strCache>
                <c:ptCount val="1"/>
                <c:pt idx="0">
                  <c:v>West Suffolk</c:v>
                </c:pt>
              </c:strCache>
            </c:strRef>
          </c:tx>
          <c:spPr>
            <a:solidFill>
              <a:schemeClr val="accent6"/>
            </a:solidFill>
            <a:ln>
              <a:noFill/>
            </a:ln>
            <a:effectLst/>
          </c:spPr>
          <c:invertIfNegative val="0"/>
          <c:dLbls>
            <c:spPr>
              <a:noFill/>
              <a:ln>
                <a:noFill/>
              </a:ln>
              <a:effectLst/>
            </c:spPr>
            <c:txPr>
              <a:bodyPr rot="-5400000" spcFirstLastPara="1" vertOverflow="ellipsis"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Age 0 to 15</c:v>
                </c:pt>
                <c:pt idx="1">
                  <c:v>Age 16 to 49</c:v>
                </c:pt>
                <c:pt idx="2">
                  <c:v>Age 50 to 64</c:v>
                </c:pt>
                <c:pt idx="3">
                  <c:v>Age 65 and over</c:v>
                </c:pt>
              </c:strCache>
            </c:strRef>
          </c:cat>
          <c:val>
            <c:numRef>
              <c:f>Sheet1!$G$2:$G$5</c:f>
              <c:numCache>
                <c:formatCode>0.0%</c:formatCode>
                <c:ptCount val="4"/>
                <c:pt idx="0">
                  <c:v>3.2304310427219728E-2</c:v>
                </c:pt>
                <c:pt idx="1">
                  <c:v>7.0532170428125526E-2</c:v>
                </c:pt>
                <c:pt idx="2">
                  <c:v>0.18292682926829268</c:v>
                </c:pt>
                <c:pt idx="3">
                  <c:v>0.49139616738365272</c:v>
                </c:pt>
              </c:numCache>
            </c:numRef>
          </c:val>
          <c:extLst>
            <c:ext xmlns:c16="http://schemas.microsoft.com/office/drawing/2014/chart" uri="{C3380CC4-5D6E-409C-BE32-E72D297353CC}">
              <c16:uniqueId val="{00000005-CECC-4606-8959-545AB22236CB}"/>
            </c:ext>
          </c:extLst>
        </c:ser>
        <c:dLbls>
          <c:showLegendKey val="0"/>
          <c:showVal val="0"/>
          <c:showCatName val="0"/>
          <c:showSerName val="0"/>
          <c:showPercent val="0"/>
          <c:showBubbleSize val="0"/>
        </c:dLbls>
        <c:gapWidth val="219"/>
        <c:overlap val="-27"/>
        <c:axId val="2057474991"/>
        <c:axId val="1"/>
      </c:barChart>
      <c:catAx>
        <c:axId val="2057474991"/>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crossAx val="1"/>
        <c:crosses val="autoZero"/>
        <c:auto val="1"/>
        <c:lblAlgn val="ctr"/>
        <c:lblOffset val="100"/>
        <c:noMultiLvlLbl val="0"/>
      </c:catAx>
      <c:valAx>
        <c:axId val="1"/>
        <c:scaling>
          <c:orientation val="minMax"/>
          <c:max val="0.70000000000000007"/>
        </c:scaling>
        <c:delete val="0"/>
        <c:axPos val="l"/>
        <c:majorGridlines>
          <c:spPr>
            <a:ln w="9519" cap="flat" cmpd="sng" algn="ctr">
              <a:solidFill>
                <a:schemeClr val="tx1">
                  <a:lumMod val="15000"/>
                  <a:lumOff val="85000"/>
                </a:schemeClr>
              </a:solidFill>
              <a:round/>
            </a:ln>
            <a:effectLst/>
          </c:spPr>
        </c:majorGridlines>
        <c:title>
          <c:tx>
            <c:rich>
              <a:bodyPr/>
              <a:lstStyle/>
              <a:p>
                <a:pPr>
                  <a:defRPr sz="999" b="0" i="0" u="none" strike="noStrike" baseline="0">
                    <a:solidFill>
                      <a:srgbClr val="000000"/>
                    </a:solidFill>
                    <a:latin typeface="Arial Narrow"/>
                    <a:ea typeface="Arial Narrow"/>
                    <a:cs typeface="Arial Narrow"/>
                  </a:defRPr>
                </a:pPr>
                <a:r>
                  <a:rPr lang="en-GB"/>
                  <a:t>% with long-term health problem or disability</a:t>
                </a:r>
              </a:p>
            </c:rich>
          </c:tx>
          <c:layout>
            <c:manualLayout>
              <c:xMode val="edge"/>
              <c:yMode val="edge"/>
              <c:x val="0"/>
              <c:y val="8.2334879372955097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crossAx val="2057474991"/>
        <c:crosses val="autoZero"/>
        <c:crossBetween val="between"/>
      </c:valAx>
      <c:spPr>
        <a:noFill/>
        <a:ln w="2538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9943567763443"/>
          <c:y val="4.7159699892818902E-2"/>
          <c:w val="0.87232671973302112"/>
          <c:h val="0.69628751505840047"/>
        </c:manualLayout>
      </c:layout>
      <c:barChart>
        <c:barDir val="col"/>
        <c:grouping val="percentStacked"/>
        <c:varyColors val="0"/>
        <c:ser>
          <c:idx val="0"/>
          <c:order val="0"/>
          <c:tx>
            <c:strRef>
              <c:f>Sheet1!$B$1</c:f>
              <c:strCache>
                <c:ptCount val="1"/>
                <c:pt idx="0">
                  <c:v>Owner-occupied (no mortgage)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1"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With LTHPD</c:v>
                </c:pt>
                <c:pt idx="1">
                  <c:v>Without LTHPD</c:v>
                </c:pt>
                <c:pt idx="2">
                  <c:v>Total household population</c:v>
                </c:pt>
              </c:strCache>
            </c:strRef>
          </c:cat>
          <c:val>
            <c:numRef>
              <c:f>Sheet1!$B$2:$B$4</c:f>
              <c:numCache>
                <c:formatCode>0.0%</c:formatCode>
                <c:ptCount val="3"/>
                <c:pt idx="0">
                  <c:v>0.45008383130561885</c:v>
                </c:pt>
                <c:pt idx="1">
                  <c:v>0.23040912023559992</c:v>
                </c:pt>
                <c:pt idx="2">
                  <c:v>0.2638425612713185</c:v>
                </c:pt>
              </c:numCache>
            </c:numRef>
          </c:val>
          <c:extLst>
            <c:ext xmlns:c16="http://schemas.microsoft.com/office/drawing/2014/chart" uri="{C3380CC4-5D6E-409C-BE32-E72D297353CC}">
              <c16:uniqueId val="{00000000-C34A-4417-854F-544A5CDEAE20}"/>
            </c:ext>
          </c:extLst>
        </c:ser>
        <c:ser>
          <c:idx val="1"/>
          <c:order val="1"/>
          <c:tx>
            <c:strRef>
              <c:f>Sheet1!$C$1</c:f>
              <c:strCache>
                <c:ptCount val="1"/>
                <c:pt idx="0">
                  <c:v>Owner-occupied (with mortgage)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1"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With LTHPD</c:v>
                </c:pt>
                <c:pt idx="1">
                  <c:v>Without LTHPD</c:v>
                </c:pt>
                <c:pt idx="2">
                  <c:v>Total household population</c:v>
                </c:pt>
              </c:strCache>
            </c:strRef>
          </c:cat>
          <c:val>
            <c:numRef>
              <c:f>Sheet1!$C$2:$C$4</c:f>
              <c:numCache>
                <c:formatCode>0.0%</c:formatCode>
                <c:ptCount val="3"/>
                <c:pt idx="0">
                  <c:v>0.20026654056145479</c:v>
                </c:pt>
                <c:pt idx="1">
                  <c:v>0.45008473817601463</c:v>
                </c:pt>
                <c:pt idx="2">
                  <c:v>0.41206360256640095</c:v>
                </c:pt>
              </c:numCache>
            </c:numRef>
          </c:val>
          <c:extLst>
            <c:ext xmlns:c16="http://schemas.microsoft.com/office/drawing/2014/chart" uri="{C3380CC4-5D6E-409C-BE32-E72D297353CC}">
              <c16:uniqueId val="{00000001-C34A-4417-854F-544A5CDEAE20}"/>
            </c:ext>
          </c:extLst>
        </c:ser>
        <c:ser>
          <c:idx val="2"/>
          <c:order val="2"/>
          <c:tx>
            <c:strRef>
              <c:f>Sheet1!$D$1</c:f>
              <c:strCache>
                <c:ptCount val="1"/>
                <c:pt idx="0">
                  <c:v>Social rented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1"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With LTHPD</c:v>
                </c:pt>
                <c:pt idx="1">
                  <c:v>Without LTHPD</c:v>
                </c:pt>
                <c:pt idx="2">
                  <c:v>Total household population</c:v>
                </c:pt>
              </c:strCache>
            </c:strRef>
          </c:cat>
          <c:val>
            <c:numRef>
              <c:f>Sheet1!$D$2:$D$4</c:f>
              <c:numCache>
                <c:formatCode>0.0%</c:formatCode>
                <c:ptCount val="3"/>
                <c:pt idx="0">
                  <c:v>0.24742702377369846</c:v>
                </c:pt>
                <c:pt idx="1">
                  <c:v>0.12680165092810683</c:v>
                </c:pt>
                <c:pt idx="2">
                  <c:v>0.14516025611666317</c:v>
                </c:pt>
              </c:numCache>
            </c:numRef>
          </c:val>
          <c:extLst>
            <c:ext xmlns:c16="http://schemas.microsoft.com/office/drawing/2014/chart" uri="{C3380CC4-5D6E-409C-BE32-E72D297353CC}">
              <c16:uniqueId val="{00000002-C34A-4417-854F-544A5CDEAE20}"/>
            </c:ext>
          </c:extLst>
        </c:ser>
        <c:ser>
          <c:idx val="3"/>
          <c:order val="3"/>
          <c:tx>
            <c:strRef>
              <c:f>Sheet1!$E$1</c:f>
              <c:strCache>
                <c:ptCount val="1"/>
                <c:pt idx="0">
                  <c:v>Private rented &amp; other</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1" b="0" i="0" u="none" strike="noStrike" kern="1200" baseline="0">
                    <a:solidFill>
                      <a:schemeClr val="bg1"/>
                    </a:solidFill>
                    <a:latin typeface="Arial Narrow" panose="020B060602020203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With LTHPD</c:v>
                </c:pt>
                <c:pt idx="1">
                  <c:v>Without LTHPD</c:v>
                </c:pt>
                <c:pt idx="2">
                  <c:v>Total household population</c:v>
                </c:pt>
              </c:strCache>
            </c:strRef>
          </c:cat>
          <c:val>
            <c:numRef>
              <c:f>Sheet1!$E$2:$E$4</c:f>
              <c:numCache>
                <c:formatCode>0.0%</c:formatCode>
                <c:ptCount val="3"/>
                <c:pt idx="0">
                  <c:v>0.10222260435922789</c:v>
                </c:pt>
                <c:pt idx="1">
                  <c:v>0.19270449066027864</c:v>
                </c:pt>
                <c:pt idx="2">
                  <c:v>0.17893358004561735</c:v>
                </c:pt>
              </c:numCache>
            </c:numRef>
          </c:val>
          <c:extLst>
            <c:ext xmlns:c16="http://schemas.microsoft.com/office/drawing/2014/chart" uri="{C3380CC4-5D6E-409C-BE32-E72D297353CC}">
              <c16:uniqueId val="{00000003-C34A-4417-854F-544A5CDEAE20}"/>
            </c:ext>
          </c:extLst>
        </c:ser>
        <c:dLbls>
          <c:showLegendKey val="0"/>
          <c:showVal val="0"/>
          <c:showCatName val="0"/>
          <c:showSerName val="0"/>
          <c:showPercent val="0"/>
          <c:showBubbleSize val="0"/>
        </c:dLbls>
        <c:gapWidth val="150"/>
        <c:overlap val="100"/>
        <c:axId val="2059859471"/>
        <c:axId val="1"/>
      </c:barChart>
      <c:catAx>
        <c:axId val="2059859471"/>
        <c:scaling>
          <c:orientation val="minMax"/>
        </c:scaling>
        <c:delete val="0"/>
        <c:axPos val="b"/>
        <c:numFmt formatCode="General" sourceLinked="1"/>
        <c:majorTickMark val="none"/>
        <c:minorTickMark val="none"/>
        <c:tickLblPos val="nextTo"/>
        <c:spPr>
          <a:noFill/>
          <a:ln w="9532"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ysClr val="windowText" lastClr="000000"/>
                </a:solidFill>
                <a:latin typeface="Arial Narrow" panose="020B0606020202030204" pitchFamily="34"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32" cap="flat" cmpd="sng" algn="ctr">
              <a:solidFill>
                <a:schemeClr val="tx1">
                  <a:lumMod val="15000"/>
                  <a:lumOff val="85000"/>
                </a:schemeClr>
              </a:solidFill>
              <a:round/>
            </a:ln>
            <a:effectLst/>
          </c:spPr>
        </c:majorGridlines>
        <c:title>
          <c:tx>
            <c:rich>
              <a:bodyPr/>
              <a:lstStyle/>
              <a:p>
                <a:pPr>
                  <a:defRPr sz="1001" b="0" i="0" u="none" strike="noStrike" baseline="0">
                    <a:solidFill>
                      <a:srgbClr val="000000"/>
                    </a:solidFill>
                    <a:latin typeface="Arial Narrow"/>
                    <a:ea typeface="Arial Narrow"/>
                    <a:cs typeface="Arial Narrow"/>
                  </a:defRPr>
                </a:pPr>
                <a:r>
                  <a:rPr lang="en-GB"/>
                  <a:t>% of household population in group</a:t>
                </a:r>
              </a:p>
            </c:rich>
          </c:tx>
          <c:layout>
            <c:manualLayout>
              <c:xMode val="edge"/>
              <c:yMode val="edge"/>
              <c:x val="9.3660964793193958E-3"/>
              <c:y val="0.10941580756013745"/>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ysClr val="windowText" lastClr="000000"/>
                </a:solidFill>
                <a:latin typeface="Arial Narrow" panose="020B0606020202030204" pitchFamily="34" charset="0"/>
                <a:ea typeface="+mn-ea"/>
                <a:cs typeface="+mn-cs"/>
              </a:defRPr>
            </a:pPr>
            <a:endParaRPr lang="en-US"/>
          </a:p>
        </c:txPr>
        <c:crossAx val="2059859471"/>
        <c:crosses val="autoZero"/>
        <c:crossBetween val="between"/>
      </c:valAx>
      <c:spPr>
        <a:noFill/>
        <a:ln w="25418">
          <a:noFill/>
        </a:ln>
      </c:spPr>
    </c:plotArea>
    <c:legend>
      <c:legendPos val="b"/>
      <c:overlay val="0"/>
      <c:spPr>
        <a:noFill/>
        <a:ln>
          <a:noFill/>
        </a:ln>
        <a:effectLst/>
      </c:spPr>
      <c:txPr>
        <a:bodyPr rot="0" spcFirstLastPara="1" vertOverflow="ellipsis" vert="horz" wrap="square" anchor="ctr" anchorCtr="1"/>
        <a:lstStyle/>
        <a:p>
          <a:pPr>
            <a:defRPr sz="901"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32"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Undergraduate</c:v>
          </c:tx>
          <c:spPr>
            <a:solidFill>
              <a:schemeClr val="accent1"/>
            </a:solidFill>
            <a:ln>
              <a:noFill/>
            </a:ln>
            <a:effectLst/>
          </c:spPr>
          <c:invertIfNegative val="0"/>
          <c:cat>
            <c:strRef>
              <c:f>'Student population'!$A$27:$A$48</c:f>
              <c:strCache>
                <c:ptCount val="22"/>
                <c:pt idx="0">
                  <c:v>1995-96</c:v>
                </c:pt>
                <c:pt idx="1">
                  <c:v>1996-97</c:v>
                </c:pt>
                <c:pt idx="2">
                  <c:v>1997-98</c:v>
                </c:pt>
                <c:pt idx="3">
                  <c:v>1998-99</c:v>
                </c:pt>
                <c:pt idx="4">
                  <c:v>1999-2000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pt idx="19">
                  <c:v>2014-15</c:v>
                </c:pt>
                <c:pt idx="20">
                  <c:v>2015-16</c:v>
                </c:pt>
                <c:pt idx="21">
                  <c:v>2016-17</c:v>
                </c:pt>
              </c:strCache>
            </c:strRef>
          </c:cat>
          <c:val>
            <c:numRef>
              <c:f>'Student population'!$F$27:$F$48</c:f>
              <c:numCache>
                <c:formatCode>#,##0</c:formatCode>
                <c:ptCount val="22"/>
                <c:pt idx="0">
                  <c:v>11115</c:v>
                </c:pt>
                <c:pt idx="1">
                  <c:v>11223</c:v>
                </c:pt>
                <c:pt idx="2">
                  <c:v>11160</c:v>
                </c:pt>
                <c:pt idx="3">
                  <c:v>11366</c:v>
                </c:pt>
                <c:pt idx="4">
                  <c:v>11495</c:v>
                </c:pt>
                <c:pt idx="5">
                  <c:v>11627</c:v>
                </c:pt>
                <c:pt idx="6">
                  <c:v>11899</c:v>
                </c:pt>
                <c:pt idx="7">
                  <c:v>12018</c:v>
                </c:pt>
                <c:pt idx="8">
                  <c:v>11964</c:v>
                </c:pt>
                <c:pt idx="9">
                  <c:v>11979</c:v>
                </c:pt>
                <c:pt idx="10">
                  <c:v>11903</c:v>
                </c:pt>
                <c:pt idx="11">
                  <c:v>11824</c:v>
                </c:pt>
                <c:pt idx="12">
                  <c:v>11826</c:v>
                </c:pt>
                <c:pt idx="13">
                  <c:v>12006</c:v>
                </c:pt>
                <c:pt idx="14">
                  <c:v>12192</c:v>
                </c:pt>
                <c:pt idx="15">
                  <c:v>12077</c:v>
                </c:pt>
                <c:pt idx="16">
                  <c:v>12063</c:v>
                </c:pt>
                <c:pt idx="17">
                  <c:v>11925</c:v>
                </c:pt>
                <c:pt idx="18">
                  <c:v>11905</c:v>
                </c:pt>
                <c:pt idx="19">
                  <c:v>11881</c:v>
                </c:pt>
                <c:pt idx="20">
                  <c:v>11934</c:v>
                </c:pt>
                <c:pt idx="21">
                  <c:v>12044</c:v>
                </c:pt>
              </c:numCache>
            </c:numRef>
          </c:val>
          <c:extLst>
            <c:ext xmlns:c16="http://schemas.microsoft.com/office/drawing/2014/chart" uri="{C3380CC4-5D6E-409C-BE32-E72D297353CC}">
              <c16:uniqueId val="{00000000-AE39-4A27-8574-BC57B7DBB3F4}"/>
            </c:ext>
          </c:extLst>
        </c:ser>
        <c:ser>
          <c:idx val="1"/>
          <c:order val="1"/>
          <c:tx>
            <c:v>Postgraduate</c:v>
          </c:tx>
          <c:spPr>
            <a:solidFill>
              <a:schemeClr val="accent2"/>
            </a:solidFill>
            <a:ln>
              <a:noFill/>
            </a:ln>
            <a:effectLst/>
          </c:spPr>
          <c:invertIfNegative val="0"/>
          <c:cat>
            <c:strRef>
              <c:f>'Student population'!$A$27:$A$48</c:f>
              <c:strCache>
                <c:ptCount val="22"/>
                <c:pt idx="0">
                  <c:v>1995-96</c:v>
                </c:pt>
                <c:pt idx="1">
                  <c:v>1996-97</c:v>
                </c:pt>
                <c:pt idx="2">
                  <c:v>1997-98</c:v>
                </c:pt>
                <c:pt idx="3">
                  <c:v>1998-99</c:v>
                </c:pt>
                <c:pt idx="4">
                  <c:v>1999-2000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pt idx="19">
                  <c:v>2014-15</c:v>
                </c:pt>
                <c:pt idx="20">
                  <c:v>2015-16</c:v>
                </c:pt>
                <c:pt idx="21">
                  <c:v>2016-17</c:v>
                </c:pt>
              </c:strCache>
            </c:strRef>
          </c:cat>
          <c:val>
            <c:numRef>
              <c:f>'Student population'!$K$27:$K$48</c:f>
              <c:numCache>
                <c:formatCode>#,##0</c:formatCode>
                <c:ptCount val="22"/>
                <c:pt idx="0">
                  <c:v>4750</c:v>
                </c:pt>
                <c:pt idx="1">
                  <c:v>4688</c:v>
                </c:pt>
                <c:pt idx="2">
                  <c:v>4661</c:v>
                </c:pt>
                <c:pt idx="3">
                  <c:v>4717</c:v>
                </c:pt>
                <c:pt idx="4">
                  <c:v>4819</c:v>
                </c:pt>
                <c:pt idx="5">
                  <c:v>4892</c:v>
                </c:pt>
                <c:pt idx="6">
                  <c:v>5065</c:v>
                </c:pt>
                <c:pt idx="7">
                  <c:v>5285</c:v>
                </c:pt>
                <c:pt idx="8">
                  <c:v>5395</c:v>
                </c:pt>
                <c:pt idx="9">
                  <c:v>5499</c:v>
                </c:pt>
                <c:pt idx="10">
                  <c:v>6223</c:v>
                </c:pt>
                <c:pt idx="11">
                  <c:v>6215</c:v>
                </c:pt>
                <c:pt idx="12">
                  <c:v>5836</c:v>
                </c:pt>
                <c:pt idx="13">
                  <c:v>5521</c:v>
                </c:pt>
                <c:pt idx="14">
                  <c:v>5795</c:v>
                </c:pt>
                <c:pt idx="15">
                  <c:v>6371</c:v>
                </c:pt>
                <c:pt idx="16">
                  <c:v>6272</c:v>
                </c:pt>
                <c:pt idx="17">
                  <c:v>6470</c:v>
                </c:pt>
                <c:pt idx="18">
                  <c:v>6592</c:v>
                </c:pt>
                <c:pt idx="19">
                  <c:v>6466</c:v>
                </c:pt>
                <c:pt idx="20">
                  <c:v>6508</c:v>
                </c:pt>
                <c:pt idx="21">
                  <c:v>6572</c:v>
                </c:pt>
              </c:numCache>
            </c:numRef>
          </c:val>
          <c:extLst>
            <c:ext xmlns:c16="http://schemas.microsoft.com/office/drawing/2014/chart" uri="{C3380CC4-5D6E-409C-BE32-E72D297353CC}">
              <c16:uniqueId val="{00000001-AE39-4A27-8574-BC57B7DBB3F4}"/>
            </c:ext>
          </c:extLst>
        </c:ser>
        <c:dLbls>
          <c:showLegendKey val="0"/>
          <c:showVal val="0"/>
          <c:showCatName val="0"/>
          <c:showSerName val="0"/>
          <c:showPercent val="0"/>
          <c:showBubbleSize val="0"/>
        </c:dLbls>
        <c:gapWidth val="150"/>
        <c:overlap val="100"/>
        <c:axId val="1217117680"/>
        <c:axId val="1217108976"/>
      </c:barChart>
      <c:catAx>
        <c:axId val="121711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8976"/>
        <c:crosses val="autoZero"/>
        <c:auto val="1"/>
        <c:lblAlgn val="ctr"/>
        <c:lblOffset val="100"/>
        <c:noMultiLvlLbl val="0"/>
      </c:catAx>
      <c:valAx>
        <c:axId val="121710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'Age structure 2019'!$B$115</c:f>
              <c:strCache>
                <c:ptCount val="1"/>
                <c:pt idx="0">
                  <c:v>HMA</c:v>
                </c:pt>
              </c:strCache>
            </c:strRef>
          </c:tx>
          <c:spPr>
            <a:ln w="28575" cap="rnd">
              <a:solidFill>
                <a:schemeClr val="accent1"/>
              </a:solidFill>
              <a:round/>
            </a:ln>
            <a:effectLst/>
          </c:spPr>
          <c:marker>
            <c:symbol val="none"/>
          </c:marker>
          <c:cat>
            <c:strRef>
              <c:f>'Age structure 2019'!$A$116:$A$133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2019'!$B$116:$B$133</c:f>
              <c:numCache>
                <c:formatCode>0%</c:formatCode>
                <c:ptCount val="18"/>
                <c:pt idx="0">
                  <c:v>5.7170309872687966E-2</c:v>
                </c:pt>
                <c:pt idx="1">
                  <c:v>6.2695171751141004E-2</c:v>
                </c:pt>
                <c:pt idx="2">
                  <c:v>5.8251261109776603E-2</c:v>
                </c:pt>
                <c:pt idx="3">
                  <c:v>5.4287773240451601E-2</c:v>
                </c:pt>
                <c:pt idx="4">
                  <c:v>6.4016334374249334E-2</c:v>
                </c:pt>
                <c:pt idx="5">
                  <c:v>6.2214748979101613E-2</c:v>
                </c:pt>
                <c:pt idx="6">
                  <c:v>6.305548883017055E-2</c:v>
                </c:pt>
                <c:pt idx="7">
                  <c:v>6.3415805909200096E-2</c:v>
                </c:pt>
                <c:pt idx="8">
                  <c:v>6.0653374969973577E-2</c:v>
                </c:pt>
                <c:pt idx="9">
                  <c:v>6.7139082392505406E-2</c:v>
                </c:pt>
                <c:pt idx="10">
                  <c:v>7.0381936103771317E-2</c:v>
                </c:pt>
                <c:pt idx="11">
                  <c:v>6.5457602690367517E-2</c:v>
                </c:pt>
                <c:pt idx="12">
                  <c:v>5.560893586355993E-2</c:v>
                </c:pt>
                <c:pt idx="13">
                  <c:v>5.1765553687244774E-2</c:v>
                </c:pt>
                <c:pt idx="14">
                  <c:v>5.3687244775402355E-2</c:v>
                </c:pt>
                <c:pt idx="15">
                  <c:v>3.6632236368003841E-2</c:v>
                </c:pt>
                <c:pt idx="16">
                  <c:v>2.6903675234206101E-2</c:v>
                </c:pt>
                <c:pt idx="17">
                  <c:v>2.7384098006245496E-2</c:v>
                </c:pt>
              </c:numCache>
            </c:numRef>
          </c:val>
          <c:smooth val="0"/>
          <c:extLst>
            <c:ext xmlns:c16="http://schemas.microsoft.com/office/drawing/2014/chart" uri="{C3380CC4-5D6E-409C-BE32-E72D297353CC}">
              <c16:uniqueId val="{00000000-90A2-4970-AF6A-9B60A4D87AE7}"/>
            </c:ext>
          </c:extLst>
        </c:ser>
        <c:ser>
          <c:idx val="1"/>
          <c:order val="1"/>
          <c:tx>
            <c:strRef>
              <c:f>'Age structure 2019'!$C$115</c:f>
              <c:strCache>
                <c:ptCount val="1"/>
                <c:pt idx="0">
                  <c:v>Greater Cambridge</c:v>
                </c:pt>
              </c:strCache>
            </c:strRef>
          </c:tx>
          <c:spPr>
            <a:ln w="28575" cap="rnd">
              <a:solidFill>
                <a:schemeClr val="accent2"/>
              </a:solidFill>
              <a:round/>
            </a:ln>
            <a:effectLst/>
          </c:spPr>
          <c:marker>
            <c:symbol val="none"/>
          </c:marker>
          <c:cat>
            <c:strRef>
              <c:f>'Age structure 2019'!$A$116:$A$133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2019'!$C$116:$C$133</c:f>
              <c:numCache>
                <c:formatCode>0%</c:formatCode>
                <c:ptCount val="18"/>
                <c:pt idx="0">
                  <c:v>5.6357872490313488E-2</c:v>
                </c:pt>
                <c:pt idx="1">
                  <c:v>6.1993659739344842E-2</c:v>
                </c:pt>
                <c:pt idx="2">
                  <c:v>5.9880239520958084E-2</c:v>
                </c:pt>
                <c:pt idx="3">
                  <c:v>6.375484325466714E-2</c:v>
                </c:pt>
                <c:pt idx="4">
                  <c:v>9.2638252905952803E-2</c:v>
                </c:pt>
                <c:pt idx="5">
                  <c:v>6.9390630503698481E-2</c:v>
                </c:pt>
                <c:pt idx="6">
                  <c:v>5.9175766114829165E-2</c:v>
                </c:pt>
                <c:pt idx="7">
                  <c:v>6.2698133145473761E-2</c:v>
                </c:pt>
                <c:pt idx="8">
                  <c:v>6.4811553363860519E-2</c:v>
                </c:pt>
                <c:pt idx="9">
                  <c:v>6.6924973582247277E-2</c:v>
                </c:pt>
                <c:pt idx="10">
                  <c:v>6.6220500176118358E-2</c:v>
                </c:pt>
                <c:pt idx="11">
                  <c:v>5.9528002817893624E-2</c:v>
                </c:pt>
                <c:pt idx="12">
                  <c:v>5.0017611835153221E-2</c:v>
                </c:pt>
                <c:pt idx="13">
                  <c:v>4.4734061289186333E-2</c:v>
                </c:pt>
                <c:pt idx="14">
                  <c:v>4.4029587883057414E-2</c:v>
                </c:pt>
                <c:pt idx="15">
                  <c:v>3.0644593166607961E-2</c:v>
                </c:pt>
                <c:pt idx="16">
                  <c:v>2.3247622402254316E-2</c:v>
                </c:pt>
                <c:pt idx="17">
                  <c:v>2.500880591757661E-2</c:v>
                </c:pt>
              </c:numCache>
            </c:numRef>
          </c:val>
          <c:smooth val="0"/>
          <c:extLst>
            <c:ext xmlns:c16="http://schemas.microsoft.com/office/drawing/2014/chart" uri="{C3380CC4-5D6E-409C-BE32-E72D297353CC}">
              <c16:uniqueId val="{00000001-90A2-4970-AF6A-9B60A4D87AE7}"/>
            </c:ext>
          </c:extLst>
        </c:ser>
        <c:ser>
          <c:idx val="2"/>
          <c:order val="2"/>
          <c:tx>
            <c:strRef>
              <c:f>'Age structure 2019'!$D$115</c:f>
              <c:strCache>
                <c:ptCount val="1"/>
                <c:pt idx="0">
                  <c:v>East of England</c:v>
                </c:pt>
              </c:strCache>
            </c:strRef>
          </c:tx>
          <c:spPr>
            <a:ln w="28575" cap="rnd">
              <a:solidFill>
                <a:schemeClr val="accent3"/>
              </a:solidFill>
              <a:round/>
            </a:ln>
            <a:effectLst/>
          </c:spPr>
          <c:marker>
            <c:symbol val="none"/>
          </c:marker>
          <c:cat>
            <c:strRef>
              <c:f>'Age structure 2019'!$A$116:$A$133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2019'!$D$116:$D$133</c:f>
              <c:numCache>
                <c:formatCode>0%</c:formatCode>
                <c:ptCount val="18"/>
                <c:pt idx="0">
                  <c:v>5.9011240999983963E-2</c:v>
                </c:pt>
                <c:pt idx="1">
                  <c:v>6.3773833004602237E-2</c:v>
                </c:pt>
                <c:pt idx="2">
                  <c:v>6.0310129728516217E-2</c:v>
                </c:pt>
                <c:pt idx="3">
                  <c:v>5.3350651849713764E-2</c:v>
                </c:pt>
                <c:pt idx="4">
                  <c:v>5.3927935729061433E-2</c:v>
                </c:pt>
                <c:pt idx="5">
                  <c:v>5.9540417889385994E-2</c:v>
                </c:pt>
                <c:pt idx="6">
                  <c:v>6.3533298054874038E-2</c:v>
                </c:pt>
                <c:pt idx="7">
                  <c:v>6.4719937140199801E-2</c:v>
                </c:pt>
                <c:pt idx="8">
                  <c:v>6.1528840140472413E-2</c:v>
                </c:pt>
                <c:pt idx="9">
                  <c:v>6.7205464954057825E-2</c:v>
                </c:pt>
                <c:pt idx="10">
                  <c:v>7.1246452109491515E-2</c:v>
                </c:pt>
                <c:pt idx="11">
                  <c:v>6.6548002758134092E-2</c:v>
                </c:pt>
                <c:pt idx="12">
                  <c:v>5.6702105482593287E-2</c:v>
                </c:pt>
                <c:pt idx="13">
                  <c:v>5.2003656131235872E-2</c:v>
                </c:pt>
                <c:pt idx="14">
                  <c:v>5.3863793075800581E-2</c:v>
                </c:pt>
                <c:pt idx="15">
                  <c:v>3.7010310931511685E-2</c:v>
                </c:pt>
                <c:pt idx="16">
                  <c:v>2.7869982841840252E-2</c:v>
                </c:pt>
                <c:pt idx="17">
                  <c:v>2.7869982841840252E-2</c:v>
                </c:pt>
              </c:numCache>
            </c:numRef>
          </c:val>
          <c:smooth val="0"/>
          <c:extLst>
            <c:ext xmlns:c16="http://schemas.microsoft.com/office/drawing/2014/chart" uri="{C3380CC4-5D6E-409C-BE32-E72D297353CC}">
              <c16:uniqueId val="{00000002-90A2-4970-AF6A-9B60A4D87AE7}"/>
            </c:ext>
          </c:extLst>
        </c:ser>
        <c:ser>
          <c:idx val="3"/>
          <c:order val="3"/>
          <c:tx>
            <c:strRef>
              <c:f>'Age structure 2019'!$E$115</c:f>
              <c:strCache>
                <c:ptCount val="1"/>
                <c:pt idx="0">
                  <c:v>England</c:v>
                </c:pt>
              </c:strCache>
            </c:strRef>
          </c:tx>
          <c:spPr>
            <a:ln w="28575" cap="rnd">
              <a:solidFill>
                <a:schemeClr val="accent4"/>
              </a:solidFill>
              <a:round/>
            </a:ln>
            <a:effectLst/>
          </c:spPr>
          <c:marker>
            <c:symbol val="none"/>
          </c:marker>
          <c:cat>
            <c:strRef>
              <c:f>'Age structure 2019'!$A$116:$A$133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2019'!$E$116:$E$133</c:f>
              <c:numCache>
                <c:formatCode>0%</c:formatCode>
                <c:ptCount val="18"/>
                <c:pt idx="0">
                  <c:v>5.8622772576260945E-2</c:v>
                </c:pt>
                <c:pt idx="1">
                  <c:v>6.2859985431804863E-2</c:v>
                </c:pt>
                <c:pt idx="2">
                  <c:v>5.9591024570504733E-2</c:v>
                </c:pt>
                <c:pt idx="3">
                  <c:v>5.4900776378204556E-2</c:v>
                </c:pt>
                <c:pt idx="4">
                  <c:v>6.1966351022438575E-2</c:v>
                </c:pt>
                <c:pt idx="5">
                  <c:v>6.7536020750795039E-2</c:v>
                </c:pt>
                <c:pt idx="6">
                  <c:v>6.765327695560254E-2</c:v>
                </c:pt>
                <c:pt idx="7">
                  <c:v>6.6331479737772481E-2</c:v>
                </c:pt>
                <c:pt idx="8">
                  <c:v>6.0658766677918523E-2</c:v>
                </c:pt>
                <c:pt idx="9">
                  <c:v>6.6015243306624977E-2</c:v>
                </c:pt>
                <c:pt idx="10">
                  <c:v>6.9421003073533855E-2</c:v>
                </c:pt>
                <c:pt idx="11">
                  <c:v>6.5213992573773694E-2</c:v>
                </c:pt>
                <c:pt idx="12">
                  <c:v>5.528452395757457E-2</c:v>
                </c:pt>
                <c:pt idx="13">
                  <c:v>4.9686428482598112E-2</c:v>
                </c:pt>
                <c:pt idx="14">
                  <c:v>4.9377298488105605E-2</c:v>
                </c:pt>
                <c:pt idx="15">
                  <c:v>3.447865404089754E-2</c:v>
                </c:pt>
                <c:pt idx="16">
                  <c:v>2.5581395348837209E-2</c:v>
                </c:pt>
                <c:pt idx="17">
                  <c:v>2.4821006626752181E-2</c:v>
                </c:pt>
              </c:numCache>
            </c:numRef>
          </c:val>
          <c:smooth val="0"/>
          <c:extLst>
            <c:ext xmlns:c16="http://schemas.microsoft.com/office/drawing/2014/chart" uri="{C3380CC4-5D6E-409C-BE32-E72D297353CC}">
              <c16:uniqueId val="{00000003-90A2-4970-AF6A-9B60A4D87AE7}"/>
            </c:ext>
          </c:extLst>
        </c:ser>
        <c:dLbls>
          <c:showLegendKey val="0"/>
          <c:showVal val="0"/>
          <c:showCatName val="0"/>
          <c:showSerName val="0"/>
          <c:showPercent val="0"/>
          <c:showBubbleSize val="0"/>
        </c:dLbls>
        <c:smooth val="0"/>
        <c:axId val="525335720"/>
        <c:axId val="569266096"/>
      </c:lineChart>
      <c:catAx>
        <c:axId val="52533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266096"/>
        <c:crosses val="autoZero"/>
        <c:auto val="1"/>
        <c:lblAlgn val="ctr"/>
        <c:lblOffset val="100"/>
        <c:noMultiLvlLbl val="0"/>
      </c:catAx>
      <c:valAx>
        <c:axId val="569266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3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'Student population'!$A$55</c:f>
              <c:strCache>
                <c:ptCount val="1"/>
                <c:pt idx="0">
                  <c:v>Home/EU students</c:v>
                </c:pt>
              </c:strCache>
            </c:strRef>
          </c:tx>
          <c:spPr>
            <a:solidFill>
              <a:schemeClr val="accent2"/>
            </a:solidFill>
            <a:ln>
              <a:noFill/>
            </a:ln>
            <a:effectLst/>
          </c:spPr>
          <c:invertIfNegative val="0"/>
          <c:cat>
            <c:strRef>
              <c:f>'Student population'!$B$53:$L$53</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'Student population'!$B$55:$L$55</c:f>
              <c:numCache>
                <c:formatCode>#,##0</c:formatCode>
                <c:ptCount val="11"/>
                <c:pt idx="0">
                  <c:v>14550</c:v>
                </c:pt>
                <c:pt idx="1">
                  <c:v>14268</c:v>
                </c:pt>
                <c:pt idx="2">
                  <c:v>14206</c:v>
                </c:pt>
                <c:pt idx="3">
                  <c:v>14645</c:v>
                </c:pt>
                <c:pt idx="4">
                  <c:v>15138</c:v>
                </c:pt>
                <c:pt idx="5">
                  <c:v>15107</c:v>
                </c:pt>
                <c:pt idx="6">
                  <c:v>14819</c:v>
                </c:pt>
                <c:pt idx="7">
                  <c:v>14871</c:v>
                </c:pt>
                <c:pt idx="8">
                  <c:v>14773</c:v>
                </c:pt>
                <c:pt idx="9">
                  <c:v>14757</c:v>
                </c:pt>
                <c:pt idx="10">
                  <c:v>14952</c:v>
                </c:pt>
              </c:numCache>
            </c:numRef>
          </c:val>
          <c:extLst>
            <c:ext xmlns:c16="http://schemas.microsoft.com/office/drawing/2014/chart" uri="{C3380CC4-5D6E-409C-BE32-E72D297353CC}">
              <c16:uniqueId val="{00000000-31C8-4E1E-9350-15F529BD2966}"/>
            </c:ext>
          </c:extLst>
        </c:ser>
        <c:ser>
          <c:idx val="2"/>
          <c:order val="1"/>
          <c:tx>
            <c:strRef>
              <c:f>'Student population'!$A$56</c:f>
              <c:strCache>
                <c:ptCount val="1"/>
                <c:pt idx="0">
                  <c:v>Overseas students</c:v>
                </c:pt>
              </c:strCache>
            </c:strRef>
          </c:tx>
          <c:spPr>
            <a:solidFill>
              <a:schemeClr val="accent3"/>
            </a:solidFill>
            <a:ln>
              <a:noFill/>
            </a:ln>
            <a:effectLst/>
          </c:spPr>
          <c:invertIfNegative val="0"/>
          <c:cat>
            <c:strRef>
              <c:f>'Student population'!$B$53:$L$53</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'Student population'!$B$56:$L$56</c:f>
              <c:numCache>
                <c:formatCode>#,##0</c:formatCode>
                <c:ptCount val="11"/>
                <c:pt idx="0">
                  <c:v>3527</c:v>
                </c:pt>
                <c:pt idx="1">
                  <c:v>3555</c:v>
                </c:pt>
                <c:pt idx="2">
                  <c:v>3398</c:v>
                </c:pt>
                <c:pt idx="3">
                  <c:v>3361</c:v>
                </c:pt>
                <c:pt idx="4">
                  <c:v>3856</c:v>
                </c:pt>
                <c:pt idx="5">
                  <c:v>3749</c:v>
                </c:pt>
                <c:pt idx="6">
                  <c:v>3941</c:v>
                </c:pt>
                <c:pt idx="7">
                  <c:v>4106</c:v>
                </c:pt>
                <c:pt idx="8">
                  <c:v>4101</c:v>
                </c:pt>
                <c:pt idx="9">
                  <c:v>4186</c:v>
                </c:pt>
                <c:pt idx="10">
                  <c:v>4252</c:v>
                </c:pt>
              </c:numCache>
            </c:numRef>
          </c:val>
          <c:extLst>
            <c:ext xmlns:c16="http://schemas.microsoft.com/office/drawing/2014/chart" uri="{C3380CC4-5D6E-409C-BE32-E72D297353CC}">
              <c16:uniqueId val="{00000001-31C8-4E1E-9350-15F529BD2966}"/>
            </c:ext>
          </c:extLst>
        </c:ser>
        <c:dLbls>
          <c:showLegendKey val="0"/>
          <c:showVal val="0"/>
          <c:showCatName val="0"/>
          <c:showSerName val="0"/>
          <c:showPercent val="0"/>
          <c:showBubbleSize val="0"/>
        </c:dLbls>
        <c:gapWidth val="150"/>
        <c:overlap val="100"/>
        <c:axId val="1217105168"/>
        <c:axId val="1217094832"/>
      </c:barChart>
      <c:catAx>
        <c:axId val="12171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94832"/>
        <c:crosses val="autoZero"/>
        <c:auto val="1"/>
        <c:lblAlgn val="ctr"/>
        <c:lblOffset val="100"/>
        <c:noMultiLvlLbl val="0"/>
      </c:catAx>
      <c:valAx>
        <c:axId val="1217094832"/>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63262276014"/>
          <c:y val="5.7291666666666664E-2"/>
          <c:w val="0.82240708679284391"/>
          <c:h val="0.75557537729658786"/>
        </c:manualLayout>
      </c:layout>
      <c:barChart>
        <c:barDir val="col"/>
        <c:grouping val="stacked"/>
        <c:varyColors val="0"/>
        <c:ser>
          <c:idx val="0"/>
          <c:order val="0"/>
          <c:tx>
            <c:strRef>
              <c:f>Sheet1!$B$3</c:f>
              <c:strCache>
                <c:ptCount val="1"/>
                <c:pt idx="0">
                  <c:v>Undergraduate </c:v>
                </c:pt>
              </c:strCache>
            </c:strRef>
          </c:tx>
          <c:spPr>
            <a:solidFill>
              <a:schemeClr val="accent1"/>
            </a:solidFill>
            <a:ln>
              <a:noFill/>
            </a:ln>
            <a:effectLst/>
          </c:spPr>
          <c:invertIfNegative val="0"/>
          <c:cat>
            <c:strRef>
              <c:f>Sheet1!$C$2:$G$2</c:f>
              <c:strCache>
                <c:ptCount val="5"/>
                <c:pt idx="0">
                  <c:v>2014/15 </c:v>
                </c:pt>
                <c:pt idx="1">
                  <c:v>2015/16 </c:v>
                </c:pt>
                <c:pt idx="2">
                  <c:v>2016/17 </c:v>
                </c:pt>
                <c:pt idx="3">
                  <c:v>2017/18 </c:v>
                </c:pt>
                <c:pt idx="4">
                  <c:v>2018/19 </c:v>
                </c:pt>
              </c:strCache>
            </c:strRef>
          </c:cat>
          <c:val>
            <c:numRef>
              <c:f>Sheet1!$C$3:$G$3</c:f>
              <c:numCache>
                <c:formatCode>_-* #,##0_-;\-* #,##0_-;_-* "-"??_-;_-@_-</c:formatCode>
                <c:ptCount val="5"/>
                <c:pt idx="0">
                  <c:v>16490</c:v>
                </c:pt>
                <c:pt idx="1">
                  <c:v>17270</c:v>
                </c:pt>
                <c:pt idx="2">
                  <c:v>18125</c:v>
                </c:pt>
                <c:pt idx="3">
                  <c:v>19010</c:v>
                </c:pt>
                <c:pt idx="4">
                  <c:v>19360</c:v>
                </c:pt>
              </c:numCache>
            </c:numRef>
          </c:val>
          <c:extLst>
            <c:ext xmlns:c16="http://schemas.microsoft.com/office/drawing/2014/chart" uri="{C3380CC4-5D6E-409C-BE32-E72D297353CC}">
              <c16:uniqueId val="{00000000-1A36-4CFC-800B-640265A6CC38}"/>
            </c:ext>
          </c:extLst>
        </c:ser>
        <c:ser>
          <c:idx val="1"/>
          <c:order val="1"/>
          <c:tx>
            <c:strRef>
              <c:f>Sheet1!$B$4</c:f>
              <c:strCache>
                <c:ptCount val="1"/>
                <c:pt idx="0">
                  <c:v>Postgraduate </c:v>
                </c:pt>
              </c:strCache>
            </c:strRef>
          </c:tx>
          <c:spPr>
            <a:solidFill>
              <a:schemeClr val="accent2"/>
            </a:solidFill>
            <a:ln>
              <a:noFill/>
            </a:ln>
            <a:effectLst/>
          </c:spPr>
          <c:invertIfNegative val="0"/>
          <c:cat>
            <c:strRef>
              <c:f>Sheet1!$C$2:$G$2</c:f>
              <c:strCache>
                <c:ptCount val="5"/>
                <c:pt idx="0">
                  <c:v>2014/15 </c:v>
                </c:pt>
                <c:pt idx="1">
                  <c:v>2015/16 </c:v>
                </c:pt>
                <c:pt idx="2">
                  <c:v>2016/17 </c:v>
                </c:pt>
                <c:pt idx="3">
                  <c:v>2017/18 </c:v>
                </c:pt>
                <c:pt idx="4">
                  <c:v>2018/19 </c:v>
                </c:pt>
              </c:strCache>
            </c:strRef>
          </c:cat>
          <c:val>
            <c:numRef>
              <c:f>Sheet1!$C$4:$G$4</c:f>
              <c:numCache>
                <c:formatCode>_-* #,##0_-;\-* #,##0_-;_-* "-"??_-;_-@_-</c:formatCode>
                <c:ptCount val="5"/>
                <c:pt idx="0">
                  <c:v>3340</c:v>
                </c:pt>
                <c:pt idx="1">
                  <c:v>3665</c:v>
                </c:pt>
                <c:pt idx="2">
                  <c:v>4120</c:v>
                </c:pt>
                <c:pt idx="3">
                  <c:v>4490</c:v>
                </c:pt>
                <c:pt idx="4">
                  <c:v>4860</c:v>
                </c:pt>
              </c:numCache>
            </c:numRef>
          </c:val>
          <c:extLst>
            <c:ext xmlns:c16="http://schemas.microsoft.com/office/drawing/2014/chart" uri="{C3380CC4-5D6E-409C-BE32-E72D297353CC}">
              <c16:uniqueId val="{00000001-1A36-4CFC-800B-640265A6CC38}"/>
            </c:ext>
          </c:extLst>
        </c:ser>
        <c:dLbls>
          <c:showLegendKey val="0"/>
          <c:showVal val="0"/>
          <c:showCatName val="0"/>
          <c:showSerName val="0"/>
          <c:showPercent val="0"/>
          <c:showBubbleSize val="0"/>
        </c:dLbls>
        <c:gapWidth val="150"/>
        <c:overlap val="100"/>
        <c:axId val="1217091568"/>
        <c:axId val="1217115504"/>
      </c:barChart>
      <c:catAx>
        <c:axId val="121709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5504"/>
        <c:crosses val="autoZero"/>
        <c:auto val="1"/>
        <c:lblAlgn val="ctr"/>
        <c:lblOffset val="100"/>
        <c:noMultiLvlLbl val="0"/>
      </c:catAx>
      <c:valAx>
        <c:axId val="1217115504"/>
        <c:scaling>
          <c:orientation val="minMax"/>
          <c:max val="2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GB"/>
                  <a:t>Student Numbers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91568"/>
        <c:crosses val="autoZero"/>
        <c:crossBetween val="between"/>
        <c:majorUnit val="2500"/>
      </c:valAx>
      <c:spPr>
        <a:noFill/>
        <a:ln>
          <a:noFill/>
        </a:ln>
        <a:effectLst/>
      </c:spPr>
    </c:plotArea>
    <c:legend>
      <c:legendPos val="b"/>
      <c:layout>
        <c:manualLayout>
          <c:xMode val="edge"/>
          <c:yMode val="edge"/>
          <c:x val="0.31394024181286395"/>
          <c:y val="0.90130454396325443"/>
          <c:w val="0.37211933770361755"/>
          <c:h val="6.744545603674541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1200"/>
        </a:spcAft>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2701993331915"/>
          <c:y val="5.0925925925925923E-2"/>
          <c:w val="0.86989820529190609"/>
          <c:h val="0.7781040390784485"/>
        </c:manualLayout>
      </c:layout>
      <c:barChart>
        <c:barDir val="col"/>
        <c:grouping val="stacked"/>
        <c:varyColors val="0"/>
        <c:ser>
          <c:idx val="0"/>
          <c:order val="0"/>
          <c:tx>
            <c:strRef>
              <c:f>Sheet1!$B$26</c:f>
              <c:strCache>
                <c:ptCount val="1"/>
                <c:pt idx="0">
                  <c:v>EU </c:v>
                </c:pt>
              </c:strCache>
            </c:strRef>
          </c:tx>
          <c:spPr>
            <a:solidFill>
              <a:schemeClr val="accent1"/>
            </a:solidFill>
            <a:ln>
              <a:noFill/>
            </a:ln>
            <a:effectLst/>
          </c:spPr>
          <c:invertIfNegative val="0"/>
          <c:cat>
            <c:strRef>
              <c:f>Sheet1!$C$25:$G$25</c:f>
              <c:strCache>
                <c:ptCount val="5"/>
                <c:pt idx="0">
                  <c:v>2014/15 </c:v>
                </c:pt>
                <c:pt idx="1">
                  <c:v>2015/16 </c:v>
                </c:pt>
                <c:pt idx="2">
                  <c:v>2016/17 </c:v>
                </c:pt>
                <c:pt idx="3">
                  <c:v>2017/18 </c:v>
                </c:pt>
                <c:pt idx="4">
                  <c:v>2018/19 </c:v>
                </c:pt>
              </c:strCache>
            </c:strRef>
          </c:cat>
          <c:val>
            <c:numRef>
              <c:f>Sheet1!$C$26:$G$26</c:f>
              <c:numCache>
                <c:formatCode>_-* #,##0_-;\-* #,##0_-;_-* "-"??_-;_-@_-</c:formatCode>
                <c:ptCount val="5"/>
                <c:pt idx="0">
                  <c:v>835</c:v>
                </c:pt>
                <c:pt idx="1">
                  <c:v>900</c:v>
                </c:pt>
                <c:pt idx="2">
                  <c:v>875</c:v>
                </c:pt>
                <c:pt idx="3">
                  <c:v>1265</c:v>
                </c:pt>
                <c:pt idx="4">
                  <c:v>1555</c:v>
                </c:pt>
              </c:numCache>
            </c:numRef>
          </c:val>
          <c:extLst>
            <c:ext xmlns:c16="http://schemas.microsoft.com/office/drawing/2014/chart" uri="{C3380CC4-5D6E-409C-BE32-E72D297353CC}">
              <c16:uniqueId val="{00000000-379B-4F37-8F12-45D4A6899A1D}"/>
            </c:ext>
          </c:extLst>
        </c:ser>
        <c:ser>
          <c:idx val="1"/>
          <c:order val="1"/>
          <c:tx>
            <c:strRef>
              <c:f>Sheet1!$B$27</c:f>
              <c:strCache>
                <c:ptCount val="1"/>
                <c:pt idx="0">
                  <c:v>Non EU </c:v>
                </c:pt>
              </c:strCache>
            </c:strRef>
          </c:tx>
          <c:spPr>
            <a:solidFill>
              <a:schemeClr val="accent2"/>
            </a:solidFill>
            <a:ln>
              <a:noFill/>
            </a:ln>
            <a:effectLst/>
          </c:spPr>
          <c:invertIfNegative val="0"/>
          <c:cat>
            <c:strRef>
              <c:f>Sheet1!$C$25:$G$25</c:f>
              <c:strCache>
                <c:ptCount val="5"/>
                <c:pt idx="0">
                  <c:v>2014/15 </c:v>
                </c:pt>
                <c:pt idx="1">
                  <c:v>2015/16 </c:v>
                </c:pt>
                <c:pt idx="2">
                  <c:v>2016/17 </c:v>
                </c:pt>
                <c:pt idx="3">
                  <c:v>2017/18 </c:v>
                </c:pt>
                <c:pt idx="4">
                  <c:v>2018/19 </c:v>
                </c:pt>
              </c:strCache>
            </c:strRef>
          </c:cat>
          <c:val>
            <c:numRef>
              <c:f>Sheet1!$C$27:$G$27</c:f>
              <c:numCache>
                <c:formatCode>_-* #,##0_-;\-* #,##0_-;_-* "-"??_-;_-@_-</c:formatCode>
                <c:ptCount val="5"/>
                <c:pt idx="0">
                  <c:v>1885</c:v>
                </c:pt>
                <c:pt idx="1">
                  <c:v>2080</c:v>
                </c:pt>
                <c:pt idx="2">
                  <c:v>1985</c:v>
                </c:pt>
                <c:pt idx="3">
                  <c:v>1805</c:v>
                </c:pt>
                <c:pt idx="4">
                  <c:v>1985</c:v>
                </c:pt>
              </c:numCache>
            </c:numRef>
          </c:val>
          <c:extLst>
            <c:ext xmlns:c16="http://schemas.microsoft.com/office/drawing/2014/chart" uri="{C3380CC4-5D6E-409C-BE32-E72D297353CC}">
              <c16:uniqueId val="{00000001-379B-4F37-8F12-45D4A6899A1D}"/>
            </c:ext>
          </c:extLst>
        </c:ser>
        <c:ser>
          <c:idx val="2"/>
          <c:order val="2"/>
          <c:tx>
            <c:strRef>
              <c:f>Sheet1!$B$28</c:f>
              <c:strCache>
                <c:ptCount val="1"/>
                <c:pt idx="0">
                  <c:v>UK </c:v>
                </c:pt>
              </c:strCache>
            </c:strRef>
          </c:tx>
          <c:spPr>
            <a:solidFill>
              <a:schemeClr val="accent3"/>
            </a:solidFill>
            <a:ln>
              <a:noFill/>
            </a:ln>
            <a:effectLst/>
          </c:spPr>
          <c:invertIfNegative val="0"/>
          <c:cat>
            <c:strRef>
              <c:f>Sheet1!$C$25:$G$25</c:f>
              <c:strCache>
                <c:ptCount val="5"/>
                <c:pt idx="0">
                  <c:v>2014/15 </c:v>
                </c:pt>
                <c:pt idx="1">
                  <c:v>2015/16 </c:v>
                </c:pt>
                <c:pt idx="2">
                  <c:v>2016/17 </c:v>
                </c:pt>
                <c:pt idx="3">
                  <c:v>2017/18 </c:v>
                </c:pt>
                <c:pt idx="4">
                  <c:v>2018/19 </c:v>
                </c:pt>
              </c:strCache>
            </c:strRef>
          </c:cat>
          <c:val>
            <c:numRef>
              <c:f>Sheet1!$C$28:$G$28</c:f>
              <c:numCache>
                <c:formatCode>_-* #,##0_-;\-* #,##0_-;_-* "-"??_-;_-@_-</c:formatCode>
                <c:ptCount val="5"/>
                <c:pt idx="0">
                  <c:v>17110</c:v>
                </c:pt>
                <c:pt idx="1">
                  <c:v>17955</c:v>
                </c:pt>
                <c:pt idx="2">
                  <c:v>19385</c:v>
                </c:pt>
                <c:pt idx="3">
                  <c:v>20430</c:v>
                </c:pt>
                <c:pt idx="4">
                  <c:v>20950</c:v>
                </c:pt>
              </c:numCache>
            </c:numRef>
          </c:val>
          <c:extLst>
            <c:ext xmlns:c16="http://schemas.microsoft.com/office/drawing/2014/chart" uri="{C3380CC4-5D6E-409C-BE32-E72D297353CC}">
              <c16:uniqueId val="{00000002-379B-4F37-8F12-45D4A6899A1D}"/>
            </c:ext>
          </c:extLst>
        </c:ser>
        <c:dLbls>
          <c:showLegendKey val="0"/>
          <c:showVal val="0"/>
          <c:showCatName val="0"/>
          <c:showSerName val="0"/>
          <c:showPercent val="0"/>
          <c:showBubbleSize val="0"/>
        </c:dLbls>
        <c:gapWidth val="150"/>
        <c:overlap val="100"/>
        <c:axId val="1217090480"/>
        <c:axId val="1217092112"/>
      </c:barChart>
      <c:catAx>
        <c:axId val="12170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92112"/>
        <c:crosses val="autoZero"/>
        <c:auto val="1"/>
        <c:lblAlgn val="ctr"/>
        <c:lblOffset val="100"/>
        <c:noMultiLvlLbl val="0"/>
      </c:catAx>
      <c:valAx>
        <c:axId val="1217092112"/>
        <c:scaling>
          <c:orientation val="minMax"/>
          <c:max val="25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90480"/>
        <c:crosses val="autoZero"/>
        <c:crossBetween val="between"/>
        <c:majorUnit val="2500"/>
      </c:valAx>
      <c:spPr>
        <a:noFill/>
        <a:ln>
          <a:noFill/>
        </a:ln>
        <a:effectLst/>
      </c:spPr>
    </c:plotArea>
    <c:legend>
      <c:legendPos val="b"/>
      <c:layout>
        <c:manualLayout>
          <c:xMode val="edge"/>
          <c:yMode val="edge"/>
          <c:x val="0.11780130524225012"/>
          <c:y val="0.92152996500437445"/>
          <c:w val="0.82520802298361351"/>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47238785736902"/>
          <c:y val="4.2528513435144015E-2"/>
          <c:w val="0.45565050215099229"/>
          <c:h val="0.85335577978327815"/>
        </c:manualLayout>
      </c:layout>
      <c:barChart>
        <c:barDir val="bar"/>
        <c:grouping val="stacked"/>
        <c:varyColors val="0"/>
        <c:ser>
          <c:idx val="0"/>
          <c:order val="0"/>
          <c:tx>
            <c:strRef>
              <c:f>'[nomis_2020_01_28_152016.xlsx]Student accommodation'!$B$3</c:f>
              <c:strCache>
                <c:ptCount val="1"/>
                <c:pt idx="0">
                  <c:v>Cambridge</c:v>
                </c:pt>
              </c:strCache>
            </c:strRef>
          </c:tx>
          <c:spPr>
            <a:solidFill>
              <a:schemeClr val="accent1"/>
            </a:solidFill>
            <a:ln>
              <a:noFill/>
            </a:ln>
            <a:effectLst/>
          </c:spPr>
          <c:invertIfNegative val="0"/>
          <c:cat>
            <c:strRef>
              <c:f>'[nomis_2020_01_28_152016.xlsx]Student accommodation'!$A$5:$A$11</c:f>
              <c:strCache>
                <c:ptCount val="7"/>
                <c:pt idx="0">
                  <c:v>Living with parents</c:v>
                </c:pt>
                <c:pt idx="1">
                  <c:v>Living in a communal establishment: University (for example halls of residence)</c:v>
                </c:pt>
                <c:pt idx="2">
                  <c:v>Living in a communal establishment: Other</c:v>
                </c:pt>
                <c:pt idx="3">
                  <c:v>Living in all student household</c:v>
                </c:pt>
                <c:pt idx="4">
                  <c:v>Student living alone</c:v>
                </c:pt>
                <c:pt idx="5">
                  <c:v>Living in a one family household with spouse, partner or children</c:v>
                </c:pt>
                <c:pt idx="6">
                  <c:v>Living in other household type</c:v>
                </c:pt>
              </c:strCache>
            </c:strRef>
          </c:cat>
          <c:val>
            <c:numRef>
              <c:f>'[nomis_2020_01_28_152016.xlsx]Student accommodation'!$B$5:$B$11</c:f>
              <c:numCache>
                <c:formatCode>#,##0</c:formatCode>
                <c:ptCount val="7"/>
                <c:pt idx="0">
                  <c:v>2920</c:v>
                </c:pt>
                <c:pt idx="1">
                  <c:v>14006</c:v>
                </c:pt>
                <c:pt idx="2">
                  <c:v>447</c:v>
                </c:pt>
                <c:pt idx="3">
                  <c:v>4418</c:v>
                </c:pt>
                <c:pt idx="4">
                  <c:v>989</c:v>
                </c:pt>
                <c:pt idx="5">
                  <c:v>1182</c:v>
                </c:pt>
                <c:pt idx="6">
                  <c:v>2770</c:v>
                </c:pt>
              </c:numCache>
            </c:numRef>
          </c:val>
          <c:extLst>
            <c:ext xmlns:c16="http://schemas.microsoft.com/office/drawing/2014/chart" uri="{C3380CC4-5D6E-409C-BE32-E72D297353CC}">
              <c16:uniqueId val="{00000000-032A-44AF-967C-C626FD3DD135}"/>
            </c:ext>
          </c:extLst>
        </c:ser>
        <c:ser>
          <c:idx val="1"/>
          <c:order val="1"/>
          <c:tx>
            <c:strRef>
              <c:f>'[nomis_2020_01_28_152016.xlsx]Student accommodation'!$D$3</c:f>
              <c:strCache>
                <c:ptCount val="1"/>
                <c:pt idx="0">
                  <c:v>Rest HMA</c:v>
                </c:pt>
              </c:strCache>
            </c:strRef>
          </c:tx>
          <c:spPr>
            <a:solidFill>
              <a:schemeClr val="accent2"/>
            </a:solidFill>
            <a:ln>
              <a:noFill/>
            </a:ln>
            <a:effectLst/>
          </c:spPr>
          <c:invertIfNegative val="0"/>
          <c:cat>
            <c:strRef>
              <c:f>'[nomis_2020_01_28_152016.xlsx]Student accommodation'!$A$5:$A$11</c:f>
              <c:strCache>
                <c:ptCount val="7"/>
                <c:pt idx="0">
                  <c:v>Living with parents</c:v>
                </c:pt>
                <c:pt idx="1">
                  <c:v>Living in a communal establishment: University (for example halls of residence)</c:v>
                </c:pt>
                <c:pt idx="2">
                  <c:v>Living in a communal establishment: Other</c:v>
                </c:pt>
                <c:pt idx="3">
                  <c:v>Living in all student household</c:v>
                </c:pt>
                <c:pt idx="4">
                  <c:v>Student living alone</c:v>
                </c:pt>
                <c:pt idx="5">
                  <c:v>Living in a one family household with spouse, partner or children</c:v>
                </c:pt>
                <c:pt idx="6">
                  <c:v>Living in other household type</c:v>
                </c:pt>
              </c:strCache>
            </c:strRef>
          </c:cat>
          <c:val>
            <c:numRef>
              <c:f>'[nomis_2020_01_28_152016.xlsx]Student accommodation'!$D$5:$D$11</c:f>
              <c:numCache>
                <c:formatCode>#,##0</c:formatCode>
                <c:ptCount val="7"/>
                <c:pt idx="0">
                  <c:v>21775</c:v>
                </c:pt>
                <c:pt idx="1">
                  <c:v>473</c:v>
                </c:pt>
                <c:pt idx="2">
                  <c:v>493</c:v>
                </c:pt>
                <c:pt idx="3">
                  <c:v>788</c:v>
                </c:pt>
                <c:pt idx="4">
                  <c:v>406</c:v>
                </c:pt>
                <c:pt idx="5">
                  <c:v>2184</c:v>
                </c:pt>
                <c:pt idx="6">
                  <c:v>1511</c:v>
                </c:pt>
              </c:numCache>
            </c:numRef>
          </c:val>
          <c:extLst>
            <c:ext xmlns:c16="http://schemas.microsoft.com/office/drawing/2014/chart" uri="{C3380CC4-5D6E-409C-BE32-E72D297353CC}">
              <c16:uniqueId val="{00000001-032A-44AF-967C-C626FD3DD135}"/>
            </c:ext>
          </c:extLst>
        </c:ser>
        <c:dLbls>
          <c:showLegendKey val="0"/>
          <c:showVal val="0"/>
          <c:showCatName val="0"/>
          <c:showSerName val="0"/>
          <c:showPercent val="0"/>
          <c:showBubbleSize val="0"/>
        </c:dLbls>
        <c:gapWidth val="182"/>
        <c:overlap val="100"/>
        <c:axId val="1217109520"/>
        <c:axId val="1217113872"/>
      </c:barChart>
      <c:catAx>
        <c:axId val="121710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3872"/>
        <c:crosses val="autoZero"/>
        <c:auto val="1"/>
        <c:lblAlgn val="ctr"/>
        <c:lblOffset val="100"/>
        <c:noMultiLvlLbl val="0"/>
      </c:catAx>
      <c:valAx>
        <c:axId val="1217113872"/>
        <c:scaling>
          <c:orientation val="minMax"/>
          <c:max val="25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9520"/>
        <c:crosses val="autoZero"/>
        <c:crossBetween val="between"/>
      </c:valAx>
      <c:spPr>
        <a:noFill/>
        <a:ln>
          <a:noFill/>
        </a:ln>
        <a:effectLst/>
      </c:spPr>
    </c:plotArea>
    <c:legend>
      <c:legendPos val="b"/>
      <c:layout>
        <c:manualLayout>
          <c:xMode val="edge"/>
          <c:yMode val="edge"/>
          <c:x val="5.0045029586808509E-2"/>
          <c:y val="0.90892790559954384"/>
          <c:w val="0.37980380372029715"/>
          <c:h val="6.78748199650531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7401794624918"/>
          <c:y val="3.7996545768566495E-2"/>
          <c:w val="0.48665962653105871"/>
          <c:h val="0.86590268053228037"/>
        </c:manualLayout>
      </c:layout>
      <c:barChart>
        <c:barDir val="col"/>
        <c:grouping val="stacked"/>
        <c:varyColors val="0"/>
        <c:ser>
          <c:idx val="0"/>
          <c:order val="0"/>
          <c:tx>
            <c:strRef>
              <c:f>'Student accommodation'!$A$32</c:f>
              <c:strCache>
                <c:ptCount val="1"/>
                <c:pt idx="0">
                  <c:v>Living with parents</c:v>
                </c:pt>
              </c:strCache>
            </c:strRef>
          </c:tx>
          <c:spPr>
            <a:solidFill>
              <a:schemeClr val="accent1"/>
            </a:solidFill>
            <a:ln>
              <a:noFill/>
            </a:ln>
            <a:effectLst/>
          </c:spPr>
          <c:invertIfNegative val="0"/>
          <c:cat>
            <c:strRef>
              <c:f>'Student accommodation'!$B$29:$D$29</c:f>
              <c:strCache>
                <c:ptCount val="3"/>
                <c:pt idx="0">
                  <c:v>16-19</c:v>
                </c:pt>
                <c:pt idx="1">
                  <c:v>20-24</c:v>
                </c:pt>
                <c:pt idx="2">
                  <c:v>25+</c:v>
                </c:pt>
              </c:strCache>
            </c:strRef>
          </c:cat>
          <c:val>
            <c:numRef>
              <c:f>'Student accommodation'!$B$32:$D$32</c:f>
              <c:numCache>
                <c:formatCode>#,##0</c:formatCode>
                <c:ptCount val="3"/>
                <c:pt idx="0">
                  <c:v>2452</c:v>
                </c:pt>
                <c:pt idx="1">
                  <c:v>372</c:v>
                </c:pt>
                <c:pt idx="2">
                  <c:v>96</c:v>
                </c:pt>
              </c:numCache>
            </c:numRef>
          </c:val>
          <c:extLst>
            <c:ext xmlns:c16="http://schemas.microsoft.com/office/drawing/2014/chart" uri="{C3380CC4-5D6E-409C-BE32-E72D297353CC}">
              <c16:uniqueId val="{00000000-A618-47CE-BFC3-59CDC67F92E7}"/>
            </c:ext>
          </c:extLst>
        </c:ser>
        <c:ser>
          <c:idx val="1"/>
          <c:order val="1"/>
          <c:tx>
            <c:strRef>
              <c:f>'Student accommodation'!$A$33</c:f>
              <c:strCache>
                <c:ptCount val="1"/>
                <c:pt idx="0">
                  <c:v>Living in a communal establishment: University (for example halls of residence)</c:v>
                </c:pt>
              </c:strCache>
            </c:strRef>
          </c:tx>
          <c:spPr>
            <a:solidFill>
              <a:schemeClr val="accent2"/>
            </a:solidFill>
            <a:ln>
              <a:noFill/>
            </a:ln>
            <a:effectLst/>
          </c:spPr>
          <c:invertIfNegative val="0"/>
          <c:cat>
            <c:strRef>
              <c:f>'Student accommodation'!$B$29:$D$29</c:f>
              <c:strCache>
                <c:ptCount val="3"/>
                <c:pt idx="0">
                  <c:v>16-19</c:v>
                </c:pt>
                <c:pt idx="1">
                  <c:v>20-24</c:v>
                </c:pt>
                <c:pt idx="2">
                  <c:v>25+</c:v>
                </c:pt>
              </c:strCache>
            </c:strRef>
          </c:cat>
          <c:val>
            <c:numRef>
              <c:f>'Student accommodation'!$B$33:$D$33</c:f>
              <c:numCache>
                <c:formatCode>#,##0</c:formatCode>
                <c:ptCount val="3"/>
                <c:pt idx="0">
                  <c:v>3934</c:v>
                </c:pt>
                <c:pt idx="1">
                  <c:v>8081</c:v>
                </c:pt>
                <c:pt idx="2">
                  <c:v>1991</c:v>
                </c:pt>
              </c:numCache>
            </c:numRef>
          </c:val>
          <c:extLst>
            <c:ext xmlns:c16="http://schemas.microsoft.com/office/drawing/2014/chart" uri="{C3380CC4-5D6E-409C-BE32-E72D297353CC}">
              <c16:uniqueId val="{00000001-A618-47CE-BFC3-59CDC67F92E7}"/>
            </c:ext>
          </c:extLst>
        </c:ser>
        <c:ser>
          <c:idx val="2"/>
          <c:order val="2"/>
          <c:tx>
            <c:strRef>
              <c:f>'Student accommodation'!$A$34</c:f>
              <c:strCache>
                <c:ptCount val="1"/>
                <c:pt idx="0">
                  <c:v>Living in a communal establishment: Other</c:v>
                </c:pt>
              </c:strCache>
            </c:strRef>
          </c:tx>
          <c:spPr>
            <a:solidFill>
              <a:schemeClr val="accent3"/>
            </a:solidFill>
            <a:ln>
              <a:noFill/>
            </a:ln>
            <a:effectLst/>
          </c:spPr>
          <c:invertIfNegative val="0"/>
          <c:cat>
            <c:strRef>
              <c:f>'Student accommodation'!$B$29:$D$29</c:f>
              <c:strCache>
                <c:ptCount val="3"/>
                <c:pt idx="0">
                  <c:v>16-19</c:v>
                </c:pt>
                <c:pt idx="1">
                  <c:v>20-24</c:v>
                </c:pt>
                <c:pt idx="2">
                  <c:v>25+</c:v>
                </c:pt>
              </c:strCache>
            </c:strRef>
          </c:cat>
          <c:val>
            <c:numRef>
              <c:f>'Student accommodation'!$B$34:$D$34</c:f>
              <c:numCache>
                <c:formatCode>#,##0</c:formatCode>
                <c:ptCount val="3"/>
                <c:pt idx="0">
                  <c:v>395</c:v>
                </c:pt>
                <c:pt idx="1">
                  <c:v>29</c:v>
                </c:pt>
                <c:pt idx="2">
                  <c:v>23</c:v>
                </c:pt>
              </c:numCache>
            </c:numRef>
          </c:val>
          <c:extLst>
            <c:ext xmlns:c16="http://schemas.microsoft.com/office/drawing/2014/chart" uri="{C3380CC4-5D6E-409C-BE32-E72D297353CC}">
              <c16:uniqueId val="{00000002-A618-47CE-BFC3-59CDC67F92E7}"/>
            </c:ext>
          </c:extLst>
        </c:ser>
        <c:ser>
          <c:idx val="3"/>
          <c:order val="3"/>
          <c:tx>
            <c:strRef>
              <c:f>'Student accommodation'!$A$35</c:f>
              <c:strCache>
                <c:ptCount val="1"/>
                <c:pt idx="0">
                  <c:v>Living in all student household</c:v>
                </c:pt>
              </c:strCache>
            </c:strRef>
          </c:tx>
          <c:spPr>
            <a:solidFill>
              <a:schemeClr val="accent4"/>
            </a:solidFill>
            <a:ln>
              <a:noFill/>
            </a:ln>
            <a:effectLst/>
          </c:spPr>
          <c:invertIfNegative val="0"/>
          <c:cat>
            <c:strRef>
              <c:f>'Student accommodation'!$B$29:$D$29</c:f>
              <c:strCache>
                <c:ptCount val="3"/>
                <c:pt idx="0">
                  <c:v>16-19</c:v>
                </c:pt>
                <c:pt idx="1">
                  <c:v>20-24</c:v>
                </c:pt>
                <c:pt idx="2">
                  <c:v>25+</c:v>
                </c:pt>
              </c:strCache>
            </c:strRef>
          </c:cat>
          <c:val>
            <c:numRef>
              <c:f>'Student accommodation'!$B$35:$D$35</c:f>
              <c:numCache>
                <c:formatCode>#,##0</c:formatCode>
                <c:ptCount val="3"/>
                <c:pt idx="0">
                  <c:v>673</c:v>
                </c:pt>
                <c:pt idx="1">
                  <c:v>2623</c:v>
                </c:pt>
                <c:pt idx="2">
                  <c:v>1122</c:v>
                </c:pt>
              </c:numCache>
            </c:numRef>
          </c:val>
          <c:extLst>
            <c:ext xmlns:c16="http://schemas.microsoft.com/office/drawing/2014/chart" uri="{C3380CC4-5D6E-409C-BE32-E72D297353CC}">
              <c16:uniqueId val="{00000003-A618-47CE-BFC3-59CDC67F92E7}"/>
            </c:ext>
          </c:extLst>
        </c:ser>
        <c:ser>
          <c:idx val="4"/>
          <c:order val="4"/>
          <c:tx>
            <c:strRef>
              <c:f>'Student accommodation'!$A$36</c:f>
              <c:strCache>
                <c:ptCount val="1"/>
                <c:pt idx="0">
                  <c:v>Student living alone</c:v>
                </c:pt>
              </c:strCache>
            </c:strRef>
          </c:tx>
          <c:spPr>
            <a:solidFill>
              <a:schemeClr val="accent5"/>
            </a:solidFill>
            <a:ln>
              <a:noFill/>
            </a:ln>
            <a:effectLst/>
          </c:spPr>
          <c:invertIfNegative val="0"/>
          <c:cat>
            <c:strRef>
              <c:f>'Student accommodation'!$B$29:$D$29</c:f>
              <c:strCache>
                <c:ptCount val="3"/>
                <c:pt idx="0">
                  <c:v>16-19</c:v>
                </c:pt>
                <c:pt idx="1">
                  <c:v>20-24</c:v>
                </c:pt>
                <c:pt idx="2">
                  <c:v>25+</c:v>
                </c:pt>
              </c:strCache>
            </c:strRef>
          </c:cat>
          <c:val>
            <c:numRef>
              <c:f>'Student accommodation'!$B$36:$D$36</c:f>
              <c:numCache>
                <c:formatCode>#,##0</c:formatCode>
                <c:ptCount val="3"/>
                <c:pt idx="0">
                  <c:v>127</c:v>
                </c:pt>
                <c:pt idx="1">
                  <c:v>410</c:v>
                </c:pt>
                <c:pt idx="2">
                  <c:v>452</c:v>
                </c:pt>
              </c:numCache>
            </c:numRef>
          </c:val>
          <c:extLst>
            <c:ext xmlns:c16="http://schemas.microsoft.com/office/drawing/2014/chart" uri="{C3380CC4-5D6E-409C-BE32-E72D297353CC}">
              <c16:uniqueId val="{00000004-A618-47CE-BFC3-59CDC67F92E7}"/>
            </c:ext>
          </c:extLst>
        </c:ser>
        <c:ser>
          <c:idx val="5"/>
          <c:order val="5"/>
          <c:tx>
            <c:strRef>
              <c:f>'Student accommodation'!$A$37</c:f>
              <c:strCache>
                <c:ptCount val="1"/>
                <c:pt idx="0">
                  <c:v>Living in a one family household with spouse, partner or children</c:v>
                </c:pt>
              </c:strCache>
            </c:strRef>
          </c:tx>
          <c:spPr>
            <a:solidFill>
              <a:schemeClr val="accent6"/>
            </a:solidFill>
            <a:ln>
              <a:noFill/>
            </a:ln>
            <a:effectLst/>
          </c:spPr>
          <c:invertIfNegative val="0"/>
          <c:cat>
            <c:strRef>
              <c:f>'Student accommodation'!$B$29:$D$29</c:f>
              <c:strCache>
                <c:ptCount val="3"/>
                <c:pt idx="0">
                  <c:v>16-19</c:v>
                </c:pt>
                <c:pt idx="1">
                  <c:v>20-24</c:v>
                </c:pt>
                <c:pt idx="2">
                  <c:v>25+</c:v>
                </c:pt>
              </c:strCache>
            </c:strRef>
          </c:cat>
          <c:val>
            <c:numRef>
              <c:f>'Student accommodation'!$B$37:$D$37</c:f>
              <c:numCache>
                <c:formatCode>#,##0</c:formatCode>
                <c:ptCount val="3"/>
                <c:pt idx="0">
                  <c:v>11</c:v>
                </c:pt>
                <c:pt idx="1">
                  <c:v>169</c:v>
                </c:pt>
                <c:pt idx="2">
                  <c:v>1002</c:v>
                </c:pt>
              </c:numCache>
            </c:numRef>
          </c:val>
          <c:extLst>
            <c:ext xmlns:c16="http://schemas.microsoft.com/office/drawing/2014/chart" uri="{C3380CC4-5D6E-409C-BE32-E72D297353CC}">
              <c16:uniqueId val="{00000005-A618-47CE-BFC3-59CDC67F92E7}"/>
            </c:ext>
          </c:extLst>
        </c:ser>
        <c:ser>
          <c:idx val="6"/>
          <c:order val="6"/>
          <c:tx>
            <c:strRef>
              <c:f>'Student accommodation'!$A$38</c:f>
              <c:strCache>
                <c:ptCount val="1"/>
                <c:pt idx="0">
                  <c:v>Living in other household type</c:v>
                </c:pt>
              </c:strCache>
            </c:strRef>
          </c:tx>
          <c:spPr>
            <a:solidFill>
              <a:schemeClr val="accent1">
                <a:lumMod val="60000"/>
              </a:schemeClr>
            </a:solidFill>
            <a:ln>
              <a:noFill/>
            </a:ln>
            <a:effectLst/>
          </c:spPr>
          <c:invertIfNegative val="0"/>
          <c:cat>
            <c:strRef>
              <c:f>'Student accommodation'!$B$29:$D$29</c:f>
              <c:strCache>
                <c:ptCount val="3"/>
                <c:pt idx="0">
                  <c:v>16-19</c:v>
                </c:pt>
                <c:pt idx="1">
                  <c:v>20-24</c:v>
                </c:pt>
                <c:pt idx="2">
                  <c:v>25+</c:v>
                </c:pt>
              </c:strCache>
            </c:strRef>
          </c:cat>
          <c:val>
            <c:numRef>
              <c:f>'Student accommodation'!$B$38:$D$38</c:f>
              <c:numCache>
                <c:formatCode>#,##0</c:formatCode>
                <c:ptCount val="3"/>
                <c:pt idx="0">
                  <c:v>375</c:v>
                </c:pt>
                <c:pt idx="1">
                  <c:v>1132</c:v>
                </c:pt>
                <c:pt idx="2">
                  <c:v>1263</c:v>
                </c:pt>
              </c:numCache>
            </c:numRef>
          </c:val>
          <c:extLst>
            <c:ext xmlns:c16="http://schemas.microsoft.com/office/drawing/2014/chart" uri="{C3380CC4-5D6E-409C-BE32-E72D297353CC}">
              <c16:uniqueId val="{00000006-A618-47CE-BFC3-59CDC67F92E7}"/>
            </c:ext>
          </c:extLst>
        </c:ser>
        <c:dLbls>
          <c:showLegendKey val="0"/>
          <c:showVal val="0"/>
          <c:showCatName val="0"/>
          <c:showSerName val="0"/>
          <c:showPercent val="0"/>
          <c:showBubbleSize val="0"/>
        </c:dLbls>
        <c:gapWidth val="150"/>
        <c:overlap val="100"/>
        <c:axId val="1217098096"/>
        <c:axId val="1217093744"/>
      </c:barChart>
      <c:catAx>
        <c:axId val="121709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93744"/>
        <c:crosses val="autoZero"/>
        <c:auto val="1"/>
        <c:lblAlgn val="ctr"/>
        <c:lblOffset val="100"/>
        <c:noMultiLvlLbl val="0"/>
      </c:catAx>
      <c:valAx>
        <c:axId val="121709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098096"/>
        <c:crosses val="autoZero"/>
        <c:crossBetween val="between"/>
      </c:valAx>
      <c:spPr>
        <a:noFill/>
        <a:ln>
          <a:noFill/>
        </a:ln>
        <a:effectLst/>
      </c:spPr>
    </c:plotArea>
    <c:legend>
      <c:legendPos val="r"/>
      <c:layout>
        <c:manualLayout>
          <c:xMode val="edge"/>
          <c:yMode val="edge"/>
          <c:x val="0.61779360099518821"/>
          <c:y val="5.0940673232172509E-2"/>
          <c:w val="0.36918556567147859"/>
          <c:h val="0.898118653535655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'Current accommodation'!$A$5:$A$8</c:f>
              <c:strCache>
                <c:ptCount val="4"/>
                <c:pt idx="0">
                  <c:v>Purpose-built </c:v>
                </c:pt>
                <c:pt idx="1">
                  <c:v>Shared housing</c:v>
                </c:pt>
                <c:pt idx="2">
                  <c:v>family homes (parental or homestays)</c:v>
                </c:pt>
                <c:pt idx="3">
                  <c:v>no info available</c:v>
                </c:pt>
              </c:strCache>
            </c:strRef>
          </c:cat>
          <c:val>
            <c:numRef>
              <c:f>'Current accommodation'!$B$5:$B$8</c:f>
              <c:numCache>
                <c:formatCode>_(* #,##0.00_);_(* \(#,##0.00\);_(* "-"??_);_(@_)</c:formatCode>
                <c:ptCount val="4"/>
                <c:pt idx="0">
                  <c:v>22410</c:v>
                </c:pt>
                <c:pt idx="1">
                  <c:v>9157</c:v>
                </c:pt>
                <c:pt idx="2">
                  <c:v>12129</c:v>
                </c:pt>
                <c:pt idx="3">
                  <c:v>2436</c:v>
                </c:pt>
              </c:numCache>
            </c:numRef>
          </c:val>
          <c:extLst>
            <c:ext xmlns:c16="http://schemas.microsoft.com/office/drawing/2014/chart" uri="{C3380CC4-5D6E-409C-BE32-E72D297353CC}">
              <c16:uniqueId val="{00000000-A944-471E-A73A-9D267EE4FC74}"/>
            </c:ext>
          </c:extLst>
        </c:ser>
        <c:dLbls>
          <c:showLegendKey val="0"/>
          <c:showVal val="0"/>
          <c:showCatName val="0"/>
          <c:showSerName val="0"/>
          <c:showPercent val="0"/>
          <c:showBubbleSize val="0"/>
        </c:dLbls>
        <c:gapWidth val="219"/>
        <c:overlap val="-27"/>
        <c:axId val="1217101360"/>
        <c:axId val="1217112240"/>
      </c:barChart>
      <c:catAx>
        <c:axId val="121710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2240"/>
        <c:crosses val="autoZero"/>
        <c:auto val="1"/>
        <c:lblAlgn val="ctr"/>
        <c:lblOffset val="100"/>
        <c:noMultiLvlLbl val="0"/>
      </c:catAx>
      <c:valAx>
        <c:axId val="121711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01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'Change in tenure 11-19'!$I$27</c:f>
              <c:strCache>
                <c:ptCount val="1"/>
                <c:pt idx="0">
                  <c:v>Council Owned</c:v>
                </c:pt>
              </c:strCache>
            </c:strRef>
          </c:tx>
          <c:spPr>
            <a:solidFill>
              <a:schemeClr val="accent1"/>
            </a:solidFill>
            <a:ln>
              <a:noFill/>
            </a:ln>
            <a:effectLst/>
          </c:spPr>
          <c:invertIfNegative val="0"/>
          <c:cat>
            <c:strRef>
              <c:f>'Change in tenure 11-19'!$H$28:$H$38</c:f>
              <c:strCache>
                <c:ptCount val="9"/>
                <c:pt idx="0">
                  <c:v>Cambridge</c:v>
                </c:pt>
                <c:pt idx="1">
                  <c:v>East Cambridgeshire</c:v>
                </c:pt>
                <c:pt idx="2">
                  <c:v>Fenland</c:v>
                </c:pt>
                <c:pt idx="3">
                  <c:v>Huntingdonshire</c:v>
                </c:pt>
                <c:pt idx="4">
                  <c:v>South Cambridgeshire</c:v>
                </c:pt>
                <c:pt idx="5">
                  <c:v>West Suffolk</c:v>
                </c:pt>
                <c:pt idx="6">
                  <c:v>HMA</c:v>
                </c:pt>
                <c:pt idx="7">
                  <c:v>Greater Cambridge</c:v>
                </c:pt>
                <c:pt idx="8">
                  <c:v>England</c:v>
                </c:pt>
              </c:strCache>
              <c:extLst/>
            </c:strRef>
          </c:cat>
          <c:val>
            <c:numRef>
              <c:f>'Change in tenure 11-19'!$I$28:$I$38</c:f>
              <c:numCache>
                <c:formatCode>0.0%</c:formatCode>
                <c:ptCount val="9"/>
                <c:pt idx="0">
                  <c:v>-2.2377660363586349E-2</c:v>
                </c:pt>
                <c:pt idx="1">
                  <c:v>2.3787498348090393E-4</c:v>
                </c:pt>
                <c:pt idx="2">
                  <c:v>3.7078695181898995E-4</c:v>
                </c:pt>
                <c:pt idx="3">
                  <c:v>6.015214478881654E-4</c:v>
                </c:pt>
                <c:pt idx="4">
                  <c:v>-8.5931430116200219E-3</c:v>
                </c:pt>
                <c:pt idx="5">
                  <c:v>5.4417452421553429E-4</c:v>
                </c:pt>
                <c:pt idx="6">
                  <c:v>-3.3964920956528269E-3</c:v>
                </c:pt>
                <c:pt idx="7">
                  <c:v>-3.2522330472418093E-2</c:v>
                </c:pt>
                <c:pt idx="8">
                  <c:v>-1.0106046566165386E-2</c:v>
                </c:pt>
              </c:numCache>
              <c:extLst/>
            </c:numRef>
          </c:val>
          <c:extLst>
            <c:ext xmlns:c16="http://schemas.microsoft.com/office/drawing/2014/chart" uri="{C3380CC4-5D6E-409C-BE32-E72D297353CC}">
              <c16:uniqueId val="{00000000-A203-4098-A4F1-91B1F5972E94}"/>
            </c:ext>
          </c:extLst>
        </c:ser>
        <c:ser>
          <c:idx val="1"/>
          <c:order val="1"/>
          <c:tx>
            <c:strRef>
              <c:f>'Change in tenure 11-19'!$J$27</c:f>
              <c:strCache>
                <c:ptCount val="1"/>
                <c:pt idx="0">
                  <c:v>Housing association</c:v>
                </c:pt>
              </c:strCache>
            </c:strRef>
          </c:tx>
          <c:spPr>
            <a:solidFill>
              <a:schemeClr val="accent2"/>
            </a:solidFill>
            <a:ln>
              <a:noFill/>
            </a:ln>
            <a:effectLst/>
          </c:spPr>
          <c:invertIfNegative val="0"/>
          <c:cat>
            <c:strRef>
              <c:f>'Change in tenure 11-19'!$H$28:$H$38</c:f>
              <c:strCache>
                <c:ptCount val="9"/>
                <c:pt idx="0">
                  <c:v>Cambridge</c:v>
                </c:pt>
                <c:pt idx="1">
                  <c:v>East Cambridgeshire</c:v>
                </c:pt>
                <c:pt idx="2">
                  <c:v>Fenland</c:v>
                </c:pt>
                <c:pt idx="3">
                  <c:v>Huntingdonshire</c:v>
                </c:pt>
                <c:pt idx="4">
                  <c:v>South Cambridgeshire</c:v>
                </c:pt>
                <c:pt idx="5">
                  <c:v>West Suffolk</c:v>
                </c:pt>
                <c:pt idx="6">
                  <c:v>HMA</c:v>
                </c:pt>
                <c:pt idx="7">
                  <c:v>Greater Cambridge</c:v>
                </c:pt>
                <c:pt idx="8">
                  <c:v>England</c:v>
                </c:pt>
              </c:strCache>
              <c:extLst/>
            </c:strRef>
          </c:cat>
          <c:val>
            <c:numRef>
              <c:f>'Change in tenure 11-19'!$J$28:$J$38</c:f>
              <c:numCache>
                <c:formatCode>0.0%</c:formatCode>
                <c:ptCount val="9"/>
                <c:pt idx="0">
                  <c:v>5.2029543445037407E-3</c:v>
                </c:pt>
                <c:pt idx="1">
                  <c:v>-2.8024690160871057E-3</c:v>
                </c:pt>
                <c:pt idx="2">
                  <c:v>-9.8122300349468006E-4</c:v>
                </c:pt>
                <c:pt idx="3">
                  <c:v>6.7199471728357496E-4</c:v>
                </c:pt>
                <c:pt idx="4">
                  <c:v>6.6846830222447792E-3</c:v>
                </c:pt>
                <c:pt idx="5">
                  <c:v>-1.4776731400571647E-2</c:v>
                </c:pt>
                <c:pt idx="6">
                  <c:v>7.5981747150803691E-4</c:v>
                </c:pt>
                <c:pt idx="7">
                  <c:v>4.4562365966946321E-2</c:v>
                </c:pt>
                <c:pt idx="8">
                  <c:v>3.9473290196816169E-3</c:v>
                </c:pt>
              </c:numCache>
              <c:extLst/>
            </c:numRef>
          </c:val>
          <c:extLst>
            <c:ext xmlns:c16="http://schemas.microsoft.com/office/drawing/2014/chart" uri="{C3380CC4-5D6E-409C-BE32-E72D297353CC}">
              <c16:uniqueId val="{00000001-A203-4098-A4F1-91B1F5972E94}"/>
            </c:ext>
          </c:extLst>
        </c:ser>
        <c:ser>
          <c:idx val="2"/>
          <c:order val="2"/>
          <c:tx>
            <c:strRef>
              <c:f>'Change in tenure 11-19'!$K$27</c:f>
              <c:strCache>
                <c:ptCount val="1"/>
                <c:pt idx="0">
                  <c:v>Other Public</c:v>
                </c:pt>
              </c:strCache>
            </c:strRef>
          </c:tx>
          <c:spPr>
            <a:solidFill>
              <a:schemeClr val="accent3"/>
            </a:solidFill>
            <a:ln>
              <a:noFill/>
            </a:ln>
            <a:effectLst/>
          </c:spPr>
          <c:invertIfNegative val="0"/>
          <c:cat>
            <c:strRef>
              <c:f>'Change in tenure 11-19'!$H$28:$H$38</c:f>
              <c:strCache>
                <c:ptCount val="9"/>
                <c:pt idx="0">
                  <c:v>Cambridge</c:v>
                </c:pt>
                <c:pt idx="1">
                  <c:v>East Cambridgeshire</c:v>
                </c:pt>
                <c:pt idx="2">
                  <c:v>Fenland</c:v>
                </c:pt>
                <c:pt idx="3">
                  <c:v>Huntingdonshire</c:v>
                </c:pt>
                <c:pt idx="4">
                  <c:v>South Cambridgeshire</c:v>
                </c:pt>
                <c:pt idx="5">
                  <c:v>West Suffolk</c:v>
                </c:pt>
                <c:pt idx="6">
                  <c:v>HMA</c:v>
                </c:pt>
                <c:pt idx="7">
                  <c:v>Greater Cambridge</c:v>
                </c:pt>
                <c:pt idx="8">
                  <c:v>England</c:v>
                </c:pt>
              </c:strCache>
              <c:extLst/>
            </c:strRef>
          </c:cat>
          <c:val>
            <c:numRef>
              <c:f>'Change in tenure 11-19'!$K$28:$K$38</c:f>
              <c:numCache>
                <c:formatCode>0.0%</c:formatCode>
                <c:ptCount val="9"/>
                <c:pt idx="0">
                  <c:v>1.2625467151084831E-3</c:v>
                </c:pt>
                <c:pt idx="1">
                  <c:v>3.3022753932605872E-3</c:v>
                </c:pt>
                <c:pt idx="2">
                  <c:v>2.2182294092855082E-5</c:v>
                </c:pt>
                <c:pt idx="3">
                  <c:v>-8.0213949874733126E-3</c:v>
                </c:pt>
                <c:pt idx="4">
                  <c:v>-7.4849329272244185E-3</c:v>
                </c:pt>
                <c:pt idx="5">
                  <c:v>-2.3603717113537086E-3</c:v>
                </c:pt>
                <c:pt idx="6">
                  <c:v>-4.098589239416776E-3</c:v>
                </c:pt>
                <c:pt idx="7">
                  <c:v>-3.2510231076168651E-3</c:v>
                </c:pt>
                <c:pt idx="8">
                  <c:v>-1.0461936832114557E-3</c:v>
                </c:pt>
              </c:numCache>
              <c:extLst/>
            </c:numRef>
          </c:val>
          <c:extLst>
            <c:ext xmlns:c16="http://schemas.microsoft.com/office/drawing/2014/chart" uri="{C3380CC4-5D6E-409C-BE32-E72D297353CC}">
              <c16:uniqueId val="{00000002-A203-4098-A4F1-91B1F5972E94}"/>
            </c:ext>
          </c:extLst>
        </c:ser>
        <c:ser>
          <c:idx val="3"/>
          <c:order val="3"/>
          <c:tx>
            <c:strRef>
              <c:f>'Change in tenure 11-19'!$L$27</c:f>
              <c:strCache>
                <c:ptCount val="1"/>
                <c:pt idx="0">
                  <c:v>Private Sector</c:v>
                </c:pt>
              </c:strCache>
            </c:strRef>
          </c:tx>
          <c:spPr>
            <a:solidFill>
              <a:schemeClr val="accent4"/>
            </a:solidFill>
            <a:ln>
              <a:noFill/>
            </a:ln>
            <a:effectLst/>
          </c:spPr>
          <c:invertIfNegative val="0"/>
          <c:cat>
            <c:strRef>
              <c:f>'Change in tenure 11-19'!$H$28:$H$38</c:f>
              <c:strCache>
                <c:ptCount val="9"/>
                <c:pt idx="0">
                  <c:v>Cambridge</c:v>
                </c:pt>
                <c:pt idx="1">
                  <c:v>East Cambridgeshire</c:v>
                </c:pt>
                <c:pt idx="2">
                  <c:v>Fenland</c:v>
                </c:pt>
                <c:pt idx="3">
                  <c:v>Huntingdonshire</c:v>
                </c:pt>
                <c:pt idx="4">
                  <c:v>South Cambridgeshire</c:v>
                </c:pt>
                <c:pt idx="5">
                  <c:v>West Suffolk</c:v>
                </c:pt>
                <c:pt idx="6">
                  <c:v>HMA</c:v>
                </c:pt>
                <c:pt idx="7">
                  <c:v>Greater Cambridge</c:v>
                </c:pt>
                <c:pt idx="8">
                  <c:v>England</c:v>
                </c:pt>
              </c:strCache>
              <c:extLst/>
            </c:strRef>
          </c:cat>
          <c:val>
            <c:numRef>
              <c:f>'Change in tenure 11-19'!$L$28:$L$38</c:f>
              <c:numCache>
                <c:formatCode>0.0%</c:formatCode>
                <c:ptCount val="9"/>
                <c:pt idx="0">
                  <c:v>1.591215930397416E-2</c:v>
                </c:pt>
                <c:pt idx="1">
                  <c:v>-7.3768136065432977E-4</c:v>
                </c:pt>
                <c:pt idx="2">
                  <c:v>5.8825375758275733E-4</c:v>
                </c:pt>
                <c:pt idx="3">
                  <c:v>6.530069260461846E-3</c:v>
                </c:pt>
                <c:pt idx="4">
                  <c:v>9.3933929165996854E-3</c:v>
                </c:pt>
                <c:pt idx="5">
                  <c:v>1.6592928587709888E-2</c:v>
                </c:pt>
                <c:pt idx="6">
                  <c:v>6.7352638635616024E-3</c:v>
                </c:pt>
                <c:pt idx="7">
                  <c:v>-8.7890123869113213E-3</c:v>
                </c:pt>
                <c:pt idx="8">
                  <c:v>4.835156878270519E-3</c:v>
                </c:pt>
              </c:numCache>
              <c:extLst/>
            </c:numRef>
          </c:val>
          <c:extLst>
            <c:ext xmlns:c16="http://schemas.microsoft.com/office/drawing/2014/chart" uri="{C3380CC4-5D6E-409C-BE32-E72D297353CC}">
              <c16:uniqueId val="{00000003-A203-4098-A4F1-91B1F5972E94}"/>
            </c:ext>
          </c:extLst>
        </c:ser>
        <c:dLbls>
          <c:showLegendKey val="0"/>
          <c:showVal val="0"/>
          <c:showCatName val="0"/>
          <c:showSerName val="0"/>
          <c:showPercent val="0"/>
          <c:showBubbleSize val="0"/>
        </c:dLbls>
        <c:gapWidth val="219"/>
        <c:overlap val="-27"/>
        <c:axId val="758371816"/>
        <c:axId val="758376080"/>
      </c:barChart>
      <c:catAx>
        <c:axId val="758371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76080"/>
        <c:crosses val="autoZero"/>
        <c:auto val="1"/>
        <c:lblAlgn val="ctr"/>
        <c:lblOffset val="100"/>
        <c:noMultiLvlLbl val="0"/>
      </c:catAx>
      <c:valAx>
        <c:axId val="758376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37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Sheet3!$A$4</c:f>
              <c:strCache>
                <c:ptCount val="1"/>
                <c:pt idx="0">
                  <c:v>Social Rented Sector </c:v>
                </c:pt>
              </c:strCache>
            </c:strRef>
          </c:tx>
          <c:spPr>
            <a:ln w="28575" cap="rnd">
              <a:solidFill>
                <a:schemeClr val="accent2"/>
              </a:solidFill>
              <a:round/>
            </a:ln>
            <a:effectLst/>
          </c:spPr>
          <c:marker>
            <c:symbol val="none"/>
          </c:marker>
          <c:cat>
            <c:numRef>
              <c:f>Sheet3!$B$2:$AA$2</c:f>
              <c:numCache>
                <c:formatCode>mmm\-yy</c:formatCode>
                <c:ptCount val="26"/>
                <c:pt idx="0">
                  <c:v>42217</c:v>
                </c:pt>
                <c:pt idx="1">
                  <c:v>42278</c:v>
                </c:pt>
                <c:pt idx="2">
                  <c:v>42339</c:v>
                </c:pt>
                <c:pt idx="3">
                  <c:v>42401</c:v>
                </c:pt>
                <c:pt idx="4">
                  <c:v>42461</c:v>
                </c:pt>
                <c:pt idx="5">
                  <c:v>42522</c:v>
                </c:pt>
                <c:pt idx="6">
                  <c:v>42583</c:v>
                </c:pt>
                <c:pt idx="7">
                  <c:v>42644</c:v>
                </c:pt>
                <c:pt idx="8">
                  <c:v>42705</c:v>
                </c:pt>
                <c:pt idx="9">
                  <c:v>42767</c:v>
                </c:pt>
                <c:pt idx="10">
                  <c:v>42826</c:v>
                </c:pt>
                <c:pt idx="11">
                  <c:v>42887</c:v>
                </c:pt>
                <c:pt idx="12">
                  <c:v>42948</c:v>
                </c:pt>
                <c:pt idx="13">
                  <c:v>43009</c:v>
                </c:pt>
                <c:pt idx="14">
                  <c:v>43070</c:v>
                </c:pt>
                <c:pt idx="15">
                  <c:v>43132</c:v>
                </c:pt>
                <c:pt idx="16">
                  <c:v>43191</c:v>
                </c:pt>
                <c:pt idx="17">
                  <c:v>43252</c:v>
                </c:pt>
                <c:pt idx="18">
                  <c:v>43313</c:v>
                </c:pt>
                <c:pt idx="19">
                  <c:v>43374</c:v>
                </c:pt>
                <c:pt idx="20">
                  <c:v>43435</c:v>
                </c:pt>
                <c:pt idx="21">
                  <c:v>43497</c:v>
                </c:pt>
                <c:pt idx="22">
                  <c:v>43556</c:v>
                </c:pt>
                <c:pt idx="23">
                  <c:v>43617</c:v>
                </c:pt>
                <c:pt idx="24">
                  <c:v>43678</c:v>
                </c:pt>
                <c:pt idx="25">
                  <c:v>43739</c:v>
                </c:pt>
              </c:numCache>
            </c:numRef>
          </c:cat>
          <c:val>
            <c:numRef>
              <c:f>Sheet3!$B$4:$AA$4</c:f>
              <c:numCache>
                <c:formatCode>_-* #,##0_-;\-* #,##0_-;_-* "-"??_-;_-@_-</c:formatCode>
                <c:ptCount val="26"/>
                <c:pt idx="0">
                  <c:v>18</c:v>
                </c:pt>
                <c:pt idx="1">
                  <c:v>32</c:v>
                </c:pt>
                <c:pt idx="2">
                  <c:v>56</c:v>
                </c:pt>
                <c:pt idx="3">
                  <c:v>74</c:v>
                </c:pt>
                <c:pt idx="4">
                  <c:v>95</c:v>
                </c:pt>
                <c:pt idx="5">
                  <c:v>137</c:v>
                </c:pt>
                <c:pt idx="6">
                  <c:v>179</c:v>
                </c:pt>
                <c:pt idx="7">
                  <c:v>213</c:v>
                </c:pt>
                <c:pt idx="8">
                  <c:v>260</c:v>
                </c:pt>
                <c:pt idx="9">
                  <c:v>293</c:v>
                </c:pt>
                <c:pt idx="10">
                  <c:v>327</c:v>
                </c:pt>
                <c:pt idx="11">
                  <c:v>335</c:v>
                </c:pt>
                <c:pt idx="12">
                  <c:v>362</c:v>
                </c:pt>
                <c:pt idx="13">
                  <c:v>410</c:v>
                </c:pt>
                <c:pt idx="14">
                  <c:v>627</c:v>
                </c:pt>
                <c:pt idx="15">
                  <c:v>811</c:v>
                </c:pt>
                <c:pt idx="16">
                  <c:v>980</c:v>
                </c:pt>
                <c:pt idx="17">
                  <c:v>1126</c:v>
                </c:pt>
                <c:pt idx="18">
                  <c:v>1273</c:v>
                </c:pt>
                <c:pt idx="19">
                  <c:v>1537</c:v>
                </c:pt>
                <c:pt idx="20">
                  <c:v>2380</c:v>
                </c:pt>
                <c:pt idx="21">
                  <c:v>3264</c:v>
                </c:pt>
                <c:pt idx="22">
                  <c:v>4107</c:v>
                </c:pt>
                <c:pt idx="23">
                  <c:v>4943</c:v>
                </c:pt>
                <c:pt idx="24">
                  <c:v>5685</c:v>
                </c:pt>
                <c:pt idx="25">
                  <c:v>6525</c:v>
                </c:pt>
              </c:numCache>
            </c:numRef>
          </c:val>
          <c:smooth val="0"/>
          <c:extLst>
            <c:ext xmlns:c16="http://schemas.microsoft.com/office/drawing/2014/chart" uri="{C3380CC4-5D6E-409C-BE32-E72D297353CC}">
              <c16:uniqueId val="{00000000-8240-4237-871B-BE6363829885}"/>
            </c:ext>
          </c:extLst>
        </c:ser>
        <c:ser>
          <c:idx val="2"/>
          <c:order val="2"/>
          <c:tx>
            <c:strRef>
              <c:f>Sheet3!$A$5</c:f>
              <c:strCache>
                <c:ptCount val="1"/>
                <c:pt idx="0">
                  <c:v>Private Sector </c:v>
                </c:pt>
              </c:strCache>
            </c:strRef>
          </c:tx>
          <c:spPr>
            <a:ln w="28575" cap="rnd">
              <a:solidFill>
                <a:schemeClr val="accent3"/>
              </a:solidFill>
              <a:round/>
            </a:ln>
            <a:effectLst/>
          </c:spPr>
          <c:marker>
            <c:symbol val="none"/>
          </c:marker>
          <c:cat>
            <c:numRef>
              <c:f>Sheet3!$B$2:$AA$2</c:f>
              <c:numCache>
                <c:formatCode>mmm\-yy</c:formatCode>
                <c:ptCount val="26"/>
                <c:pt idx="0">
                  <c:v>42217</c:v>
                </c:pt>
                <c:pt idx="1">
                  <c:v>42278</c:v>
                </c:pt>
                <c:pt idx="2">
                  <c:v>42339</c:v>
                </c:pt>
                <c:pt idx="3">
                  <c:v>42401</c:v>
                </c:pt>
                <c:pt idx="4">
                  <c:v>42461</c:v>
                </c:pt>
                <c:pt idx="5">
                  <c:v>42522</c:v>
                </c:pt>
                <c:pt idx="6">
                  <c:v>42583</c:v>
                </c:pt>
                <c:pt idx="7">
                  <c:v>42644</c:v>
                </c:pt>
                <c:pt idx="8">
                  <c:v>42705</c:v>
                </c:pt>
                <c:pt idx="9">
                  <c:v>42767</c:v>
                </c:pt>
                <c:pt idx="10">
                  <c:v>42826</c:v>
                </c:pt>
                <c:pt idx="11">
                  <c:v>42887</c:v>
                </c:pt>
                <c:pt idx="12">
                  <c:v>42948</c:v>
                </c:pt>
                <c:pt idx="13">
                  <c:v>43009</c:v>
                </c:pt>
                <c:pt idx="14">
                  <c:v>43070</c:v>
                </c:pt>
                <c:pt idx="15">
                  <c:v>43132</c:v>
                </c:pt>
                <c:pt idx="16">
                  <c:v>43191</c:v>
                </c:pt>
                <c:pt idx="17">
                  <c:v>43252</c:v>
                </c:pt>
                <c:pt idx="18">
                  <c:v>43313</c:v>
                </c:pt>
                <c:pt idx="19">
                  <c:v>43374</c:v>
                </c:pt>
                <c:pt idx="20">
                  <c:v>43435</c:v>
                </c:pt>
                <c:pt idx="21">
                  <c:v>43497</c:v>
                </c:pt>
                <c:pt idx="22">
                  <c:v>43556</c:v>
                </c:pt>
                <c:pt idx="23">
                  <c:v>43617</c:v>
                </c:pt>
                <c:pt idx="24">
                  <c:v>43678</c:v>
                </c:pt>
                <c:pt idx="25">
                  <c:v>43739</c:v>
                </c:pt>
              </c:numCache>
            </c:numRef>
          </c:cat>
          <c:val>
            <c:numRef>
              <c:f>Sheet3!$B$5:$AA$5</c:f>
              <c:numCache>
                <c:formatCode>_-* #,##0_-;\-* #,##0_-;_-* "-"??_-;_-@_-</c:formatCode>
                <c:ptCount val="26"/>
                <c:pt idx="0">
                  <c:v>26</c:v>
                </c:pt>
                <c:pt idx="1">
                  <c:v>31</c:v>
                </c:pt>
                <c:pt idx="2">
                  <c:v>49</c:v>
                </c:pt>
                <c:pt idx="3">
                  <c:v>64</c:v>
                </c:pt>
                <c:pt idx="4">
                  <c:v>104</c:v>
                </c:pt>
                <c:pt idx="5">
                  <c:v>153</c:v>
                </c:pt>
                <c:pt idx="6">
                  <c:v>215</c:v>
                </c:pt>
                <c:pt idx="7">
                  <c:v>267</c:v>
                </c:pt>
                <c:pt idx="8">
                  <c:v>300</c:v>
                </c:pt>
                <c:pt idx="9">
                  <c:v>328</c:v>
                </c:pt>
                <c:pt idx="10">
                  <c:v>347</c:v>
                </c:pt>
                <c:pt idx="11">
                  <c:v>357</c:v>
                </c:pt>
                <c:pt idx="12">
                  <c:v>371</c:v>
                </c:pt>
                <c:pt idx="13">
                  <c:v>384</c:v>
                </c:pt>
                <c:pt idx="14">
                  <c:v>503</c:v>
                </c:pt>
                <c:pt idx="15">
                  <c:v>604</c:v>
                </c:pt>
                <c:pt idx="16">
                  <c:v>669</c:v>
                </c:pt>
                <c:pt idx="17">
                  <c:v>765</c:v>
                </c:pt>
                <c:pt idx="18">
                  <c:v>838</c:v>
                </c:pt>
                <c:pt idx="19">
                  <c:v>1031</c:v>
                </c:pt>
                <c:pt idx="20">
                  <c:v>1573</c:v>
                </c:pt>
                <c:pt idx="21">
                  <c:v>2143</c:v>
                </c:pt>
                <c:pt idx="22">
                  <c:v>2569</c:v>
                </c:pt>
                <c:pt idx="23">
                  <c:v>3017</c:v>
                </c:pt>
                <c:pt idx="24">
                  <c:v>3343</c:v>
                </c:pt>
                <c:pt idx="25">
                  <c:v>3754</c:v>
                </c:pt>
              </c:numCache>
            </c:numRef>
          </c:val>
          <c:smooth val="0"/>
          <c:extLst>
            <c:ext xmlns:c16="http://schemas.microsoft.com/office/drawing/2014/chart" uri="{C3380CC4-5D6E-409C-BE32-E72D297353CC}">
              <c16:uniqueId val="{00000001-8240-4237-871B-BE6363829885}"/>
            </c:ext>
          </c:extLst>
        </c:ser>
        <c:ser>
          <c:idx val="3"/>
          <c:order val="3"/>
          <c:tx>
            <c:strRef>
              <c:f>Sheet3!$A$6</c:f>
              <c:strCache>
                <c:ptCount val="1"/>
                <c:pt idx="0">
                  <c:v>Other or Unkown </c:v>
                </c:pt>
              </c:strCache>
            </c:strRef>
          </c:tx>
          <c:spPr>
            <a:ln w="28575" cap="rnd">
              <a:solidFill>
                <a:schemeClr val="accent4"/>
              </a:solidFill>
              <a:round/>
            </a:ln>
            <a:effectLst/>
          </c:spPr>
          <c:marker>
            <c:symbol val="none"/>
          </c:marker>
          <c:cat>
            <c:numRef>
              <c:f>Sheet3!$B$2:$AA$2</c:f>
              <c:numCache>
                <c:formatCode>mmm\-yy</c:formatCode>
                <c:ptCount val="26"/>
                <c:pt idx="0">
                  <c:v>42217</c:v>
                </c:pt>
                <c:pt idx="1">
                  <c:v>42278</c:v>
                </c:pt>
                <c:pt idx="2">
                  <c:v>42339</c:v>
                </c:pt>
                <c:pt idx="3">
                  <c:v>42401</c:v>
                </c:pt>
                <c:pt idx="4">
                  <c:v>42461</c:v>
                </c:pt>
                <c:pt idx="5">
                  <c:v>42522</c:v>
                </c:pt>
                <c:pt idx="6">
                  <c:v>42583</c:v>
                </c:pt>
                <c:pt idx="7">
                  <c:v>42644</c:v>
                </c:pt>
                <c:pt idx="8">
                  <c:v>42705</c:v>
                </c:pt>
                <c:pt idx="9">
                  <c:v>42767</c:v>
                </c:pt>
                <c:pt idx="10">
                  <c:v>42826</c:v>
                </c:pt>
                <c:pt idx="11">
                  <c:v>42887</c:v>
                </c:pt>
                <c:pt idx="12">
                  <c:v>42948</c:v>
                </c:pt>
                <c:pt idx="13">
                  <c:v>43009</c:v>
                </c:pt>
                <c:pt idx="14">
                  <c:v>43070</c:v>
                </c:pt>
                <c:pt idx="15">
                  <c:v>43132</c:v>
                </c:pt>
                <c:pt idx="16">
                  <c:v>43191</c:v>
                </c:pt>
                <c:pt idx="17">
                  <c:v>43252</c:v>
                </c:pt>
                <c:pt idx="18">
                  <c:v>43313</c:v>
                </c:pt>
                <c:pt idx="19">
                  <c:v>43374</c:v>
                </c:pt>
                <c:pt idx="20">
                  <c:v>43435</c:v>
                </c:pt>
                <c:pt idx="21">
                  <c:v>43497</c:v>
                </c:pt>
                <c:pt idx="22">
                  <c:v>43556</c:v>
                </c:pt>
                <c:pt idx="23">
                  <c:v>43617</c:v>
                </c:pt>
                <c:pt idx="24">
                  <c:v>43678</c:v>
                </c:pt>
                <c:pt idx="25">
                  <c:v>43739</c:v>
                </c:pt>
              </c:numCache>
            </c:numRef>
          </c:cat>
          <c:val>
            <c:numRef>
              <c:f>Sheet3!$B$6:$AA$6</c:f>
              <c:numCache>
                <c:formatCode>_-* #,##0_-;\-* #,##0_-;_-* "-"??_-;_-@_-</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5</c:v>
                </c:pt>
                <c:pt idx="15">
                  <c:v>8</c:v>
                </c:pt>
                <c:pt idx="16">
                  <c:v>18</c:v>
                </c:pt>
                <c:pt idx="17">
                  <c:v>18</c:v>
                </c:pt>
                <c:pt idx="18">
                  <c:v>19</c:v>
                </c:pt>
                <c:pt idx="19">
                  <c:v>32</c:v>
                </c:pt>
                <c:pt idx="20">
                  <c:v>51</c:v>
                </c:pt>
                <c:pt idx="21">
                  <c:v>74</c:v>
                </c:pt>
                <c:pt idx="22">
                  <c:v>90</c:v>
                </c:pt>
                <c:pt idx="23">
                  <c:v>115</c:v>
                </c:pt>
                <c:pt idx="24">
                  <c:v>126</c:v>
                </c:pt>
                <c:pt idx="25">
                  <c:v>163</c:v>
                </c:pt>
              </c:numCache>
            </c:numRef>
          </c:val>
          <c:smooth val="0"/>
          <c:extLst>
            <c:ext xmlns:c16="http://schemas.microsoft.com/office/drawing/2014/chart" uri="{C3380CC4-5D6E-409C-BE32-E72D297353CC}">
              <c16:uniqueId val="{00000002-8240-4237-871B-BE6363829885}"/>
            </c:ext>
          </c:extLst>
        </c:ser>
        <c:ser>
          <c:idx val="4"/>
          <c:order val="4"/>
          <c:tx>
            <c:strRef>
              <c:f>Sheet3!$A$7</c:f>
              <c:strCache>
                <c:ptCount val="1"/>
                <c:pt idx="0">
                  <c:v>Universal credit with housing component </c:v>
                </c:pt>
              </c:strCache>
            </c:strRef>
          </c:tx>
          <c:spPr>
            <a:ln w="28575" cap="rnd">
              <a:solidFill>
                <a:schemeClr val="accent5"/>
              </a:solidFill>
              <a:round/>
            </a:ln>
            <a:effectLst/>
          </c:spPr>
          <c:marker>
            <c:symbol val="none"/>
          </c:marker>
          <c:cat>
            <c:numRef>
              <c:f>Sheet3!$B$2:$AA$2</c:f>
              <c:numCache>
                <c:formatCode>mmm\-yy</c:formatCode>
                <c:ptCount val="26"/>
                <c:pt idx="0">
                  <c:v>42217</c:v>
                </c:pt>
                <c:pt idx="1">
                  <c:v>42278</c:v>
                </c:pt>
                <c:pt idx="2">
                  <c:v>42339</c:v>
                </c:pt>
                <c:pt idx="3">
                  <c:v>42401</c:v>
                </c:pt>
                <c:pt idx="4">
                  <c:v>42461</c:v>
                </c:pt>
                <c:pt idx="5">
                  <c:v>42522</c:v>
                </c:pt>
                <c:pt idx="6">
                  <c:v>42583</c:v>
                </c:pt>
                <c:pt idx="7">
                  <c:v>42644</c:v>
                </c:pt>
                <c:pt idx="8">
                  <c:v>42705</c:v>
                </c:pt>
                <c:pt idx="9">
                  <c:v>42767</c:v>
                </c:pt>
                <c:pt idx="10">
                  <c:v>42826</c:v>
                </c:pt>
                <c:pt idx="11">
                  <c:v>42887</c:v>
                </c:pt>
                <c:pt idx="12">
                  <c:v>42948</c:v>
                </c:pt>
                <c:pt idx="13">
                  <c:v>43009</c:v>
                </c:pt>
                <c:pt idx="14">
                  <c:v>43070</c:v>
                </c:pt>
                <c:pt idx="15">
                  <c:v>43132</c:v>
                </c:pt>
                <c:pt idx="16">
                  <c:v>43191</c:v>
                </c:pt>
                <c:pt idx="17">
                  <c:v>43252</c:v>
                </c:pt>
                <c:pt idx="18">
                  <c:v>43313</c:v>
                </c:pt>
                <c:pt idx="19">
                  <c:v>43374</c:v>
                </c:pt>
                <c:pt idx="20">
                  <c:v>43435</c:v>
                </c:pt>
                <c:pt idx="21">
                  <c:v>43497</c:v>
                </c:pt>
                <c:pt idx="22">
                  <c:v>43556</c:v>
                </c:pt>
                <c:pt idx="23">
                  <c:v>43617</c:v>
                </c:pt>
                <c:pt idx="24">
                  <c:v>43678</c:v>
                </c:pt>
                <c:pt idx="25">
                  <c:v>43739</c:v>
                </c:pt>
              </c:numCache>
            </c:numRef>
          </c:cat>
          <c:val>
            <c:numRef>
              <c:f>Sheet3!$B$7:$AA$7</c:f>
              <c:numCache>
                <c:formatCode>_-* #,##0_-;\-* #,##0_-;_-* "-"??_-;_-@_-</c:formatCode>
                <c:ptCount val="26"/>
                <c:pt idx="0">
                  <c:v>41</c:v>
                </c:pt>
                <c:pt idx="1">
                  <c:v>66</c:v>
                </c:pt>
                <c:pt idx="2">
                  <c:v>104</c:v>
                </c:pt>
                <c:pt idx="3">
                  <c:v>133</c:v>
                </c:pt>
                <c:pt idx="4">
                  <c:v>199</c:v>
                </c:pt>
                <c:pt idx="5">
                  <c:v>285</c:v>
                </c:pt>
                <c:pt idx="6">
                  <c:v>397</c:v>
                </c:pt>
                <c:pt idx="7">
                  <c:v>483</c:v>
                </c:pt>
                <c:pt idx="8">
                  <c:v>561</c:v>
                </c:pt>
                <c:pt idx="9">
                  <c:v>625</c:v>
                </c:pt>
                <c:pt idx="10">
                  <c:v>672</c:v>
                </c:pt>
                <c:pt idx="11">
                  <c:v>694</c:v>
                </c:pt>
                <c:pt idx="12">
                  <c:v>736</c:v>
                </c:pt>
                <c:pt idx="13">
                  <c:v>794</c:v>
                </c:pt>
                <c:pt idx="14">
                  <c:v>1142</c:v>
                </c:pt>
                <c:pt idx="15">
                  <c:v>1418</c:v>
                </c:pt>
                <c:pt idx="16">
                  <c:v>1666</c:v>
                </c:pt>
                <c:pt idx="17">
                  <c:v>1904</c:v>
                </c:pt>
                <c:pt idx="18">
                  <c:v>2128</c:v>
                </c:pt>
                <c:pt idx="19">
                  <c:v>2598</c:v>
                </c:pt>
                <c:pt idx="20">
                  <c:v>4010</c:v>
                </c:pt>
                <c:pt idx="21">
                  <c:v>5479</c:v>
                </c:pt>
                <c:pt idx="22">
                  <c:v>6762</c:v>
                </c:pt>
                <c:pt idx="23">
                  <c:v>8079</c:v>
                </c:pt>
                <c:pt idx="24">
                  <c:v>9149</c:v>
                </c:pt>
                <c:pt idx="25">
                  <c:v>10441</c:v>
                </c:pt>
              </c:numCache>
            </c:numRef>
          </c:val>
          <c:smooth val="0"/>
          <c:extLst>
            <c:ext xmlns:c16="http://schemas.microsoft.com/office/drawing/2014/chart" uri="{C3380CC4-5D6E-409C-BE32-E72D297353CC}">
              <c16:uniqueId val="{00000003-8240-4237-871B-BE6363829885}"/>
            </c:ext>
          </c:extLst>
        </c:ser>
        <c:dLbls>
          <c:showLegendKey val="0"/>
          <c:showVal val="0"/>
          <c:showCatName val="0"/>
          <c:showSerName val="0"/>
          <c:showPercent val="0"/>
          <c:showBubbleSize val="0"/>
        </c:dLbls>
        <c:smooth val="0"/>
        <c:axId val="487236712"/>
        <c:axId val="487244256"/>
        <c:extLst>
          <c:ext xmlns:c15="http://schemas.microsoft.com/office/drawing/2012/chart" uri="{02D57815-91ED-43cb-92C2-25804820EDAC}">
            <c15:filteredLineSeries>
              <c15:ser>
                <c:idx val="0"/>
                <c:order val="0"/>
                <c:tx>
                  <c:strRef>
                    <c:extLst>
                      <c:ext uri="{02D57815-91ED-43cb-92C2-25804820EDAC}">
                        <c15:formulaRef>
                          <c15:sqref>Sheet3!$A$3</c15:sqref>
                        </c15:formulaRef>
                      </c:ext>
                    </c:extLst>
                    <c:strCache>
                      <c:ptCount val="1"/>
                      <c:pt idx="0">
                        <c:v>No Housing Entitlement </c:v>
                      </c:pt>
                    </c:strCache>
                  </c:strRef>
                </c:tx>
                <c:spPr>
                  <a:ln w="28575" cap="rnd">
                    <a:solidFill>
                      <a:schemeClr val="accent1"/>
                    </a:solidFill>
                    <a:round/>
                  </a:ln>
                  <a:effectLst/>
                </c:spPr>
                <c:marker>
                  <c:symbol val="none"/>
                </c:marker>
                <c:cat>
                  <c:numRef>
                    <c:extLst>
                      <c:ext uri="{02D57815-91ED-43cb-92C2-25804820EDAC}">
                        <c15:formulaRef>
                          <c15:sqref>Sheet3!$B$2:$AA$2</c15:sqref>
                        </c15:formulaRef>
                      </c:ext>
                    </c:extLst>
                    <c:numCache>
                      <c:formatCode>mmm\-yy</c:formatCode>
                      <c:ptCount val="26"/>
                      <c:pt idx="0">
                        <c:v>42217</c:v>
                      </c:pt>
                      <c:pt idx="1">
                        <c:v>42278</c:v>
                      </c:pt>
                      <c:pt idx="2">
                        <c:v>42339</c:v>
                      </c:pt>
                      <c:pt idx="3">
                        <c:v>42401</c:v>
                      </c:pt>
                      <c:pt idx="4">
                        <c:v>42461</c:v>
                      </c:pt>
                      <c:pt idx="5">
                        <c:v>42522</c:v>
                      </c:pt>
                      <c:pt idx="6">
                        <c:v>42583</c:v>
                      </c:pt>
                      <c:pt idx="7">
                        <c:v>42644</c:v>
                      </c:pt>
                      <c:pt idx="8">
                        <c:v>42705</c:v>
                      </c:pt>
                      <c:pt idx="9">
                        <c:v>42767</c:v>
                      </c:pt>
                      <c:pt idx="10">
                        <c:v>42826</c:v>
                      </c:pt>
                      <c:pt idx="11">
                        <c:v>42887</c:v>
                      </c:pt>
                      <c:pt idx="12">
                        <c:v>42948</c:v>
                      </c:pt>
                      <c:pt idx="13">
                        <c:v>43009</c:v>
                      </c:pt>
                      <c:pt idx="14">
                        <c:v>43070</c:v>
                      </c:pt>
                      <c:pt idx="15">
                        <c:v>43132</c:v>
                      </c:pt>
                      <c:pt idx="16">
                        <c:v>43191</c:v>
                      </c:pt>
                      <c:pt idx="17">
                        <c:v>43252</c:v>
                      </c:pt>
                      <c:pt idx="18">
                        <c:v>43313</c:v>
                      </c:pt>
                      <c:pt idx="19">
                        <c:v>43374</c:v>
                      </c:pt>
                      <c:pt idx="20">
                        <c:v>43435</c:v>
                      </c:pt>
                      <c:pt idx="21">
                        <c:v>43497</c:v>
                      </c:pt>
                      <c:pt idx="22">
                        <c:v>43556</c:v>
                      </c:pt>
                      <c:pt idx="23">
                        <c:v>43617</c:v>
                      </c:pt>
                      <c:pt idx="24">
                        <c:v>43678</c:v>
                      </c:pt>
                      <c:pt idx="25">
                        <c:v>43739</c:v>
                      </c:pt>
                    </c:numCache>
                  </c:numRef>
                </c:cat>
                <c:val>
                  <c:numRef>
                    <c:extLst>
                      <c:ext uri="{02D57815-91ED-43cb-92C2-25804820EDAC}">
                        <c15:formulaRef>
                          <c15:sqref>Sheet3!$B$3:$AA$3</c15:sqref>
                        </c15:formulaRef>
                      </c:ext>
                    </c:extLst>
                    <c:numCache>
                      <c:formatCode>_-* #,##0_-;\-* #,##0_-;_-* "-"??_-;_-@_-</c:formatCode>
                      <c:ptCount val="26"/>
                      <c:pt idx="0">
                        <c:v>123</c:v>
                      </c:pt>
                      <c:pt idx="1">
                        <c:v>174</c:v>
                      </c:pt>
                      <c:pt idx="2">
                        <c:v>233</c:v>
                      </c:pt>
                      <c:pt idx="3">
                        <c:v>262</c:v>
                      </c:pt>
                      <c:pt idx="4">
                        <c:v>417</c:v>
                      </c:pt>
                      <c:pt idx="5">
                        <c:v>623</c:v>
                      </c:pt>
                      <c:pt idx="6">
                        <c:v>855</c:v>
                      </c:pt>
                      <c:pt idx="7">
                        <c:v>1092</c:v>
                      </c:pt>
                      <c:pt idx="8">
                        <c:v>1165</c:v>
                      </c:pt>
                      <c:pt idx="9">
                        <c:v>1289</c:v>
                      </c:pt>
                      <c:pt idx="10">
                        <c:v>1389</c:v>
                      </c:pt>
                      <c:pt idx="11">
                        <c:v>1405</c:v>
                      </c:pt>
                      <c:pt idx="12">
                        <c:v>1488</c:v>
                      </c:pt>
                      <c:pt idx="13">
                        <c:v>1549</c:v>
                      </c:pt>
                      <c:pt idx="14">
                        <c:v>1672</c:v>
                      </c:pt>
                      <c:pt idx="15">
                        <c:v>1748</c:v>
                      </c:pt>
                      <c:pt idx="16">
                        <c:v>1816</c:v>
                      </c:pt>
                      <c:pt idx="17">
                        <c:v>1797</c:v>
                      </c:pt>
                      <c:pt idx="18">
                        <c:v>1793</c:v>
                      </c:pt>
                      <c:pt idx="19">
                        <c:v>2062</c:v>
                      </c:pt>
                      <c:pt idx="20">
                        <c:v>2942</c:v>
                      </c:pt>
                      <c:pt idx="21">
                        <c:v>3716</c:v>
                      </c:pt>
                      <c:pt idx="22">
                        <c:v>4301</c:v>
                      </c:pt>
                      <c:pt idx="23">
                        <c:v>4803</c:v>
                      </c:pt>
                      <c:pt idx="24">
                        <c:v>5281</c:v>
                      </c:pt>
                      <c:pt idx="25">
                        <c:v>5810</c:v>
                      </c:pt>
                    </c:numCache>
                  </c:numRef>
                </c:val>
                <c:smooth val="0"/>
                <c:extLst>
                  <c:ext xmlns:c16="http://schemas.microsoft.com/office/drawing/2014/chart" uri="{C3380CC4-5D6E-409C-BE32-E72D297353CC}">
                    <c16:uniqueId val="{00000004-8240-4237-871B-BE6363829885}"/>
                  </c:ext>
                </c:extLst>
              </c15:ser>
            </c15:filteredLineSeries>
          </c:ext>
        </c:extLst>
      </c:lineChart>
      <c:dateAx>
        <c:axId val="4872367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44256"/>
        <c:crosses val="autoZero"/>
        <c:auto val="1"/>
        <c:lblOffset val="100"/>
        <c:baseTimeUnit val="months"/>
      </c:dateAx>
      <c:valAx>
        <c:axId val="48724425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3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6"/>
          <c:order val="6"/>
          <c:tx>
            <c:strRef>
              <c:f>Sheet1!$C$11</c:f>
              <c:strCache>
                <c:ptCount val="1"/>
                <c:pt idx="0">
                  <c:v>HMA</c:v>
                </c:pt>
              </c:strCache>
            </c:strRef>
          </c:tx>
          <c:spPr>
            <a:solidFill>
              <a:schemeClr val="accent1">
                <a:lumMod val="60000"/>
              </a:schemeClr>
            </a:solidFill>
            <a:ln>
              <a:noFill/>
            </a:ln>
            <a:effectLst/>
          </c:spPr>
          <c:invertIfNegative val="0"/>
          <c:cat>
            <c:numRef>
              <c:f>Sheet1!$D$4:$F$4</c:f>
              <c:numCache>
                <c:formatCode>mmm\-yy</c:formatCode>
                <c:ptCount val="3"/>
                <c:pt idx="0">
                  <c:v>43556</c:v>
                </c:pt>
                <c:pt idx="1">
                  <c:v>43770</c:v>
                </c:pt>
                <c:pt idx="2">
                  <c:v>44136</c:v>
                </c:pt>
              </c:numCache>
            </c:numRef>
          </c:cat>
          <c:val>
            <c:numRef>
              <c:f>Sheet1!$D$11:$F$11</c:f>
              <c:numCache>
                <c:formatCode>General</c:formatCode>
                <c:ptCount val="3"/>
                <c:pt idx="0">
                  <c:v>26117</c:v>
                </c:pt>
                <c:pt idx="1">
                  <c:v>23839</c:v>
                </c:pt>
                <c:pt idx="2">
                  <c:v>21632</c:v>
                </c:pt>
              </c:numCache>
            </c:numRef>
          </c:val>
          <c:extLst>
            <c:ext xmlns:c16="http://schemas.microsoft.com/office/drawing/2014/chart" uri="{C3380CC4-5D6E-409C-BE32-E72D297353CC}">
              <c16:uniqueId val="{00000000-0591-41DC-A31B-2950C286F6AD}"/>
            </c:ext>
          </c:extLst>
        </c:ser>
        <c:dLbls>
          <c:showLegendKey val="0"/>
          <c:showVal val="0"/>
          <c:showCatName val="0"/>
          <c:showSerName val="0"/>
          <c:showPercent val="0"/>
          <c:showBubbleSize val="0"/>
        </c:dLbls>
        <c:gapWidth val="61"/>
        <c:overlap val="12"/>
        <c:axId val="505815048"/>
        <c:axId val="505814392"/>
      </c:barChart>
      <c:lineChart>
        <c:grouping val="standard"/>
        <c:varyColors val="0"/>
        <c:ser>
          <c:idx val="0"/>
          <c:order val="0"/>
          <c:tx>
            <c:strRef>
              <c:f>Sheet1!$C$5</c:f>
              <c:strCache>
                <c:ptCount val="1"/>
                <c:pt idx="0">
                  <c:v>Huntingdonshire</c:v>
                </c:pt>
              </c:strCache>
            </c:strRef>
          </c:tx>
          <c:spPr>
            <a:ln w="28575" cap="rnd">
              <a:solidFill>
                <a:schemeClr val="accent1"/>
              </a:solidFill>
              <a:round/>
            </a:ln>
            <a:effectLst/>
          </c:spPr>
          <c:marker>
            <c:symbol val="none"/>
          </c:marker>
          <c:cat>
            <c:numRef>
              <c:f>Sheet1!$D$4:$F$4</c:f>
              <c:numCache>
                <c:formatCode>mmm\-yy</c:formatCode>
                <c:ptCount val="3"/>
                <c:pt idx="0">
                  <c:v>43556</c:v>
                </c:pt>
                <c:pt idx="1">
                  <c:v>43770</c:v>
                </c:pt>
                <c:pt idx="2">
                  <c:v>44136</c:v>
                </c:pt>
              </c:numCache>
            </c:numRef>
          </c:cat>
          <c:val>
            <c:numRef>
              <c:f>Sheet1!$D$5:$F$5</c:f>
              <c:numCache>
                <c:formatCode>General</c:formatCode>
                <c:ptCount val="3"/>
                <c:pt idx="0">
                  <c:v>4900</c:v>
                </c:pt>
                <c:pt idx="1">
                  <c:v>4486</c:v>
                </c:pt>
                <c:pt idx="2">
                  <c:v>4109</c:v>
                </c:pt>
              </c:numCache>
            </c:numRef>
          </c:val>
          <c:smooth val="0"/>
          <c:extLst>
            <c:ext xmlns:c16="http://schemas.microsoft.com/office/drawing/2014/chart" uri="{C3380CC4-5D6E-409C-BE32-E72D297353CC}">
              <c16:uniqueId val="{00000001-0591-41DC-A31B-2950C286F6AD}"/>
            </c:ext>
          </c:extLst>
        </c:ser>
        <c:ser>
          <c:idx val="1"/>
          <c:order val="1"/>
          <c:tx>
            <c:strRef>
              <c:f>Sheet1!$C$6</c:f>
              <c:strCache>
                <c:ptCount val="1"/>
                <c:pt idx="0">
                  <c:v>Fenland</c:v>
                </c:pt>
              </c:strCache>
            </c:strRef>
          </c:tx>
          <c:spPr>
            <a:ln w="28575" cap="rnd">
              <a:solidFill>
                <a:schemeClr val="accent2"/>
              </a:solidFill>
              <a:round/>
            </a:ln>
            <a:effectLst/>
          </c:spPr>
          <c:marker>
            <c:symbol val="none"/>
          </c:marker>
          <c:cat>
            <c:numRef>
              <c:f>Sheet1!$D$4:$F$4</c:f>
              <c:numCache>
                <c:formatCode>mmm\-yy</c:formatCode>
                <c:ptCount val="3"/>
                <c:pt idx="0">
                  <c:v>43556</c:v>
                </c:pt>
                <c:pt idx="1">
                  <c:v>43770</c:v>
                </c:pt>
                <c:pt idx="2">
                  <c:v>44136</c:v>
                </c:pt>
              </c:numCache>
            </c:numRef>
          </c:cat>
          <c:val>
            <c:numRef>
              <c:f>Sheet1!$D$6:$F$6</c:f>
              <c:numCache>
                <c:formatCode>General</c:formatCode>
                <c:ptCount val="3"/>
                <c:pt idx="0">
                  <c:v>3352</c:v>
                </c:pt>
                <c:pt idx="1">
                  <c:v>3122</c:v>
                </c:pt>
                <c:pt idx="2">
                  <c:v>2847</c:v>
                </c:pt>
              </c:numCache>
            </c:numRef>
          </c:val>
          <c:smooth val="0"/>
          <c:extLst>
            <c:ext xmlns:c16="http://schemas.microsoft.com/office/drawing/2014/chart" uri="{C3380CC4-5D6E-409C-BE32-E72D297353CC}">
              <c16:uniqueId val="{00000002-0591-41DC-A31B-2950C286F6AD}"/>
            </c:ext>
          </c:extLst>
        </c:ser>
        <c:ser>
          <c:idx val="2"/>
          <c:order val="2"/>
          <c:tx>
            <c:strRef>
              <c:f>Sheet1!$C$7</c:f>
              <c:strCache>
                <c:ptCount val="1"/>
                <c:pt idx="0">
                  <c:v>East Cambridgeshire</c:v>
                </c:pt>
              </c:strCache>
            </c:strRef>
          </c:tx>
          <c:spPr>
            <a:ln w="28575" cap="rnd">
              <a:solidFill>
                <a:schemeClr val="accent3"/>
              </a:solidFill>
              <a:round/>
            </a:ln>
            <a:effectLst/>
          </c:spPr>
          <c:marker>
            <c:symbol val="none"/>
          </c:marker>
          <c:cat>
            <c:numRef>
              <c:f>Sheet1!$D$4:$F$4</c:f>
              <c:numCache>
                <c:formatCode>mmm\-yy</c:formatCode>
                <c:ptCount val="3"/>
                <c:pt idx="0">
                  <c:v>43556</c:v>
                </c:pt>
                <c:pt idx="1">
                  <c:v>43770</c:v>
                </c:pt>
                <c:pt idx="2">
                  <c:v>44136</c:v>
                </c:pt>
              </c:numCache>
            </c:numRef>
          </c:cat>
          <c:val>
            <c:numRef>
              <c:f>Sheet1!$D$7:$F$7</c:f>
              <c:numCache>
                <c:formatCode>General</c:formatCode>
                <c:ptCount val="3"/>
                <c:pt idx="0">
                  <c:v>2625</c:v>
                </c:pt>
                <c:pt idx="1">
                  <c:v>2388</c:v>
                </c:pt>
                <c:pt idx="2">
                  <c:v>2143</c:v>
                </c:pt>
              </c:numCache>
            </c:numRef>
          </c:val>
          <c:smooth val="0"/>
          <c:extLst>
            <c:ext xmlns:c16="http://schemas.microsoft.com/office/drawing/2014/chart" uri="{C3380CC4-5D6E-409C-BE32-E72D297353CC}">
              <c16:uniqueId val="{00000003-0591-41DC-A31B-2950C286F6AD}"/>
            </c:ext>
          </c:extLst>
        </c:ser>
        <c:ser>
          <c:idx val="3"/>
          <c:order val="3"/>
          <c:tx>
            <c:strRef>
              <c:f>Sheet1!$C$8</c:f>
              <c:strCache>
                <c:ptCount val="1"/>
                <c:pt idx="0">
                  <c:v>Cambridge</c:v>
                </c:pt>
              </c:strCache>
            </c:strRef>
          </c:tx>
          <c:spPr>
            <a:ln w="28575" cap="rnd">
              <a:solidFill>
                <a:schemeClr val="accent4"/>
              </a:solidFill>
              <a:round/>
            </a:ln>
            <a:effectLst/>
          </c:spPr>
          <c:marker>
            <c:symbol val="none"/>
          </c:marker>
          <c:cat>
            <c:numRef>
              <c:f>Sheet1!$D$4:$F$4</c:f>
              <c:numCache>
                <c:formatCode>mmm\-yy</c:formatCode>
                <c:ptCount val="3"/>
                <c:pt idx="0">
                  <c:v>43556</c:v>
                </c:pt>
                <c:pt idx="1">
                  <c:v>43770</c:v>
                </c:pt>
                <c:pt idx="2">
                  <c:v>44136</c:v>
                </c:pt>
              </c:numCache>
            </c:numRef>
          </c:cat>
          <c:val>
            <c:numRef>
              <c:f>Sheet1!$D$8:$F$8</c:f>
              <c:numCache>
                <c:formatCode>General</c:formatCode>
                <c:ptCount val="3"/>
                <c:pt idx="0">
                  <c:v>5495</c:v>
                </c:pt>
                <c:pt idx="1">
                  <c:v>5017</c:v>
                </c:pt>
                <c:pt idx="2">
                  <c:v>4495</c:v>
                </c:pt>
              </c:numCache>
            </c:numRef>
          </c:val>
          <c:smooth val="0"/>
          <c:extLst>
            <c:ext xmlns:c16="http://schemas.microsoft.com/office/drawing/2014/chart" uri="{C3380CC4-5D6E-409C-BE32-E72D297353CC}">
              <c16:uniqueId val="{00000004-0591-41DC-A31B-2950C286F6AD}"/>
            </c:ext>
          </c:extLst>
        </c:ser>
        <c:ser>
          <c:idx val="4"/>
          <c:order val="4"/>
          <c:tx>
            <c:strRef>
              <c:f>Sheet1!$C$9</c:f>
              <c:strCache>
                <c:ptCount val="1"/>
                <c:pt idx="0">
                  <c:v>South Cambridgeshire</c:v>
                </c:pt>
              </c:strCache>
            </c:strRef>
          </c:tx>
          <c:spPr>
            <a:ln w="28575" cap="rnd">
              <a:solidFill>
                <a:schemeClr val="accent5"/>
              </a:solidFill>
              <a:round/>
            </a:ln>
            <a:effectLst/>
          </c:spPr>
          <c:marker>
            <c:symbol val="none"/>
          </c:marker>
          <c:cat>
            <c:numRef>
              <c:f>Sheet1!$D$4:$F$4</c:f>
              <c:numCache>
                <c:formatCode>mmm\-yy</c:formatCode>
                <c:ptCount val="3"/>
                <c:pt idx="0">
                  <c:v>43556</c:v>
                </c:pt>
                <c:pt idx="1">
                  <c:v>43770</c:v>
                </c:pt>
                <c:pt idx="2">
                  <c:v>44136</c:v>
                </c:pt>
              </c:numCache>
            </c:numRef>
          </c:cat>
          <c:val>
            <c:numRef>
              <c:f>Sheet1!$D$9:$F$9</c:f>
              <c:numCache>
                <c:formatCode>General</c:formatCode>
                <c:ptCount val="3"/>
                <c:pt idx="0">
                  <c:v>4078</c:v>
                </c:pt>
                <c:pt idx="1">
                  <c:v>3742</c:v>
                </c:pt>
                <c:pt idx="2">
                  <c:v>3370</c:v>
                </c:pt>
              </c:numCache>
            </c:numRef>
          </c:val>
          <c:smooth val="0"/>
          <c:extLst>
            <c:ext xmlns:c16="http://schemas.microsoft.com/office/drawing/2014/chart" uri="{C3380CC4-5D6E-409C-BE32-E72D297353CC}">
              <c16:uniqueId val="{00000005-0591-41DC-A31B-2950C286F6AD}"/>
            </c:ext>
          </c:extLst>
        </c:ser>
        <c:ser>
          <c:idx val="5"/>
          <c:order val="5"/>
          <c:tx>
            <c:strRef>
              <c:f>Sheet1!$C$10</c:f>
              <c:strCache>
                <c:ptCount val="1"/>
                <c:pt idx="0">
                  <c:v>West Suffolk</c:v>
                </c:pt>
              </c:strCache>
            </c:strRef>
          </c:tx>
          <c:spPr>
            <a:ln w="28575" cap="rnd">
              <a:solidFill>
                <a:schemeClr val="accent6"/>
              </a:solidFill>
              <a:round/>
            </a:ln>
            <a:effectLst/>
          </c:spPr>
          <c:marker>
            <c:symbol val="none"/>
          </c:marker>
          <c:cat>
            <c:numRef>
              <c:f>Sheet1!$D$4:$F$4</c:f>
              <c:numCache>
                <c:formatCode>mmm\-yy</c:formatCode>
                <c:ptCount val="3"/>
                <c:pt idx="0">
                  <c:v>43556</c:v>
                </c:pt>
                <c:pt idx="1">
                  <c:v>43770</c:v>
                </c:pt>
                <c:pt idx="2">
                  <c:v>44136</c:v>
                </c:pt>
              </c:numCache>
            </c:numRef>
          </c:cat>
          <c:val>
            <c:numRef>
              <c:f>Sheet1!$D$10:$F$10</c:f>
              <c:numCache>
                <c:formatCode>General</c:formatCode>
                <c:ptCount val="3"/>
                <c:pt idx="0">
                  <c:v>5667</c:v>
                </c:pt>
                <c:pt idx="1">
                  <c:v>5084</c:v>
                </c:pt>
                <c:pt idx="2">
                  <c:v>4668</c:v>
                </c:pt>
              </c:numCache>
            </c:numRef>
          </c:val>
          <c:smooth val="0"/>
          <c:extLst>
            <c:ext xmlns:c16="http://schemas.microsoft.com/office/drawing/2014/chart" uri="{C3380CC4-5D6E-409C-BE32-E72D297353CC}">
              <c16:uniqueId val="{00000006-0591-41DC-A31B-2950C286F6AD}"/>
            </c:ext>
          </c:extLst>
        </c:ser>
        <c:dLbls>
          <c:showLegendKey val="0"/>
          <c:showVal val="0"/>
          <c:showCatName val="0"/>
          <c:showSerName val="0"/>
          <c:showPercent val="0"/>
          <c:showBubbleSize val="0"/>
        </c:dLbls>
        <c:marker val="1"/>
        <c:smooth val="0"/>
        <c:axId val="533134304"/>
        <c:axId val="533127416"/>
      </c:lineChart>
      <c:dateAx>
        <c:axId val="5331343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127416"/>
        <c:crosses val="autoZero"/>
        <c:auto val="1"/>
        <c:lblOffset val="100"/>
        <c:baseTimeUnit val="months"/>
      </c:dateAx>
      <c:valAx>
        <c:axId val="533127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claims (districts)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134304"/>
        <c:crosses val="autoZero"/>
        <c:crossBetween val="between"/>
      </c:valAx>
      <c:valAx>
        <c:axId val="5058143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claims (HMA)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815048"/>
        <c:crosses val="max"/>
        <c:crossBetween val="between"/>
      </c:valAx>
      <c:dateAx>
        <c:axId val="505815048"/>
        <c:scaling>
          <c:orientation val="minMax"/>
        </c:scaling>
        <c:delete val="1"/>
        <c:axPos val="b"/>
        <c:numFmt formatCode="mmm\-yy" sourceLinked="1"/>
        <c:majorTickMark val="out"/>
        <c:minorTickMark val="none"/>
        <c:tickLblPos val="nextTo"/>
        <c:crossAx val="50581439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Sheet2!$B$15</c:f>
              <c:strCache>
                <c:ptCount val="1"/>
                <c:pt idx="0">
                  <c:v>Cambridge</c:v>
                </c:pt>
              </c:strCache>
            </c:strRef>
          </c:tx>
          <c:spPr>
            <a:ln w="28575" cap="rnd">
              <a:solidFill>
                <a:schemeClr val="accent1"/>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Sheet2!$C$15:$R$15</c:f>
              <c:numCache>
                <c:formatCode>General</c:formatCode>
                <c:ptCount val="16"/>
                <c:pt idx="0">
                  <c:v>800</c:v>
                </c:pt>
                <c:pt idx="1">
                  <c:v>850</c:v>
                </c:pt>
                <c:pt idx="2">
                  <c:v>878</c:v>
                </c:pt>
                <c:pt idx="3">
                  <c:v>895</c:v>
                </c:pt>
                <c:pt idx="4">
                  <c:v>860</c:v>
                </c:pt>
                <c:pt idx="5">
                  <c:v>850</c:v>
                </c:pt>
                <c:pt idx="6">
                  <c:v>875</c:v>
                </c:pt>
                <c:pt idx="7">
                  <c:v>950</c:v>
                </c:pt>
                <c:pt idx="8">
                  <c:v>1050</c:v>
                </c:pt>
                <c:pt idx="9">
                  <c:v>1100</c:v>
                </c:pt>
                <c:pt idx="10">
                  <c:v>1100</c:v>
                </c:pt>
                <c:pt idx="11">
                  <c:v>1100</c:v>
                </c:pt>
                <c:pt idx="12">
                  <c:v>1100</c:v>
                </c:pt>
                <c:pt idx="13">
                  <c:v>1150</c:v>
                </c:pt>
                <c:pt idx="14">
                  <c:v>1195</c:v>
                </c:pt>
                <c:pt idx="15">
                  <c:v>1200</c:v>
                </c:pt>
              </c:numCache>
            </c:numRef>
          </c:val>
          <c:smooth val="0"/>
          <c:extLst>
            <c:ext xmlns:c16="http://schemas.microsoft.com/office/drawing/2014/chart" uri="{C3380CC4-5D6E-409C-BE32-E72D297353CC}">
              <c16:uniqueId val="{00000000-C415-40EF-A388-E2352736880B}"/>
            </c:ext>
          </c:extLst>
        </c:ser>
        <c:ser>
          <c:idx val="1"/>
          <c:order val="1"/>
          <c:tx>
            <c:strRef>
              <c:f>Sheet2!$B$16</c:f>
              <c:strCache>
                <c:ptCount val="1"/>
                <c:pt idx="0">
                  <c:v>East Cambridgeshire</c:v>
                </c:pt>
              </c:strCache>
            </c:strRef>
          </c:tx>
          <c:spPr>
            <a:ln w="28575" cap="rnd">
              <a:solidFill>
                <a:schemeClr val="accent2"/>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Sheet2!$C$16:$R$16</c:f>
              <c:numCache>
                <c:formatCode>General</c:formatCode>
                <c:ptCount val="16"/>
                <c:pt idx="0">
                  <c:v>625</c:v>
                </c:pt>
                <c:pt idx="1">
                  <c:v>650</c:v>
                </c:pt>
                <c:pt idx="2">
                  <c:v>640</c:v>
                </c:pt>
                <c:pt idx="3">
                  <c:v>650</c:v>
                </c:pt>
                <c:pt idx="4">
                  <c:v>650</c:v>
                </c:pt>
                <c:pt idx="5">
                  <c:v>650</c:v>
                </c:pt>
                <c:pt idx="6">
                  <c:v>660</c:v>
                </c:pt>
                <c:pt idx="7">
                  <c:v>695</c:v>
                </c:pt>
                <c:pt idx="8">
                  <c:v>725</c:v>
                </c:pt>
                <c:pt idx="9">
                  <c:v>750</c:v>
                </c:pt>
                <c:pt idx="10">
                  <c:v>750</c:v>
                </c:pt>
                <c:pt idx="11">
                  <c:v>780</c:v>
                </c:pt>
                <c:pt idx="12">
                  <c:v>800</c:v>
                </c:pt>
                <c:pt idx="13">
                  <c:v>800</c:v>
                </c:pt>
                <c:pt idx="14">
                  <c:v>795</c:v>
                </c:pt>
                <c:pt idx="15">
                  <c:v>795</c:v>
                </c:pt>
              </c:numCache>
            </c:numRef>
          </c:val>
          <c:smooth val="0"/>
          <c:extLst>
            <c:ext xmlns:c16="http://schemas.microsoft.com/office/drawing/2014/chart" uri="{C3380CC4-5D6E-409C-BE32-E72D297353CC}">
              <c16:uniqueId val="{00000001-C415-40EF-A388-E2352736880B}"/>
            </c:ext>
          </c:extLst>
        </c:ser>
        <c:ser>
          <c:idx val="2"/>
          <c:order val="2"/>
          <c:tx>
            <c:strRef>
              <c:f>Sheet2!$B$17</c:f>
              <c:strCache>
                <c:ptCount val="1"/>
                <c:pt idx="0">
                  <c:v>Fenland</c:v>
                </c:pt>
              </c:strCache>
            </c:strRef>
          </c:tx>
          <c:spPr>
            <a:ln w="28575" cap="rnd">
              <a:solidFill>
                <a:schemeClr val="accent3"/>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Sheet2!$C$17:$R$17</c:f>
              <c:numCache>
                <c:formatCode>General</c:formatCode>
                <c:ptCount val="16"/>
                <c:pt idx="0">
                  <c:v>525</c:v>
                </c:pt>
                <c:pt idx="1">
                  <c:v>525</c:v>
                </c:pt>
                <c:pt idx="2">
                  <c:v>525</c:v>
                </c:pt>
                <c:pt idx="3">
                  <c:v>525</c:v>
                </c:pt>
                <c:pt idx="4">
                  <c:v>525</c:v>
                </c:pt>
                <c:pt idx="5">
                  <c:v>550</c:v>
                </c:pt>
                <c:pt idx="6">
                  <c:v>550</c:v>
                </c:pt>
                <c:pt idx="7">
                  <c:v>550</c:v>
                </c:pt>
                <c:pt idx="8">
                  <c:v>550</c:v>
                </c:pt>
                <c:pt idx="9">
                  <c:v>550</c:v>
                </c:pt>
                <c:pt idx="10">
                  <c:v>560</c:v>
                </c:pt>
                <c:pt idx="11">
                  <c:v>575</c:v>
                </c:pt>
                <c:pt idx="12">
                  <c:v>575</c:v>
                </c:pt>
                <c:pt idx="13">
                  <c:v>580</c:v>
                </c:pt>
                <c:pt idx="14">
                  <c:v>600</c:v>
                </c:pt>
                <c:pt idx="15">
                  <c:v>600</c:v>
                </c:pt>
              </c:numCache>
            </c:numRef>
          </c:val>
          <c:smooth val="0"/>
          <c:extLst>
            <c:ext xmlns:c16="http://schemas.microsoft.com/office/drawing/2014/chart" uri="{C3380CC4-5D6E-409C-BE32-E72D297353CC}">
              <c16:uniqueId val="{00000002-C415-40EF-A388-E2352736880B}"/>
            </c:ext>
          </c:extLst>
        </c:ser>
        <c:ser>
          <c:idx val="3"/>
          <c:order val="3"/>
          <c:tx>
            <c:strRef>
              <c:f>Sheet2!$B$18</c:f>
              <c:strCache>
                <c:ptCount val="1"/>
                <c:pt idx="0">
                  <c:v>Huntingdonshire</c:v>
                </c:pt>
              </c:strCache>
            </c:strRef>
          </c:tx>
          <c:spPr>
            <a:ln w="28575" cap="rnd">
              <a:solidFill>
                <a:schemeClr val="accent4"/>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Sheet2!$C$18:$R$18</c:f>
              <c:numCache>
                <c:formatCode>General</c:formatCode>
                <c:ptCount val="16"/>
                <c:pt idx="0">
                  <c:v>575</c:v>
                </c:pt>
                <c:pt idx="1">
                  <c:v>585</c:v>
                </c:pt>
                <c:pt idx="2">
                  <c:v>595</c:v>
                </c:pt>
                <c:pt idx="3">
                  <c:v>575</c:v>
                </c:pt>
                <c:pt idx="4">
                  <c:v>575</c:v>
                </c:pt>
                <c:pt idx="5">
                  <c:v>595</c:v>
                </c:pt>
                <c:pt idx="6">
                  <c:v>600</c:v>
                </c:pt>
                <c:pt idx="7">
                  <c:v>650</c:v>
                </c:pt>
                <c:pt idx="8">
                  <c:v>650</c:v>
                </c:pt>
                <c:pt idx="9">
                  <c:v>675</c:v>
                </c:pt>
                <c:pt idx="10">
                  <c:v>695</c:v>
                </c:pt>
                <c:pt idx="11">
                  <c:v>700</c:v>
                </c:pt>
                <c:pt idx="12">
                  <c:v>725</c:v>
                </c:pt>
                <c:pt idx="13">
                  <c:v>775</c:v>
                </c:pt>
                <c:pt idx="14">
                  <c:v>750</c:v>
                </c:pt>
                <c:pt idx="15">
                  <c:v>765</c:v>
                </c:pt>
              </c:numCache>
            </c:numRef>
          </c:val>
          <c:smooth val="0"/>
          <c:extLst>
            <c:ext xmlns:c16="http://schemas.microsoft.com/office/drawing/2014/chart" uri="{C3380CC4-5D6E-409C-BE32-E72D297353CC}">
              <c16:uniqueId val="{00000003-C415-40EF-A388-E2352736880B}"/>
            </c:ext>
          </c:extLst>
        </c:ser>
        <c:ser>
          <c:idx val="4"/>
          <c:order val="4"/>
          <c:tx>
            <c:strRef>
              <c:f>Sheet2!$B$19</c:f>
              <c:strCache>
                <c:ptCount val="1"/>
                <c:pt idx="0">
                  <c:v>South Cambridgeshire</c:v>
                </c:pt>
              </c:strCache>
            </c:strRef>
          </c:tx>
          <c:spPr>
            <a:ln w="28575" cap="rnd">
              <a:solidFill>
                <a:schemeClr val="accent5"/>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Sheet2!$C$19:$R$19</c:f>
              <c:numCache>
                <c:formatCode>General</c:formatCode>
                <c:ptCount val="16"/>
                <c:pt idx="0">
                  <c:v>740</c:v>
                </c:pt>
                <c:pt idx="1">
                  <c:v>750</c:v>
                </c:pt>
                <c:pt idx="2">
                  <c:v>750</c:v>
                </c:pt>
                <c:pt idx="3">
                  <c:v>795</c:v>
                </c:pt>
                <c:pt idx="4">
                  <c:v>795</c:v>
                </c:pt>
                <c:pt idx="5">
                  <c:v>795</c:v>
                </c:pt>
                <c:pt idx="6">
                  <c:v>800</c:v>
                </c:pt>
                <c:pt idx="7">
                  <c:v>835</c:v>
                </c:pt>
                <c:pt idx="8">
                  <c:v>860</c:v>
                </c:pt>
                <c:pt idx="9">
                  <c:v>875</c:v>
                </c:pt>
                <c:pt idx="10">
                  <c:v>885</c:v>
                </c:pt>
                <c:pt idx="11">
                  <c:v>900</c:v>
                </c:pt>
                <c:pt idx="12">
                  <c:v>925</c:v>
                </c:pt>
                <c:pt idx="13">
                  <c:v>950</c:v>
                </c:pt>
                <c:pt idx="14">
                  <c:v>950</c:v>
                </c:pt>
                <c:pt idx="15">
                  <c:v>950</c:v>
                </c:pt>
              </c:numCache>
            </c:numRef>
          </c:val>
          <c:smooth val="0"/>
          <c:extLst>
            <c:ext xmlns:c16="http://schemas.microsoft.com/office/drawing/2014/chart" uri="{C3380CC4-5D6E-409C-BE32-E72D297353CC}">
              <c16:uniqueId val="{00000004-C415-40EF-A388-E2352736880B}"/>
            </c:ext>
          </c:extLst>
        </c:ser>
        <c:ser>
          <c:idx val="5"/>
          <c:order val="5"/>
          <c:tx>
            <c:strRef>
              <c:f>Sheet2!$B$20</c:f>
              <c:strCache>
                <c:ptCount val="1"/>
                <c:pt idx="0">
                  <c:v>West Suffolk</c:v>
                </c:pt>
              </c:strCache>
            </c:strRef>
          </c:tx>
          <c:spPr>
            <a:ln w="28575" cap="rnd">
              <a:solidFill>
                <a:schemeClr val="accent6"/>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Sheet2!$C$20:$R$20</c:f>
              <c:numCache>
                <c:formatCode>0</c:formatCode>
                <c:ptCount val="16"/>
                <c:pt idx="0">
                  <c:v>651.25</c:v>
                </c:pt>
                <c:pt idx="1">
                  <c:v>659.16666666666674</c:v>
                </c:pt>
                <c:pt idx="2">
                  <c:v>687.75</c:v>
                </c:pt>
                <c:pt idx="3">
                  <c:v>693.83333333333326</c:v>
                </c:pt>
                <c:pt idx="4">
                  <c:v>692.08333333333326</c:v>
                </c:pt>
                <c:pt idx="5">
                  <c:v>692.08333333333326</c:v>
                </c:pt>
                <c:pt idx="6">
                  <c:v>712.16666666666674</c:v>
                </c:pt>
                <c:pt idx="7">
                  <c:v>831.66666666666674</c:v>
                </c:pt>
                <c:pt idx="8">
                  <c:v>757.08333333333326</c:v>
                </c:pt>
                <c:pt idx="9">
                  <c:v>854.16666666666674</c:v>
                </c:pt>
                <c:pt idx="10">
                  <c:v>778.75</c:v>
                </c:pt>
                <c:pt idx="11">
                  <c:v>878.08333333333326</c:v>
                </c:pt>
                <c:pt idx="12">
                  <c:v>895</c:v>
                </c:pt>
                <c:pt idx="13">
                  <c:v>908.75</c:v>
                </c:pt>
                <c:pt idx="14">
                  <c:v>911.66666666666674</c:v>
                </c:pt>
                <c:pt idx="15">
                  <c:v>898.75</c:v>
                </c:pt>
              </c:numCache>
            </c:numRef>
          </c:val>
          <c:smooth val="0"/>
          <c:extLst>
            <c:ext xmlns:c16="http://schemas.microsoft.com/office/drawing/2014/chart" uri="{C3380CC4-5D6E-409C-BE32-E72D297353CC}">
              <c16:uniqueId val="{00000005-C415-40EF-A388-E2352736880B}"/>
            </c:ext>
          </c:extLst>
        </c:ser>
        <c:ser>
          <c:idx val="6"/>
          <c:order val="6"/>
          <c:tx>
            <c:strRef>
              <c:f>Sheet2!$B$21</c:f>
              <c:strCache>
                <c:ptCount val="1"/>
                <c:pt idx="0">
                  <c:v>HMA Average</c:v>
                </c:pt>
              </c:strCache>
            </c:strRef>
          </c:tx>
          <c:spPr>
            <a:ln w="28575" cap="rnd">
              <a:solidFill>
                <a:schemeClr val="accent1">
                  <a:lumMod val="60000"/>
                </a:schemeClr>
              </a:solidFill>
              <a:round/>
            </a:ln>
            <a:effectLst/>
          </c:spPr>
          <c:marker>
            <c:symbol val="none"/>
          </c:marker>
          <c:cat>
            <c:numRef>
              <c:f>Sheet2!$C$14:$R$14</c:f>
              <c:numCache>
                <c:formatCode>mmm\-yy</c:formatCode>
                <c:ptCount val="16"/>
                <c:pt idx="0">
                  <c:v>40787</c:v>
                </c:pt>
                <c:pt idx="1">
                  <c:v>40969</c:v>
                </c:pt>
                <c:pt idx="2">
                  <c:v>41153</c:v>
                </c:pt>
                <c:pt idx="3">
                  <c:v>41334</c:v>
                </c:pt>
                <c:pt idx="4">
                  <c:v>41518</c:v>
                </c:pt>
                <c:pt idx="5">
                  <c:v>41699</c:v>
                </c:pt>
                <c:pt idx="6">
                  <c:v>41883</c:v>
                </c:pt>
                <c:pt idx="7">
                  <c:v>42064</c:v>
                </c:pt>
                <c:pt idx="8">
                  <c:v>42248</c:v>
                </c:pt>
                <c:pt idx="9">
                  <c:v>42430</c:v>
                </c:pt>
                <c:pt idx="10">
                  <c:v>42614</c:v>
                </c:pt>
                <c:pt idx="11">
                  <c:v>42795</c:v>
                </c:pt>
                <c:pt idx="12">
                  <c:v>42979</c:v>
                </c:pt>
                <c:pt idx="13">
                  <c:v>43160</c:v>
                </c:pt>
                <c:pt idx="14">
                  <c:v>43344</c:v>
                </c:pt>
                <c:pt idx="15">
                  <c:v>43525</c:v>
                </c:pt>
              </c:numCache>
            </c:numRef>
          </c:cat>
          <c:val>
            <c:numRef>
              <c:f>Sheet2!$C$21:$R$21</c:f>
              <c:numCache>
                <c:formatCode>0</c:formatCode>
                <c:ptCount val="16"/>
                <c:pt idx="0">
                  <c:v>652.5</c:v>
                </c:pt>
                <c:pt idx="1">
                  <c:v>668.33333333333326</c:v>
                </c:pt>
                <c:pt idx="2">
                  <c:v>680.5</c:v>
                </c:pt>
                <c:pt idx="3">
                  <c:v>689.66666666666674</c:v>
                </c:pt>
                <c:pt idx="4">
                  <c:v>684.16666666666674</c:v>
                </c:pt>
                <c:pt idx="5">
                  <c:v>689.16666666666674</c:v>
                </c:pt>
                <c:pt idx="6">
                  <c:v>701.33333333333326</c:v>
                </c:pt>
                <c:pt idx="7">
                  <c:v>763.33333333333326</c:v>
                </c:pt>
                <c:pt idx="8">
                  <c:v>764.16666666666674</c:v>
                </c:pt>
                <c:pt idx="9">
                  <c:v>808.33333333333326</c:v>
                </c:pt>
                <c:pt idx="10">
                  <c:v>792.5</c:v>
                </c:pt>
                <c:pt idx="11">
                  <c:v>830.16666666666674</c:v>
                </c:pt>
                <c:pt idx="12">
                  <c:v>845</c:v>
                </c:pt>
                <c:pt idx="13">
                  <c:v>867.5</c:v>
                </c:pt>
                <c:pt idx="14">
                  <c:v>873.33333333333326</c:v>
                </c:pt>
                <c:pt idx="15">
                  <c:v>872.5</c:v>
                </c:pt>
              </c:numCache>
            </c:numRef>
          </c:val>
          <c:smooth val="0"/>
          <c:extLst>
            <c:ext xmlns:c16="http://schemas.microsoft.com/office/drawing/2014/chart" uri="{C3380CC4-5D6E-409C-BE32-E72D297353CC}">
              <c16:uniqueId val="{00000006-C415-40EF-A388-E2352736880B}"/>
            </c:ext>
          </c:extLst>
        </c:ser>
        <c:dLbls>
          <c:showLegendKey val="0"/>
          <c:showVal val="0"/>
          <c:showCatName val="0"/>
          <c:showSerName val="0"/>
          <c:showPercent val="0"/>
          <c:showBubbleSize val="0"/>
        </c:dLbls>
        <c:smooth val="0"/>
        <c:axId val="730431072"/>
        <c:axId val="730426808"/>
      </c:lineChart>
      <c:dateAx>
        <c:axId val="7304310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426808"/>
        <c:crosses val="autoZero"/>
        <c:auto val="1"/>
        <c:lblOffset val="100"/>
        <c:baseTimeUnit val="months"/>
      </c:dateAx>
      <c:valAx>
        <c:axId val="73042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Rent per calendar month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43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0270005413814"/>
          <c:y val="5.4584449909640557E-2"/>
          <c:w val="0.78790640726045014"/>
          <c:h val="0.79204239889961259"/>
        </c:manualLayout>
      </c:layout>
      <c:barChart>
        <c:barDir val="bar"/>
        <c:grouping val="clustered"/>
        <c:varyColors val="0"/>
        <c:ser>
          <c:idx val="0"/>
          <c:order val="0"/>
          <c:tx>
            <c:strRef>
              <c:f>'Age structure 2019'!$B$46</c:f>
              <c:strCache>
                <c:ptCount val="1"/>
                <c:pt idx="0">
                  <c:v>Cambridge</c:v>
                </c:pt>
              </c:strCache>
            </c:strRef>
          </c:tx>
          <c:spPr>
            <a:solidFill>
              <a:schemeClr val="accent1"/>
            </a:solidFill>
            <a:ln>
              <a:noFill/>
            </a:ln>
            <a:effectLst/>
          </c:spPr>
          <c:invertIfNegative val="0"/>
          <c:cat>
            <c:strRef>
              <c:f>'Age structure 2019'!$A$47:$A$64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2019'!$B$47:$B$64</c:f>
              <c:numCache>
                <c:formatCode>0%</c:formatCode>
                <c:ptCount val="18"/>
                <c:pt idx="0">
                  <c:v>5.5288461538461536E-2</c:v>
                </c:pt>
                <c:pt idx="1">
                  <c:v>5.689102564102564E-2</c:v>
                </c:pt>
                <c:pt idx="2">
                  <c:v>5.2083333333333336E-2</c:v>
                </c:pt>
                <c:pt idx="3">
                  <c:v>7.4519230769230768E-2</c:v>
                </c:pt>
                <c:pt idx="4">
                  <c:v>0.15945512820512819</c:v>
                </c:pt>
                <c:pt idx="5">
                  <c:v>9.9358974358974353E-2</c:v>
                </c:pt>
                <c:pt idx="6">
                  <c:v>6.0897435897435896E-2</c:v>
                </c:pt>
                <c:pt idx="7">
                  <c:v>5.689102564102564E-2</c:v>
                </c:pt>
                <c:pt idx="8">
                  <c:v>5.4487179487179488E-2</c:v>
                </c:pt>
                <c:pt idx="9">
                  <c:v>5.5288461538461536E-2</c:v>
                </c:pt>
                <c:pt idx="10">
                  <c:v>5.5288461538461536E-2</c:v>
                </c:pt>
                <c:pt idx="11">
                  <c:v>4.807692307692308E-2</c:v>
                </c:pt>
                <c:pt idx="12">
                  <c:v>4.1666666666666664E-2</c:v>
                </c:pt>
                <c:pt idx="13">
                  <c:v>3.6057692307692304E-2</c:v>
                </c:pt>
                <c:pt idx="14">
                  <c:v>3.125E-2</c:v>
                </c:pt>
                <c:pt idx="15">
                  <c:v>2.3237179487179488E-2</c:v>
                </c:pt>
                <c:pt idx="16">
                  <c:v>1.842948717948718E-2</c:v>
                </c:pt>
                <c:pt idx="17">
                  <c:v>2.2435897435897436E-2</c:v>
                </c:pt>
              </c:numCache>
            </c:numRef>
          </c:val>
          <c:extLst>
            <c:ext xmlns:c16="http://schemas.microsoft.com/office/drawing/2014/chart" uri="{C3380CC4-5D6E-409C-BE32-E72D297353CC}">
              <c16:uniqueId val="{00000000-BC6A-4225-AB26-8481C5E09F69}"/>
            </c:ext>
          </c:extLst>
        </c:ser>
        <c:ser>
          <c:idx val="1"/>
          <c:order val="1"/>
          <c:tx>
            <c:strRef>
              <c:f>'Age structure 2019'!$C$46</c:f>
              <c:strCache>
                <c:ptCount val="1"/>
                <c:pt idx="0">
                  <c:v>East Cambridgeshire</c:v>
                </c:pt>
              </c:strCache>
            </c:strRef>
          </c:tx>
          <c:spPr>
            <a:solidFill>
              <a:schemeClr val="accent2"/>
            </a:solidFill>
            <a:ln>
              <a:noFill/>
            </a:ln>
            <a:effectLst/>
          </c:spPr>
          <c:invertIfNegative val="0"/>
          <c:cat>
            <c:strRef>
              <c:f>'Age structure 2019'!$A$47:$A$64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2019'!$C$47:$C$64</c:f>
              <c:numCache>
                <c:formatCode>0%</c:formatCode>
                <c:ptCount val="18"/>
                <c:pt idx="0">
                  <c:v>5.4565701559020047E-2</c:v>
                </c:pt>
                <c:pt idx="1">
                  <c:v>6.6815144766147E-2</c:v>
                </c:pt>
                <c:pt idx="2">
                  <c:v>6.4587973273942098E-2</c:v>
                </c:pt>
                <c:pt idx="3">
                  <c:v>5.1224944320712694E-2</c:v>
                </c:pt>
                <c:pt idx="4">
                  <c:v>4.3429844097995544E-2</c:v>
                </c:pt>
                <c:pt idx="5">
                  <c:v>4.7884187082405348E-2</c:v>
                </c:pt>
                <c:pt idx="6">
                  <c:v>5.7906458797327393E-2</c:v>
                </c:pt>
                <c:pt idx="7">
                  <c:v>6.7928730512249444E-2</c:v>
                </c:pt>
                <c:pt idx="8">
                  <c:v>6.6815144766147E-2</c:v>
                </c:pt>
                <c:pt idx="9">
                  <c:v>7.3496659242761692E-2</c:v>
                </c:pt>
                <c:pt idx="10">
                  <c:v>7.4610244988864149E-2</c:v>
                </c:pt>
                <c:pt idx="11">
                  <c:v>6.7928730512249444E-2</c:v>
                </c:pt>
                <c:pt idx="12">
                  <c:v>5.7906458797327393E-2</c:v>
                </c:pt>
                <c:pt idx="13">
                  <c:v>5.4565701559020047E-2</c:v>
                </c:pt>
                <c:pt idx="14">
                  <c:v>5.6792873051224942E-2</c:v>
                </c:pt>
                <c:pt idx="15">
                  <c:v>3.7861915367483297E-2</c:v>
                </c:pt>
                <c:pt idx="16">
                  <c:v>2.7839643652561249E-2</c:v>
                </c:pt>
                <c:pt idx="17">
                  <c:v>2.6726057906458798E-2</c:v>
                </c:pt>
              </c:numCache>
            </c:numRef>
          </c:val>
          <c:extLst>
            <c:ext xmlns:c16="http://schemas.microsoft.com/office/drawing/2014/chart" uri="{C3380CC4-5D6E-409C-BE32-E72D297353CC}">
              <c16:uniqueId val="{00000001-BC6A-4225-AB26-8481C5E09F69}"/>
            </c:ext>
          </c:extLst>
        </c:ser>
        <c:ser>
          <c:idx val="2"/>
          <c:order val="2"/>
          <c:tx>
            <c:strRef>
              <c:f>'Age structure 2019'!$D$46</c:f>
              <c:strCache>
                <c:ptCount val="1"/>
                <c:pt idx="0">
                  <c:v>Fenland</c:v>
                </c:pt>
              </c:strCache>
            </c:strRef>
          </c:tx>
          <c:spPr>
            <a:solidFill>
              <a:schemeClr val="accent3"/>
            </a:solidFill>
            <a:ln>
              <a:noFill/>
            </a:ln>
            <a:effectLst/>
          </c:spPr>
          <c:invertIfNegative val="0"/>
          <c:cat>
            <c:strRef>
              <c:f>'Age structure 2019'!$A$47:$A$64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2019'!$D$47:$D$64</c:f>
              <c:numCache>
                <c:formatCode>0%</c:formatCode>
                <c:ptCount val="18"/>
                <c:pt idx="0">
                  <c:v>5.5937193326790972E-2</c:v>
                </c:pt>
                <c:pt idx="1">
                  <c:v>5.986261040235525E-2</c:v>
                </c:pt>
                <c:pt idx="2">
                  <c:v>5.2993130520117761E-2</c:v>
                </c:pt>
                <c:pt idx="3">
                  <c:v>4.9067713444553483E-2</c:v>
                </c:pt>
                <c:pt idx="4">
                  <c:v>5.1030421982335622E-2</c:v>
                </c:pt>
                <c:pt idx="5">
                  <c:v>5.8881256133464184E-2</c:v>
                </c:pt>
                <c:pt idx="6">
                  <c:v>6.1825318940137389E-2</c:v>
                </c:pt>
                <c:pt idx="7">
                  <c:v>5.7899901864573111E-2</c:v>
                </c:pt>
                <c:pt idx="8">
                  <c:v>5.2993130520117761E-2</c:v>
                </c:pt>
                <c:pt idx="9">
                  <c:v>6.47693817468106E-2</c:v>
                </c:pt>
                <c:pt idx="10">
                  <c:v>7.163886162904809E-2</c:v>
                </c:pt>
                <c:pt idx="11">
                  <c:v>7.0657507360157024E-2</c:v>
                </c:pt>
                <c:pt idx="12">
                  <c:v>6.2806673209028455E-2</c:v>
                </c:pt>
                <c:pt idx="13">
                  <c:v>6.0843964671246323E-2</c:v>
                </c:pt>
                <c:pt idx="14">
                  <c:v>6.2806673209028455E-2</c:v>
                </c:pt>
                <c:pt idx="15">
                  <c:v>4.3179587831207067E-2</c:v>
                </c:pt>
                <c:pt idx="16">
                  <c:v>3.1403336604514227E-2</c:v>
                </c:pt>
                <c:pt idx="17">
                  <c:v>3.23846908734053E-2</c:v>
                </c:pt>
              </c:numCache>
            </c:numRef>
          </c:val>
          <c:extLst>
            <c:ext xmlns:c16="http://schemas.microsoft.com/office/drawing/2014/chart" uri="{C3380CC4-5D6E-409C-BE32-E72D297353CC}">
              <c16:uniqueId val="{00000002-BC6A-4225-AB26-8481C5E09F69}"/>
            </c:ext>
          </c:extLst>
        </c:ser>
        <c:ser>
          <c:idx val="3"/>
          <c:order val="3"/>
          <c:tx>
            <c:strRef>
              <c:f>'Age structure 2019'!$E$46</c:f>
              <c:strCache>
                <c:ptCount val="1"/>
                <c:pt idx="0">
                  <c:v>Huntingdonshire</c:v>
                </c:pt>
              </c:strCache>
            </c:strRef>
          </c:tx>
          <c:spPr>
            <a:solidFill>
              <a:schemeClr val="accent4"/>
            </a:solidFill>
            <a:ln>
              <a:noFill/>
            </a:ln>
            <a:effectLst/>
          </c:spPr>
          <c:invertIfNegative val="0"/>
          <c:cat>
            <c:strRef>
              <c:f>'Age structure 2019'!$A$47:$A$64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2019'!$E$47:$E$64</c:f>
              <c:numCache>
                <c:formatCode>0%</c:formatCode>
                <c:ptCount val="18"/>
                <c:pt idx="0">
                  <c:v>5.6179775280898875E-2</c:v>
                </c:pt>
                <c:pt idx="1">
                  <c:v>6.0674157303370786E-2</c:v>
                </c:pt>
                <c:pt idx="2">
                  <c:v>5.6741573033707866E-2</c:v>
                </c:pt>
                <c:pt idx="3">
                  <c:v>0.05</c:v>
                </c:pt>
                <c:pt idx="4">
                  <c:v>4.6629213483146068E-2</c:v>
                </c:pt>
                <c:pt idx="5">
                  <c:v>5.6741573033707866E-2</c:v>
                </c:pt>
                <c:pt idx="6">
                  <c:v>6.5168539325842698E-2</c:v>
                </c:pt>
                <c:pt idx="7">
                  <c:v>6.4044943820224715E-2</c:v>
                </c:pt>
                <c:pt idx="8">
                  <c:v>6.2359550561797754E-2</c:v>
                </c:pt>
                <c:pt idx="9">
                  <c:v>7.1910112359550568E-2</c:v>
                </c:pt>
                <c:pt idx="10">
                  <c:v>7.5842696629213488E-2</c:v>
                </c:pt>
                <c:pt idx="11">
                  <c:v>7.134831460674157E-2</c:v>
                </c:pt>
                <c:pt idx="12">
                  <c:v>5.955056179775281E-2</c:v>
                </c:pt>
                <c:pt idx="13">
                  <c:v>5.4494382022471907E-2</c:v>
                </c:pt>
                <c:pt idx="14">
                  <c:v>5.7865168539325842E-2</c:v>
                </c:pt>
                <c:pt idx="15">
                  <c:v>3.8202247191011236E-2</c:v>
                </c:pt>
                <c:pt idx="16">
                  <c:v>2.6404494382022473E-2</c:v>
                </c:pt>
                <c:pt idx="17">
                  <c:v>2.5280898876404494E-2</c:v>
                </c:pt>
              </c:numCache>
            </c:numRef>
          </c:val>
          <c:extLst>
            <c:ext xmlns:c16="http://schemas.microsoft.com/office/drawing/2014/chart" uri="{C3380CC4-5D6E-409C-BE32-E72D297353CC}">
              <c16:uniqueId val="{00000003-BC6A-4225-AB26-8481C5E09F69}"/>
            </c:ext>
          </c:extLst>
        </c:ser>
        <c:ser>
          <c:idx val="4"/>
          <c:order val="4"/>
          <c:tx>
            <c:strRef>
              <c:f>'Age structure 2019'!$F$46</c:f>
              <c:strCache>
                <c:ptCount val="1"/>
                <c:pt idx="0">
                  <c:v>South Cambridgeshire</c:v>
                </c:pt>
              </c:strCache>
            </c:strRef>
          </c:tx>
          <c:spPr>
            <a:solidFill>
              <a:schemeClr val="accent5"/>
            </a:solidFill>
            <a:ln>
              <a:noFill/>
            </a:ln>
            <a:effectLst/>
          </c:spPr>
          <c:invertIfNegative val="0"/>
          <c:cat>
            <c:strRef>
              <c:f>'Age structure 2019'!$A$47:$A$64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2019'!$F$47:$F$64</c:f>
              <c:numCache>
                <c:formatCode>0%</c:formatCode>
                <c:ptCount val="18"/>
                <c:pt idx="0">
                  <c:v>5.7196731615336269E-2</c:v>
                </c:pt>
                <c:pt idx="1">
                  <c:v>6.5996228786926459E-2</c:v>
                </c:pt>
                <c:pt idx="2">
                  <c:v>6.5996228786926459E-2</c:v>
                </c:pt>
                <c:pt idx="3">
                  <c:v>5.531112507856694E-2</c:v>
                </c:pt>
                <c:pt idx="4">
                  <c:v>4.022627278441232E-2</c:v>
                </c:pt>
                <c:pt idx="5">
                  <c:v>4.5883092394720298E-2</c:v>
                </c:pt>
                <c:pt idx="6">
                  <c:v>5.7825267127592707E-2</c:v>
                </c:pt>
                <c:pt idx="7">
                  <c:v>6.7253299811439349E-2</c:v>
                </c:pt>
                <c:pt idx="8">
                  <c:v>7.2910119421747327E-2</c:v>
                </c:pt>
                <c:pt idx="9">
                  <c:v>7.6052796983029539E-2</c:v>
                </c:pt>
                <c:pt idx="10">
                  <c:v>7.4795725958516662E-2</c:v>
                </c:pt>
                <c:pt idx="11">
                  <c:v>6.8510370835952225E-2</c:v>
                </c:pt>
                <c:pt idx="12">
                  <c:v>5.6568196103079824E-2</c:v>
                </c:pt>
                <c:pt idx="13">
                  <c:v>5.1539912005028284E-2</c:v>
                </c:pt>
                <c:pt idx="14">
                  <c:v>5.4054054054054057E-2</c:v>
                </c:pt>
                <c:pt idx="15">
                  <c:v>3.6455059710873663E-2</c:v>
                </c:pt>
                <c:pt idx="16">
                  <c:v>2.7027027027027029E-2</c:v>
                </c:pt>
                <c:pt idx="17">
                  <c:v>2.7027027027027029E-2</c:v>
                </c:pt>
              </c:numCache>
            </c:numRef>
          </c:val>
          <c:extLst>
            <c:ext xmlns:c16="http://schemas.microsoft.com/office/drawing/2014/chart" uri="{C3380CC4-5D6E-409C-BE32-E72D297353CC}">
              <c16:uniqueId val="{00000004-BC6A-4225-AB26-8481C5E09F69}"/>
            </c:ext>
          </c:extLst>
        </c:ser>
        <c:ser>
          <c:idx val="5"/>
          <c:order val="5"/>
          <c:tx>
            <c:strRef>
              <c:f>'Age structure 2019'!$G$46</c:f>
              <c:strCache>
                <c:ptCount val="1"/>
                <c:pt idx="0">
                  <c:v>West Suffolk</c:v>
                </c:pt>
              </c:strCache>
            </c:strRef>
          </c:tx>
          <c:spPr>
            <a:solidFill>
              <a:schemeClr val="accent6"/>
            </a:solidFill>
            <a:ln>
              <a:noFill/>
            </a:ln>
            <a:effectLst/>
          </c:spPr>
          <c:invertIfNegative val="0"/>
          <c:cat>
            <c:strRef>
              <c:f>'Age structure 2019'!$A$47:$A$64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'Age structure 2019'!$G$47:$G$64</c:f>
              <c:numCache>
                <c:formatCode>0%</c:formatCode>
                <c:ptCount val="18"/>
                <c:pt idx="0">
                  <c:v>6.1452513966480445E-2</c:v>
                </c:pt>
                <c:pt idx="1">
                  <c:v>6.5363128491620112E-2</c:v>
                </c:pt>
                <c:pt idx="2">
                  <c:v>5.6983240223463689E-2</c:v>
                </c:pt>
                <c:pt idx="3">
                  <c:v>4.8044692737430165E-2</c:v>
                </c:pt>
                <c:pt idx="4">
                  <c:v>5.3631284916201116E-2</c:v>
                </c:pt>
                <c:pt idx="5">
                  <c:v>6.5363128491620112E-2</c:v>
                </c:pt>
                <c:pt idx="6">
                  <c:v>7.0391061452513962E-2</c:v>
                </c:pt>
                <c:pt idx="7">
                  <c:v>6.4804469273743018E-2</c:v>
                </c:pt>
                <c:pt idx="8">
                  <c:v>5.3631284916201116E-2</c:v>
                </c:pt>
                <c:pt idx="9">
                  <c:v>6.089385474860335E-2</c:v>
                </c:pt>
                <c:pt idx="10">
                  <c:v>6.8715083798882678E-2</c:v>
                </c:pt>
                <c:pt idx="11">
                  <c:v>6.4804469273743018E-2</c:v>
                </c:pt>
                <c:pt idx="12">
                  <c:v>5.5307262569832399E-2</c:v>
                </c:pt>
                <c:pt idx="13">
                  <c:v>5.3631284916201116E-2</c:v>
                </c:pt>
                <c:pt idx="14">
                  <c:v>5.8100558659217878E-2</c:v>
                </c:pt>
                <c:pt idx="15">
                  <c:v>4.0223463687150837E-2</c:v>
                </c:pt>
                <c:pt idx="16">
                  <c:v>3.0167597765363128E-2</c:v>
                </c:pt>
                <c:pt idx="17">
                  <c:v>3.0726256983240222E-2</c:v>
                </c:pt>
              </c:numCache>
            </c:numRef>
          </c:val>
          <c:extLst>
            <c:ext xmlns:c16="http://schemas.microsoft.com/office/drawing/2014/chart" uri="{C3380CC4-5D6E-409C-BE32-E72D297353CC}">
              <c16:uniqueId val="{00000005-BC6A-4225-AB26-8481C5E09F69}"/>
            </c:ext>
          </c:extLst>
        </c:ser>
        <c:dLbls>
          <c:showLegendKey val="0"/>
          <c:showVal val="0"/>
          <c:showCatName val="0"/>
          <c:showSerName val="0"/>
          <c:showPercent val="0"/>
          <c:showBubbleSize val="0"/>
        </c:dLbls>
        <c:gapWidth val="150"/>
        <c:axId val="776270768"/>
        <c:axId val="776264240"/>
      </c:barChart>
      <c:catAx>
        <c:axId val="77627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264240"/>
        <c:crosses val="autoZero"/>
        <c:auto val="1"/>
        <c:lblAlgn val="ctr"/>
        <c:lblOffset val="100"/>
        <c:noMultiLvlLbl val="0"/>
      </c:catAx>
      <c:valAx>
        <c:axId val="776264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270768"/>
        <c:crosses val="autoZero"/>
        <c:crossBetween val="between"/>
      </c:valAx>
      <c:spPr>
        <a:noFill/>
        <a:ln>
          <a:noFill/>
        </a:ln>
        <a:effectLst/>
      </c:spPr>
    </c:plotArea>
    <c:legend>
      <c:legendPos val="t"/>
      <c:layout>
        <c:manualLayout>
          <c:xMode val="edge"/>
          <c:yMode val="edge"/>
          <c:x val="0.12282118274483898"/>
          <c:y val="0.90349789503758027"/>
          <c:w val="0.83382371287710777"/>
          <c:h val="6.66645945572592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Sheet2!$C$15:$D$15</c:f>
              <c:strCache>
                <c:ptCount val="2"/>
                <c:pt idx="0">
                  <c:v>Military</c:v>
                </c:pt>
              </c:strCache>
            </c:strRef>
          </c:tx>
          <c:spPr>
            <a:ln w="28575" cap="rnd">
              <a:solidFill>
                <a:schemeClr val="accent1"/>
              </a:solidFill>
              <a:round/>
            </a:ln>
            <a:effectLst/>
          </c:spPr>
          <c:marker>
            <c:symbol val="none"/>
          </c:marker>
          <c:cat>
            <c:numRef>
              <c:f>Sheet2!$E$14:$M$14</c:f>
              <c:numCache>
                <c:formatCode>d\-mmm\-yy</c:formatCode>
                <c:ptCount val="9"/>
                <c:pt idx="0">
                  <c:v>41000</c:v>
                </c:pt>
                <c:pt idx="1">
                  <c:v>41365</c:v>
                </c:pt>
                <c:pt idx="2">
                  <c:v>41730</c:v>
                </c:pt>
                <c:pt idx="3">
                  <c:v>42095</c:v>
                </c:pt>
                <c:pt idx="4">
                  <c:v>42461</c:v>
                </c:pt>
                <c:pt idx="5">
                  <c:v>42826</c:v>
                </c:pt>
                <c:pt idx="6">
                  <c:v>43191</c:v>
                </c:pt>
                <c:pt idx="7">
                  <c:v>43556</c:v>
                </c:pt>
                <c:pt idx="8">
                  <c:v>43922</c:v>
                </c:pt>
              </c:numCache>
            </c:numRef>
          </c:cat>
          <c:val>
            <c:numRef>
              <c:f>Sheet2!$E$15:$M$15</c:f>
              <c:numCache>
                <c:formatCode>[=0]"-";[=5]"~";#,##0</c:formatCode>
                <c:ptCount val="9"/>
                <c:pt idx="0">
                  <c:v>3820</c:v>
                </c:pt>
                <c:pt idx="1">
                  <c:v>2210</c:v>
                </c:pt>
                <c:pt idx="2">
                  <c:v>2200</c:v>
                </c:pt>
                <c:pt idx="3">
                  <c:v>2130</c:v>
                </c:pt>
                <c:pt idx="4">
                  <c:v>2260</c:v>
                </c:pt>
                <c:pt idx="5">
                  <c:v>2200</c:v>
                </c:pt>
                <c:pt idx="6">
                  <c:v>2260</c:v>
                </c:pt>
                <c:pt idx="7">
                  <c:v>2150</c:v>
                </c:pt>
                <c:pt idx="8">
                  <c:v>2190</c:v>
                </c:pt>
              </c:numCache>
            </c:numRef>
          </c:val>
          <c:smooth val="0"/>
          <c:extLst>
            <c:ext xmlns:c16="http://schemas.microsoft.com/office/drawing/2014/chart" uri="{C3380CC4-5D6E-409C-BE32-E72D297353CC}">
              <c16:uniqueId val="{00000000-710A-49BC-AE73-16D2CEB93500}"/>
            </c:ext>
          </c:extLst>
        </c:ser>
        <c:ser>
          <c:idx val="1"/>
          <c:order val="1"/>
          <c:tx>
            <c:strRef>
              <c:f>Sheet2!$C$16:$D$16</c:f>
              <c:strCache>
                <c:ptCount val="2"/>
                <c:pt idx="0">
                  <c:v>Civilians</c:v>
                </c:pt>
              </c:strCache>
            </c:strRef>
          </c:tx>
          <c:spPr>
            <a:ln w="28575" cap="rnd">
              <a:solidFill>
                <a:schemeClr val="accent2"/>
              </a:solidFill>
              <a:round/>
            </a:ln>
            <a:effectLst/>
          </c:spPr>
          <c:marker>
            <c:symbol val="none"/>
          </c:marker>
          <c:cat>
            <c:numRef>
              <c:f>Sheet2!$E$14:$M$14</c:f>
              <c:numCache>
                <c:formatCode>d\-mmm\-yy</c:formatCode>
                <c:ptCount val="9"/>
                <c:pt idx="0">
                  <c:v>41000</c:v>
                </c:pt>
                <c:pt idx="1">
                  <c:v>41365</c:v>
                </c:pt>
                <c:pt idx="2">
                  <c:v>41730</c:v>
                </c:pt>
                <c:pt idx="3">
                  <c:v>42095</c:v>
                </c:pt>
                <c:pt idx="4">
                  <c:v>42461</c:v>
                </c:pt>
                <c:pt idx="5">
                  <c:v>42826</c:v>
                </c:pt>
                <c:pt idx="6">
                  <c:v>43191</c:v>
                </c:pt>
                <c:pt idx="7">
                  <c:v>43556</c:v>
                </c:pt>
                <c:pt idx="8">
                  <c:v>43922</c:v>
                </c:pt>
              </c:numCache>
            </c:numRef>
          </c:cat>
          <c:val>
            <c:numRef>
              <c:f>Sheet2!$E$16:$M$16</c:f>
              <c:numCache>
                <c:formatCode>[=0]"-";[=5]"~";#,##0</c:formatCode>
                <c:ptCount val="9"/>
                <c:pt idx="0">
                  <c:v>2350</c:v>
                </c:pt>
                <c:pt idx="1">
                  <c:v>2020</c:v>
                </c:pt>
                <c:pt idx="2">
                  <c:v>1900</c:v>
                </c:pt>
                <c:pt idx="3">
                  <c:v>1860</c:v>
                </c:pt>
                <c:pt idx="4">
                  <c:v>1820</c:v>
                </c:pt>
                <c:pt idx="5">
                  <c:v>1730</c:v>
                </c:pt>
                <c:pt idx="6">
                  <c:v>1690</c:v>
                </c:pt>
                <c:pt idx="7">
                  <c:v>1630</c:v>
                </c:pt>
                <c:pt idx="8">
                  <c:v>1630</c:v>
                </c:pt>
              </c:numCache>
            </c:numRef>
          </c:val>
          <c:smooth val="0"/>
          <c:extLst>
            <c:ext xmlns:c16="http://schemas.microsoft.com/office/drawing/2014/chart" uri="{C3380CC4-5D6E-409C-BE32-E72D297353CC}">
              <c16:uniqueId val="{00000001-710A-49BC-AE73-16D2CEB93500}"/>
            </c:ext>
          </c:extLst>
        </c:ser>
        <c:dLbls>
          <c:showLegendKey val="0"/>
          <c:showVal val="0"/>
          <c:showCatName val="0"/>
          <c:showSerName val="0"/>
          <c:showPercent val="0"/>
          <c:showBubbleSize val="0"/>
        </c:dLbls>
        <c:smooth val="0"/>
        <c:axId val="1217102448"/>
        <c:axId val="1217107888"/>
      </c:lineChart>
      <c:dateAx>
        <c:axId val="1217102448"/>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07888"/>
        <c:crosses val="autoZero"/>
        <c:auto val="1"/>
        <c:lblOffset val="100"/>
        <c:baseTimeUnit val="years"/>
      </c:dateAx>
      <c:valAx>
        <c:axId val="1217107888"/>
        <c:scaling>
          <c:orientation val="minMax"/>
        </c:scaling>
        <c:delete val="0"/>
        <c:axPos val="l"/>
        <c:majorGridlines>
          <c:spPr>
            <a:ln w="9525" cap="flat" cmpd="sng" algn="ctr">
              <a:solidFill>
                <a:schemeClr val="tx1">
                  <a:lumMod val="15000"/>
                  <a:lumOff val="85000"/>
                </a:schemeClr>
              </a:solidFill>
              <a:round/>
            </a:ln>
            <a:effectLst/>
          </c:spPr>
        </c:majorGridlines>
        <c:numFmt formatCode="[=0]&quot;-&quot;;[=5]&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0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90394453831344E-2"/>
          <c:y val="4.6709129511677279E-2"/>
          <c:w val="0.88580954577330551"/>
          <c:h val="0.73707006369426764"/>
        </c:manualLayout>
      </c:layout>
      <c:barChart>
        <c:barDir val="col"/>
        <c:grouping val="clustered"/>
        <c:varyColors val="0"/>
        <c:ser>
          <c:idx val="0"/>
          <c:order val="0"/>
          <c:tx>
            <c:strRef>
              <c:f>Sheet2!$M$1</c:f>
              <c:strCache>
                <c:ptCount val="1"/>
                <c:pt idx="0">
                  <c:v>01-Apr-20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Sheet2!$B$2:$C$13</c:f>
              <c:multiLvlStrCache>
                <c:ptCount val="12"/>
                <c:lvl>
                  <c:pt idx="0">
                    <c:v>Military</c:v>
                  </c:pt>
                  <c:pt idx="1">
                    <c:v>Civilians</c:v>
                  </c:pt>
                  <c:pt idx="2">
                    <c:v>Military</c:v>
                  </c:pt>
                  <c:pt idx="3">
                    <c:v>Civilians</c:v>
                  </c:pt>
                  <c:pt idx="4">
                    <c:v>Military</c:v>
                  </c:pt>
                  <c:pt idx="5">
                    <c:v>Civilians</c:v>
                  </c:pt>
                  <c:pt idx="6">
                    <c:v>Military</c:v>
                  </c:pt>
                  <c:pt idx="7">
                    <c:v>Civilians</c:v>
                  </c:pt>
                  <c:pt idx="8">
                    <c:v>Military</c:v>
                  </c:pt>
                  <c:pt idx="9">
                    <c:v>Civilians</c:v>
                  </c:pt>
                  <c:pt idx="10">
                    <c:v>Military</c:v>
                  </c:pt>
                  <c:pt idx="11">
                    <c:v>Civilians</c:v>
                  </c:pt>
                </c:lvl>
                <c:lvl>
                  <c:pt idx="0">
                    <c:v>Cambridge</c:v>
                  </c:pt>
                  <c:pt idx="2">
                    <c:v>East Cambridgeshire</c:v>
                  </c:pt>
                  <c:pt idx="4">
                    <c:v>Fenland</c:v>
                  </c:pt>
                  <c:pt idx="6">
                    <c:v>Huntingdonshire</c:v>
                  </c:pt>
                  <c:pt idx="8">
                    <c:v>South Cambridgeshire</c:v>
                  </c:pt>
                  <c:pt idx="10">
                    <c:v>West Suffolk</c:v>
                  </c:pt>
                </c:lvl>
              </c:multiLvlStrCache>
            </c:multiLvlStrRef>
          </c:cat>
          <c:val>
            <c:numRef>
              <c:f>Sheet2!$M$2:$M$13</c:f>
              <c:numCache>
                <c:formatCode>[=0]"-";[=5]"~";#,##0</c:formatCode>
                <c:ptCount val="12"/>
                <c:pt idx="0">
                  <c:v>20</c:v>
                </c:pt>
                <c:pt idx="1">
                  <c:v>70</c:v>
                </c:pt>
                <c:pt idx="2">
                  <c:v>0</c:v>
                </c:pt>
                <c:pt idx="3">
                  <c:v>0</c:v>
                </c:pt>
                <c:pt idx="4">
                  <c:v>0</c:v>
                </c:pt>
                <c:pt idx="5">
                  <c:v>0</c:v>
                </c:pt>
                <c:pt idx="6">
                  <c:v>760</c:v>
                </c:pt>
                <c:pt idx="7">
                  <c:v>960</c:v>
                </c:pt>
                <c:pt idx="8">
                  <c:v>110</c:v>
                </c:pt>
                <c:pt idx="9">
                  <c:v>0</c:v>
                </c:pt>
                <c:pt idx="10">
                  <c:v>1300</c:v>
                </c:pt>
                <c:pt idx="11">
                  <c:v>600</c:v>
                </c:pt>
              </c:numCache>
            </c:numRef>
          </c:val>
          <c:extLst>
            <c:ext xmlns:c16="http://schemas.microsoft.com/office/drawing/2014/chart" uri="{C3380CC4-5D6E-409C-BE32-E72D297353CC}">
              <c16:uniqueId val="{00000000-1988-4497-851D-03B764D44BF9}"/>
            </c:ext>
          </c:extLst>
        </c:ser>
        <c:dLbls>
          <c:dLblPos val="outEnd"/>
          <c:showLegendKey val="0"/>
          <c:showVal val="1"/>
          <c:showCatName val="0"/>
          <c:showSerName val="0"/>
          <c:showPercent val="0"/>
          <c:showBubbleSize val="0"/>
        </c:dLbls>
        <c:gapWidth val="219"/>
        <c:overlap val="-27"/>
        <c:axId val="1217086128"/>
        <c:axId val="1217104624"/>
      </c:barChart>
      <c:catAx>
        <c:axId val="121708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17104624"/>
        <c:crosses val="autoZero"/>
        <c:auto val="1"/>
        <c:lblAlgn val="ctr"/>
        <c:lblOffset val="100"/>
        <c:noMultiLvlLbl val="0"/>
      </c:catAx>
      <c:valAx>
        <c:axId val="121710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Personnel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quot;-&quot;;[=5]&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6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Cambridge Components</a:t>
            </a:r>
            <a:r>
              <a:rPr lang="en-GB" baseline="0"/>
              <a:t> of Change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'Components of Change'!$D$2</c:f>
              <c:strCache>
                <c:ptCount val="1"/>
                <c:pt idx="0">
                  <c:v> Natural Change </c:v>
                </c:pt>
              </c:strCache>
            </c:strRef>
          </c:tx>
          <c:spPr>
            <a:solidFill>
              <a:schemeClr val="accent3"/>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Change'!$D$3:$D$20</c:f>
              <c:numCache>
                <c:formatCode>_-* #,##0_-;\-* #,##0_-;_-* "-"??_-;_-@_-</c:formatCode>
                <c:ptCount val="18"/>
                <c:pt idx="0">
                  <c:v>141</c:v>
                </c:pt>
                <c:pt idx="1">
                  <c:v>153</c:v>
                </c:pt>
                <c:pt idx="2">
                  <c:v>244</c:v>
                </c:pt>
                <c:pt idx="3">
                  <c:v>306</c:v>
                </c:pt>
                <c:pt idx="4">
                  <c:v>322</c:v>
                </c:pt>
                <c:pt idx="5">
                  <c:v>531</c:v>
                </c:pt>
                <c:pt idx="6">
                  <c:v>517</c:v>
                </c:pt>
                <c:pt idx="7">
                  <c:v>622</c:v>
                </c:pt>
                <c:pt idx="8">
                  <c:v>687</c:v>
                </c:pt>
                <c:pt idx="9">
                  <c:v>642</c:v>
                </c:pt>
                <c:pt idx="10">
                  <c:v>688</c:v>
                </c:pt>
                <c:pt idx="11">
                  <c:v>532</c:v>
                </c:pt>
                <c:pt idx="12">
                  <c:v>601</c:v>
                </c:pt>
                <c:pt idx="13">
                  <c:v>537</c:v>
                </c:pt>
                <c:pt idx="14">
                  <c:v>550</c:v>
                </c:pt>
                <c:pt idx="15">
                  <c:v>512</c:v>
                </c:pt>
                <c:pt idx="16">
                  <c:v>511</c:v>
                </c:pt>
                <c:pt idx="17" formatCode="#,##0">
                  <c:v>537</c:v>
                </c:pt>
              </c:numCache>
            </c:numRef>
          </c:val>
          <c:extLst>
            <c:ext xmlns:c16="http://schemas.microsoft.com/office/drawing/2014/chart" uri="{C3380CC4-5D6E-409C-BE32-E72D297353CC}">
              <c16:uniqueId val="{00000000-6861-4E04-98C5-34EBE046A42C}"/>
            </c:ext>
          </c:extLst>
        </c:ser>
        <c:ser>
          <c:idx val="3"/>
          <c:order val="1"/>
          <c:tx>
            <c:strRef>
              <c:f>'Components of Change'!$E$2</c:f>
              <c:strCache>
                <c:ptCount val="1"/>
                <c:pt idx="0">
                  <c:v> Internal </c:v>
                </c:pt>
              </c:strCache>
            </c:strRef>
          </c:tx>
          <c:spPr>
            <a:solidFill>
              <a:schemeClr val="accent4"/>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Change'!$E$3:$E$20</c:f>
              <c:numCache>
                <c:formatCode>_-* #,##0_-;\-* #,##0_-;_-* "-"??_-;_-@_-</c:formatCode>
                <c:ptCount val="18"/>
                <c:pt idx="0">
                  <c:v>-1379</c:v>
                </c:pt>
                <c:pt idx="1">
                  <c:v>-1649</c:v>
                </c:pt>
                <c:pt idx="2">
                  <c:v>-1108</c:v>
                </c:pt>
                <c:pt idx="3">
                  <c:v>-1398</c:v>
                </c:pt>
                <c:pt idx="4">
                  <c:v>-1198</c:v>
                </c:pt>
                <c:pt idx="5">
                  <c:v>-1665</c:v>
                </c:pt>
                <c:pt idx="6">
                  <c:v>-1200</c:v>
                </c:pt>
                <c:pt idx="7">
                  <c:v>-866</c:v>
                </c:pt>
                <c:pt idx="8">
                  <c:v>-1092</c:v>
                </c:pt>
                <c:pt idx="9">
                  <c:v>-913</c:v>
                </c:pt>
                <c:pt idx="10">
                  <c:v>-236</c:v>
                </c:pt>
                <c:pt idx="11">
                  <c:v>-682</c:v>
                </c:pt>
                <c:pt idx="12">
                  <c:v>-912</c:v>
                </c:pt>
                <c:pt idx="13">
                  <c:v>-611</c:v>
                </c:pt>
                <c:pt idx="14">
                  <c:v>-1480</c:v>
                </c:pt>
                <c:pt idx="15">
                  <c:v>-663</c:v>
                </c:pt>
                <c:pt idx="16">
                  <c:v>-864</c:v>
                </c:pt>
                <c:pt idx="17" formatCode="#,##0">
                  <c:v>-1712</c:v>
                </c:pt>
              </c:numCache>
            </c:numRef>
          </c:val>
          <c:extLst>
            <c:ext xmlns:c16="http://schemas.microsoft.com/office/drawing/2014/chart" uri="{C3380CC4-5D6E-409C-BE32-E72D297353CC}">
              <c16:uniqueId val="{00000001-6861-4E04-98C5-34EBE046A42C}"/>
            </c:ext>
          </c:extLst>
        </c:ser>
        <c:ser>
          <c:idx val="4"/>
          <c:order val="2"/>
          <c:tx>
            <c:strRef>
              <c:f>'Components of Change'!$F$2</c:f>
              <c:strCache>
                <c:ptCount val="1"/>
                <c:pt idx="0">
                  <c:v> International  </c:v>
                </c:pt>
              </c:strCache>
            </c:strRef>
          </c:tx>
          <c:spPr>
            <a:solidFill>
              <a:srgbClr val="00B05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Change'!$F$3:$F$20</c:f>
              <c:numCache>
                <c:formatCode>_-* #,##0_-;\-* #,##0_-;_-* "-"??_-;_-@_-</c:formatCode>
                <c:ptCount val="18"/>
                <c:pt idx="0">
                  <c:v>-565</c:v>
                </c:pt>
                <c:pt idx="1">
                  <c:v>1753</c:v>
                </c:pt>
                <c:pt idx="2">
                  <c:v>421</c:v>
                </c:pt>
                <c:pt idx="3">
                  <c:v>4670</c:v>
                </c:pt>
                <c:pt idx="4">
                  <c:v>-1157</c:v>
                </c:pt>
                <c:pt idx="5">
                  <c:v>-1560</c:v>
                </c:pt>
                <c:pt idx="6">
                  <c:v>-72</c:v>
                </c:pt>
                <c:pt idx="7">
                  <c:v>-722</c:v>
                </c:pt>
                <c:pt idx="8">
                  <c:v>2343</c:v>
                </c:pt>
                <c:pt idx="9">
                  <c:v>1165</c:v>
                </c:pt>
                <c:pt idx="10">
                  <c:v>-511</c:v>
                </c:pt>
                <c:pt idx="11">
                  <c:v>646</c:v>
                </c:pt>
                <c:pt idx="12">
                  <c:v>916</c:v>
                </c:pt>
                <c:pt idx="13">
                  <c:v>1477</c:v>
                </c:pt>
                <c:pt idx="14">
                  <c:v>474</c:v>
                </c:pt>
                <c:pt idx="15">
                  <c:v>426</c:v>
                </c:pt>
                <c:pt idx="16">
                  <c:v>1198</c:v>
                </c:pt>
                <c:pt idx="17" formatCode="#,##0">
                  <c:v>207</c:v>
                </c:pt>
              </c:numCache>
            </c:numRef>
          </c:val>
          <c:extLst>
            <c:ext xmlns:c16="http://schemas.microsoft.com/office/drawing/2014/chart" uri="{C3380CC4-5D6E-409C-BE32-E72D297353CC}">
              <c16:uniqueId val="{00000002-6861-4E04-98C5-34EBE046A42C}"/>
            </c:ext>
          </c:extLst>
        </c:ser>
        <c:ser>
          <c:idx val="5"/>
          <c:order val="3"/>
          <c:tx>
            <c:strRef>
              <c:f>'Components of Change'!$G$2</c:f>
              <c:strCache>
                <c:ptCount val="1"/>
                <c:pt idx="0">
                  <c:v> Other  </c:v>
                </c:pt>
              </c:strCache>
            </c:strRef>
          </c:tx>
          <c:spPr>
            <a:solidFill>
              <a:schemeClr val="accent2"/>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Change'!$G$3:$G$20</c:f>
              <c:numCache>
                <c:formatCode>_-* #,##0_-;\-* #,##0_-;_-* "-"??_-;_-@_-</c:formatCode>
                <c:ptCount val="18"/>
                <c:pt idx="0">
                  <c:v>1405</c:v>
                </c:pt>
                <c:pt idx="1">
                  <c:v>1517</c:v>
                </c:pt>
                <c:pt idx="2">
                  <c:v>1293</c:v>
                </c:pt>
                <c:pt idx="3">
                  <c:v>1472</c:v>
                </c:pt>
                <c:pt idx="4">
                  <c:v>1470</c:v>
                </c:pt>
                <c:pt idx="5">
                  <c:v>1494</c:v>
                </c:pt>
                <c:pt idx="6">
                  <c:v>1484</c:v>
                </c:pt>
                <c:pt idx="7">
                  <c:v>1529</c:v>
                </c:pt>
                <c:pt idx="8">
                  <c:v>1535</c:v>
                </c:pt>
                <c:pt idx="9">
                  <c:v>1612</c:v>
                </c:pt>
                <c:pt idx="10">
                  <c:v>-65</c:v>
                </c:pt>
                <c:pt idx="11">
                  <c:v>-73</c:v>
                </c:pt>
                <c:pt idx="12">
                  <c:v>106</c:v>
                </c:pt>
                <c:pt idx="13">
                  <c:v>-33</c:v>
                </c:pt>
                <c:pt idx="14">
                  <c:v>-14</c:v>
                </c:pt>
                <c:pt idx="15">
                  <c:v>9</c:v>
                </c:pt>
                <c:pt idx="16">
                  <c:v>-6</c:v>
                </c:pt>
                <c:pt idx="17" formatCode="#,##0">
                  <c:v>8</c:v>
                </c:pt>
              </c:numCache>
            </c:numRef>
          </c:val>
          <c:extLst>
            <c:ext xmlns:c16="http://schemas.microsoft.com/office/drawing/2014/chart" uri="{C3380CC4-5D6E-409C-BE32-E72D297353CC}">
              <c16:uniqueId val="{00000003-6861-4E04-98C5-34EBE046A42C}"/>
            </c:ext>
          </c:extLst>
        </c:ser>
        <c:dLbls>
          <c:showLegendKey val="0"/>
          <c:showVal val="0"/>
          <c:showCatName val="0"/>
          <c:showSerName val="0"/>
          <c:showPercent val="0"/>
          <c:showBubbleSize val="0"/>
        </c:dLbls>
        <c:gapWidth val="219"/>
        <c:overlap val="-27"/>
        <c:axId val="1217094288"/>
        <c:axId val="1217102992"/>
      </c:barChart>
      <c:lineChart>
        <c:grouping val="standard"/>
        <c:varyColors val="0"/>
        <c:ser>
          <c:idx val="7"/>
          <c:order val="4"/>
          <c:tx>
            <c:strRef>
              <c:f>'Components of Change'!$I$2</c:f>
              <c:strCache>
                <c:ptCount val="1"/>
                <c:pt idx="0">
                  <c:v> Population Change </c:v>
                </c:pt>
              </c:strCache>
            </c:strRef>
          </c:tx>
          <c:spPr>
            <a:ln w="28575" cap="rnd">
              <a:solidFill>
                <a:schemeClr val="accent2">
                  <a:lumMod val="60000"/>
                </a:schemeClr>
              </a:solidFill>
              <a:round/>
            </a:ln>
            <a:effectLst/>
          </c:spPr>
          <c:marker>
            <c:symbol val="none"/>
          </c:marker>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Change'!$I$3:$I$20</c:f>
              <c:numCache>
                <c:formatCode>_-* #,##0_-;\-* #,##0_-;_-* "-"??_-;_-@_-</c:formatCode>
                <c:ptCount val="18"/>
                <c:pt idx="0">
                  <c:v>-398</c:v>
                </c:pt>
                <c:pt idx="1">
                  <c:v>1774</c:v>
                </c:pt>
                <c:pt idx="2">
                  <c:v>850</c:v>
                </c:pt>
                <c:pt idx="3">
                  <c:v>5050</c:v>
                </c:pt>
                <c:pt idx="4">
                  <c:v>-563</c:v>
                </c:pt>
                <c:pt idx="5">
                  <c:v>-1200</c:v>
                </c:pt>
                <c:pt idx="6">
                  <c:v>729</c:v>
                </c:pt>
                <c:pt idx="7">
                  <c:v>563</c:v>
                </c:pt>
                <c:pt idx="8">
                  <c:v>3473</c:v>
                </c:pt>
                <c:pt idx="9">
                  <c:v>2506</c:v>
                </c:pt>
                <c:pt idx="10">
                  <c:v>-124</c:v>
                </c:pt>
                <c:pt idx="11">
                  <c:v>423</c:v>
                </c:pt>
                <c:pt idx="12">
                  <c:v>711</c:v>
                </c:pt>
                <c:pt idx="13">
                  <c:v>1370</c:v>
                </c:pt>
                <c:pt idx="14">
                  <c:v>-470</c:v>
                </c:pt>
                <c:pt idx="15">
                  <c:v>284</c:v>
                </c:pt>
                <c:pt idx="16">
                  <c:v>839</c:v>
                </c:pt>
                <c:pt idx="17" formatCode="#,##0">
                  <c:v>-960</c:v>
                </c:pt>
              </c:numCache>
            </c:numRef>
          </c:val>
          <c:smooth val="0"/>
          <c:extLst>
            <c:ext xmlns:c16="http://schemas.microsoft.com/office/drawing/2014/chart" uri="{C3380CC4-5D6E-409C-BE32-E72D297353CC}">
              <c16:uniqueId val="{00000004-6861-4E04-98C5-34EBE046A42C}"/>
            </c:ext>
          </c:extLst>
        </c:ser>
        <c:dLbls>
          <c:showLegendKey val="0"/>
          <c:showVal val="0"/>
          <c:showCatName val="0"/>
          <c:showSerName val="0"/>
          <c:showPercent val="0"/>
          <c:showBubbleSize val="0"/>
        </c:dLbls>
        <c:marker val="1"/>
        <c:smooth val="0"/>
        <c:axId val="1217087760"/>
        <c:axId val="1217095920"/>
      </c:lineChart>
      <c:catAx>
        <c:axId val="1217094288"/>
        <c:scaling>
          <c:orientation val="minMax"/>
        </c:scaling>
        <c:delete val="0"/>
        <c:axPos val="b"/>
        <c:numFmt formatCode="0_ ;\-0\ "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02992"/>
        <c:crosses val="autoZero"/>
        <c:auto val="1"/>
        <c:lblAlgn val="ctr"/>
        <c:lblOffset val="100"/>
        <c:noMultiLvlLbl val="0"/>
      </c:catAx>
      <c:valAx>
        <c:axId val="121710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Component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94288"/>
        <c:crosses val="autoZero"/>
        <c:crossBetween val="between"/>
      </c:valAx>
      <c:valAx>
        <c:axId val="121709592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 Change</a:t>
                </a:r>
              </a:p>
            </c:rich>
          </c:tx>
          <c:layout>
            <c:manualLayout>
              <c:xMode val="edge"/>
              <c:yMode val="edge"/>
              <c:x val="0.94562847290514929"/>
              <c:y val="0.259148273884230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7760"/>
        <c:crosses val="max"/>
        <c:crossBetween val="between"/>
      </c:valAx>
      <c:catAx>
        <c:axId val="1217087760"/>
        <c:scaling>
          <c:orientation val="minMax"/>
        </c:scaling>
        <c:delete val="1"/>
        <c:axPos val="b"/>
        <c:numFmt formatCode="0_ ;\-0\ " sourceLinked="1"/>
        <c:majorTickMark val="out"/>
        <c:minorTickMark val="none"/>
        <c:tickLblPos val="nextTo"/>
        <c:crossAx val="1217095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East Cambridgshire</a:t>
            </a:r>
            <a:r>
              <a:rPr lang="en-GB" baseline="0"/>
              <a:t> -</a:t>
            </a:r>
            <a:r>
              <a:rPr lang="en-GB" sz="1400" b="0" i="0" u="none" strike="noStrike" kern="1200" spc="0" baseline="0">
                <a:solidFill>
                  <a:srgbClr val="000000">
                    <a:lumMod val="65000"/>
                    <a:lumOff val="35000"/>
                  </a:srgbClr>
                </a:solidFill>
                <a:latin typeface="+mn-lt"/>
                <a:ea typeface="+mn-ea"/>
                <a:cs typeface="+mn-cs"/>
              </a:rPr>
              <a:t> </a:t>
            </a:r>
            <a:r>
              <a:rPr lang="en-GB"/>
              <a:t>Components</a:t>
            </a:r>
            <a:r>
              <a:rPr lang="en-GB" baseline="0"/>
              <a:t> of Change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'Components of Change'!$D$2</c:f>
              <c:strCache>
                <c:ptCount val="1"/>
                <c:pt idx="0">
                  <c:v> Natural Change </c:v>
                </c:pt>
              </c:strCache>
            </c:strRef>
          </c:tx>
          <c:spPr>
            <a:solidFill>
              <a:schemeClr val="accent3"/>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Change'!$D$32:$D$49</c:f>
              <c:numCache>
                <c:formatCode>_-* #,##0_-;\-* #,##0_-;_-* "-"??_-;_-@_-</c:formatCode>
                <c:ptCount val="18"/>
                <c:pt idx="0">
                  <c:v>152</c:v>
                </c:pt>
                <c:pt idx="1">
                  <c:v>213</c:v>
                </c:pt>
                <c:pt idx="2">
                  <c:v>150</c:v>
                </c:pt>
                <c:pt idx="3">
                  <c:v>259</c:v>
                </c:pt>
                <c:pt idx="4">
                  <c:v>306</c:v>
                </c:pt>
                <c:pt idx="5">
                  <c:v>299</c:v>
                </c:pt>
                <c:pt idx="6">
                  <c:v>357</c:v>
                </c:pt>
                <c:pt idx="7">
                  <c:v>366</c:v>
                </c:pt>
                <c:pt idx="8">
                  <c:v>395</c:v>
                </c:pt>
                <c:pt idx="9">
                  <c:v>500</c:v>
                </c:pt>
                <c:pt idx="10">
                  <c:v>444</c:v>
                </c:pt>
                <c:pt idx="11">
                  <c:v>478</c:v>
                </c:pt>
                <c:pt idx="12">
                  <c:v>350</c:v>
                </c:pt>
                <c:pt idx="13">
                  <c:v>317</c:v>
                </c:pt>
                <c:pt idx="14">
                  <c:v>300</c:v>
                </c:pt>
                <c:pt idx="15">
                  <c:v>237</c:v>
                </c:pt>
                <c:pt idx="16">
                  <c:v>150</c:v>
                </c:pt>
                <c:pt idx="17" formatCode="#,##0">
                  <c:v>128</c:v>
                </c:pt>
              </c:numCache>
            </c:numRef>
          </c:val>
          <c:extLst>
            <c:ext xmlns:c16="http://schemas.microsoft.com/office/drawing/2014/chart" uri="{C3380CC4-5D6E-409C-BE32-E72D297353CC}">
              <c16:uniqueId val="{00000000-AA3A-440C-B2DA-13B28A9588D7}"/>
            </c:ext>
          </c:extLst>
        </c:ser>
        <c:ser>
          <c:idx val="3"/>
          <c:order val="1"/>
          <c:tx>
            <c:strRef>
              <c:f>'Components of Change'!$E$2</c:f>
              <c:strCache>
                <c:ptCount val="1"/>
                <c:pt idx="0">
                  <c:v> Internal </c:v>
                </c:pt>
              </c:strCache>
            </c:strRef>
          </c:tx>
          <c:spPr>
            <a:solidFill>
              <a:schemeClr val="accent4"/>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Change'!$E$32:$E$49</c:f>
              <c:numCache>
                <c:formatCode>_-* #,##0_-;\-* #,##0_-;_-* "-"??_-;_-@_-</c:formatCode>
                <c:ptCount val="18"/>
                <c:pt idx="0">
                  <c:v>1169</c:v>
                </c:pt>
                <c:pt idx="1">
                  <c:v>1008</c:v>
                </c:pt>
                <c:pt idx="2">
                  <c:v>978</c:v>
                </c:pt>
                <c:pt idx="3">
                  <c:v>962</c:v>
                </c:pt>
                <c:pt idx="4">
                  <c:v>956</c:v>
                </c:pt>
                <c:pt idx="5">
                  <c:v>1093</c:v>
                </c:pt>
                <c:pt idx="6">
                  <c:v>966</c:v>
                </c:pt>
                <c:pt idx="7">
                  <c:v>730</c:v>
                </c:pt>
                <c:pt idx="8">
                  <c:v>472</c:v>
                </c:pt>
                <c:pt idx="9">
                  <c:v>482</c:v>
                </c:pt>
                <c:pt idx="10">
                  <c:v>462</c:v>
                </c:pt>
                <c:pt idx="11">
                  <c:v>217</c:v>
                </c:pt>
                <c:pt idx="12">
                  <c:v>121</c:v>
                </c:pt>
                <c:pt idx="13">
                  <c:v>6</c:v>
                </c:pt>
                <c:pt idx="14">
                  <c:v>-20</c:v>
                </c:pt>
                <c:pt idx="15">
                  <c:v>44</c:v>
                </c:pt>
                <c:pt idx="16">
                  <c:v>281</c:v>
                </c:pt>
                <c:pt idx="17" formatCode="#,##0">
                  <c:v>384</c:v>
                </c:pt>
              </c:numCache>
            </c:numRef>
          </c:val>
          <c:extLst>
            <c:ext xmlns:c16="http://schemas.microsoft.com/office/drawing/2014/chart" uri="{C3380CC4-5D6E-409C-BE32-E72D297353CC}">
              <c16:uniqueId val="{00000001-AA3A-440C-B2DA-13B28A9588D7}"/>
            </c:ext>
          </c:extLst>
        </c:ser>
        <c:ser>
          <c:idx val="4"/>
          <c:order val="2"/>
          <c:tx>
            <c:strRef>
              <c:f>'Components of Change'!$F$2</c:f>
              <c:strCache>
                <c:ptCount val="1"/>
                <c:pt idx="0">
                  <c:v> International  </c:v>
                </c:pt>
              </c:strCache>
            </c:strRef>
          </c:tx>
          <c:spPr>
            <a:solidFill>
              <a:srgbClr val="00B05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Change'!$F$32:$F$49</c:f>
              <c:numCache>
                <c:formatCode>_-* #,##0_-;\-* #,##0_-;_-* "-"??_-;_-@_-</c:formatCode>
                <c:ptCount val="18"/>
                <c:pt idx="0">
                  <c:v>110</c:v>
                </c:pt>
                <c:pt idx="1">
                  <c:v>250</c:v>
                </c:pt>
                <c:pt idx="2">
                  <c:v>42</c:v>
                </c:pt>
                <c:pt idx="3">
                  <c:v>262</c:v>
                </c:pt>
                <c:pt idx="4">
                  <c:v>529</c:v>
                </c:pt>
                <c:pt idx="5">
                  <c:v>539</c:v>
                </c:pt>
                <c:pt idx="6">
                  <c:v>493</c:v>
                </c:pt>
                <c:pt idx="7">
                  <c:v>715</c:v>
                </c:pt>
                <c:pt idx="8">
                  <c:v>624</c:v>
                </c:pt>
                <c:pt idx="9">
                  <c:v>310</c:v>
                </c:pt>
                <c:pt idx="10">
                  <c:v>149</c:v>
                </c:pt>
                <c:pt idx="11">
                  <c:v>283</c:v>
                </c:pt>
                <c:pt idx="12">
                  <c:v>407</c:v>
                </c:pt>
                <c:pt idx="13">
                  <c:v>386</c:v>
                </c:pt>
                <c:pt idx="14">
                  <c:v>245</c:v>
                </c:pt>
                <c:pt idx="15">
                  <c:v>223</c:v>
                </c:pt>
                <c:pt idx="16">
                  <c:v>155</c:v>
                </c:pt>
                <c:pt idx="17" formatCode="#,##0">
                  <c:v>-7</c:v>
                </c:pt>
              </c:numCache>
            </c:numRef>
          </c:val>
          <c:extLst>
            <c:ext xmlns:c16="http://schemas.microsoft.com/office/drawing/2014/chart" uri="{C3380CC4-5D6E-409C-BE32-E72D297353CC}">
              <c16:uniqueId val="{00000002-AA3A-440C-B2DA-13B28A9588D7}"/>
            </c:ext>
          </c:extLst>
        </c:ser>
        <c:ser>
          <c:idx val="5"/>
          <c:order val="3"/>
          <c:tx>
            <c:strRef>
              <c:f>'Components of Change'!$G$2</c:f>
              <c:strCache>
                <c:ptCount val="1"/>
                <c:pt idx="0">
                  <c:v> Other  </c:v>
                </c:pt>
              </c:strCache>
            </c:strRef>
          </c:tx>
          <c:spPr>
            <a:solidFill>
              <a:schemeClr val="accent2"/>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Change'!$G$32:$G$49</c:f>
              <c:numCache>
                <c:formatCode>_-* #,##0_-;\-* #,##0_-;_-* "-"??_-;_-@_-</c:formatCode>
                <c:ptCount val="18"/>
                <c:pt idx="0">
                  <c:v>-514</c:v>
                </c:pt>
                <c:pt idx="1">
                  <c:v>1648</c:v>
                </c:pt>
                <c:pt idx="2">
                  <c:v>-2621</c:v>
                </c:pt>
                <c:pt idx="3">
                  <c:v>-255</c:v>
                </c:pt>
                <c:pt idx="4">
                  <c:v>-586</c:v>
                </c:pt>
                <c:pt idx="5">
                  <c:v>-437</c:v>
                </c:pt>
                <c:pt idx="6">
                  <c:v>-704</c:v>
                </c:pt>
                <c:pt idx="7">
                  <c:v>-489</c:v>
                </c:pt>
                <c:pt idx="8">
                  <c:v>-545</c:v>
                </c:pt>
                <c:pt idx="9">
                  <c:v>-350</c:v>
                </c:pt>
                <c:pt idx="10">
                  <c:v>-80</c:v>
                </c:pt>
                <c:pt idx="11">
                  <c:v>-256</c:v>
                </c:pt>
                <c:pt idx="12">
                  <c:v>225</c:v>
                </c:pt>
                <c:pt idx="13">
                  <c:v>29</c:v>
                </c:pt>
                <c:pt idx="14">
                  <c:v>-119</c:v>
                </c:pt>
                <c:pt idx="15">
                  <c:v>165</c:v>
                </c:pt>
                <c:pt idx="16">
                  <c:v>-82</c:v>
                </c:pt>
                <c:pt idx="17" formatCode="#,##0">
                  <c:v>-27</c:v>
                </c:pt>
              </c:numCache>
            </c:numRef>
          </c:val>
          <c:extLst>
            <c:ext xmlns:c16="http://schemas.microsoft.com/office/drawing/2014/chart" uri="{C3380CC4-5D6E-409C-BE32-E72D297353CC}">
              <c16:uniqueId val="{00000003-AA3A-440C-B2DA-13B28A9588D7}"/>
            </c:ext>
          </c:extLst>
        </c:ser>
        <c:dLbls>
          <c:showLegendKey val="0"/>
          <c:showVal val="0"/>
          <c:showCatName val="0"/>
          <c:showSerName val="0"/>
          <c:showPercent val="0"/>
          <c:showBubbleSize val="0"/>
        </c:dLbls>
        <c:gapWidth val="219"/>
        <c:overlap val="-27"/>
        <c:axId val="1217105712"/>
        <c:axId val="1217092656"/>
      </c:barChart>
      <c:lineChart>
        <c:grouping val="standard"/>
        <c:varyColors val="0"/>
        <c:ser>
          <c:idx val="7"/>
          <c:order val="4"/>
          <c:tx>
            <c:strRef>
              <c:f>'Components of Change'!$I$2</c:f>
              <c:strCache>
                <c:ptCount val="1"/>
                <c:pt idx="0">
                  <c:v> Population Change </c:v>
                </c:pt>
              </c:strCache>
            </c:strRef>
          </c:tx>
          <c:spPr>
            <a:ln w="28575" cap="rnd">
              <a:solidFill>
                <a:schemeClr val="accent2">
                  <a:lumMod val="60000"/>
                </a:schemeClr>
              </a:solidFill>
              <a:round/>
            </a:ln>
            <a:effectLst/>
          </c:spPr>
          <c:marker>
            <c:symbol val="none"/>
          </c:marker>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Change'!$I$32:$I$49</c:f>
              <c:numCache>
                <c:formatCode>_-* #,##0_-;\-* #,##0_-;_-* "-"??_-;_-@_-</c:formatCode>
                <c:ptCount val="18"/>
                <c:pt idx="0">
                  <c:v>917</c:v>
                </c:pt>
                <c:pt idx="1">
                  <c:v>3119</c:v>
                </c:pt>
                <c:pt idx="2">
                  <c:v>-1451</c:v>
                </c:pt>
                <c:pt idx="3">
                  <c:v>1228</c:v>
                </c:pt>
                <c:pt idx="4">
                  <c:v>1205</c:v>
                </c:pt>
                <c:pt idx="5">
                  <c:v>1494</c:v>
                </c:pt>
                <c:pt idx="6">
                  <c:v>1112</c:v>
                </c:pt>
                <c:pt idx="7">
                  <c:v>1322</c:v>
                </c:pt>
                <c:pt idx="8">
                  <c:v>946</c:v>
                </c:pt>
                <c:pt idx="9">
                  <c:v>942</c:v>
                </c:pt>
                <c:pt idx="10">
                  <c:v>975</c:v>
                </c:pt>
                <c:pt idx="11">
                  <c:v>722</c:v>
                </c:pt>
                <c:pt idx="12">
                  <c:v>1103</c:v>
                </c:pt>
                <c:pt idx="13">
                  <c:v>738</c:v>
                </c:pt>
                <c:pt idx="14">
                  <c:v>406</c:v>
                </c:pt>
                <c:pt idx="15">
                  <c:v>669</c:v>
                </c:pt>
                <c:pt idx="16">
                  <c:v>504</c:v>
                </c:pt>
                <c:pt idx="17" formatCode="#,##0">
                  <c:v>478</c:v>
                </c:pt>
              </c:numCache>
            </c:numRef>
          </c:val>
          <c:smooth val="0"/>
          <c:extLst>
            <c:ext xmlns:c16="http://schemas.microsoft.com/office/drawing/2014/chart" uri="{C3380CC4-5D6E-409C-BE32-E72D297353CC}">
              <c16:uniqueId val="{00000004-AA3A-440C-B2DA-13B28A9588D7}"/>
            </c:ext>
          </c:extLst>
        </c:ser>
        <c:dLbls>
          <c:showLegendKey val="0"/>
          <c:showVal val="0"/>
          <c:showCatName val="0"/>
          <c:showSerName val="0"/>
          <c:showPercent val="0"/>
          <c:showBubbleSize val="0"/>
        </c:dLbls>
        <c:marker val="1"/>
        <c:smooth val="0"/>
        <c:axId val="1217089392"/>
        <c:axId val="1217099728"/>
      </c:lineChart>
      <c:catAx>
        <c:axId val="1217105712"/>
        <c:scaling>
          <c:orientation val="minMax"/>
        </c:scaling>
        <c:delete val="0"/>
        <c:axPos val="b"/>
        <c:numFmt formatCode="0_ ;\-0\ "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92656"/>
        <c:crosses val="autoZero"/>
        <c:auto val="1"/>
        <c:lblAlgn val="ctr"/>
        <c:lblOffset val="100"/>
        <c:noMultiLvlLbl val="0"/>
      </c:catAx>
      <c:valAx>
        <c:axId val="121709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Component</a:t>
                </a:r>
                <a:r>
                  <a:rPr lang="en-GB" baseline="0"/>
                  <a:t> </a:t>
                </a:r>
                <a:r>
                  <a:rPr lang="en-GB"/>
                  <a:t>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05712"/>
        <c:crosses val="autoZero"/>
        <c:crossBetween val="between"/>
      </c:valAx>
      <c:valAx>
        <c:axId val="12170997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9392"/>
        <c:crosses val="max"/>
        <c:crossBetween val="between"/>
      </c:valAx>
      <c:catAx>
        <c:axId val="1217089392"/>
        <c:scaling>
          <c:orientation val="minMax"/>
        </c:scaling>
        <c:delete val="1"/>
        <c:axPos val="b"/>
        <c:numFmt formatCode="0_ ;\-0\ " sourceLinked="1"/>
        <c:majorTickMark val="out"/>
        <c:minorTickMark val="none"/>
        <c:tickLblPos val="nextTo"/>
        <c:crossAx val="1217099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Fenland </a:t>
            </a:r>
            <a:r>
              <a:rPr lang="en-GB" baseline="0"/>
              <a:t>-</a:t>
            </a:r>
            <a:r>
              <a:rPr lang="en-GB" sz="1400" b="0" i="0" u="none" strike="noStrike" kern="1200" spc="0" baseline="0">
                <a:solidFill>
                  <a:srgbClr val="000000">
                    <a:lumMod val="65000"/>
                    <a:lumOff val="35000"/>
                  </a:srgbClr>
                </a:solidFill>
                <a:latin typeface="+mn-lt"/>
                <a:ea typeface="+mn-ea"/>
                <a:cs typeface="+mn-cs"/>
              </a:rPr>
              <a:t> </a:t>
            </a:r>
            <a:r>
              <a:rPr lang="en-GB"/>
              <a:t>Components</a:t>
            </a:r>
            <a:r>
              <a:rPr lang="en-GB" baseline="0"/>
              <a:t> of Change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'Components of Change'!$D$2</c:f>
              <c:strCache>
                <c:ptCount val="1"/>
                <c:pt idx="0">
                  <c:v> Natural Change </c:v>
                </c:pt>
              </c:strCache>
            </c:strRef>
          </c:tx>
          <c:spPr>
            <a:solidFill>
              <a:schemeClr val="accent3"/>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Change'!$D$62:$D$79</c:f>
              <c:numCache>
                <c:formatCode>_-* #,##0_-;\-* #,##0_-;_-* "-"??_-;_-@_-</c:formatCode>
                <c:ptCount val="18"/>
                <c:pt idx="0">
                  <c:v>-170</c:v>
                </c:pt>
                <c:pt idx="1">
                  <c:v>-168</c:v>
                </c:pt>
                <c:pt idx="2">
                  <c:v>-118</c:v>
                </c:pt>
                <c:pt idx="3">
                  <c:v>-163</c:v>
                </c:pt>
                <c:pt idx="4">
                  <c:v>-96</c:v>
                </c:pt>
                <c:pt idx="5">
                  <c:v>-57</c:v>
                </c:pt>
                <c:pt idx="6">
                  <c:v>61</c:v>
                </c:pt>
                <c:pt idx="7">
                  <c:v>61</c:v>
                </c:pt>
                <c:pt idx="8">
                  <c:v>78</c:v>
                </c:pt>
                <c:pt idx="9">
                  <c:v>151</c:v>
                </c:pt>
                <c:pt idx="10">
                  <c:v>179</c:v>
                </c:pt>
                <c:pt idx="11">
                  <c:v>160</c:v>
                </c:pt>
                <c:pt idx="12">
                  <c:v>106</c:v>
                </c:pt>
                <c:pt idx="13">
                  <c:v>14</c:v>
                </c:pt>
                <c:pt idx="14">
                  <c:v>27</c:v>
                </c:pt>
                <c:pt idx="15">
                  <c:v>-26</c:v>
                </c:pt>
                <c:pt idx="16">
                  <c:v>-21</c:v>
                </c:pt>
                <c:pt idx="17">
                  <c:v>-149</c:v>
                </c:pt>
              </c:numCache>
            </c:numRef>
          </c:val>
          <c:extLst>
            <c:ext xmlns:c16="http://schemas.microsoft.com/office/drawing/2014/chart" uri="{C3380CC4-5D6E-409C-BE32-E72D297353CC}">
              <c16:uniqueId val="{00000000-6C0F-47F0-98D9-DBE1722FB0C8}"/>
            </c:ext>
          </c:extLst>
        </c:ser>
        <c:ser>
          <c:idx val="3"/>
          <c:order val="1"/>
          <c:tx>
            <c:strRef>
              <c:f>'Components of Change'!$E$2</c:f>
              <c:strCache>
                <c:ptCount val="1"/>
                <c:pt idx="0">
                  <c:v> Internal </c:v>
                </c:pt>
              </c:strCache>
            </c:strRef>
          </c:tx>
          <c:spPr>
            <a:solidFill>
              <a:schemeClr val="accent4"/>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Change'!$E$62:$E$80</c:f>
              <c:numCache>
                <c:formatCode>_-* #,##0_-;\-* #,##0_-;_-* "-"??_-;_-@_-</c:formatCode>
                <c:ptCount val="19"/>
                <c:pt idx="0">
                  <c:v>1138</c:v>
                </c:pt>
                <c:pt idx="1">
                  <c:v>1743</c:v>
                </c:pt>
                <c:pt idx="2">
                  <c:v>1699</c:v>
                </c:pt>
                <c:pt idx="3">
                  <c:v>827</c:v>
                </c:pt>
                <c:pt idx="4">
                  <c:v>1069</c:v>
                </c:pt>
                <c:pt idx="5">
                  <c:v>1295</c:v>
                </c:pt>
                <c:pt idx="6">
                  <c:v>408</c:v>
                </c:pt>
                <c:pt idx="7">
                  <c:v>-78</c:v>
                </c:pt>
                <c:pt idx="8">
                  <c:v>-109</c:v>
                </c:pt>
                <c:pt idx="9">
                  <c:v>-336</c:v>
                </c:pt>
                <c:pt idx="10">
                  <c:v>-149</c:v>
                </c:pt>
                <c:pt idx="11">
                  <c:v>-163</c:v>
                </c:pt>
                <c:pt idx="12">
                  <c:v>252</c:v>
                </c:pt>
                <c:pt idx="13">
                  <c:v>391</c:v>
                </c:pt>
                <c:pt idx="14">
                  <c:v>169</c:v>
                </c:pt>
                <c:pt idx="15">
                  <c:v>698</c:v>
                </c:pt>
                <c:pt idx="16">
                  <c:v>516</c:v>
                </c:pt>
                <c:pt idx="17">
                  <c:v>157</c:v>
                </c:pt>
              </c:numCache>
            </c:numRef>
          </c:val>
          <c:extLst>
            <c:ext xmlns:c16="http://schemas.microsoft.com/office/drawing/2014/chart" uri="{C3380CC4-5D6E-409C-BE32-E72D297353CC}">
              <c16:uniqueId val="{00000001-6C0F-47F0-98D9-DBE1722FB0C8}"/>
            </c:ext>
          </c:extLst>
        </c:ser>
        <c:ser>
          <c:idx val="4"/>
          <c:order val="2"/>
          <c:tx>
            <c:strRef>
              <c:f>'Components of Change'!$F$2</c:f>
              <c:strCache>
                <c:ptCount val="1"/>
                <c:pt idx="0">
                  <c:v> International  </c:v>
                </c:pt>
              </c:strCache>
            </c:strRef>
          </c:tx>
          <c:spPr>
            <a:solidFill>
              <a:srgbClr val="00B05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Change'!$F$62:$F$80</c:f>
              <c:numCache>
                <c:formatCode>_-* #,##0_-;\-* #,##0_-;_-* "-"??_-;_-@_-</c:formatCode>
                <c:ptCount val="19"/>
                <c:pt idx="0">
                  <c:v>22</c:v>
                </c:pt>
                <c:pt idx="1">
                  <c:v>80</c:v>
                </c:pt>
                <c:pt idx="2">
                  <c:v>164</c:v>
                </c:pt>
                <c:pt idx="3">
                  <c:v>346</c:v>
                </c:pt>
                <c:pt idx="4">
                  <c:v>765</c:v>
                </c:pt>
                <c:pt idx="5">
                  <c:v>866</c:v>
                </c:pt>
                <c:pt idx="6">
                  <c:v>569</c:v>
                </c:pt>
                <c:pt idx="7">
                  <c:v>828</c:v>
                </c:pt>
                <c:pt idx="8">
                  <c:v>823</c:v>
                </c:pt>
                <c:pt idx="9">
                  <c:v>661</c:v>
                </c:pt>
                <c:pt idx="10">
                  <c:v>500</c:v>
                </c:pt>
                <c:pt idx="11">
                  <c:v>658</c:v>
                </c:pt>
                <c:pt idx="12">
                  <c:v>613</c:v>
                </c:pt>
                <c:pt idx="13">
                  <c:v>794</c:v>
                </c:pt>
                <c:pt idx="14">
                  <c:v>623</c:v>
                </c:pt>
                <c:pt idx="15">
                  <c:v>448</c:v>
                </c:pt>
                <c:pt idx="16">
                  <c:v>235</c:v>
                </c:pt>
                <c:pt idx="17">
                  <c:v>329</c:v>
                </c:pt>
              </c:numCache>
            </c:numRef>
          </c:val>
          <c:extLst>
            <c:ext xmlns:c16="http://schemas.microsoft.com/office/drawing/2014/chart" uri="{C3380CC4-5D6E-409C-BE32-E72D297353CC}">
              <c16:uniqueId val="{00000002-6C0F-47F0-98D9-DBE1722FB0C8}"/>
            </c:ext>
          </c:extLst>
        </c:ser>
        <c:ser>
          <c:idx val="5"/>
          <c:order val="3"/>
          <c:tx>
            <c:strRef>
              <c:f>'Components of Change'!$G$2</c:f>
              <c:strCache>
                <c:ptCount val="1"/>
                <c:pt idx="0">
                  <c:v> Other  </c:v>
                </c:pt>
              </c:strCache>
            </c:strRef>
          </c:tx>
          <c:spPr>
            <a:solidFill>
              <a:srgbClr val="00B0F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Change'!$G$62:$G$80</c:f>
              <c:numCache>
                <c:formatCode>_-* #,##0_-;\-* #,##0_-;_-* "-"??_-;_-@_-</c:formatCode>
                <c:ptCount val="19"/>
                <c:pt idx="0">
                  <c:v>-1</c:v>
                </c:pt>
                <c:pt idx="1">
                  <c:v>-35</c:v>
                </c:pt>
                <c:pt idx="2">
                  <c:v>-58</c:v>
                </c:pt>
                <c:pt idx="3">
                  <c:v>-25</c:v>
                </c:pt>
                <c:pt idx="4">
                  <c:v>-59</c:v>
                </c:pt>
                <c:pt idx="5">
                  <c:v>-38</c:v>
                </c:pt>
                <c:pt idx="6">
                  <c:v>-98</c:v>
                </c:pt>
                <c:pt idx="7">
                  <c:v>-60</c:v>
                </c:pt>
                <c:pt idx="8">
                  <c:v>-61</c:v>
                </c:pt>
                <c:pt idx="9">
                  <c:v>-150</c:v>
                </c:pt>
                <c:pt idx="10">
                  <c:v>-16</c:v>
                </c:pt>
                <c:pt idx="11">
                  <c:v>-13</c:v>
                </c:pt>
                <c:pt idx="12">
                  <c:v>3</c:v>
                </c:pt>
                <c:pt idx="13">
                  <c:v>24</c:v>
                </c:pt>
                <c:pt idx="14">
                  <c:v>3</c:v>
                </c:pt>
                <c:pt idx="15">
                  <c:v>20</c:v>
                </c:pt>
                <c:pt idx="16">
                  <c:v>-15</c:v>
                </c:pt>
                <c:pt idx="17">
                  <c:v>22</c:v>
                </c:pt>
              </c:numCache>
            </c:numRef>
          </c:val>
          <c:extLst>
            <c:ext xmlns:c16="http://schemas.microsoft.com/office/drawing/2014/chart" uri="{C3380CC4-5D6E-409C-BE32-E72D297353CC}">
              <c16:uniqueId val="{00000003-6C0F-47F0-98D9-DBE1722FB0C8}"/>
            </c:ext>
          </c:extLst>
        </c:ser>
        <c:dLbls>
          <c:showLegendKey val="0"/>
          <c:showVal val="0"/>
          <c:showCatName val="0"/>
          <c:showSerName val="0"/>
          <c:showPercent val="0"/>
          <c:showBubbleSize val="0"/>
        </c:dLbls>
        <c:gapWidth val="219"/>
        <c:overlap val="-27"/>
        <c:axId val="1217110064"/>
        <c:axId val="1217111152"/>
      </c:barChart>
      <c:lineChart>
        <c:grouping val="standard"/>
        <c:varyColors val="0"/>
        <c:ser>
          <c:idx val="7"/>
          <c:order val="4"/>
          <c:tx>
            <c:strRef>
              <c:f>'Components of Change'!$I$2</c:f>
              <c:strCache>
                <c:ptCount val="1"/>
                <c:pt idx="0">
                  <c:v> Population Change </c:v>
                </c:pt>
              </c:strCache>
            </c:strRef>
          </c:tx>
          <c:spPr>
            <a:ln w="28575" cap="rnd">
              <a:solidFill>
                <a:schemeClr val="accent2">
                  <a:lumMod val="60000"/>
                </a:schemeClr>
              </a:solidFill>
              <a:round/>
            </a:ln>
            <a:effectLst/>
          </c:spPr>
          <c:marker>
            <c:symbol val="none"/>
          </c:marker>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Change'!$I$62:$I$80</c:f>
              <c:numCache>
                <c:formatCode>_-* #,##0_-;\-* #,##0_-;_-* "-"??_-;_-@_-</c:formatCode>
                <c:ptCount val="19"/>
                <c:pt idx="0">
                  <c:v>989</c:v>
                </c:pt>
                <c:pt idx="1">
                  <c:v>1620</c:v>
                </c:pt>
                <c:pt idx="2">
                  <c:v>1687</c:v>
                </c:pt>
                <c:pt idx="3">
                  <c:v>985</c:v>
                </c:pt>
                <c:pt idx="4">
                  <c:v>1679</c:v>
                </c:pt>
                <c:pt idx="5">
                  <c:v>2066</c:v>
                </c:pt>
                <c:pt idx="6">
                  <c:v>940</c:v>
                </c:pt>
                <c:pt idx="7">
                  <c:v>751</c:v>
                </c:pt>
                <c:pt idx="8">
                  <c:v>731</c:v>
                </c:pt>
                <c:pt idx="9">
                  <c:v>326</c:v>
                </c:pt>
                <c:pt idx="10">
                  <c:v>514</c:v>
                </c:pt>
                <c:pt idx="11">
                  <c:v>642</c:v>
                </c:pt>
                <c:pt idx="12">
                  <c:v>974</c:v>
                </c:pt>
                <c:pt idx="13">
                  <c:v>1223</c:v>
                </c:pt>
                <c:pt idx="14">
                  <c:v>822</c:v>
                </c:pt>
                <c:pt idx="15">
                  <c:v>1140</c:v>
                </c:pt>
                <c:pt idx="16">
                  <c:v>715</c:v>
                </c:pt>
                <c:pt idx="17">
                  <c:v>359</c:v>
                </c:pt>
              </c:numCache>
            </c:numRef>
          </c:val>
          <c:smooth val="0"/>
          <c:extLst>
            <c:ext xmlns:c16="http://schemas.microsoft.com/office/drawing/2014/chart" uri="{C3380CC4-5D6E-409C-BE32-E72D297353CC}">
              <c16:uniqueId val="{00000004-6C0F-47F0-98D9-DBE1722FB0C8}"/>
            </c:ext>
          </c:extLst>
        </c:ser>
        <c:dLbls>
          <c:showLegendKey val="0"/>
          <c:showVal val="0"/>
          <c:showCatName val="0"/>
          <c:showSerName val="0"/>
          <c:showPercent val="0"/>
          <c:showBubbleSize val="0"/>
        </c:dLbls>
        <c:marker val="1"/>
        <c:smooth val="0"/>
        <c:axId val="1217096464"/>
        <c:axId val="1217095376"/>
      </c:lineChart>
      <c:catAx>
        <c:axId val="1217110064"/>
        <c:scaling>
          <c:orientation val="minMax"/>
        </c:scaling>
        <c:delete val="0"/>
        <c:axPos val="b"/>
        <c:numFmt formatCode="0_ ;\-0\ "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11152"/>
        <c:crosses val="autoZero"/>
        <c:auto val="1"/>
        <c:lblAlgn val="ctr"/>
        <c:lblOffset val="100"/>
        <c:noMultiLvlLbl val="0"/>
      </c:catAx>
      <c:valAx>
        <c:axId val="121711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Component</a:t>
                </a:r>
                <a:r>
                  <a:rPr lang="en-GB" baseline="0"/>
                  <a:t> </a:t>
                </a:r>
                <a:r>
                  <a:rPr lang="en-GB"/>
                  <a:t>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10064"/>
        <c:crosses val="autoZero"/>
        <c:crossBetween val="between"/>
      </c:valAx>
      <c:valAx>
        <c:axId val="12170953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96464"/>
        <c:crosses val="max"/>
        <c:crossBetween val="between"/>
      </c:valAx>
      <c:catAx>
        <c:axId val="1217096464"/>
        <c:scaling>
          <c:orientation val="minMax"/>
        </c:scaling>
        <c:delete val="1"/>
        <c:axPos val="b"/>
        <c:numFmt formatCode="0_ ;\-0\ " sourceLinked="1"/>
        <c:majorTickMark val="out"/>
        <c:minorTickMark val="none"/>
        <c:tickLblPos val="nextTo"/>
        <c:crossAx val="1217095376"/>
        <c:crosses val="autoZero"/>
        <c:auto val="1"/>
        <c:lblAlgn val="ctr"/>
        <c:lblOffset val="100"/>
        <c:noMultiLvlLbl val="0"/>
      </c:catAx>
      <c:spPr>
        <a:noFill/>
        <a:ln>
          <a:noFill/>
        </a:ln>
        <a:effectLst/>
      </c:spPr>
    </c:plotArea>
    <c:legend>
      <c:legendPos val="b"/>
      <c:layout>
        <c:manualLayout>
          <c:xMode val="edge"/>
          <c:yMode val="edge"/>
          <c:x val="3.8768481479961682E-2"/>
          <c:y val="0.92042452088557081"/>
          <c:w val="0.89999996462536136"/>
          <c:h val="5.8703330066467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Huntingdonshire </a:t>
            </a:r>
            <a:r>
              <a:rPr lang="en-GB" baseline="0"/>
              <a:t>-</a:t>
            </a:r>
            <a:r>
              <a:rPr lang="en-GB" sz="1400" b="0" i="0" u="none" strike="noStrike" kern="1200" spc="0" baseline="0">
                <a:solidFill>
                  <a:srgbClr val="000000">
                    <a:lumMod val="65000"/>
                    <a:lumOff val="35000"/>
                  </a:srgbClr>
                </a:solidFill>
                <a:latin typeface="+mn-lt"/>
                <a:ea typeface="+mn-ea"/>
                <a:cs typeface="+mn-cs"/>
              </a:rPr>
              <a:t> </a:t>
            </a:r>
            <a:r>
              <a:rPr lang="en-GB"/>
              <a:t>Components</a:t>
            </a:r>
            <a:r>
              <a:rPr lang="en-GB" baseline="0"/>
              <a:t> of Change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'Components of Change'!$D$2</c:f>
              <c:strCache>
                <c:ptCount val="1"/>
                <c:pt idx="0">
                  <c:v> Natural Change </c:v>
                </c:pt>
              </c:strCache>
            </c:strRef>
          </c:tx>
          <c:spPr>
            <a:solidFill>
              <a:schemeClr val="accent3"/>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Change'!$D$91:$D$108</c:f>
              <c:numCache>
                <c:formatCode>_-* #,##0_-;\-* #,##0_-;_-* "-"??_-;_-@_-</c:formatCode>
                <c:ptCount val="18"/>
                <c:pt idx="0">
                  <c:v>623</c:v>
                </c:pt>
                <c:pt idx="1">
                  <c:v>482</c:v>
                </c:pt>
                <c:pt idx="2">
                  <c:v>578</c:v>
                </c:pt>
                <c:pt idx="3">
                  <c:v>613</c:v>
                </c:pt>
                <c:pt idx="4">
                  <c:v>513</c:v>
                </c:pt>
                <c:pt idx="5">
                  <c:v>617</c:v>
                </c:pt>
                <c:pt idx="6">
                  <c:v>799</c:v>
                </c:pt>
                <c:pt idx="7">
                  <c:v>694</c:v>
                </c:pt>
                <c:pt idx="8">
                  <c:v>783</c:v>
                </c:pt>
                <c:pt idx="9">
                  <c:v>755</c:v>
                </c:pt>
                <c:pt idx="10">
                  <c:v>883</c:v>
                </c:pt>
                <c:pt idx="11">
                  <c:v>714</c:v>
                </c:pt>
                <c:pt idx="12">
                  <c:v>756</c:v>
                </c:pt>
                <c:pt idx="13">
                  <c:v>553</c:v>
                </c:pt>
                <c:pt idx="14">
                  <c:v>665</c:v>
                </c:pt>
                <c:pt idx="15">
                  <c:v>396</c:v>
                </c:pt>
                <c:pt idx="16">
                  <c:v>343</c:v>
                </c:pt>
                <c:pt idx="17">
                  <c:v>380</c:v>
                </c:pt>
              </c:numCache>
            </c:numRef>
          </c:val>
          <c:extLst>
            <c:ext xmlns:c16="http://schemas.microsoft.com/office/drawing/2014/chart" uri="{C3380CC4-5D6E-409C-BE32-E72D297353CC}">
              <c16:uniqueId val="{00000000-CB7E-41C0-AC14-1A304F7FE14B}"/>
            </c:ext>
          </c:extLst>
        </c:ser>
        <c:ser>
          <c:idx val="1"/>
          <c:order val="1"/>
          <c:tx>
            <c:strRef>
              <c:f>'Components of Change'!$E$2</c:f>
              <c:strCache>
                <c:ptCount val="1"/>
                <c:pt idx="0">
                  <c:v> Internal </c:v>
                </c:pt>
              </c:strCache>
            </c:strRef>
          </c:tx>
          <c:spPr>
            <a:solidFill>
              <a:schemeClr val="accent4"/>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Change'!$E$91:$E$108</c:f>
              <c:numCache>
                <c:formatCode>_-* #,##0_-;\-* #,##0_-;_-* "-"??_-;_-@_-</c:formatCode>
                <c:ptCount val="18"/>
                <c:pt idx="0">
                  <c:v>434</c:v>
                </c:pt>
                <c:pt idx="1">
                  <c:v>294</c:v>
                </c:pt>
                <c:pt idx="2">
                  <c:v>174</c:v>
                </c:pt>
                <c:pt idx="3">
                  <c:v>-60</c:v>
                </c:pt>
                <c:pt idx="4">
                  <c:v>343</c:v>
                </c:pt>
                <c:pt idx="5">
                  <c:v>-266</c:v>
                </c:pt>
                <c:pt idx="6">
                  <c:v>146</c:v>
                </c:pt>
                <c:pt idx="7">
                  <c:v>-353</c:v>
                </c:pt>
                <c:pt idx="8">
                  <c:v>441</c:v>
                </c:pt>
                <c:pt idx="9">
                  <c:v>576</c:v>
                </c:pt>
                <c:pt idx="10">
                  <c:v>401</c:v>
                </c:pt>
                <c:pt idx="11">
                  <c:v>469</c:v>
                </c:pt>
                <c:pt idx="12">
                  <c:v>639</c:v>
                </c:pt>
                <c:pt idx="13">
                  <c:v>-60</c:v>
                </c:pt>
                <c:pt idx="14">
                  <c:v>-30</c:v>
                </c:pt>
                <c:pt idx="15">
                  <c:v>373</c:v>
                </c:pt>
                <c:pt idx="16">
                  <c:v>218</c:v>
                </c:pt>
                <c:pt idx="17">
                  <c:v>334</c:v>
                </c:pt>
              </c:numCache>
            </c:numRef>
          </c:val>
          <c:extLst>
            <c:ext xmlns:c16="http://schemas.microsoft.com/office/drawing/2014/chart" uri="{C3380CC4-5D6E-409C-BE32-E72D297353CC}">
              <c16:uniqueId val="{00000001-CB7E-41C0-AC14-1A304F7FE14B}"/>
            </c:ext>
          </c:extLst>
        </c:ser>
        <c:ser>
          <c:idx val="6"/>
          <c:order val="2"/>
          <c:tx>
            <c:strRef>
              <c:f>'Components of Change'!$F$2</c:f>
              <c:strCache>
                <c:ptCount val="1"/>
                <c:pt idx="0">
                  <c:v> International  </c:v>
                </c:pt>
              </c:strCache>
            </c:strRef>
          </c:tx>
          <c:spPr>
            <a:solidFill>
              <a:srgbClr val="00B05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Change'!$F$91:$F$108</c:f>
              <c:numCache>
                <c:formatCode>_-* #,##0_-;\-* #,##0_-;_-* "-"??_-;_-@_-</c:formatCode>
                <c:ptCount val="18"/>
                <c:pt idx="0">
                  <c:v>207</c:v>
                </c:pt>
                <c:pt idx="1">
                  <c:v>344</c:v>
                </c:pt>
                <c:pt idx="2">
                  <c:v>307</c:v>
                </c:pt>
                <c:pt idx="3">
                  <c:v>615</c:v>
                </c:pt>
                <c:pt idx="4">
                  <c:v>306</c:v>
                </c:pt>
                <c:pt idx="5">
                  <c:v>604</c:v>
                </c:pt>
                <c:pt idx="6">
                  <c:v>381</c:v>
                </c:pt>
                <c:pt idx="7">
                  <c:v>382</c:v>
                </c:pt>
                <c:pt idx="8">
                  <c:v>422</c:v>
                </c:pt>
                <c:pt idx="9">
                  <c:v>276</c:v>
                </c:pt>
                <c:pt idx="10">
                  <c:v>-76</c:v>
                </c:pt>
                <c:pt idx="11">
                  <c:v>44</c:v>
                </c:pt>
                <c:pt idx="12">
                  <c:v>337</c:v>
                </c:pt>
                <c:pt idx="13">
                  <c:v>345</c:v>
                </c:pt>
                <c:pt idx="14">
                  <c:v>177</c:v>
                </c:pt>
                <c:pt idx="15">
                  <c:v>-23</c:v>
                </c:pt>
                <c:pt idx="16">
                  <c:v>-317</c:v>
                </c:pt>
                <c:pt idx="17">
                  <c:v>-230</c:v>
                </c:pt>
              </c:numCache>
            </c:numRef>
          </c:val>
          <c:extLst>
            <c:ext xmlns:c16="http://schemas.microsoft.com/office/drawing/2014/chart" uri="{C3380CC4-5D6E-409C-BE32-E72D297353CC}">
              <c16:uniqueId val="{00000002-CB7E-41C0-AC14-1A304F7FE14B}"/>
            </c:ext>
          </c:extLst>
        </c:ser>
        <c:ser>
          <c:idx val="8"/>
          <c:order val="3"/>
          <c:tx>
            <c:strRef>
              <c:f>'Components of Change'!$G$2</c:f>
              <c:strCache>
                <c:ptCount val="1"/>
                <c:pt idx="0">
                  <c:v> Other  </c:v>
                </c:pt>
              </c:strCache>
            </c:strRef>
          </c:tx>
          <c:spPr>
            <a:solidFill>
              <a:schemeClr val="accent2"/>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Change'!$G$91:$G$108</c:f>
              <c:numCache>
                <c:formatCode>_-* #,##0_-;\-* #,##0_-;_-* "-"??_-;_-@_-</c:formatCode>
                <c:ptCount val="18"/>
                <c:pt idx="0">
                  <c:v>23</c:v>
                </c:pt>
                <c:pt idx="1">
                  <c:v>30</c:v>
                </c:pt>
                <c:pt idx="2">
                  <c:v>1969</c:v>
                </c:pt>
                <c:pt idx="3">
                  <c:v>-1000</c:v>
                </c:pt>
                <c:pt idx="4">
                  <c:v>-88</c:v>
                </c:pt>
                <c:pt idx="5">
                  <c:v>-87</c:v>
                </c:pt>
                <c:pt idx="6">
                  <c:v>256</c:v>
                </c:pt>
                <c:pt idx="7">
                  <c:v>-17</c:v>
                </c:pt>
                <c:pt idx="8">
                  <c:v>-346</c:v>
                </c:pt>
                <c:pt idx="9">
                  <c:v>80</c:v>
                </c:pt>
                <c:pt idx="10">
                  <c:v>-41</c:v>
                </c:pt>
                <c:pt idx="11">
                  <c:v>-286</c:v>
                </c:pt>
                <c:pt idx="12">
                  <c:v>4</c:v>
                </c:pt>
                <c:pt idx="13">
                  <c:v>613</c:v>
                </c:pt>
                <c:pt idx="14">
                  <c:v>-51</c:v>
                </c:pt>
                <c:pt idx="15">
                  <c:v>138</c:v>
                </c:pt>
                <c:pt idx="16">
                  <c:v>129</c:v>
                </c:pt>
                <c:pt idx="17">
                  <c:v>127</c:v>
                </c:pt>
              </c:numCache>
            </c:numRef>
          </c:val>
          <c:extLst>
            <c:ext xmlns:c16="http://schemas.microsoft.com/office/drawing/2014/chart" uri="{C3380CC4-5D6E-409C-BE32-E72D297353CC}">
              <c16:uniqueId val="{00000003-CB7E-41C0-AC14-1A304F7FE14B}"/>
            </c:ext>
          </c:extLst>
        </c:ser>
        <c:dLbls>
          <c:showLegendKey val="0"/>
          <c:showVal val="0"/>
          <c:showCatName val="0"/>
          <c:showSerName val="0"/>
          <c:showPercent val="0"/>
          <c:showBubbleSize val="0"/>
        </c:dLbls>
        <c:gapWidth val="219"/>
        <c:overlap val="-27"/>
        <c:axId val="1217087216"/>
        <c:axId val="1217086672"/>
      </c:barChart>
      <c:lineChart>
        <c:grouping val="standard"/>
        <c:varyColors val="0"/>
        <c:ser>
          <c:idx val="9"/>
          <c:order val="4"/>
          <c:tx>
            <c:strRef>
              <c:f>'Components of Change'!$I$2</c:f>
              <c:strCache>
                <c:ptCount val="1"/>
                <c:pt idx="0">
                  <c:v> Population Change </c:v>
                </c:pt>
              </c:strCache>
            </c:strRef>
          </c:tx>
          <c:spPr>
            <a:ln w="28575" cap="rnd" cmpd="sng" algn="ctr">
              <a:solidFill>
                <a:schemeClr val="accent2">
                  <a:lumMod val="50000"/>
                </a:schemeClr>
              </a:solidFill>
              <a:prstDash val="solid"/>
              <a:round/>
            </a:ln>
            <a:effectLst/>
          </c:spPr>
          <c:marker>
            <c:symbol val="none"/>
          </c:marker>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Change'!$I$91:$I$108</c:f>
              <c:numCache>
                <c:formatCode>_-* #,##0_-;\-* #,##0_-;_-* "-"??_-;_-@_-</c:formatCode>
                <c:ptCount val="18"/>
                <c:pt idx="0">
                  <c:v>1287</c:v>
                </c:pt>
                <c:pt idx="1">
                  <c:v>1150</c:v>
                </c:pt>
                <c:pt idx="2">
                  <c:v>3028</c:v>
                </c:pt>
                <c:pt idx="3">
                  <c:v>168</c:v>
                </c:pt>
                <c:pt idx="4">
                  <c:v>1074</c:v>
                </c:pt>
                <c:pt idx="5">
                  <c:v>868</c:v>
                </c:pt>
                <c:pt idx="6">
                  <c:v>1582</c:v>
                </c:pt>
                <c:pt idx="7">
                  <c:v>706</c:v>
                </c:pt>
                <c:pt idx="8">
                  <c:v>1300</c:v>
                </c:pt>
                <c:pt idx="9">
                  <c:v>1687</c:v>
                </c:pt>
                <c:pt idx="10">
                  <c:v>1167</c:v>
                </c:pt>
                <c:pt idx="11">
                  <c:v>941</c:v>
                </c:pt>
                <c:pt idx="12">
                  <c:v>1736</c:v>
                </c:pt>
                <c:pt idx="13">
                  <c:v>1451</c:v>
                </c:pt>
                <c:pt idx="14">
                  <c:v>761</c:v>
                </c:pt>
                <c:pt idx="15">
                  <c:v>884</c:v>
                </c:pt>
                <c:pt idx="16">
                  <c:v>373</c:v>
                </c:pt>
                <c:pt idx="17">
                  <c:v>611</c:v>
                </c:pt>
              </c:numCache>
            </c:numRef>
          </c:val>
          <c:smooth val="0"/>
          <c:extLst>
            <c:ext xmlns:c16="http://schemas.microsoft.com/office/drawing/2014/chart" uri="{C3380CC4-5D6E-409C-BE32-E72D297353CC}">
              <c16:uniqueId val="{00000004-CB7E-41C0-AC14-1A304F7FE14B}"/>
            </c:ext>
          </c:extLst>
        </c:ser>
        <c:dLbls>
          <c:showLegendKey val="0"/>
          <c:showVal val="0"/>
          <c:showCatName val="0"/>
          <c:showSerName val="0"/>
          <c:showPercent val="0"/>
          <c:showBubbleSize val="0"/>
        </c:dLbls>
        <c:marker val="1"/>
        <c:smooth val="0"/>
        <c:axId val="1217113328"/>
        <c:axId val="1217117136"/>
      </c:lineChart>
      <c:catAx>
        <c:axId val="1217087216"/>
        <c:scaling>
          <c:orientation val="minMax"/>
        </c:scaling>
        <c:delete val="0"/>
        <c:axPos val="b"/>
        <c:numFmt formatCode="0_ ;\-0\ "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6672"/>
        <c:crosses val="autoZero"/>
        <c:auto val="1"/>
        <c:lblAlgn val="ctr"/>
        <c:lblOffset val="100"/>
        <c:noMultiLvlLbl val="0"/>
      </c:catAx>
      <c:valAx>
        <c:axId val="12170866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Component</a:t>
                </a:r>
                <a:r>
                  <a:rPr lang="en-GB" baseline="0"/>
                  <a:t> </a:t>
                </a:r>
                <a:r>
                  <a:rPr lang="en-GB"/>
                  <a:t>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7216"/>
        <c:crosses val="autoZero"/>
        <c:crossBetween val="between"/>
      </c:valAx>
      <c:valAx>
        <c:axId val="1217117136"/>
        <c:scaling>
          <c:orientation val="minMax"/>
        </c:scaling>
        <c:delete val="0"/>
        <c:axPos val="r"/>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17113328"/>
        <c:crosses val="max"/>
        <c:crossBetween val="between"/>
      </c:valAx>
      <c:catAx>
        <c:axId val="1217113328"/>
        <c:scaling>
          <c:orientation val="minMax"/>
        </c:scaling>
        <c:delete val="1"/>
        <c:axPos val="b"/>
        <c:numFmt formatCode="0_ ;\-0\ " sourceLinked="1"/>
        <c:majorTickMark val="out"/>
        <c:minorTickMark val="none"/>
        <c:tickLblPos val="nextTo"/>
        <c:crossAx val="1217117136"/>
        <c:crosses val="autoZero"/>
        <c:auto val="1"/>
        <c:lblAlgn val="ctr"/>
        <c:lblOffset val="100"/>
        <c:noMultiLvlLbl val="0"/>
      </c:catAx>
      <c:spPr>
        <a:solidFill>
          <a:schemeClr val="bg1"/>
        </a:solidFill>
        <a:ln>
          <a:noFill/>
        </a:ln>
        <a:effectLst/>
      </c:spPr>
    </c:plotArea>
    <c:legend>
      <c:legendPos val="b"/>
      <c:layout>
        <c:manualLayout>
          <c:xMode val="edge"/>
          <c:yMode val="edge"/>
          <c:x val="3.8768481479961682E-2"/>
          <c:y val="0.92042452088557081"/>
          <c:w val="0.89999996462536136"/>
          <c:h val="5.8703330066467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South Cambridgeshire </a:t>
            </a:r>
            <a:r>
              <a:rPr lang="en-GB" baseline="0"/>
              <a:t>-</a:t>
            </a:r>
            <a:r>
              <a:rPr lang="en-GB" sz="1400" b="0" i="0" u="none" strike="noStrike" kern="1200" spc="0" baseline="0">
                <a:solidFill>
                  <a:srgbClr val="000000">
                    <a:lumMod val="65000"/>
                    <a:lumOff val="35000"/>
                  </a:srgbClr>
                </a:solidFill>
                <a:latin typeface="+mn-lt"/>
                <a:ea typeface="+mn-ea"/>
                <a:cs typeface="+mn-cs"/>
              </a:rPr>
              <a:t> </a:t>
            </a:r>
            <a:r>
              <a:rPr lang="en-GB"/>
              <a:t>Components</a:t>
            </a:r>
            <a:r>
              <a:rPr lang="en-GB" baseline="0"/>
              <a:t> of Change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'Components of Change'!$D$2</c:f>
              <c:strCache>
                <c:ptCount val="1"/>
                <c:pt idx="0">
                  <c:v> Natural Change </c:v>
                </c:pt>
              </c:strCache>
            </c:strRef>
          </c:tx>
          <c:spPr>
            <a:solidFill>
              <a:schemeClr val="accent3"/>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Change'!$D$120:$D$137</c:f>
              <c:numCache>
                <c:formatCode>_-* #,##0_-;\-* #,##0_-;_-* "-"??_-;_-@_-</c:formatCode>
                <c:ptCount val="18"/>
                <c:pt idx="0">
                  <c:v>372</c:v>
                </c:pt>
                <c:pt idx="1">
                  <c:v>409</c:v>
                </c:pt>
                <c:pt idx="2">
                  <c:v>507</c:v>
                </c:pt>
                <c:pt idx="3">
                  <c:v>493</c:v>
                </c:pt>
                <c:pt idx="4">
                  <c:v>512</c:v>
                </c:pt>
                <c:pt idx="5">
                  <c:v>670</c:v>
                </c:pt>
                <c:pt idx="6">
                  <c:v>748</c:v>
                </c:pt>
                <c:pt idx="7">
                  <c:v>710</c:v>
                </c:pt>
                <c:pt idx="8">
                  <c:v>716</c:v>
                </c:pt>
                <c:pt idx="9">
                  <c:v>780</c:v>
                </c:pt>
                <c:pt idx="10">
                  <c:v>807</c:v>
                </c:pt>
                <c:pt idx="11">
                  <c:v>666</c:v>
                </c:pt>
                <c:pt idx="12">
                  <c:v>610</c:v>
                </c:pt>
                <c:pt idx="13">
                  <c:v>484</c:v>
                </c:pt>
                <c:pt idx="14">
                  <c:v>693</c:v>
                </c:pt>
                <c:pt idx="15">
                  <c:v>436</c:v>
                </c:pt>
                <c:pt idx="16">
                  <c:v>418</c:v>
                </c:pt>
                <c:pt idx="17">
                  <c:v>406</c:v>
                </c:pt>
              </c:numCache>
            </c:numRef>
          </c:val>
          <c:extLst>
            <c:ext xmlns:c16="http://schemas.microsoft.com/office/drawing/2014/chart" uri="{C3380CC4-5D6E-409C-BE32-E72D297353CC}">
              <c16:uniqueId val="{00000000-FA95-4408-8B95-3127F17CB38F}"/>
            </c:ext>
          </c:extLst>
        </c:ser>
        <c:ser>
          <c:idx val="1"/>
          <c:order val="1"/>
          <c:tx>
            <c:strRef>
              <c:f>'Components of Change'!$E$2</c:f>
              <c:strCache>
                <c:ptCount val="1"/>
                <c:pt idx="0">
                  <c:v> Internal </c:v>
                </c:pt>
              </c:strCache>
            </c:strRef>
          </c:tx>
          <c:spPr>
            <a:solidFill>
              <a:schemeClr val="accent4"/>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Change'!$E$120:$E$137</c:f>
              <c:numCache>
                <c:formatCode>_-* #,##0_-;\-* #,##0_-;_-* "-"??_-;_-@_-</c:formatCode>
                <c:ptCount val="18"/>
                <c:pt idx="0">
                  <c:v>711</c:v>
                </c:pt>
                <c:pt idx="1">
                  <c:v>1167</c:v>
                </c:pt>
                <c:pt idx="2">
                  <c:v>919</c:v>
                </c:pt>
                <c:pt idx="3">
                  <c:v>627</c:v>
                </c:pt>
                <c:pt idx="4">
                  <c:v>634</c:v>
                </c:pt>
                <c:pt idx="5">
                  <c:v>1248</c:v>
                </c:pt>
                <c:pt idx="6">
                  <c:v>1232</c:v>
                </c:pt>
                <c:pt idx="7">
                  <c:v>1387</c:v>
                </c:pt>
                <c:pt idx="8">
                  <c:v>1039</c:v>
                </c:pt>
                <c:pt idx="9">
                  <c:v>846</c:v>
                </c:pt>
                <c:pt idx="10">
                  <c:v>313</c:v>
                </c:pt>
                <c:pt idx="11">
                  <c:v>485</c:v>
                </c:pt>
                <c:pt idx="12">
                  <c:v>635</c:v>
                </c:pt>
                <c:pt idx="13">
                  <c:v>525</c:v>
                </c:pt>
                <c:pt idx="14">
                  <c:v>531</c:v>
                </c:pt>
                <c:pt idx="15">
                  <c:v>62</c:v>
                </c:pt>
                <c:pt idx="16">
                  <c:v>116</c:v>
                </c:pt>
                <c:pt idx="17">
                  <c:v>922</c:v>
                </c:pt>
              </c:numCache>
            </c:numRef>
          </c:val>
          <c:extLst>
            <c:ext xmlns:c16="http://schemas.microsoft.com/office/drawing/2014/chart" uri="{C3380CC4-5D6E-409C-BE32-E72D297353CC}">
              <c16:uniqueId val="{00000001-FA95-4408-8B95-3127F17CB38F}"/>
            </c:ext>
          </c:extLst>
        </c:ser>
        <c:ser>
          <c:idx val="6"/>
          <c:order val="2"/>
          <c:tx>
            <c:strRef>
              <c:f>'Components of Change'!$F$2</c:f>
              <c:strCache>
                <c:ptCount val="1"/>
                <c:pt idx="0">
                  <c:v> International  </c:v>
                </c:pt>
              </c:strCache>
            </c:strRef>
          </c:tx>
          <c:spPr>
            <a:solidFill>
              <a:srgbClr val="00B05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Change'!$F$120:$F$137</c:f>
              <c:numCache>
                <c:formatCode>_-* #,##0_-;\-* #,##0_-;_-* "-"??_-;_-@_-</c:formatCode>
                <c:ptCount val="18"/>
                <c:pt idx="0">
                  <c:v>399</c:v>
                </c:pt>
                <c:pt idx="1">
                  <c:v>549</c:v>
                </c:pt>
                <c:pt idx="2">
                  <c:v>243</c:v>
                </c:pt>
                <c:pt idx="3">
                  <c:v>639</c:v>
                </c:pt>
                <c:pt idx="4">
                  <c:v>775</c:v>
                </c:pt>
                <c:pt idx="5">
                  <c:v>425</c:v>
                </c:pt>
                <c:pt idx="6">
                  <c:v>218</c:v>
                </c:pt>
                <c:pt idx="7">
                  <c:v>105</c:v>
                </c:pt>
                <c:pt idx="8">
                  <c:v>593</c:v>
                </c:pt>
                <c:pt idx="9">
                  <c:v>471</c:v>
                </c:pt>
                <c:pt idx="10">
                  <c:v>143</c:v>
                </c:pt>
                <c:pt idx="11">
                  <c:v>81</c:v>
                </c:pt>
                <c:pt idx="12">
                  <c:v>457</c:v>
                </c:pt>
                <c:pt idx="13">
                  <c:v>507</c:v>
                </c:pt>
                <c:pt idx="14">
                  <c:v>284</c:v>
                </c:pt>
                <c:pt idx="15">
                  <c:v>141</c:v>
                </c:pt>
                <c:pt idx="16">
                  <c:v>266</c:v>
                </c:pt>
                <c:pt idx="17">
                  <c:v>161</c:v>
                </c:pt>
              </c:numCache>
            </c:numRef>
          </c:val>
          <c:extLst>
            <c:ext xmlns:c16="http://schemas.microsoft.com/office/drawing/2014/chart" uri="{C3380CC4-5D6E-409C-BE32-E72D297353CC}">
              <c16:uniqueId val="{00000002-FA95-4408-8B95-3127F17CB38F}"/>
            </c:ext>
          </c:extLst>
        </c:ser>
        <c:ser>
          <c:idx val="8"/>
          <c:order val="3"/>
          <c:tx>
            <c:strRef>
              <c:f>'Components of Change'!$G$2</c:f>
              <c:strCache>
                <c:ptCount val="1"/>
                <c:pt idx="0">
                  <c:v> Other  </c:v>
                </c:pt>
              </c:strCache>
            </c:strRef>
          </c:tx>
          <c:spPr>
            <a:solidFill>
              <a:schemeClr val="accent2"/>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Change'!$G$120:$G$137</c:f>
              <c:numCache>
                <c:formatCode>_-* #,##0_-;\-* #,##0_-;_-* "-"??_-;_-@_-</c:formatCode>
                <c:ptCount val="18"/>
                <c:pt idx="0">
                  <c:v>-65</c:v>
                </c:pt>
                <c:pt idx="1">
                  <c:v>39</c:v>
                </c:pt>
                <c:pt idx="2">
                  <c:v>-81</c:v>
                </c:pt>
                <c:pt idx="3">
                  <c:v>16</c:v>
                </c:pt>
                <c:pt idx="4">
                  <c:v>-77</c:v>
                </c:pt>
                <c:pt idx="5">
                  <c:v>-123</c:v>
                </c:pt>
                <c:pt idx="6">
                  <c:v>-91</c:v>
                </c:pt>
                <c:pt idx="7">
                  <c:v>-114</c:v>
                </c:pt>
                <c:pt idx="8">
                  <c:v>-137</c:v>
                </c:pt>
                <c:pt idx="9">
                  <c:v>-145</c:v>
                </c:pt>
                <c:pt idx="10">
                  <c:v>-199</c:v>
                </c:pt>
                <c:pt idx="11">
                  <c:v>-950</c:v>
                </c:pt>
                <c:pt idx="12">
                  <c:v>42</c:v>
                </c:pt>
                <c:pt idx="13">
                  <c:v>40</c:v>
                </c:pt>
                <c:pt idx="14">
                  <c:v>24</c:v>
                </c:pt>
                <c:pt idx="15">
                  <c:v>46</c:v>
                </c:pt>
                <c:pt idx="16">
                  <c:v>14</c:v>
                </c:pt>
                <c:pt idx="17">
                  <c:v>78</c:v>
                </c:pt>
              </c:numCache>
            </c:numRef>
          </c:val>
          <c:extLst>
            <c:ext xmlns:c16="http://schemas.microsoft.com/office/drawing/2014/chart" uri="{C3380CC4-5D6E-409C-BE32-E72D297353CC}">
              <c16:uniqueId val="{00000003-FA95-4408-8B95-3127F17CB38F}"/>
            </c:ext>
          </c:extLst>
        </c:ser>
        <c:dLbls>
          <c:showLegendKey val="0"/>
          <c:showVal val="0"/>
          <c:showCatName val="0"/>
          <c:showSerName val="0"/>
          <c:showPercent val="0"/>
          <c:showBubbleSize val="0"/>
        </c:dLbls>
        <c:gapWidth val="219"/>
        <c:overlap val="-27"/>
        <c:axId val="1217097008"/>
        <c:axId val="1217097552"/>
      </c:barChart>
      <c:lineChart>
        <c:grouping val="standard"/>
        <c:varyColors val="0"/>
        <c:ser>
          <c:idx val="9"/>
          <c:order val="4"/>
          <c:tx>
            <c:strRef>
              <c:f>'Components of Change'!$I$2</c:f>
              <c:strCache>
                <c:ptCount val="1"/>
                <c:pt idx="0">
                  <c:v> Population Change </c:v>
                </c:pt>
              </c:strCache>
            </c:strRef>
          </c:tx>
          <c:spPr>
            <a:ln w="28575" cap="rnd" cmpd="sng" algn="ctr">
              <a:solidFill>
                <a:schemeClr val="accent2">
                  <a:lumMod val="50000"/>
                </a:schemeClr>
              </a:solidFill>
              <a:prstDash val="solid"/>
              <a:round/>
            </a:ln>
            <a:effectLst/>
          </c:spPr>
          <c:marker>
            <c:symbol val="none"/>
          </c:marker>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Change'!$I$120:$I$137</c:f>
              <c:numCache>
                <c:formatCode>_-* #,##0_-;\-* #,##0_-;_-* "-"??_-;_-@_-</c:formatCode>
                <c:ptCount val="18"/>
                <c:pt idx="0">
                  <c:v>1417</c:v>
                </c:pt>
                <c:pt idx="1">
                  <c:v>2164</c:v>
                </c:pt>
                <c:pt idx="2">
                  <c:v>1588</c:v>
                </c:pt>
                <c:pt idx="3">
                  <c:v>1775</c:v>
                </c:pt>
                <c:pt idx="4">
                  <c:v>1844</c:v>
                </c:pt>
                <c:pt idx="5">
                  <c:v>2220</c:v>
                </c:pt>
                <c:pt idx="6">
                  <c:v>2107</c:v>
                </c:pt>
                <c:pt idx="7">
                  <c:v>2088</c:v>
                </c:pt>
                <c:pt idx="8">
                  <c:v>2211</c:v>
                </c:pt>
                <c:pt idx="9">
                  <c:v>1952</c:v>
                </c:pt>
                <c:pt idx="10">
                  <c:v>1064</c:v>
                </c:pt>
                <c:pt idx="11">
                  <c:v>282</c:v>
                </c:pt>
                <c:pt idx="12">
                  <c:v>1744</c:v>
                </c:pt>
                <c:pt idx="13">
                  <c:v>1556</c:v>
                </c:pt>
                <c:pt idx="14">
                  <c:v>1532</c:v>
                </c:pt>
                <c:pt idx="15">
                  <c:v>685</c:v>
                </c:pt>
                <c:pt idx="16">
                  <c:v>814</c:v>
                </c:pt>
                <c:pt idx="17">
                  <c:v>1567</c:v>
                </c:pt>
              </c:numCache>
            </c:numRef>
          </c:val>
          <c:smooth val="0"/>
          <c:extLst>
            <c:ext xmlns:c16="http://schemas.microsoft.com/office/drawing/2014/chart" uri="{C3380CC4-5D6E-409C-BE32-E72D297353CC}">
              <c16:uniqueId val="{00000004-FA95-4408-8B95-3127F17CB38F}"/>
            </c:ext>
          </c:extLst>
        </c:ser>
        <c:dLbls>
          <c:showLegendKey val="0"/>
          <c:showVal val="0"/>
          <c:showCatName val="0"/>
          <c:showSerName val="0"/>
          <c:showPercent val="0"/>
          <c:showBubbleSize val="0"/>
        </c:dLbls>
        <c:marker val="1"/>
        <c:smooth val="0"/>
        <c:axId val="1217088304"/>
        <c:axId val="1217111696"/>
      </c:lineChart>
      <c:catAx>
        <c:axId val="1217097008"/>
        <c:scaling>
          <c:orientation val="minMax"/>
        </c:scaling>
        <c:delete val="0"/>
        <c:axPos val="b"/>
        <c:numFmt formatCode="0_ ;\-0\ "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97552"/>
        <c:crosses val="autoZero"/>
        <c:auto val="1"/>
        <c:lblAlgn val="ctr"/>
        <c:lblOffset val="100"/>
        <c:noMultiLvlLbl val="0"/>
      </c:catAx>
      <c:valAx>
        <c:axId val="121709755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Component</a:t>
                </a:r>
                <a:r>
                  <a:rPr lang="en-GB" baseline="0"/>
                  <a:t> </a:t>
                </a:r>
                <a:r>
                  <a:rPr lang="en-GB"/>
                  <a:t>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97008"/>
        <c:crosses val="autoZero"/>
        <c:crossBetween val="between"/>
      </c:valAx>
      <c:valAx>
        <c:axId val="1217111696"/>
        <c:scaling>
          <c:orientation val="minMax"/>
        </c:scaling>
        <c:delete val="0"/>
        <c:axPos val="r"/>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17088304"/>
        <c:crosses val="max"/>
        <c:crossBetween val="between"/>
      </c:valAx>
      <c:catAx>
        <c:axId val="1217088304"/>
        <c:scaling>
          <c:orientation val="minMax"/>
        </c:scaling>
        <c:delete val="1"/>
        <c:axPos val="b"/>
        <c:numFmt formatCode="0_ ;\-0\ " sourceLinked="1"/>
        <c:majorTickMark val="out"/>
        <c:minorTickMark val="none"/>
        <c:tickLblPos val="nextTo"/>
        <c:crossAx val="1217111696"/>
        <c:crosses val="autoZero"/>
        <c:auto val="1"/>
        <c:lblAlgn val="ctr"/>
        <c:lblOffset val="100"/>
        <c:noMultiLvlLbl val="0"/>
      </c:catAx>
      <c:spPr>
        <a:solidFill>
          <a:schemeClr val="bg1"/>
        </a:solidFill>
        <a:ln>
          <a:noFill/>
        </a:ln>
        <a:effectLst/>
      </c:spPr>
    </c:plotArea>
    <c:legend>
      <c:legendPos val="b"/>
      <c:layout>
        <c:manualLayout>
          <c:xMode val="edge"/>
          <c:yMode val="edge"/>
          <c:x val="3.8768481479961682E-2"/>
          <c:y val="0.92042452088557081"/>
          <c:w val="0.89999996462536136"/>
          <c:h val="5.87033300664676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West Suffolk -</a:t>
            </a:r>
            <a:r>
              <a:rPr lang="en-GB" sz="1400" b="0" i="0" u="none" strike="noStrike" kern="1200" spc="0" baseline="0">
                <a:solidFill>
                  <a:srgbClr val="000000">
                    <a:lumMod val="65000"/>
                    <a:lumOff val="35000"/>
                  </a:srgbClr>
                </a:solidFill>
                <a:latin typeface="+mn-lt"/>
                <a:ea typeface="+mn-ea"/>
                <a:cs typeface="+mn-cs"/>
              </a:rPr>
              <a:t> </a:t>
            </a:r>
            <a:r>
              <a:rPr lang="en-GB"/>
              <a:t>Components</a:t>
            </a:r>
            <a:r>
              <a:rPr lang="en-GB" baseline="0"/>
              <a:t> of Change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'Components of Change'!$D$2</c:f>
              <c:strCache>
                <c:ptCount val="1"/>
                <c:pt idx="0">
                  <c:v> Natural Change </c:v>
                </c:pt>
              </c:strCache>
            </c:strRef>
          </c:tx>
          <c:spPr>
            <a:solidFill>
              <a:schemeClr val="accent3"/>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Change'!$D$149:$D$166</c:f>
              <c:numCache>
                <c:formatCode>_-* #,##0_-;\-* #,##0_-;_-* "-"??_-;_-@_-</c:formatCode>
                <c:ptCount val="18"/>
                <c:pt idx="0">
                  <c:v>369</c:v>
                </c:pt>
                <c:pt idx="1">
                  <c:v>385</c:v>
                </c:pt>
                <c:pt idx="2">
                  <c:v>482</c:v>
                </c:pt>
                <c:pt idx="3">
                  <c:v>483</c:v>
                </c:pt>
                <c:pt idx="4">
                  <c:v>579</c:v>
                </c:pt>
                <c:pt idx="5">
                  <c:v>664</c:v>
                </c:pt>
                <c:pt idx="6">
                  <c:v>712</c:v>
                </c:pt>
                <c:pt idx="7">
                  <c:v>745</c:v>
                </c:pt>
                <c:pt idx="8">
                  <c:v>698</c:v>
                </c:pt>
                <c:pt idx="9">
                  <c:v>886</c:v>
                </c:pt>
                <c:pt idx="10">
                  <c:v>805</c:v>
                </c:pt>
                <c:pt idx="11">
                  <c:v>687</c:v>
                </c:pt>
                <c:pt idx="12">
                  <c:v>666</c:v>
                </c:pt>
                <c:pt idx="13">
                  <c:v>537</c:v>
                </c:pt>
                <c:pt idx="14">
                  <c:v>679</c:v>
                </c:pt>
                <c:pt idx="15">
                  <c:v>466</c:v>
                </c:pt>
                <c:pt idx="16">
                  <c:v>373</c:v>
                </c:pt>
                <c:pt idx="17">
                  <c:v>427</c:v>
                </c:pt>
              </c:numCache>
            </c:numRef>
          </c:val>
          <c:extLst>
            <c:ext xmlns:c16="http://schemas.microsoft.com/office/drawing/2014/chart" uri="{C3380CC4-5D6E-409C-BE32-E72D297353CC}">
              <c16:uniqueId val="{00000000-2AF5-47C9-B3C7-51D9B41BF7FF}"/>
            </c:ext>
          </c:extLst>
        </c:ser>
        <c:ser>
          <c:idx val="3"/>
          <c:order val="1"/>
          <c:tx>
            <c:strRef>
              <c:f>'Components of Change'!$E$2</c:f>
              <c:strCache>
                <c:ptCount val="1"/>
                <c:pt idx="0">
                  <c:v> Internal </c:v>
                </c:pt>
              </c:strCache>
            </c:strRef>
          </c:tx>
          <c:spPr>
            <a:solidFill>
              <a:schemeClr val="accent4"/>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Change'!$E$149:$E$166</c:f>
              <c:numCache>
                <c:formatCode>_-* #,##0_-;\-* #,##0_-;_-* "-"??_-;_-@_-</c:formatCode>
                <c:ptCount val="18"/>
                <c:pt idx="0">
                  <c:v>567</c:v>
                </c:pt>
                <c:pt idx="1">
                  <c:v>42</c:v>
                </c:pt>
                <c:pt idx="2">
                  <c:v>744</c:v>
                </c:pt>
                <c:pt idx="3">
                  <c:v>584</c:v>
                </c:pt>
                <c:pt idx="4">
                  <c:v>862</c:v>
                </c:pt>
                <c:pt idx="5">
                  <c:v>750</c:v>
                </c:pt>
                <c:pt idx="6">
                  <c:v>950</c:v>
                </c:pt>
                <c:pt idx="7">
                  <c:v>568</c:v>
                </c:pt>
                <c:pt idx="8">
                  <c:v>1378</c:v>
                </c:pt>
                <c:pt idx="9">
                  <c:v>1130</c:v>
                </c:pt>
                <c:pt idx="10">
                  <c:v>538</c:v>
                </c:pt>
                <c:pt idx="11">
                  <c:v>1098</c:v>
                </c:pt>
                <c:pt idx="12">
                  <c:v>243</c:v>
                </c:pt>
                <c:pt idx="13">
                  <c:v>836</c:v>
                </c:pt>
                <c:pt idx="14">
                  <c:v>1063</c:v>
                </c:pt>
                <c:pt idx="15">
                  <c:v>704</c:v>
                </c:pt>
                <c:pt idx="16">
                  <c:v>308</c:v>
                </c:pt>
                <c:pt idx="17">
                  <c:v>620</c:v>
                </c:pt>
              </c:numCache>
            </c:numRef>
          </c:val>
          <c:extLst>
            <c:ext xmlns:c16="http://schemas.microsoft.com/office/drawing/2014/chart" uri="{C3380CC4-5D6E-409C-BE32-E72D297353CC}">
              <c16:uniqueId val="{00000001-2AF5-47C9-B3C7-51D9B41BF7FF}"/>
            </c:ext>
          </c:extLst>
        </c:ser>
        <c:ser>
          <c:idx val="4"/>
          <c:order val="2"/>
          <c:tx>
            <c:strRef>
              <c:f>'Components of Change'!$F$2</c:f>
              <c:strCache>
                <c:ptCount val="1"/>
                <c:pt idx="0">
                  <c:v> International  </c:v>
                </c:pt>
              </c:strCache>
            </c:strRef>
          </c:tx>
          <c:spPr>
            <a:solidFill>
              <a:srgbClr val="00B050"/>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Change'!$F$149:$F$166</c:f>
              <c:numCache>
                <c:formatCode>_-* #,##0_-;\-* #,##0_-;_-* "-"??_-;_-@_-</c:formatCode>
                <c:ptCount val="18"/>
                <c:pt idx="0">
                  <c:v>393</c:v>
                </c:pt>
                <c:pt idx="1">
                  <c:v>720</c:v>
                </c:pt>
                <c:pt idx="2">
                  <c:v>-217</c:v>
                </c:pt>
                <c:pt idx="3">
                  <c:v>194</c:v>
                </c:pt>
                <c:pt idx="4">
                  <c:v>-205</c:v>
                </c:pt>
                <c:pt idx="5">
                  <c:v>-286</c:v>
                </c:pt>
                <c:pt idx="6">
                  <c:v>-9</c:v>
                </c:pt>
                <c:pt idx="7">
                  <c:v>-373</c:v>
                </c:pt>
                <c:pt idx="8">
                  <c:v>-77</c:v>
                </c:pt>
                <c:pt idx="9">
                  <c:v>-168</c:v>
                </c:pt>
                <c:pt idx="10">
                  <c:v>-166</c:v>
                </c:pt>
                <c:pt idx="11">
                  <c:v>-204</c:v>
                </c:pt>
                <c:pt idx="12">
                  <c:v>268</c:v>
                </c:pt>
                <c:pt idx="13">
                  <c:v>170</c:v>
                </c:pt>
                <c:pt idx="14">
                  <c:v>24</c:v>
                </c:pt>
                <c:pt idx="15">
                  <c:v>-61</c:v>
                </c:pt>
                <c:pt idx="16">
                  <c:v>-674</c:v>
                </c:pt>
                <c:pt idx="17">
                  <c:v>-575</c:v>
                </c:pt>
              </c:numCache>
            </c:numRef>
          </c:val>
          <c:extLst>
            <c:ext xmlns:c16="http://schemas.microsoft.com/office/drawing/2014/chart" uri="{C3380CC4-5D6E-409C-BE32-E72D297353CC}">
              <c16:uniqueId val="{00000002-2AF5-47C9-B3C7-51D9B41BF7FF}"/>
            </c:ext>
          </c:extLst>
        </c:ser>
        <c:ser>
          <c:idx val="5"/>
          <c:order val="3"/>
          <c:tx>
            <c:strRef>
              <c:f>'Components of Change'!$G$2</c:f>
              <c:strCache>
                <c:ptCount val="1"/>
                <c:pt idx="0">
                  <c:v> Other  </c:v>
                </c:pt>
              </c:strCache>
            </c:strRef>
          </c:tx>
          <c:spPr>
            <a:solidFill>
              <a:schemeClr val="accent2"/>
            </a:solidFill>
            <a:ln>
              <a:noFill/>
            </a:ln>
            <a:effectLst/>
          </c:spPr>
          <c:invertIfNegative val="0"/>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Change'!$G$149:$G$166</c:f>
              <c:numCache>
                <c:formatCode>_-* #,##0_-;\-* #,##0_-;_-* "-"??_-;_-@_-</c:formatCode>
                <c:ptCount val="18"/>
                <c:pt idx="0">
                  <c:v>194</c:v>
                </c:pt>
                <c:pt idx="1">
                  <c:v>852</c:v>
                </c:pt>
                <c:pt idx="2">
                  <c:v>470</c:v>
                </c:pt>
                <c:pt idx="3">
                  <c:v>676</c:v>
                </c:pt>
                <c:pt idx="4">
                  <c:v>-234</c:v>
                </c:pt>
                <c:pt idx="5">
                  <c:v>155</c:v>
                </c:pt>
                <c:pt idx="6">
                  <c:v>-385</c:v>
                </c:pt>
                <c:pt idx="7">
                  <c:v>426</c:v>
                </c:pt>
                <c:pt idx="8">
                  <c:v>280</c:v>
                </c:pt>
                <c:pt idx="9">
                  <c:v>1029</c:v>
                </c:pt>
                <c:pt idx="10">
                  <c:v>-1190</c:v>
                </c:pt>
                <c:pt idx="11">
                  <c:v>-1370</c:v>
                </c:pt>
                <c:pt idx="12">
                  <c:v>2026</c:v>
                </c:pt>
                <c:pt idx="13">
                  <c:v>200</c:v>
                </c:pt>
                <c:pt idx="14">
                  <c:v>-1704</c:v>
                </c:pt>
                <c:pt idx="15">
                  <c:v>1452</c:v>
                </c:pt>
                <c:pt idx="16">
                  <c:v>-374</c:v>
                </c:pt>
                <c:pt idx="17">
                  <c:v>-308</c:v>
                </c:pt>
              </c:numCache>
            </c:numRef>
          </c:val>
          <c:extLst>
            <c:ext xmlns:c16="http://schemas.microsoft.com/office/drawing/2014/chart" uri="{C3380CC4-5D6E-409C-BE32-E72D297353CC}">
              <c16:uniqueId val="{00000003-2AF5-47C9-B3C7-51D9B41BF7FF}"/>
            </c:ext>
          </c:extLst>
        </c:ser>
        <c:dLbls>
          <c:showLegendKey val="0"/>
          <c:showVal val="0"/>
          <c:showCatName val="0"/>
          <c:showSerName val="0"/>
          <c:showPercent val="0"/>
          <c:showBubbleSize val="0"/>
        </c:dLbls>
        <c:gapWidth val="219"/>
        <c:overlap val="-27"/>
        <c:axId val="1217112784"/>
        <c:axId val="1217088848"/>
      </c:barChart>
      <c:lineChart>
        <c:grouping val="standard"/>
        <c:varyColors val="0"/>
        <c:ser>
          <c:idx val="7"/>
          <c:order val="4"/>
          <c:tx>
            <c:strRef>
              <c:f>'Components of Change'!$I$2</c:f>
              <c:strCache>
                <c:ptCount val="1"/>
                <c:pt idx="0">
                  <c:v> Population Change </c:v>
                </c:pt>
              </c:strCache>
            </c:strRef>
          </c:tx>
          <c:spPr>
            <a:ln w="28575" cap="rnd">
              <a:solidFill>
                <a:schemeClr val="accent2">
                  <a:lumMod val="60000"/>
                </a:schemeClr>
              </a:solidFill>
              <a:round/>
            </a:ln>
            <a:effectLst/>
          </c:spPr>
          <c:marker>
            <c:symbol val="none"/>
          </c:marker>
          <c:cat>
            <c:numRef>
              <c:f>'Components of Change'!$B$3:$B$20</c:f>
              <c:numCache>
                <c:formatCode>0_ ;\-0\ </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'Components of Change'!$I$149:$I$166</c:f>
              <c:numCache>
                <c:formatCode>_-* #,##0_-;\-* #,##0_-;_-* "-"??_-;_-@_-</c:formatCode>
                <c:ptCount val="18"/>
                <c:pt idx="0">
                  <c:v>1523</c:v>
                </c:pt>
                <c:pt idx="1">
                  <c:v>1999</c:v>
                </c:pt>
                <c:pt idx="2">
                  <c:v>1479</c:v>
                </c:pt>
                <c:pt idx="3">
                  <c:v>1937</c:v>
                </c:pt>
                <c:pt idx="4">
                  <c:v>1002</c:v>
                </c:pt>
                <c:pt idx="5">
                  <c:v>1283</c:v>
                </c:pt>
                <c:pt idx="6">
                  <c:v>1268</c:v>
                </c:pt>
                <c:pt idx="7">
                  <c:v>1366</c:v>
                </c:pt>
                <c:pt idx="8">
                  <c:v>2279</c:v>
                </c:pt>
                <c:pt idx="9">
                  <c:v>2877</c:v>
                </c:pt>
                <c:pt idx="10">
                  <c:v>-13</c:v>
                </c:pt>
                <c:pt idx="11">
                  <c:v>211</c:v>
                </c:pt>
                <c:pt idx="12">
                  <c:v>3203</c:v>
                </c:pt>
                <c:pt idx="13">
                  <c:v>1743</c:v>
                </c:pt>
                <c:pt idx="14">
                  <c:v>62</c:v>
                </c:pt>
                <c:pt idx="15">
                  <c:v>2561</c:v>
                </c:pt>
                <c:pt idx="16">
                  <c:v>-367</c:v>
                </c:pt>
                <c:pt idx="17">
                  <c:v>164</c:v>
                </c:pt>
              </c:numCache>
            </c:numRef>
          </c:val>
          <c:smooth val="0"/>
          <c:extLst>
            <c:ext xmlns:c16="http://schemas.microsoft.com/office/drawing/2014/chart" uri="{C3380CC4-5D6E-409C-BE32-E72D297353CC}">
              <c16:uniqueId val="{00000004-2AF5-47C9-B3C7-51D9B41BF7FF}"/>
            </c:ext>
          </c:extLst>
        </c:ser>
        <c:dLbls>
          <c:showLegendKey val="0"/>
          <c:showVal val="0"/>
          <c:showCatName val="0"/>
          <c:showSerName val="0"/>
          <c:showPercent val="0"/>
          <c:showBubbleSize val="0"/>
        </c:dLbls>
        <c:marker val="1"/>
        <c:smooth val="0"/>
        <c:axId val="1217114416"/>
        <c:axId val="1217093200"/>
      </c:lineChart>
      <c:catAx>
        <c:axId val="1217112784"/>
        <c:scaling>
          <c:orientation val="minMax"/>
        </c:scaling>
        <c:delete val="0"/>
        <c:axPos val="b"/>
        <c:numFmt formatCode="0_ ;\-0\ "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088848"/>
        <c:crosses val="autoZero"/>
        <c:auto val="1"/>
        <c:lblAlgn val="ctr"/>
        <c:lblOffset val="100"/>
        <c:noMultiLvlLbl val="0"/>
      </c:catAx>
      <c:valAx>
        <c:axId val="121708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Component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12784"/>
        <c:crosses val="autoZero"/>
        <c:crossBetween val="between"/>
      </c:valAx>
      <c:valAx>
        <c:axId val="1217093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Population Change</a:t>
                </a:r>
              </a:p>
            </c:rich>
          </c:tx>
          <c:layout>
            <c:manualLayout>
              <c:xMode val="edge"/>
              <c:yMode val="edge"/>
              <c:x val="0.94562847290514929"/>
              <c:y val="0.259148273884230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114416"/>
        <c:crosses val="max"/>
        <c:crossBetween val="between"/>
      </c:valAx>
      <c:catAx>
        <c:axId val="1217114416"/>
        <c:scaling>
          <c:orientation val="minMax"/>
        </c:scaling>
        <c:delete val="1"/>
        <c:axPos val="b"/>
        <c:numFmt formatCode="0_ ;\-0\ " sourceLinked="1"/>
        <c:majorTickMark val="out"/>
        <c:minorTickMark val="none"/>
        <c:tickLblPos val="nextTo"/>
        <c:crossAx val="12170932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109941</c:v>
                </c:pt>
                <c:pt idx="1">
                  <c:v>109543</c:v>
                </c:pt>
                <c:pt idx="2">
                  <c:v>111317</c:v>
                </c:pt>
                <c:pt idx="3">
                  <c:v>112167</c:v>
                </c:pt>
                <c:pt idx="4">
                  <c:v>117217</c:v>
                </c:pt>
                <c:pt idx="5">
                  <c:v>116654</c:v>
                </c:pt>
                <c:pt idx="6">
                  <c:v>115454</c:v>
                </c:pt>
                <c:pt idx="7">
                  <c:v>116183</c:v>
                </c:pt>
                <c:pt idx="8">
                  <c:v>116746</c:v>
                </c:pt>
                <c:pt idx="9">
                  <c:v>120219</c:v>
                </c:pt>
                <c:pt idx="10">
                  <c:v>122725</c:v>
                </c:pt>
                <c:pt idx="11">
                  <c:v>122601</c:v>
                </c:pt>
                <c:pt idx="12">
                  <c:v>123024</c:v>
                </c:pt>
                <c:pt idx="13">
                  <c:v>123735</c:v>
                </c:pt>
                <c:pt idx="14">
                  <c:v>125105</c:v>
                </c:pt>
                <c:pt idx="15">
                  <c:v>124635</c:v>
                </c:pt>
                <c:pt idx="16">
                  <c:v>124919</c:v>
                </c:pt>
                <c:pt idx="17">
                  <c:v>125758</c:v>
                </c:pt>
                <c:pt idx="18">
                  <c:v>124798</c:v>
                </c:pt>
              </c:numCache>
            </c:numRef>
          </c:val>
          <c:smooth val="0"/>
          <c:extLst>
            <c:ext xmlns:c16="http://schemas.microsoft.com/office/drawing/2014/chart" uri="{C3380CC4-5D6E-409C-BE32-E72D297353CC}">
              <c16:uniqueId val="{00000000-E58E-45D5-9094-FB52397E5F4E}"/>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109941</c:v>
                </c:pt>
                <c:pt idx="1">
                  <c:v>109543</c:v>
                </c:pt>
                <c:pt idx="2">
                  <c:v>111317</c:v>
                </c:pt>
                <c:pt idx="3">
                  <c:v>112167</c:v>
                </c:pt>
                <c:pt idx="4">
                  <c:v>117217</c:v>
                </c:pt>
                <c:pt idx="5">
                  <c:v>116654</c:v>
                </c:pt>
                <c:pt idx="6">
                  <c:v>115454</c:v>
                </c:pt>
                <c:pt idx="7">
                  <c:v>116183</c:v>
                </c:pt>
                <c:pt idx="8">
                  <c:v>116746</c:v>
                </c:pt>
                <c:pt idx="9">
                  <c:v>120219</c:v>
                </c:pt>
                <c:pt idx="10">
                  <c:v>122725</c:v>
                </c:pt>
                <c:pt idx="11">
                  <c:v>125155</c:v>
                </c:pt>
                <c:pt idx="12">
                  <c:v>126663</c:v>
                </c:pt>
                <c:pt idx="13">
                  <c:v>128515</c:v>
                </c:pt>
                <c:pt idx="14">
                  <c:v>130907</c:v>
                </c:pt>
                <c:pt idx="15">
                  <c:v>131799</c:v>
                </c:pt>
              </c:numCache>
            </c:numRef>
          </c:val>
          <c:smooth val="0"/>
          <c:extLst>
            <c:ext xmlns:c16="http://schemas.microsoft.com/office/drawing/2014/chart" uri="{C3380CC4-5D6E-409C-BE32-E72D297353CC}">
              <c16:uniqueId val="{00000001-E58E-45D5-9094-FB52397E5F4E}"/>
            </c:ext>
          </c:extLst>
        </c:ser>
        <c:ser>
          <c:idx val="2"/>
          <c:order val="2"/>
          <c:tx>
            <c:strRef>
              <c:f>Sheet1!$D$1</c:f>
              <c:strCache>
                <c:ptCount val="1"/>
                <c:pt idx="0">
                  <c:v>2018-SNPP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7">
                  <c:v>125758</c:v>
                </c:pt>
                <c:pt idx="18">
                  <c:v>125539.38799999996</c:v>
                </c:pt>
                <c:pt idx="19">
                  <c:v>125338.88299999991</c:v>
                </c:pt>
                <c:pt idx="20">
                  <c:v>125111.15299999993</c:v>
                </c:pt>
                <c:pt idx="21">
                  <c:v>124916.11699999997</c:v>
                </c:pt>
                <c:pt idx="22">
                  <c:v>124829.47599999997</c:v>
                </c:pt>
                <c:pt idx="23">
                  <c:v>124800.82499999998</c:v>
                </c:pt>
                <c:pt idx="24">
                  <c:v>124886.29299999998</c:v>
                </c:pt>
                <c:pt idx="25">
                  <c:v>125077.74799999999</c:v>
                </c:pt>
                <c:pt idx="26">
                  <c:v>125374.23199999996</c:v>
                </c:pt>
                <c:pt idx="27">
                  <c:v>125632.20599999993</c:v>
                </c:pt>
                <c:pt idx="28">
                  <c:v>125883.01099999997</c:v>
                </c:pt>
                <c:pt idx="29">
                  <c:v>126148.83599999994</c:v>
                </c:pt>
                <c:pt idx="30">
                  <c:v>126407.82499999992</c:v>
                </c:pt>
                <c:pt idx="31">
                  <c:v>126530.36199999995</c:v>
                </c:pt>
                <c:pt idx="32">
                  <c:v>126543.94099999996</c:v>
                </c:pt>
                <c:pt idx="33">
                  <c:v>126508.90499999994</c:v>
                </c:pt>
                <c:pt idx="34">
                  <c:v>126494.50599999995</c:v>
                </c:pt>
                <c:pt idx="35">
                  <c:v>126405.34499999997</c:v>
                </c:pt>
                <c:pt idx="36">
                  <c:v>126219.71899999995</c:v>
                </c:pt>
                <c:pt idx="37">
                  <c:v>125935.51000000001</c:v>
                </c:pt>
                <c:pt idx="38">
                  <c:v>125689.14899999998</c:v>
                </c:pt>
                <c:pt idx="39">
                  <c:v>125487.97899999999</c:v>
                </c:pt>
              </c:numCache>
            </c:numRef>
          </c:val>
          <c:smooth val="0"/>
          <c:extLst>
            <c:ext xmlns:c16="http://schemas.microsoft.com/office/drawing/2014/chart" uri="{C3380CC4-5D6E-409C-BE32-E72D297353CC}">
              <c16:uniqueId val="{00000002-E58E-45D5-9094-FB52397E5F4E}"/>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128515</c:v>
                </c:pt>
                <c:pt idx="14">
                  <c:v>130132.179</c:v>
                </c:pt>
                <c:pt idx="15">
                  <c:v>131233.533</c:v>
                </c:pt>
                <c:pt idx="16">
                  <c:v>132205.5</c:v>
                </c:pt>
                <c:pt idx="17">
                  <c:v>133057.552</c:v>
                </c:pt>
                <c:pt idx="18">
                  <c:v>133657.39499999999</c:v>
                </c:pt>
                <c:pt idx="19">
                  <c:v>134122.82</c:v>
                </c:pt>
                <c:pt idx="20">
                  <c:v>134491.64499999999</c:v>
                </c:pt>
                <c:pt idx="21">
                  <c:v>134990.85800000001</c:v>
                </c:pt>
                <c:pt idx="22">
                  <c:v>135656.35200000001</c:v>
                </c:pt>
                <c:pt idx="23">
                  <c:v>136436.54</c:v>
                </c:pt>
                <c:pt idx="24">
                  <c:v>137332.01300000001</c:v>
                </c:pt>
                <c:pt idx="25">
                  <c:v>138268.77299999999</c:v>
                </c:pt>
                <c:pt idx="26">
                  <c:v>139254.14499999999</c:v>
                </c:pt>
                <c:pt idx="27">
                  <c:v>140160.93299999999</c:v>
                </c:pt>
                <c:pt idx="28">
                  <c:v>141036.56700000001</c:v>
                </c:pt>
                <c:pt idx="29">
                  <c:v>141907.41500000001</c:v>
                </c:pt>
                <c:pt idx="30">
                  <c:v>142760.916</c:v>
                </c:pt>
                <c:pt idx="31">
                  <c:v>143483.57800000001</c:v>
                </c:pt>
                <c:pt idx="32">
                  <c:v>144074.93400000001</c:v>
                </c:pt>
                <c:pt idx="33">
                  <c:v>144621.473</c:v>
                </c:pt>
                <c:pt idx="34">
                  <c:v>145230.033</c:v>
                </c:pt>
                <c:pt idx="35">
                  <c:v>145910.011</c:v>
                </c:pt>
                <c:pt idx="36">
                  <c:v>146620.285</c:v>
                </c:pt>
                <c:pt idx="37">
                  <c:v>147337.03099999999</c:v>
                </c:pt>
                <c:pt idx="38">
                  <c:v>148047.57699999999</c:v>
                </c:pt>
              </c:numCache>
            </c:numRef>
          </c:val>
          <c:smooth val="0"/>
          <c:extLst>
            <c:ext xmlns:c16="http://schemas.microsoft.com/office/drawing/2014/chart" uri="{C3380CC4-5D6E-409C-BE32-E72D297353CC}">
              <c16:uniqueId val="{00000003-E58E-45D5-9094-FB52397E5F4E}"/>
            </c:ext>
          </c:extLst>
        </c:ser>
        <c:ser>
          <c:idx val="4"/>
          <c:order val="4"/>
          <c:tx>
            <c:strRef>
              <c:f>Sheet1!$F$1</c:f>
              <c:strCache>
                <c:ptCount val="1"/>
                <c:pt idx="0">
                  <c:v>GLH (SM)</c:v>
                </c:pt>
              </c:strCache>
            </c:strRef>
          </c:tx>
          <c:spPr>
            <a:ln w="28575" cap="rnd">
              <a:solidFill>
                <a:schemeClr val="accent5"/>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136232.85660413577</c:v>
                </c:pt>
                <c:pt idx="18">
                  <c:v>137029.23049631887</c:v>
                </c:pt>
                <c:pt idx="19">
                  <c:v>138896.21101960185</c:v>
                </c:pt>
                <c:pt idx="20">
                  <c:v>140047.58291501238</c:v>
                </c:pt>
                <c:pt idx="21">
                  <c:v>141253.89234015282</c:v>
                </c:pt>
                <c:pt idx="22">
                  <c:v>142583.47844335681</c:v>
                </c:pt>
                <c:pt idx="23">
                  <c:v>143975.17811626595</c:v>
                </c:pt>
                <c:pt idx="24">
                  <c:v>145491.42810785788</c:v>
                </c:pt>
                <c:pt idx="25">
                  <c:v>147123.25623759523</c:v>
                </c:pt>
                <c:pt idx="26">
                  <c:v>148868.74241926044</c:v>
                </c:pt>
                <c:pt idx="27">
                  <c:v>150575.02933955938</c:v>
                </c:pt>
                <c:pt idx="28">
                  <c:v>152273.25203194283</c:v>
                </c:pt>
                <c:pt idx="29">
                  <c:v>153977.33941671066</c:v>
                </c:pt>
                <c:pt idx="30">
                  <c:v>155660.20687726067</c:v>
                </c:pt>
                <c:pt idx="31">
                  <c:v>157196.91246585237</c:v>
                </c:pt>
                <c:pt idx="32">
                  <c:v>158616.17767355486</c:v>
                </c:pt>
                <c:pt idx="33">
                  <c:v>159979.42559788722</c:v>
                </c:pt>
                <c:pt idx="34">
                  <c:v>161351.82812169314</c:v>
                </c:pt>
                <c:pt idx="35">
                  <c:v>162641.36380734958</c:v>
                </c:pt>
                <c:pt idx="36">
                  <c:v>163830.9304303815</c:v>
                </c:pt>
                <c:pt idx="37">
                  <c:v>164918.86575605659</c:v>
                </c:pt>
                <c:pt idx="38">
                  <c:v>166042.91611294943</c:v>
                </c:pt>
                <c:pt idx="39">
                  <c:v>167213.81224907207</c:v>
                </c:pt>
              </c:numCache>
            </c:numRef>
          </c:val>
          <c:smooth val="0"/>
          <c:extLst>
            <c:ext xmlns:c16="http://schemas.microsoft.com/office/drawing/2014/chart" uri="{C3380CC4-5D6E-409C-BE32-E72D297353CC}">
              <c16:uniqueId val="{00000004-E58E-45D5-9094-FB52397E5F4E}"/>
            </c:ext>
          </c:extLst>
        </c:ser>
        <c:dLbls>
          <c:showLegendKey val="0"/>
          <c:showVal val="0"/>
          <c:showCatName val="0"/>
          <c:showSerName val="0"/>
          <c:showPercent val="0"/>
          <c:showBubbleSize val="0"/>
        </c:dLbls>
        <c:smooth val="0"/>
        <c:axId val="1217114960"/>
        <c:axId val="1217116048"/>
      </c:lineChart>
      <c:catAx>
        <c:axId val="121711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6048"/>
        <c:crosses val="autoZero"/>
        <c:auto val="1"/>
        <c:lblAlgn val="ctr"/>
        <c:lblOffset val="100"/>
        <c:noMultiLvlLbl val="0"/>
      </c:catAx>
      <c:valAx>
        <c:axId val="1217116048"/>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73411</c:v>
                </c:pt>
                <c:pt idx="1">
                  <c:v>74328</c:v>
                </c:pt>
                <c:pt idx="2">
                  <c:v>77447</c:v>
                </c:pt>
                <c:pt idx="3">
                  <c:v>75996</c:v>
                </c:pt>
                <c:pt idx="4">
                  <c:v>77224</c:v>
                </c:pt>
                <c:pt idx="5">
                  <c:v>78429</c:v>
                </c:pt>
                <c:pt idx="6">
                  <c:v>79923</c:v>
                </c:pt>
                <c:pt idx="7">
                  <c:v>81035</c:v>
                </c:pt>
                <c:pt idx="8">
                  <c:v>82357</c:v>
                </c:pt>
                <c:pt idx="9">
                  <c:v>83303</c:v>
                </c:pt>
                <c:pt idx="10">
                  <c:v>84245</c:v>
                </c:pt>
                <c:pt idx="11">
                  <c:v>85220</c:v>
                </c:pt>
                <c:pt idx="12">
                  <c:v>85942</c:v>
                </c:pt>
                <c:pt idx="13">
                  <c:v>87045</c:v>
                </c:pt>
                <c:pt idx="14">
                  <c:v>87783</c:v>
                </c:pt>
                <c:pt idx="15">
                  <c:v>88189</c:v>
                </c:pt>
                <c:pt idx="16">
                  <c:v>88858</c:v>
                </c:pt>
                <c:pt idx="17">
                  <c:v>89362</c:v>
                </c:pt>
                <c:pt idx="18">
                  <c:v>89840</c:v>
                </c:pt>
              </c:numCache>
            </c:numRef>
          </c:val>
          <c:smooth val="0"/>
          <c:extLst>
            <c:ext xmlns:c16="http://schemas.microsoft.com/office/drawing/2014/chart" uri="{C3380CC4-5D6E-409C-BE32-E72D297353CC}">
              <c16:uniqueId val="{00000000-AA65-406E-9A88-00693D4C3B85}"/>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73411</c:v>
                </c:pt>
                <c:pt idx="1">
                  <c:v>74328</c:v>
                </c:pt>
                <c:pt idx="2">
                  <c:v>77447</c:v>
                </c:pt>
                <c:pt idx="3">
                  <c:v>75996</c:v>
                </c:pt>
                <c:pt idx="4">
                  <c:v>77224</c:v>
                </c:pt>
                <c:pt idx="5">
                  <c:v>78429</c:v>
                </c:pt>
                <c:pt idx="6">
                  <c:v>79923</c:v>
                </c:pt>
                <c:pt idx="7">
                  <c:v>81035</c:v>
                </c:pt>
                <c:pt idx="8">
                  <c:v>82357</c:v>
                </c:pt>
                <c:pt idx="9">
                  <c:v>83303</c:v>
                </c:pt>
                <c:pt idx="10">
                  <c:v>84245</c:v>
                </c:pt>
                <c:pt idx="11">
                  <c:v>85097</c:v>
                </c:pt>
                <c:pt idx="12">
                  <c:v>85899</c:v>
                </c:pt>
                <c:pt idx="13">
                  <c:v>86685</c:v>
                </c:pt>
                <c:pt idx="14">
                  <c:v>87306</c:v>
                </c:pt>
                <c:pt idx="15">
                  <c:v>87825</c:v>
                </c:pt>
              </c:numCache>
            </c:numRef>
          </c:val>
          <c:smooth val="0"/>
          <c:extLst>
            <c:ext xmlns:c16="http://schemas.microsoft.com/office/drawing/2014/chart" uri="{C3380CC4-5D6E-409C-BE32-E72D297353CC}">
              <c16:uniqueId val="{00000001-AA65-406E-9A88-00693D4C3B85}"/>
            </c:ext>
          </c:extLst>
        </c:ser>
        <c:ser>
          <c:idx val="2"/>
          <c:order val="2"/>
          <c:tx>
            <c:strRef>
              <c:f>Sheet1!$D$1</c:f>
              <c:strCache>
                <c:ptCount val="1"/>
                <c:pt idx="0">
                  <c:v>2018-SNPP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7">
                  <c:v>89362</c:v>
                </c:pt>
                <c:pt idx="18">
                  <c:v>89903.328999999969</c:v>
                </c:pt>
                <c:pt idx="19">
                  <c:v>90435.422999999981</c:v>
                </c:pt>
                <c:pt idx="20">
                  <c:v>90919.810999999972</c:v>
                </c:pt>
                <c:pt idx="21">
                  <c:v>91351.98599999999</c:v>
                </c:pt>
                <c:pt idx="22">
                  <c:v>91749.797999999981</c:v>
                </c:pt>
                <c:pt idx="23">
                  <c:v>92114.222999999969</c:v>
                </c:pt>
                <c:pt idx="24">
                  <c:v>92427.672999999981</c:v>
                </c:pt>
                <c:pt idx="25">
                  <c:v>92732.403999999966</c:v>
                </c:pt>
                <c:pt idx="26">
                  <c:v>92999.754999999976</c:v>
                </c:pt>
                <c:pt idx="27">
                  <c:v>93237.460999999981</c:v>
                </c:pt>
                <c:pt idx="28">
                  <c:v>93458.54399999998</c:v>
                </c:pt>
                <c:pt idx="29">
                  <c:v>93654.760999999999</c:v>
                </c:pt>
                <c:pt idx="30">
                  <c:v>93837.324999999983</c:v>
                </c:pt>
                <c:pt idx="31">
                  <c:v>94018.434999999998</c:v>
                </c:pt>
                <c:pt idx="32">
                  <c:v>94220.640999999974</c:v>
                </c:pt>
                <c:pt idx="33">
                  <c:v>94424.481</c:v>
                </c:pt>
                <c:pt idx="34">
                  <c:v>94616.755999999994</c:v>
                </c:pt>
                <c:pt idx="35">
                  <c:v>94825.094999999972</c:v>
                </c:pt>
                <c:pt idx="36">
                  <c:v>95039.915999999968</c:v>
                </c:pt>
                <c:pt idx="37">
                  <c:v>95264.060999999987</c:v>
                </c:pt>
                <c:pt idx="38">
                  <c:v>95500.312000000005</c:v>
                </c:pt>
                <c:pt idx="39">
                  <c:v>95742.842999999979</c:v>
                </c:pt>
              </c:numCache>
            </c:numRef>
          </c:val>
          <c:smooth val="0"/>
          <c:extLst>
            <c:ext xmlns:c16="http://schemas.microsoft.com/office/drawing/2014/chart" uri="{C3380CC4-5D6E-409C-BE32-E72D297353CC}">
              <c16:uniqueId val="{00000002-AA65-406E-9A88-00693D4C3B85}"/>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86685</c:v>
                </c:pt>
                <c:pt idx="14">
                  <c:v>87746.176999999996</c:v>
                </c:pt>
                <c:pt idx="15">
                  <c:v>88791.481</c:v>
                </c:pt>
                <c:pt idx="16">
                  <c:v>89806.793999999994</c:v>
                </c:pt>
                <c:pt idx="17">
                  <c:v>90820.58</c:v>
                </c:pt>
                <c:pt idx="18">
                  <c:v>91812.438999999998</c:v>
                </c:pt>
                <c:pt idx="19">
                  <c:v>92811.767000000007</c:v>
                </c:pt>
                <c:pt idx="20">
                  <c:v>93772.437999999995</c:v>
                </c:pt>
                <c:pt idx="21">
                  <c:v>94695.062999999995</c:v>
                </c:pt>
                <c:pt idx="22">
                  <c:v>95588.755999999994</c:v>
                </c:pt>
                <c:pt idx="23">
                  <c:v>96450.722999999998</c:v>
                </c:pt>
                <c:pt idx="24">
                  <c:v>97270.004000000001</c:v>
                </c:pt>
                <c:pt idx="25">
                  <c:v>98059.051999999996</c:v>
                </c:pt>
                <c:pt idx="26">
                  <c:v>98810.95</c:v>
                </c:pt>
                <c:pt idx="27">
                  <c:v>99528.096000000005</c:v>
                </c:pt>
                <c:pt idx="28">
                  <c:v>100224.924</c:v>
                </c:pt>
                <c:pt idx="29">
                  <c:v>100883.564</c:v>
                </c:pt>
                <c:pt idx="30">
                  <c:v>101523.132</c:v>
                </c:pt>
                <c:pt idx="31">
                  <c:v>102155.598</c:v>
                </c:pt>
                <c:pt idx="32">
                  <c:v>102788.166</c:v>
                </c:pt>
                <c:pt idx="33">
                  <c:v>103406.749</c:v>
                </c:pt>
                <c:pt idx="34">
                  <c:v>104005.092</c:v>
                </c:pt>
                <c:pt idx="35">
                  <c:v>104586.368</c:v>
                </c:pt>
                <c:pt idx="36">
                  <c:v>105155.45600000001</c:v>
                </c:pt>
                <c:pt idx="37">
                  <c:v>105718.00900000001</c:v>
                </c:pt>
                <c:pt idx="38">
                  <c:v>106277.128</c:v>
                </c:pt>
              </c:numCache>
            </c:numRef>
          </c:val>
          <c:smooth val="0"/>
          <c:extLst>
            <c:ext xmlns:c16="http://schemas.microsoft.com/office/drawing/2014/chart" uri="{C3380CC4-5D6E-409C-BE32-E72D297353CC}">
              <c16:uniqueId val="{00000003-AA65-406E-9A88-00693D4C3B85}"/>
            </c:ext>
          </c:extLst>
        </c:ser>
        <c:ser>
          <c:idx val="4"/>
          <c:order val="4"/>
          <c:tx>
            <c:strRef>
              <c:f>Sheet1!$F$1</c:f>
              <c:strCache>
                <c:ptCount val="1"/>
                <c:pt idx="0">
                  <c:v>GLH (SM)</c:v>
                </c:pt>
              </c:strCache>
            </c:strRef>
          </c:tx>
          <c:spPr>
            <a:ln w="28575" cap="rnd">
              <a:solidFill>
                <a:schemeClr val="accent5"/>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89757.925843592209</c:v>
                </c:pt>
                <c:pt idx="18">
                  <c:v>90228.75693951975</c:v>
                </c:pt>
                <c:pt idx="19">
                  <c:v>91389.250007180322</c:v>
                </c:pt>
                <c:pt idx="20">
                  <c:v>92715.673964391724</c:v>
                </c:pt>
                <c:pt idx="21">
                  <c:v>94003.052989870455</c:v>
                </c:pt>
                <c:pt idx="22">
                  <c:v>95268.665679642319</c:v>
                </c:pt>
                <c:pt idx="23">
                  <c:v>96513.333064355509</c:v>
                </c:pt>
                <c:pt idx="24">
                  <c:v>97720.688290286314</c:v>
                </c:pt>
                <c:pt idx="25">
                  <c:v>98930.92042744589</c:v>
                </c:pt>
                <c:pt idx="26">
                  <c:v>100118.94490844797</c:v>
                </c:pt>
                <c:pt idx="27">
                  <c:v>101292.05903435971</c:v>
                </c:pt>
                <c:pt idx="28">
                  <c:v>102462.06082389191</c:v>
                </c:pt>
                <c:pt idx="29">
                  <c:v>103620.97366631076</c:v>
                </c:pt>
                <c:pt idx="30">
                  <c:v>104779.68854416814</c:v>
                </c:pt>
                <c:pt idx="31">
                  <c:v>105948.0800306453</c:v>
                </c:pt>
                <c:pt idx="32">
                  <c:v>107145.01247077048</c:v>
                </c:pt>
                <c:pt idx="33">
                  <c:v>108352.79488322444</c:v>
                </c:pt>
                <c:pt idx="34">
                  <c:v>109557.92917161842</c:v>
                </c:pt>
                <c:pt idx="35">
                  <c:v>110787.22341351814</c:v>
                </c:pt>
                <c:pt idx="36">
                  <c:v>112027.52491899012</c:v>
                </c:pt>
                <c:pt idx="37">
                  <c:v>113282.92003616264</c:v>
                </c:pt>
                <c:pt idx="38">
                  <c:v>114553.3207088061</c:v>
                </c:pt>
                <c:pt idx="39">
                  <c:v>115830.90299726557</c:v>
                </c:pt>
              </c:numCache>
            </c:numRef>
          </c:val>
          <c:smooth val="0"/>
          <c:extLst>
            <c:ext xmlns:c16="http://schemas.microsoft.com/office/drawing/2014/chart" uri="{C3380CC4-5D6E-409C-BE32-E72D297353CC}">
              <c16:uniqueId val="{00000004-AA65-406E-9A88-00693D4C3B85}"/>
            </c:ext>
          </c:extLst>
        </c:ser>
        <c:dLbls>
          <c:showLegendKey val="0"/>
          <c:showVal val="0"/>
          <c:showCatName val="0"/>
          <c:showSerName val="0"/>
          <c:showPercent val="0"/>
          <c:showBubbleSize val="0"/>
        </c:dLbls>
        <c:smooth val="0"/>
        <c:axId val="1217116592"/>
        <c:axId val="1221721824"/>
      </c:lineChart>
      <c:catAx>
        <c:axId val="121711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21824"/>
        <c:crosses val="autoZero"/>
        <c:auto val="1"/>
        <c:lblAlgn val="ctr"/>
        <c:lblOffset val="100"/>
        <c:noMultiLvlLbl val="0"/>
      </c:catAx>
      <c:valAx>
        <c:axId val="1221721824"/>
        <c:scaling>
          <c:orientation val="minMax"/>
          <c:min val="7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1711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'Components of Change'!$C$210</c:f>
              <c:strCache>
                <c:ptCount val="1"/>
                <c:pt idx="0">
                  <c:v>Natural Change</c:v>
                </c:pt>
              </c:strCache>
            </c:strRef>
          </c:tx>
          <c:spPr>
            <a:solidFill>
              <a:schemeClr val="accent1"/>
            </a:solidFill>
            <a:ln>
              <a:noFill/>
            </a:ln>
            <a:effectLst/>
          </c:spPr>
          <c:invertIfNegative val="0"/>
          <c:cat>
            <c:numRef>
              <c:f>'Components of Change'!$B$211:$B$228</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'Components of Change'!$C$211:$C$228</c:f>
              <c:numCache>
                <c:formatCode>#,##0</c:formatCode>
                <c:ptCount val="18"/>
                <c:pt idx="0">
                  <c:v>1487</c:v>
                </c:pt>
                <c:pt idx="1">
                  <c:v>1474</c:v>
                </c:pt>
                <c:pt idx="2">
                  <c:v>1843</c:v>
                </c:pt>
                <c:pt idx="3">
                  <c:v>1991</c:v>
                </c:pt>
                <c:pt idx="4">
                  <c:v>2136</c:v>
                </c:pt>
                <c:pt idx="5">
                  <c:v>2724</c:v>
                </c:pt>
                <c:pt idx="6">
                  <c:v>3194</c:v>
                </c:pt>
                <c:pt idx="7">
                  <c:v>3198</c:v>
                </c:pt>
                <c:pt idx="8">
                  <c:v>3357</c:v>
                </c:pt>
                <c:pt idx="9">
                  <c:v>3714</c:v>
                </c:pt>
                <c:pt idx="10">
                  <c:v>3806</c:v>
                </c:pt>
                <c:pt idx="11">
                  <c:v>3237</c:v>
                </c:pt>
                <c:pt idx="12">
                  <c:v>3089</c:v>
                </c:pt>
                <c:pt idx="13">
                  <c:v>2442</c:v>
                </c:pt>
                <c:pt idx="14">
                  <c:v>2914</c:v>
                </c:pt>
                <c:pt idx="15">
                  <c:v>2021</c:v>
                </c:pt>
                <c:pt idx="16">
                  <c:v>1774</c:v>
                </c:pt>
                <c:pt idx="17">
                  <c:v>1729</c:v>
                </c:pt>
              </c:numCache>
            </c:numRef>
          </c:val>
          <c:extLst>
            <c:ext xmlns:c16="http://schemas.microsoft.com/office/drawing/2014/chart" uri="{C3380CC4-5D6E-409C-BE32-E72D297353CC}">
              <c16:uniqueId val="{00000000-F34D-4947-A951-00EDC04D2DCF}"/>
            </c:ext>
          </c:extLst>
        </c:ser>
        <c:ser>
          <c:idx val="1"/>
          <c:order val="1"/>
          <c:tx>
            <c:strRef>
              <c:f>'Components of Change'!$D$210</c:f>
              <c:strCache>
                <c:ptCount val="1"/>
                <c:pt idx="0">
                  <c:v>Internal</c:v>
                </c:pt>
              </c:strCache>
            </c:strRef>
          </c:tx>
          <c:spPr>
            <a:solidFill>
              <a:schemeClr val="accent2"/>
            </a:solidFill>
            <a:ln>
              <a:noFill/>
            </a:ln>
            <a:effectLst/>
          </c:spPr>
          <c:invertIfNegative val="0"/>
          <c:cat>
            <c:numRef>
              <c:f>'Components of Change'!$B$211:$B$228</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'Components of Change'!$D$211:$D$228</c:f>
              <c:numCache>
                <c:formatCode>#,##0</c:formatCode>
                <c:ptCount val="18"/>
                <c:pt idx="0">
                  <c:v>2640</c:v>
                </c:pt>
                <c:pt idx="1">
                  <c:v>2605</c:v>
                </c:pt>
                <c:pt idx="2">
                  <c:v>3406</c:v>
                </c:pt>
                <c:pt idx="3">
                  <c:v>1542</c:v>
                </c:pt>
                <c:pt idx="4">
                  <c:v>2666</c:v>
                </c:pt>
                <c:pt idx="5">
                  <c:v>2455</c:v>
                </c:pt>
                <c:pt idx="6">
                  <c:v>2502</c:v>
                </c:pt>
                <c:pt idx="7">
                  <c:v>1388</c:v>
                </c:pt>
                <c:pt idx="8">
                  <c:v>2129</c:v>
                </c:pt>
                <c:pt idx="9">
                  <c:v>1785</c:v>
                </c:pt>
                <c:pt idx="10">
                  <c:v>1329</c:v>
                </c:pt>
                <c:pt idx="11">
                  <c:v>1424</c:v>
                </c:pt>
                <c:pt idx="12" formatCode="General">
                  <c:v>978</c:v>
                </c:pt>
                <c:pt idx="13">
                  <c:v>1087</c:v>
                </c:pt>
                <c:pt idx="14" formatCode="General">
                  <c:v>233</c:v>
                </c:pt>
                <c:pt idx="15">
                  <c:v>1218</c:v>
                </c:pt>
                <c:pt idx="16" formatCode="General">
                  <c:v>575</c:v>
                </c:pt>
                <c:pt idx="17" formatCode="General">
                  <c:v>705</c:v>
                </c:pt>
              </c:numCache>
            </c:numRef>
          </c:val>
          <c:extLst>
            <c:ext xmlns:c16="http://schemas.microsoft.com/office/drawing/2014/chart" uri="{C3380CC4-5D6E-409C-BE32-E72D297353CC}">
              <c16:uniqueId val="{00000001-F34D-4947-A951-00EDC04D2DCF}"/>
            </c:ext>
          </c:extLst>
        </c:ser>
        <c:ser>
          <c:idx val="2"/>
          <c:order val="2"/>
          <c:tx>
            <c:strRef>
              <c:f>'Components of Change'!$E$210</c:f>
              <c:strCache>
                <c:ptCount val="1"/>
                <c:pt idx="0">
                  <c:v>International</c:v>
                </c:pt>
              </c:strCache>
            </c:strRef>
          </c:tx>
          <c:spPr>
            <a:solidFill>
              <a:schemeClr val="accent3"/>
            </a:solidFill>
            <a:ln>
              <a:noFill/>
            </a:ln>
            <a:effectLst/>
          </c:spPr>
          <c:invertIfNegative val="0"/>
          <c:cat>
            <c:numRef>
              <c:f>'Components of Change'!$B$211:$B$228</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'Components of Change'!$E$211:$E$228</c:f>
              <c:numCache>
                <c:formatCode>#,##0</c:formatCode>
                <c:ptCount val="18"/>
                <c:pt idx="0" formatCode="General">
                  <c:v>566</c:v>
                </c:pt>
                <c:pt idx="1">
                  <c:v>3696</c:v>
                </c:pt>
                <c:pt idx="2" formatCode="General">
                  <c:v>960</c:v>
                </c:pt>
                <c:pt idx="3">
                  <c:v>6726</c:v>
                </c:pt>
                <c:pt idx="4">
                  <c:v>1013</c:v>
                </c:pt>
                <c:pt idx="5" formatCode="General">
                  <c:v>588</c:v>
                </c:pt>
                <c:pt idx="6">
                  <c:v>1580</c:v>
                </c:pt>
                <c:pt idx="7" formatCode="General">
                  <c:v>935</c:v>
                </c:pt>
                <c:pt idx="8">
                  <c:v>4728</c:v>
                </c:pt>
                <c:pt idx="9">
                  <c:v>2715</c:v>
                </c:pt>
                <c:pt idx="10" formatCode="General">
                  <c:v>39</c:v>
                </c:pt>
                <c:pt idx="11">
                  <c:v>1508</c:v>
                </c:pt>
                <c:pt idx="12">
                  <c:v>2998</c:v>
                </c:pt>
                <c:pt idx="13">
                  <c:v>3679</c:v>
                </c:pt>
                <c:pt idx="14">
                  <c:v>1827</c:v>
                </c:pt>
                <c:pt idx="15">
                  <c:v>1154</c:v>
                </c:pt>
                <c:pt idx="16" formatCode="General">
                  <c:v>863</c:v>
                </c:pt>
                <c:pt idx="17" formatCode="General">
                  <c:v>-115</c:v>
                </c:pt>
              </c:numCache>
            </c:numRef>
          </c:val>
          <c:extLst>
            <c:ext xmlns:c16="http://schemas.microsoft.com/office/drawing/2014/chart" uri="{C3380CC4-5D6E-409C-BE32-E72D297353CC}">
              <c16:uniqueId val="{00000002-F34D-4947-A951-00EDC04D2DCF}"/>
            </c:ext>
          </c:extLst>
        </c:ser>
        <c:ser>
          <c:idx val="3"/>
          <c:order val="3"/>
          <c:tx>
            <c:strRef>
              <c:f>'Components of Change'!$F$210</c:f>
              <c:strCache>
                <c:ptCount val="1"/>
                <c:pt idx="0">
                  <c:v>Other</c:v>
                </c:pt>
              </c:strCache>
            </c:strRef>
          </c:tx>
          <c:spPr>
            <a:solidFill>
              <a:schemeClr val="accent4"/>
            </a:solidFill>
            <a:ln>
              <a:noFill/>
            </a:ln>
            <a:effectLst/>
          </c:spPr>
          <c:invertIfNegative val="0"/>
          <c:cat>
            <c:numRef>
              <c:f>'Components of Change'!$B$211:$B$228</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'Components of Change'!$F$211:$F$228</c:f>
              <c:numCache>
                <c:formatCode>#,##0</c:formatCode>
                <c:ptCount val="18"/>
                <c:pt idx="0">
                  <c:v>1042</c:v>
                </c:pt>
                <c:pt idx="1">
                  <c:v>4051</c:v>
                </c:pt>
                <c:pt idx="2" formatCode="General">
                  <c:v>972</c:v>
                </c:pt>
                <c:pt idx="3" formatCode="General">
                  <c:v>884</c:v>
                </c:pt>
                <c:pt idx="4" formatCode="General">
                  <c:v>426</c:v>
                </c:pt>
                <c:pt idx="5" formatCode="General">
                  <c:v>964</c:v>
                </c:pt>
                <c:pt idx="6" formatCode="General">
                  <c:v>462</c:v>
                </c:pt>
                <c:pt idx="7">
                  <c:v>1275</c:v>
                </c:pt>
                <c:pt idx="8" formatCode="General">
                  <c:v>726</c:v>
                </c:pt>
                <c:pt idx="9">
                  <c:v>2076</c:v>
                </c:pt>
                <c:pt idx="10">
                  <c:v>-1591</c:v>
                </c:pt>
                <c:pt idx="11">
                  <c:v>-2948</c:v>
                </c:pt>
                <c:pt idx="12">
                  <c:v>2406</c:v>
                </c:pt>
                <c:pt idx="13" formatCode="General">
                  <c:v>873</c:v>
                </c:pt>
                <c:pt idx="14">
                  <c:v>-1861</c:v>
                </c:pt>
                <c:pt idx="15">
                  <c:v>1830</c:v>
                </c:pt>
                <c:pt idx="16" formatCode="General">
                  <c:v>-334</c:v>
                </c:pt>
                <c:pt idx="17" formatCode="General">
                  <c:v>-100</c:v>
                </c:pt>
              </c:numCache>
            </c:numRef>
          </c:val>
          <c:extLst>
            <c:ext xmlns:c16="http://schemas.microsoft.com/office/drawing/2014/chart" uri="{C3380CC4-5D6E-409C-BE32-E72D297353CC}">
              <c16:uniqueId val="{00000003-F34D-4947-A951-00EDC04D2DCF}"/>
            </c:ext>
          </c:extLst>
        </c:ser>
        <c:dLbls>
          <c:showLegendKey val="0"/>
          <c:showVal val="0"/>
          <c:showCatName val="0"/>
          <c:showSerName val="0"/>
          <c:showPercent val="0"/>
          <c:showBubbleSize val="0"/>
        </c:dLbls>
        <c:gapWidth val="219"/>
        <c:overlap val="-27"/>
        <c:axId val="525359992"/>
        <c:axId val="525352776"/>
      </c:barChart>
      <c:lineChart>
        <c:grouping val="standard"/>
        <c:varyColors val="0"/>
        <c:ser>
          <c:idx val="4"/>
          <c:order val="4"/>
          <c:tx>
            <c:strRef>
              <c:f>'Components of Change'!$G$210</c:f>
              <c:strCache>
                <c:ptCount val="1"/>
                <c:pt idx="0">
                  <c:v>Population Change</c:v>
                </c:pt>
              </c:strCache>
            </c:strRef>
          </c:tx>
          <c:spPr>
            <a:ln w="28575" cap="rnd">
              <a:solidFill>
                <a:schemeClr val="accent5"/>
              </a:solidFill>
              <a:round/>
            </a:ln>
            <a:effectLst/>
          </c:spPr>
          <c:marker>
            <c:symbol val="none"/>
          </c:marker>
          <c:cat>
            <c:numRef>
              <c:f>'Components of Change'!$B$211:$B$228</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'Components of Change'!$G$211:$G$228</c:f>
              <c:numCache>
                <c:formatCode>#,##0</c:formatCode>
                <c:ptCount val="18"/>
                <c:pt idx="0">
                  <c:v>5735</c:v>
                </c:pt>
                <c:pt idx="1">
                  <c:v>11826</c:v>
                </c:pt>
                <c:pt idx="2">
                  <c:v>7181</c:v>
                </c:pt>
                <c:pt idx="3">
                  <c:v>11143</c:v>
                </c:pt>
                <c:pt idx="4">
                  <c:v>6241</c:v>
                </c:pt>
                <c:pt idx="5">
                  <c:v>6731</c:v>
                </c:pt>
                <c:pt idx="6">
                  <c:v>7738</c:v>
                </c:pt>
                <c:pt idx="7">
                  <c:v>6796</c:v>
                </c:pt>
                <c:pt idx="8">
                  <c:v>10940</c:v>
                </c:pt>
                <c:pt idx="9">
                  <c:v>10290</c:v>
                </c:pt>
                <c:pt idx="10">
                  <c:v>3583</c:v>
                </c:pt>
                <c:pt idx="11">
                  <c:v>3221</c:v>
                </c:pt>
                <c:pt idx="12">
                  <c:v>9471</c:v>
                </c:pt>
                <c:pt idx="13">
                  <c:v>8081</c:v>
                </c:pt>
                <c:pt idx="14">
                  <c:v>3113</c:v>
                </c:pt>
                <c:pt idx="15">
                  <c:v>6223</c:v>
                </c:pt>
                <c:pt idx="16">
                  <c:v>2878</c:v>
                </c:pt>
                <c:pt idx="17">
                  <c:v>2219</c:v>
                </c:pt>
              </c:numCache>
            </c:numRef>
          </c:val>
          <c:smooth val="0"/>
          <c:extLst>
            <c:ext xmlns:c16="http://schemas.microsoft.com/office/drawing/2014/chart" uri="{C3380CC4-5D6E-409C-BE32-E72D297353CC}">
              <c16:uniqueId val="{00000004-F34D-4947-A951-00EDC04D2DCF}"/>
            </c:ext>
          </c:extLst>
        </c:ser>
        <c:dLbls>
          <c:showLegendKey val="0"/>
          <c:showVal val="0"/>
          <c:showCatName val="0"/>
          <c:showSerName val="0"/>
          <c:showPercent val="0"/>
          <c:showBubbleSize val="0"/>
        </c:dLbls>
        <c:marker val="1"/>
        <c:smooth val="0"/>
        <c:axId val="525329816"/>
        <c:axId val="525338344"/>
      </c:lineChart>
      <c:catAx>
        <c:axId val="52535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52776"/>
        <c:crosses val="autoZero"/>
        <c:auto val="1"/>
        <c:lblAlgn val="ctr"/>
        <c:lblOffset val="100"/>
        <c:noMultiLvlLbl val="0"/>
      </c:catAx>
      <c:valAx>
        <c:axId val="525352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Component of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59992"/>
        <c:crosses val="autoZero"/>
        <c:crossBetween val="between"/>
      </c:valAx>
      <c:valAx>
        <c:axId val="5253383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329816"/>
        <c:crosses val="max"/>
        <c:crossBetween val="between"/>
      </c:valAx>
      <c:catAx>
        <c:axId val="525329816"/>
        <c:scaling>
          <c:orientation val="minMax"/>
        </c:scaling>
        <c:delete val="1"/>
        <c:axPos val="b"/>
        <c:numFmt formatCode="General" sourceLinked="1"/>
        <c:majorTickMark val="out"/>
        <c:minorTickMark val="none"/>
        <c:tickLblPos val="nextTo"/>
        <c:crossAx val="525338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83687</c:v>
                </c:pt>
                <c:pt idx="1">
                  <c:v>84676</c:v>
                </c:pt>
                <c:pt idx="2">
                  <c:v>86296</c:v>
                </c:pt>
                <c:pt idx="3">
                  <c:v>87983</c:v>
                </c:pt>
                <c:pt idx="4">
                  <c:v>88968</c:v>
                </c:pt>
                <c:pt idx="5">
                  <c:v>90647</c:v>
                </c:pt>
                <c:pt idx="6">
                  <c:v>92713</c:v>
                </c:pt>
                <c:pt idx="7">
                  <c:v>93653</c:v>
                </c:pt>
                <c:pt idx="8">
                  <c:v>94404</c:v>
                </c:pt>
                <c:pt idx="9">
                  <c:v>95135</c:v>
                </c:pt>
                <c:pt idx="10">
                  <c:v>95461</c:v>
                </c:pt>
                <c:pt idx="11">
                  <c:v>95975</c:v>
                </c:pt>
                <c:pt idx="12">
                  <c:v>96617</c:v>
                </c:pt>
                <c:pt idx="13">
                  <c:v>97591</c:v>
                </c:pt>
                <c:pt idx="14">
                  <c:v>98814</c:v>
                </c:pt>
                <c:pt idx="15">
                  <c:v>99636</c:v>
                </c:pt>
                <c:pt idx="16">
                  <c:v>100776</c:v>
                </c:pt>
                <c:pt idx="17">
                  <c:v>101491</c:v>
                </c:pt>
                <c:pt idx="18">
                  <c:v>101850</c:v>
                </c:pt>
              </c:numCache>
            </c:numRef>
          </c:val>
          <c:smooth val="0"/>
          <c:extLst>
            <c:ext xmlns:c16="http://schemas.microsoft.com/office/drawing/2014/chart" uri="{C3380CC4-5D6E-409C-BE32-E72D297353CC}">
              <c16:uniqueId val="{00000000-9EF9-4FB3-A9A3-950A4D6CB6AF}"/>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83687</c:v>
                </c:pt>
                <c:pt idx="1">
                  <c:v>84676</c:v>
                </c:pt>
                <c:pt idx="2">
                  <c:v>86296</c:v>
                </c:pt>
                <c:pt idx="3">
                  <c:v>87983</c:v>
                </c:pt>
                <c:pt idx="4">
                  <c:v>88968</c:v>
                </c:pt>
                <c:pt idx="5">
                  <c:v>90647</c:v>
                </c:pt>
                <c:pt idx="6">
                  <c:v>92713</c:v>
                </c:pt>
                <c:pt idx="7">
                  <c:v>93653</c:v>
                </c:pt>
                <c:pt idx="8">
                  <c:v>94404</c:v>
                </c:pt>
                <c:pt idx="9">
                  <c:v>95135</c:v>
                </c:pt>
                <c:pt idx="10">
                  <c:v>95461</c:v>
                </c:pt>
                <c:pt idx="11">
                  <c:v>95996</c:v>
                </c:pt>
                <c:pt idx="12">
                  <c:v>96738</c:v>
                </c:pt>
                <c:pt idx="13">
                  <c:v>97732</c:v>
                </c:pt>
                <c:pt idx="14">
                  <c:v>99171</c:v>
                </c:pt>
                <c:pt idx="15">
                  <c:v>100182</c:v>
                </c:pt>
              </c:numCache>
            </c:numRef>
          </c:val>
          <c:smooth val="0"/>
          <c:extLst>
            <c:ext xmlns:c16="http://schemas.microsoft.com/office/drawing/2014/chart" uri="{C3380CC4-5D6E-409C-BE32-E72D297353CC}">
              <c16:uniqueId val="{00000001-9EF9-4FB3-A9A3-950A4D6CB6AF}"/>
            </c:ext>
          </c:extLst>
        </c:ser>
        <c:ser>
          <c:idx val="2"/>
          <c:order val="2"/>
          <c:tx>
            <c:strRef>
              <c:f>Sheet1!$D$1</c:f>
              <c:strCache>
                <c:ptCount val="1"/>
                <c:pt idx="0">
                  <c:v>2018-SNPP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7">
                  <c:v>101491</c:v>
                </c:pt>
                <c:pt idx="18">
                  <c:v>102357.42799999999</c:v>
                </c:pt>
                <c:pt idx="19">
                  <c:v>103155.93</c:v>
                </c:pt>
                <c:pt idx="20">
                  <c:v>103917.62399999998</c:v>
                </c:pt>
                <c:pt idx="21">
                  <c:v>104640.10199999998</c:v>
                </c:pt>
                <c:pt idx="22">
                  <c:v>105320.93499999997</c:v>
                </c:pt>
                <c:pt idx="23">
                  <c:v>105967.609</c:v>
                </c:pt>
                <c:pt idx="24">
                  <c:v>106569.09199999998</c:v>
                </c:pt>
                <c:pt idx="25">
                  <c:v>107147.12299999999</c:v>
                </c:pt>
                <c:pt idx="26">
                  <c:v>107709.67399999997</c:v>
                </c:pt>
                <c:pt idx="27">
                  <c:v>108261.54999999997</c:v>
                </c:pt>
                <c:pt idx="28">
                  <c:v>108792.73799999998</c:v>
                </c:pt>
                <c:pt idx="29">
                  <c:v>109307.63899999998</c:v>
                </c:pt>
                <c:pt idx="30">
                  <c:v>109797.47499999998</c:v>
                </c:pt>
                <c:pt idx="31">
                  <c:v>110275.03399999997</c:v>
                </c:pt>
                <c:pt idx="32">
                  <c:v>110749.85799999998</c:v>
                </c:pt>
                <c:pt idx="33">
                  <c:v>111219.48599999996</c:v>
                </c:pt>
                <c:pt idx="34">
                  <c:v>111677.61299999998</c:v>
                </c:pt>
                <c:pt idx="35">
                  <c:v>112133.05299999999</c:v>
                </c:pt>
                <c:pt idx="36">
                  <c:v>112586.94099999998</c:v>
                </c:pt>
                <c:pt idx="37">
                  <c:v>113039.12099999996</c:v>
                </c:pt>
                <c:pt idx="38">
                  <c:v>113481.58899999996</c:v>
                </c:pt>
                <c:pt idx="39">
                  <c:v>113917.03399999999</c:v>
                </c:pt>
              </c:numCache>
            </c:numRef>
          </c:val>
          <c:smooth val="0"/>
          <c:extLst>
            <c:ext xmlns:c16="http://schemas.microsoft.com/office/drawing/2014/chart" uri="{C3380CC4-5D6E-409C-BE32-E72D297353CC}">
              <c16:uniqueId val="{00000002-9EF9-4FB3-A9A3-950A4D6CB6AF}"/>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97732</c:v>
                </c:pt>
                <c:pt idx="14">
                  <c:v>98506.611000000004</c:v>
                </c:pt>
                <c:pt idx="15">
                  <c:v>99258.422000000006</c:v>
                </c:pt>
                <c:pt idx="16">
                  <c:v>99984.025999999998</c:v>
                </c:pt>
                <c:pt idx="17">
                  <c:v>100719.249</c:v>
                </c:pt>
                <c:pt idx="18">
                  <c:v>101436.75</c:v>
                </c:pt>
                <c:pt idx="19">
                  <c:v>102143.292</c:v>
                </c:pt>
                <c:pt idx="20">
                  <c:v>102849.24</c:v>
                </c:pt>
                <c:pt idx="21">
                  <c:v>103567.501</c:v>
                </c:pt>
                <c:pt idx="22">
                  <c:v>104276.24800000001</c:v>
                </c:pt>
                <c:pt idx="23">
                  <c:v>104988.546</c:v>
                </c:pt>
                <c:pt idx="24">
                  <c:v>105686.417</c:v>
                </c:pt>
                <c:pt idx="25">
                  <c:v>106375.981</c:v>
                </c:pt>
                <c:pt idx="26">
                  <c:v>107051.84299999999</c:v>
                </c:pt>
                <c:pt idx="27">
                  <c:v>107722.929</c:v>
                </c:pt>
                <c:pt idx="28">
                  <c:v>108378.4</c:v>
                </c:pt>
                <c:pt idx="29">
                  <c:v>109024.17200000001</c:v>
                </c:pt>
                <c:pt idx="30">
                  <c:v>109648.16</c:v>
                </c:pt>
                <c:pt idx="31">
                  <c:v>110262.35799999999</c:v>
                </c:pt>
                <c:pt idx="32">
                  <c:v>110875.64200000001</c:v>
                </c:pt>
                <c:pt idx="33">
                  <c:v>111490.84699999999</c:v>
                </c:pt>
                <c:pt idx="34">
                  <c:v>112090.87300000001</c:v>
                </c:pt>
                <c:pt idx="35">
                  <c:v>112677.333</c:v>
                </c:pt>
                <c:pt idx="36">
                  <c:v>113252.27</c:v>
                </c:pt>
                <c:pt idx="37">
                  <c:v>113815.859</c:v>
                </c:pt>
                <c:pt idx="38">
                  <c:v>114370.36599999999</c:v>
                </c:pt>
              </c:numCache>
            </c:numRef>
          </c:val>
          <c:smooth val="0"/>
          <c:extLst>
            <c:ext xmlns:c16="http://schemas.microsoft.com/office/drawing/2014/chart" uri="{C3380CC4-5D6E-409C-BE32-E72D297353CC}">
              <c16:uniqueId val="{00000003-9EF9-4FB3-A9A3-950A4D6CB6AF}"/>
            </c:ext>
          </c:extLst>
        </c:ser>
        <c:ser>
          <c:idx val="4"/>
          <c:order val="4"/>
          <c:tx>
            <c:strRef>
              <c:f>Sheet1!$F$1</c:f>
              <c:strCache>
                <c:ptCount val="1"/>
                <c:pt idx="0">
                  <c:v>GLH (SM)</c:v>
                </c:pt>
              </c:strCache>
            </c:strRef>
          </c:tx>
          <c:spPr>
            <a:ln w="28575" cap="rnd">
              <a:solidFill>
                <a:schemeClr val="accent5"/>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101922.25810852158</c:v>
                </c:pt>
                <c:pt idx="18">
                  <c:v>102151.48018286192</c:v>
                </c:pt>
                <c:pt idx="19">
                  <c:v>102749.48740562101</c:v>
                </c:pt>
                <c:pt idx="20">
                  <c:v>103857.44555250098</c:v>
                </c:pt>
                <c:pt idx="21">
                  <c:v>104929.35917982267</c:v>
                </c:pt>
                <c:pt idx="22">
                  <c:v>105963.87951315465</c:v>
                </c:pt>
                <c:pt idx="23">
                  <c:v>106967.7210089986</c:v>
                </c:pt>
                <c:pt idx="24">
                  <c:v>107930.738291015</c:v>
                </c:pt>
                <c:pt idx="25">
                  <c:v>108872.3806470347</c:v>
                </c:pt>
                <c:pt idx="26">
                  <c:v>109803.24942822513</c:v>
                </c:pt>
                <c:pt idx="27">
                  <c:v>110727.86775713722</c:v>
                </c:pt>
                <c:pt idx="28">
                  <c:v>111636.26331884769</c:v>
                </c:pt>
                <c:pt idx="29">
                  <c:v>112533.20403074023</c:v>
                </c:pt>
                <c:pt idx="30">
                  <c:v>113407.72227436944</c:v>
                </c:pt>
                <c:pt idx="31">
                  <c:v>114272.7438229642</c:v>
                </c:pt>
                <c:pt idx="32">
                  <c:v>115136.13055318146</c:v>
                </c:pt>
                <c:pt idx="33">
                  <c:v>115996.31671385324</c:v>
                </c:pt>
                <c:pt idx="34">
                  <c:v>116843.12566242088</c:v>
                </c:pt>
                <c:pt idx="35">
                  <c:v>117692.26083689573</c:v>
                </c:pt>
                <c:pt idx="36">
                  <c:v>118535.2535134113</c:v>
                </c:pt>
                <c:pt idx="37">
                  <c:v>119376.05784226804</c:v>
                </c:pt>
                <c:pt idx="38">
                  <c:v>120202.91978764378</c:v>
                </c:pt>
                <c:pt idx="39">
                  <c:v>121019.73782196616</c:v>
                </c:pt>
              </c:numCache>
            </c:numRef>
          </c:val>
          <c:smooth val="0"/>
          <c:extLst>
            <c:ext xmlns:c16="http://schemas.microsoft.com/office/drawing/2014/chart" uri="{C3380CC4-5D6E-409C-BE32-E72D297353CC}">
              <c16:uniqueId val="{00000004-9EF9-4FB3-A9A3-950A4D6CB6AF}"/>
            </c:ext>
          </c:extLst>
        </c:ser>
        <c:dLbls>
          <c:showLegendKey val="0"/>
          <c:showVal val="0"/>
          <c:showCatName val="0"/>
          <c:showSerName val="0"/>
          <c:showPercent val="0"/>
          <c:showBubbleSize val="0"/>
        </c:dLbls>
        <c:smooth val="0"/>
        <c:axId val="1221721280"/>
        <c:axId val="1221732160"/>
      </c:lineChart>
      <c:catAx>
        <c:axId val="122172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32160"/>
        <c:crosses val="autoZero"/>
        <c:auto val="1"/>
        <c:lblAlgn val="ctr"/>
        <c:lblOffset val="100"/>
        <c:noMultiLvlLbl val="0"/>
      </c:catAx>
      <c:valAx>
        <c:axId val="1221732160"/>
        <c:scaling>
          <c:orientation val="minMax"/>
          <c:min val="8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2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157189</c:v>
                </c:pt>
                <c:pt idx="1">
                  <c:v>158476</c:v>
                </c:pt>
                <c:pt idx="2">
                  <c:v>159626</c:v>
                </c:pt>
                <c:pt idx="3">
                  <c:v>162654</c:v>
                </c:pt>
                <c:pt idx="4">
                  <c:v>162822</c:v>
                </c:pt>
                <c:pt idx="5">
                  <c:v>163896</c:v>
                </c:pt>
                <c:pt idx="6">
                  <c:v>164764</c:v>
                </c:pt>
                <c:pt idx="7">
                  <c:v>166346</c:v>
                </c:pt>
                <c:pt idx="8">
                  <c:v>167052</c:v>
                </c:pt>
                <c:pt idx="9">
                  <c:v>168352</c:v>
                </c:pt>
                <c:pt idx="10">
                  <c:v>170039</c:v>
                </c:pt>
                <c:pt idx="11">
                  <c:v>171206</c:v>
                </c:pt>
                <c:pt idx="12">
                  <c:v>172147</c:v>
                </c:pt>
                <c:pt idx="13">
                  <c:v>173883</c:v>
                </c:pt>
                <c:pt idx="14">
                  <c:v>175334</c:v>
                </c:pt>
                <c:pt idx="15">
                  <c:v>176095</c:v>
                </c:pt>
                <c:pt idx="16">
                  <c:v>176979</c:v>
                </c:pt>
                <c:pt idx="17">
                  <c:v>177352</c:v>
                </c:pt>
              </c:numCache>
            </c:numRef>
          </c:val>
          <c:smooth val="0"/>
          <c:extLst>
            <c:ext xmlns:c16="http://schemas.microsoft.com/office/drawing/2014/chart" uri="{C3380CC4-5D6E-409C-BE32-E72D297353CC}">
              <c16:uniqueId val="{00000000-6CDA-443D-9CAA-321DE14A531A}"/>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157189</c:v>
                </c:pt>
                <c:pt idx="1">
                  <c:v>158476</c:v>
                </c:pt>
                <c:pt idx="2">
                  <c:v>159626</c:v>
                </c:pt>
                <c:pt idx="3">
                  <c:v>162654</c:v>
                </c:pt>
                <c:pt idx="4">
                  <c:v>162822</c:v>
                </c:pt>
                <c:pt idx="5">
                  <c:v>163896</c:v>
                </c:pt>
                <c:pt idx="6">
                  <c:v>164764</c:v>
                </c:pt>
                <c:pt idx="7">
                  <c:v>166346</c:v>
                </c:pt>
                <c:pt idx="8">
                  <c:v>167052</c:v>
                </c:pt>
                <c:pt idx="9">
                  <c:v>168352</c:v>
                </c:pt>
                <c:pt idx="10">
                  <c:v>170039</c:v>
                </c:pt>
                <c:pt idx="11">
                  <c:v>171023</c:v>
                </c:pt>
                <c:pt idx="12">
                  <c:v>171989</c:v>
                </c:pt>
                <c:pt idx="13">
                  <c:v>173605</c:v>
                </c:pt>
                <c:pt idx="14">
                  <c:v>174966</c:v>
                </c:pt>
                <c:pt idx="15">
                  <c:v>175666</c:v>
                </c:pt>
              </c:numCache>
            </c:numRef>
          </c:val>
          <c:smooth val="0"/>
          <c:extLst>
            <c:ext xmlns:c16="http://schemas.microsoft.com/office/drawing/2014/chart" uri="{C3380CC4-5D6E-409C-BE32-E72D297353CC}">
              <c16:uniqueId val="{00000001-6CDA-443D-9CAA-321DE14A531A}"/>
            </c:ext>
          </c:extLst>
        </c:ser>
        <c:ser>
          <c:idx val="2"/>
          <c:order val="2"/>
          <c:tx>
            <c:strRef>
              <c:f>Sheet1!$D$1</c:f>
              <c:strCache>
                <c:ptCount val="1"/>
                <c:pt idx="0">
                  <c:v>2016-SNPP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5">
                  <c:v>176095</c:v>
                </c:pt>
                <c:pt idx="16">
                  <c:v>177022.899</c:v>
                </c:pt>
                <c:pt idx="17">
                  <c:v>178032.024</c:v>
                </c:pt>
                <c:pt idx="18">
                  <c:v>179078.48199999999</c:v>
                </c:pt>
                <c:pt idx="19">
                  <c:v>180120.22500000001</c:v>
                </c:pt>
                <c:pt idx="20">
                  <c:v>181174.47200000001</c:v>
                </c:pt>
                <c:pt idx="21">
                  <c:v>182205.595</c:v>
                </c:pt>
                <c:pt idx="22">
                  <c:v>183184.04300000001</c:v>
                </c:pt>
                <c:pt idx="23">
                  <c:v>184105.497</c:v>
                </c:pt>
                <c:pt idx="24">
                  <c:v>185000.736</c:v>
                </c:pt>
                <c:pt idx="25">
                  <c:v>185843.527</c:v>
                </c:pt>
                <c:pt idx="26">
                  <c:v>186651.48800000001</c:v>
                </c:pt>
                <c:pt idx="27">
                  <c:v>187412.209</c:v>
                </c:pt>
                <c:pt idx="28">
                  <c:v>188155.13500000001</c:v>
                </c:pt>
                <c:pt idx="29">
                  <c:v>188869.68599999999</c:v>
                </c:pt>
                <c:pt idx="30">
                  <c:v>189527.48499999999</c:v>
                </c:pt>
                <c:pt idx="31">
                  <c:v>190163.67</c:v>
                </c:pt>
                <c:pt idx="32">
                  <c:v>190813.69099999999</c:v>
                </c:pt>
                <c:pt idx="33">
                  <c:v>191454.663</c:v>
                </c:pt>
                <c:pt idx="34">
                  <c:v>192062.821</c:v>
                </c:pt>
                <c:pt idx="35">
                  <c:v>192682.03599999999</c:v>
                </c:pt>
                <c:pt idx="36">
                  <c:v>193292.71400000001</c:v>
                </c:pt>
                <c:pt idx="37">
                  <c:v>193899.658</c:v>
                </c:pt>
                <c:pt idx="38">
                  <c:v>194505.81899999999</c:v>
                </c:pt>
                <c:pt idx="39">
                  <c:v>195118.899</c:v>
                </c:pt>
              </c:numCache>
            </c:numRef>
          </c:val>
          <c:smooth val="0"/>
          <c:extLst>
            <c:ext xmlns:c16="http://schemas.microsoft.com/office/drawing/2014/chart" uri="{C3380CC4-5D6E-409C-BE32-E72D297353CC}">
              <c16:uniqueId val="{00000002-6CDA-443D-9CAA-321DE14A531A}"/>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173605</c:v>
                </c:pt>
                <c:pt idx="14">
                  <c:v>175079.11499999999</c:v>
                </c:pt>
                <c:pt idx="15">
                  <c:v>176587.609</c:v>
                </c:pt>
                <c:pt idx="16">
                  <c:v>178112.09099999999</c:v>
                </c:pt>
                <c:pt idx="17">
                  <c:v>179658.82</c:v>
                </c:pt>
                <c:pt idx="18">
                  <c:v>181224.59599999999</c:v>
                </c:pt>
                <c:pt idx="19">
                  <c:v>182778.78899999999</c:v>
                </c:pt>
                <c:pt idx="20">
                  <c:v>184338.981</c:v>
                </c:pt>
                <c:pt idx="21">
                  <c:v>185896.09</c:v>
                </c:pt>
                <c:pt idx="22">
                  <c:v>187413.53599999999</c:v>
                </c:pt>
                <c:pt idx="23">
                  <c:v>188877.20499999999</c:v>
                </c:pt>
                <c:pt idx="24">
                  <c:v>190318.943</c:v>
                </c:pt>
                <c:pt idx="25">
                  <c:v>191706.367</c:v>
                </c:pt>
                <c:pt idx="26">
                  <c:v>193053.61499999999</c:v>
                </c:pt>
                <c:pt idx="27">
                  <c:v>194359.33799999999</c:v>
                </c:pt>
                <c:pt idx="28">
                  <c:v>195642.905</c:v>
                </c:pt>
                <c:pt idx="29">
                  <c:v>196890.717</c:v>
                </c:pt>
                <c:pt idx="30">
                  <c:v>198075.56200000001</c:v>
                </c:pt>
                <c:pt idx="31">
                  <c:v>199248.41899999999</c:v>
                </c:pt>
                <c:pt idx="32">
                  <c:v>200426.19899999999</c:v>
                </c:pt>
                <c:pt idx="33">
                  <c:v>201592.25200000001</c:v>
                </c:pt>
                <c:pt idx="34">
                  <c:v>202725.69399999999</c:v>
                </c:pt>
                <c:pt idx="35">
                  <c:v>203824.39</c:v>
                </c:pt>
                <c:pt idx="36">
                  <c:v>204899.10200000001</c:v>
                </c:pt>
                <c:pt idx="37">
                  <c:v>205960.014</c:v>
                </c:pt>
                <c:pt idx="38">
                  <c:v>207012.04500000001</c:v>
                </c:pt>
              </c:numCache>
            </c:numRef>
          </c:val>
          <c:smooth val="0"/>
          <c:extLst>
            <c:ext xmlns:c16="http://schemas.microsoft.com/office/drawing/2014/chart" uri="{C3380CC4-5D6E-409C-BE32-E72D297353CC}">
              <c16:uniqueId val="{00000003-6CDA-443D-9CAA-321DE14A531A}"/>
            </c:ext>
          </c:extLst>
        </c:ser>
        <c:ser>
          <c:idx val="4"/>
          <c:order val="4"/>
          <c:tx>
            <c:strRef>
              <c:f>Sheet1!$F$1</c:f>
              <c:strCache>
                <c:ptCount val="1"/>
                <c:pt idx="0">
                  <c:v>GLH (SM)</c:v>
                </c:pt>
              </c:strCache>
            </c:strRef>
          </c:tx>
          <c:spPr>
            <a:ln w="28575" cap="rnd">
              <a:solidFill>
                <a:schemeClr val="accent5"/>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178535</c:v>
                </c:pt>
                <c:pt idx="18">
                  <c:v>180371.1287477166</c:v>
                </c:pt>
                <c:pt idx="19">
                  <c:v>182131.06519106982</c:v>
                </c:pt>
                <c:pt idx="20">
                  <c:v>184119.38103593234</c:v>
                </c:pt>
                <c:pt idx="21">
                  <c:v>186097.96868811536</c:v>
                </c:pt>
                <c:pt idx="22">
                  <c:v>188040.30924926378</c:v>
                </c:pt>
                <c:pt idx="23">
                  <c:v>189947.22224610986</c:v>
                </c:pt>
                <c:pt idx="24">
                  <c:v>191847.66965116735</c:v>
                </c:pt>
                <c:pt idx="25">
                  <c:v>193718.16091487196</c:v>
                </c:pt>
                <c:pt idx="26">
                  <c:v>195570.76729472604</c:v>
                </c:pt>
                <c:pt idx="27">
                  <c:v>197392.316366916</c:v>
                </c:pt>
                <c:pt idx="28">
                  <c:v>199218.55350509466</c:v>
                </c:pt>
                <c:pt idx="29">
                  <c:v>201027.4400610943</c:v>
                </c:pt>
                <c:pt idx="30">
                  <c:v>202792.47489529624</c:v>
                </c:pt>
                <c:pt idx="31">
                  <c:v>204545.24311927572</c:v>
                </c:pt>
                <c:pt idx="32">
                  <c:v>206315.96880384098</c:v>
                </c:pt>
                <c:pt idx="33">
                  <c:v>208082.11147476098</c:v>
                </c:pt>
                <c:pt idx="34">
                  <c:v>209820.42865296802</c:v>
                </c:pt>
                <c:pt idx="35">
                  <c:v>211567.70230324136</c:v>
                </c:pt>
                <c:pt idx="36">
                  <c:v>213300.46261563845</c:v>
                </c:pt>
                <c:pt idx="37">
                  <c:v>215026.9741543472</c:v>
                </c:pt>
                <c:pt idx="38">
                  <c:v>216751.73771498303</c:v>
                </c:pt>
                <c:pt idx="39">
                  <c:v>218473.4450314292</c:v>
                </c:pt>
              </c:numCache>
            </c:numRef>
          </c:val>
          <c:smooth val="0"/>
          <c:extLst>
            <c:ext xmlns:c16="http://schemas.microsoft.com/office/drawing/2014/chart" uri="{C3380CC4-5D6E-409C-BE32-E72D297353CC}">
              <c16:uniqueId val="{00000004-6CDA-443D-9CAA-321DE14A531A}"/>
            </c:ext>
          </c:extLst>
        </c:ser>
        <c:dLbls>
          <c:showLegendKey val="0"/>
          <c:showVal val="0"/>
          <c:showCatName val="0"/>
          <c:showSerName val="0"/>
          <c:showPercent val="0"/>
          <c:showBubbleSize val="0"/>
        </c:dLbls>
        <c:smooth val="0"/>
        <c:axId val="1221728352"/>
        <c:axId val="1221728896"/>
      </c:lineChart>
      <c:catAx>
        <c:axId val="12217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28896"/>
        <c:crosses val="autoZero"/>
        <c:auto val="1"/>
        <c:lblAlgn val="ctr"/>
        <c:lblOffset val="100"/>
        <c:noMultiLvlLbl val="0"/>
      </c:catAx>
      <c:valAx>
        <c:axId val="1221728896"/>
        <c:scaling>
          <c:orientation val="minMax"/>
          <c:min val="1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2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130476</c:v>
                </c:pt>
                <c:pt idx="1">
                  <c:v>131893</c:v>
                </c:pt>
                <c:pt idx="2">
                  <c:v>134057</c:v>
                </c:pt>
                <c:pt idx="3">
                  <c:v>135645</c:v>
                </c:pt>
                <c:pt idx="4">
                  <c:v>137420</c:v>
                </c:pt>
                <c:pt idx="5">
                  <c:v>139264</c:v>
                </c:pt>
                <c:pt idx="6">
                  <c:v>141484</c:v>
                </c:pt>
                <c:pt idx="7">
                  <c:v>143591</c:v>
                </c:pt>
                <c:pt idx="8">
                  <c:v>145679</c:v>
                </c:pt>
                <c:pt idx="9">
                  <c:v>147890</c:v>
                </c:pt>
                <c:pt idx="10">
                  <c:v>149842</c:v>
                </c:pt>
                <c:pt idx="11">
                  <c:v>150906</c:v>
                </c:pt>
                <c:pt idx="12">
                  <c:v>151188</c:v>
                </c:pt>
                <c:pt idx="13">
                  <c:v>152932</c:v>
                </c:pt>
                <c:pt idx="14">
                  <c:v>154488</c:v>
                </c:pt>
                <c:pt idx="15">
                  <c:v>156020</c:v>
                </c:pt>
                <c:pt idx="16">
                  <c:v>156705</c:v>
                </c:pt>
                <c:pt idx="17">
                  <c:v>157519</c:v>
                </c:pt>
                <c:pt idx="18">
                  <c:v>159086</c:v>
                </c:pt>
              </c:numCache>
            </c:numRef>
          </c:val>
          <c:smooth val="0"/>
          <c:extLst>
            <c:ext xmlns:c16="http://schemas.microsoft.com/office/drawing/2014/chart" uri="{C3380CC4-5D6E-409C-BE32-E72D297353CC}">
              <c16:uniqueId val="{00000000-FC51-479C-9273-E2B6F340A064}"/>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130476</c:v>
                </c:pt>
                <c:pt idx="1">
                  <c:v>131893</c:v>
                </c:pt>
                <c:pt idx="2">
                  <c:v>134057</c:v>
                </c:pt>
                <c:pt idx="3">
                  <c:v>135645</c:v>
                </c:pt>
                <c:pt idx="4">
                  <c:v>137420</c:v>
                </c:pt>
                <c:pt idx="5">
                  <c:v>139264</c:v>
                </c:pt>
                <c:pt idx="6">
                  <c:v>141484</c:v>
                </c:pt>
                <c:pt idx="7">
                  <c:v>143591</c:v>
                </c:pt>
                <c:pt idx="8">
                  <c:v>145679</c:v>
                </c:pt>
                <c:pt idx="9">
                  <c:v>147890</c:v>
                </c:pt>
                <c:pt idx="10">
                  <c:v>149842</c:v>
                </c:pt>
                <c:pt idx="11">
                  <c:v>151068</c:v>
                </c:pt>
                <c:pt idx="12">
                  <c:v>151467</c:v>
                </c:pt>
                <c:pt idx="13">
                  <c:v>153281</c:v>
                </c:pt>
                <c:pt idx="14">
                  <c:v>154888</c:v>
                </c:pt>
                <c:pt idx="15">
                  <c:v>156468</c:v>
                </c:pt>
              </c:numCache>
            </c:numRef>
          </c:val>
          <c:smooth val="0"/>
          <c:extLst>
            <c:ext xmlns:c16="http://schemas.microsoft.com/office/drawing/2014/chart" uri="{C3380CC4-5D6E-409C-BE32-E72D297353CC}">
              <c16:uniqueId val="{00000001-FC51-479C-9273-E2B6F340A064}"/>
            </c:ext>
          </c:extLst>
        </c:ser>
        <c:ser>
          <c:idx val="2"/>
          <c:order val="2"/>
          <c:tx>
            <c:strRef>
              <c:f>Sheet1!$D$1</c:f>
              <c:strCache>
                <c:ptCount val="1"/>
                <c:pt idx="0">
                  <c:v>2018-SNPP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7">
                  <c:v>157519</c:v>
                </c:pt>
                <c:pt idx="18">
                  <c:v>158661.94399999996</c:v>
                </c:pt>
                <c:pt idx="19">
                  <c:v>159707.48299999989</c:v>
                </c:pt>
                <c:pt idx="20">
                  <c:v>160665.08199999991</c:v>
                </c:pt>
                <c:pt idx="21">
                  <c:v>161512.42999999993</c:v>
                </c:pt>
                <c:pt idx="22">
                  <c:v>162278.11099999998</c:v>
                </c:pt>
                <c:pt idx="23">
                  <c:v>162936.32000000001</c:v>
                </c:pt>
                <c:pt idx="24">
                  <c:v>163494.39299999992</c:v>
                </c:pt>
                <c:pt idx="25">
                  <c:v>163990.02999999988</c:v>
                </c:pt>
                <c:pt idx="26">
                  <c:v>164403.68999999992</c:v>
                </c:pt>
                <c:pt idx="27">
                  <c:v>164767.01299999992</c:v>
                </c:pt>
                <c:pt idx="28">
                  <c:v>165111.85699999993</c:v>
                </c:pt>
                <c:pt idx="29">
                  <c:v>165414.97699999993</c:v>
                </c:pt>
                <c:pt idx="30">
                  <c:v>165692.51999999996</c:v>
                </c:pt>
                <c:pt idx="31">
                  <c:v>165952.00399999993</c:v>
                </c:pt>
                <c:pt idx="32">
                  <c:v>166205.39299999992</c:v>
                </c:pt>
                <c:pt idx="33">
                  <c:v>166459.41099999996</c:v>
                </c:pt>
                <c:pt idx="34">
                  <c:v>166680.13599999988</c:v>
                </c:pt>
                <c:pt idx="35">
                  <c:v>166928.12799999997</c:v>
                </c:pt>
                <c:pt idx="36">
                  <c:v>167210.47299999988</c:v>
                </c:pt>
                <c:pt idx="37">
                  <c:v>167530.51699999993</c:v>
                </c:pt>
                <c:pt idx="38">
                  <c:v>167874.69399999987</c:v>
                </c:pt>
                <c:pt idx="39">
                  <c:v>168234.15299999993</c:v>
                </c:pt>
              </c:numCache>
            </c:numRef>
          </c:val>
          <c:smooth val="0"/>
          <c:extLst>
            <c:ext xmlns:c16="http://schemas.microsoft.com/office/drawing/2014/chart" uri="{C3380CC4-5D6E-409C-BE32-E72D297353CC}">
              <c16:uniqueId val="{00000002-FC51-479C-9273-E2B6F340A064}"/>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153281</c:v>
                </c:pt>
                <c:pt idx="14">
                  <c:v>155208.965</c:v>
                </c:pt>
                <c:pt idx="15">
                  <c:v>157136.764</c:v>
                </c:pt>
                <c:pt idx="16">
                  <c:v>159038.549</c:v>
                </c:pt>
                <c:pt idx="17">
                  <c:v>160936.08300000001</c:v>
                </c:pt>
                <c:pt idx="18">
                  <c:v>162811.92000000001</c:v>
                </c:pt>
                <c:pt idx="19">
                  <c:v>164644.53599999999</c:v>
                </c:pt>
                <c:pt idx="20">
                  <c:v>166411.095</c:v>
                </c:pt>
                <c:pt idx="21">
                  <c:v>168124.48800000001</c:v>
                </c:pt>
                <c:pt idx="22">
                  <c:v>169787.663</c:v>
                </c:pt>
                <c:pt idx="23">
                  <c:v>171387.88200000001</c:v>
                </c:pt>
                <c:pt idx="24">
                  <c:v>172927.764</c:v>
                </c:pt>
                <c:pt idx="25">
                  <c:v>174397.848</c:v>
                </c:pt>
                <c:pt idx="26">
                  <c:v>175785.416</c:v>
                </c:pt>
                <c:pt idx="27">
                  <c:v>177111.19699999999</c:v>
                </c:pt>
                <c:pt idx="28">
                  <c:v>178416.34</c:v>
                </c:pt>
                <c:pt idx="29">
                  <c:v>179667.78099999999</c:v>
                </c:pt>
                <c:pt idx="30">
                  <c:v>180879.66200000001</c:v>
                </c:pt>
                <c:pt idx="31">
                  <c:v>182061.204</c:v>
                </c:pt>
                <c:pt idx="32">
                  <c:v>183226.19200000001</c:v>
                </c:pt>
                <c:pt idx="33">
                  <c:v>184370.28099999999</c:v>
                </c:pt>
                <c:pt idx="34">
                  <c:v>185466.266</c:v>
                </c:pt>
                <c:pt idx="35">
                  <c:v>186523.37599999999</c:v>
                </c:pt>
                <c:pt idx="36">
                  <c:v>187543.53899999999</c:v>
                </c:pt>
                <c:pt idx="37">
                  <c:v>188546.443</c:v>
                </c:pt>
                <c:pt idx="38">
                  <c:v>189541.508</c:v>
                </c:pt>
              </c:numCache>
            </c:numRef>
          </c:val>
          <c:smooth val="0"/>
          <c:extLst>
            <c:ext xmlns:c16="http://schemas.microsoft.com/office/drawing/2014/chart" uri="{C3380CC4-5D6E-409C-BE32-E72D297353CC}">
              <c16:uniqueId val="{00000003-FC51-479C-9273-E2B6F340A064}"/>
            </c:ext>
          </c:extLst>
        </c:ser>
        <c:ser>
          <c:idx val="4"/>
          <c:order val="4"/>
          <c:tx>
            <c:strRef>
              <c:f>Sheet1!$F$1</c:f>
              <c:strCache>
                <c:ptCount val="1"/>
                <c:pt idx="0">
                  <c:v>GLH (SM)</c:v>
                </c:pt>
              </c:strCache>
            </c:strRef>
          </c:tx>
          <c:spPr>
            <a:ln w="28575" cap="rnd">
              <a:solidFill>
                <a:schemeClr val="accent5"/>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158906.63071143351</c:v>
                </c:pt>
                <c:pt idx="18">
                  <c:v>160282.8046391817</c:v>
                </c:pt>
                <c:pt idx="19">
                  <c:v>162356.59557528488</c:v>
                </c:pt>
                <c:pt idx="20">
                  <c:v>164734.87625515938</c:v>
                </c:pt>
                <c:pt idx="21">
                  <c:v>167025.85434042948</c:v>
                </c:pt>
                <c:pt idx="22">
                  <c:v>169260.92419651302</c:v>
                </c:pt>
                <c:pt idx="23">
                  <c:v>171414.56543554954</c:v>
                </c:pt>
                <c:pt idx="24">
                  <c:v>173496.00398489446</c:v>
                </c:pt>
                <c:pt idx="25">
                  <c:v>175545.15477835078</c:v>
                </c:pt>
                <c:pt idx="26">
                  <c:v>177544.79921235464</c:v>
                </c:pt>
                <c:pt idx="27">
                  <c:v>179525.95298725623</c:v>
                </c:pt>
                <c:pt idx="28">
                  <c:v>181518.54822876072</c:v>
                </c:pt>
                <c:pt idx="29">
                  <c:v>183499.19447182788</c:v>
                </c:pt>
                <c:pt idx="30">
                  <c:v>185484.90756707097</c:v>
                </c:pt>
                <c:pt idx="31">
                  <c:v>187478.75311546086</c:v>
                </c:pt>
                <c:pt idx="32">
                  <c:v>189490.15670625321</c:v>
                </c:pt>
                <c:pt idx="33">
                  <c:v>191524.20901870204</c:v>
                </c:pt>
                <c:pt idx="34">
                  <c:v>193545.84496103326</c:v>
                </c:pt>
                <c:pt idx="35">
                  <c:v>195614.88408164607</c:v>
                </c:pt>
                <c:pt idx="36">
                  <c:v>197727.85492448619</c:v>
                </c:pt>
                <c:pt idx="37">
                  <c:v>199890.20966671343</c:v>
                </c:pt>
                <c:pt idx="38">
                  <c:v>202084.47553567629</c:v>
                </c:pt>
                <c:pt idx="39">
                  <c:v>204298.27905062726</c:v>
                </c:pt>
              </c:numCache>
            </c:numRef>
          </c:val>
          <c:smooth val="0"/>
          <c:extLst>
            <c:ext xmlns:c16="http://schemas.microsoft.com/office/drawing/2014/chart" uri="{C3380CC4-5D6E-409C-BE32-E72D297353CC}">
              <c16:uniqueId val="{00000004-FC51-479C-9273-E2B6F340A064}"/>
            </c:ext>
          </c:extLst>
        </c:ser>
        <c:dLbls>
          <c:showLegendKey val="0"/>
          <c:showVal val="0"/>
          <c:showCatName val="0"/>
          <c:showSerName val="0"/>
          <c:showPercent val="0"/>
          <c:showBubbleSize val="0"/>
        </c:dLbls>
        <c:smooth val="0"/>
        <c:axId val="1221740864"/>
        <c:axId val="1221731072"/>
      </c:lineChart>
      <c:catAx>
        <c:axId val="12217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31072"/>
        <c:crosses val="autoZero"/>
        <c:auto val="1"/>
        <c:lblAlgn val="ctr"/>
        <c:lblOffset val="100"/>
        <c:noMultiLvlLbl val="0"/>
      </c:catAx>
      <c:valAx>
        <c:axId val="1221731072"/>
        <c:scaling>
          <c:orientation val="minMax"/>
          <c:min val="12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4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MYE</c:v>
                </c:pt>
              </c:strCache>
            </c:strRef>
          </c:tx>
          <c:spPr>
            <a:ln w="28575" cap="rnd">
              <a:solidFill>
                <a:schemeClr val="accent1"/>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Sheet1!$B$2:$B$41</c:f>
              <c:numCache>
                <c:formatCode>General</c:formatCode>
                <c:ptCount val="40"/>
                <c:pt idx="0">
                  <c:v>154468</c:v>
                </c:pt>
                <c:pt idx="1">
                  <c:v>155991</c:v>
                </c:pt>
                <c:pt idx="2">
                  <c:v>157990</c:v>
                </c:pt>
                <c:pt idx="3">
                  <c:v>159469</c:v>
                </c:pt>
                <c:pt idx="4">
                  <c:v>161406</c:v>
                </c:pt>
                <c:pt idx="5">
                  <c:v>162408</c:v>
                </c:pt>
                <c:pt idx="6">
                  <c:v>163691</c:v>
                </c:pt>
                <c:pt idx="7">
                  <c:v>164959</c:v>
                </c:pt>
                <c:pt idx="8">
                  <c:v>166325</c:v>
                </c:pt>
                <c:pt idx="9">
                  <c:v>168604</c:v>
                </c:pt>
                <c:pt idx="10">
                  <c:v>171481</c:v>
                </c:pt>
                <c:pt idx="11">
                  <c:v>171468</c:v>
                </c:pt>
                <c:pt idx="12">
                  <c:v>171679</c:v>
                </c:pt>
                <c:pt idx="13">
                  <c:v>174882</c:v>
                </c:pt>
                <c:pt idx="14">
                  <c:v>176625</c:v>
                </c:pt>
                <c:pt idx="15">
                  <c:v>176687</c:v>
                </c:pt>
                <c:pt idx="16">
                  <c:v>179248</c:v>
                </c:pt>
                <c:pt idx="17">
                  <c:v>178881</c:v>
                </c:pt>
                <c:pt idx="18">
                  <c:v>179045</c:v>
                </c:pt>
              </c:numCache>
            </c:numRef>
          </c:val>
          <c:smooth val="0"/>
          <c:extLst>
            <c:ext xmlns:c16="http://schemas.microsoft.com/office/drawing/2014/chart" uri="{C3380CC4-5D6E-409C-BE32-E72D297353CC}">
              <c16:uniqueId val="{00000000-CE14-4089-B65F-86F25A3C72AE}"/>
            </c:ext>
          </c:extLst>
        </c:ser>
        <c:ser>
          <c:idx val="1"/>
          <c:order val="1"/>
          <c:tx>
            <c:strRef>
              <c:f>Sheet1!$C$1</c:f>
              <c:strCache>
                <c:ptCount val="1"/>
                <c:pt idx="0">
                  <c:v>Prev MYE</c:v>
                </c:pt>
              </c:strCache>
            </c:strRef>
          </c:tx>
          <c:spPr>
            <a:ln w="28575" cap="rnd">
              <a:solidFill>
                <a:schemeClr val="accent2"/>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Sheet1!$C$2:$C$41</c:f>
              <c:numCache>
                <c:formatCode>General</c:formatCode>
                <c:ptCount val="40"/>
                <c:pt idx="0">
                  <c:v>154468</c:v>
                </c:pt>
                <c:pt idx="1">
                  <c:v>155991</c:v>
                </c:pt>
                <c:pt idx="2">
                  <c:v>157990</c:v>
                </c:pt>
                <c:pt idx="3">
                  <c:v>159469</c:v>
                </c:pt>
                <c:pt idx="4">
                  <c:v>161406</c:v>
                </c:pt>
                <c:pt idx="5">
                  <c:v>162408</c:v>
                </c:pt>
                <c:pt idx="6">
                  <c:v>163691</c:v>
                </c:pt>
                <c:pt idx="7">
                  <c:v>164959</c:v>
                </c:pt>
                <c:pt idx="8">
                  <c:v>166325</c:v>
                </c:pt>
                <c:pt idx="9">
                  <c:v>168604</c:v>
                </c:pt>
                <c:pt idx="10">
                  <c:v>171481</c:v>
                </c:pt>
                <c:pt idx="11">
                  <c:v>172345</c:v>
                </c:pt>
                <c:pt idx="12">
                  <c:v>173089</c:v>
                </c:pt>
                <c:pt idx="13">
                  <c:v>174885</c:v>
                </c:pt>
                <c:pt idx="14">
                  <c:v>176214</c:v>
                </c:pt>
                <c:pt idx="15">
                  <c:v>177385</c:v>
                </c:pt>
              </c:numCache>
            </c:numRef>
          </c:val>
          <c:smooth val="0"/>
          <c:extLst>
            <c:ext xmlns:c16="http://schemas.microsoft.com/office/drawing/2014/chart" uri="{C3380CC4-5D6E-409C-BE32-E72D297353CC}">
              <c16:uniqueId val="{00000001-CE14-4089-B65F-86F25A3C72AE}"/>
            </c:ext>
          </c:extLst>
        </c:ser>
        <c:ser>
          <c:idx val="2"/>
          <c:order val="2"/>
          <c:tx>
            <c:strRef>
              <c:f>Sheet1!$D$1</c:f>
              <c:strCache>
                <c:ptCount val="1"/>
                <c:pt idx="0">
                  <c:v>2018-SNPP</c:v>
                </c:pt>
              </c:strCache>
            </c:strRef>
          </c:tx>
          <c:spPr>
            <a:ln w="28575" cap="rnd">
              <a:solidFill>
                <a:schemeClr val="accent3"/>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Sheet1!$D$2:$D$41</c:f>
              <c:numCache>
                <c:formatCode>General</c:formatCode>
                <c:ptCount val="40"/>
                <c:pt idx="17">
                  <c:v>178881</c:v>
                </c:pt>
                <c:pt idx="18">
                  <c:v>179797.02799999999</c:v>
                </c:pt>
                <c:pt idx="19">
                  <c:v>180660.57699999996</c:v>
                </c:pt>
                <c:pt idx="20">
                  <c:v>181490.67699999997</c:v>
                </c:pt>
                <c:pt idx="21">
                  <c:v>182229.07199999996</c:v>
                </c:pt>
                <c:pt idx="22">
                  <c:v>182912.34999999995</c:v>
                </c:pt>
                <c:pt idx="23">
                  <c:v>183549.76999999993</c:v>
                </c:pt>
                <c:pt idx="24">
                  <c:v>184146.19199999992</c:v>
                </c:pt>
                <c:pt idx="25">
                  <c:v>184697.92899999995</c:v>
                </c:pt>
                <c:pt idx="26">
                  <c:v>185198.56899999996</c:v>
                </c:pt>
                <c:pt idx="27">
                  <c:v>185682.88999999996</c:v>
                </c:pt>
                <c:pt idx="28">
                  <c:v>186161.50399999996</c:v>
                </c:pt>
                <c:pt idx="29">
                  <c:v>186616.21799999994</c:v>
                </c:pt>
                <c:pt idx="30">
                  <c:v>187073.89099999997</c:v>
                </c:pt>
                <c:pt idx="31">
                  <c:v>187539.87899999993</c:v>
                </c:pt>
                <c:pt idx="32">
                  <c:v>188029.40599999993</c:v>
                </c:pt>
                <c:pt idx="33">
                  <c:v>188537.75999999995</c:v>
                </c:pt>
                <c:pt idx="34">
                  <c:v>189027.67399999997</c:v>
                </c:pt>
                <c:pt idx="35">
                  <c:v>189532.88599999994</c:v>
                </c:pt>
                <c:pt idx="36">
                  <c:v>190044.71199999994</c:v>
                </c:pt>
                <c:pt idx="37">
                  <c:v>190573.61899999995</c:v>
                </c:pt>
                <c:pt idx="38">
                  <c:v>191109.64499999999</c:v>
                </c:pt>
                <c:pt idx="39">
                  <c:v>191649.93899999995</c:v>
                </c:pt>
              </c:numCache>
            </c:numRef>
          </c:val>
          <c:smooth val="0"/>
          <c:extLst>
            <c:ext xmlns:c16="http://schemas.microsoft.com/office/drawing/2014/chart" uri="{C3380CC4-5D6E-409C-BE32-E72D297353CC}">
              <c16:uniqueId val="{00000002-CE14-4089-B65F-86F25A3C72AE}"/>
            </c:ext>
          </c:extLst>
        </c:ser>
        <c:ser>
          <c:idx val="3"/>
          <c:order val="3"/>
          <c:tx>
            <c:strRef>
              <c:f>Sheet1!$E$1</c:f>
              <c:strCache>
                <c:ptCount val="1"/>
                <c:pt idx="0">
                  <c:v>2014-SNPP</c:v>
                </c:pt>
              </c:strCache>
            </c:strRef>
          </c:tx>
          <c:spPr>
            <a:ln w="28575" cap="rnd">
              <a:solidFill>
                <a:schemeClr val="accent4"/>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Sheet1!$E$2:$E$41</c:f>
              <c:numCache>
                <c:formatCode>General</c:formatCode>
                <c:ptCount val="40"/>
                <c:pt idx="13">
                  <c:v>174885</c:v>
                </c:pt>
                <c:pt idx="14">
                  <c:v>176137.56900000002</c:v>
                </c:pt>
                <c:pt idx="15">
                  <c:v>177437.427</c:v>
                </c:pt>
                <c:pt idx="16">
                  <c:v>178709.38699999999</c:v>
                </c:pt>
                <c:pt idx="17">
                  <c:v>179992.364</c:v>
                </c:pt>
                <c:pt idx="18">
                  <c:v>181261.59000000003</c:v>
                </c:pt>
                <c:pt idx="19">
                  <c:v>182517.89299999998</c:v>
                </c:pt>
                <c:pt idx="20">
                  <c:v>183761.20199999999</c:v>
                </c:pt>
                <c:pt idx="21">
                  <c:v>184978.821</c:v>
                </c:pt>
                <c:pt idx="22">
                  <c:v>186156.87100000001</c:v>
                </c:pt>
                <c:pt idx="23">
                  <c:v>187304.554</c:v>
                </c:pt>
                <c:pt idx="24">
                  <c:v>188417.06400000001</c:v>
                </c:pt>
                <c:pt idx="25">
                  <c:v>189488.965</c:v>
                </c:pt>
                <c:pt idx="26">
                  <c:v>190516.56900000002</c:v>
                </c:pt>
                <c:pt idx="27">
                  <c:v>191521.97099999999</c:v>
                </c:pt>
                <c:pt idx="28">
                  <c:v>192508.897</c:v>
                </c:pt>
                <c:pt idx="29">
                  <c:v>193465.16100000002</c:v>
                </c:pt>
                <c:pt idx="30">
                  <c:v>194414.899</c:v>
                </c:pt>
                <c:pt idx="31">
                  <c:v>195380.63200000001</c:v>
                </c:pt>
                <c:pt idx="32">
                  <c:v>196366.902</c:v>
                </c:pt>
                <c:pt idx="33">
                  <c:v>197356.66499999998</c:v>
                </c:pt>
                <c:pt idx="34">
                  <c:v>198333.07799999998</c:v>
                </c:pt>
                <c:pt idx="35">
                  <c:v>199295.21899999998</c:v>
                </c:pt>
                <c:pt idx="36">
                  <c:v>200243.53899999999</c:v>
                </c:pt>
                <c:pt idx="37">
                  <c:v>201187.61499999999</c:v>
                </c:pt>
                <c:pt idx="38">
                  <c:v>202128.851</c:v>
                </c:pt>
              </c:numCache>
            </c:numRef>
          </c:val>
          <c:smooth val="0"/>
          <c:extLst>
            <c:ext xmlns:c16="http://schemas.microsoft.com/office/drawing/2014/chart" uri="{C3380CC4-5D6E-409C-BE32-E72D297353CC}">
              <c16:uniqueId val="{00000003-CE14-4089-B65F-86F25A3C72AE}"/>
            </c:ext>
          </c:extLst>
        </c:ser>
        <c:ser>
          <c:idx val="4"/>
          <c:order val="4"/>
          <c:tx>
            <c:strRef>
              <c:f>Sheet1!$F$1</c:f>
              <c:strCache>
                <c:ptCount val="1"/>
                <c:pt idx="0">
                  <c:v>GLH (SM)</c:v>
                </c:pt>
              </c:strCache>
            </c:strRef>
          </c:tx>
          <c:spPr>
            <a:ln w="28575" cap="rnd">
              <a:solidFill>
                <a:schemeClr val="accent5"/>
              </a:solidFill>
              <a:round/>
            </a:ln>
            <a:effectLst/>
          </c:spPr>
          <c:marker>
            <c:symbol val="none"/>
          </c:marker>
          <c:cat>
            <c:numRef>
              <c:f>Sheet1!$A$2:$A$41</c:f>
              <c:numCache>
                <c:formatCode>General</c:formatCode>
                <c:ptCount val="4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pt idx="37">
                  <c:v>2038</c:v>
                </c:pt>
                <c:pt idx="38">
                  <c:v>2039</c:v>
                </c:pt>
                <c:pt idx="39">
                  <c:v>2040</c:v>
                </c:pt>
              </c:numCache>
            </c:numRef>
          </c:cat>
          <c:val>
            <c:numRef>
              <c:f>Sheet1!$F$2:$F$41</c:f>
              <c:numCache>
                <c:formatCode>General</c:formatCode>
                <c:ptCount val="40"/>
                <c:pt idx="17">
                  <c:v>179523.11537754347</c:v>
                </c:pt>
                <c:pt idx="18">
                  <c:v>179885.14641201741</c:v>
                </c:pt>
                <c:pt idx="19">
                  <c:v>181986.37625940802</c:v>
                </c:pt>
                <c:pt idx="20">
                  <c:v>183786.067386221</c:v>
                </c:pt>
                <c:pt idx="21">
                  <c:v>185506.94625312911</c:v>
                </c:pt>
                <c:pt idx="22">
                  <c:v>187186.67055275996</c:v>
                </c:pt>
                <c:pt idx="23">
                  <c:v>188832.06913721171</c:v>
                </c:pt>
                <c:pt idx="24">
                  <c:v>190448.59759381739</c:v>
                </c:pt>
                <c:pt idx="25">
                  <c:v>192032.02090440679</c:v>
                </c:pt>
                <c:pt idx="26">
                  <c:v>193576.76083472371</c:v>
                </c:pt>
                <c:pt idx="27">
                  <c:v>195116.09563042625</c:v>
                </c:pt>
                <c:pt idx="28">
                  <c:v>196661.14723130764</c:v>
                </c:pt>
                <c:pt idx="29">
                  <c:v>198193.30066520086</c:v>
                </c:pt>
                <c:pt idx="30">
                  <c:v>199735.41220522253</c:v>
                </c:pt>
                <c:pt idx="31">
                  <c:v>201293.95638552419</c:v>
                </c:pt>
                <c:pt idx="32">
                  <c:v>202881.26279886957</c:v>
                </c:pt>
                <c:pt idx="33">
                  <c:v>204490.88911831769</c:v>
                </c:pt>
                <c:pt idx="34">
                  <c:v>206087.1861543922</c:v>
                </c:pt>
                <c:pt idx="35">
                  <c:v>207702.61587448342</c:v>
                </c:pt>
                <c:pt idx="36">
                  <c:v>209325.08773990331</c:v>
                </c:pt>
                <c:pt idx="37">
                  <c:v>210964.95494297234</c:v>
                </c:pt>
                <c:pt idx="38">
                  <c:v>212612.09314851824</c:v>
                </c:pt>
                <c:pt idx="39">
                  <c:v>214265.06834179995</c:v>
                </c:pt>
              </c:numCache>
            </c:numRef>
          </c:val>
          <c:smooth val="0"/>
          <c:extLst>
            <c:ext xmlns:c16="http://schemas.microsoft.com/office/drawing/2014/chart" uri="{C3380CC4-5D6E-409C-BE32-E72D297353CC}">
              <c16:uniqueId val="{00000004-CE14-4089-B65F-86F25A3C72AE}"/>
            </c:ext>
          </c:extLst>
        </c:ser>
        <c:dLbls>
          <c:showLegendKey val="0"/>
          <c:showVal val="0"/>
          <c:showCatName val="0"/>
          <c:showSerName val="0"/>
          <c:showPercent val="0"/>
          <c:showBubbleSize val="0"/>
        </c:dLbls>
        <c:smooth val="0"/>
        <c:axId val="1221744128"/>
        <c:axId val="1221724000"/>
      </c:lineChart>
      <c:catAx>
        <c:axId val="12217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24000"/>
        <c:crosses val="autoZero"/>
        <c:auto val="1"/>
        <c:lblAlgn val="ctr"/>
        <c:lblOffset val="100"/>
        <c:noMultiLvlLbl val="0"/>
      </c:catAx>
      <c:valAx>
        <c:axId val="1221724000"/>
        <c:scaling>
          <c:orientation val="minMax"/>
          <c:min val="1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crossAx val="122174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8265136546151"/>
          <c:y val="1.6750856681602363E-2"/>
          <c:w val="0.79025967991142754"/>
          <c:h val="0.64912495768126066"/>
        </c:manualLayout>
      </c:layout>
      <c:barChart>
        <c:barDir val="bar"/>
        <c:grouping val="stacked"/>
        <c:varyColors val="0"/>
        <c:ser>
          <c:idx val="0"/>
          <c:order val="0"/>
          <c:tx>
            <c:strRef>
              <c:f>'Household composition'!$C$66</c:f>
              <c:strCache>
                <c:ptCount val="1"/>
                <c:pt idx="0">
                  <c:v>one person: 65+ </c:v>
                </c:pt>
              </c:strCache>
            </c:strRef>
          </c:tx>
          <c:spPr>
            <a:solidFill>
              <a:schemeClr val="accent1"/>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composition'!$C$90:$C$93</c:f>
              <c:numCache>
                <c:formatCode>0.0%</c:formatCode>
                <c:ptCount val="4"/>
                <c:pt idx="0">
                  <c:v>0.1183491047363834</c:v>
                </c:pt>
                <c:pt idx="1">
                  <c:v>0.11336408121941617</c:v>
                </c:pt>
                <c:pt idx="2">
                  <c:v>0.12667625519235173</c:v>
                </c:pt>
                <c:pt idx="3">
                  <c:v>0.12353490183366383</c:v>
                </c:pt>
              </c:numCache>
            </c:numRef>
          </c:val>
          <c:extLst>
            <c:ext xmlns:c16="http://schemas.microsoft.com/office/drawing/2014/chart" uri="{C3380CC4-5D6E-409C-BE32-E72D297353CC}">
              <c16:uniqueId val="{00000000-63B8-4860-9C16-6CA603141EB0}"/>
            </c:ext>
          </c:extLst>
        </c:ser>
        <c:ser>
          <c:idx val="1"/>
          <c:order val="1"/>
          <c:tx>
            <c:strRef>
              <c:f>'Household composition'!$D$66</c:f>
              <c:strCache>
                <c:ptCount val="1"/>
                <c:pt idx="0">
                  <c:v>one person: other</c:v>
                </c:pt>
              </c:strCache>
            </c:strRef>
          </c:tx>
          <c:spPr>
            <a:solidFill>
              <a:schemeClr val="accent2"/>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composition'!$D$90:$D$93</c:f>
              <c:numCache>
                <c:formatCode>0.0%</c:formatCode>
                <c:ptCount val="4"/>
                <c:pt idx="0">
                  <c:v>0.15491953017657148</c:v>
                </c:pt>
                <c:pt idx="1">
                  <c:v>0.1736786845904344</c:v>
                </c:pt>
                <c:pt idx="2">
                  <c:v>0.15797089187733565</c:v>
                </c:pt>
                <c:pt idx="3">
                  <c:v>0.17861719933239567</c:v>
                </c:pt>
              </c:numCache>
            </c:numRef>
          </c:val>
          <c:extLst>
            <c:ext xmlns:c16="http://schemas.microsoft.com/office/drawing/2014/chart" uri="{C3380CC4-5D6E-409C-BE32-E72D297353CC}">
              <c16:uniqueId val="{00000001-63B8-4860-9C16-6CA603141EB0}"/>
            </c:ext>
          </c:extLst>
        </c:ser>
        <c:ser>
          <c:idx val="2"/>
          <c:order val="2"/>
          <c:tx>
            <c:strRef>
              <c:f>'Household composition'!$E$66</c:f>
              <c:strCache>
                <c:ptCount val="1"/>
                <c:pt idx="0">
                  <c:v>family:65+</c:v>
                </c:pt>
              </c:strCache>
            </c:strRef>
          </c:tx>
          <c:spPr>
            <a:solidFill>
              <a:schemeClr val="accent3"/>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composition'!$E$90:$E$93</c:f>
              <c:numCache>
                <c:formatCode>0.0%</c:formatCode>
                <c:ptCount val="4"/>
                <c:pt idx="0">
                  <c:v>9.1815308651165092E-2</c:v>
                </c:pt>
                <c:pt idx="1">
                  <c:v>7.9578903950353413E-2</c:v>
                </c:pt>
                <c:pt idx="2">
                  <c:v>9.3606571923228507E-2</c:v>
                </c:pt>
                <c:pt idx="3">
                  <c:v>8.110570426056439E-2</c:v>
                </c:pt>
              </c:numCache>
            </c:numRef>
          </c:val>
          <c:extLst>
            <c:ext xmlns:c16="http://schemas.microsoft.com/office/drawing/2014/chart" uri="{C3380CC4-5D6E-409C-BE32-E72D297353CC}">
              <c16:uniqueId val="{00000002-63B8-4860-9C16-6CA603141EB0}"/>
            </c:ext>
          </c:extLst>
        </c:ser>
        <c:ser>
          <c:idx val="3"/>
          <c:order val="3"/>
          <c:tx>
            <c:strRef>
              <c:f>'Household composition'!$F$66</c:f>
              <c:strCache>
                <c:ptCount val="1"/>
                <c:pt idx="0">
                  <c:v>Couple with Dependent children</c:v>
                </c:pt>
              </c:strCache>
            </c:strRef>
          </c:tx>
          <c:spPr>
            <a:solidFill>
              <a:schemeClr val="accent4"/>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composition'!$F$90:$F$93</c:f>
              <c:numCache>
                <c:formatCode>0.0%</c:formatCode>
                <c:ptCount val="4"/>
                <c:pt idx="0">
                  <c:v>0.21527887624488631</c:v>
                </c:pt>
                <c:pt idx="1">
                  <c:v>0.21704445319384291</c:v>
                </c:pt>
                <c:pt idx="2">
                  <c:v>0.20961934103304328</c:v>
                </c:pt>
                <c:pt idx="3">
                  <c:v>0.1933825334373247</c:v>
                </c:pt>
              </c:numCache>
            </c:numRef>
          </c:val>
          <c:extLst>
            <c:ext xmlns:c16="http://schemas.microsoft.com/office/drawing/2014/chart" uri="{C3380CC4-5D6E-409C-BE32-E72D297353CC}">
              <c16:uniqueId val="{00000003-63B8-4860-9C16-6CA603141EB0}"/>
            </c:ext>
          </c:extLst>
        </c:ser>
        <c:ser>
          <c:idx val="4"/>
          <c:order val="4"/>
          <c:tx>
            <c:strRef>
              <c:f>'Household composition'!$G$66</c:f>
              <c:strCache>
                <c:ptCount val="1"/>
                <c:pt idx="0">
                  <c:v>Couple - no children</c:v>
                </c:pt>
              </c:strCache>
            </c:strRef>
          </c:tx>
          <c:spPr>
            <a:solidFill>
              <a:schemeClr val="accent5"/>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composition'!$G$90:$G$93</c:f>
              <c:numCache>
                <c:formatCode>0.0%</c:formatCode>
                <c:ptCount val="4"/>
                <c:pt idx="0">
                  <c:v>0.26913736473346794</c:v>
                </c:pt>
                <c:pt idx="1">
                  <c:v>0.25259200929936065</c:v>
                </c:pt>
                <c:pt idx="2">
                  <c:v>0.25332114476266337</c:v>
                </c:pt>
                <c:pt idx="3">
                  <c:v>0.23728122560435921</c:v>
                </c:pt>
              </c:numCache>
            </c:numRef>
          </c:val>
          <c:extLst>
            <c:ext xmlns:c16="http://schemas.microsoft.com/office/drawing/2014/chart" uri="{C3380CC4-5D6E-409C-BE32-E72D297353CC}">
              <c16:uniqueId val="{00000004-63B8-4860-9C16-6CA603141EB0}"/>
            </c:ext>
          </c:extLst>
        </c:ser>
        <c:ser>
          <c:idx val="5"/>
          <c:order val="5"/>
          <c:tx>
            <c:strRef>
              <c:f>'Household composition'!$H$66</c:f>
              <c:strCache>
                <c:ptCount val="1"/>
                <c:pt idx="0">
                  <c:v>Lone parent: Dependent children</c:v>
                </c:pt>
              </c:strCache>
            </c:strRef>
          </c:tx>
          <c:spPr>
            <a:solidFill>
              <a:schemeClr val="accent6"/>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composition'!$H$90:$H$93</c:f>
              <c:numCache>
                <c:formatCode>0.0%</c:formatCode>
                <c:ptCount val="4"/>
                <c:pt idx="0">
                  <c:v>5.1150831681755729E-2</c:v>
                </c:pt>
                <c:pt idx="1">
                  <c:v>4.2390835630050437E-2</c:v>
                </c:pt>
                <c:pt idx="2">
                  <c:v>6.2197615800019396E-2</c:v>
                </c:pt>
                <c:pt idx="3">
                  <c:v>7.1306203114592473E-2</c:v>
                </c:pt>
              </c:numCache>
            </c:numRef>
          </c:val>
          <c:extLst>
            <c:ext xmlns:c16="http://schemas.microsoft.com/office/drawing/2014/chart" uri="{C3380CC4-5D6E-409C-BE32-E72D297353CC}">
              <c16:uniqueId val="{00000005-63B8-4860-9C16-6CA603141EB0}"/>
            </c:ext>
          </c:extLst>
        </c:ser>
        <c:ser>
          <c:idx val="6"/>
          <c:order val="6"/>
          <c:tx>
            <c:strRef>
              <c:f>'Household composition'!$I$66</c:f>
              <c:strCache>
                <c:ptCount val="1"/>
                <c:pt idx="0">
                  <c:v>Lone parent - no children</c:v>
                </c:pt>
              </c:strCache>
            </c:strRef>
          </c:tx>
          <c:spPr>
            <a:solidFill>
              <a:schemeClr val="accent1">
                <a:lumMod val="60000"/>
              </a:schemeClr>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composition'!$I$90:$I$93</c:f>
              <c:numCache>
                <c:formatCode>0.0%</c:formatCode>
                <c:ptCount val="4"/>
                <c:pt idx="0">
                  <c:v>2.7194427127433557E-2</c:v>
                </c:pt>
                <c:pt idx="1">
                  <c:v>2.6079457037328682E-2</c:v>
                </c:pt>
                <c:pt idx="2">
                  <c:v>3.1753977965650514E-2</c:v>
                </c:pt>
                <c:pt idx="3">
                  <c:v>3.4743970186238114E-2</c:v>
                </c:pt>
              </c:numCache>
            </c:numRef>
          </c:val>
          <c:extLst>
            <c:ext xmlns:c16="http://schemas.microsoft.com/office/drawing/2014/chart" uri="{C3380CC4-5D6E-409C-BE32-E72D297353CC}">
              <c16:uniqueId val="{00000006-63B8-4860-9C16-6CA603141EB0}"/>
            </c:ext>
          </c:extLst>
        </c:ser>
        <c:ser>
          <c:idx val="7"/>
          <c:order val="7"/>
          <c:tx>
            <c:strRef>
              <c:f>'Household composition'!$J$66</c:f>
              <c:strCache>
                <c:ptCount val="1"/>
                <c:pt idx="0">
                  <c:v>Other with dependent children</c:v>
                </c:pt>
              </c:strCache>
            </c:strRef>
          </c:tx>
          <c:spPr>
            <a:solidFill>
              <a:schemeClr val="accent2">
                <a:lumMod val="60000"/>
              </a:schemeClr>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composition'!$J$90:$J$93</c:f>
              <c:numCache>
                <c:formatCode>0.0%</c:formatCode>
                <c:ptCount val="4"/>
                <c:pt idx="0">
                  <c:v>2.0966506316315105E-2</c:v>
                </c:pt>
                <c:pt idx="1">
                  <c:v>2.111104861540769E-2</c:v>
                </c:pt>
                <c:pt idx="2">
                  <c:v>2.2280734698425734E-2</c:v>
                </c:pt>
                <c:pt idx="3">
                  <c:v>2.6469938769094547E-2</c:v>
                </c:pt>
              </c:numCache>
            </c:numRef>
          </c:val>
          <c:extLst>
            <c:ext xmlns:c16="http://schemas.microsoft.com/office/drawing/2014/chart" uri="{C3380CC4-5D6E-409C-BE32-E72D297353CC}">
              <c16:uniqueId val="{00000007-63B8-4860-9C16-6CA603141EB0}"/>
            </c:ext>
          </c:extLst>
        </c:ser>
        <c:ser>
          <c:idx val="8"/>
          <c:order val="8"/>
          <c:tx>
            <c:strRef>
              <c:f>'Household composition'!$K$66</c:f>
              <c:strCache>
                <c:ptCount val="1"/>
                <c:pt idx="0">
                  <c:v>Other: All full-time students</c:v>
                </c:pt>
              </c:strCache>
            </c:strRef>
          </c:tx>
          <c:spPr>
            <a:solidFill>
              <a:schemeClr val="accent3">
                <a:lumMod val="60000"/>
              </a:schemeClr>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composition'!$K$90:$K$93</c:f>
              <c:numCache>
                <c:formatCode>0.0%</c:formatCode>
                <c:ptCount val="4"/>
                <c:pt idx="0">
                  <c:v>3.6164121841454752E-3</c:v>
                </c:pt>
                <c:pt idx="1">
                  <c:v>1.0602396085269137E-2</c:v>
                </c:pt>
                <c:pt idx="2">
                  <c:v>2.8072231725913988E-3</c:v>
                </c:pt>
                <c:pt idx="3">
                  <c:v>5.6330928260816754E-3</c:v>
                </c:pt>
              </c:numCache>
            </c:numRef>
          </c:val>
          <c:extLst>
            <c:ext xmlns:c16="http://schemas.microsoft.com/office/drawing/2014/chart" uri="{C3380CC4-5D6E-409C-BE32-E72D297353CC}">
              <c16:uniqueId val="{00000008-63B8-4860-9C16-6CA603141EB0}"/>
            </c:ext>
          </c:extLst>
        </c:ser>
        <c:ser>
          <c:idx val="9"/>
          <c:order val="9"/>
          <c:tx>
            <c:strRef>
              <c:f>'Household composition'!$L$66</c:f>
              <c:strCache>
                <c:ptCount val="1"/>
                <c:pt idx="0">
                  <c:v>Other: All 65+</c:v>
                </c:pt>
              </c:strCache>
            </c:strRef>
          </c:tx>
          <c:spPr>
            <a:solidFill>
              <a:schemeClr val="accent4">
                <a:lumMod val="60000"/>
              </a:schemeClr>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composition'!$L$90:$L$93</c:f>
              <c:numCache>
                <c:formatCode>0.0%</c:formatCode>
                <c:ptCount val="4"/>
                <c:pt idx="0">
                  <c:v>2.7913987699236089E-3</c:v>
                </c:pt>
                <c:pt idx="1">
                  <c:v>2.4373324333952042E-3</c:v>
                </c:pt>
                <c:pt idx="2">
                  <c:v>2.8480810223541963E-3</c:v>
                </c:pt>
                <c:pt idx="3">
                  <c:v>2.7971704048085498E-3</c:v>
                </c:pt>
              </c:numCache>
            </c:numRef>
          </c:val>
          <c:extLst>
            <c:ext xmlns:c16="http://schemas.microsoft.com/office/drawing/2014/chart" uri="{C3380CC4-5D6E-409C-BE32-E72D297353CC}">
              <c16:uniqueId val="{00000009-63B8-4860-9C16-6CA603141EB0}"/>
            </c:ext>
          </c:extLst>
        </c:ser>
        <c:ser>
          <c:idx val="10"/>
          <c:order val="10"/>
          <c:tx>
            <c:strRef>
              <c:f>'Household composition'!$M$66</c:f>
              <c:strCache>
                <c:ptCount val="1"/>
                <c:pt idx="0">
                  <c:v>Other</c:v>
                </c:pt>
              </c:strCache>
            </c:strRef>
          </c:tx>
          <c:spPr>
            <a:solidFill>
              <a:schemeClr val="accent5">
                <a:lumMod val="60000"/>
              </a:schemeClr>
            </a:solidFill>
            <a:ln>
              <a:noFill/>
            </a:ln>
            <a:effectLst/>
          </c:spPr>
          <c:invertIfNegative val="0"/>
          <c:cat>
            <c:strRef>
              <c:f>'Household composition'!$A$90:$A$93</c:f>
              <c:strCache>
                <c:ptCount val="4"/>
                <c:pt idx="0">
                  <c:v>HMA</c:v>
                </c:pt>
                <c:pt idx="1">
                  <c:v>Greater Cambridge</c:v>
                </c:pt>
                <c:pt idx="2">
                  <c:v>East of England</c:v>
                </c:pt>
                <c:pt idx="3">
                  <c:v>England</c:v>
                </c:pt>
              </c:strCache>
            </c:strRef>
          </c:cat>
          <c:val>
            <c:numRef>
              <c:f>'Household composition'!$M$90:$M$93</c:f>
              <c:numCache>
                <c:formatCode>0.0%</c:formatCode>
                <c:ptCount val="4"/>
                <c:pt idx="0">
                  <c:v>4.4780239377952294E-2</c:v>
                </c:pt>
                <c:pt idx="1">
                  <c:v>6.1120797945141268E-2</c:v>
                </c:pt>
                <c:pt idx="2">
                  <c:v>3.6918162552336223E-2</c:v>
                </c:pt>
                <c:pt idx="3">
                  <c:v>4.5128060230876808E-2</c:v>
                </c:pt>
              </c:numCache>
            </c:numRef>
          </c:val>
          <c:extLst>
            <c:ext xmlns:c16="http://schemas.microsoft.com/office/drawing/2014/chart" uri="{C3380CC4-5D6E-409C-BE32-E72D297353CC}">
              <c16:uniqueId val="{0000000A-63B8-4860-9C16-6CA603141EB0}"/>
            </c:ext>
          </c:extLst>
        </c:ser>
        <c:dLbls>
          <c:showLegendKey val="0"/>
          <c:showVal val="0"/>
          <c:showCatName val="0"/>
          <c:showSerName val="0"/>
          <c:showPercent val="0"/>
          <c:showBubbleSize val="0"/>
        </c:dLbls>
        <c:gapWidth val="150"/>
        <c:overlap val="100"/>
        <c:axId val="489884944"/>
        <c:axId val="489882320"/>
      </c:barChart>
      <c:catAx>
        <c:axId val="48988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82320"/>
        <c:crosses val="autoZero"/>
        <c:auto val="1"/>
        <c:lblAlgn val="ctr"/>
        <c:lblOffset val="100"/>
        <c:noMultiLvlLbl val="0"/>
      </c:catAx>
      <c:valAx>
        <c:axId val="4898823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884944"/>
        <c:crosses val="autoZero"/>
        <c:crossBetween val="between"/>
      </c:valAx>
      <c:spPr>
        <a:noFill/>
        <a:ln>
          <a:noFill/>
        </a:ln>
        <a:effectLst/>
      </c:spPr>
    </c:plotArea>
    <c:legend>
      <c:legendPos val="b"/>
      <c:layout>
        <c:manualLayout>
          <c:xMode val="edge"/>
          <c:yMode val="edge"/>
          <c:x val="0"/>
          <c:y val="0.76887333864820295"/>
          <c:w val="0.96627310534110955"/>
          <c:h val="0.231126661351797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28265136546151"/>
          <c:y val="1.6750856681602363E-2"/>
          <c:w val="0.79025967991142754"/>
          <c:h val="0.60433923151365854"/>
        </c:manualLayout>
      </c:layout>
      <c:barChart>
        <c:barDir val="bar"/>
        <c:grouping val="stacked"/>
        <c:varyColors val="0"/>
        <c:ser>
          <c:idx val="0"/>
          <c:order val="0"/>
          <c:tx>
            <c:strRef>
              <c:f>'Household composition'!$C$66</c:f>
              <c:strCache>
                <c:ptCount val="1"/>
                <c:pt idx="0">
                  <c:v>one person: 65+ </c:v>
                </c:pt>
              </c:strCache>
            </c:strRef>
          </c:tx>
          <c:spPr>
            <a:solidFill>
              <a:schemeClr val="accent1"/>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composition'!$C$84:$C$89</c:f>
              <c:numCache>
                <c:formatCode>0.0%</c:formatCode>
                <c:ptCount val="6"/>
                <c:pt idx="0">
                  <c:v>0.1111872243866935</c:v>
                </c:pt>
                <c:pt idx="1">
                  <c:v>0.11894031316808228</c:v>
                </c:pt>
                <c:pt idx="2">
                  <c:v>0.1430083702609552</c:v>
                </c:pt>
                <c:pt idx="3">
                  <c:v>0.10657262775301804</c:v>
                </c:pt>
                <c:pt idx="4">
                  <c:v>0.11506004002668446</c:v>
                </c:pt>
                <c:pt idx="5">
                  <c:v>0.12293124279974149</c:v>
                </c:pt>
              </c:numCache>
            </c:numRef>
          </c:val>
          <c:extLst>
            <c:ext xmlns:c16="http://schemas.microsoft.com/office/drawing/2014/chart" uri="{C3380CC4-5D6E-409C-BE32-E72D297353CC}">
              <c16:uniqueId val="{00000000-CA0C-4319-89B2-65567E5B1597}"/>
            </c:ext>
          </c:extLst>
        </c:ser>
        <c:ser>
          <c:idx val="1"/>
          <c:order val="1"/>
          <c:tx>
            <c:strRef>
              <c:f>'Household composition'!$D$66</c:f>
              <c:strCache>
                <c:ptCount val="1"/>
                <c:pt idx="0">
                  <c:v>one person: other</c:v>
                </c:pt>
              </c:strCache>
            </c:strRef>
          </c:tx>
          <c:spPr>
            <a:solidFill>
              <a:schemeClr val="accent2"/>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composition'!$D$84:$D$89</c:f>
              <c:numCache>
                <c:formatCode>0.0%</c:formatCode>
                <c:ptCount val="6"/>
                <c:pt idx="0">
                  <c:v>0.2280686732028942</c:v>
                </c:pt>
                <c:pt idx="1">
                  <c:v>0.13797885248743283</c:v>
                </c:pt>
                <c:pt idx="2">
                  <c:v>0.14197439684884294</c:v>
                </c:pt>
                <c:pt idx="3">
                  <c:v>0.14858725282333088</c:v>
                </c:pt>
                <c:pt idx="4">
                  <c:v>0.13130420280186791</c:v>
                </c:pt>
                <c:pt idx="5">
                  <c:v>0.14859928629632752</c:v>
                </c:pt>
              </c:numCache>
            </c:numRef>
          </c:val>
          <c:extLst>
            <c:ext xmlns:c16="http://schemas.microsoft.com/office/drawing/2014/chart" uri="{C3380CC4-5D6E-409C-BE32-E72D297353CC}">
              <c16:uniqueId val="{00000001-CA0C-4319-89B2-65567E5B1597}"/>
            </c:ext>
          </c:extLst>
        </c:ser>
        <c:ser>
          <c:idx val="2"/>
          <c:order val="2"/>
          <c:tx>
            <c:strRef>
              <c:f>'Household composition'!$E$66</c:f>
              <c:strCache>
                <c:ptCount val="1"/>
                <c:pt idx="0">
                  <c:v>family:65+</c:v>
                </c:pt>
              </c:strCache>
            </c:strRef>
          </c:tx>
          <c:spPr>
            <a:solidFill>
              <a:schemeClr val="accent3"/>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composition'!$E$84:$E$89</c:f>
              <c:numCache>
                <c:formatCode>0.0%</c:formatCode>
                <c:ptCount val="6"/>
                <c:pt idx="0">
                  <c:v>5.7177719741405147E-2</c:v>
                </c:pt>
                <c:pt idx="1">
                  <c:v>9.522158664124343E-2</c:v>
                </c:pt>
                <c:pt idx="2">
                  <c:v>0.10745937961595273</c:v>
                </c:pt>
                <c:pt idx="3">
                  <c:v>9.225044351174766E-2</c:v>
                </c:pt>
                <c:pt idx="4">
                  <c:v>9.7031354236157441E-2</c:v>
                </c:pt>
                <c:pt idx="5">
                  <c:v>9.914580347860294E-2</c:v>
                </c:pt>
              </c:numCache>
            </c:numRef>
          </c:val>
          <c:extLst>
            <c:ext xmlns:c16="http://schemas.microsoft.com/office/drawing/2014/chart" uri="{C3380CC4-5D6E-409C-BE32-E72D297353CC}">
              <c16:uniqueId val="{00000002-CA0C-4319-89B2-65567E5B1597}"/>
            </c:ext>
          </c:extLst>
        </c:ser>
        <c:ser>
          <c:idx val="3"/>
          <c:order val="3"/>
          <c:tx>
            <c:strRef>
              <c:f>'Household composition'!$F$66</c:f>
              <c:strCache>
                <c:ptCount val="1"/>
                <c:pt idx="0">
                  <c:v>Couple with Dependent children</c:v>
                </c:pt>
              </c:strCache>
            </c:strRef>
          </c:tx>
          <c:spPr>
            <a:solidFill>
              <a:schemeClr val="accent4"/>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composition'!$F$84:$F$89</c:f>
              <c:numCache>
                <c:formatCode>0.0%</c:formatCode>
                <c:ptCount val="6"/>
                <c:pt idx="0">
                  <c:v>0.17373806567624267</c:v>
                </c:pt>
                <c:pt idx="1">
                  <c:v>0.23845842722597793</c:v>
                </c:pt>
                <c:pt idx="2">
                  <c:v>0.18365337272279667</c:v>
                </c:pt>
                <c:pt idx="3">
                  <c:v>0.22854917571719094</c:v>
                </c:pt>
                <c:pt idx="4">
                  <c:v>0.25078385590393598</c:v>
                </c:pt>
                <c:pt idx="5">
                  <c:v>0.20648234004889152</c:v>
                </c:pt>
              </c:numCache>
            </c:numRef>
          </c:val>
          <c:extLst>
            <c:ext xmlns:c16="http://schemas.microsoft.com/office/drawing/2014/chart" uri="{C3380CC4-5D6E-409C-BE32-E72D297353CC}">
              <c16:uniqueId val="{00000003-CA0C-4319-89B2-65567E5B1597}"/>
            </c:ext>
          </c:extLst>
        </c:ser>
        <c:ser>
          <c:idx val="4"/>
          <c:order val="4"/>
          <c:tx>
            <c:strRef>
              <c:f>'Household composition'!$G$66</c:f>
              <c:strCache>
                <c:ptCount val="1"/>
                <c:pt idx="0">
                  <c:v>Couple - no children</c:v>
                </c:pt>
              </c:strCache>
            </c:strRef>
          </c:tx>
          <c:spPr>
            <a:solidFill>
              <a:schemeClr val="accent5"/>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composition'!$G$84:$G$89</c:f>
              <c:numCache>
                <c:formatCode>0.0%</c:formatCode>
                <c:ptCount val="6"/>
                <c:pt idx="0">
                  <c:v>0.21462516590315536</c:v>
                </c:pt>
                <c:pt idx="1">
                  <c:v>0.2897960362858959</c:v>
                </c:pt>
                <c:pt idx="2">
                  <c:v>0.26853766617429836</c:v>
                </c:pt>
                <c:pt idx="3">
                  <c:v>0.28536194885552335</c:v>
                </c:pt>
                <c:pt idx="4">
                  <c:v>0.2821714476317545</c:v>
                </c:pt>
                <c:pt idx="5">
                  <c:v>0.26842563713506984</c:v>
                </c:pt>
              </c:numCache>
            </c:numRef>
          </c:val>
          <c:extLst>
            <c:ext xmlns:c16="http://schemas.microsoft.com/office/drawing/2014/chart" uri="{C3380CC4-5D6E-409C-BE32-E72D297353CC}">
              <c16:uniqueId val="{00000004-CA0C-4319-89B2-65567E5B1597}"/>
            </c:ext>
          </c:extLst>
        </c:ser>
        <c:ser>
          <c:idx val="5"/>
          <c:order val="5"/>
          <c:tx>
            <c:strRef>
              <c:f>'Household composition'!$H$66</c:f>
              <c:strCache>
                <c:ptCount val="1"/>
                <c:pt idx="0">
                  <c:v>Lone parent: Dependent children</c:v>
                </c:pt>
              </c:strCache>
            </c:strRef>
          </c:tx>
          <c:spPr>
            <a:solidFill>
              <a:schemeClr val="accent6"/>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composition'!$H$84:$H$89</c:f>
              <c:numCache>
                <c:formatCode>0.0%</c:formatCode>
                <c:ptCount val="6"/>
                <c:pt idx="0">
                  <c:v>4.2321359763668277E-2</c:v>
                </c:pt>
                <c:pt idx="1">
                  <c:v>4.2295025134338707E-2</c:v>
                </c:pt>
                <c:pt idx="2">
                  <c:v>6.37863121614968E-2</c:v>
                </c:pt>
                <c:pt idx="3">
                  <c:v>5.3091601401929818E-2</c:v>
                </c:pt>
                <c:pt idx="4">
                  <c:v>4.2444963308872583E-2</c:v>
                </c:pt>
                <c:pt idx="5">
                  <c:v>5.9484672230183486E-2</c:v>
                </c:pt>
              </c:numCache>
            </c:numRef>
          </c:val>
          <c:extLst>
            <c:ext xmlns:c16="http://schemas.microsoft.com/office/drawing/2014/chart" uri="{C3380CC4-5D6E-409C-BE32-E72D297353CC}">
              <c16:uniqueId val="{00000005-CA0C-4319-89B2-65567E5B1597}"/>
            </c:ext>
          </c:extLst>
        </c:ser>
        <c:ser>
          <c:idx val="6"/>
          <c:order val="6"/>
          <c:tx>
            <c:strRef>
              <c:f>'Household composition'!$I$66</c:f>
              <c:strCache>
                <c:ptCount val="1"/>
                <c:pt idx="0">
                  <c:v>Lone parent - no children</c:v>
                </c:pt>
              </c:strCache>
            </c:strRef>
          </c:tx>
          <c:spPr>
            <a:solidFill>
              <a:schemeClr val="accent1">
                <a:lumMod val="60000"/>
              </a:schemeClr>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composition'!$I$84:$I$89</c:f>
              <c:numCache>
                <c:formatCode>0.0%</c:formatCode>
                <c:ptCount val="6"/>
                <c:pt idx="0">
                  <c:v>2.6437470565569207E-2</c:v>
                </c:pt>
                <c:pt idx="1">
                  <c:v>2.3863176749292194E-2</c:v>
                </c:pt>
                <c:pt idx="2">
                  <c:v>2.7966518956179222E-2</c:v>
                </c:pt>
                <c:pt idx="3">
                  <c:v>2.7851095437958835E-2</c:v>
                </c:pt>
                <c:pt idx="4">
                  <c:v>2.5800533689126083E-2</c:v>
                </c:pt>
                <c:pt idx="5">
                  <c:v>2.9405153277698166E-2</c:v>
                </c:pt>
              </c:numCache>
            </c:numRef>
          </c:val>
          <c:extLst>
            <c:ext xmlns:c16="http://schemas.microsoft.com/office/drawing/2014/chart" uri="{C3380CC4-5D6E-409C-BE32-E72D297353CC}">
              <c16:uniqueId val="{00000006-CA0C-4319-89B2-65567E5B1597}"/>
            </c:ext>
          </c:extLst>
        </c:ser>
        <c:ser>
          <c:idx val="7"/>
          <c:order val="7"/>
          <c:tx>
            <c:strRef>
              <c:f>'Household composition'!$J$66</c:f>
              <c:strCache>
                <c:ptCount val="1"/>
                <c:pt idx="0">
                  <c:v>Other with dependent children</c:v>
                </c:pt>
              </c:strCache>
            </c:strRef>
          </c:tx>
          <c:spPr>
            <a:solidFill>
              <a:schemeClr val="accent2">
                <a:lumMod val="60000"/>
              </a:schemeClr>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composition'!$J$84:$J$89</c:f>
              <c:numCache>
                <c:formatCode>0.0%</c:formatCode>
                <c:ptCount val="6"/>
                <c:pt idx="0">
                  <c:v>2.4596480712420259E-2</c:v>
                </c:pt>
                <c:pt idx="1">
                  <c:v>2.0049690876523949E-2</c:v>
                </c:pt>
                <c:pt idx="2">
                  <c:v>2.4889217134416542E-2</c:v>
                </c:pt>
                <c:pt idx="3">
                  <c:v>2.016355847864653E-2</c:v>
                </c:pt>
                <c:pt idx="4">
                  <c:v>1.8395597064709807E-2</c:v>
                </c:pt>
                <c:pt idx="5">
                  <c:v>1.9739245272415634E-2</c:v>
                </c:pt>
              </c:numCache>
            </c:numRef>
          </c:val>
          <c:extLst>
            <c:ext xmlns:c16="http://schemas.microsoft.com/office/drawing/2014/chart" uri="{C3380CC4-5D6E-409C-BE32-E72D297353CC}">
              <c16:uniqueId val="{00000007-CA0C-4319-89B2-65567E5B1597}"/>
            </c:ext>
          </c:extLst>
        </c:ser>
        <c:ser>
          <c:idx val="8"/>
          <c:order val="8"/>
          <c:tx>
            <c:strRef>
              <c:f>'Household composition'!$K$66</c:f>
              <c:strCache>
                <c:ptCount val="1"/>
                <c:pt idx="0">
                  <c:v>Other: All full-time students</c:v>
                </c:pt>
              </c:strCache>
            </c:strRef>
          </c:tx>
          <c:spPr>
            <a:solidFill>
              <a:schemeClr val="accent3">
                <a:lumMod val="60000"/>
              </a:schemeClr>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composition'!$K$84:$K$89</c:f>
              <c:numCache>
                <c:formatCode>0.0%</c:formatCode>
                <c:ptCount val="6"/>
                <c:pt idx="0">
                  <c:v>2.3483324057027872E-2</c:v>
                </c:pt>
                <c:pt idx="1">
                  <c:v>5.7780088981337034E-5</c:v>
                </c:pt>
                <c:pt idx="2">
                  <c:v>2.4618414574101428E-5</c:v>
                </c:pt>
                <c:pt idx="3">
                  <c:v>1.8750090144664157E-4</c:v>
                </c:pt>
                <c:pt idx="4">
                  <c:v>5.6704469646430956E-4</c:v>
                </c:pt>
                <c:pt idx="5">
                  <c:v>2.6693641293658153E-4</c:v>
                </c:pt>
              </c:numCache>
            </c:numRef>
          </c:val>
          <c:extLst>
            <c:ext xmlns:c16="http://schemas.microsoft.com/office/drawing/2014/chart" uri="{C3380CC4-5D6E-409C-BE32-E72D297353CC}">
              <c16:uniqueId val="{00000008-CA0C-4319-89B2-65567E5B1597}"/>
            </c:ext>
          </c:extLst>
        </c:ser>
        <c:ser>
          <c:idx val="9"/>
          <c:order val="9"/>
          <c:tx>
            <c:strRef>
              <c:f>'Household composition'!$L$66</c:f>
              <c:strCache>
                <c:ptCount val="1"/>
                <c:pt idx="0">
                  <c:v>Other: All 65+</c:v>
                </c:pt>
              </c:strCache>
            </c:strRef>
          </c:tx>
          <c:spPr>
            <a:solidFill>
              <a:schemeClr val="accent4">
                <a:lumMod val="60000"/>
              </a:schemeClr>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composition'!$L$84:$L$89</c:f>
              <c:numCache>
                <c:formatCode>0.0%</c:formatCode>
                <c:ptCount val="6"/>
                <c:pt idx="0">
                  <c:v>2.2905338870574132E-3</c:v>
                </c:pt>
                <c:pt idx="1">
                  <c:v>2.7734442711041776E-3</c:v>
                </c:pt>
                <c:pt idx="2">
                  <c:v>3.3727227966518958E-3</c:v>
                </c:pt>
                <c:pt idx="3">
                  <c:v>2.423088572541214E-3</c:v>
                </c:pt>
                <c:pt idx="4">
                  <c:v>2.5517011340893928E-3</c:v>
                </c:pt>
                <c:pt idx="5">
                  <c:v>3.3577790890443678E-3</c:v>
                </c:pt>
              </c:numCache>
            </c:numRef>
          </c:val>
          <c:extLst>
            <c:ext xmlns:c16="http://schemas.microsoft.com/office/drawing/2014/chart" uri="{C3380CC4-5D6E-409C-BE32-E72D297353CC}">
              <c16:uniqueId val="{00000009-CA0C-4319-89B2-65567E5B1597}"/>
            </c:ext>
          </c:extLst>
        </c:ser>
        <c:ser>
          <c:idx val="10"/>
          <c:order val="10"/>
          <c:tx>
            <c:strRef>
              <c:f>'Household composition'!$M$66</c:f>
              <c:strCache>
                <c:ptCount val="1"/>
                <c:pt idx="0">
                  <c:v>Other</c:v>
                </c:pt>
              </c:strCache>
            </c:strRef>
          </c:tx>
          <c:spPr>
            <a:solidFill>
              <a:schemeClr val="accent5">
                <a:lumMod val="60000"/>
              </a:schemeClr>
            </a:solidFill>
            <a:ln>
              <a:noFill/>
            </a:ln>
            <a:effectLst/>
          </c:spPr>
          <c:invertIfNegative val="0"/>
          <c:cat>
            <c:strRef>
              <c:f>'Household composition'!$A$84:$A$89</c:f>
              <c:strCache>
                <c:ptCount val="6"/>
                <c:pt idx="0">
                  <c:v>Cambridge</c:v>
                </c:pt>
                <c:pt idx="1">
                  <c:v>East Cambridgeshire</c:v>
                </c:pt>
                <c:pt idx="2">
                  <c:v>Fenland</c:v>
                </c:pt>
                <c:pt idx="3">
                  <c:v>Huntingdonshire</c:v>
                </c:pt>
                <c:pt idx="4">
                  <c:v>South Cambridgeshire</c:v>
                </c:pt>
                <c:pt idx="5">
                  <c:v>West Suffolk</c:v>
                </c:pt>
              </c:strCache>
            </c:strRef>
          </c:cat>
          <c:val>
            <c:numRef>
              <c:f>'Household composition'!$M$84:$M$89</c:f>
              <c:numCache>
                <c:formatCode>0.0%</c:formatCode>
                <c:ptCount val="6"/>
                <c:pt idx="0">
                  <c:v>9.6073982103866085E-2</c:v>
                </c:pt>
                <c:pt idx="1">
                  <c:v>3.0565667071127289E-2</c:v>
                </c:pt>
                <c:pt idx="2">
                  <c:v>3.5327424913835552E-2</c:v>
                </c:pt>
                <c:pt idx="3">
                  <c:v>3.496170654666609E-2</c:v>
                </c:pt>
                <c:pt idx="4">
                  <c:v>3.388925950633756E-2</c:v>
                </c:pt>
                <c:pt idx="5">
                  <c:v>4.2161903959088483E-2</c:v>
                </c:pt>
              </c:numCache>
            </c:numRef>
          </c:val>
          <c:extLst>
            <c:ext xmlns:c16="http://schemas.microsoft.com/office/drawing/2014/chart" uri="{C3380CC4-5D6E-409C-BE32-E72D297353CC}">
              <c16:uniqueId val="{0000000A-CA0C-4319-89B2-65567E5B1597}"/>
            </c:ext>
          </c:extLst>
        </c:ser>
        <c:dLbls>
          <c:showLegendKey val="0"/>
          <c:showVal val="0"/>
          <c:showCatName val="0"/>
          <c:showSerName val="0"/>
          <c:showPercent val="0"/>
          <c:showBubbleSize val="0"/>
        </c:dLbls>
        <c:gapWidth val="150"/>
        <c:overlap val="100"/>
        <c:axId val="776084912"/>
        <c:axId val="776074576"/>
      </c:barChart>
      <c:catAx>
        <c:axId val="77608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074576"/>
        <c:crosses val="autoZero"/>
        <c:auto val="1"/>
        <c:lblAlgn val="ctr"/>
        <c:lblOffset val="100"/>
        <c:noMultiLvlLbl val="0"/>
      </c:catAx>
      <c:valAx>
        <c:axId val="7760745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084912"/>
        <c:crosses val="autoZero"/>
        <c:crossBetween val="between"/>
      </c:valAx>
      <c:spPr>
        <a:noFill/>
        <a:ln>
          <a:noFill/>
        </a:ln>
        <a:effectLst/>
      </c:spPr>
    </c:plotArea>
    <c:legend>
      <c:legendPos val="b"/>
      <c:layout>
        <c:manualLayout>
          <c:xMode val="edge"/>
          <c:yMode val="edge"/>
          <c:x val="0"/>
          <c:y val="0.71363711344741121"/>
          <c:w val="0.96627310534110955"/>
          <c:h val="0.286362886552588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 PP Chnage'!$A$11</c:f>
              <c:strCache>
                <c:ptCount val="1"/>
                <c:pt idx="0">
                  <c:v>Greater Cambridge</c:v>
                </c:pt>
              </c:strCache>
            </c:strRef>
          </c:tx>
          <c:spPr>
            <a:ln w="28575" cap="rnd">
              <a:solidFill>
                <a:schemeClr val="accent1"/>
              </a:solidFill>
              <a:round/>
            </a:ln>
            <a:effectLst/>
          </c:spPr>
          <c:marker>
            <c:symbol val="none"/>
          </c:marker>
          <c:cat>
            <c:numRef>
              <c:f>'Av PP Chnage'!$E$10:$Y$10</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'Av PP Chnage'!$E$11:$Y$11</c:f>
              <c:numCache>
                <c:formatCode>_-[$£-809]* #,##0_-;\-[$£-809]* #,##0_-;_-[$£-809]* "-"??_-;_-@_-</c:formatCode>
                <c:ptCount val="21"/>
                <c:pt idx="0">
                  <c:v>103409.375</c:v>
                </c:pt>
                <c:pt idx="1">
                  <c:v>123624.6875</c:v>
                </c:pt>
                <c:pt idx="2">
                  <c:v>140906.25</c:v>
                </c:pt>
                <c:pt idx="3">
                  <c:v>165737.5</c:v>
                </c:pt>
                <c:pt idx="4">
                  <c:v>182180.9375</c:v>
                </c:pt>
                <c:pt idx="5">
                  <c:v>197121.875</c:v>
                </c:pt>
                <c:pt idx="6">
                  <c:v>209262.5</c:v>
                </c:pt>
                <c:pt idx="7">
                  <c:v>223936.875</c:v>
                </c:pt>
                <c:pt idx="8">
                  <c:v>247256.375</c:v>
                </c:pt>
                <c:pt idx="9">
                  <c:v>233990.625</c:v>
                </c:pt>
                <c:pt idx="10">
                  <c:v>221353.125</c:v>
                </c:pt>
                <c:pt idx="11">
                  <c:v>246618.75</c:v>
                </c:pt>
                <c:pt idx="12">
                  <c:v>252156.25</c:v>
                </c:pt>
                <c:pt idx="13">
                  <c:v>256749.875</c:v>
                </c:pt>
                <c:pt idx="14">
                  <c:v>277269.875</c:v>
                </c:pt>
                <c:pt idx="15">
                  <c:v>304062.5</c:v>
                </c:pt>
                <c:pt idx="16">
                  <c:v>353968.75</c:v>
                </c:pt>
                <c:pt idx="17">
                  <c:v>377965.625</c:v>
                </c:pt>
                <c:pt idx="18">
                  <c:v>396337.5</c:v>
                </c:pt>
                <c:pt idx="19">
                  <c:v>396337.5</c:v>
                </c:pt>
                <c:pt idx="20">
                  <c:v>398687.5</c:v>
                </c:pt>
              </c:numCache>
            </c:numRef>
          </c:val>
          <c:smooth val="0"/>
          <c:extLst>
            <c:ext xmlns:c16="http://schemas.microsoft.com/office/drawing/2014/chart" uri="{C3380CC4-5D6E-409C-BE32-E72D297353CC}">
              <c16:uniqueId val="{00000000-66C7-47AA-8A93-EB3D5F97CF73}"/>
            </c:ext>
          </c:extLst>
        </c:ser>
        <c:ser>
          <c:idx val="1"/>
          <c:order val="1"/>
          <c:tx>
            <c:strRef>
              <c:f>'Av PP Chnage'!$A$12</c:f>
              <c:strCache>
                <c:ptCount val="1"/>
                <c:pt idx="0">
                  <c:v>HMA</c:v>
                </c:pt>
              </c:strCache>
            </c:strRef>
          </c:tx>
          <c:spPr>
            <a:ln w="28575" cap="rnd">
              <a:solidFill>
                <a:schemeClr val="accent2"/>
              </a:solidFill>
              <a:round/>
            </a:ln>
            <a:effectLst/>
          </c:spPr>
          <c:marker>
            <c:symbol val="none"/>
          </c:marker>
          <c:cat>
            <c:numRef>
              <c:f>'Av PP Chnage'!$E$10:$Y$10</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'Av PP Chnage'!$E$12:$Y$12</c:f>
              <c:numCache>
                <c:formatCode>_-[$£-809]* #,##0_-;\-[$£-809]* #,##0_-;_-[$£-809]* "-"??_-;_-@_-</c:formatCode>
                <c:ptCount val="21"/>
                <c:pt idx="0">
                  <c:v>76989.609375</c:v>
                </c:pt>
                <c:pt idx="1">
                  <c:v>68114.84375</c:v>
                </c:pt>
                <c:pt idx="2">
                  <c:v>101728.125</c:v>
                </c:pt>
                <c:pt idx="3">
                  <c:v>124310.5078125</c:v>
                </c:pt>
                <c:pt idx="4">
                  <c:v>142847.34375</c:v>
                </c:pt>
                <c:pt idx="5">
                  <c:v>161317.34375</c:v>
                </c:pt>
                <c:pt idx="6">
                  <c:v>168057.421875</c:v>
                </c:pt>
                <c:pt idx="7">
                  <c:v>176970.2890625</c:v>
                </c:pt>
                <c:pt idx="8">
                  <c:v>191588.3125</c:v>
                </c:pt>
                <c:pt idx="9">
                  <c:v>185270.1640625</c:v>
                </c:pt>
                <c:pt idx="10">
                  <c:v>171145.9375</c:v>
                </c:pt>
                <c:pt idx="11">
                  <c:v>187973.4609375</c:v>
                </c:pt>
                <c:pt idx="12">
                  <c:v>186517.96875</c:v>
                </c:pt>
                <c:pt idx="13">
                  <c:v>189694.890625</c:v>
                </c:pt>
                <c:pt idx="14">
                  <c:v>197603.796875</c:v>
                </c:pt>
                <c:pt idx="15">
                  <c:v>197603.796875</c:v>
                </c:pt>
                <c:pt idx="16">
                  <c:v>240273.90625</c:v>
                </c:pt>
                <c:pt idx="17">
                  <c:v>257780.3515625</c:v>
                </c:pt>
                <c:pt idx="18">
                  <c:v>275933.4375</c:v>
                </c:pt>
                <c:pt idx="19">
                  <c:v>275933.4375</c:v>
                </c:pt>
                <c:pt idx="20">
                  <c:v>299624.89583333337</c:v>
                </c:pt>
              </c:numCache>
            </c:numRef>
          </c:val>
          <c:smooth val="0"/>
          <c:extLst>
            <c:ext xmlns:c16="http://schemas.microsoft.com/office/drawing/2014/chart" uri="{C3380CC4-5D6E-409C-BE32-E72D297353CC}">
              <c16:uniqueId val="{00000001-66C7-47AA-8A93-EB3D5F97CF73}"/>
            </c:ext>
          </c:extLst>
        </c:ser>
        <c:ser>
          <c:idx val="2"/>
          <c:order val="2"/>
          <c:tx>
            <c:strRef>
              <c:f>'Av PP Chnage'!$A$13</c:f>
              <c:strCache>
                <c:ptCount val="1"/>
                <c:pt idx="0">
                  <c:v>East of England </c:v>
                </c:pt>
              </c:strCache>
            </c:strRef>
          </c:tx>
          <c:spPr>
            <a:ln w="28575" cap="rnd">
              <a:solidFill>
                <a:schemeClr val="accent3"/>
              </a:solidFill>
              <a:round/>
            </a:ln>
            <a:effectLst/>
          </c:spPr>
          <c:marker>
            <c:symbol val="none"/>
          </c:marker>
          <c:cat>
            <c:numRef>
              <c:f>'Av PP Chnage'!$E$10:$Y$10</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'Av PP Chnage'!$E$13:$Y$13</c:f>
              <c:numCache>
                <c:formatCode>_-[$£-809]* #,##0_-;\-[$£-809]* #,##0_-;_-[$£-809]* "-"??_-;_-@_-</c:formatCode>
                <c:ptCount val="21"/>
                <c:pt idx="0">
                  <c:v>75550</c:v>
                </c:pt>
                <c:pt idx="1">
                  <c:v>67375</c:v>
                </c:pt>
                <c:pt idx="2">
                  <c:v>99498.75</c:v>
                </c:pt>
                <c:pt idx="3">
                  <c:v>123737.5</c:v>
                </c:pt>
                <c:pt idx="4">
                  <c:v>145123.75</c:v>
                </c:pt>
                <c:pt idx="5">
                  <c:v>163125</c:v>
                </c:pt>
                <c:pt idx="6">
                  <c:v>168748.75</c:v>
                </c:pt>
                <c:pt idx="7">
                  <c:v>177375</c:v>
                </c:pt>
                <c:pt idx="8">
                  <c:v>190125</c:v>
                </c:pt>
                <c:pt idx="9">
                  <c:v>186237.5</c:v>
                </c:pt>
                <c:pt idx="10">
                  <c:v>173500</c:v>
                </c:pt>
                <c:pt idx="11">
                  <c:v>194498.75</c:v>
                </c:pt>
                <c:pt idx="12">
                  <c:v>188999</c:v>
                </c:pt>
                <c:pt idx="13">
                  <c:v>192040</c:v>
                </c:pt>
                <c:pt idx="14">
                  <c:v>234125</c:v>
                </c:pt>
                <c:pt idx="15">
                  <c:v>234125</c:v>
                </c:pt>
                <c:pt idx="16">
                  <c:v>234125</c:v>
                </c:pt>
                <c:pt idx="17">
                  <c:v>254987.5</c:v>
                </c:pt>
                <c:pt idx="18">
                  <c:v>273125</c:v>
                </c:pt>
                <c:pt idx="19">
                  <c:v>273125</c:v>
                </c:pt>
                <c:pt idx="20">
                  <c:v>281873.75</c:v>
                </c:pt>
              </c:numCache>
            </c:numRef>
          </c:val>
          <c:smooth val="0"/>
          <c:extLst>
            <c:ext xmlns:c16="http://schemas.microsoft.com/office/drawing/2014/chart" uri="{C3380CC4-5D6E-409C-BE32-E72D297353CC}">
              <c16:uniqueId val="{00000002-66C7-47AA-8A93-EB3D5F97CF73}"/>
            </c:ext>
          </c:extLst>
        </c:ser>
        <c:ser>
          <c:idx val="3"/>
          <c:order val="3"/>
          <c:tx>
            <c:strRef>
              <c:f>'Av PP Chnage'!$A$14</c:f>
              <c:strCache>
                <c:ptCount val="1"/>
                <c:pt idx="0">
                  <c:v>England</c:v>
                </c:pt>
              </c:strCache>
            </c:strRef>
          </c:tx>
          <c:spPr>
            <a:ln w="28575" cap="rnd">
              <a:solidFill>
                <a:schemeClr val="accent4"/>
              </a:solidFill>
              <a:round/>
            </a:ln>
            <a:effectLst/>
          </c:spPr>
          <c:marker>
            <c:symbol val="none"/>
          </c:marker>
          <c:cat>
            <c:numRef>
              <c:f>'Av PP Chnage'!$E$10:$Y$10</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'Av PP Chnage'!$E$14:$Y$14</c:f>
              <c:numCache>
                <c:formatCode>_-[$£-809]* #,##0_-;\-[$£-809]* #,##0_-;_-[$£-809]* "-"??_-;_-@_-</c:formatCode>
                <c:ptCount val="21"/>
                <c:pt idx="0">
                  <c:v>73312.5</c:v>
                </c:pt>
                <c:pt idx="1">
                  <c:v>65000</c:v>
                </c:pt>
                <c:pt idx="2">
                  <c:v>91625</c:v>
                </c:pt>
                <c:pt idx="3">
                  <c:v>112375</c:v>
                </c:pt>
                <c:pt idx="4">
                  <c:v>131498.75</c:v>
                </c:pt>
                <c:pt idx="5">
                  <c:v>151987.5</c:v>
                </c:pt>
                <c:pt idx="6">
                  <c:v>158863</c:v>
                </c:pt>
                <c:pt idx="7">
                  <c:v>167625</c:v>
                </c:pt>
                <c:pt idx="8">
                  <c:v>177500</c:v>
                </c:pt>
                <c:pt idx="9">
                  <c:v>172750</c:v>
                </c:pt>
                <c:pt idx="10">
                  <c:v>168250</c:v>
                </c:pt>
                <c:pt idx="11">
                  <c:v>184875</c:v>
                </c:pt>
                <c:pt idx="12">
                  <c:v>178987.5</c:v>
                </c:pt>
                <c:pt idx="13">
                  <c:v>183749.75</c:v>
                </c:pt>
                <c:pt idx="14">
                  <c:v>183875</c:v>
                </c:pt>
                <c:pt idx="15">
                  <c:v>183875</c:v>
                </c:pt>
                <c:pt idx="16">
                  <c:v>205375</c:v>
                </c:pt>
                <c:pt idx="17">
                  <c:v>213500</c:v>
                </c:pt>
                <c:pt idx="18">
                  <c:v>221487.5</c:v>
                </c:pt>
                <c:pt idx="19">
                  <c:v>221487.5</c:v>
                </c:pt>
                <c:pt idx="20">
                  <c:v>236625</c:v>
                </c:pt>
              </c:numCache>
            </c:numRef>
          </c:val>
          <c:smooth val="0"/>
          <c:extLst>
            <c:ext xmlns:c16="http://schemas.microsoft.com/office/drawing/2014/chart" uri="{C3380CC4-5D6E-409C-BE32-E72D297353CC}">
              <c16:uniqueId val="{00000003-66C7-47AA-8A93-EB3D5F97CF73}"/>
            </c:ext>
          </c:extLst>
        </c:ser>
        <c:dLbls>
          <c:showLegendKey val="0"/>
          <c:showVal val="0"/>
          <c:showCatName val="0"/>
          <c:showSerName val="0"/>
          <c:showPercent val="0"/>
          <c:showBubbleSize val="0"/>
        </c:dLbls>
        <c:smooth val="0"/>
        <c:axId val="529002912"/>
        <c:axId val="529003568"/>
      </c:lineChart>
      <c:catAx>
        <c:axId val="5290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003568"/>
        <c:crosses val="autoZero"/>
        <c:auto val="1"/>
        <c:lblAlgn val="ctr"/>
        <c:lblOffset val="100"/>
        <c:noMultiLvlLbl val="0"/>
      </c:catAx>
      <c:valAx>
        <c:axId val="529003568"/>
        <c:scaling>
          <c:orientation val="minMax"/>
        </c:scaling>
        <c:delete val="0"/>
        <c:axPos val="l"/>
        <c:majorGridlines>
          <c:spPr>
            <a:ln w="9525" cap="flat" cmpd="sng" algn="ctr">
              <a:solidFill>
                <a:schemeClr val="tx1">
                  <a:lumMod val="15000"/>
                  <a:lumOff val="85000"/>
                </a:schemeClr>
              </a:solidFill>
              <a:round/>
            </a:ln>
            <a:effectLst/>
          </c:spPr>
        </c:majorGridlines>
        <c:numFmt formatCode="_-[$£-809]* #,##0_-;\-[$£-809]* #,##0_-;_-[$£-809]*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0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'Price Change'!$CY$40</c:f>
              <c:strCache>
                <c:ptCount val="1"/>
                <c:pt idx="0">
                  <c:v>5 year change</c:v>
                </c:pt>
              </c:strCache>
            </c:strRef>
          </c:tx>
          <c:spPr>
            <a:solidFill>
              <a:schemeClr val="accent2"/>
            </a:solidFill>
            <a:ln>
              <a:noFill/>
            </a:ln>
            <a:effectLst/>
          </c:spPr>
          <c:invertIfNegative val="0"/>
          <c:cat>
            <c:strRef>
              <c:f>'Price Change'!$CW$41:$CW$50</c:f>
              <c:strCache>
                <c:ptCount val="10"/>
                <c:pt idx="0">
                  <c:v>Cambridge</c:v>
                </c:pt>
                <c:pt idx="1">
                  <c:v>East Cambridgeshire</c:v>
                </c:pt>
                <c:pt idx="2">
                  <c:v>Fenland</c:v>
                </c:pt>
                <c:pt idx="3">
                  <c:v>Huntingdonshire</c:v>
                </c:pt>
                <c:pt idx="4">
                  <c:v>South Cambridgeshire</c:v>
                </c:pt>
                <c:pt idx="5">
                  <c:v>West Suffolk (Av)</c:v>
                </c:pt>
                <c:pt idx="6">
                  <c:v>HMA</c:v>
                </c:pt>
                <c:pt idx="7">
                  <c:v>Greater Cambridge (Av)</c:v>
                </c:pt>
                <c:pt idx="8">
                  <c:v>East of Enlgand</c:v>
                </c:pt>
                <c:pt idx="9">
                  <c:v>England</c:v>
                </c:pt>
              </c:strCache>
            </c:strRef>
          </c:cat>
          <c:val>
            <c:numRef>
              <c:f>'Price Change'!$CY$41:$CY$50</c:f>
              <c:numCache>
                <c:formatCode>"£"#,##0</c:formatCode>
                <c:ptCount val="10"/>
                <c:pt idx="0">
                  <c:v>12500</c:v>
                </c:pt>
                <c:pt idx="1">
                  <c:v>63000</c:v>
                </c:pt>
                <c:pt idx="2">
                  <c:v>32500</c:v>
                </c:pt>
                <c:pt idx="3">
                  <c:v>45000</c:v>
                </c:pt>
                <c:pt idx="4">
                  <c:v>53000</c:v>
                </c:pt>
                <c:pt idx="5">
                  <c:v>39125</c:v>
                </c:pt>
                <c:pt idx="6">
                  <c:v>52526.041666666686</c:v>
                </c:pt>
                <c:pt idx="7">
                  <c:v>32750</c:v>
                </c:pt>
                <c:pt idx="8">
                  <c:v>43500</c:v>
                </c:pt>
                <c:pt idx="9">
                  <c:v>31500</c:v>
                </c:pt>
              </c:numCache>
            </c:numRef>
          </c:val>
          <c:extLst>
            <c:ext xmlns:c16="http://schemas.microsoft.com/office/drawing/2014/chart" uri="{C3380CC4-5D6E-409C-BE32-E72D297353CC}">
              <c16:uniqueId val="{00000000-A949-4566-BC27-9A9A15A8762E}"/>
            </c:ext>
          </c:extLst>
        </c:ser>
        <c:ser>
          <c:idx val="2"/>
          <c:order val="2"/>
          <c:tx>
            <c:strRef>
              <c:f>'Price Change'!$CZ$40</c:f>
              <c:strCache>
                <c:ptCount val="1"/>
                <c:pt idx="0">
                  <c:v>10 year change</c:v>
                </c:pt>
              </c:strCache>
            </c:strRef>
          </c:tx>
          <c:spPr>
            <a:solidFill>
              <a:schemeClr val="accent3"/>
            </a:solidFill>
            <a:ln>
              <a:noFill/>
            </a:ln>
            <a:effectLst/>
          </c:spPr>
          <c:invertIfNegative val="0"/>
          <c:cat>
            <c:strRef>
              <c:f>'Price Change'!$CW$41:$CW$50</c:f>
              <c:strCache>
                <c:ptCount val="10"/>
                <c:pt idx="0">
                  <c:v>Cambridge</c:v>
                </c:pt>
                <c:pt idx="1">
                  <c:v>East Cambridgeshire</c:v>
                </c:pt>
                <c:pt idx="2">
                  <c:v>Fenland</c:v>
                </c:pt>
                <c:pt idx="3">
                  <c:v>Huntingdonshire</c:v>
                </c:pt>
                <c:pt idx="4">
                  <c:v>South Cambridgeshire</c:v>
                </c:pt>
                <c:pt idx="5">
                  <c:v>West Suffolk (Av)</c:v>
                </c:pt>
                <c:pt idx="6">
                  <c:v>HMA</c:v>
                </c:pt>
                <c:pt idx="7">
                  <c:v>Greater Cambridge (Av)</c:v>
                </c:pt>
                <c:pt idx="8">
                  <c:v>East of Enlgand</c:v>
                </c:pt>
                <c:pt idx="9">
                  <c:v>England</c:v>
                </c:pt>
              </c:strCache>
            </c:strRef>
          </c:cat>
          <c:val>
            <c:numRef>
              <c:f>'Price Change'!$CZ$41:$CZ$50</c:f>
              <c:numCache>
                <c:formatCode>"£"#,##0</c:formatCode>
                <c:ptCount val="10"/>
                <c:pt idx="0">
                  <c:v>160050</c:v>
                </c:pt>
                <c:pt idx="1">
                  <c:v>107005</c:v>
                </c:pt>
                <c:pt idx="2">
                  <c:v>47750</c:v>
                </c:pt>
                <c:pt idx="3">
                  <c:v>95750</c:v>
                </c:pt>
                <c:pt idx="4">
                  <c:v>133000</c:v>
                </c:pt>
                <c:pt idx="5">
                  <c:v>85262.5</c:v>
                </c:pt>
                <c:pt idx="6">
                  <c:v>112021.97916666669</c:v>
                </c:pt>
                <c:pt idx="7">
                  <c:v>146525</c:v>
                </c:pt>
                <c:pt idx="8">
                  <c:v>85005</c:v>
                </c:pt>
                <c:pt idx="9">
                  <c:v>52500</c:v>
                </c:pt>
              </c:numCache>
            </c:numRef>
          </c:val>
          <c:extLst>
            <c:ext xmlns:c16="http://schemas.microsoft.com/office/drawing/2014/chart" uri="{C3380CC4-5D6E-409C-BE32-E72D297353CC}">
              <c16:uniqueId val="{00000001-A949-4566-BC27-9A9A15A8762E}"/>
            </c:ext>
          </c:extLst>
        </c:ser>
        <c:ser>
          <c:idx val="3"/>
          <c:order val="3"/>
          <c:tx>
            <c:strRef>
              <c:f>'Price Change'!$DA$40</c:f>
              <c:strCache>
                <c:ptCount val="1"/>
                <c:pt idx="0">
                  <c:v>15 year change</c:v>
                </c:pt>
              </c:strCache>
            </c:strRef>
          </c:tx>
          <c:spPr>
            <a:solidFill>
              <a:schemeClr val="accent4"/>
            </a:solidFill>
            <a:ln>
              <a:noFill/>
            </a:ln>
            <a:effectLst/>
          </c:spPr>
          <c:invertIfNegative val="0"/>
          <c:cat>
            <c:strRef>
              <c:f>'Price Change'!$CW$41:$CW$50</c:f>
              <c:strCache>
                <c:ptCount val="10"/>
                <c:pt idx="0">
                  <c:v>Cambridge</c:v>
                </c:pt>
                <c:pt idx="1">
                  <c:v>East Cambridgeshire</c:v>
                </c:pt>
                <c:pt idx="2">
                  <c:v>Fenland</c:v>
                </c:pt>
                <c:pt idx="3">
                  <c:v>Huntingdonshire</c:v>
                </c:pt>
                <c:pt idx="4">
                  <c:v>South Cambridgeshire</c:v>
                </c:pt>
                <c:pt idx="5">
                  <c:v>West Suffolk (Av)</c:v>
                </c:pt>
                <c:pt idx="6">
                  <c:v>HMA</c:v>
                </c:pt>
                <c:pt idx="7">
                  <c:v>Greater Cambridge (Av)</c:v>
                </c:pt>
                <c:pt idx="8">
                  <c:v>East of Enlgand</c:v>
                </c:pt>
                <c:pt idx="9">
                  <c:v>England</c:v>
                </c:pt>
              </c:strCache>
            </c:strRef>
          </c:cat>
          <c:val>
            <c:numRef>
              <c:f>'Price Change'!$DA$41:$DA$50</c:f>
              <c:numCache>
                <c:formatCode>"£"#,##0</c:formatCode>
                <c:ptCount val="10"/>
                <c:pt idx="0">
                  <c:v>210000</c:v>
                </c:pt>
                <c:pt idx="1">
                  <c:v>124725</c:v>
                </c:pt>
                <c:pt idx="2">
                  <c:v>52550</c:v>
                </c:pt>
                <c:pt idx="3">
                  <c:v>111250</c:v>
                </c:pt>
                <c:pt idx="4">
                  <c:v>168000</c:v>
                </c:pt>
                <c:pt idx="5">
                  <c:v>102000</c:v>
                </c:pt>
                <c:pt idx="6">
                  <c:v>133669.79166666669</c:v>
                </c:pt>
                <c:pt idx="7">
                  <c:v>189000</c:v>
                </c:pt>
                <c:pt idx="8">
                  <c:v>114000</c:v>
                </c:pt>
                <c:pt idx="9">
                  <c:v>80500</c:v>
                </c:pt>
              </c:numCache>
            </c:numRef>
          </c:val>
          <c:extLst>
            <c:ext xmlns:c16="http://schemas.microsoft.com/office/drawing/2014/chart" uri="{C3380CC4-5D6E-409C-BE32-E72D297353CC}">
              <c16:uniqueId val="{00000002-A949-4566-BC27-9A9A15A8762E}"/>
            </c:ext>
          </c:extLst>
        </c:ser>
        <c:ser>
          <c:idx val="4"/>
          <c:order val="4"/>
          <c:tx>
            <c:strRef>
              <c:f>'Price Change'!$DB$40</c:f>
              <c:strCache>
                <c:ptCount val="1"/>
                <c:pt idx="0">
                  <c:v>20 year change </c:v>
                </c:pt>
              </c:strCache>
            </c:strRef>
          </c:tx>
          <c:spPr>
            <a:solidFill>
              <a:schemeClr val="accent5"/>
            </a:solidFill>
            <a:ln>
              <a:noFill/>
            </a:ln>
            <a:effectLst/>
          </c:spPr>
          <c:invertIfNegative val="0"/>
          <c:cat>
            <c:strRef>
              <c:f>'Price Change'!$CW$41:$CW$50</c:f>
              <c:strCache>
                <c:ptCount val="10"/>
                <c:pt idx="0">
                  <c:v>Cambridge</c:v>
                </c:pt>
                <c:pt idx="1">
                  <c:v>East Cambridgeshire</c:v>
                </c:pt>
                <c:pt idx="2">
                  <c:v>Fenland</c:v>
                </c:pt>
                <c:pt idx="3">
                  <c:v>Huntingdonshire</c:v>
                </c:pt>
                <c:pt idx="4">
                  <c:v>South Cambridgeshire</c:v>
                </c:pt>
                <c:pt idx="5">
                  <c:v>West Suffolk (Av)</c:v>
                </c:pt>
                <c:pt idx="6">
                  <c:v>HMA</c:v>
                </c:pt>
                <c:pt idx="7">
                  <c:v>Greater Cambridge (Av)</c:v>
                </c:pt>
                <c:pt idx="8">
                  <c:v>East of Enlgand</c:v>
                </c:pt>
                <c:pt idx="9">
                  <c:v>England</c:v>
                </c:pt>
              </c:strCache>
            </c:strRef>
          </c:cat>
          <c:val>
            <c:numRef>
              <c:f>'Price Change'!$DB$41:$DB$50</c:f>
              <c:numCache>
                <c:formatCode>"£"#,##0</c:formatCode>
                <c:ptCount val="10"/>
                <c:pt idx="0">
                  <c:v>306500</c:v>
                </c:pt>
                <c:pt idx="1">
                  <c:v>202002.5</c:v>
                </c:pt>
                <c:pt idx="2">
                  <c:v>122500</c:v>
                </c:pt>
                <c:pt idx="3">
                  <c:v>188500</c:v>
                </c:pt>
                <c:pt idx="4">
                  <c:v>250750</c:v>
                </c:pt>
                <c:pt idx="5">
                  <c:v>173500</c:v>
                </c:pt>
                <c:pt idx="6">
                  <c:v>210948.22916666669</c:v>
                </c:pt>
                <c:pt idx="7">
                  <c:v>278625</c:v>
                </c:pt>
                <c:pt idx="8">
                  <c:v>195050</c:v>
                </c:pt>
                <c:pt idx="9">
                  <c:v>158550</c:v>
                </c:pt>
              </c:numCache>
            </c:numRef>
          </c:val>
          <c:extLst>
            <c:ext xmlns:c16="http://schemas.microsoft.com/office/drawing/2014/chart" uri="{C3380CC4-5D6E-409C-BE32-E72D297353CC}">
              <c16:uniqueId val="{00000003-A949-4566-BC27-9A9A15A8762E}"/>
            </c:ext>
          </c:extLst>
        </c:ser>
        <c:dLbls>
          <c:showLegendKey val="0"/>
          <c:showVal val="0"/>
          <c:showCatName val="0"/>
          <c:showSerName val="0"/>
          <c:showPercent val="0"/>
          <c:showBubbleSize val="0"/>
        </c:dLbls>
        <c:gapWidth val="219"/>
        <c:axId val="566392056"/>
        <c:axId val="566393368"/>
      </c:barChart>
      <c:lineChart>
        <c:grouping val="standard"/>
        <c:varyColors val="0"/>
        <c:ser>
          <c:idx val="0"/>
          <c:order val="0"/>
          <c:tx>
            <c:strRef>
              <c:f>'Price Change'!$CX$40</c:f>
              <c:strCache>
                <c:ptCount val="1"/>
                <c:pt idx="0">
                  <c:v>2019 Median House Price</c:v>
                </c:pt>
              </c:strCache>
            </c:strRef>
          </c:tx>
          <c:spPr>
            <a:ln w="28575" cap="rnd">
              <a:noFill/>
              <a:round/>
            </a:ln>
            <a:effectLst/>
          </c:spPr>
          <c:marker>
            <c:symbol val="circle"/>
            <c:size val="5"/>
            <c:spPr>
              <a:solidFill>
                <a:schemeClr val="accent1"/>
              </a:solidFill>
              <a:ln w="9525">
                <a:solidFill>
                  <a:schemeClr val="accent1"/>
                </a:solidFill>
              </a:ln>
              <a:effectLst/>
            </c:spPr>
          </c:marker>
          <c:cat>
            <c:strRef>
              <c:f>'Price Change'!$CW$41:$CW$50</c:f>
              <c:strCache>
                <c:ptCount val="10"/>
                <c:pt idx="0">
                  <c:v>Cambridge</c:v>
                </c:pt>
                <c:pt idx="1">
                  <c:v>East Cambridgeshire</c:v>
                </c:pt>
                <c:pt idx="2">
                  <c:v>Fenland</c:v>
                </c:pt>
                <c:pt idx="3">
                  <c:v>Huntingdonshire</c:v>
                </c:pt>
                <c:pt idx="4">
                  <c:v>South Cambridgeshire</c:v>
                </c:pt>
                <c:pt idx="5">
                  <c:v>West Suffolk (Av)</c:v>
                </c:pt>
                <c:pt idx="6">
                  <c:v>HMA</c:v>
                </c:pt>
                <c:pt idx="7">
                  <c:v>Greater Cambridge (Av)</c:v>
                </c:pt>
                <c:pt idx="8">
                  <c:v>East of Enlgand</c:v>
                </c:pt>
                <c:pt idx="9">
                  <c:v>England</c:v>
                </c:pt>
              </c:strCache>
            </c:strRef>
          </c:cat>
          <c:val>
            <c:numRef>
              <c:f>'Price Change'!$CX$41:$CX$50</c:f>
              <c:numCache>
                <c:formatCode>"£"#,##0</c:formatCode>
                <c:ptCount val="10"/>
                <c:pt idx="0">
                  <c:v>430000</c:v>
                </c:pt>
                <c:pt idx="1">
                  <c:v>300000</c:v>
                </c:pt>
                <c:pt idx="2">
                  <c:v>182500</c:v>
                </c:pt>
                <c:pt idx="3">
                  <c:v>275000</c:v>
                </c:pt>
                <c:pt idx="4">
                  <c:v>378000</c:v>
                </c:pt>
                <c:pt idx="5">
                  <c:v>255000</c:v>
                </c:pt>
                <c:pt idx="6">
                  <c:v>303416.66666666669</c:v>
                </c:pt>
                <c:pt idx="7">
                  <c:v>404000</c:v>
                </c:pt>
                <c:pt idx="8">
                  <c:v>285000</c:v>
                </c:pt>
                <c:pt idx="9" formatCode="_-* #,##0_-;\-* #,##0_-;_-* &quot;-&quot;??_-;_-@_-">
                  <c:v>242500</c:v>
                </c:pt>
              </c:numCache>
            </c:numRef>
          </c:val>
          <c:smooth val="0"/>
          <c:extLst>
            <c:ext xmlns:c16="http://schemas.microsoft.com/office/drawing/2014/chart" uri="{C3380CC4-5D6E-409C-BE32-E72D297353CC}">
              <c16:uniqueId val="{00000004-A949-4566-BC27-9A9A15A8762E}"/>
            </c:ext>
          </c:extLst>
        </c:ser>
        <c:dLbls>
          <c:showLegendKey val="0"/>
          <c:showVal val="0"/>
          <c:showCatName val="0"/>
          <c:showSerName val="0"/>
          <c:showPercent val="0"/>
          <c:showBubbleSize val="0"/>
        </c:dLbls>
        <c:marker val="1"/>
        <c:smooth val="0"/>
        <c:axId val="566392056"/>
        <c:axId val="566393368"/>
      </c:lineChart>
      <c:catAx>
        <c:axId val="56639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93368"/>
        <c:crosses val="autoZero"/>
        <c:auto val="1"/>
        <c:lblAlgn val="ctr"/>
        <c:lblOffset val="100"/>
        <c:noMultiLvlLbl val="0"/>
      </c:catAx>
      <c:valAx>
        <c:axId val="566393368"/>
        <c:scaling>
          <c:orientation val="minMax"/>
          <c:max val="45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92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7F623381DCF4A83A43AA287D633793A"/>
        <w:category>
          <w:name w:val="General"/>
          <w:gallery w:val="placeholder"/>
        </w:category>
        <w:types>
          <w:type w:val="bbPlcHdr"/>
        </w:types>
        <w:behaviors>
          <w:behavior w:val="content"/>
        </w:behaviors>
        <w:guid w:val="{9B3430CE-C285-4440-9AFE-13F6B79E6293}"/>
      </w:docPartPr>
      <w:docPartBody>
        <w:p w:rsidR="00A24D54" w:rsidRDefault="00A24D54">
          <w:pPr>
            <w:pStyle w:val="57F623381DCF4A83A43AA287D633793A"/>
          </w:pPr>
          <w:r w:rsidRPr="00820D50">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Houschka Pro Light">
    <w:altName w:val="Calibri"/>
    <w:panose1 w:val="00000000000000000000"/>
    <w:charset w:val="00"/>
    <w:family w:val="swiss"/>
    <w:notTrueType/>
    <w:pitch w:val="default"/>
    <w:sig w:usb0="00000003" w:usb1="00000000" w:usb2="00000000" w:usb3="00000000" w:csb0="00000001" w:csb1="00000000"/>
  </w:font>
  <w:font w:name="Gotha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D54"/>
    <w:rsid w:val="000170B4"/>
    <w:rsid w:val="000341A7"/>
    <w:rsid w:val="00076A64"/>
    <w:rsid w:val="00113808"/>
    <w:rsid w:val="001265A2"/>
    <w:rsid w:val="00172AD7"/>
    <w:rsid w:val="001A6942"/>
    <w:rsid w:val="001B6D97"/>
    <w:rsid w:val="001C32D9"/>
    <w:rsid w:val="001D0965"/>
    <w:rsid w:val="0023730C"/>
    <w:rsid w:val="002621E9"/>
    <w:rsid w:val="00276E35"/>
    <w:rsid w:val="00287097"/>
    <w:rsid w:val="002D7D0B"/>
    <w:rsid w:val="002E41D7"/>
    <w:rsid w:val="00307EBE"/>
    <w:rsid w:val="00337CFC"/>
    <w:rsid w:val="00345B96"/>
    <w:rsid w:val="00346434"/>
    <w:rsid w:val="00352EB8"/>
    <w:rsid w:val="00353D71"/>
    <w:rsid w:val="003767DF"/>
    <w:rsid w:val="00392ED4"/>
    <w:rsid w:val="00396A8C"/>
    <w:rsid w:val="003C0DF0"/>
    <w:rsid w:val="003D43C3"/>
    <w:rsid w:val="004253D4"/>
    <w:rsid w:val="00432F3D"/>
    <w:rsid w:val="00441281"/>
    <w:rsid w:val="004635E3"/>
    <w:rsid w:val="004C51DC"/>
    <w:rsid w:val="004C6A7D"/>
    <w:rsid w:val="004E0B81"/>
    <w:rsid w:val="004F6DC5"/>
    <w:rsid w:val="00502B35"/>
    <w:rsid w:val="0051691D"/>
    <w:rsid w:val="005227F0"/>
    <w:rsid w:val="00554E89"/>
    <w:rsid w:val="005554E2"/>
    <w:rsid w:val="00556113"/>
    <w:rsid w:val="00574AEB"/>
    <w:rsid w:val="00576CC5"/>
    <w:rsid w:val="00577D16"/>
    <w:rsid w:val="005975EF"/>
    <w:rsid w:val="005D1F4C"/>
    <w:rsid w:val="005E7C32"/>
    <w:rsid w:val="006444FC"/>
    <w:rsid w:val="00675F2C"/>
    <w:rsid w:val="00691F3D"/>
    <w:rsid w:val="006C617A"/>
    <w:rsid w:val="006E76B8"/>
    <w:rsid w:val="00706396"/>
    <w:rsid w:val="00720745"/>
    <w:rsid w:val="00733646"/>
    <w:rsid w:val="00744EBF"/>
    <w:rsid w:val="007D5B4A"/>
    <w:rsid w:val="007E4CB1"/>
    <w:rsid w:val="007F08BA"/>
    <w:rsid w:val="008253ED"/>
    <w:rsid w:val="00840985"/>
    <w:rsid w:val="00861381"/>
    <w:rsid w:val="00885844"/>
    <w:rsid w:val="00885BDE"/>
    <w:rsid w:val="008D1E8B"/>
    <w:rsid w:val="0090373F"/>
    <w:rsid w:val="00911D3A"/>
    <w:rsid w:val="00932AAD"/>
    <w:rsid w:val="00932AB9"/>
    <w:rsid w:val="009366E6"/>
    <w:rsid w:val="00941D66"/>
    <w:rsid w:val="0094300B"/>
    <w:rsid w:val="009851EE"/>
    <w:rsid w:val="009951F1"/>
    <w:rsid w:val="009B0F2B"/>
    <w:rsid w:val="009B332F"/>
    <w:rsid w:val="009B4191"/>
    <w:rsid w:val="009B4B86"/>
    <w:rsid w:val="009F3D4A"/>
    <w:rsid w:val="00A07353"/>
    <w:rsid w:val="00A203CE"/>
    <w:rsid w:val="00A24D54"/>
    <w:rsid w:val="00A31008"/>
    <w:rsid w:val="00A901CB"/>
    <w:rsid w:val="00AB1D1C"/>
    <w:rsid w:val="00AD0074"/>
    <w:rsid w:val="00AE3FC1"/>
    <w:rsid w:val="00B06BC1"/>
    <w:rsid w:val="00B13C62"/>
    <w:rsid w:val="00B3166B"/>
    <w:rsid w:val="00B40DF4"/>
    <w:rsid w:val="00B61F06"/>
    <w:rsid w:val="00BA6907"/>
    <w:rsid w:val="00BE48CB"/>
    <w:rsid w:val="00CA3A55"/>
    <w:rsid w:val="00CA3C95"/>
    <w:rsid w:val="00CB653F"/>
    <w:rsid w:val="00D120DB"/>
    <w:rsid w:val="00D807D3"/>
    <w:rsid w:val="00D9146E"/>
    <w:rsid w:val="00DA07C1"/>
    <w:rsid w:val="00DB364F"/>
    <w:rsid w:val="00DF24A7"/>
    <w:rsid w:val="00DF5B5B"/>
    <w:rsid w:val="00E00449"/>
    <w:rsid w:val="00E16041"/>
    <w:rsid w:val="00E43358"/>
    <w:rsid w:val="00E44DFF"/>
    <w:rsid w:val="00E55296"/>
    <w:rsid w:val="00E7691B"/>
    <w:rsid w:val="00E86AEB"/>
    <w:rsid w:val="00EA43D7"/>
    <w:rsid w:val="00EA565E"/>
    <w:rsid w:val="00EB6C4B"/>
    <w:rsid w:val="00EE4B1B"/>
    <w:rsid w:val="00EE5DA8"/>
    <w:rsid w:val="00F31BB5"/>
    <w:rsid w:val="00F82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7F623381DCF4A83A43AA287D633793A">
    <w:name w:val="57F623381DCF4A83A43AA287D63379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LHearn_Word">
      <a:dk1>
        <a:srgbClr val="000000"/>
      </a:dk1>
      <a:lt1>
        <a:srgbClr val="FFFFFF"/>
      </a:lt1>
      <a:dk2>
        <a:srgbClr val="B2B2B2"/>
      </a:dk2>
      <a:lt2>
        <a:srgbClr val="7F7F7F"/>
      </a:lt2>
      <a:accent1>
        <a:srgbClr val="D2711C"/>
      </a:accent1>
      <a:accent2>
        <a:srgbClr val="0093D5"/>
      </a:accent2>
      <a:accent3>
        <a:srgbClr val="71257F"/>
      </a:accent3>
      <a:accent4>
        <a:srgbClr val="C3003B"/>
      </a:accent4>
      <a:accent5>
        <a:srgbClr val="525557"/>
      </a:accent5>
      <a:accent6>
        <a:srgbClr val="C8421B"/>
      </a:accent6>
      <a:hlink>
        <a:srgbClr val="4CAAE4"/>
      </a:hlink>
      <a:folHlink>
        <a:srgbClr val="DF9B1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55446285913B468597AE323D7702A4" ma:contentTypeVersion="13" ma:contentTypeDescription="Create a new document." ma:contentTypeScope="" ma:versionID="093fac1c17547ff6b2e75da5f1f8c3ab">
  <xsd:schema xmlns:xsd="http://www.w3.org/2001/XMLSchema" xmlns:xs="http://www.w3.org/2001/XMLSchema" xmlns:p="http://schemas.microsoft.com/office/2006/metadata/properties" xmlns:ns3="df7ac9bd-c61b-437f-a730-09b464e747bb" xmlns:ns4="8efdffcf-30b7-4763-b3b7-531b1a17b235" targetNamespace="http://schemas.microsoft.com/office/2006/metadata/properties" ma:root="true" ma:fieldsID="45e52607165c89dbfad94fdda27d6a75" ns3:_="" ns4:_="">
    <xsd:import namespace="df7ac9bd-c61b-437f-a730-09b464e747bb"/>
    <xsd:import namespace="8efdffcf-30b7-4763-b3b7-531b1a17b2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ac9bd-c61b-437f-a730-09b464e747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dffcf-30b7-4763-b3b7-531b1a17b2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4F3753907830724292FA4E4DCF6CB250" ma:contentTypeVersion="12" ma:contentTypeDescription="Create a new document." ma:contentTypeScope="" ma:versionID="343f11eb18c588098878f0d63a6b7fdb">
  <xsd:schema xmlns:xsd="http://www.w3.org/2001/XMLSchema" xmlns:xs="http://www.w3.org/2001/XMLSchema" xmlns:p="http://schemas.microsoft.com/office/2006/metadata/properties" xmlns:ns2="62befd27-d9eb-49a2-aa78-a09d84fda1a7" xmlns:ns3="29d472e7-cbae-4e85-865d-a1d67318d809" targetNamespace="http://schemas.microsoft.com/office/2006/metadata/properties" ma:root="true" ma:fieldsID="10a1a2a8c8004299034dece048dd0866" ns2:_="" ns3:_="">
    <xsd:import namespace="62befd27-d9eb-49a2-aa78-a09d84fda1a7"/>
    <xsd:import namespace="29d472e7-cbae-4e85-865d-a1d67318d8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efd27-d9eb-49a2-aa78-a09d84fda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d472e7-cbae-4e85-865d-a1d67318d8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07148E4FD8314180D707473731A1E1" ma:contentTypeVersion="13" ma:contentTypeDescription="Create a new document." ma:contentTypeScope="" ma:versionID="cd946ade5b255c79dddda675916a74c6">
  <xsd:schema xmlns:xsd="http://www.w3.org/2001/XMLSchema" xmlns:xs="http://www.w3.org/2001/XMLSchema" xmlns:p="http://schemas.microsoft.com/office/2006/metadata/properties" xmlns:ns3="3162fd42-44c4-40c7-872a-90c1923074b4" xmlns:ns4="d039f54a-9263-4f55-9074-866a6b9d8c36" targetNamespace="http://schemas.microsoft.com/office/2006/metadata/properties" ma:root="true" ma:fieldsID="15f3860d3796606e3bcc5c3b86e75c47" ns3:_="" ns4:_="">
    <xsd:import namespace="3162fd42-44c4-40c7-872a-90c1923074b4"/>
    <xsd:import namespace="d039f54a-9263-4f55-9074-866a6b9d8c3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2fd42-44c4-40c7-872a-90c192307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39f54a-9263-4f55-9074-866a6b9d8c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7C9141-91EF-42B9-BA51-BBE81AA2F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ac9bd-c61b-437f-a730-09b464e747bb"/>
    <ds:schemaRef ds:uri="8efdffcf-30b7-4763-b3b7-531b1a17b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4B401-2555-4CA1-81BB-E84CB0CFE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efd27-d9eb-49a2-aa78-a09d84fda1a7"/>
    <ds:schemaRef ds:uri="29d472e7-cbae-4e85-865d-a1d67318d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FCF1C2-17E6-462A-854C-AA0DE11B1E4A}">
  <ds:schemaRefs>
    <ds:schemaRef ds:uri="http://schemas.microsoft.com/sharepoint/v3/contenttype/forms"/>
  </ds:schemaRefs>
</ds:datastoreItem>
</file>

<file path=customXml/itemProps4.xml><?xml version="1.0" encoding="utf-8"?>
<ds:datastoreItem xmlns:ds="http://schemas.openxmlformats.org/officeDocument/2006/customXml" ds:itemID="{0BD14BE5-FB0D-4328-9263-09C13239F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2fd42-44c4-40c7-872a-90c1923074b4"/>
    <ds:schemaRef ds:uri="d039f54a-9263-4f55-9074-866a6b9d8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FC2A0E-E594-40B7-8B98-D4FC9E182B21}">
  <ds:schemaRefs>
    <ds:schemaRef ds:uri="http://schemas.openxmlformats.org/officeDocument/2006/bibliography"/>
  </ds:schemaRefs>
</ds:datastoreItem>
</file>

<file path=customXml/itemProps6.xml><?xml version="1.0" encoding="utf-8"?>
<ds:datastoreItem xmlns:ds="http://schemas.openxmlformats.org/officeDocument/2006/customXml" ds:itemID="{C51D906F-FCE9-49F2-8972-55B1862211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301</Pages>
  <Words>70798</Words>
  <Characters>403551</Characters>
  <Application>Microsoft Office Word</Application>
  <DocSecurity>0</DocSecurity>
  <Lines>3362</Lines>
  <Paragraphs>946</Paragraphs>
  <ScaleCrop>false</ScaleCrop>
  <HeadingPairs>
    <vt:vector size="2" baseType="variant">
      <vt:variant>
        <vt:lpstr>Title</vt:lpstr>
      </vt:variant>
      <vt:variant>
        <vt:i4>1</vt:i4>
      </vt:variant>
    </vt:vector>
  </HeadingPairs>
  <TitlesOfParts>
    <vt:vector size="1" baseType="lpstr">
      <vt:lpstr>General Report Template</vt:lpstr>
    </vt:vector>
  </TitlesOfParts>
  <Company>GL Hearn</Company>
  <LinksUpToDate>false</LinksUpToDate>
  <CharactersWithSpaces>473403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Report Template</dc:title>
  <dc:subject/>
  <dc:creator>Nena Pavlidou</dc:creator>
  <cp:keywords/>
  <dc:description/>
  <cp:lastModifiedBy>Anna Jones</cp:lastModifiedBy>
  <cp:revision>3</cp:revision>
  <cp:lastPrinted>2020-08-24T11:43:00Z</cp:lastPrinted>
  <dcterms:created xsi:type="dcterms:W3CDTF">2021-08-11T15:54:00Z</dcterms:created>
  <dcterms:modified xsi:type="dcterms:W3CDTF">2021-08-11T16:07:00Z</dcterms:modified>
  <cp:category>Business, Featured Templates;TEMPLATES</cp:category>
  <cp:version>V3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0x0101002F07148E4FD8314180D707473731A1E1</vt:lpwstr>
  </property>
</Properties>
</file>