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62910581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EE3E61">
        <w:rPr>
          <w:b/>
          <w:sz w:val="24"/>
          <w:szCs w:val="24"/>
        </w:rPr>
        <w:t>16</w:t>
      </w:r>
      <w:r w:rsidR="007F1707">
        <w:rPr>
          <w:b/>
          <w:sz w:val="24"/>
          <w:szCs w:val="24"/>
        </w:rPr>
        <w:t xml:space="preserve"> July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6E5FB192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EE3E61" w:rsidRPr="00EE3E61">
        <w:rPr>
          <w:b/>
          <w:sz w:val="24"/>
          <w:szCs w:val="24"/>
        </w:rPr>
        <w:t>Thursday 15 July 2021 at 4:00pm</w:t>
      </w:r>
      <w:r w:rsidR="00157EAB" w:rsidRPr="00244BCA">
        <w:rPr>
          <w:b/>
          <w:sz w:val="24"/>
          <w:szCs w:val="24"/>
        </w:rPr>
        <w:t>)</w:t>
      </w:r>
    </w:p>
    <w:p w14:paraId="7034376E" w14:textId="2CDE1BBC" w:rsidR="00EE3E61" w:rsidRPr="00EE3E61" w:rsidRDefault="00EE3E61" w:rsidP="00EE3E61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>• 1346 new lab-confirmed Covid-19 cases were detected in Cambridgeshire and 310 Covid-19 cases in Peterborough in the last 7-day recording period (4 - 10 July)</w:t>
      </w:r>
    </w:p>
    <w:p w14:paraId="022A8AD6" w14:textId="5FDAB85D" w:rsidR="00EE3E61" w:rsidRPr="00EE3E61" w:rsidRDefault="00EE3E61" w:rsidP="00EE3E61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>• The case rate per 100,000 for Cambridgeshire was a rate of 206 per 100,000 for the 7-day period up to 10 July, higher compared to a rate of 166.8 per 100,000 in the previous week up 3 July.</w:t>
      </w:r>
    </w:p>
    <w:p w14:paraId="3074C5CE" w14:textId="64DFA30C" w:rsidR="00EE3E61" w:rsidRPr="00EE3E61" w:rsidRDefault="00EE3E61" w:rsidP="00EE3E61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 xml:space="preserve">• The case rate per 100,000 for Peterborough was a rate of 153.3 per 100,000 for the 7-day period up to 10 July, higher compared to a rate of 145.9 per 100.000 in the previous week up to 3 July. </w:t>
      </w:r>
    </w:p>
    <w:p w14:paraId="60A6DF43" w14:textId="727EE656" w:rsidR="007F1205" w:rsidRDefault="00EE3E61" w:rsidP="00EE3E61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>• At a district level, all districts excluding Cambridge have reported an increase in case rates per 100,000 in the latest reporting week (4 – 10 July) compared to the previous week up to 3 July.</w:t>
      </w:r>
    </w:p>
    <w:p w14:paraId="09576F6D" w14:textId="77777777" w:rsidR="00EE3E61" w:rsidRDefault="00EE3E61" w:rsidP="00EE3E61">
      <w:pPr>
        <w:rPr>
          <w:b/>
          <w:sz w:val="24"/>
          <w:szCs w:val="24"/>
        </w:rPr>
      </w:pPr>
    </w:p>
    <w:p w14:paraId="2A29AC5E" w14:textId="67432076" w:rsidR="007F1205" w:rsidRPr="00244BCA" w:rsidRDefault="007F1205" w:rsidP="007F1205">
      <w:pPr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32E5846F" w14:textId="3A5CAB1B" w:rsidR="00EE3E61" w:rsidRPr="00EE3E61" w:rsidRDefault="00EE3E61" w:rsidP="00EE3E61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>2 Covid-19 related deaths were registered in Cambridgeshire &amp; Peterborough in ONS reporting week 26 ending 2 July, compared to null Covid-19 related deaths in ONS Week 25.</w:t>
      </w:r>
    </w:p>
    <w:p w14:paraId="3A0AAABB" w14:textId="6EB19F29" w:rsidR="00EE3E61" w:rsidRPr="00EE3E61" w:rsidRDefault="00EE3E61" w:rsidP="00EE3E61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>There were 127 all-cause deaths in Cambridgeshire and Peterborough in ONS reporting week 26 (compared to 117 in week 25).</w:t>
      </w:r>
    </w:p>
    <w:p w14:paraId="2B613474" w14:textId="64ECBD9B" w:rsidR="007F1205" w:rsidRPr="00EE3E61" w:rsidRDefault="00EE3E61" w:rsidP="00EE3E61">
      <w:pPr>
        <w:pStyle w:val="ListParagraph"/>
        <w:numPr>
          <w:ilvl w:val="0"/>
          <w:numId w:val="34"/>
        </w:numPr>
        <w:spacing w:line="276" w:lineRule="auto"/>
        <w:ind w:left="360"/>
        <w:rPr>
          <w:color w:val="000000" w:themeColor="text1"/>
          <w:sz w:val="24"/>
          <w:szCs w:val="24"/>
        </w:rPr>
      </w:pPr>
      <w:r w:rsidRPr="00EE3E61">
        <w:rPr>
          <w:rFonts w:ascii="Calibri" w:eastAsia="Times New Roman" w:hAnsi="Calibri" w:cs="Calibri"/>
          <w:sz w:val="24"/>
          <w:szCs w:val="24"/>
          <w:lang w:eastAsia="en-GB"/>
        </w:rPr>
        <w:t>At district level, Cambridge (+5), Huntingdonshire (+8), and South Cambridgeshire (+10) reported an increase in all-cause deaths, while East Cambridgeshire (-1), Fenland (-4), and Peterborough (-8) had fewer all-cause deaths compared to week prior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4625D9E7" w14:textId="10042752" w:rsidR="00EE3E61" w:rsidRPr="00EE3E61" w:rsidRDefault="00EE3E61" w:rsidP="00296422">
      <w:pPr>
        <w:pStyle w:val="ListParagraph"/>
        <w:numPr>
          <w:ilvl w:val="0"/>
          <w:numId w:val="34"/>
        </w:numPr>
        <w:spacing w:line="276" w:lineRule="auto"/>
        <w:ind w:left="360"/>
        <w:rPr>
          <w:color w:val="000000" w:themeColor="text1"/>
          <w:sz w:val="24"/>
          <w:szCs w:val="24"/>
        </w:rPr>
      </w:pPr>
      <w:r w:rsidRPr="00EE3E61">
        <w:rPr>
          <w:color w:val="000000" w:themeColor="text1"/>
          <w:sz w:val="24"/>
          <w:szCs w:val="24"/>
        </w:rPr>
        <w:t>There were no Covid-19-related deaths in care homes</w:t>
      </w:r>
      <w:r>
        <w:rPr>
          <w:color w:val="000000" w:themeColor="text1"/>
          <w:sz w:val="24"/>
          <w:szCs w:val="24"/>
        </w:rPr>
        <w:t xml:space="preserve"> in the past week.</w:t>
      </w:r>
    </w:p>
    <w:p w14:paraId="57C969CD" w14:textId="77777777" w:rsidR="00EE3E61" w:rsidRPr="00EE3E61" w:rsidRDefault="00EE3E61" w:rsidP="00EE3E61">
      <w:pPr>
        <w:spacing w:line="276" w:lineRule="auto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</w:t>
        </w:r>
        <w:r w:rsidRPr="00BB04AD">
          <w:rPr>
            <w:rStyle w:val="Hyperlink"/>
            <w:sz w:val="24"/>
            <w:szCs w:val="24"/>
          </w:rPr>
          <w:t>o</w:t>
        </w:r>
        <w:r w:rsidRPr="00BB04AD">
          <w:rPr>
            <w:rStyle w:val="Hyperlink"/>
            <w:sz w:val="24"/>
            <w:szCs w:val="24"/>
          </w:rPr>
          <w:t>mesnotifiedtoth</w:t>
        </w:r>
        <w:r w:rsidRPr="00BB04AD">
          <w:rPr>
            <w:rStyle w:val="Hyperlink"/>
            <w:sz w:val="24"/>
            <w:szCs w:val="24"/>
          </w:rPr>
          <w:t>e</w:t>
        </w:r>
        <w:r w:rsidRPr="00BB04AD">
          <w:rPr>
            <w:rStyle w:val="Hyperlink"/>
            <w:sz w:val="24"/>
            <w:szCs w:val="24"/>
          </w:rPr>
          <w:t>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21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22"/>
  </w:num>
  <w:num w:numId="10">
    <w:abstractNumId w:val="24"/>
  </w:num>
  <w:num w:numId="11">
    <w:abstractNumId w:val="32"/>
  </w:num>
  <w:num w:numId="12">
    <w:abstractNumId w:val="9"/>
  </w:num>
  <w:num w:numId="13">
    <w:abstractNumId w:val="4"/>
  </w:num>
  <w:num w:numId="14">
    <w:abstractNumId w:val="17"/>
  </w:num>
  <w:num w:numId="15">
    <w:abstractNumId w:val="16"/>
  </w:num>
  <w:num w:numId="16">
    <w:abstractNumId w:val="15"/>
  </w:num>
  <w:num w:numId="17">
    <w:abstractNumId w:val="13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33"/>
  </w:num>
  <w:num w:numId="23">
    <w:abstractNumId w:val="30"/>
  </w:num>
  <w:num w:numId="24">
    <w:abstractNumId w:val="7"/>
  </w:num>
  <w:num w:numId="25">
    <w:abstractNumId w:val="1"/>
  </w:num>
  <w:num w:numId="26">
    <w:abstractNumId w:val="25"/>
  </w:num>
  <w:num w:numId="27">
    <w:abstractNumId w:val="29"/>
  </w:num>
  <w:num w:numId="28">
    <w:abstractNumId w:val="12"/>
  </w:num>
  <w:num w:numId="29">
    <w:abstractNumId w:val="3"/>
  </w:num>
  <w:num w:numId="30">
    <w:abstractNumId w:val="0"/>
  </w:num>
  <w:num w:numId="31">
    <w:abstractNumId w:val="23"/>
  </w:num>
  <w:num w:numId="32">
    <w:abstractNumId w:val="28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14</cp:revision>
  <dcterms:created xsi:type="dcterms:W3CDTF">2021-06-11T12:02:00Z</dcterms:created>
  <dcterms:modified xsi:type="dcterms:W3CDTF">2021-07-16T10:39:00Z</dcterms:modified>
</cp:coreProperties>
</file>