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C9445" w14:textId="76B5A1DE" w:rsidR="00FB47C9" w:rsidRPr="0063289B" w:rsidRDefault="0063289B" w:rsidP="00536EDE">
      <w:pPr>
        <w:spacing w:after="0" w:line="240" w:lineRule="auto"/>
        <w:jc w:val="center"/>
        <w:rPr>
          <w:rFonts w:asciiTheme="minorHAnsi" w:hAnsiTheme="minorHAnsi"/>
          <w:i/>
          <w:sz w:val="28"/>
          <w:szCs w:val="28"/>
        </w:rPr>
      </w:pPr>
      <w:r w:rsidRPr="0063289B">
        <w:rPr>
          <w:rFonts w:asciiTheme="minorHAnsi" w:hAnsiTheme="minorHAnsi"/>
          <w:i/>
          <w:sz w:val="28"/>
          <w:szCs w:val="28"/>
        </w:rPr>
        <w:t xml:space="preserve"> </w:t>
      </w:r>
    </w:p>
    <w:p w14:paraId="59F11499" w14:textId="77777777" w:rsidR="00FB47C9" w:rsidRPr="007C4A48" w:rsidRDefault="00FB47C9" w:rsidP="00536EDE">
      <w:pPr>
        <w:spacing w:after="0" w:line="240" w:lineRule="auto"/>
        <w:jc w:val="center"/>
        <w:rPr>
          <w:rFonts w:asciiTheme="minorHAnsi" w:hAnsiTheme="minorHAnsi"/>
          <w:sz w:val="28"/>
          <w:szCs w:val="28"/>
        </w:rPr>
      </w:pPr>
    </w:p>
    <w:p w14:paraId="0CC9C039" w14:textId="77777777" w:rsidR="004A2614" w:rsidRDefault="007E2C2F" w:rsidP="00135ADB">
      <w:pPr>
        <w:rPr>
          <w:rFonts w:asciiTheme="minorHAnsi" w:hAnsiTheme="minorHAnsi" w:cstheme="minorHAnsi"/>
          <w:b/>
          <w:color w:val="365F91" w:themeColor="accent1" w:themeShade="BF"/>
        </w:rPr>
      </w:pPr>
      <w:r w:rsidRPr="002A791A">
        <w:rPr>
          <w:rFonts w:asciiTheme="minorHAnsi" w:hAnsiTheme="minorHAnsi" w:cstheme="minorHAnsi"/>
          <w:b/>
          <w:color w:val="365F91" w:themeColor="accent1" w:themeShade="BF"/>
        </w:rPr>
        <w:t xml:space="preserve">Joint Tenancies - </w:t>
      </w:r>
      <w:r w:rsidR="003872FE" w:rsidRPr="002A791A">
        <w:rPr>
          <w:rFonts w:asciiTheme="minorHAnsi" w:hAnsiTheme="minorHAnsi" w:cstheme="minorHAnsi"/>
          <w:b/>
          <w:color w:val="365F91" w:themeColor="accent1" w:themeShade="BF"/>
        </w:rPr>
        <w:t xml:space="preserve">Query </w:t>
      </w:r>
      <w:r w:rsidRPr="002A791A">
        <w:rPr>
          <w:rFonts w:asciiTheme="minorHAnsi" w:hAnsiTheme="minorHAnsi" w:cstheme="minorHAnsi"/>
          <w:b/>
          <w:color w:val="365F91" w:themeColor="accent1" w:themeShade="BF"/>
        </w:rPr>
        <w:t>to HCP Members / Ops Leads</w:t>
      </w:r>
      <w:r w:rsidR="003872FE" w:rsidRPr="002A791A">
        <w:rPr>
          <w:rFonts w:asciiTheme="minorHAnsi" w:hAnsiTheme="minorHAnsi" w:cstheme="minorHAnsi"/>
          <w:b/>
          <w:color w:val="365F91" w:themeColor="accent1" w:themeShade="BF"/>
        </w:rPr>
        <w:t xml:space="preserve"> </w:t>
      </w:r>
    </w:p>
    <w:p w14:paraId="10B02340" w14:textId="18FC99C8" w:rsidR="004F0835" w:rsidRDefault="004A2614" w:rsidP="00135ADB">
      <w:pPr>
        <w:rPr>
          <w:rFonts w:asciiTheme="minorHAnsi" w:hAnsiTheme="minorHAnsi" w:cstheme="minorHAnsi"/>
          <w:b/>
          <w:color w:val="365F91" w:themeColor="accent1" w:themeShade="BF"/>
        </w:rPr>
      </w:pPr>
      <w:r>
        <w:rPr>
          <w:rFonts w:asciiTheme="minorHAnsi" w:hAnsiTheme="minorHAnsi" w:cstheme="minorHAnsi"/>
          <w:b/>
          <w:color w:val="365F91" w:themeColor="accent1" w:themeShade="BF"/>
        </w:rPr>
        <w:t xml:space="preserve">Initial query </w:t>
      </w:r>
      <w:r w:rsidR="002A791A" w:rsidRPr="002A791A">
        <w:rPr>
          <w:rFonts w:asciiTheme="minorHAnsi" w:hAnsiTheme="minorHAnsi" w:cstheme="minorHAnsi"/>
          <w:b/>
          <w:color w:val="365F91" w:themeColor="accent1" w:themeShade="BF"/>
        </w:rPr>
        <w:t>(</w:t>
      </w:r>
      <w:r w:rsidR="009706A9">
        <w:rPr>
          <w:rFonts w:asciiTheme="minorHAnsi" w:hAnsiTheme="minorHAnsi" w:cstheme="minorHAnsi"/>
          <w:b/>
          <w:color w:val="365F91" w:themeColor="accent1" w:themeShade="BF"/>
        </w:rPr>
        <w:t xml:space="preserve">email </w:t>
      </w:r>
      <w:r w:rsidR="002A791A" w:rsidRPr="002A791A">
        <w:rPr>
          <w:rFonts w:asciiTheme="minorHAnsi" w:hAnsiTheme="minorHAnsi" w:cstheme="minorHAnsi"/>
          <w:b/>
          <w:color w:val="365F91" w:themeColor="accent1" w:themeShade="BF"/>
        </w:rPr>
        <w:t>09/04/2021)</w:t>
      </w:r>
      <w:r>
        <w:rPr>
          <w:rFonts w:asciiTheme="minorHAnsi" w:hAnsiTheme="minorHAnsi" w:cstheme="minorHAnsi"/>
          <w:b/>
          <w:color w:val="365F91" w:themeColor="accent1" w:themeShade="BF"/>
        </w:rPr>
        <w:t>:</w:t>
      </w:r>
    </w:p>
    <w:p w14:paraId="22F38C66" w14:textId="77777777" w:rsidR="004A2614" w:rsidRPr="009C320C" w:rsidRDefault="004A2614" w:rsidP="004A2614">
      <w:pPr>
        <w:pStyle w:val="PlainText"/>
        <w:numPr>
          <w:ilvl w:val="0"/>
          <w:numId w:val="12"/>
        </w:numPr>
        <w:rPr>
          <w:rFonts w:asciiTheme="minorHAnsi" w:eastAsia="Times New Roman" w:hAnsiTheme="minorHAnsi" w:cstheme="minorHAnsi"/>
          <w:color w:val="365F91" w:themeColor="accent1" w:themeShade="BF"/>
          <w:szCs w:val="22"/>
        </w:rPr>
      </w:pPr>
      <w:r w:rsidRPr="009C320C">
        <w:rPr>
          <w:rFonts w:asciiTheme="minorHAnsi" w:eastAsia="Times New Roman" w:hAnsiTheme="minorHAnsi" w:cstheme="minorHAnsi"/>
          <w:color w:val="365F91" w:themeColor="accent1" w:themeShade="BF"/>
          <w:szCs w:val="22"/>
        </w:rPr>
        <w:t xml:space="preserve">Individual landlords approach to joint tenancies, where one member of the tenancy wishes to terminate their interest. This is obviously important where one party is fleeing abuse but does not want to remain jointly and severally responsible for all debts. Are RPs responding to this and amending tenancies? Or are they only ending joint tenancies where BOTH parties have indicated that is their intention. We are specifically referring this </w:t>
      </w:r>
      <w:r w:rsidRPr="009C320C">
        <w:rPr>
          <w:rFonts w:asciiTheme="minorHAnsi" w:eastAsia="Times New Roman" w:hAnsiTheme="minorHAnsi" w:cstheme="minorHAnsi"/>
          <w:b/>
          <w:bCs/>
          <w:color w:val="365F91" w:themeColor="accent1" w:themeShade="BF"/>
          <w:szCs w:val="22"/>
        </w:rPr>
        <w:t>query to Operational Leads</w:t>
      </w:r>
      <w:r w:rsidRPr="009C320C">
        <w:rPr>
          <w:rFonts w:asciiTheme="minorHAnsi" w:eastAsia="Times New Roman" w:hAnsiTheme="minorHAnsi" w:cstheme="minorHAnsi"/>
          <w:color w:val="365F91" w:themeColor="accent1" w:themeShade="BF"/>
          <w:szCs w:val="22"/>
        </w:rPr>
        <w:t xml:space="preserve"> please if they could respond to Marta to collate responses. </w:t>
      </w:r>
      <w:r w:rsidRPr="009C320C">
        <w:rPr>
          <w:rFonts w:asciiTheme="minorHAnsi" w:eastAsia="Times New Roman" w:hAnsiTheme="minorHAnsi" w:cstheme="minorHAnsi"/>
          <w:b/>
          <w:bCs/>
          <w:color w:val="365F91" w:themeColor="accent1" w:themeShade="BF"/>
          <w:szCs w:val="22"/>
        </w:rPr>
        <w:t>ACTION</w:t>
      </w:r>
    </w:p>
    <w:p w14:paraId="04C8D054" w14:textId="77777777" w:rsidR="004A2614" w:rsidRDefault="004A2614" w:rsidP="004A2614">
      <w:pPr>
        <w:rPr>
          <w:rFonts w:asciiTheme="minorHAnsi" w:hAnsiTheme="minorHAnsi" w:cstheme="minorHAnsi"/>
          <w:b/>
          <w:color w:val="365F91" w:themeColor="accent1" w:themeShade="BF"/>
        </w:rPr>
      </w:pPr>
    </w:p>
    <w:p w14:paraId="53A30456" w14:textId="13858841" w:rsidR="004A2614" w:rsidRPr="004A2614" w:rsidRDefault="004A2614" w:rsidP="004A2614">
      <w:pPr>
        <w:rPr>
          <w:rFonts w:asciiTheme="minorHAnsi" w:hAnsiTheme="minorHAnsi" w:cstheme="minorHAnsi"/>
          <w:b/>
          <w:color w:val="365F91" w:themeColor="accent1" w:themeShade="BF"/>
        </w:rPr>
      </w:pPr>
      <w:r w:rsidRPr="004A2614">
        <w:rPr>
          <w:rFonts w:asciiTheme="minorHAnsi" w:hAnsiTheme="minorHAnsi" w:cstheme="minorHAnsi"/>
          <w:b/>
          <w:color w:val="365F91" w:themeColor="accent1" w:themeShade="BF"/>
        </w:rPr>
        <w:t>FEEDBACK RECEIVED</w:t>
      </w:r>
    </w:p>
    <w:p w14:paraId="57366528" w14:textId="5CD387F3" w:rsidR="002E6C24" w:rsidRPr="002A791A" w:rsidRDefault="002E6C24" w:rsidP="00C83C5D">
      <w:pPr>
        <w:spacing w:after="0" w:line="240" w:lineRule="auto"/>
        <w:rPr>
          <w:rFonts w:asciiTheme="minorHAnsi" w:hAnsiTheme="minorHAnsi" w:cstheme="minorHAnsi"/>
        </w:rPr>
      </w:pPr>
    </w:p>
    <w:p w14:paraId="3EF33E99" w14:textId="32AD1B2C" w:rsidR="002E6C24" w:rsidRPr="002A791A" w:rsidRDefault="002E6C24" w:rsidP="002E6C24">
      <w:pPr>
        <w:outlineLvl w:val="0"/>
        <w:rPr>
          <w:rFonts w:asciiTheme="minorHAnsi" w:hAnsiTheme="minorHAnsi" w:cstheme="minorHAnsi"/>
        </w:rPr>
      </w:pPr>
      <w:r w:rsidRPr="002A791A">
        <w:rPr>
          <w:rFonts w:asciiTheme="minorHAnsi" w:hAnsiTheme="minorHAnsi" w:cstheme="minorHAnsi"/>
          <w:b/>
          <w:bCs/>
          <w:lang w:val="en-US" w:eastAsia="en-GB"/>
        </w:rPr>
        <w:t>From:</w:t>
      </w:r>
      <w:r w:rsidR="002A791A" w:rsidRPr="002A791A">
        <w:rPr>
          <w:rFonts w:asciiTheme="minorHAnsi" w:hAnsiTheme="minorHAnsi" w:cstheme="minorHAnsi"/>
          <w:b/>
          <w:bCs/>
          <w:lang w:val="en-US" w:eastAsia="en-GB"/>
        </w:rPr>
        <w:t xml:space="preserve"> Cross Keys Homes </w:t>
      </w:r>
      <w:r w:rsidRPr="002A791A">
        <w:rPr>
          <w:rFonts w:asciiTheme="minorHAnsi" w:hAnsiTheme="minorHAnsi" w:cstheme="minorHAnsi"/>
          <w:lang w:val="en-US" w:eastAsia="en-GB"/>
        </w:rPr>
        <w:t xml:space="preserve"> </w:t>
      </w:r>
    </w:p>
    <w:p w14:paraId="5DD0DF7B" w14:textId="609830E1" w:rsidR="002E6C24" w:rsidRPr="002A791A" w:rsidRDefault="002E6C24" w:rsidP="002E6C24">
      <w:pPr>
        <w:rPr>
          <w:rFonts w:asciiTheme="minorHAnsi" w:hAnsiTheme="minorHAnsi" w:cstheme="minorHAnsi"/>
        </w:rPr>
      </w:pPr>
      <w:r w:rsidRPr="002A791A">
        <w:rPr>
          <w:rFonts w:asciiTheme="minorHAnsi" w:hAnsiTheme="minorHAnsi" w:cstheme="minorHAnsi"/>
        </w:rPr>
        <w:t>Feedback on Q1 for CKH as follows:</w:t>
      </w:r>
    </w:p>
    <w:p w14:paraId="5A59F3A2" w14:textId="77777777" w:rsidR="002E6C24" w:rsidRPr="002A791A" w:rsidRDefault="002E6C24" w:rsidP="002E6C24">
      <w:pPr>
        <w:rPr>
          <w:rFonts w:asciiTheme="minorHAnsi" w:hAnsiTheme="minorHAnsi" w:cstheme="minorHAnsi"/>
        </w:rPr>
      </w:pPr>
      <w:r w:rsidRPr="002A791A">
        <w:rPr>
          <w:rFonts w:asciiTheme="minorHAnsi" w:hAnsiTheme="minorHAnsi" w:cstheme="minorHAnsi"/>
        </w:rPr>
        <w:t xml:space="preserve">CKH has on rare occasions allowed one party to a joint tenancy to end the tenancy for both, using the ‘monk termination </w:t>
      </w:r>
      <w:hyperlink r:id="rId8" w:history="1">
        <w:r w:rsidRPr="002A791A">
          <w:rPr>
            <w:rStyle w:val="Hyperlink"/>
            <w:rFonts w:asciiTheme="minorHAnsi" w:hAnsiTheme="minorHAnsi" w:cstheme="minorHAnsi"/>
            <w:b/>
            <w:bCs/>
          </w:rPr>
          <w:t>https://www.lawteacher.net/cases/hammersmith-and-fulham-lbc-v-monk.php</w:t>
        </w:r>
      </w:hyperlink>
      <w:r w:rsidRPr="002A791A">
        <w:rPr>
          <w:rFonts w:asciiTheme="minorHAnsi" w:hAnsiTheme="minorHAnsi" w:cstheme="minorHAnsi"/>
        </w:rPr>
        <w:t>’. We could (and have on some occasions) then granted a new tenancy to one person. That does rely on the perpetrator being out of the picture as it would be more complicated if they were still in the property.  The arrears become former tenant arrears for the joint tenancy. We have in the first place encouraged both parties to agree to the Joint to Sole assignment and if that is not an option then seek a court order transferring the tenancy. The ‘monk’ termination would be the last resort when other options are not possible. Following Accent’s recent Ombudsman case as stated by Damien at the last meeting, we have now instructed staff to advise the victim’s advocate (IDVA/Rape counsellor, etc)  of the options available and let them provide the info to the customer (if they have 3PA)</w:t>
      </w:r>
    </w:p>
    <w:p w14:paraId="3A134CA5" w14:textId="1AD72AF2" w:rsidR="002E6C24" w:rsidRPr="002A791A" w:rsidRDefault="002E6C24" w:rsidP="004A2614">
      <w:pPr>
        <w:pBdr>
          <w:bottom w:val="dotted" w:sz="24" w:space="2" w:color="auto"/>
        </w:pBdr>
        <w:spacing w:after="0" w:line="240" w:lineRule="auto"/>
        <w:rPr>
          <w:rFonts w:asciiTheme="minorHAnsi" w:hAnsiTheme="minorHAnsi" w:cstheme="minorHAnsi"/>
        </w:rPr>
      </w:pPr>
    </w:p>
    <w:p w14:paraId="211F4A47" w14:textId="77777777" w:rsidR="00A9252B" w:rsidRDefault="00A9252B" w:rsidP="002E6C24">
      <w:pPr>
        <w:rPr>
          <w:rFonts w:asciiTheme="minorHAnsi" w:eastAsia="Times New Roman" w:hAnsiTheme="minorHAnsi" w:cstheme="minorHAnsi"/>
          <w:b/>
          <w:bCs/>
          <w:lang w:val="en-US" w:eastAsia="en-GB"/>
        </w:rPr>
      </w:pPr>
    </w:p>
    <w:p w14:paraId="615FF14B" w14:textId="38B8B5B2" w:rsidR="00A9252B" w:rsidRPr="00A9252B" w:rsidRDefault="002E6C24" w:rsidP="002E6C24">
      <w:pPr>
        <w:rPr>
          <w:rFonts w:asciiTheme="minorHAnsi" w:hAnsiTheme="minorHAnsi" w:cstheme="minorHAnsi"/>
          <w:b/>
          <w:bCs/>
          <w:color w:val="1F497D"/>
        </w:rPr>
      </w:pPr>
      <w:r w:rsidRPr="00A9252B">
        <w:rPr>
          <w:rFonts w:asciiTheme="minorHAnsi" w:eastAsia="Times New Roman" w:hAnsiTheme="minorHAnsi" w:cstheme="minorHAnsi"/>
          <w:b/>
          <w:bCs/>
          <w:lang w:val="en-US" w:eastAsia="en-GB"/>
        </w:rPr>
        <w:t>From: Accent</w:t>
      </w:r>
      <w:r w:rsidR="002A791A" w:rsidRPr="00A9252B">
        <w:rPr>
          <w:rFonts w:asciiTheme="minorHAnsi" w:eastAsia="Times New Roman" w:hAnsiTheme="minorHAnsi" w:cstheme="minorHAnsi"/>
          <w:b/>
          <w:bCs/>
          <w:lang w:val="en-US" w:eastAsia="en-GB"/>
        </w:rPr>
        <w:t xml:space="preserve"> </w:t>
      </w:r>
      <w:r w:rsidRPr="00A9252B">
        <w:rPr>
          <w:rFonts w:asciiTheme="minorHAnsi" w:eastAsia="Times New Roman" w:hAnsiTheme="minorHAnsi" w:cstheme="minorHAnsi"/>
          <w:b/>
          <w:bCs/>
          <w:lang w:val="en-US" w:eastAsia="en-GB"/>
        </w:rPr>
        <w:t>Group</w:t>
      </w:r>
      <w:r w:rsidR="002A791A" w:rsidRPr="00A9252B">
        <w:rPr>
          <w:rFonts w:asciiTheme="minorHAnsi" w:eastAsia="Times New Roman" w:hAnsiTheme="minorHAnsi" w:cstheme="minorHAnsi"/>
          <w:b/>
          <w:bCs/>
          <w:lang w:val="en-US" w:eastAsia="en-GB"/>
        </w:rPr>
        <w:t xml:space="preserve"> </w:t>
      </w:r>
      <w:r w:rsidRPr="00A9252B">
        <w:rPr>
          <w:rFonts w:asciiTheme="minorHAnsi" w:eastAsia="Times New Roman" w:hAnsiTheme="minorHAnsi" w:cstheme="minorHAnsi"/>
          <w:b/>
          <w:bCs/>
          <w:lang w:val="en-US" w:eastAsia="en-GB"/>
        </w:rPr>
        <w:br/>
      </w:r>
    </w:p>
    <w:p w14:paraId="6330CE25" w14:textId="0893A7B4" w:rsidR="008076C5" w:rsidRPr="004A2614" w:rsidRDefault="002E6C24" w:rsidP="008076C5">
      <w:pPr>
        <w:rPr>
          <w:rFonts w:asciiTheme="minorHAnsi" w:hAnsiTheme="minorHAnsi" w:cstheme="minorHAnsi"/>
        </w:rPr>
      </w:pPr>
      <w:r w:rsidRPr="00A9252B">
        <w:rPr>
          <w:rFonts w:asciiTheme="minorHAnsi" w:hAnsiTheme="minorHAnsi" w:cstheme="minorHAnsi"/>
        </w:rPr>
        <w:t>Accent does not have a specific policy in this area, as we recognise it is an area where parties have legal rights and we would always encourage people to seek independent legal advice. However, on a case by case basis, where we are satisfied it is appropriate to do so, we will advise customers that termination by one party to a joint tenancy will bring a joint tenancy to an end. In many cases, we have then offered a sole tenancy to victims/survivors of domestic abuse of the same property. This would be even more likely where children are part of the survivor’s household.</w:t>
      </w:r>
    </w:p>
    <w:p w14:paraId="092796E1" w14:textId="1FB61C4D" w:rsidR="004A2614" w:rsidRDefault="004A2614" w:rsidP="008076C5">
      <w:pPr>
        <w:rPr>
          <w:rFonts w:asciiTheme="minorHAnsi" w:eastAsia="Times New Roman" w:hAnsiTheme="minorHAnsi" w:cstheme="minorHAnsi"/>
          <w:b/>
          <w:bCs/>
          <w:lang w:val="en-US" w:eastAsia="en-GB"/>
        </w:rPr>
      </w:pPr>
      <w:r>
        <w:rPr>
          <w:rFonts w:asciiTheme="minorHAnsi" w:eastAsia="Times New Roman" w:hAnsiTheme="minorHAnsi" w:cstheme="minorHAnsi"/>
          <w:b/>
          <w:bCs/>
          <w:lang w:val="en-US" w:eastAsia="en-GB"/>
        </w:rPr>
        <w:softHyphen/>
      </w:r>
      <w:r>
        <w:rPr>
          <w:rFonts w:asciiTheme="minorHAnsi" w:eastAsia="Times New Roman" w:hAnsiTheme="minorHAnsi" w:cstheme="minorHAnsi"/>
          <w:b/>
          <w:bCs/>
          <w:lang w:val="en-US" w:eastAsia="en-GB"/>
        </w:rPr>
        <w:softHyphen/>
      </w:r>
      <w:r>
        <w:rPr>
          <w:rFonts w:asciiTheme="minorHAnsi" w:eastAsia="Times New Roman" w:hAnsiTheme="minorHAnsi" w:cstheme="minorHAnsi"/>
          <w:b/>
          <w:bCs/>
          <w:lang w:val="en-US" w:eastAsia="en-GB"/>
        </w:rPr>
        <w:softHyphen/>
        <w:t>----------------------------------------------------------------------------------------------------------------------------------------</w:t>
      </w:r>
    </w:p>
    <w:p w14:paraId="64C795B9" w14:textId="77777777" w:rsidR="004A2614" w:rsidRDefault="004A2614" w:rsidP="008076C5">
      <w:pPr>
        <w:rPr>
          <w:rFonts w:asciiTheme="minorHAnsi" w:eastAsia="Times New Roman" w:hAnsiTheme="minorHAnsi" w:cstheme="minorHAnsi"/>
          <w:b/>
          <w:bCs/>
          <w:lang w:val="en-US" w:eastAsia="en-GB"/>
        </w:rPr>
      </w:pPr>
    </w:p>
    <w:p w14:paraId="26835D4E" w14:textId="77777777" w:rsidR="004A2614" w:rsidRDefault="004A2614" w:rsidP="008076C5">
      <w:pPr>
        <w:rPr>
          <w:rFonts w:asciiTheme="minorHAnsi" w:eastAsia="Times New Roman" w:hAnsiTheme="minorHAnsi" w:cstheme="minorHAnsi"/>
          <w:b/>
          <w:bCs/>
          <w:lang w:val="en-US" w:eastAsia="en-GB"/>
        </w:rPr>
      </w:pPr>
    </w:p>
    <w:p w14:paraId="068F816B" w14:textId="57C7C953" w:rsidR="004A2614" w:rsidRDefault="008076C5" w:rsidP="008076C5">
      <w:pPr>
        <w:rPr>
          <w:rFonts w:asciiTheme="minorHAnsi" w:hAnsiTheme="minorHAnsi" w:cstheme="minorHAnsi"/>
        </w:rPr>
      </w:pPr>
      <w:r w:rsidRPr="004A2614">
        <w:rPr>
          <w:rFonts w:asciiTheme="minorHAnsi" w:eastAsia="Times New Roman" w:hAnsiTheme="minorHAnsi" w:cstheme="minorHAnsi"/>
          <w:b/>
          <w:bCs/>
          <w:lang w:val="en-US" w:eastAsia="en-GB"/>
        </w:rPr>
        <w:lastRenderedPageBreak/>
        <w:t xml:space="preserve">From: </w:t>
      </w:r>
      <w:r w:rsidR="004A2614" w:rsidRPr="004A2614">
        <w:rPr>
          <w:rFonts w:asciiTheme="minorHAnsi" w:eastAsia="Times New Roman" w:hAnsiTheme="minorHAnsi" w:cstheme="minorHAnsi"/>
          <w:b/>
          <w:bCs/>
          <w:lang w:val="en-US" w:eastAsia="en-GB"/>
        </w:rPr>
        <w:t>H</w:t>
      </w:r>
      <w:r w:rsidRPr="004A2614">
        <w:rPr>
          <w:rFonts w:asciiTheme="minorHAnsi" w:eastAsia="Times New Roman" w:hAnsiTheme="minorHAnsi" w:cstheme="minorHAnsi"/>
          <w:b/>
          <w:bCs/>
          <w:lang w:val="en-US" w:eastAsia="en-GB"/>
        </w:rPr>
        <w:t>yde</w:t>
      </w:r>
      <w:r w:rsidR="004A2614" w:rsidRPr="004A2614">
        <w:rPr>
          <w:rFonts w:asciiTheme="minorHAnsi" w:eastAsia="Times New Roman" w:hAnsiTheme="minorHAnsi" w:cstheme="minorHAnsi"/>
          <w:b/>
          <w:bCs/>
          <w:lang w:val="en-US" w:eastAsia="en-GB"/>
        </w:rPr>
        <w:t xml:space="preserve"> H</w:t>
      </w:r>
      <w:r w:rsidRPr="004A2614">
        <w:rPr>
          <w:rFonts w:asciiTheme="minorHAnsi" w:eastAsia="Times New Roman" w:hAnsiTheme="minorHAnsi" w:cstheme="minorHAnsi"/>
          <w:b/>
          <w:bCs/>
          <w:lang w:val="en-US" w:eastAsia="en-GB"/>
        </w:rPr>
        <w:t>ousing</w:t>
      </w:r>
      <w:r w:rsidRPr="004A2614">
        <w:rPr>
          <w:rFonts w:asciiTheme="minorHAnsi" w:eastAsia="Times New Roman" w:hAnsiTheme="minorHAnsi" w:cstheme="minorHAnsi"/>
          <w:b/>
          <w:bCs/>
          <w:lang w:val="en-US" w:eastAsia="en-GB"/>
        </w:rPr>
        <w:br/>
      </w:r>
    </w:p>
    <w:p w14:paraId="351E6886" w14:textId="06259D16" w:rsidR="008076C5" w:rsidRPr="002A791A" w:rsidRDefault="008076C5" w:rsidP="008076C5">
      <w:pPr>
        <w:rPr>
          <w:rFonts w:asciiTheme="minorHAnsi" w:hAnsiTheme="minorHAnsi" w:cstheme="minorHAnsi"/>
        </w:rPr>
      </w:pPr>
      <w:r w:rsidRPr="002A791A">
        <w:rPr>
          <w:rFonts w:asciiTheme="minorHAnsi" w:hAnsiTheme="minorHAnsi" w:cstheme="minorHAnsi"/>
        </w:rPr>
        <w:t xml:space="preserve">Our answer to q 1 is that if 1 party to </w:t>
      </w:r>
      <w:r w:rsidR="000E03FD" w:rsidRPr="002A791A">
        <w:rPr>
          <w:rFonts w:asciiTheme="minorHAnsi" w:hAnsiTheme="minorHAnsi" w:cstheme="minorHAnsi"/>
        </w:rPr>
        <w:t>a joint</w:t>
      </w:r>
      <w:r w:rsidRPr="002A791A">
        <w:rPr>
          <w:rFonts w:asciiTheme="minorHAnsi" w:hAnsiTheme="minorHAnsi" w:cstheme="minorHAnsi"/>
        </w:rPr>
        <w:t xml:space="preserve"> tenant chooses to </w:t>
      </w:r>
      <w:r w:rsidR="000E03FD" w:rsidRPr="002A791A">
        <w:rPr>
          <w:rFonts w:asciiTheme="minorHAnsi" w:hAnsiTheme="minorHAnsi" w:cstheme="minorHAnsi"/>
        </w:rPr>
        <w:t>terminate,</w:t>
      </w:r>
      <w:r w:rsidRPr="002A791A">
        <w:rPr>
          <w:rFonts w:asciiTheme="minorHAnsi" w:hAnsiTheme="minorHAnsi" w:cstheme="minorHAnsi"/>
        </w:rPr>
        <w:t xml:space="preserve"> we cannot stop them.  We won</w:t>
      </w:r>
      <w:r w:rsidR="004A2614">
        <w:rPr>
          <w:rFonts w:asciiTheme="minorHAnsi" w:hAnsiTheme="minorHAnsi" w:cstheme="minorHAnsi"/>
        </w:rPr>
        <w:t>’</w:t>
      </w:r>
      <w:r w:rsidRPr="002A791A">
        <w:rPr>
          <w:rFonts w:asciiTheme="minorHAnsi" w:hAnsiTheme="minorHAnsi" w:cstheme="minorHAnsi"/>
        </w:rPr>
        <w:t>t encourage them to do so but will ask that they seek their own legal advice.  We then deal with the remaining tenant as appropriate.</w:t>
      </w:r>
    </w:p>
    <w:p w14:paraId="5305F0B1" w14:textId="489099C2" w:rsidR="008076C5" w:rsidRPr="002A791A" w:rsidRDefault="008076C5" w:rsidP="008076C5">
      <w:pPr>
        <w:pBdr>
          <w:bottom w:val="dotted" w:sz="24" w:space="1" w:color="auto"/>
        </w:pBdr>
        <w:rPr>
          <w:rFonts w:asciiTheme="minorHAnsi" w:hAnsiTheme="minorHAnsi" w:cstheme="minorHAnsi"/>
        </w:rPr>
      </w:pPr>
      <w:r w:rsidRPr="002A791A">
        <w:rPr>
          <w:rFonts w:asciiTheme="minorHAnsi" w:hAnsiTheme="minorHAnsi" w:cstheme="minorHAnsi"/>
        </w:rPr>
        <w:t xml:space="preserve"> </w:t>
      </w:r>
    </w:p>
    <w:p w14:paraId="0C89641E" w14:textId="77777777" w:rsidR="004A2614" w:rsidRDefault="001C39CD" w:rsidP="004A2614">
      <w:pPr>
        <w:outlineLvl w:val="0"/>
        <w:rPr>
          <w:rFonts w:asciiTheme="minorHAnsi" w:hAnsiTheme="minorHAnsi" w:cstheme="minorHAnsi"/>
        </w:rPr>
      </w:pPr>
      <w:r w:rsidRPr="002A791A">
        <w:rPr>
          <w:rFonts w:asciiTheme="minorHAnsi" w:hAnsiTheme="minorHAnsi" w:cstheme="minorHAnsi"/>
          <w:b/>
          <w:bCs/>
          <w:lang w:val="en-US" w:eastAsia="en-GB"/>
        </w:rPr>
        <w:t>From</w:t>
      </w:r>
      <w:r w:rsidRPr="004A2614">
        <w:rPr>
          <w:rFonts w:asciiTheme="minorHAnsi" w:hAnsiTheme="minorHAnsi" w:cstheme="minorHAnsi"/>
          <w:lang w:val="en-US" w:eastAsia="en-GB"/>
        </w:rPr>
        <w:t xml:space="preserve">: </w:t>
      </w:r>
      <w:hyperlink r:id="rId9" w:history="1">
        <w:r w:rsidR="004A2614" w:rsidRPr="004A2614">
          <w:rPr>
            <w:rFonts w:asciiTheme="minorHAnsi" w:hAnsiTheme="minorHAnsi" w:cstheme="minorHAnsi"/>
            <w:b/>
            <w:bCs/>
          </w:rPr>
          <w:t>L</w:t>
        </w:r>
        <w:proofErr w:type="spellStart"/>
        <w:r w:rsidRPr="004A2614">
          <w:rPr>
            <w:rStyle w:val="Hyperlink"/>
            <w:rFonts w:asciiTheme="minorHAnsi" w:hAnsiTheme="minorHAnsi" w:cstheme="minorHAnsi"/>
            <w:b/>
            <w:bCs/>
            <w:color w:val="auto"/>
            <w:u w:val="none"/>
            <w:lang w:val="en-US" w:eastAsia="en-GB"/>
          </w:rPr>
          <w:t>onghurst</w:t>
        </w:r>
        <w:proofErr w:type="spellEnd"/>
        <w:r w:rsidR="004A2614" w:rsidRPr="004A2614">
          <w:rPr>
            <w:rStyle w:val="Hyperlink"/>
            <w:rFonts w:asciiTheme="minorHAnsi" w:hAnsiTheme="minorHAnsi" w:cstheme="minorHAnsi"/>
            <w:b/>
            <w:bCs/>
            <w:color w:val="auto"/>
            <w:u w:val="none"/>
            <w:lang w:val="en-US" w:eastAsia="en-GB"/>
          </w:rPr>
          <w:t xml:space="preserve"> Group</w:t>
        </w:r>
        <w:r w:rsidR="004A2614" w:rsidRPr="004A2614">
          <w:rPr>
            <w:rStyle w:val="Hyperlink"/>
            <w:rFonts w:asciiTheme="minorHAnsi" w:hAnsiTheme="minorHAnsi" w:cstheme="minorHAnsi"/>
            <w:color w:val="auto"/>
            <w:lang w:val="en-US" w:eastAsia="en-GB"/>
          </w:rPr>
          <w:t xml:space="preserve"> </w:t>
        </w:r>
      </w:hyperlink>
      <w:r w:rsidRPr="004A2614">
        <w:rPr>
          <w:rFonts w:asciiTheme="minorHAnsi" w:hAnsiTheme="minorHAnsi" w:cstheme="minorHAnsi"/>
          <w:lang w:val="en-US" w:eastAsia="en-GB"/>
        </w:rPr>
        <w:t xml:space="preserve"> </w:t>
      </w:r>
      <w:r w:rsidRPr="004A2614">
        <w:rPr>
          <w:rFonts w:asciiTheme="minorHAnsi" w:hAnsiTheme="minorHAnsi" w:cstheme="minorHAnsi"/>
          <w:lang w:val="en-US" w:eastAsia="en-GB"/>
        </w:rPr>
        <w:br/>
      </w:r>
    </w:p>
    <w:p w14:paraId="7FA74477" w14:textId="1B14ACE0" w:rsidR="00302F48" w:rsidRPr="00302F48" w:rsidRDefault="000E03FD" w:rsidP="00302F48">
      <w:pPr>
        <w:rPr>
          <w:rFonts w:asciiTheme="minorHAnsi" w:hAnsiTheme="minorHAnsi" w:cstheme="minorHAnsi"/>
        </w:rPr>
      </w:pPr>
      <w:r w:rsidRPr="002A791A">
        <w:rPr>
          <w:rFonts w:asciiTheme="minorHAnsi" w:hAnsiTheme="minorHAnsi" w:cstheme="minorHAnsi"/>
        </w:rPr>
        <w:t>Yes,</w:t>
      </w:r>
      <w:r w:rsidR="001C39CD" w:rsidRPr="002A791A">
        <w:rPr>
          <w:rFonts w:asciiTheme="minorHAnsi" w:hAnsiTheme="minorHAnsi" w:cstheme="minorHAnsi"/>
        </w:rPr>
        <w:t xml:space="preserve"> we have been doing this for years. If a victim of DA is in a joint tenancy and flees, then they are removed from the tenancy if that is what they wish to do, we do not need the other joint tenants’ consent. They would also not become liable for any debt linked to the account if DA was involved. For the perpetrator remaining in the home, we would look to take possession action against them following disclosure from the victim fleeing the situation. </w:t>
      </w:r>
      <w:r w:rsidR="00302F48" w:rsidRPr="00302F48">
        <w:rPr>
          <w:rFonts w:asciiTheme="minorHAnsi" w:hAnsiTheme="minorHAnsi" w:cstheme="minorHAnsi"/>
        </w:rPr>
        <w:t xml:space="preserve">For any survivor of DA fleeing, we/LG would offer an assured tenancy as standard rather than a starter tenancy to provide that security of tenure. </w:t>
      </w:r>
    </w:p>
    <w:p w14:paraId="0AB8C6EC" w14:textId="6D0D09C1" w:rsidR="00A50CD1" w:rsidRPr="002A791A" w:rsidRDefault="00A50CD1" w:rsidP="00A50CD1">
      <w:pPr>
        <w:pBdr>
          <w:bottom w:val="dotted" w:sz="24" w:space="1" w:color="auto"/>
        </w:pBdr>
        <w:rPr>
          <w:rFonts w:asciiTheme="minorHAnsi" w:hAnsiTheme="minorHAnsi" w:cstheme="minorHAnsi"/>
        </w:rPr>
      </w:pPr>
    </w:p>
    <w:tbl>
      <w:tblPr>
        <w:tblW w:w="5000" w:type="pct"/>
        <w:tblCellSpacing w:w="0" w:type="dxa"/>
        <w:tblCellMar>
          <w:left w:w="0" w:type="dxa"/>
          <w:right w:w="0" w:type="dxa"/>
        </w:tblCellMar>
        <w:tblLook w:val="04A0" w:firstRow="1" w:lastRow="0" w:firstColumn="1" w:lastColumn="0" w:noHBand="0" w:noVBand="1"/>
      </w:tblPr>
      <w:tblGrid>
        <w:gridCol w:w="9214"/>
      </w:tblGrid>
      <w:tr w:rsidR="0084011F" w:rsidRPr="002A791A" w14:paraId="64370EAA" w14:textId="77777777" w:rsidTr="0084011F">
        <w:trPr>
          <w:tblCellSpacing w:w="0" w:type="dxa"/>
        </w:trPr>
        <w:tc>
          <w:tcPr>
            <w:tcW w:w="0" w:type="auto"/>
            <w:hideMark/>
          </w:tcPr>
          <w:p w14:paraId="0D2875AC" w14:textId="77777777" w:rsidR="0084011F" w:rsidRPr="002A791A" w:rsidRDefault="0084011F">
            <w:pPr>
              <w:rPr>
                <w:rFonts w:asciiTheme="minorHAnsi" w:eastAsia="Times New Roman" w:hAnsiTheme="minorHAnsi" w:cstheme="minorHAnsi"/>
              </w:rPr>
            </w:pPr>
          </w:p>
        </w:tc>
      </w:tr>
    </w:tbl>
    <w:p w14:paraId="70CD1F72" w14:textId="77777777" w:rsidR="001C063A" w:rsidRDefault="007E2C2F" w:rsidP="007E2C2F">
      <w:pPr>
        <w:rPr>
          <w:rFonts w:asciiTheme="minorHAnsi" w:eastAsia="Times New Roman" w:hAnsiTheme="minorHAnsi" w:cstheme="minorHAnsi"/>
          <w:lang w:val="en-US" w:eastAsia="en-GB"/>
        </w:rPr>
      </w:pPr>
      <w:r w:rsidRPr="004A2614">
        <w:rPr>
          <w:rFonts w:asciiTheme="minorHAnsi" w:eastAsia="Times New Roman" w:hAnsiTheme="minorHAnsi" w:cstheme="minorHAnsi"/>
          <w:b/>
          <w:bCs/>
          <w:lang w:val="en-US" w:eastAsia="en-GB"/>
        </w:rPr>
        <w:t xml:space="preserve">From: </w:t>
      </w:r>
      <w:r w:rsidR="004A2614" w:rsidRPr="004A2614">
        <w:rPr>
          <w:rFonts w:asciiTheme="minorHAnsi" w:eastAsia="Times New Roman" w:hAnsiTheme="minorHAnsi" w:cstheme="minorHAnsi"/>
          <w:b/>
          <w:bCs/>
          <w:lang w:val="en-US" w:eastAsia="en-GB"/>
        </w:rPr>
        <w:t>HHS</w:t>
      </w:r>
      <w:r w:rsidR="004A2614">
        <w:rPr>
          <w:rFonts w:asciiTheme="minorHAnsi" w:eastAsia="Times New Roman" w:hAnsiTheme="minorHAnsi" w:cstheme="minorHAnsi"/>
          <w:lang w:val="en-US" w:eastAsia="en-GB"/>
        </w:rPr>
        <w:t xml:space="preserve"> </w:t>
      </w:r>
      <w:r w:rsidRPr="002A791A">
        <w:rPr>
          <w:rFonts w:asciiTheme="minorHAnsi" w:eastAsia="Times New Roman" w:hAnsiTheme="minorHAnsi" w:cstheme="minorHAnsi"/>
          <w:lang w:val="en-US" w:eastAsia="en-GB"/>
        </w:rPr>
        <w:t xml:space="preserve"> </w:t>
      </w:r>
    </w:p>
    <w:p w14:paraId="0F8176D0" w14:textId="464F71CA" w:rsidR="007E2C2F" w:rsidRPr="002A791A" w:rsidRDefault="007E2C2F" w:rsidP="007E2C2F">
      <w:pPr>
        <w:rPr>
          <w:rFonts w:asciiTheme="minorHAnsi" w:hAnsiTheme="minorHAnsi" w:cstheme="minorHAnsi"/>
        </w:rPr>
      </w:pPr>
      <w:r w:rsidRPr="002A791A">
        <w:rPr>
          <w:rFonts w:asciiTheme="minorHAnsi" w:eastAsia="Times New Roman" w:hAnsiTheme="minorHAnsi" w:cstheme="minorHAnsi"/>
          <w:lang w:val="en-US" w:eastAsia="en-GB"/>
        </w:rPr>
        <w:br/>
      </w:r>
      <w:r w:rsidRPr="002A791A">
        <w:rPr>
          <w:rFonts w:asciiTheme="minorHAnsi" w:hAnsiTheme="minorHAnsi" w:cstheme="minorHAnsi"/>
        </w:rPr>
        <w:t>Our Domestic Abuse Policy at HHS outlines that the safety of people will be our first priority at all times.</w:t>
      </w:r>
    </w:p>
    <w:p w14:paraId="4612EEDE" w14:textId="77777777" w:rsidR="007E2C2F" w:rsidRPr="002A791A" w:rsidRDefault="007E2C2F" w:rsidP="007E2C2F">
      <w:pPr>
        <w:rPr>
          <w:rFonts w:asciiTheme="minorHAnsi" w:hAnsiTheme="minorHAnsi" w:cstheme="minorHAnsi"/>
        </w:rPr>
      </w:pPr>
      <w:r w:rsidRPr="002A791A">
        <w:rPr>
          <w:rFonts w:asciiTheme="minorHAnsi" w:hAnsiTheme="minorHAnsi" w:cstheme="minorHAnsi"/>
        </w:rPr>
        <w:t>Where there is a joint tenancy held and either the action taken by HHS or the circumstances of the domestic abuse results in the victim requiring an alternative home, we will work with the local authority and other agencies through local agreements to ensure a safe home, with comparable tenure wherever possible, is made available. We will take action to end the joint tenancy if it is not relinquished as part of any intervention. We may also consider rehousing the perpetrator if by working with other agencies it is seen as beneficial to the victim to do so.</w:t>
      </w:r>
    </w:p>
    <w:p w14:paraId="644ECC6D" w14:textId="77777777" w:rsidR="007E2C2F" w:rsidRPr="002A791A" w:rsidRDefault="007E2C2F" w:rsidP="007E2C2F">
      <w:pPr>
        <w:rPr>
          <w:rFonts w:asciiTheme="minorHAnsi" w:hAnsiTheme="minorHAnsi" w:cstheme="minorHAnsi"/>
        </w:rPr>
      </w:pPr>
      <w:r w:rsidRPr="002A791A">
        <w:rPr>
          <w:rFonts w:asciiTheme="minorHAnsi" w:hAnsiTheme="minorHAnsi" w:cstheme="minorHAnsi"/>
        </w:rPr>
        <w:t>Outstanding debt such as rent arrears or rechargeable repairs will never prevent a person suffering domestic abuse from moving home. However, a repayment plan will be discussed and agreed before rehousing is offered.</w:t>
      </w:r>
    </w:p>
    <w:p w14:paraId="49C13577" w14:textId="142CF5C4" w:rsidR="006A0F94" w:rsidRPr="002A791A" w:rsidRDefault="006A0F94" w:rsidP="007E2C2F">
      <w:pPr>
        <w:pBdr>
          <w:bottom w:val="dotted" w:sz="24" w:space="1" w:color="auto"/>
        </w:pBdr>
        <w:rPr>
          <w:rFonts w:asciiTheme="minorHAnsi" w:hAnsiTheme="minorHAnsi" w:cstheme="minorHAnsi"/>
          <w:b/>
          <w:bCs/>
          <w:color w:val="043A7A"/>
          <w:lang w:eastAsia="en-GB"/>
        </w:rPr>
      </w:pPr>
    </w:p>
    <w:p w14:paraId="41677CBB" w14:textId="1EE6AE16" w:rsidR="001C063A" w:rsidRDefault="006A0F94" w:rsidP="001C063A">
      <w:pPr>
        <w:rPr>
          <w:rFonts w:asciiTheme="minorHAnsi" w:hAnsiTheme="minorHAnsi" w:cstheme="minorHAnsi"/>
        </w:rPr>
      </w:pPr>
      <w:r w:rsidRPr="001C063A">
        <w:rPr>
          <w:rFonts w:asciiTheme="minorHAnsi" w:eastAsia="Times New Roman" w:hAnsiTheme="minorHAnsi" w:cstheme="minorHAnsi"/>
          <w:b/>
          <w:bCs/>
          <w:lang w:val="en-US" w:eastAsia="en-GB"/>
        </w:rPr>
        <w:t xml:space="preserve">From: </w:t>
      </w:r>
      <w:r w:rsidR="001C063A">
        <w:rPr>
          <w:rFonts w:asciiTheme="minorHAnsi" w:eastAsia="Times New Roman" w:hAnsiTheme="minorHAnsi" w:cstheme="minorHAnsi"/>
          <w:b/>
          <w:bCs/>
          <w:lang w:val="en-US" w:eastAsia="en-GB"/>
        </w:rPr>
        <w:t>Flagship Group</w:t>
      </w:r>
      <w:r w:rsidRPr="001C063A">
        <w:rPr>
          <w:rFonts w:asciiTheme="minorHAnsi" w:eastAsia="Times New Roman" w:hAnsiTheme="minorHAnsi" w:cstheme="minorHAnsi"/>
          <w:b/>
          <w:bCs/>
          <w:lang w:val="en-US" w:eastAsia="en-GB"/>
        </w:rPr>
        <w:br/>
      </w:r>
    </w:p>
    <w:p w14:paraId="505737E5" w14:textId="1935D635" w:rsidR="006A0F94" w:rsidRPr="002A791A" w:rsidRDefault="006A0F94" w:rsidP="001C063A">
      <w:pPr>
        <w:rPr>
          <w:rFonts w:asciiTheme="minorHAnsi" w:hAnsiTheme="minorHAnsi" w:cstheme="minorHAnsi"/>
        </w:rPr>
      </w:pPr>
      <w:r w:rsidRPr="002A791A">
        <w:rPr>
          <w:rFonts w:asciiTheme="minorHAnsi" w:hAnsiTheme="minorHAnsi" w:cstheme="minorHAnsi"/>
        </w:rPr>
        <w:t>At Flagship Group which includes our trading names Flagship Homes, Suffolk Housing and Victory Housing we would respond and amend a tenancy.  There would be no requirement for both parties to indicate this is their intention.</w:t>
      </w:r>
    </w:p>
    <w:tbl>
      <w:tblPr>
        <w:tblW w:w="0" w:type="auto"/>
        <w:shd w:val="clear" w:color="auto" w:fill="FFFFFF"/>
        <w:tblCellMar>
          <w:left w:w="0" w:type="dxa"/>
          <w:right w:w="0" w:type="dxa"/>
        </w:tblCellMar>
        <w:tblLook w:val="04A0" w:firstRow="1" w:lastRow="0" w:firstColumn="1" w:lastColumn="0" w:noHBand="0" w:noVBand="1"/>
      </w:tblPr>
      <w:tblGrid>
        <w:gridCol w:w="6"/>
      </w:tblGrid>
      <w:tr w:rsidR="006A0F94" w:rsidRPr="002A791A" w14:paraId="6C670EDB" w14:textId="77777777" w:rsidTr="006A0F94">
        <w:tc>
          <w:tcPr>
            <w:tcW w:w="0" w:type="auto"/>
            <w:shd w:val="clear" w:color="auto" w:fill="FFFFFF"/>
            <w:hideMark/>
          </w:tcPr>
          <w:tbl>
            <w:tblPr>
              <w:tblW w:w="0" w:type="auto"/>
              <w:tblCellMar>
                <w:left w:w="0" w:type="dxa"/>
                <w:right w:w="0" w:type="dxa"/>
              </w:tblCellMar>
              <w:tblLook w:val="04A0" w:firstRow="1" w:lastRow="0" w:firstColumn="1" w:lastColumn="0" w:noHBand="0" w:noVBand="1"/>
            </w:tblPr>
            <w:tblGrid>
              <w:gridCol w:w="6"/>
            </w:tblGrid>
            <w:tr w:rsidR="006A0F94" w:rsidRPr="002A791A" w14:paraId="21A80DB9" w14:textId="77777777" w:rsidTr="001C063A">
              <w:tc>
                <w:tcPr>
                  <w:tcW w:w="0" w:type="auto"/>
                </w:tcPr>
                <w:p w14:paraId="0DC6E0BB" w14:textId="6A48D746" w:rsidR="006A0F94" w:rsidRPr="002A791A" w:rsidRDefault="006A0F94">
                  <w:pPr>
                    <w:rPr>
                      <w:rFonts w:asciiTheme="minorHAnsi" w:eastAsia="Times New Roman" w:hAnsiTheme="minorHAnsi" w:cstheme="minorHAnsi"/>
                      <w:b/>
                      <w:bCs/>
                      <w:color w:val="48494C"/>
                      <w:lang w:eastAsia="en-GB"/>
                    </w:rPr>
                  </w:pPr>
                </w:p>
              </w:tc>
            </w:tr>
            <w:tr w:rsidR="006A0F94" w:rsidRPr="002A791A" w14:paraId="2D017E60" w14:textId="77777777" w:rsidTr="001C063A">
              <w:tc>
                <w:tcPr>
                  <w:tcW w:w="0" w:type="auto"/>
                </w:tcPr>
                <w:p w14:paraId="472336FE" w14:textId="12B13B2A" w:rsidR="006A0F94" w:rsidRPr="002A791A" w:rsidRDefault="006A0F94">
                  <w:pPr>
                    <w:rPr>
                      <w:rFonts w:asciiTheme="minorHAnsi" w:eastAsia="Times New Roman" w:hAnsiTheme="minorHAnsi" w:cstheme="minorHAnsi"/>
                      <w:color w:val="48494C"/>
                      <w:lang w:eastAsia="en-GB"/>
                    </w:rPr>
                  </w:pPr>
                </w:p>
              </w:tc>
            </w:tr>
          </w:tbl>
          <w:p w14:paraId="2D59E305" w14:textId="77777777" w:rsidR="006A0F94" w:rsidRPr="002A791A" w:rsidRDefault="006A0F94">
            <w:pPr>
              <w:rPr>
                <w:rFonts w:asciiTheme="minorHAnsi" w:eastAsia="Times New Roman" w:hAnsiTheme="minorHAnsi" w:cstheme="minorHAnsi"/>
                <w:lang w:eastAsia="en-GB"/>
              </w:rPr>
            </w:pPr>
          </w:p>
        </w:tc>
      </w:tr>
    </w:tbl>
    <w:p w14:paraId="42C8A37C" w14:textId="23A8F784" w:rsidR="00105BBC" w:rsidRPr="002A791A" w:rsidRDefault="00F85243" w:rsidP="00105BBC">
      <w:pPr>
        <w:rPr>
          <w:rFonts w:asciiTheme="minorHAnsi" w:hAnsiTheme="minorHAnsi" w:cstheme="minorHAnsi"/>
        </w:rPr>
      </w:pPr>
      <w:r w:rsidRPr="00F85243">
        <w:rPr>
          <w:rFonts w:asciiTheme="minorHAnsi" w:eastAsia="Times New Roman" w:hAnsiTheme="minorHAnsi" w:cstheme="minorHAnsi"/>
          <w:b/>
          <w:bCs/>
          <w:lang w:val="en-US" w:eastAsia="en-GB"/>
        </w:rPr>
        <w:lastRenderedPageBreak/>
        <w:t>F</w:t>
      </w:r>
      <w:r w:rsidR="00105BBC" w:rsidRPr="00F85243">
        <w:rPr>
          <w:rFonts w:asciiTheme="minorHAnsi" w:eastAsia="Times New Roman" w:hAnsiTheme="minorHAnsi" w:cstheme="minorHAnsi"/>
          <w:b/>
          <w:bCs/>
          <w:lang w:val="en-US" w:eastAsia="en-GB"/>
        </w:rPr>
        <w:t xml:space="preserve">rom: </w:t>
      </w:r>
      <w:r w:rsidRPr="00F85243">
        <w:rPr>
          <w:rFonts w:asciiTheme="minorHAnsi" w:eastAsia="Times New Roman" w:hAnsiTheme="minorHAnsi" w:cstheme="minorHAnsi"/>
          <w:b/>
          <w:bCs/>
          <w:lang w:val="en-US" w:eastAsia="en-GB"/>
        </w:rPr>
        <w:t xml:space="preserve">CHS </w:t>
      </w:r>
      <w:r w:rsidRPr="000C65A7">
        <w:rPr>
          <w:rFonts w:asciiTheme="minorHAnsi" w:eastAsia="Times New Roman" w:hAnsiTheme="minorHAnsi" w:cstheme="minorHAnsi"/>
          <w:b/>
          <w:bCs/>
          <w:lang w:val="en-US" w:eastAsia="en-GB"/>
        </w:rPr>
        <w:t>Gr</w:t>
      </w:r>
      <w:r w:rsidR="00105BBC" w:rsidRPr="000C65A7">
        <w:rPr>
          <w:rFonts w:asciiTheme="minorHAnsi" w:eastAsia="Times New Roman" w:hAnsiTheme="minorHAnsi" w:cstheme="minorHAnsi"/>
          <w:b/>
          <w:bCs/>
          <w:lang w:val="en-US" w:eastAsia="en-GB"/>
        </w:rPr>
        <w:t>oup</w:t>
      </w:r>
      <w:r w:rsidR="00105BBC" w:rsidRPr="00F85243">
        <w:rPr>
          <w:rFonts w:asciiTheme="minorHAnsi" w:eastAsia="Times New Roman" w:hAnsiTheme="minorHAnsi" w:cstheme="minorHAnsi"/>
          <w:b/>
          <w:bCs/>
          <w:lang w:val="en-US" w:eastAsia="en-GB"/>
        </w:rPr>
        <w:br/>
      </w:r>
    </w:p>
    <w:p w14:paraId="1973910E" w14:textId="18B4F4FB" w:rsidR="00105BBC" w:rsidRPr="002A791A" w:rsidRDefault="00105BBC" w:rsidP="006D45BA">
      <w:pPr>
        <w:rPr>
          <w:rFonts w:asciiTheme="minorHAnsi" w:hAnsiTheme="minorHAnsi" w:cstheme="minorHAnsi"/>
        </w:rPr>
      </w:pPr>
      <w:r w:rsidRPr="002A791A">
        <w:rPr>
          <w:rFonts w:asciiTheme="minorHAnsi" w:hAnsiTheme="minorHAnsi" w:cstheme="minorHAnsi"/>
        </w:rPr>
        <w:t xml:space="preserve">Where a perpetrator is unwilling to assign a joint tenancy to the </w:t>
      </w:r>
      <w:r w:rsidR="000E03FD" w:rsidRPr="002A791A">
        <w:rPr>
          <w:rFonts w:asciiTheme="minorHAnsi" w:hAnsiTheme="minorHAnsi" w:cstheme="minorHAnsi"/>
        </w:rPr>
        <w:t>survivor,</w:t>
      </w:r>
      <w:r w:rsidRPr="002A791A">
        <w:rPr>
          <w:rFonts w:asciiTheme="minorHAnsi" w:hAnsiTheme="minorHAnsi" w:cstheme="minorHAnsi"/>
        </w:rPr>
        <w:t xml:space="preserve"> we do advise survivors that they may unilaterally end the tenancy and apply to have a sole tenancy of the same property. We’d expect to agree this with the survivor before they give a Notice to Quit so they know they’re not at risk of becoming homeless. If a perpetrator ends a joint tenancy with the intention of making the survivor homeless, we’re also likely to offer the sole tenancy to the survivor.  Our policy obliges us to assess the proportionality of such a decision due to the impact it will have on the other joint tenant, however our priority will be the safety and wishes of the survivor – we have no problem advising the perpetrator of their right to end the joint tenancy and then taking a proportionate decision ion re-granting the tenancy. We also advise married couples they need to be aware their spouse would still have matrimonial occupational rights even if they are not a party to the tenancy, so would advise them to obtain an exclusion order. We support survivors in seeking the legal advice they need.   </w:t>
      </w:r>
    </w:p>
    <w:p w14:paraId="20C7C1A4" w14:textId="22AE2A71" w:rsidR="00105BBC" w:rsidRPr="002A791A" w:rsidRDefault="000E03FD" w:rsidP="00FB6D80">
      <w:pPr>
        <w:ind w:right="29"/>
        <w:jc w:val="both"/>
        <w:rPr>
          <w:rFonts w:asciiTheme="minorHAnsi" w:hAnsiTheme="minorHAnsi" w:cstheme="minorHAnsi"/>
        </w:rPr>
      </w:pPr>
      <w:r w:rsidRPr="002A791A">
        <w:rPr>
          <w:rFonts w:asciiTheme="minorHAnsi" w:hAnsiTheme="minorHAnsi" w:cstheme="minorHAnsi"/>
        </w:rPr>
        <w:t>Of</w:t>
      </w:r>
      <w:r>
        <w:rPr>
          <w:rFonts w:asciiTheme="minorHAnsi" w:hAnsiTheme="minorHAnsi" w:cstheme="minorHAnsi"/>
        </w:rPr>
        <w:t xml:space="preserve"> </w:t>
      </w:r>
      <w:r w:rsidRPr="002A791A">
        <w:rPr>
          <w:rFonts w:asciiTheme="minorHAnsi" w:hAnsiTheme="minorHAnsi" w:cstheme="minorHAnsi"/>
        </w:rPr>
        <w:t>course,</w:t>
      </w:r>
      <w:r w:rsidR="00105BBC" w:rsidRPr="002A791A">
        <w:rPr>
          <w:rFonts w:asciiTheme="minorHAnsi" w:hAnsiTheme="minorHAnsi" w:cstheme="minorHAnsi"/>
        </w:rPr>
        <w:t xml:space="preserve"> every situation will be </w:t>
      </w:r>
      <w:r w:rsidRPr="002A791A">
        <w:rPr>
          <w:rFonts w:asciiTheme="minorHAnsi" w:hAnsiTheme="minorHAnsi" w:cstheme="minorHAnsi"/>
        </w:rPr>
        <w:t>unique,</w:t>
      </w:r>
      <w:r w:rsidR="00105BBC" w:rsidRPr="002A791A">
        <w:rPr>
          <w:rFonts w:asciiTheme="minorHAnsi" w:hAnsiTheme="minorHAnsi" w:cstheme="minorHAnsi"/>
        </w:rPr>
        <w:t xml:space="preserve"> and we will aim to take the most supportive and flexible approach in the survivor’s interests. Best regards, Helen.     </w:t>
      </w:r>
    </w:p>
    <w:p w14:paraId="2A5C6182" w14:textId="1F8945AD" w:rsidR="00105BBC" w:rsidRDefault="00302F48" w:rsidP="00105BBC">
      <w:pPr>
        <w:rPr>
          <w:rFonts w:asciiTheme="minorHAnsi" w:hAnsiTheme="minorHAnsi" w:cstheme="minorHAnsi"/>
          <w:b/>
          <w:bCs/>
        </w:rPr>
      </w:pPr>
      <w:r w:rsidRPr="00302F48">
        <w:rPr>
          <w:rFonts w:asciiTheme="minorHAnsi" w:hAnsiTheme="minorHAnsi" w:cstheme="minorHAnsi"/>
          <w:b/>
          <w:bCs/>
        </w:rPr>
        <w:t>From</w:t>
      </w:r>
      <w:r>
        <w:rPr>
          <w:rFonts w:asciiTheme="minorHAnsi" w:hAnsiTheme="minorHAnsi" w:cstheme="minorHAnsi"/>
          <w:b/>
          <w:bCs/>
        </w:rPr>
        <w:t xml:space="preserve">: </w:t>
      </w:r>
      <w:r w:rsidRPr="00302F48">
        <w:rPr>
          <w:rFonts w:asciiTheme="minorHAnsi" w:hAnsiTheme="minorHAnsi" w:cstheme="minorHAnsi"/>
          <w:b/>
          <w:bCs/>
        </w:rPr>
        <w:t>BPHA</w:t>
      </w:r>
    </w:p>
    <w:p w14:paraId="4B14FDC1" w14:textId="1E6D17A0" w:rsidR="00302F48" w:rsidRPr="00302F48" w:rsidRDefault="00302F48" w:rsidP="00302F48">
      <w:pPr>
        <w:rPr>
          <w:rFonts w:asciiTheme="minorHAnsi" w:hAnsiTheme="minorHAnsi" w:cstheme="minorHAnsi"/>
        </w:rPr>
      </w:pPr>
      <w:r w:rsidRPr="00302F48">
        <w:rPr>
          <w:rFonts w:asciiTheme="minorHAnsi" w:hAnsiTheme="minorHAnsi" w:cstheme="minorHAnsi"/>
        </w:rPr>
        <w:t xml:space="preserve">In terms of DA we will always loom to try to support where we can. Previously we issued Fixed Term Tenancies which cause an issue for one party ending the tenancy as legally they can’t there has to be agreement of both. Therefore we would have been looking for legal direction through an occupation order. However we have since made a decision not to issue FTT’s anymore and to convert any that are not in breaches e.g. no arrears etc to </w:t>
      </w:r>
      <w:r>
        <w:rPr>
          <w:rFonts w:asciiTheme="minorHAnsi" w:hAnsiTheme="minorHAnsi" w:cstheme="minorHAnsi"/>
        </w:rPr>
        <w:t>a</w:t>
      </w:r>
      <w:r w:rsidRPr="00302F48">
        <w:rPr>
          <w:rFonts w:asciiTheme="minorHAnsi" w:hAnsiTheme="minorHAnsi" w:cstheme="minorHAnsi"/>
        </w:rPr>
        <w:t xml:space="preserve">ssured tenancies. With assured tenancies one party can end on the behalf of both. This can of course be detrimental if it is the perpetrator taking this stance however this is not common and can still be dealt with appropriately. </w:t>
      </w:r>
    </w:p>
    <w:p w14:paraId="60CBA4BA" w14:textId="1BC38244" w:rsidR="00302F48" w:rsidRPr="00302F48" w:rsidRDefault="00302F48" w:rsidP="00302F48">
      <w:pPr>
        <w:rPr>
          <w:rFonts w:asciiTheme="minorHAnsi" w:hAnsiTheme="minorHAnsi" w:cstheme="minorHAnsi"/>
        </w:rPr>
      </w:pPr>
      <w:r w:rsidRPr="00302F48">
        <w:rPr>
          <w:rFonts w:asciiTheme="minorHAnsi" w:hAnsiTheme="minorHAnsi" w:cstheme="minorHAnsi"/>
        </w:rPr>
        <w:t>We are currently looking at further dispensations around DA and tenancies particularly where arrears are left on the account and we would not normally allow the sole tenancy, we are applying greater discretion.</w:t>
      </w:r>
    </w:p>
    <w:p w14:paraId="7F7B5918" w14:textId="77777777" w:rsidR="00302F48" w:rsidRDefault="00302F48" w:rsidP="00302F48">
      <w:r>
        <w:t> </w:t>
      </w:r>
    </w:p>
    <w:p w14:paraId="7042BB36" w14:textId="77777777" w:rsidR="00302F48" w:rsidRPr="00302F48" w:rsidRDefault="00302F48" w:rsidP="00105BBC">
      <w:pPr>
        <w:rPr>
          <w:rFonts w:asciiTheme="minorHAnsi" w:hAnsiTheme="minorHAnsi" w:cstheme="minorHAnsi"/>
          <w:b/>
          <w:bCs/>
        </w:rPr>
      </w:pPr>
    </w:p>
    <w:p w14:paraId="0C4CE089" w14:textId="77777777" w:rsidR="00105BBC" w:rsidRPr="002A791A" w:rsidRDefault="00105BBC" w:rsidP="007E2C2F">
      <w:pPr>
        <w:rPr>
          <w:rFonts w:asciiTheme="minorHAnsi" w:hAnsiTheme="minorHAnsi" w:cstheme="minorHAnsi"/>
          <w:b/>
          <w:bCs/>
          <w:color w:val="043A7A"/>
          <w:lang w:eastAsia="en-GB"/>
        </w:rPr>
      </w:pPr>
    </w:p>
    <w:sectPr w:rsidR="00105BBC" w:rsidRPr="002A791A" w:rsidSect="00536EDE">
      <w:headerReference w:type="default" r:id="rId10"/>
      <w:footerReference w:type="default" r:id="rId11"/>
      <w:type w:val="continuous"/>
      <w:pgSz w:w="11906" w:h="16838"/>
      <w:pgMar w:top="1243" w:right="1416" w:bottom="709" w:left="1276" w:header="284"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AAAFC" w14:textId="77777777" w:rsidR="007947D8" w:rsidRDefault="007947D8" w:rsidP="002C4336">
      <w:pPr>
        <w:spacing w:after="0" w:line="240" w:lineRule="auto"/>
      </w:pPr>
      <w:r>
        <w:separator/>
      </w:r>
    </w:p>
  </w:endnote>
  <w:endnote w:type="continuationSeparator" w:id="0">
    <w:p w14:paraId="5FF20F91" w14:textId="77777777" w:rsidR="007947D8" w:rsidRDefault="007947D8" w:rsidP="002C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001966"/>
      <w:docPartObj>
        <w:docPartGallery w:val="Page Numbers (Bottom of Page)"/>
        <w:docPartUnique/>
      </w:docPartObj>
    </w:sdtPr>
    <w:sdtEndPr>
      <w:rPr>
        <w:noProof/>
      </w:rPr>
    </w:sdtEndPr>
    <w:sdtContent>
      <w:p w14:paraId="69259798" w14:textId="77777777" w:rsidR="00774F29" w:rsidRDefault="00774F29">
        <w:pPr>
          <w:pStyle w:val="Footer"/>
          <w:jc w:val="right"/>
        </w:pPr>
        <w:r>
          <w:fldChar w:fldCharType="begin"/>
        </w:r>
        <w:r>
          <w:instrText xml:space="preserve"> PAGE   \* MERGEFORMAT </w:instrText>
        </w:r>
        <w:r>
          <w:fldChar w:fldCharType="separate"/>
        </w:r>
        <w:r w:rsidR="003A7E38">
          <w:rPr>
            <w:noProof/>
          </w:rPr>
          <w:t>6</w:t>
        </w:r>
        <w:r>
          <w:rPr>
            <w:noProof/>
          </w:rPr>
          <w:fldChar w:fldCharType="end"/>
        </w:r>
      </w:p>
    </w:sdtContent>
  </w:sdt>
  <w:p w14:paraId="6235A38B" w14:textId="77777777" w:rsidR="00774F29" w:rsidRDefault="00774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045FB" w14:textId="77777777" w:rsidR="007947D8" w:rsidRDefault="007947D8" w:rsidP="002C4336">
      <w:pPr>
        <w:spacing w:after="0" w:line="240" w:lineRule="auto"/>
      </w:pPr>
      <w:r>
        <w:separator/>
      </w:r>
    </w:p>
  </w:footnote>
  <w:footnote w:type="continuationSeparator" w:id="0">
    <w:p w14:paraId="784539B7" w14:textId="77777777" w:rsidR="007947D8" w:rsidRDefault="007947D8" w:rsidP="002C4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680"/>
    </w:tblGrid>
    <w:tr w:rsidR="00774F29" w14:paraId="32E3FABA" w14:textId="77777777" w:rsidTr="00536EDE">
      <w:tc>
        <w:tcPr>
          <w:tcW w:w="4856" w:type="dxa"/>
          <w:vAlign w:val="center"/>
        </w:tcPr>
        <w:p w14:paraId="55335454" w14:textId="77777777" w:rsidR="00774F29" w:rsidRPr="005526ED" w:rsidRDefault="00774F29" w:rsidP="00536EDE">
          <w:pPr>
            <w:rPr>
              <w:rFonts w:asciiTheme="minorHAnsi" w:hAnsiTheme="minorHAnsi"/>
              <w:b/>
              <w:sz w:val="28"/>
              <w:szCs w:val="28"/>
            </w:rPr>
          </w:pPr>
          <w:r w:rsidRPr="005526ED">
            <w:rPr>
              <w:rFonts w:asciiTheme="minorHAnsi" w:hAnsiTheme="minorHAnsi"/>
              <w:b/>
              <w:sz w:val="28"/>
              <w:szCs w:val="28"/>
            </w:rPr>
            <w:t>STRATEGIC GROUP MEETING</w:t>
          </w:r>
        </w:p>
      </w:tc>
      <w:tc>
        <w:tcPr>
          <w:tcW w:w="4857" w:type="dxa"/>
        </w:tcPr>
        <w:p w14:paraId="2D3705BD" w14:textId="77777777" w:rsidR="00774F29" w:rsidRDefault="00774F29" w:rsidP="00536EDE">
          <w:pPr>
            <w:jc w:val="right"/>
            <w:rPr>
              <w:b/>
            </w:rPr>
          </w:pPr>
          <w:r>
            <w:rPr>
              <w:b/>
              <w:noProof/>
              <w:lang w:eastAsia="en-GB"/>
            </w:rPr>
            <w:drawing>
              <wp:inline distT="0" distB="0" distL="0" distR="0" wp14:anchorId="489A7AC0" wp14:editId="6963FB67">
                <wp:extent cx="1775559" cy="53226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P logo as of 21May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2119" cy="534229"/>
                        </a:xfrm>
                        <a:prstGeom prst="rect">
                          <a:avLst/>
                        </a:prstGeom>
                      </pic:spPr>
                    </pic:pic>
                  </a:graphicData>
                </a:graphic>
              </wp:inline>
            </w:drawing>
          </w:r>
        </w:p>
      </w:tc>
    </w:tr>
  </w:tbl>
  <w:p w14:paraId="6F168DF4" w14:textId="77777777" w:rsidR="00774F29" w:rsidRDefault="00774F29" w:rsidP="0014652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69B3"/>
    <w:multiLevelType w:val="hybridMultilevel"/>
    <w:tmpl w:val="6D50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65858"/>
    <w:multiLevelType w:val="hybridMultilevel"/>
    <w:tmpl w:val="F60CC5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B3026"/>
    <w:multiLevelType w:val="hybridMultilevel"/>
    <w:tmpl w:val="9B860E2A"/>
    <w:lvl w:ilvl="0" w:tplc="CA50E6D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62F6D"/>
    <w:multiLevelType w:val="hybridMultilevel"/>
    <w:tmpl w:val="55AE8C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34209"/>
    <w:multiLevelType w:val="hybridMultilevel"/>
    <w:tmpl w:val="17C2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379B0"/>
    <w:multiLevelType w:val="hybridMultilevel"/>
    <w:tmpl w:val="35A2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64E92"/>
    <w:multiLevelType w:val="hybridMultilevel"/>
    <w:tmpl w:val="EBEEC9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0882040"/>
    <w:multiLevelType w:val="hybridMultilevel"/>
    <w:tmpl w:val="C714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14A63"/>
    <w:multiLevelType w:val="hybridMultilevel"/>
    <w:tmpl w:val="1B46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FF2419"/>
    <w:multiLevelType w:val="hybridMultilevel"/>
    <w:tmpl w:val="6A00DFA0"/>
    <w:lvl w:ilvl="0" w:tplc="D662FCBC">
      <w:start w:val="2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7BD0EF6"/>
    <w:multiLevelType w:val="hybridMultilevel"/>
    <w:tmpl w:val="DE6A171E"/>
    <w:lvl w:ilvl="0" w:tplc="54B065AC">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BCB5DF0"/>
    <w:multiLevelType w:val="hybridMultilevel"/>
    <w:tmpl w:val="10E0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1"/>
  </w:num>
  <w:num w:numId="6">
    <w:abstractNumId w:val="11"/>
  </w:num>
  <w:num w:numId="7">
    <w:abstractNumId w:val="2"/>
  </w:num>
  <w:num w:numId="8">
    <w:abstractNumId w:val="9"/>
  </w:num>
  <w:num w:numId="9">
    <w:abstractNumId w:val="3"/>
  </w:num>
  <w:num w:numId="10">
    <w:abstractNumId w:val="8"/>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E5F"/>
    <w:rsid w:val="0000063B"/>
    <w:rsid w:val="0000382A"/>
    <w:rsid w:val="00006FD6"/>
    <w:rsid w:val="00011BB9"/>
    <w:rsid w:val="00012593"/>
    <w:rsid w:val="00021F16"/>
    <w:rsid w:val="000238A5"/>
    <w:rsid w:val="00032C5A"/>
    <w:rsid w:val="0003393F"/>
    <w:rsid w:val="000354AA"/>
    <w:rsid w:val="00036BB3"/>
    <w:rsid w:val="00036E3D"/>
    <w:rsid w:val="00037BF1"/>
    <w:rsid w:val="000419A5"/>
    <w:rsid w:val="000451FB"/>
    <w:rsid w:val="0005606F"/>
    <w:rsid w:val="000574BF"/>
    <w:rsid w:val="0006704B"/>
    <w:rsid w:val="00071729"/>
    <w:rsid w:val="000740C3"/>
    <w:rsid w:val="000754D0"/>
    <w:rsid w:val="00080660"/>
    <w:rsid w:val="000809CC"/>
    <w:rsid w:val="00081268"/>
    <w:rsid w:val="000814E3"/>
    <w:rsid w:val="0008204C"/>
    <w:rsid w:val="00082501"/>
    <w:rsid w:val="00094397"/>
    <w:rsid w:val="000A08E0"/>
    <w:rsid w:val="000A1563"/>
    <w:rsid w:val="000A680F"/>
    <w:rsid w:val="000A7048"/>
    <w:rsid w:val="000A752F"/>
    <w:rsid w:val="000B1DC7"/>
    <w:rsid w:val="000B2BF2"/>
    <w:rsid w:val="000B303C"/>
    <w:rsid w:val="000B4906"/>
    <w:rsid w:val="000B4CFF"/>
    <w:rsid w:val="000B5719"/>
    <w:rsid w:val="000B5C88"/>
    <w:rsid w:val="000C0746"/>
    <w:rsid w:val="000C2387"/>
    <w:rsid w:val="000C3246"/>
    <w:rsid w:val="000C511A"/>
    <w:rsid w:val="000C65A7"/>
    <w:rsid w:val="000C66F6"/>
    <w:rsid w:val="000D0414"/>
    <w:rsid w:val="000D2034"/>
    <w:rsid w:val="000D2FC7"/>
    <w:rsid w:val="000D68BD"/>
    <w:rsid w:val="000E03FD"/>
    <w:rsid w:val="000E248A"/>
    <w:rsid w:val="000E4AA1"/>
    <w:rsid w:val="000E4F0B"/>
    <w:rsid w:val="000F0A39"/>
    <w:rsid w:val="000F3D91"/>
    <w:rsid w:val="000F428D"/>
    <w:rsid w:val="000F4B44"/>
    <w:rsid w:val="000F6816"/>
    <w:rsid w:val="000F7726"/>
    <w:rsid w:val="000F7C06"/>
    <w:rsid w:val="00105BBC"/>
    <w:rsid w:val="001133F4"/>
    <w:rsid w:val="001145BF"/>
    <w:rsid w:val="00114D33"/>
    <w:rsid w:val="00116ADE"/>
    <w:rsid w:val="00120D4E"/>
    <w:rsid w:val="0012152B"/>
    <w:rsid w:val="001246A1"/>
    <w:rsid w:val="00124FF4"/>
    <w:rsid w:val="00125139"/>
    <w:rsid w:val="00126732"/>
    <w:rsid w:val="00132AC4"/>
    <w:rsid w:val="00135ADB"/>
    <w:rsid w:val="00136721"/>
    <w:rsid w:val="00137368"/>
    <w:rsid w:val="0013783C"/>
    <w:rsid w:val="00141A63"/>
    <w:rsid w:val="00142E20"/>
    <w:rsid w:val="00143DCD"/>
    <w:rsid w:val="00146524"/>
    <w:rsid w:val="00146B43"/>
    <w:rsid w:val="00151799"/>
    <w:rsid w:val="00152C03"/>
    <w:rsid w:val="001565DD"/>
    <w:rsid w:val="0015718E"/>
    <w:rsid w:val="00162D67"/>
    <w:rsid w:val="001652F1"/>
    <w:rsid w:val="00165655"/>
    <w:rsid w:val="001669B3"/>
    <w:rsid w:val="00166D23"/>
    <w:rsid w:val="00181ED4"/>
    <w:rsid w:val="0018324E"/>
    <w:rsid w:val="001849B6"/>
    <w:rsid w:val="00186AE4"/>
    <w:rsid w:val="00192679"/>
    <w:rsid w:val="00194F3C"/>
    <w:rsid w:val="0019787F"/>
    <w:rsid w:val="00197F0D"/>
    <w:rsid w:val="001A0BF1"/>
    <w:rsid w:val="001A2CCD"/>
    <w:rsid w:val="001A38D7"/>
    <w:rsid w:val="001A6839"/>
    <w:rsid w:val="001B030E"/>
    <w:rsid w:val="001B082A"/>
    <w:rsid w:val="001B405E"/>
    <w:rsid w:val="001B4CE5"/>
    <w:rsid w:val="001B5196"/>
    <w:rsid w:val="001B6685"/>
    <w:rsid w:val="001C063A"/>
    <w:rsid w:val="001C164C"/>
    <w:rsid w:val="001C21D9"/>
    <w:rsid w:val="001C39CD"/>
    <w:rsid w:val="001C3AAD"/>
    <w:rsid w:val="001D139B"/>
    <w:rsid w:val="001D1DD6"/>
    <w:rsid w:val="001D3DFA"/>
    <w:rsid w:val="001D7CCF"/>
    <w:rsid w:val="001E06C4"/>
    <w:rsid w:val="001E1F8C"/>
    <w:rsid w:val="001E4022"/>
    <w:rsid w:val="001E5D0C"/>
    <w:rsid w:val="001F1F2E"/>
    <w:rsid w:val="001F243F"/>
    <w:rsid w:val="001F3152"/>
    <w:rsid w:val="001F4C87"/>
    <w:rsid w:val="001F557F"/>
    <w:rsid w:val="00201472"/>
    <w:rsid w:val="00201FFD"/>
    <w:rsid w:val="00204632"/>
    <w:rsid w:val="00207859"/>
    <w:rsid w:val="0021130A"/>
    <w:rsid w:val="00212111"/>
    <w:rsid w:val="00213203"/>
    <w:rsid w:val="002162F4"/>
    <w:rsid w:val="002215B3"/>
    <w:rsid w:val="0022238E"/>
    <w:rsid w:val="00223051"/>
    <w:rsid w:val="00232474"/>
    <w:rsid w:val="0023412E"/>
    <w:rsid w:val="00237A90"/>
    <w:rsid w:val="0024096C"/>
    <w:rsid w:val="002430D6"/>
    <w:rsid w:val="00245557"/>
    <w:rsid w:val="00245B7E"/>
    <w:rsid w:val="0024726C"/>
    <w:rsid w:val="00251CAC"/>
    <w:rsid w:val="0025340A"/>
    <w:rsid w:val="00254362"/>
    <w:rsid w:val="00255A70"/>
    <w:rsid w:val="00255B3A"/>
    <w:rsid w:val="002601B4"/>
    <w:rsid w:val="00261216"/>
    <w:rsid w:val="0026266B"/>
    <w:rsid w:val="00263980"/>
    <w:rsid w:val="00264E0B"/>
    <w:rsid w:val="00270BE6"/>
    <w:rsid w:val="00272F80"/>
    <w:rsid w:val="0027395D"/>
    <w:rsid w:val="002771EB"/>
    <w:rsid w:val="00277C61"/>
    <w:rsid w:val="00282E6A"/>
    <w:rsid w:val="002830DA"/>
    <w:rsid w:val="00284D25"/>
    <w:rsid w:val="00285086"/>
    <w:rsid w:val="002854DE"/>
    <w:rsid w:val="00287BDC"/>
    <w:rsid w:val="00293E8F"/>
    <w:rsid w:val="002A791A"/>
    <w:rsid w:val="002A7D67"/>
    <w:rsid w:val="002B109F"/>
    <w:rsid w:val="002B1ACC"/>
    <w:rsid w:val="002B22E1"/>
    <w:rsid w:val="002B3066"/>
    <w:rsid w:val="002C2AF8"/>
    <w:rsid w:val="002C2FBF"/>
    <w:rsid w:val="002C4336"/>
    <w:rsid w:val="002C55E8"/>
    <w:rsid w:val="002D0A9A"/>
    <w:rsid w:val="002D2EE8"/>
    <w:rsid w:val="002D305C"/>
    <w:rsid w:val="002D4991"/>
    <w:rsid w:val="002D4E0C"/>
    <w:rsid w:val="002D4EA1"/>
    <w:rsid w:val="002D71A6"/>
    <w:rsid w:val="002E1910"/>
    <w:rsid w:val="002E2D8C"/>
    <w:rsid w:val="002E3F0C"/>
    <w:rsid w:val="002E4D35"/>
    <w:rsid w:val="002E56A4"/>
    <w:rsid w:val="002E6C24"/>
    <w:rsid w:val="002E74BA"/>
    <w:rsid w:val="002F346B"/>
    <w:rsid w:val="002F43D3"/>
    <w:rsid w:val="002F678C"/>
    <w:rsid w:val="002F7728"/>
    <w:rsid w:val="003017A6"/>
    <w:rsid w:val="00301EAD"/>
    <w:rsid w:val="00302F48"/>
    <w:rsid w:val="003030E5"/>
    <w:rsid w:val="003049F2"/>
    <w:rsid w:val="00305B1A"/>
    <w:rsid w:val="00305CBB"/>
    <w:rsid w:val="00307439"/>
    <w:rsid w:val="00310E78"/>
    <w:rsid w:val="00311B1E"/>
    <w:rsid w:val="00311DCF"/>
    <w:rsid w:val="003173E8"/>
    <w:rsid w:val="00322EC3"/>
    <w:rsid w:val="00323F99"/>
    <w:rsid w:val="003240B5"/>
    <w:rsid w:val="00325F58"/>
    <w:rsid w:val="00326A75"/>
    <w:rsid w:val="003270A9"/>
    <w:rsid w:val="00332B2E"/>
    <w:rsid w:val="0033308D"/>
    <w:rsid w:val="0034145D"/>
    <w:rsid w:val="0034634C"/>
    <w:rsid w:val="00346677"/>
    <w:rsid w:val="0034792A"/>
    <w:rsid w:val="00351E2E"/>
    <w:rsid w:val="0035429F"/>
    <w:rsid w:val="003559E2"/>
    <w:rsid w:val="003572A2"/>
    <w:rsid w:val="00357C77"/>
    <w:rsid w:val="00361A66"/>
    <w:rsid w:val="0036213E"/>
    <w:rsid w:val="00362B75"/>
    <w:rsid w:val="00366130"/>
    <w:rsid w:val="00366273"/>
    <w:rsid w:val="0036688A"/>
    <w:rsid w:val="00367735"/>
    <w:rsid w:val="00374DB5"/>
    <w:rsid w:val="003757AB"/>
    <w:rsid w:val="00376173"/>
    <w:rsid w:val="003768BD"/>
    <w:rsid w:val="00377CF5"/>
    <w:rsid w:val="0038011B"/>
    <w:rsid w:val="003810DC"/>
    <w:rsid w:val="00384176"/>
    <w:rsid w:val="00386C69"/>
    <w:rsid w:val="003872FE"/>
    <w:rsid w:val="0039051D"/>
    <w:rsid w:val="00390C40"/>
    <w:rsid w:val="00394621"/>
    <w:rsid w:val="003A5A81"/>
    <w:rsid w:val="003A5E42"/>
    <w:rsid w:val="003A744D"/>
    <w:rsid w:val="003A7E38"/>
    <w:rsid w:val="003A7FF4"/>
    <w:rsid w:val="003B2169"/>
    <w:rsid w:val="003B2509"/>
    <w:rsid w:val="003B368E"/>
    <w:rsid w:val="003B58BA"/>
    <w:rsid w:val="003B7796"/>
    <w:rsid w:val="003B77FE"/>
    <w:rsid w:val="003C026E"/>
    <w:rsid w:val="003C0657"/>
    <w:rsid w:val="003C0B04"/>
    <w:rsid w:val="003C14E0"/>
    <w:rsid w:val="003C2076"/>
    <w:rsid w:val="003C44A4"/>
    <w:rsid w:val="003C459F"/>
    <w:rsid w:val="003C5365"/>
    <w:rsid w:val="003C5B64"/>
    <w:rsid w:val="003D1C5A"/>
    <w:rsid w:val="003D479E"/>
    <w:rsid w:val="003D7FE3"/>
    <w:rsid w:val="003E2BE0"/>
    <w:rsid w:val="003E37E6"/>
    <w:rsid w:val="003E511E"/>
    <w:rsid w:val="003E5A3C"/>
    <w:rsid w:val="003E6B7A"/>
    <w:rsid w:val="003E7C2A"/>
    <w:rsid w:val="003F0029"/>
    <w:rsid w:val="003F230C"/>
    <w:rsid w:val="003F2718"/>
    <w:rsid w:val="003F3686"/>
    <w:rsid w:val="003F3FEB"/>
    <w:rsid w:val="004000F6"/>
    <w:rsid w:val="00401465"/>
    <w:rsid w:val="0040147E"/>
    <w:rsid w:val="00406F13"/>
    <w:rsid w:val="0041067D"/>
    <w:rsid w:val="00412F61"/>
    <w:rsid w:val="004137DD"/>
    <w:rsid w:val="00416EC6"/>
    <w:rsid w:val="00420735"/>
    <w:rsid w:val="00423595"/>
    <w:rsid w:val="00423F1E"/>
    <w:rsid w:val="0042453F"/>
    <w:rsid w:val="004306DD"/>
    <w:rsid w:val="004310CC"/>
    <w:rsid w:val="00431795"/>
    <w:rsid w:val="004351B3"/>
    <w:rsid w:val="00436E53"/>
    <w:rsid w:val="00437903"/>
    <w:rsid w:val="004427AF"/>
    <w:rsid w:val="00442D1B"/>
    <w:rsid w:val="00443D2C"/>
    <w:rsid w:val="00446082"/>
    <w:rsid w:val="0044613D"/>
    <w:rsid w:val="00446930"/>
    <w:rsid w:val="0044764C"/>
    <w:rsid w:val="004508C0"/>
    <w:rsid w:val="00450E01"/>
    <w:rsid w:val="00451576"/>
    <w:rsid w:val="00451A8F"/>
    <w:rsid w:val="00455AA4"/>
    <w:rsid w:val="00456024"/>
    <w:rsid w:val="004604BD"/>
    <w:rsid w:val="00466A58"/>
    <w:rsid w:val="00473AE3"/>
    <w:rsid w:val="00475C83"/>
    <w:rsid w:val="00476A73"/>
    <w:rsid w:val="00477D28"/>
    <w:rsid w:val="00480063"/>
    <w:rsid w:val="0048054F"/>
    <w:rsid w:val="00483284"/>
    <w:rsid w:val="00485EFD"/>
    <w:rsid w:val="0049096E"/>
    <w:rsid w:val="00490A7A"/>
    <w:rsid w:val="0049251E"/>
    <w:rsid w:val="00495004"/>
    <w:rsid w:val="00496919"/>
    <w:rsid w:val="00496C18"/>
    <w:rsid w:val="00496F1E"/>
    <w:rsid w:val="004A03B3"/>
    <w:rsid w:val="004A1D0E"/>
    <w:rsid w:val="004A2614"/>
    <w:rsid w:val="004A3AEF"/>
    <w:rsid w:val="004A3B4C"/>
    <w:rsid w:val="004A718C"/>
    <w:rsid w:val="004B032C"/>
    <w:rsid w:val="004B0333"/>
    <w:rsid w:val="004B0DB9"/>
    <w:rsid w:val="004B305F"/>
    <w:rsid w:val="004B5E2B"/>
    <w:rsid w:val="004B66E4"/>
    <w:rsid w:val="004C12AE"/>
    <w:rsid w:val="004C2F7F"/>
    <w:rsid w:val="004C6657"/>
    <w:rsid w:val="004C6DD4"/>
    <w:rsid w:val="004C7B8D"/>
    <w:rsid w:val="004C7FA6"/>
    <w:rsid w:val="004D41FC"/>
    <w:rsid w:val="004D704F"/>
    <w:rsid w:val="004E25E2"/>
    <w:rsid w:val="004E2BA9"/>
    <w:rsid w:val="004E4001"/>
    <w:rsid w:val="004E45B7"/>
    <w:rsid w:val="004E4EE1"/>
    <w:rsid w:val="004E6D71"/>
    <w:rsid w:val="004E7D4A"/>
    <w:rsid w:val="004F0835"/>
    <w:rsid w:val="004F0FD6"/>
    <w:rsid w:val="004F4AF3"/>
    <w:rsid w:val="004F5A01"/>
    <w:rsid w:val="004F676B"/>
    <w:rsid w:val="004F74CE"/>
    <w:rsid w:val="005002E5"/>
    <w:rsid w:val="005031A8"/>
    <w:rsid w:val="005031EC"/>
    <w:rsid w:val="00505A76"/>
    <w:rsid w:val="005069E5"/>
    <w:rsid w:val="00513A87"/>
    <w:rsid w:val="00513BA1"/>
    <w:rsid w:val="00521C87"/>
    <w:rsid w:val="005246BA"/>
    <w:rsid w:val="00526C9E"/>
    <w:rsid w:val="00530F35"/>
    <w:rsid w:val="00533FD1"/>
    <w:rsid w:val="005361B8"/>
    <w:rsid w:val="00536A6E"/>
    <w:rsid w:val="00536EDE"/>
    <w:rsid w:val="00537C72"/>
    <w:rsid w:val="00537C87"/>
    <w:rsid w:val="00540DC4"/>
    <w:rsid w:val="00547929"/>
    <w:rsid w:val="005505D7"/>
    <w:rsid w:val="005526ED"/>
    <w:rsid w:val="00556F79"/>
    <w:rsid w:val="0056284A"/>
    <w:rsid w:val="00563F48"/>
    <w:rsid w:val="005646AF"/>
    <w:rsid w:val="005653FC"/>
    <w:rsid w:val="00571670"/>
    <w:rsid w:val="00573263"/>
    <w:rsid w:val="00576BA0"/>
    <w:rsid w:val="00576F88"/>
    <w:rsid w:val="00577808"/>
    <w:rsid w:val="00577AAD"/>
    <w:rsid w:val="005847A3"/>
    <w:rsid w:val="005849EB"/>
    <w:rsid w:val="00585C7A"/>
    <w:rsid w:val="00587826"/>
    <w:rsid w:val="005900BA"/>
    <w:rsid w:val="005910F8"/>
    <w:rsid w:val="00594F9A"/>
    <w:rsid w:val="00596B25"/>
    <w:rsid w:val="005977E6"/>
    <w:rsid w:val="00597FD6"/>
    <w:rsid w:val="00597FF2"/>
    <w:rsid w:val="005A04C6"/>
    <w:rsid w:val="005A25FF"/>
    <w:rsid w:val="005A3D20"/>
    <w:rsid w:val="005A3F3B"/>
    <w:rsid w:val="005A7BB6"/>
    <w:rsid w:val="005B59F9"/>
    <w:rsid w:val="005B662B"/>
    <w:rsid w:val="005B765E"/>
    <w:rsid w:val="005C0A0F"/>
    <w:rsid w:val="005C0CCE"/>
    <w:rsid w:val="005C4D39"/>
    <w:rsid w:val="005C5718"/>
    <w:rsid w:val="005D0856"/>
    <w:rsid w:val="005D12DF"/>
    <w:rsid w:val="005D41BB"/>
    <w:rsid w:val="005E4C61"/>
    <w:rsid w:val="005E5522"/>
    <w:rsid w:val="005E71DD"/>
    <w:rsid w:val="005F0489"/>
    <w:rsid w:val="005F40BB"/>
    <w:rsid w:val="005F4AAD"/>
    <w:rsid w:val="005F6148"/>
    <w:rsid w:val="005F64B6"/>
    <w:rsid w:val="006016D2"/>
    <w:rsid w:val="00602851"/>
    <w:rsid w:val="0060748B"/>
    <w:rsid w:val="00607C65"/>
    <w:rsid w:val="0061072C"/>
    <w:rsid w:val="00610922"/>
    <w:rsid w:val="0061155F"/>
    <w:rsid w:val="00611A84"/>
    <w:rsid w:val="00612A9C"/>
    <w:rsid w:val="00614DC5"/>
    <w:rsid w:val="006159D1"/>
    <w:rsid w:val="00625635"/>
    <w:rsid w:val="00625DB3"/>
    <w:rsid w:val="006270B6"/>
    <w:rsid w:val="006272FB"/>
    <w:rsid w:val="0063114A"/>
    <w:rsid w:val="0063289B"/>
    <w:rsid w:val="00635BB0"/>
    <w:rsid w:val="00646F76"/>
    <w:rsid w:val="00647B68"/>
    <w:rsid w:val="00647C4E"/>
    <w:rsid w:val="00652D07"/>
    <w:rsid w:val="00660141"/>
    <w:rsid w:val="00661F03"/>
    <w:rsid w:val="006623A6"/>
    <w:rsid w:val="00662B02"/>
    <w:rsid w:val="006666DC"/>
    <w:rsid w:val="00670331"/>
    <w:rsid w:val="00670595"/>
    <w:rsid w:val="0067230C"/>
    <w:rsid w:val="00677693"/>
    <w:rsid w:val="00677CAE"/>
    <w:rsid w:val="0068617E"/>
    <w:rsid w:val="00691909"/>
    <w:rsid w:val="00691FB9"/>
    <w:rsid w:val="006936BA"/>
    <w:rsid w:val="00693C86"/>
    <w:rsid w:val="0069777B"/>
    <w:rsid w:val="00697F50"/>
    <w:rsid w:val="006A0DF2"/>
    <w:rsid w:val="006A0F94"/>
    <w:rsid w:val="006A21F7"/>
    <w:rsid w:val="006A474B"/>
    <w:rsid w:val="006B07EB"/>
    <w:rsid w:val="006B1B21"/>
    <w:rsid w:val="006B2E4C"/>
    <w:rsid w:val="006B6525"/>
    <w:rsid w:val="006C56D8"/>
    <w:rsid w:val="006C7CCD"/>
    <w:rsid w:val="006D0D55"/>
    <w:rsid w:val="006D1289"/>
    <w:rsid w:val="006D1EBE"/>
    <w:rsid w:val="006D3BA8"/>
    <w:rsid w:val="006D45BA"/>
    <w:rsid w:val="006D4EBA"/>
    <w:rsid w:val="006D6774"/>
    <w:rsid w:val="006D69BE"/>
    <w:rsid w:val="006E0301"/>
    <w:rsid w:val="006E1340"/>
    <w:rsid w:val="006E2AAA"/>
    <w:rsid w:val="006E6FF5"/>
    <w:rsid w:val="006F1004"/>
    <w:rsid w:val="006F3E1F"/>
    <w:rsid w:val="006F4461"/>
    <w:rsid w:val="006F5974"/>
    <w:rsid w:val="006F645B"/>
    <w:rsid w:val="006F679E"/>
    <w:rsid w:val="006F7361"/>
    <w:rsid w:val="0070063A"/>
    <w:rsid w:val="00700E5B"/>
    <w:rsid w:val="00701703"/>
    <w:rsid w:val="00702A62"/>
    <w:rsid w:val="00704FEE"/>
    <w:rsid w:val="0070518A"/>
    <w:rsid w:val="00706D14"/>
    <w:rsid w:val="007078F8"/>
    <w:rsid w:val="00712B12"/>
    <w:rsid w:val="00712D20"/>
    <w:rsid w:val="007164A4"/>
    <w:rsid w:val="00717271"/>
    <w:rsid w:val="00725B36"/>
    <w:rsid w:val="007277A3"/>
    <w:rsid w:val="00727BC5"/>
    <w:rsid w:val="007300B3"/>
    <w:rsid w:val="00730F85"/>
    <w:rsid w:val="007311D0"/>
    <w:rsid w:val="00732DCC"/>
    <w:rsid w:val="0073324C"/>
    <w:rsid w:val="00733713"/>
    <w:rsid w:val="007355CD"/>
    <w:rsid w:val="00737166"/>
    <w:rsid w:val="00740DAB"/>
    <w:rsid w:val="007418D7"/>
    <w:rsid w:val="00745A61"/>
    <w:rsid w:val="007472C3"/>
    <w:rsid w:val="00753B55"/>
    <w:rsid w:val="00754815"/>
    <w:rsid w:val="007548FC"/>
    <w:rsid w:val="0075542C"/>
    <w:rsid w:val="00762B47"/>
    <w:rsid w:val="00765F0C"/>
    <w:rsid w:val="0076727D"/>
    <w:rsid w:val="007706E0"/>
    <w:rsid w:val="00773C0C"/>
    <w:rsid w:val="00774F29"/>
    <w:rsid w:val="007822E2"/>
    <w:rsid w:val="007832C0"/>
    <w:rsid w:val="0078397C"/>
    <w:rsid w:val="00785996"/>
    <w:rsid w:val="00790762"/>
    <w:rsid w:val="0079173A"/>
    <w:rsid w:val="00791907"/>
    <w:rsid w:val="007927DB"/>
    <w:rsid w:val="00792F4B"/>
    <w:rsid w:val="0079408B"/>
    <w:rsid w:val="007947D8"/>
    <w:rsid w:val="0079699D"/>
    <w:rsid w:val="007A0653"/>
    <w:rsid w:val="007A1E4C"/>
    <w:rsid w:val="007A27F8"/>
    <w:rsid w:val="007A5F44"/>
    <w:rsid w:val="007A618E"/>
    <w:rsid w:val="007B17D1"/>
    <w:rsid w:val="007B71A8"/>
    <w:rsid w:val="007B76F3"/>
    <w:rsid w:val="007C1A01"/>
    <w:rsid w:val="007C4A48"/>
    <w:rsid w:val="007D0AAE"/>
    <w:rsid w:val="007D1F44"/>
    <w:rsid w:val="007D3490"/>
    <w:rsid w:val="007D446E"/>
    <w:rsid w:val="007E1484"/>
    <w:rsid w:val="007E1868"/>
    <w:rsid w:val="007E2C2F"/>
    <w:rsid w:val="007F0447"/>
    <w:rsid w:val="007F6491"/>
    <w:rsid w:val="00800F0F"/>
    <w:rsid w:val="00803946"/>
    <w:rsid w:val="00803994"/>
    <w:rsid w:val="008040E1"/>
    <w:rsid w:val="00805434"/>
    <w:rsid w:val="008061A9"/>
    <w:rsid w:val="008076C5"/>
    <w:rsid w:val="008137F5"/>
    <w:rsid w:val="0081571E"/>
    <w:rsid w:val="00815B72"/>
    <w:rsid w:val="0082270C"/>
    <w:rsid w:val="00822CA7"/>
    <w:rsid w:val="008301CB"/>
    <w:rsid w:val="008358D6"/>
    <w:rsid w:val="008374F8"/>
    <w:rsid w:val="008377FA"/>
    <w:rsid w:val="0084011F"/>
    <w:rsid w:val="00843AB1"/>
    <w:rsid w:val="00844082"/>
    <w:rsid w:val="00846721"/>
    <w:rsid w:val="00846A77"/>
    <w:rsid w:val="00847121"/>
    <w:rsid w:val="008500CE"/>
    <w:rsid w:val="00857732"/>
    <w:rsid w:val="00864B8B"/>
    <w:rsid w:val="008653E4"/>
    <w:rsid w:val="00866A50"/>
    <w:rsid w:val="00866F02"/>
    <w:rsid w:val="008712EE"/>
    <w:rsid w:val="0087181A"/>
    <w:rsid w:val="0087503F"/>
    <w:rsid w:val="00875A45"/>
    <w:rsid w:val="00885451"/>
    <w:rsid w:val="0089000D"/>
    <w:rsid w:val="008907D4"/>
    <w:rsid w:val="008922EF"/>
    <w:rsid w:val="0089335F"/>
    <w:rsid w:val="0089368F"/>
    <w:rsid w:val="008937AE"/>
    <w:rsid w:val="00896116"/>
    <w:rsid w:val="008970B7"/>
    <w:rsid w:val="008A17F2"/>
    <w:rsid w:val="008A4415"/>
    <w:rsid w:val="008A5157"/>
    <w:rsid w:val="008A6D77"/>
    <w:rsid w:val="008B00C8"/>
    <w:rsid w:val="008B0E92"/>
    <w:rsid w:val="008B162F"/>
    <w:rsid w:val="008B3BAA"/>
    <w:rsid w:val="008B5B2E"/>
    <w:rsid w:val="008B64D8"/>
    <w:rsid w:val="008B7881"/>
    <w:rsid w:val="008C0A73"/>
    <w:rsid w:val="008C0C4A"/>
    <w:rsid w:val="008C2944"/>
    <w:rsid w:val="008C4B6F"/>
    <w:rsid w:val="008C4E59"/>
    <w:rsid w:val="008C5B1F"/>
    <w:rsid w:val="008D11CE"/>
    <w:rsid w:val="008D1272"/>
    <w:rsid w:val="008D2213"/>
    <w:rsid w:val="008D2B86"/>
    <w:rsid w:val="008E48C4"/>
    <w:rsid w:val="008E5684"/>
    <w:rsid w:val="008E754C"/>
    <w:rsid w:val="008E795F"/>
    <w:rsid w:val="008F2740"/>
    <w:rsid w:val="008F2963"/>
    <w:rsid w:val="008F37BB"/>
    <w:rsid w:val="008F429E"/>
    <w:rsid w:val="008F4384"/>
    <w:rsid w:val="00900E67"/>
    <w:rsid w:val="009013EA"/>
    <w:rsid w:val="009032D0"/>
    <w:rsid w:val="00903BA2"/>
    <w:rsid w:val="00905318"/>
    <w:rsid w:val="009053E7"/>
    <w:rsid w:val="009055CD"/>
    <w:rsid w:val="009065F4"/>
    <w:rsid w:val="00911C78"/>
    <w:rsid w:val="00914132"/>
    <w:rsid w:val="00914580"/>
    <w:rsid w:val="009167B8"/>
    <w:rsid w:val="00920963"/>
    <w:rsid w:val="00930C7C"/>
    <w:rsid w:val="00934958"/>
    <w:rsid w:val="00934A5B"/>
    <w:rsid w:val="00937E30"/>
    <w:rsid w:val="009405DE"/>
    <w:rsid w:val="009414B0"/>
    <w:rsid w:val="009416FF"/>
    <w:rsid w:val="0094240D"/>
    <w:rsid w:val="00942EE0"/>
    <w:rsid w:val="00944C9C"/>
    <w:rsid w:val="009466EB"/>
    <w:rsid w:val="00947118"/>
    <w:rsid w:val="00950233"/>
    <w:rsid w:val="009513F7"/>
    <w:rsid w:val="00951EC8"/>
    <w:rsid w:val="00952AC0"/>
    <w:rsid w:val="009541B2"/>
    <w:rsid w:val="00954883"/>
    <w:rsid w:val="00954E08"/>
    <w:rsid w:val="0095623F"/>
    <w:rsid w:val="00963573"/>
    <w:rsid w:val="009638BD"/>
    <w:rsid w:val="00965509"/>
    <w:rsid w:val="009659B2"/>
    <w:rsid w:val="009664DA"/>
    <w:rsid w:val="009675C6"/>
    <w:rsid w:val="009706A9"/>
    <w:rsid w:val="00974368"/>
    <w:rsid w:val="0098241E"/>
    <w:rsid w:val="0098343F"/>
    <w:rsid w:val="00990B65"/>
    <w:rsid w:val="00991C52"/>
    <w:rsid w:val="00993E43"/>
    <w:rsid w:val="009942CF"/>
    <w:rsid w:val="00996C6F"/>
    <w:rsid w:val="00997A84"/>
    <w:rsid w:val="009A0F9D"/>
    <w:rsid w:val="009A2BB6"/>
    <w:rsid w:val="009B00F3"/>
    <w:rsid w:val="009B267B"/>
    <w:rsid w:val="009B52BA"/>
    <w:rsid w:val="009B78B0"/>
    <w:rsid w:val="009C320C"/>
    <w:rsid w:val="009C44C6"/>
    <w:rsid w:val="009C4E28"/>
    <w:rsid w:val="009C7DD9"/>
    <w:rsid w:val="009D2838"/>
    <w:rsid w:val="009D32AC"/>
    <w:rsid w:val="009D3D70"/>
    <w:rsid w:val="009D5860"/>
    <w:rsid w:val="009E087B"/>
    <w:rsid w:val="009E180F"/>
    <w:rsid w:val="009E1FE9"/>
    <w:rsid w:val="009E4D4B"/>
    <w:rsid w:val="009E667E"/>
    <w:rsid w:val="009E66F1"/>
    <w:rsid w:val="009F6259"/>
    <w:rsid w:val="00A02A03"/>
    <w:rsid w:val="00A03054"/>
    <w:rsid w:val="00A04691"/>
    <w:rsid w:val="00A05291"/>
    <w:rsid w:val="00A1068F"/>
    <w:rsid w:val="00A12E4F"/>
    <w:rsid w:val="00A15A71"/>
    <w:rsid w:val="00A160C1"/>
    <w:rsid w:val="00A2033B"/>
    <w:rsid w:val="00A250ED"/>
    <w:rsid w:val="00A30622"/>
    <w:rsid w:val="00A30E8E"/>
    <w:rsid w:val="00A34924"/>
    <w:rsid w:val="00A34C7D"/>
    <w:rsid w:val="00A40375"/>
    <w:rsid w:val="00A42C0B"/>
    <w:rsid w:val="00A43666"/>
    <w:rsid w:val="00A43D3C"/>
    <w:rsid w:val="00A44275"/>
    <w:rsid w:val="00A44C2E"/>
    <w:rsid w:val="00A44FD8"/>
    <w:rsid w:val="00A46EF2"/>
    <w:rsid w:val="00A503D7"/>
    <w:rsid w:val="00A50CD1"/>
    <w:rsid w:val="00A53F85"/>
    <w:rsid w:val="00A551B6"/>
    <w:rsid w:val="00A64838"/>
    <w:rsid w:val="00A66C35"/>
    <w:rsid w:val="00A6781A"/>
    <w:rsid w:val="00A706E0"/>
    <w:rsid w:val="00A76AC1"/>
    <w:rsid w:val="00A810F1"/>
    <w:rsid w:val="00A833F4"/>
    <w:rsid w:val="00A873B3"/>
    <w:rsid w:val="00A87903"/>
    <w:rsid w:val="00A9016F"/>
    <w:rsid w:val="00A9018C"/>
    <w:rsid w:val="00A90A79"/>
    <w:rsid w:val="00A9252B"/>
    <w:rsid w:val="00A93ACC"/>
    <w:rsid w:val="00A9579C"/>
    <w:rsid w:val="00A96460"/>
    <w:rsid w:val="00A97C4D"/>
    <w:rsid w:val="00AA07C7"/>
    <w:rsid w:val="00AA4CDD"/>
    <w:rsid w:val="00AA553E"/>
    <w:rsid w:val="00AA7BDF"/>
    <w:rsid w:val="00AB0A48"/>
    <w:rsid w:val="00AB113C"/>
    <w:rsid w:val="00AB127C"/>
    <w:rsid w:val="00AB43B7"/>
    <w:rsid w:val="00AC22D4"/>
    <w:rsid w:val="00AC46BC"/>
    <w:rsid w:val="00AC4AA4"/>
    <w:rsid w:val="00AC4AF6"/>
    <w:rsid w:val="00AC51AE"/>
    <w:rsid w:val="00AC6224"/>
    <w:rsid w:val="00AD070E"/>
    <w:rsid w:val="00AD164C"/>
    <w:rsid w:val="00AD26E6"/>
    <w:rsid w:val="00AD3D32"/>
    <w:rsid w:val="00AD59E8"/>
    <w:rsid w:val="00AE1FC1"/>
    <w:rsid w:val="00AE3D42"/>
    <w:rsid w:val="00AE54FE"/>
    <w:rsid w:val="00AF1655"/>
    <w:rsid w:val="00AF3A4B"/>
    <w:rsid w:val="00AF76F3"/>
    <w:rsid w:val="00B05D01"/>
    <w:rsid w:val="00B06CAA"/>
    <w:rsid w:val="00B0728B"/>
    <w:rsid w:val="00B1192D"/>
    <w:rsid w:val="00B13605"/>
    <w:rsid w:val="00B13FC1"/>
    <w:rsid w:val="00B16EF3"/>
    <w:rsid w:val="00B2494C"/>
    <w:rsid w:val="00B27E22"/>
    <w:rsid w:val="00B304A4"/>
    <w:rsid w:val="00B31A33"/>
    <w:rsid w:val="00B31EA3"/>
    <w:rsid w:val="00B32CC3"/>
    <w:rsid w:val="00B339F3"/>
    <w:rsid w:val="00B358AB"/>
    <w:rsid w:val="00B35F1C"/>
    <w:rsid w:val="00B36B54"/>
    <w:rsid w:val="00B409FD"/>
    <w:rsid w:val="00B42C65"/>
    <w:rsid w:val="00B45B65"/>
    <w:rsid w:val="00B5295A"/>
    <w:rsid w:val="00B570E8"/>
    <w:rsid w:val="00B70B59"/>
    <w:rsid w:val="00B71919"/>
    <w:rsid w:val="00B73C94"/>
    <w:rsid w:val="00B75E03"/>
    <w:rsid w:val="00B77309"/>
    <w:rsid w:val="00B819E8"/>
    <w:rsid w:val="00B83E87"/>
    <w:rsid w:val="00B86AA0"/>
    <w:rsid w:val="00B90509"/>
    <w:rsid w:val="00B90AAD"/>
    <w:rsid w:val="00B94FF9"/>
    <w:rsid w:val="00B95D4A"/>
    <w:rsid w:val="00B972E0"/>
    <w:rsid w:val="00BA275F"/>
    <w:rsid w:val="00BA331C"/>
    <w:rsid w:val="00BA7776"/>
    <w:rsid w:val="00BB1286"/>
    <w:rsid w:val="00BB4C91"/>
    <w:rsid w:val="00BB5FD4"/>
    <w:rsid w:val="00BB6DF8"/>
    <w:rsid w:val="00BC0080"/>
    <w:rsid w:val="00BC0C2E"/>
    <w:rsid w:val="00BC16DC"/>
    <w:rsid w:val="00BC25B7"/>
    <w:rsid w:val="00BC431C"/>
    <w:rsid w:val="00BC7A0A"/>
    <w:rsid w:val="00BD189E"/>
    <w:rsid w:val="00BD422B"/>
    <w:rsid w:val="00BE0207"/>
    <w:rsid w:val="00BE2C87"/>
    <w:rsid w:val="00BE3D16"/>
    <w:rsid w:val="00BE4086"/>
    <w:rsid w:val="00BE7168"/>
    <w:rsid w:val="00BF0337"/>
    <w:rsid w:val="00BF2310"/>
    <w:rsid w:val="00BF2352"/>
    <w:rsid w:val="00BF587E"/>
    <w:rsid w:val="00BF6267"/>
    <w:rsid w:val="00BF77E2"/>
    <w:rsid w:val="00BF7896"/>
    <w:rsid w:val="00C0130A"/>
    <w:rsid w:val="00C06508"/>
    <w:rsid w:val="00C07B39"/>
    <w:rsid w:val="00C10523"/>
    <w:rsid w:val="00C142F6"/>
    <w:rsid w:val="00C15C1A"/>
    <w:rsid w:val="00C15EC6"/>
    <w:rsid w:val="00C16835"/>
    <w:rsid w:val="00C16A7B"/>
    <w:rsid w:val="00C20108"/>
    <w:rsid w:val="00C20F83"/>
    <w:rsid w:val="00C21768"/>
    <w:rsid w:val="00C235C0"/>
    <w:rsid w:val="00C23B6C"/>
    <w:rsid w:val="00C248CF"/>
    <w:rsid w:val="00C321EA"/>
    <w:rsid w:val="00C32E27"/>
    <w:rsid w:val="00C330B7"/>
    <w:rsid w:val="00C352C6"/>
    <w:rsid w:val="00C37A1F"/>
    <w:rsid w:val="00C421A0"/>
    <w:rsid w:val="00C462BA"/>
    <w:rsid w:val="00C46DDA"/>
    <w:rsid w:val="00C47031"/>
    <w:rsid w:val="00C524FF"/>
    <w:rsid w:val="00C52569"/>
    <w:rsid w:val="00C52E42"/>
    <w:rsid w:val="00C53981"/>
    <w:rsid w:val="00C5567A"/>
    <w:rsid w:val="00C55962"/>
    <w:rsid w:val="00C57B31"/>
    <w:rsid w:val="00C61AE3"/>
    <w:rsid w:val="00C62021"/>
    <w:rsid w:val="00C64878"/>
    <w:rsid w:val="00C7082B"/>
    <w:rsid w:val="00C75542"/>
    <w:rsid w:val="00C76065"/>
    <w:rsid w:val="00C76232"/>
    <w:rsid w:val="00C777B4"/>
    <w:rsid w:val="00C82F4E"/>
    <w:rsid w:val="00C83C5D"/>
    <w:rsid w:val="00C849FC"/>
    <w:rsid w:val="00C86442"/>
    <w:rsid w:val="00C87DD9"/>
    <w:rsid w:val="00C90DF8"/>
    <w:rsid w:val="00C90FB4"/>
    <w:rsid w:val="00C93D21"/>
    <w:rsid w:val="00C9404D"/>
    <w:rsid w:val="00C9613D"/>
    <w:rsid w:val="00C979FD"/>
    <w:rsid w:val="00CA01E6"/>
    <w:rsid w:val="00CB13E6"/>
    <w:rsid w:val="00CB420C"/>
    <w:rsid w:val="00CB50AC"/>
    <w:rsid w:val="00CC00BF"/>
    <w:rsid w:val="00CC1D2A"/>
    <w:rsid w:val="00CC4C35"/>
    <w:rsid w:val="00CC685B"/>
    <w:rsid w:val="00CC7838"/>
    <w:rsid w:val="00CD46D1"/>
    <w:rsid w:val="00CE0610"/>
    <w:rsid w:val="00CE3D19"/>
    <w:rsid w:val="00CF2C59"/>
    <w:rsid w:val="00CF4CFB"/>
    <w:rsid w:val="00D038D9"/>
    <w:rsid w:val="00D03A64"/>
    <w:rsid w:val="00D05671"/>
    <w:rsid w:val="00D062A8"/>
    <w:rsid w:val="00D0635B"/>
    <w:rsid w:val="00D13719"/>
    <w:rsid w:val="00D168FB"/>
    <w:rsid w:val="00D169FC"/>
    <w:rsid w:val="00D201C1"/>
    <w:rsid w:val="00D21448"/>
    <w:rsid w:val="00D25ADC"/>
    <w:rsid w:val="00D261A3"/>
    <w:rsid w:val="00D333AA"/>
    <w:rsid w:val="00D354CB"/>
    <w:rsid w:val="00D3716B"/>
    <w:rsid w:val="00D37B4B"/>
    <w:rsid w:val="00D4118F"/>
    <w:rsid w:val="00D431FE"/>
    <w:rsid w:val="00D43DB6"/>
    <w:rsid w:val="00D4684D"/>
    <w:rsid w:val="00D50654"/>
    <w:rsid w:val="00D51980"/>
    <w:rsid w:val="00D543A5"/>
    <w:rsid w:val="00D553A7"/>
    <w:rsid w:val="00D569E7"/>
    <w:rsid w:val="00D56EC1"/>
    <w:rsid w:val="00D57566"/>
    <w:rsid w:val="00D641E9"/>
    <w:rsid w:val="00D66878"/>
    <w:rsid w:val="00D7179E"/>
    <w:rsid w:val="00D72B3D"/>
    <w:rsid w:val="00D734D0"/>
    <w:rsid w:val="00D73634"/>
    <w:rsid w:val="00D74397"/>
    <w:rsid w:val="00D80975"/>
    <w:rsid w:val="00D81230"/>
    <w:rsid w:val="00D841A8"/>
    <w:rsid w:val="00D84206"/>
    <w:rsid w:val="00D9145D"/>
    <w:rsid w:val="00D91D57"/>
    <w:rsid w:val="00D91E2D"/>
    <w:rsid w:val="00D93A9D"/>
    <w:rsid w:val="00D94EDF"/>
    <w:rsid w:val="00D97789"/>
    <w:rsid w:val="00DA0D7E"/>
    <w:rsid w:val="00DA1017"/>
    <w:rsid w:val="00DA2AFD"/>
    <w:rsid w:val="00DA4AEC"/>
    <w:rsid w:val="00DA5036"/>
    <w:rsid w:val="00DA6A2C"/>
    <w:rsid w:val="00DA71B6"/>
    <w:rsid w:val="00DB1F5F"/>
    <w:rsid w:val="00DB4AED"/>
    <w:rsid w:val="00DB4D67"/>
    <w:rsid w:val="00DB7250"/>
    <w:rsid w:val="00DB779A"/>
    <w:rsid w:val="00DC2BF7"/>
    <w:rsid w:val="00DC30F0"/>
    <w:rsid w:val="00DC4B01"/>
    <w:rsid w:val="00DC4CEE"/>
    <w:rsid w:val="00DC7FA1"/>
    <w:rsid w:val="00DD0A64"/>
    <w:rsid w:val="00DD28A9"/>
    <w:rsid w:val="00DD32D3"/>
    <w:rsid w:val="00DD4E3E"/>
    <w:rsid w:val="00DD4F5E"/>
    <w:rsid w:val="00DE0623"/>
    <w:rsid w:val="00DF11BB"/>
    <w:rsid w:val="00DF5C61"/>
    <w:rsid w:val="00E00FBF"/>
    <w:rsid w:val="00E03927"/>
    <w:rsid w:val="00E03FE1"/>
    <w:rsid w:val="00E0445C"/>
    <w:rsid w:val="00E1070A"/>
    <w:rsid w:val="00E107EA"/>
    <w:rsid w:val="00E134AE"/>
    <w:rsid w:val="00E165A3"/>
    <w:rsid w:val="00E17DE7"/>
    <w:rsid w:val="00E20931"/>
    <w:rsid w:val="00E24A20"/>
    <w:rsid w:val="00E24F1F"/>
    <w:rsid w:val="00E253D5"/>
    <w:rsid w:val="00E27685"/>
    <w:rsid w:val="00E30C4C"/>
    <w:rsid w:val="00E33BBF"/>
    <w:rsid w:val="00E35F0E"/>
    <w:rsid w:val="00E403AE"/>
    <w:rsid w:val="00E42EC3"/>
    <w:rsid w:val="00E4320E"/>
    <w:rsid w:val="00E44AEF"/>
    <w:rsid w:val="00E44E5F"/>
    <w:rsid w:val="00E46B71"/>
    <w:rsid w:val="00E5118B"/>
    <w:rsid w:val="00E5533E"/>
    <w:rsid w:val="00E57D87"/>
    <w:rsid w:val="00E60770"/>
    <w:rsid w:val="00E60995"/>
    <w:rsid w:val="00E612A9"/>
    <w:rsid w:val="00E626BC"/>
    <w:rsid w:val="00E62E87"/>
    <w:rsid w:val="00E63CDA"/>
    <w:rsid w:val="00E65654"/>
    <w:rsid w:val="00E660E1"/>
    <w:rsid w:val="00E7030A"/>
    <w:rsid w:val="00E70888"/>
    <w:rsid w:val="00E73261"/>
    <w:rsid w:val="00E738B0"/>
    <w:rsid w:val="00E769A3"/>
    <w:rsid w:val="00E8273F"/>
    <w:rsid w:val="00E864BE"/>
    <w:rsid w:val="00E9182E"/>
    <w:rsid w:val="00E96345"/>
    <w:rsid w:val="00E96863"/>
    <w:rsid w:val="00EA070D"/>
    <w:rsid w:val="00EA1BB2"/>
    <w:rsid w:val="00EA5E05"/>
    <w:rsid w:val="00EB2A74"/>
    <w:rsid w:val="00EB4DDE"/>
    <w:rsid w:val="00EB5088"/>
    <w:rsid w:val="00EB5F20"/>
    <w:rsid w:val="00EB7F98"/>
    <w:rsid w:val="00EC432E"/>
    <w:rsid w:val="00EC70BD"/>
    <w:rsid w:val="00ED0AF1"/>
    <w:rsid w:val="00ED55B3"/>
    <w:rsid w:val="00ED786F"/>
    <w:rsid w:val="00EE399F"/>
    <w:rsid w:val="00EE58F3"/>
    <w:rsid w:val="00EE69F1"/>
    <w:rsid w:val="00EE6EFF"/>
    <w:rsid w:val="00EF4C8F"/>
    <w:rsid w:val="00EF5444"/>
    <w:rsid w:val="00EF5AA4"/>
    <w:rsid w:val="00F00BFE"/>
    <w:rsid w:val="00F01A25"/>
    <w:rsid w:val="00F03B47"/>
    <w:rsid w:val="00F04D94"/>
    <w:rsid w:val="00F056BC"/>
    <w:rsid w:val="00F12F99"/>
    <w:rsid w:val="00F2321D"/>
    <w:rsid w:val="00F2387B"/>
    <w:rsid w:val="00F331E7"/>
    <w:rsid w:val="00F35C04"/>
    <w:rsid w:val="00F36E05"/>
    <w:rsid w:val="00F37C9C"/>
    <w:rsid w:val="00F4772E"/>
    <w:rsid w:val="00F5119E"/>
    <w:rsid w:val="00F5168F"/>
    <w:rsid w:val="00F51A0E"/>
    <w:rsid w:val="00F51FB1"/>
    <w:rsid w:val="00F55573"/>
    <w:rsid w:val="00F61999"/>
    <w:rsid w:val="00F628A4"/>
    <w:rsid w:val="00F66748"/>
    <w:rsid w:val="00F67E6F"/>
    <w:rsid w:val="00F7278A"/>
    <w:rsid w:val="00F72819"/>
    <w:rsid w:val="00F72DC1"/>
    <w:rsid w:val="00F74BCE"/>
    <w:rsid w:val="00F76079"/>
    <w:rsid w:val="00F76B37"/>
    <w:rsid w:val="00F82059"/>
    <w:rsid w:val="00F82EE8"/>
    <w:rsid w:val="00F8443B"/>
    <w:rsid w:val="00F85243"/>
    <w:rsid w:val="00F931F0"/>
    <w:rsid w:val="00FA00D0"/>
    <w:rsid w:val="00FA0BE3"/>
    <w:rsid w:val="00FA1A2A"/>
    <w:rsid w:val="00FA1CC9"/>
    <w:rsid w:val="00FA29B6"/>
    <w:rsid w:val="00FA3B56"/>
    <w:rsid w:val="00FA5514"/>
    <w:rsid w:val="00FB45E4"/>
    <w:rsid w:val="00FB47C9"/>
    <w:rsid w:val="00FB5FC4"/>
    <w:rsid w:val="00FB6D80"/>
    <w:rsid w:val="00FB7CDD"/>
    <w:rsid w:val="00FC14F7"/>
    <w:rsid w:val="00FC4B40"/>
    <w:rsid w:val="00FD05F2"/>
    <w:rsid w:val="00FD1DF0"/>
    <w:rsid w:val="00FD39F3"/>
    <w:rsid w:val="00FD3CE7"/>
    <w:rsid w:val="00FD5CA1"/>
    <w:rsid w:val="00FE00FE"/>
    <w:rsid w:val="00FE258F"/>
    <w:rsid w:val="00FE4272"/>
    <w:rsid w:val="00FE7F42"/>
    <w:rsid w:val="00FF2DF7"/>
    <w:rsid w:val="00FF5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F5AE71B"/>
  <w15:docId w15:val="{2B426F3D-A11D-4822-AC88-A6C932FB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Symbo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E5F"/>
    <w:pPr>
      <w:ind w:left="720"/>
      <w:contextualSpacing/>
    </w:pPr>
  </w:style>
  <w:style w:type="table" w:styleId="TableGrid">
    <w:name w:val="Table Grid"/>
    <w:basedOn w:val="TableNormal"/>
    <w:uiPriority w:val="59"/>
    <w:rsid w:val="00D73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336"/>
  </w:style>
  <w:style w:type="paragraph" w:styleId="Footer">
    <w:name w:val="footer"/>
    <w:basedOn w:val="Normal"/>
    <w:link w:val="FooterChar"/>
    <w:uiPriority w:val="99"/>
    <w:unhideWhenUsed/>
    <w:rsid w:val="002C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336"/>
  </w:style>
  <w:style w:type="paragraph" w:styleId="BalloonText">
    <w:name w:val="Balloon Text"/>
    <w:basedOn w:val="Normal"/>
    <w:link w:val="BalloonTextChar"/>
    <w:uiPriority w:val="99"/>
    <w:semiHidden/>
    <w:unhideWhenUsed/>
    <w:rsid w:val="00DA2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AFD"/>
    <w:rPr>
      <w:rFonts w:ascii="Tahoma" w:hAnsi="Tahoma" w:cs="Tahoma"/>
      <w:sz w:val="16"/>
      <w:szCs w:val="16"/>
    </w:rPr>
  </w:style>
  <w:style w:type="character" w:styleId="Hyperlink">
    <w:name w:val="Hyperlink"/>
    <w:basedOn w:val="DefaultParagraphFont"/>
    <w:uiPriority w:val="99"/>
    <w:unhideWhenUsed/>
    <w:rsid w:val="00FA29B6"/>
    <w:rPr>
      <w:color w:val="0563C1"/>
      <w:u w:val="single"/>
    </w:rPr>
  </w:style>
  <w:style w:type="paragraph" w:customStyle="1" w:styleId="Default">
    <w:name w:val="Default"/>
    <w:rsid w:val="00FA29B6"/>
    <w:pPr>
      <w:autoSpaceDE w:val="0"/>
      <w:autoSpaceDN w:val="0"/>
      <w:adjustRightInd w:val="0"/>
      <w:spacing w:after="0" w:line="240" w:lineRule="auto"/>
    </w:pPr>
    <w:rPr>
      <w:rFonts w:ascii="Arial" w:hAnsi="Arial" w:cs="Arial"/>
      <w:color w:val="000000"/>
      <w:sz w:val="24"/>
      <w:szCs w:val="24"/>
    </w:rPr>
  </w:style>
  <w:style w:type="character" w:customStyle="1" w:styleId="lrzxr">
    <w:name w:val="lrzxr"/>
    <w:basedOn w:val="DefaultParagraphFont"/>
    <w:rsid w:val="00485EFD"/>
  </w:style>
  <w:style w:type="character" w:styleId="FollowedHyperlink">
    <w:name w:val="FollowedHyperlink"/>
    <w:basedOn w:val="DefaultParagraphFont"/>
    <w:uiPriority w:val="99"/>
    <w:semiHidden/>
    <w:unhideWhenUsed/>
    <w:rsid w:val="00476A73"/>
    <w:rPr>
      <w:color w:val="800080" w:themeColor="followedHyperlink"/>
      <w:u w:val="single"/>
    </w:rPr>
  </w:style>
  <w:style w:type="character" w:styleId="Strong">
    <w:name w:val="Strong"/>
    <w:basedOn w:val="DefaultParagraphFont"/>
    <w:uiPriority w:val="22"/>
    <w:qFormat/>
    <w:rsid w:val="009E667E"/>
    <w:rPr>
      <w:b/>
      <w:bCs/>
    </w:rPr>
  </w:style>
  <w:style w:type="paragraph" w:styleId="PlainText">
    <w:name w:val="Plain Text"/>
    <w:basedOn w:val="Normal"/>
    <w:link w:val="PlainTextChar"/>
    <w:uiPriority w:val="99"/>
    <w:unhideWhenUsed/>
    <w:rsid w:val="00647C4E"/>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647C4E"/>
    <w:rPr>
      <w:rFonts w:ascii="Calibri" w:hAnsi="Calibri" w:cstheme="minorBidi"/>
      <w:szCs w:val="21"/>
    </w:rPr>
  </w:style>
  <w:style w:type="character" w:customStyle="1" w:styleId="st1">
    <w:name w:val="st1"/>
    <w:basedOn w:val="DefaultParagraphFont"/>
    <w:rsid w:val="00BE7168"/>
  </w:style>
  <w:style w:type="paragraph" w:styleId="NormalWeb">
    <w:name w:val="Normal (Web)"/>
    <w:basedOn w:val="Normal"/>
    <w:uiPriority w:val="99"/>
    <w:semiHidden/>
    <w:unhideWhenUsed/>
    <w:rsid w:val="006A0F9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9381">
      <w:bodyDiv w:val="1"/>
      <w:marLeft w:val="0"/>
      <w:marRight w:val="0"/>
      <w:marTop w:val="0"/>
      <w:marBottom w:val="0"/>
      <w:divBdr>
        <w:top w:val="none" w:sz="0" w:space="0" w:color="auto"/>
        <w:left w:val="none" w:sz="0" w:space="0" w:color="auto"/>
        <w:bottom w:val="none" w:sz="0" w:space="0" w:color="auto"/>
        <w:right w:val="none" w:sz="0" w:space="0" w:color="auto"/>
      </w:divBdr>
    </w:div>
    <w:div w:id="26149423">
      <w:bodyDiv w:val="1"/>
      <w:marLeft w:val="0"/>
      <w:marRight w:val="0"/>
      <w:marTop w:val="0"/>
      <w:marBottom w:val="0"/>
      <w:divBdr>
        <w:top w:val="none" w:sz="0" w:space="0" w:color="auto"/>
        <w:left w:val="none" w:sz="0" w:space="0" w:color="auto"/>
        <w:bottom w:val="none" w:sz="0" w:space="0" w:color="auto"/>
        <w:right w:val="none" w:sz="0" w:space="0" w:color="auto"/>
      </w:divBdr>
    </w:div>
    <w:div w:id="30110329">
      <w:bodyDiv w:val="1"/>
      <w:marLeft w:val="0"/>
      <w:marRight w:val="0"/>
      <w:marTop w:val="0"/>
      <w:marBottom w:val="0"/>
      <w:divBdr>
        <w:top w:val="none" w:sz="0" w:space="0" w:color="auto"/>
        <w:left w:val="none" w:sz="0" w:space="0" w:color="auto"/>
        <w:bottom w:val="none" w:sz="0" w:space="0" w:color="auto"/>
        <w:right w:val="none" w:sz="0" w:space="0" w:color="auto"/>
      </w:divBdr>
    </w:div>
    <w:div w:id="199978543">
      <w:bodyDiv w:val="1"/>
      <w:marLeft w:val="0"/>
      <w:marRight w:val="0"/>
      <w:marTop w:val="0"/>
      <w:marBottom w:val="0"/>
      <w:divBdr>
        <w:top w:val="none" w:sz="0" w:space="0" w:color="auto"/>
        <w:left w:val="none" w:sz="0" w:space="0" w:color="auto"/>
        <w:bottom w:val="none" w:sz="0" w:space="0" w:color="auto"/>
        <w:right w:val="none" w:sz="0" w:space="0" w:color="auto"/>
      </w:divBdr>
      <w:divsChild>
        <w:div w:id="1754936696">
          <w:marLeft w:val="360"/>
          <w:marRight w:val="0"/>
          <w:marTop w:val="200"/>
          <w:marBottom w:val="0"/>
          <w:divBdr>
            <w:top w:val="none" w:sz="0" w:space="0" w:color="auto"/>
            <w:left w:val="none" w:sz="0" w:space="0" w:color="auto"/>
            <w:bottom w:val="none" w:sz="0" w:space="0" w:color="auto"/>
            <w:right w:val="none" w:sz="0" w:space="0" w:color="auto"/>
          </w:divBdr>
        </w:div>
        <w:div w:id="987710092">
          <w:marLeft w:val="360"/>
          <w:marRight w:val="0"/>
          <w:marTop w:val="200"/>
          <w:marBottom w:val="0"/>
          <w:divBdr>
            <w:top w:val="none" w:sz="0" w:space="0" w:color="auto"/>
            <w:left w:val="none" w:sz="0" w:space="0" w:color="auto"/>
            <w:bottom w:val="none" w:sz="0" w:space="0" w:color="auto"/>
            <w:right w:val="none" w:sz="0" w:space="0" w:color="auto"/>
          </w:divBdr>
        </w:div>
        <w:div w:id="1945918117">
          <w:marLeft w:val="360"/>
          <w:marRight w:val="0"/>
          <w:marTop w:val="200"/>
          <w:marBottom w:val="0"/>
          <w:divBdr>
            <w:top w:val="none" w:sz="0" w:space="0" w:color="auto"/>
            <w:left w:val="none" w:sz="0" w:space="0" w:color="auto"/>
            <w:bottom w:val="none" w:sz="0" w:space="0" w:color="auto"/>
            <w:right w:val="none" w:sz="0" w:space="0" w:color="auto"/>
          </w:divBdr>
        </w:div>
      </w:divsChild>
    </w:div>
    <w:div w:id="361978849">
      <w:bodyDiv w:val="1"/>
      <w:marLeft w:val="0"/>
      <w:marRight w:val="0"/>
      <w:marTop w:val="0"/>
      <w:marBottom w:val="0"/>
      <w:divBdr>
        <w:top w:val="none" w:sz="0" w:space="0" w:color="auto"/>
        <w:left w:val="none" w:sz="0" w:space="0" w:color="auto"/>
        <w:bottom w:val="none" w:sz="0" w:space="0" w:color="auto"/>
        <w:right w:val="none" w:sz="0" w:space="0" w:color="auto"/>
      </w:divBdr>
    </w:div>
    <w:div w:id="406919738">
      <w:bodyDiv w:val="1"/>
      <w:marLeft w:val="0"/>
      <w:marRight w:val="0"/>
      <w:marTop w:val="0"/>
      <w:marBottom w:val="0"/>
      <w:divBdr>
        <w:top w:val="none" w:sz="0" w:space="0" w:color="auto"/>
        <w:left w:val="none" w:sz="0" w:space="0" w:color="auto"/>
        <w:bottom w:val="none" w:sz="0" w:space="0" w:color="auto"/>
        <w:right w:val="none" w:sz="0" w:space="0" w:color="auto"/>
      </w:divBdr>
    </w:div>
    <w:div w:id="486046230">
      <w:bodyDiv w:val="1"/>
      <w:marLeft w:val="0"/>
      <w:marRight w:val="0"/>
      <w:marTop w:val="0"/>
      <w:marBottom w:val="0"/>
      <w:divBdr>
        <w:top w:val="none" w:sz="0" w:space="0" w:color="auto"/>
        <w:left w:val="none" w:sz="0" w:space="0" w:color="auto"/>
        <w:bottom w:val="none" w:sz="0" w:space="0" w:color="auto"/>
        <w:right w:val="none" w:sz="0" w:space="0" w:color="auto"/>
      </w:divBdr>
    </w:div>
    <w:div w:id="715005835">
      <w:bodyDiv w:val="1"/>
      <w:marLeft w:val="0"/>
      <w:marRight w:val="0"/>
      <w:marTop w:val="0"/>
      <w:marBottom w:val="0"/>
      <w:divBdr>
        <w:top w:val="none" w:sz="0" w:space="0" w:color="auto"/>
        <w:left w:val="none" w:sz="0" w:space="0" w:color="auto"/>
        <w:bottom w:val="none" w:sz="0" w:space="0" w:color="auto"/>
        <w:right w:val="none" w:sz="0" w:space="0" w:color="auto"/>
      </w:divBdr>
    </w:div>
    <w:div w:id="795366877">
      <w:bodyDiv w:val="1"/>
      <w:marLeft w:val="0"/>
      <w:marRight w:val="0"/>
      <w:marTop w:val="0"/>
      <w:marBottom w:val="0"/>
      <w:divBdr>
        <w:top w:val="none" w:sz="0" w:space="0" w:color="auto"/>
        <w:left w:val="none" w:sz="0" w:space="0" w:color="auto"/>
        <w:bottom w:val="none" w:sz="0" w:space="0" w:color="auto"/>
        <w:right w:val="none" w:sz="0" w:space="0" w:color="auto"/>
      </w:divBdr>
    </w:div>
    <w:div w:id="921722507">
      <w:bodyDiv w:val="1"/>
      <w:marLeft w:val="0"/>
      <w:marRight w:val="0"/>
      <w:marTop w:val="0"/>
      <w:marBottom w:val="0"/>
      <w:divBdr>
        <w:top w:val="none" w:sz="0" w:space="0" w:color="auto"/>
        <w:left w:val="none" w:sz="0" w:space="0" w:color="auto"/>
        <w:bottom w:val="none" w:sz="0" w:space="0" w:color="auto"/>
        <w:right w:val="none" w:sz="0" w:space="0" w:color="auto"/>
      </w:divBdr>
    </w:div>
    <w:div w:id="1151944844">
      <w:bodyDiv w:val="1"/>
      <w:marLeft w:val="0"/>
      <w:marRight w:val="0"/>
      <w:marTop w:val="0"/>
      <w:marBottom w:val="0"/>
      <w:divBdr>
        <w:top w:val="none" w:sz="0" w:space="0" w:color="auto"/>
        <w:left w:val="none" w:sz="0" w:space="0" w:color="auto"/>
        <w:bottom w:val="none" w:sz="0" w:space="0" w:color="auto"/>
        <w:right w:val="none" w:sz="0" w:space="0" w:color="auto"/>
      </w:divBdr>
    </w:div>
    <w:div w:id="1155104357">
      <w:bodyDiv w:val="1"/>
      <w:marLeft w:val="0"/>
      <w:marRight w:val="0"/>
      <w:marTop w:val="0"/>
      <w:marBottom w:val="0"/>
      <w:divBdr>
        <w:top w:val="none" w:sz="0" w:space="0" w:color="auto"/>
        <w:left w:val="none" w:sz="0" w:space="0" w:color="auto"/>
        <w:bottom w:val="none" w:sz="0" w:space="0" w:color="auto"/>
        <w:right w:val="none" w:sz="0" w:space="0" w:color="auto"/>
      </w:divBdr>
      <w:divsChild>
        <w:div w:id="1297492719">
          <w:marLeft w:val="547"/>
          <w:marRight w:val="0"/>
          <w:marTop w:val="144"/>
          <w:marBottom w:val="0"/>
          <w:divBdr>
            <w:top w:val="none" w:sz="0" w:space="0" w:color="auto"/>
            <w:left w:val="none" w:sz="0" w:space="0" w:color="auto"/>
            <w:bottom w:val="none" w:sz="0" w:space="0" w:color="auto"/>
            <w:right w:val="none" w:sz="0" w:space="0" w:color="auto"/>
          </w:divBdr>
        </w:div>
        <w:div w:id="1920363988">
          <w:marLeft w:val="547"/>
          <w:marRight w:val="0"/>
          <w:marTop w:val="144"/>
          <w:marBottom w:val="0"/>
          <w:divBdr>
            <w:top w:val="none" w:sz="0" w:space="0" w:color="auto"/>
            <w:left w:val="none" w:sz="0" w:space="0" w:color="auto"/>
            <w:bottom w:val="none" w:sz="0" w:space="0" w:color="auto"/>
            <w:right w:val="none" w:sz="0" w:space="0" w:color="auto"/>
          </w:divBdr>
        </w:div>
        <w:div w:id="1549687518">
          <w:marLeft w:val="1166"/>
          <w:marRight w:val="0"/>
          <w:marTop w:val="125"/>
          <w:marBottom w:val="0"/>
          <w:divBdr>
            <w:top w:val="none" w:sz="0" w:space="0" w:color="auto"/>
            <w:left w:val="none" w:sz="0" w:space="0" w:color="auto"/>
            <w:bottom w:val="none" w:sz="0" w:space="0" w:color="auto"/>
            <w:right w:val="none" w:sz="0" w:space="0" w:color="auto"/>
          </w:divBdr>
        </w:div>
        <w:div w:id="646015585">
          <w:marLeft w:val="1166"/>
          <w:marRight w:val="0"/>
          <w:marTop w:val="125"/>
          <w:marBottom w:val="0"/>
          <w:divBdr>
            <w:top w:val="none" w:sz="0" w:space="0" w:color="auto"/>
            <w:left w:val="none" w:sz="0" w:space="0" w:color="auto"/>
            <w:bottom w:val="none" w:sz="0" w:space="0" w:color="auto"/>
            <w:right w:val="none" w:sz="0" w:space="0" w:color="auto"/>
          </w:divBdr>
        </w:div>
      </w:divsChild>
    </w:div>
    <w:div w:id="1333995500">
      <w:bodyDiv w:val="1"/>
      <w:marLeft w:val="0"/>
      <w:marRight w:val="0"/>
      <w:marTop w:val="0"/>
      <w:marBottom w:val="0"/>
      <w:divBdr>
        <w:top w:val="none" w:sz="0" w:space="0" w:color="auto"/>
        <w:left w:val="none" w:sz="0" w:space="0" w:color="auto"/>
        <w:bottom w:val="none" w:sz="0" w:space="0" w:color="auto"/>
        <w:right w:val="none" w:sz="0" w:space="0" w:color="auto"/>
      </w:divBdr>
    </w:div>
    <w:div w:id="1621230610">
      <w:bodyDiv w:val="1"/>
      <w:marLeft w:val="0"/>
      <w:marRight w:val="0"/>
      <w:marTop w:val="0"/>
      <w:marBottom w:val="0"/>
      <w:divBdr>
        <w:top w:val="none" w:sz="0" w:space="0" w:color="auto"/>
        <w:left w:val="none" w:sz="0" w:space="0" w:color="auto"/>
        <w:bottom w:val="none" w:sz="0" w:space="0" w:color="auto"/>
        <w:right w:val="none" w:sz="0" w:space="0" w:color="auto"/>
      </w:divBdr>
    </w:div>
    <w:div w:id="1628316147">
      <w:bodyDiv w:val="1"/>
      <w:marLeft w:val="0"/>
      <w:marRight w:val="0"/>
      <w:marTop w:val="0"/>
      <w:marBottom w:val="0"/>
      <w:divBdr>
        <w:top w:val="none" w:sz="0" w:space="0" w:color="auto"/>
        <w:left w:val="none" w:sz="0" w:space="0" w:color="auto"/>
        <w:bottom w:val="none" w:sz="0" w:space="0" w:color="auto"/>
        <w:right w:val="none" w:sz="0" w:space="0" w:color="auto"/>
      </w:divBdr>
    </w:div>
    <w:div w:id="1692101030">
      <w:bodyDiv w:val="1"/>
      <w:marLeft w:val="0"/>
      <w:marRight w:val="0"/>
      <w:marTop w:val="0"/>
      <w:marBottom w:val="0"/>
      <w:divBdr>
        <w:top w:val="none" w:sz="0" w:space="0" w:color="auto"/>
        <w:left w:val="none" w:sz="0" w:space="0" w:color="auto"/>
        <w:bottom w:val="none" w:sz="0" w:space="0" w:color="auto"/>
        <w:right w:val="none" w:sz="0" w:space="0" w:color="auto"/>
      </w:divBdr>
    </w:div>
    <w:div w:id="1785534185">
      <w:bodyDiv w:val="1"/>
      <w:marLeft w:val="0"/>
      <w:marRight w:val="0"/>
      <w:marTop w:val="0"/>
      <w:marBottom w:val="0"/>
      <w:divBdr>
        <w:top w:val="none" w:sz="0" w:space="0" w:color="auto"/>
        <w:left w:val="none" w:sz="0" w:space="0" w:color="auto"/>
        <w:bottom w:val="none" w:sz="0" w:space="0" w:color="auto"/>
        <w:right w:val="none" w:sz="0" w:space="0" w:color="auto"/>
      </w:divBdr>
    </w:div>
    <w:div w:id="1889142378">
      <w:bodyDiv w:val="1"/>
      <w:marLeft w:val="0"/>
      <w:marRight w:val="0"/>
      <w:marTop w:val="0"/>
      <w:marBottom w:val="0"/>
      <w:divBdr>
        <w:top w:val="none" w:sz="0" w:space="0" w:color="auto"/>
        <w:left w:val="none" w:sz="0" w:space="0" w:color="auto"/>
        <w:bottom w:val="none" w:sz="0" w:space="0" w:color="auto"/>
        <w:right w:val="none" w:sz="0" w:space="0" w:color="auto"/>
      </w:divBdr>
    </w:div>
    <w:div w:id="1890606515">
      <w:bodyDiv w:val="1"/>
      <w:marLeft w:val="0"/>
      <w:marRight w:val="0"/>
      <w:marTop w:val="0"/>
      <w:marBottom w:val="0"/>
      <w:divBdr>
        <w:top w:val="none" w:sz="0" w:space="0" w:color="auto"/>
        <w:left w:val="none" w:sz="0" w:space="0" w:color="auto"/>
        <w:bottom w:val="none" w:sz="0" w:space="0" w:color="auto"/>
        <w:right w:val="none" w:sz="0" w:space="0" w:color="auto"/>
      </w:divBdr>
    </w:div>
    <w:div w:id="1918324623">
      <w:bodyDiv w:val="1"/>
      <w:marLeft w:val="0"/>
      <w:marRight w:val="0"/>
      <w:marTop w:val="0"/>
      <w:marBottom w:val="0"/>
      <w:divBdr>
        <w:top w:val="none" w:sz="0" w:space="0" w:color="auto"/>
        <w:left w:val="none" w:sz="0" w:space="0" w:color="auto"/>
        <w:bottom w:val="none" w:sz="0" w:space="0" w:color="auto"/>
        <w:right w:val="none" w:sz="0" w:space="0" w:color="auto"/>
      </w:divBdr>
    </w:div>
    <w:div w:id="2043751364">
      <w:bodyDiv w:val="1"/>
      <w:marLeft w:val="0"/>
      <w:marRight w:val="0"/>
      <w:marTop w:val="0"/>
      <w:marBottom w:val="0"/>
      <w:divBdr>
        <w:top w:val="none" w:sz="0" w:space="0" w:color="auto"/>
        <w:left w:val="none" w:sz="0" w:space="0" w:color="auto"/>
        <w:bottom w:val="none" w:sz="0" w:space="0" w:color="auto"/>
        <w:right w:val="none" w:sz="0" w:space="0" w:color="auto"/>
      </w:divBdr>
    </w:div>
    <w:div w:id="214697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teacher.net/cases/hammersmith-and-fulham-lbc-v-monk.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aig.Taylor@longhurst-grou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EBEDC-7E22-451D-A228-9A9D1605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2466</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CHS Group</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dc:creator>
  <cp:lastModifiedBy>Marta Ariza-Castro</cp:lastModifiedBy>
  <cp:revision>731</cp:revision>
  <cp:lastPrinted>2018-09-24T09:54:00Z</cp:lastPrinted>
  <dcterms:created xsi:type="dcterms:W3CDTF">2019-12-17T09:44:00Z</dcterms:created>
  <dcterms:modified xsi:type="dcterms:W3CDTF">2021-05-24T14:22:00Z</dcterms:modified>
</cp:coreProperties>
</file>