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4F7" w:rsidRDefault="004414F7"/>
    <w:tbl>
      <w:tblPr>
        <w:tblW w:w="9925" w:type="dxa"/>
        <w:jc w:val="center"/>
        <w:tblLayout w:type="fixed"/>
        <w:tblLook w:val="01E0" w:firstRow="1" w:lastRow="1" w:firstColumn="1" w:lastColumn="1" w:noHBand="0" w:noVBand="0"/>
      </w:tblPr>
      <w:tblGrid>
        <w:gridCol w:w="2127"/>
        <w:gridCol w:w="1100"/>
        <w:gridCol w:w="3827"/>
        <w:gridCol w:w="1312"/>
        <w:gridCol w:w="1559"/>
      </w:tblGrid>
      <w:tr w:rsidR="004414F7" w:rsidRPr="004414F7" w:rsidTr="00861BE2">
        <w:trPr>
          <w:trHeight w:val="617"/>
          <w:jc w:val="center"/>
        </w:trPr>
        <w:tc>
          <w:tcPr>
            <w:tcW w:w="2127" w:type="dxa"/>
            <w:shd w:val="clear" w:color="auto" w:fill="000000"/>
            <w:vAlign w:val="bottom"/>
          </w:tcPr>
          <w:p w:rsidR="004414F7" w:rsidRPr="004414F7" w:rsidRDefault="004414F7" w:rsidP="004414F7">
            <w:pPr>
              <w:spacing w:before="120" w:after="120" w:line="276" w:lineRule="auto"/>
              <w:rPr>
                <w:rFonts w:ascii="Arial" w:eastAsia="Times New Roman" w:hAnsi="Arial" w:cs="Arial"/>
                <w:b/>
                <w:sz w:val="24"/>
                <w:szCs w:val="24"/>
              </w:rPr>
            </w:pPr>
            <w:r w:rsidRPr="004414F7">
              <w:rPr>
                <w:rFonts w:ascii="Arial" w:eastAsia="Times New Roman" w:hAnsi="Arial" w:cs="Arial"/>
                <w:b/>
                <w:sz w:val="24"/>
                <w:szCs w:val="24"/>
              </w:rPr>
              <w:t>REPORT</w:t>
            </w:r>
          </w:p>
        </w:tc>
        <w:tc>
          <w:tcPr>
            <w:tcW w:w="7798" w:type="dxa"/>
            <w:gridSpan w:val="4"/>
            <w:tcBorders>
              <w:left w:val="nil"/>
              <w:bottom w:val="single" w:sz="4" w:space="0" w:color="auto"/>
            </w:tcBorders>
            <w:vAlign w:val="center"/>
          </w:tcPr>
          <w:p w:rsidR="004414F7" w:rsidRPr="004414F7" w:rsidRDefault="004414F7" w:rsidP="004414F7">
            <w:pPr>
              <w:rPr>
                <w:rFonts w:ascii="Arial" w:eastAsia="Times New Roman" w:hAnsi="Arial" w:cs="Arial"/>
                <w:b/>
                <w:noProof/>
                <w:sz w:val="24"/>
                <w:szCs w:val="24"/>
              </w:rPr>
            </w:pPr>
            <w:r w:rsidRPr="004414F7">
              <w:rPr>
                <w:rFonts w:ascii="Arial" w:hAnsi="Arial" w:cs="Arial"/>
                <w:b/>
                <w:sz w:val="24"/>
                <w:szCs w:val="24"/>
              </w:rPr>
              <w:t xml:space="preserve">Housing Board for Cambridgeshire, Peterborough &amp; West Suffolk </w:t>
            </w:r>
          </w:p>
        </w:tc>
      </w:tr>
      <w:tr w:rsidR="004414F7" w:rsidRPr="004414F7" w:rsidTr="00861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2127" w:type="dxa"/>
            <w:tcBorders>
              <w:bottom w:val="single" w:sz="4" w:space="0" w:color="auto"/>
              <w:right w:val="single" w:sz="4" w:space="0" w:color="auto"/>
            </w:tcBorders>
            <w:shd w:val="clear" w:color="auto" w:fill="FFFFFF"/>
            <w:vAlign w:val="center"/>
          </w:tcPr>
          <w:p w:rsidR="004414F7" w:rsidRPr="004414F7" w:rsidRDefault="004414F7" w:rsidP="004414F7">
            <w:pPr>
              <w:spacing w:before="120" w:after="120" w:line="240" w:lineRule="auto"/>
              <w:rPr>
                <w:rFonts w:ascii="Arial" w:eastAsia="Times New Roman" w:hAnsi="Arial" w:cs="Arial"/>
                <w:bCs/>
                <w:sz w:val="24"/>
                <w:szCs w:val="24"/>
              </w:rPr>
            </w:pPr>
            <w:r w:rsidRPr="004414F7">
              <w:rPr>
                <w:rFonts w:ascii="Arial" w:eastAsia="Times New Roman" w:hAnsi="Arial" w:cs="Arial"/>
                <w:b/>
                <w:bCs/>
                <w:sz w:val="24"/>
                <w:szCs w:val="24"/>
              </w:rPr>
              <w:t xml:space="preserve">Meeting Date:   </w:t>
            </w:r>
          </w:p>
        </w:tc>
        <w:sdt>
          <w:sdtPr>
            <w:rPr>
              <w:rFonts w:ascii="Arial" w:eastAsia="Times New Roman" w:hAnsi="Arial" w:cs="Arial"/>
              <w:sz w:val="24"/>
              <w:szCs w:val="28"/>
            </w:rPr>
            <w:alias w:val="Publish Date"/>
            <w:tag w:val=""/>
            <w:id w:val="-1031490943"/>
            <w:placeholder>
              <w:docPart w:val="8F4A20A562FA46D1B470DA06DC71870A"/>
            </w:placeholder>
            <w:dataBinding w:prefixMappings="xmlns:ns0='http://schemas.microsoft.com/office/2006/coverPageProps' " w:xpath="/ns0:CoverPageProperties[1]/ns0:PublishDate[1]" w:storeItemID="{55AF091B-3C7A-41E3-B477-F2FDAA23CFDA}"/>
            <w:date w:fullDate="2021-06-04T00:00:00Z">
              <w:dateFormat w:val="dd MMMM yyyy"/>
              <w:lid w:val="en-GB"/>
              <w:storeMappedDataAs w:val="dateTime"/>
              <w:calendar w:val="gregorian"/>
            </w:date>
          </w:sdtPr>
          <w:sdtEndPr/>
          <w:sdtContent>
            <w:tc>
              <w:tcPr>
                <w:tcW w:w="49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14F7" w:rsidRPr="004414F7" w:rsidRDefault="004414F7" w:rsidP="004414F7">
                <w:pPr>
                  <w:spacing w:before="120" w:after="120" w:line="240" w:lineRule="auto"/>
                  <w:rPr>
                    <w:rFonts w:ascii="Arial" w:eastAsia="Times New Roman" w:hAnsi="Arial" w:cs="Arial"/>
                    <w:bCs/>
                    <w:sz w:val="24"/>
                    <w:szCs w:val="24"/>
                  </w:rPr>
                </w:pPr>
                <w:r>
                  <w:rPr>
                    <w:rFonts w:ascii="Arial" w:eastAsia="Times New Roman" w:hAnsi="Arial" w:cs="Arial"/>
                    <w:sz w:val="24"/>
                    <w:szCs w:val="28"/>
                  </w:rPr>
                  <w:t>04 June 2021</w:t>
                </w:r>
              </w:p>
            </w:tc>
          </w:sdtContent>
        </w:sdt>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4414F7" w:rsidRPr="004414F7" w:rsidRDefault="004414F7" w:rsidP="004414F7">
            <w:pPr>
              <w:spacing w:before="120" w:after="120" w:line="240" w:lineRule="auto"/>
              <w:rPr>
                <w:rFonts w:ascii="Arial" w:eastAsia="Times New Roman" w:hAnsi="Arial" w:cs="Arial"/>
                <w:b/>
                <w:bCs/>
                <w:sz w:val="24"/>
                <w:szCs w:val="24"/>
              </w:rPr>
            </w:pPr>
            <w:r w:rsidRPr="004414F7">
              <w:rPr>
                <w:rFonts w:ascii="Arial" w:eastAsia="Times New Roman" w:hAnsi="Arial" w:cs="Arial"/>
                <w:b/>
                <w:bCs/>
                <w:sz w:val="24"/>
                <w:szCs w:val="24"/>
              </w:rPr>
              <w:t xml:space="preserve">Item No: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414F7" w:rsidRPr="004414F7" w:rsidRDefault="004414F7" w:rsidP="004414F7">
            <w:pPr>
              <w:spacing w:before="120" w:after="120" w:line="240" w:lineRule="auto"/>
              <w:rPr>
                <w:rFonts w:ascii="Arial" w:eastAsia="Times New Roman" w:hAnsi="Arial" w:cs="Arial"/>
                <w:bCs/>
                <w:sz w:val="24"/>
                <w:szCs w:val="24"/>
              </w:rPr>
            </w:pPr>
          </w:p>
        </w:tc>
      </w:tr>
      <w:tr w:rsidR="004414F7" w:rsidRPr="004414F7" w:rsidTr="00861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2127" w:type="dxa"/>
            <w:vAlign w:val="center"/>
          </w:tcPr>
          <w:p w:rsidR="004414F7" w:rsidRPr="004414F7" w:rsidRDefault="004414F7" w:rsidP="004414F7">
            <w:pPr>
              <w:spacing w:before="120" w:after="120" w:line="240" w:lineRule="auto"/>
              <w:rPr>
                <w:rFonts w:ascii="Arial" w:eastAsia="Times New Roman" w:hAnsi="Arial" w:cs="Arial"/>
                <w:b/>
                <w:bCs/>
                <w:sz w:val="24"/>
                <w:szCs w:val="24"/>
              </w:rPr>
            </w:pPr>
            <w:r w:rsidRPr="004414F7">
              <w:rPr>
                <w:rFonts w:ascii="Arial" w:eastAsia="Times New Roman" w:hAnsi="Arial" w:cs="Arial"/>
                <w:b/>
                <w:bCs/>
                <w:sz w:val="24"/>
                <w:szCs w:val="24"/>
              </w:rPr>
              <w:t>Report Title:</w:t>
            </w:r>
          </w:p>
        </w:tc>
        <w:sdt>
          <w:sdtPr>
            <w:rPr>
              <w:rFonts w:ascii="Arial" w:eastAsia="Times New Roman" w:hAnsi="Arial" w:cs="Arial"/>
              <w:sz w:val="24"/>
              <w:szCs w:val="24"/>
            </w:rPr>
            <w:alias w:val="Title"/>
            <w:tag w:val=""/>
            <w:id w:val="1268424605"/>
            <w:placeholder>
              <w:docPart w:val="9EFC8B049BE24BEAB5C736CE835EC563"/>
            </w:placeholder>
            <w:dataBinding w:prefixMappings="xmlns:ns0='http://purl.org/dc/elements/1.1/' xmlns:ns1='http://schemas.openxmlformats.org/package/2006/metadata/core-properties' " w:xpath="/ns1:coreProperties[1]/ns0:title[1]" w:storeItemID="{6C3C8BC8-F283-45AE-878A-BAB7291924A1}"/>
            <w:text/>
          </w:sdtPr>
          <w:sdtEndPr/>
          <w:sdtContent>
            <w:tc>
              <w:tcPr>
                <w:tcW w:w="7798" w:type="dxa"/>
                <w:gridSpan w:val="4"/>
                <w:tcBorders>
                  <w:top w:val="single" w:sz="4" w:space="0" w:color="auto"/>
                </w:tcBorders>
                <w:vAlign w:val="center"/>
              </w:tcPr>
              <w:p w:rsidR="004414F7" w:rsidRPr="004414F7" w:rsidRDefault="004414F7" w:rsidP="004414F7">
                <w:pPr>
                  <w:spacing w:before="120" w:after="120" w:line="240" w:lineRule="auto"/>
                  <w:rPr>
                    <w:rFonts w:ascii="Arial" w:eastAsia="Times New Roman" w:hAnsi="Arial" w:cs="Arial"/>
                    <w:sz w:val="24"/>
                    <w:szCs w:val="24"/>
                  </w:rPr>
                </w:pPr>
                <w:r>
                  <w:rPr>
                    <w:rFonts w:ascii="Arial" w:eastAsia="Times New Roman" w:hAnsi="Arial" w:cs="Arial"/>
                    <w:sz w:val="24"/>
                    <w:szCs w:val="24"/>
                  </w:rPr>
                  <w:t>Hardship Metrics Benchmarking</w:t>
                </w:r>
              </w:p>
            </w:tc>
          </w:sdtContent>
        </w:sdt>
      </w:tr>
      <w:tr w:rsidR="004414F7" w:rsidRPr="004414F7" w:rsidTr="00861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2127" w:type="dxa"/>
            <w:vAlign w:val="center"/>
          </w:tcPr>
          <w:p w:rsidR="004414F7" w:rsidRPr="004414F7" w:rsidRDefault="004414F7" w:rsidP="004414F7">
            <w:pPr>
              <w:spacing w:before="120" w:after="120" w:line="240" w:lineRule="auto"/>
              <w:rPr>
                <w:rFonts w:ascii="Arial" w:eastAsia="Times New Roman" w:hAnsi="Arial" w:cs="Arial"/>
                <w:b/>
                <w:bCs/>
                <w:sz w:val="24"/>
                <w:szCs w:val="24"/>
              </w:rPr>
            </w:pPr>
            <w:r w:rsidRPr="004414F7">
              <w:rPr>
                <w:rFonts w:ascii="Arial" w:eastAsia="Times New Roman" w:hAnsi="Arial" w:cs="Arial"/>
                <w:b/>
                <w:bCs/>
                <w:sz w:val="24"/>
                <w:szCs w:val="24"/>
              </w:rPr>
              <w:t>Author(s):</w:t>
            </w:r>
          </w:p>
        </w:tc>
        <w:tc>
          <w:tcPr>
            <w:tcW w:w="7798" w:type="dxa"/>
            <w:gridSpan w:val="4"/>
            <w:vAlign w:val="center"/>
          </w:tcPr>
          <w:p w:rsidR="004414F7" w:rsidRPr="004414F7" w:rsidRDefault="004414F7" w:rsidP="004414F7">
            <w:pPr>
              <w:spacing w:before="120" w:after="120" w:line="240" w:lineRule="auto"/>
              <w:rPr>
                <w:rFonts w:ascii="Arial" w:eastAsia="Times New Roman" w:hAnsi="Arial" w:cs="Arial"/>
                <w:sz w:val="24"/>
                <w:szCs w:val="24"/>
              </w:rPr>
            </w:pPr>
            <w:r>
              <w:rPr>
                <w:rFonts w:ascii="Arial" w:eastAsia="Times New Roman" w:hAnsi="Arial" w:cs="Arial"/>
                <w:sz w:val="24"/>
                <w:szCs w:val="24"/>
              </w:rPr>
              <w:t>Damian Roche</w:t>
            </w:r>
          </w:p>
        </w:tc>
      </w:tr>
      <w:tr w:rsidR="004414F7" w:rsidRPr="004414F7" w:rsidTr="00861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9925" w:type="dxa"/>
            <w:gridSpan w:val="5"/>
            <w:vAlign w:val="center"/>
          </w:tcPr>
          <w:p w:rsidR="004414F7" w:rsidRPr="004414F7" w:rsidRDefault="004414F7" w:rsidP="004414F7">
            <w:pPr>
              <w:spacing w:before="120" w:after="120" w:line="240" w:lineRule="auto"/>
              <w:rPr>
                <w:rFonts w:ascii="Arial" w:eastAsia="Times New Roman" w:hAnsi="Arial" w:cs="Arial"/>
                <w:sz w:val="24"/>
                <w:szCs w:val="24"/>
              </w:rPr>
            </w:pPr>
            <w:r w:rsidRPr="004414F7">
              <w:rPr>
                <w:rFonts w:ascii="Arial" w:eastAsia="Times New Roman" w:hAnsi="Arial" w:cs="Arial"/>
                <w:b/>
                <w:bCs/>
                <w:sz w:val="24"/>
                <w:szCs w:val="24"/>
              </w:rPr>
              <w:t xml:space="preserve">For Decision </w:t>
            </w:r>
            <w:sdt>
              <w:sdtPr>
                <w:rPr>
                  <w:rFonts w:ascii="Arial" w:eastAsia="Times New Roman" w:hAnsi="Arial" w:cs="Arial"/>
                  <w:b/>
                  <w:bCs/>
                  <w:sz w:val="24"/>
                  <w:szCs w:val="24"/>
                </w:rPr>
                <w:id w:val="1286463812"/>
                <w14:checkbox>
                  <w14:checked w14:val="1"/>
                  <w14:checkedState w14:val="2612" w14:font="MS Gothic"/>
                  <w14:uncheckedState w14:val="2610" w14:font="MS Gothic"/>
                </w14:checkbox>
              </w:sdtPr>
              <w:sdtEndPr/>
              <w:sdtContent>
                <w:r w:rsidR="00E426FE">
                  <w:rPr>
                    <w:rFonts w:ascii="MS Gothic" w:eastAsia="MS Gothic" w:hAnsi="MS Gothic" w:cs="Arial" w:hint="eastAsia"/>
                    <w:b/>
                    <w:bCs/>
                    <w:sz w:val="24"/>
                    <w:szCs w:val="24"/>
                  </w:rPr>
                  <w:t>☒</w:t>
                </w:r>
              </w:sdtContent>
            </w:sdt>
            <w:r w:rsidRPr="004414F7">
              <w:rPr>
                <w:rFonts w:ascii="Arial" w:eastAsia="Times New Roman" w:hAnsi="Arial" w:cs="Arial"/>
                <w:b/>
                <w:bCs/>
                <w:sz w:val="24"/>
                <w:szCs w:val="24"/>
              </w:rPr>
              <w:t xml:space="preserve">  Debate </w:t>
            </w:r>
            <w:sdt>
              <w:sdtPr>
                <w:rPr>
                  <w:rFonts w:ascii="Arial" w:eastAsia="Times New Roman" w:hAnsi="Arial" w:cs="Arial"/>
                  <w:b/>
                  <w:bCs/>
                  <w:sz w:val="24"/>
                  <w:szCs w:val="24"/>
                </w:rPr>
                <w:id w:val="1424147524"/>
                <w14:checkbox>
                  <w14:checked w14:val="1"/>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sidRPr="004414F7">
              <w:rPr>
                <w:rFonts w:ascii="Arial" w:eastAsia="Times New Roman" w:hAnsi="Arial" w:cs="Arial"/>
                <w:b/>
                <w:bCs/>
                <w:sz w:val="24"/>
                <w:szCs w:val="24"/>
              </w:rPr>
              <w:t xml:space="preserve">   Information </w:t>
            </w:r>
            <w:sdt>
              <w:sdtPr>
                <w:rPr>
                  <w:rFonts w:ascii="Arial" w:eastAsia="Times New Roman" w:hAnsi="Arial" w:cs="Arial"/>
                  <w:b/>
                  <w:bCs/>
                  <w:sz w:val="24"/>
                  <w:szCs w:val="24"/>
                </w:rPr>
                <w:id w:val="-996798590"/>
                <w14:checkbox>
                  <w14:checked w14:val="0"/>
                  <w14:checkedState w14:val="2612" w14:font="MS Gothic"/>
                  <w14:uncheckedState w14:val="2610" w14:font="MS Gothic"/>
                </w14:checkbox>
              </w:sdtPr>
              <w:sdtEndPr/>
              <w:sdtContent>
                <w:r w:rsidRPr="004414F7">
                  <w:rPr>
                    <w:rFonts w:ascii="Segoe UI Symbol" w:eastAsia="Times New Roman" w:hAnsi="Segoe UI Symbol" w:cs="Segoe UI Symbol"/>
                    <w:b/>
                    <w:bCs/>
                    <w:sz w:val="24"/>
                    <w:szCs w:val="24"/>
                  </w:rPr>
                  <w:t>☐</w:t>
                </w:r>
              </w:sdtContent>
            </w:sdt>
          </w:p>
        </w:tc>
      </w:tr>
      <w:tr w:rsidR="004414F7" w:rsidRPr="004414F7" w:rsidTr="00861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9925" w:type="dxa"/>
            <w:gridSpan w:val="5"/>
            <w:vAlign w:val="center"/>
          </w:tcPr>
          <w:p w:rsidR="004414F7" w:rsidRPr="004414F7" w:rsidRDefault="004414F7" w:rsidP="004414F7">
            <w:pPr>
              <w:spacing w:before="120" w:after="120" w:line="240" w:lineRule="auto"/>
              <w:rPr>
                <w:rFonts w:ascii="Arial" w:eastAsia="Times New Roman" w:hAnsi="Arial" w:cs="Arial"/>
                <w:b/>
                <w:bCs/>
                <w:sz w:val="24"/>
                <w:szCs w:val="24"/>
              </w:rPr>
            </w:pPr>
            <w:r w:rsidRPr="004414F7">
              <w:rPr>
                <w:rFonts w:ascii="Arial" w:eastAsia="Times New Roman" w:hAnsi="Arial" w:cs="Arial"/>
                <w:b/>
                <w:bCs/>
                <w:color w:val="FF0000"/>
                <w:sz w:val="24"/>
                <w:szCs w:val="24"/>
              </w:rPr>
              <w:t xml:space="preserve">Does this report contain market sensitive information YES </w:t>
            </w:r>
            <w:sdt>
              <w:sdtPr>
                <w:rPr>
                  <w:rFonts w:ascii="Arial" w:eastAsia="Times New Roman" w:hAnsi="Arial" w:cs="Arial"/>
                  <w:b/>
                  <w:bCs/>
                  <w:color w:val="FF0000"/>
                  <w:sz w:val="24"/>
                  <w:szCs w:val="24"/>
                </w:rPr>
                <w:id w:val="128606463"/>
                <w14:checkbox>
                  <w14:checked w14:val="0"/>
                  <w14:checkedState w14:val="2612" w14:font="MS Gothic"/>
                  <w14:uncheckedState w14:val="2610" w14:font="MS Gothic"/>
                </w14:checkbox>
              </w:sdtPr>
              <w:sdtEndPr/>
              <w:sdtContent>
                <w:r w:rsidRPr="004414F7">
                  <w:rPr>
                    <w:rFonts w:ascii="Segoe UI Symbol" w:eastAsia="Times New Roman" w:hAnsi="Segoe UI Symbol" w:cs="Segoe UI Symbol"/>
                    <w:b/>
                    <w:bCs/>
                    <w:color w:val="FF0000"/>
                    <w:sz w:val="24"/>
                    <w:szCs w:val="24"/>
                  </w:rPr>
                  <w:t>☐</w:t>
                </w:r>
              </w:sdtContent>
            </w:sdt>
            <w:r w:rsidRPr="004414F7">
              <w:rPr>
                <w:rFonts w:ascii="Arial" w:eastAsia="Times New Roman" w:hAnsi="Arial" w:cs="Arial"/>
                <w:b/>
                <w:bCs/>
                <w:color w:val="FF0000"/>
                <w:sz w:val="24"/>
                <w:szCs w:val="24"/>
              </w:rPr>
              <w:t xml:space="preserve">  NO </w:t>
            </w:r>
            <w:sdt>
              <w:sdtPr>
                <w:rPr>
                  <w:rFonts w:ascii="Arial" w:eastAsia="Times New Roman" w:hAnsi="Arial" w:cs="Arial"/>
                  <w:b/>
                  <w:bCs/>
                  <w:color w:val="FF0000"/>
                  <w:sz w:val="24"/>
                  <w:szCs w:val="24"/>
                </w:rPr>
                <w:tag w:val="NO"/>
                <w:id w:val="991449280"/>
                <w14:checkbox>
                  <w14:checked w14:val="1"/>
                  <w14:checkedState w14:val="2612" w14:font="MS Gothic"/>
                  <w14:uncheckedState w14:val="2610" w14:font="MS Gothic"/>
                </w14:checkbox>
              </w:sdtPr>
              <w:sdtEndPr/>
              <w:sdtContent>
                <w:r>
                  <w:rPr>
                    <w:rFonts w:ascii="MS Gothic" w:eastAsia="MS Gothic" w:hAnsi="MS Gothic" w:cs="Arial" w:hint="eastAsia"/>
                    <w:b/>
                    <w:bCs/>
                    <w:color w:val="FF0000"/>
                    <w:sz w:val="24"/>
                    <w:szCs w:val="24"/>
                  </w:rPr>
                  <w:t>☒</w:t>
                </w:r>
              </w:sdtContent>
            </w:sdt>
          </w:p>
        </w:tc>
      </w:tr>
      <w:tr w:rsidR="004414F7" w:rsidRPr="004414F7" w:rsidTr="00861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5"/>
          <w:jc w:val="center"/>
        </w:trPr>
        <w:tc>
          <w:tcPr>
            <w:tcW w:w="9925" w:type="dxa"/>
            <w:gridSpan w:val="5"/>
          </w:tcPr>
          <w:p w:rsidR="004414F7" w:rsidRPr="004414F7" w:rsidRDefault="004414F7" w:rsidP="004414F7">
            <w:pPr>
              <w:spacing w:before="120" w:after="120" w:line="240" w:lineRule="auto"/>
              <w:rPr>
                <w:rFonts w:ascii="Arial" w:eastAsia="Times New Roman" w:hAnsi="Arial" w:cs="Arial"/>
                <w:bCs/>
                <w:sz w:val="24"/>
                <w:szCs w:val="24"/>
              </w:rPr>
            </w:pPr>
            <w:r w:rsidRPr="004414F7">
              <w:rPr>
                <w:rFonts w:ascii="Arial" w:eastAsia="Times New Roman" w:hAnsi="Arial" w:cs="Arial"/>
                <w:b/>
                <w:bCs/>
                <w:sz w:val="24"/>
                <w:szCs w:val="24"/>
              </w:rPr>
              <w:t>Executive Summary:</w:t>
            </w:r>
          </w:p>
          <w:p w:rsidR="004414F7" w:rsidRDefault="00E71B23" w:rsidP="004414F7">
            <w:pPr>
              <w:spacing w:after="0" w:line="240" w:lineRule="auto"/>
              <w:rPr>
                <w:rFonts w:ascii="Arial" w:hAnsi="Arial" w:cs="Arial"/>
                <w:sz w:val="24"/>
                <w:szCs w:val="24"/>
              </w:rPr>
            </w:pPr>
            <w:r>
              <w:rPr>
                <w:rFonts w:ascii="Arial" w:eastAsia="Times New Roman" w:hAnsi="Arial" w:cs="Arial"/>
                <w:kern w:val="24"/>
                <w:sz w:val="24"/>
                <w:szCs w:val="24"/>
              </w:rPr>
              <w:t xml:space="preserve">Housing Board commissioned </w:t>
            </w:r>
            <w:r w:rsidR="009C2759">
              <w:rPr>
                <w:rFonts w:ascii="Arial" w:eastAsia="Times New Roman" w:hAnsi="Arial" w:cs="Arial"/>
                <w:kern w:val="24"/>
                <w:sz w:val="24"/>
                <w:szCs w:val="24"/>
              </w:rPr>
              <w:t xml:space="preserve">a </w:t>
            </w:r>
            <w:r w:rsidRPr="00A906B5">
              <w:rPr>
                <w:rFonts w:ascii="Arial" w:hAnsi="Arial" w:cs="Arial"/>
                <w:sz w:val="24"/>
                <w:szCs w:val="24"/>
              </w:rPr>
              <w:t xml:space="preserve">benchmarking exercise around hardship metrics among </w:t>
            </w:r>
            <w:r w:rsidR="009C2759">
              <w:rPr>
                <w:rFonts w:ascii="Arial" w:hAnsi="Arial" w:cs="Arial"/>
                <w:sz w:val="24"/>
                <w:szCs w:val="24"/>
              </w:rPr>
              <w:t>registered provide</w:t>
            </w:r>
            <w:r w:rsidRPr="00A906B5">
              <w:rPr>
                <w:rFonts w:ascii="Arial" w:hAnsi="Arial" w:cs="Arial"/>
                <w:sz w:val="24"/>
                <w:szCs w:val="24"/>
              </w:rPr>
              <w:t xml:space="preserve">s and stock-holding authorities </w:t>
            </w:r>
            <w:r w:rsidR="009C2759">
              <w:rPr>
                <w:rFonts w:ascii="Arial" w:hAnsi="Arial" w:cs="Arial"/>
                <w:sz w:val="24"/>
                <w:szCs w:val="24"/>
              </w:rPr>
              <w:t>with the aim</w:t>
            </w:r>
            <w:r w:rsidRPr="00A906B5">
              <w:rPr>
                <w:rFonts w:ascii="Arial" w:hAnsi="Arial" w:cs="Arial"/>
                <w:sz w:val="24"/>
                <w:szCs w:val="24"/>
              </w:rPr>
              <w:t xml:space="preserve"> (when overlaid with other hardship metrics) </w:t>
            </w:r>
            <w:r w:rsidR="009C2759">
              <w:rPr>
                <w:rFonts w:ascii="Arial" w:hAnsi="Arial" w:cs="Arial"/>
                <w:sz w:val="24"/>
                <w:szCs w:val="24"/>
              </w:rPr>
              <w:t>of</w:t>
            </w:r>
            <w:r w:rsidRPr="00A906B5">
              <w:rPr>
                <w:rFonts w:ascii="Arial" w:hAnsi="Arial" w:cs="Arial"/>
                <w:sz w:val="24"/>
                <w:szCs w:val="24"/>
              </w:rPr>
              <w:t xml:space="preserve"> identifying changing financial pressure and stresses on households</w:t>
            </w:r>
            <w:r w:rsidR="009C2759">
              <w:rPr>
                <w:rFonts w:ascii="Arial" w:hAnsi="Arial" w:cs="Arial"/>
                <w:sz w:val="24"/>
                <w:szCs w:val="24"/>
              </w:rPr>
              <w:t xml:space="preserve">. </w:t>
            </w:r>
          </w:p>
          <w:p w:rsidR="009C2759" w:rsidRDefault="009C2759" w:rsidP="004414F7">
            <w:pPr>
              <w:spacing w:after="0" w:line="240" w:lineRule="auto"/>
              <w:rPr>
                <w:rFonts w:ascii="Arial" w:hAnsi="Arial" w:cs="Arial"/>
                <w:sz w:val="24"/>
                <w:szCs w:val="24"/>
              </w:rPr>
            </w:pPr>
          </w:p>
          <w:p w:rsidR="009C2759" w:rsidRDefault="009C2759" w:rsidP="004414F7">
            <w:pPr>
              <w:spacing w:after="0" w:line="240" w:lineRule="auto"/>
              <w:rPr>
                <w:rFonts w:ascii="Arial" w:hAnsi="Arial" w:cs="Arial"/>
                <w:sz w:val="24"/>
                <w:szCs w:val="24"/>
              </w:rPr>
            </w:pPr>
            <w:r>
              <w:rPr>
                <w:rFonts w:ascii="Arial" w:hAnsi="Arial" w:cs="Arial"/>
                <w:sz w:val="24"/>
                <w:szCs w:val="24"/>
              </w:rPr>
              <w:t xml:space="preserve">This report presents the first findings of that exercise and seems to show that there was not a significant variation (with one exception) in arrears levels by local authority area. There were, however, significant differences in average arrears levels between providers at local authority level. There is no clear theme as to the reasons for this. </w:t>
            </w:r>
          </w:p>
          <w:p w:rsidR="009C2759" w:rsidRDefault="009C2759" w:rsidP="004414F7">
            <w:pPr>
              <w:spacing w:after="0" w:line="240" w:lineRule="auto"/>
              <w:rPr>
                <w:rFonts w:ascii="Arial" w:hAnsi="Arial" w:cs="Arial"/>
                <w:sz w:val="24"/>
                <w:szCs w:val="24"/>
              </w:rPr>
            </w:pPr>
          </w:p>
          <w:p w:rsidR="00B5470C" w:rsidRDefault="009C2759" w:rsidP="004414F7">
            <w:pPr>
              <w:spacing w:after="0" w:line="240" w:lineRule="auto"/>
              <w:rPr>
                <w:rFonts w:ascii="Arial" w:hAnsi="Arial" w:cs="Arial"/>
                <w:sz w:val="24"/>
                <w:szCs w:val="24"/>
              </w:rPr>
            </w:pPr>
            <w:r>
              <w:rPr>
                <w:rFonts w:ascii="Arial" w:hAnsi="Arial" w:cs="Arial"/>
                <w:sz w:val="24"/>
                <w:szCs w:val="24"/>
              </w:rPr>
              <w:t xml:space="preserve">It is also clear that the majority of providers do not know the numbers of customers referred to professional money advice services, and therefore we cannot be certain that they are utilising such services sufficiently well. </w:t>
            </w:r>
          </w:p>
          <w:p w:rsidR="00B5470C" w:rsidRDefault="00B5470C" w:rsidP="004414F7">
            <w:pPr>
              <w:spacing w:after="0" w:line="240" w:lineRule="auto"/>
              <w:rPr>
                <w:rFonts w:ascii="Arial" w:hAnsi="Arial" w:cs="Arial"/>
                <w:sz w:val="24"/>
                <w:szCs w:val="24"/>
              </w:rPr>
            </w:pPr>
          </w:p>
          <w:p w:rsidR="009C2759" w:rsidRPr="004414F7" w:rsidRDefault="00B5470C" w:rsidP="004414F7">
            <w:pPr>
              <w:spacing w:after="0" w:line="240" w:lineRule="auto"/>
              <w:rPr>
                <w:rFonts w:ascii="Arial" w:eastAsia="Times New Roman" w:hAnsi="Arial" w:cs="Arial"/>
                <w:sz w:val="24"/>
                <w:szCs w:val="24"/>
              </w:rPr>
            </w:pPr>
            <w:r>
              <w:rPr>
                <w:rFonts w:ascii="Arial" w:hAnsi="Arial" w:cs="Arial"/>
                <w:sz w:val="24"/>
                <w:szCs w:val="24"/>
              </w:rPr>
              <w:t>The Board also commissioned a qualitative survey of providers to understand what measures had been taken to support customers financially affected by the pandemic, with the aim of sharing positive practice.</w:t>
            </w:r>
            <w:r w:rsidR="009C2759">
              <w:rPr>
                <w:rFonts w:ascii="Arial" w:hAnsi="Arial" w:cs="Arial"/>
                <w:sz w:val="24"/>
                <w:szCs w:val="24"/>
              </w:rPr>
              <w:t xml:space="preserve"> </w:t>
            </w:r>
          </w:p>
          <w:p w:rsidR="004414F7" w:rsidRPr="004414F7" w:rsidRDefault="004414F7" w:rsidP="004414F7">
            <w:pPr>
              <w:spacing w:after="0" w:line="240" w:lineRule="auto"/>
              <w:rPr>
                <w:rFonts w:ascii="Arial" w:eastAsia="Times New Roman" w:hAnsi="Arial" w:cs="Arial"/>
                <w:b/>
                <w:sz w:val="24"/>
                <w:szCs w:val="24"/>
              </w:rPr>
            </w:pPr>
          </w:p>
        </w:tc>
      </w:tr>
      <w:tr w:rsidR="004414F7" w:rsidRPr="004414F7" w:rsidTr="00861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925" w:type="dxa"/>
            <w:gridSpan w:val="5"/>
          </w:tcPr>
          <w:p w:rsidR="004414F7" w:rsidRPr="004414F7" w:rsidRDefault="004414F7" w:rsidP="004414F7">
            <w:pPr>
              <w:spacing w:before="120" w:after="120" w:line="240" w:lineRule="auto"/>
              <w:rPr>
                <w:rFonts w:ascii="Arial" w:eastAsia="Times New Roman" w:hAnsi="Arial" w:cs="Arial"/>
                <w:b/>
                <w:bCs/>
                <w:sz w:val="24"/>
                <w:szCs w:val="24"/>
              </w:rPr>
            </w:pPr>
            <w:r w:rsidRPr="004414F7">
              <w:rPr>
                <w:rFonts w:ascii="Arial" w:eastAsia="Times New Roman" w:hAnsi="Arial" w:cs="Arial"/>
                <w:b/>
                <w:bCs/>
                <w:sz w:val="24"/>
                <w:szCs w:val="24"/>
              </w:rPr>
              <w:t>Recommendations:</w:t>
            </w:r>
            <w:r w:rsidR="009C2759">
              <w:rPr>
                <w:rFonts w:ascii="Arial" w:eastAsia="Times New Roman" w:hAnsi="Arial" w:cs="Arial"/>
                <w:b/>
                <w:bCs/>
                <w:sz w:val="24"/>
                <w:szCs w:val="24"/>
              </w:rPr>
              <w:t xml:space="preserve"> </w:t>
            </w:r>
            <w:r w:rsidR="009C2759" w:rsidRPr="009C2759">
              <w:rPr>
                <w:rFonts w:ascii="Arial" w:eastAsia="Times New Roman" w:hAnsi="Arial" w:cs="Arial"/>
                <w:bCs/>
                <w:sz w:val="24"/>
                <w:szCs w:val="24"/>
              </w:rPr>
              <w:t>A number of recommendations are set out in section 3.4 below.</w:t>
            </w:r>
          </w:p>
          <w:p w:rsidR="004414F7" w:rsidRPr="004414F7" w:rsidRDefault="004414F7" w:rsidP="004414F7">
            <w:pPr>
              <w:spacing w:before="120" w:after="120" w:line="240" w:lineRule="auto"/>
              <w:rPr>
                <w:rFonts w:ascii="Arial" w:eastAsia="Times New Roman" w:hAnsi="Arial" w:cs="Arial"/>
                <w:sz w:val="24"/>
                <w:szCs w:val="24"/>
              </w:rPr>
            </w:pPr>
          </w:p>
          <w:p w:rsidR="004414F7" w:rsidRPr="004414F7" w:rsidRDefault="004414F7" w:rsidP="004414F7">
            <w:pPr>
              <w:spacing w:after="0" w:line="240" w:lineRule="auto"/>
              <w:rPr>
                <w:rFonts w:ascii="Arial" w:eastAsia="Times New Roman" w:hAnsi="Arial" w:cs="Arial"/>
                <w:sz w:val="24"/>
                <w:szCs w:val="24"/>
              </w:rPr>
            </w:pPr>
          </w:p>
        </w:tc>
      </w:tr>
      <w:tr w:rsidR="004414F7" w:rsidRPr="004414F7" w:rsidTr="00861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1"/>
          <w:jc w:val="center"/>
        </w:trPr>
        <w:tc>
          <w:tcPr>
            <w:tcW w:w="3227" w:type="dxa"/>
            <w:gridSpan w:val="2"/>
          </w:tcPr>
          <w:p w:rsidR="004414F7" w:rsidRPr="004414F7" w:rsidRDefault="009C2759" w:rsidP="004414F7">
            <w:pPr>
              <w:spacing w:before="120" w:after="120" w:line="276" w:lineRule="auto"/>
              <w:rPr>
                <w:rFonts w:ascii="Arial" w:eastAsia="Times New Roman" w:hAnsi="Arial" w:cs="Arial"/>
                <w:b/>
                <w:bCs/>
                <w:sz w:val="24"/>
                <w:szCs w:val="24"/>
              </w:rPr>
            </w:pPr>
            <w:r>
              <w:rPr>
                <w:rFonts w:ascii="Arial" w:eastAsia="Times New Roman" w:hAnsi="Arial" w:cs="Arial"/>
                <w:b/>
                <w:bCs/>
                <w:sz w:val="24"/>
                <w:szCs w:val="24"/>
              </w:rPr>
              <w:t>Appendix</w:t>
            </w:r>
            <w:r w:rsidR="004414F7" w:rsidRPr="004414F7">
              <w:rPr>
                <w:rFonts w:ascii="Arial" w:eastAsia="Times New Roman" w:hAnsi="Arial" w:cs="Arial"/>
                <w:b/>
                <w:bCs/>
                <w:sz w:val="24"/>
                <w:szCs w:val="24"/>
              </w:rPr>
              <w:t xml:space="preserve"> Attached:</w:t>
            </w:r>
          </w:p>
        </w:tc>
        <w:tc>
          <w:tcPr>
            <w:tcW w:w="6698" w:type="dxa"/>
            <w:gridSpan w:val="3"/>
          </w:tcPr>
          <w:p w:rsidR="004414F7" w:rsidRDefault="009C2759" w:rsidP="004414F7">
            <w:pPr>
              <w:spacing w:before="120" w:after="120" w:line="240" w:lineRule="auto"/>
              <w:rPr>
                <w:rFonts w:ascii="Arial" w:eastAsia="Times New Roman" w:hAnsi="Arial" w:cs="Arial"/>
                <w:bCs/>
                <w:sz w:val="24"/>
                <w:szCs w:val="24"/>
              </w:rPr>
            </w:pPr>
            <w:r>
              <w:rPr>
                <w:rFonts w:ascii="Arial" w:eastAsia="Times New Roman" w:hAnsi="Arial" w:cs="Arial"/>
                <w:bCs/>
                <w:sz w:val="24"/>
                <w:szCs w:val="24"/>
              </w:rPr>
              <w:t>App. 1 – benchmarking data</w:t>
            </w:r>
            <w:r w:rsidR="00E426FE">
              <w:rPr>
                <w:rFonts w:ascii="Arial" w:eastAsia="Times New Roman" w:hAnsi="Arial" w:cs="Arial"/>
                <w:bCs/>
                <w:sz w:val="24"/>
                <w:szCs w:val="24"/>
              </w:rPr>
              <w:t xml:space="preserve"> (see separate spreadsheet)</w:t>
            </w:r>
          </w:p>
          <w:p w:rsidR="00B5470C" w:rsidRPr="004414F7" w:rsidRDefault="00B5470C" w:rsidP="004414F7">
            <w:pPr>
              <w:spacing w:before="120" w:after="120" w:line="240" w:lineRule="auto"/>
              <w:rPr>
                <w:rFonts w:ascii="Arial" w:eastAsia="Times New Roman" w:hAnsi="Arial" w:cs="Arial"/>
                <w:bCs/>
                <w:sz w:val="24"/>
                <w:szCs w:val="24"/>
              </w:rPr>
            </w:pPr>
            <w:r>
              <w:rPr>
                <w:rFonts w:ascii="Arial" w:eastAsia="Times New Roman" w:hAnsi="Arial" w:cs="Arial"/>
                <w:bCs/>
                <w:sz w:val="24"/>
                <w:szCs w:val="24"/>
              </w:rPr>
              <w:t xml:space="preserve">App. 2 – qualitative survey feedback </w:t>
            </w:r>
          </w:p>
        </w:tc>
      </w:tr>
    </w:tbl>
    <w:p w:rsidR="004414F7" w:rsidRPr="004414F7" w:rsidRDefault="004414F7" w:rsidP="004414F7">
      <w:pPr>
        <w:spacing w:before="120" w:after="120" w:line="276" w:lineRule="auto"/>
        <w:rPr>
          <w:rFonts w:ascii="Arial" w:eastAsia="Times New Roman" w:hAnsi="Arial" w:cs="Arial"/>
          <w:sz w:val="24"/>
          <w:szCs w:val="24"/>
        </w:rPr>
      </w:pPr>
      <w:r w:rsidRPr="004414F7">
        <w:rPr>
          <w:rFonts w:ascii="Arial" w:eastAsia="Times New Roman" w:hAnsi="Arial" w:cs="Arial"/>
          <w:sz w:val="24"/>
          <w:szCs w:val="24"/>
        </w:rPr>
        <w:br w:type="page"/>
      </w:r>
    </w:p>
    <w:p w:rsidR="004414F7" w:rsidRDefault="004414F7" w:rsidP="00862798">
      <w:pPr>
        <w:pStyle w:val="ListParagraph"/>
        <w:numPr>
          <w:ilvl w:val="0"/>
          <w:numId w:val="1"/>
        </w:numPr>
        <w:spacing w:before="240" w:after="120" w:line="240" w:lineRule="auto"/>
        <w:rPr>
          <w:rFonts w:ascii="Arial" w:eastAsia="Times New Roman" w:hAnsi="Arial" w:cs="Arial"/>
          <w:b/>
          <w:caps/>
          <w:kern w:val="24"/>
          <w:sz w:val="24"/>
          <w:szCs w:val="24"/>
        </w:rPr>
      </w:pPr>
      <w:r w:rsidRPr="00862798">
        <w:rPr>
          <w:rFonts w:ascii="Arial" w:eastAsia="Times New Roman" w:hAnsi="Arial" w:cs="Arial"/>
          <w:b/>
          <w:caps/>
          <w:kern w:val="24"/>
          <w:sz w:val="24"/>
          <w:szCs w:val="24"/>
        </w:rPr>
        <w:lastRenderedPageBreak/>
        <w:t>BACKGROUND</w:t>
      </w:r>
    </w:p>
    <w:p w:rsidR="00862798" w:rsidRDefault="00862798" w:rsidP="00862798">
      <w:pPr>
        <w:pStyle w:val="ListParagraph"/>
        <w:spacing w:before="240" w:after="120" w:line="240" w:lineRule="auto"/>
        <w:ind w:left="235"/>
        <w:rPr>
          <w:rFonts w:ascii="Arial" w:eastAsia="Times New Roman" w:hAnsi="Arial" w:cs="Arial"/>
          <w:b/>
          <w:caps/>
          <w:kern w:val="24"/>
          <w:sz w:val="24"/>
          <w:szCs w:val="24"/>
        </w:rPr>
      </w:pPr>
    </w:p>
    <w:p w:rsidR="00A906B5" w:rsidRPr="00A906B5" w:rsidRDefault="00A906B5" w:rsidP="00A906B5">
      <w:pPr>
        <w:pStyle w:val="ListParagraph"/>
        <w:numPr>
          <w:ilvl w:val="1"/>
          <w:numId w:val="1"/>
        </w:numPr>
        <w:spacing w:before="240" w:after="120" w:line="240" w:lineRule="auto"/>
        <w:rPr>
          <w:rFonts w:ascii="Arial" w:eastAsia="Times New Roman" w:hAnsi="Arial" w:cs="Arial"/>
          <w:b/>
          <w:caps/>
          <w:kern w:val="24"/>
          <w:sz w:val="24"/>
          <w:szCs w:val="24"/>
        </w:rPr>
      </w:pPr>
      <w:r w:rsidRPr="00A906B5">
        <w:rPr>
          <w:rFonts w:ascii="Arial" w:eastAsia="Times New Roman" w:hAnsi="Arial" w:cs="Arial"/>
          <w:kern w:val="24"/>
          <w:sz w:val="24"/>
          <w:szCs w:val="24"/>
        </w:rPr>
        <w:t>The Housing Board</w:t>
      </w:r>
      <w:r>
        <w:rPr>
          <w:rFonts w:ascii="Arial" w:eastAsia="Times New Roman" w:hAnsi="Arial" w:cs="Arial"/>
          <w:kern w:val="24"/>
          <w:sz w:val="24"/>
          <w:szCs w:val="24"/>
        </w:rPr>
        <w:t xml:space="preserve"> agreed to commission a piece of work to seek to understand the financial impact of the pandemic, and related lockdown restrictions, on the rental customers of the stock-holding local authorities (LAs) and registered providers (RPs), working within the Board area. This work was supported by Homes for Cambridgeshire and Peterborough (HCP) and the Financial Vulnerability Recovery group (FVRP).</w:t>
      </w:r>
    </w:p>
    <w:p w:rsidR="00A906B5" w:rsidRPr="00A906B5" w:rsidRDefault="00A906B5" w:rsidP="00A906B5">
      <w:pPr>
        <w:pStyle w:val="ListParagraph"/>
        <w:numPr>
          <w:ilvl w:val="1"/>
          <w:numId w:val="1"/>
        </w:numPr>
        <w:spacing w:before="240" w:after="120" w:line="240" w:lineRule="auto"/>
        <w:rPr>
          <w:rFonts w:ascii="Arial" w:eastAsia="Times New Roman" w:hAnsi="Arial" w:cs="Arial"/>
          <w:b/>
          <w:caps/>
          <w:kern w:val="24"/>
          <w:sz w:val="24"/>
          <w:szCs w:val="24"/>
        </w:rPr>
      </w:pPr>
      <w:r w:rsidRPr="00A906B5">
        <w:rPr>
          <w:rFonts w:ascii="Arial" w:eastAsia="Times New Roman" w:hAnsi="Arial" w:cs="Arial"/>
          <w:kern w:val="24"/>
          <w:sz w:val="24"/>
          <w:szCs w:val="24"/>
        </w:rPr>
        <w:t xml:space="preserve">The objective of the exercise was to </w:t>
      </w:r>
      <w:r w:rsidRPr="00A906B5">
        <w:rPr>
          <w:rFonts w:ascii="Arial" w:hAnsi="Arial" w:cs="Arial"/>
          <w:sz w:val="24"/>
          <w:szCs w:val="24"/>
        </w:rPr>
        <w:t>implement a benchmarking exercise around hardship metrics among RPs and stock-holding authorities that assists (when overlaid with other hardship metrics) in identifying changing financial pressure and stresses on households. By understanding what is happening locally, the metrics may help inform each organisation’s approach and provide strategic context for the local authorities</w:t>
      </w:r>
      <w:r w:rsidR="00115B74">
        <w:rPr>
          <w:rFonts w:ascii="Arial" w:hAnsi="Arial" w:cs="Arial"/>
          <w:sz w:val="24"/>
          <w:szCs w:val="24"/>
        </w:rPr>
        <w:t xml:space="preserve">. This piece of work was accompanied by a qualitative survey, </w:t>
      </w:r>
      <w:r w:rsidR="00B5470C">
        <w:rPr>
          <w:rFonts w:ascii="Arial" w:hAnsi="Arial" w:cs="Arial"/>
          <w:sz w:val="24"/>
          <w:szCs w:val="24"/>
        </w:rPr>
        <w:t xml:space="preserve">which sought to </w:t>
      </w:r>
      <w:r w:rsidR="00B832F7">
        <w:rPr>
          <w:rFonts w:ascii="Arial" w:hAnsi="Arial" w:cs="Arial"/>
          <w:sz w:val="24"/>
          <w:szCs w:val="24"/>
        </w:rPr>
        <w:t>identify positive practice in supporting customers, who were struggling financially.</w:t>
      </w:r>
    </w:p>
    <w:p w:rsidR="00A906B5" w:rsidRPr="00A906B5" w:rsidRDefault="00A906B5" w:rsidP="00A906B5">
      <w:pPr>
        <w:pStyle w:val="ListParagraph"/>
        <w:numPr>
          <w:ilvl w:val="1"/>
          <w:numId w:val="1"/>
        </w:numPr>
        <w:spacing w:before="240" w:after="120" w:line="240" w:lineRule="auto"/>
        <w:rPr>
          <w:rFonts w:ascii="Arial" w:eastAsia="Times New Roman" w:hAnsi="Arial" w:cs="Arial"/>
          <w:b/>
          <w:caps/>
          <w:kern w:val="24"/>
          <w:sz w:val="24"/>
          <w:szCs w:val="24"/>
        </w:rPr>
      </w:pPr>
      <w:r>
        <w:rPr>
          <w:rFonts w:ascii="Arial" w:eastAsia="Times New Roman" w:hAnsi="Arial" w:cs="Arial"/>
          <w:kern w:val="24"/>
          <w:sz w:val="24"/>
          <w:szCs w:val="24"/>
        </w:rPr>
        <w:t xml:space="preserve">Nigel </w:t>
      </w:r>
      <w:proofErr w:type="spellStart"/>
      <w:r>
        <w:rPr>
          <w:rFonts w:ascii="Arial" w:eastAsia="Times New Roman" w:hAnsi="Arial" w:cs="Arial"/>
          <w:kern w:val="24"/>
          <w:sz w:val="24"/>
          <w:szCs w:val="24"/>
        </w:rPr>
        <w:t>Howlett</w:t>
      </w:r>
      <w:proofErr w:type="spellEnd"/>
      <w:r>
        <w:rPr>
          <w:rFonts w:ascii="Arial" w:eastAsia="Times New Roman" w:hAnsi="Arial" w:cs="Arial"/>
          <w:kern w:val="24"/>
          <w:sz w:val="24"/>
          <w:szCs w:val="24"/>
        </w:rPr>
        <w:t xml:space="preserve"> (CHS Group), Julia </w:t>
      </w:r>
      <w:proofErr w:type="spellStart"/>
      <w:r>
        <w:rPr>
          <w:rFonts w:ascii="Arial" w:eastAsia="Times New Roman" w:hAnsi="Arial" w:cs="Arial"/>
          <w:kern w:val="24"/>
          <w:sz w:val="24"/>
          <w:szCs w:val="24"/>
        </w:rPr>
        <w:t>Hovells</w:t>
      </w:r>
      <w:proofErr w:type="spellEnd"/>
      <w:r>
        <w:rPr>
          <w:rFonts w:ascii="Arial" w:eastAsia="Times New Roman" w:hAnsi="Arial" w:cs="Arial"/>
          <w:kern w:val="24"/>
          <w:sz w:val="24"/>
          <w:szCs w:val="24"/>
        </w:rPr>
        <w:t xml:space="preserve"> (Cambridge City), Tracey Manton (Cross Keys Homes) and Oliver Morley (Hunts DC) were particularly influential in shaping the exercise, though any shortfall in the data set questions are entirely the responsibility of the author.</w:t>
      </w:r>
    </w:p>
    <w:p w:rsidR="00A906B5" w:rsidRPr="003D078E" w:rsidRDefault="00115B74" w:rsidP="00A906B5">
      <w:pPr>
        <w:pStyle w:val="ListParagraph"/>
        <w:numPr>
          <w:ilvl w:val="1"/>
          <w:numId w:val="1"/>
        </w:numPr>
        <w:spacing w:before="240" w:after="120" w:line="240" w:lineRule="auto"/>
        <w:rPr>
          <w:rFonts w:ascii="Arial" w:eastAsia="Times New Roman" w:hAnsi="Arial" w:cs="Arial"/>
          <w:b/>
          <w:caps/>
          <w:kern w:val="24"/>
          <w:sz w:val="24"/>
          <w:szCs w:val="24"/>
        </w:rPr>
      </w:pPr>
      <w:r>
        <w:rPr>
          <w:rFonts w:ascii="Arial" w:eastAsia="Times New Roman" w:hAnsi="Arial" w:cs="Arial"/>
          <w:kern w:val="24"/>
          <w:sz w:val="24"/>
          <w:szCs w:val="24"/>
        </w:rPr>
        <w:t>P</w:t>
      </w:r>
      <w:r w:rsidR="00A906B5" w:rsidRPr="00A906B5">
        <w:rPr>
          <w:rFonts w:ascii="Arial" w:eastAsia="Times New Roman" w:hAnsi="Arial" w:cs="Arial"/>
          <w:kern w:val="24"/>
          <w:sz w:val="24"/>
          <w:szCs w:val="24"/>
        </w:rPr>
        <w:t xml:space="preserve">articipants </w:t>
      </w:r>
      <w:r>
        <w:rPr>
          <w:rFonts w:ascii="Arial" w:eastAsia="Times New Roman" w:hAnsi="Arial" w:cs="Arial"/>
          <w:kern w:val="24"/>
          <w:sz w:val="24"/>
          <w:szCs w:val="24"/>
        </w:rPr>
        <w:t>were asked</w:t>
      </w:r>
      <w:r w:rsidR="00A906B5" w:rsidRPr="00A906B5">
        <w:rPr>
          <w:rFonts w:ascii="Arial" w:eastAsia="Times New Roman" w:hAnsi="Arial" w:cs="Arial"/>
          <w:kern w:val="24"/>
          <w:sz w:val="24"/>
          <w:szCs w:val="24"/>
        </w:rPr>
        <w:t xml:space="preserve"> </w:t>
      </w:r>
      <w:r w:rsidR="00A906B5" w:rsidRPr="00A906B5">
        <w:rPr>
          <w:rFonts w:ascii="Arial" w:hAnsi="Arial" w:cs="Arial"/>
          <w:sz w:val="24"/>
          <w:szCs w:val="24"/>
        </w:rPr>
        <w:t xml:space="preserve">to collect data, which </w:t>
      </w:r>
      <w:r w:rsidR="003D078E">
        <w:rPr>
          <w:rFonts w:ascii="Arial" w:hAnsi="Arial" w:cs="Arial"/>
          <w:sz w:val="24"/>
          <w:szCs w:val="24"/>
        </w:rPr>
        <w:t>would be</w:t>
      </w:r>
      <w:r w:rsidR="00A906B5" w:rsidRPr="00A906B5">
        <w:rPr>
          <w:rFonts w:ascii="Arial" w:hAnsi="Arial" w:cs="Arial"/>
          <w:sz w:val="24"/>
          <w:szCs w:val="24"/>
        </w:rPr>
        <w:t xml:space="preserve"> </w:t>
      </w:r>
      <w:r w:rsidR="003D078E">
        <w:rPr>
          <w:rFonts w:ascii="Arial" w:hAnsi="Arial" w:cs="Arial"/>
          <w:sz w:val="24"/>
          <w:szCs w:val="24"/>
        </w:rPr>
        <w:t>analysed</w:t>
      </w:r>
      <w:r w:rsidR="00A906B5" w:rsidRPr="00A906B5">
        <w:rPr>
          <w:rFonts w:ascii="Arial" w:hAnsi="Arial" w:cs="Arial"/>
          <w:sz w:val="24"/>
          <w:szCs w:val="24"/>
        </w:rPr>
        <w:t xml:space="preserve"> by local authority area, and presented back to participants in an anonymous fashion (in respect of the provider) so that issues and trends at local authority level can be identified. Th</w:t>
      </w:r>
      <w:r w:rsidR="003D078E">
        <w:rPr>
          <w:rFonts w:ascii="Arial" w:hAnsi="Arial" w:cs="Arial"/>
          <w:sz w:val="24"/>
          <w:szCs w:val="24"/>
        </w:rPr>
        <w:t>e intention is that th</w:t>
      </w:r>
      <w:r w:rsidR="00A906B5" w:rsidRPr="00A906B5">
        <w:rPr>
          <w:rFonts w:ascii="Arial" w:hAnsi="Arial" w:cs="Arial"/>
          <w:sz w:val="24"/>
          <w:szCs w:val="24"/>
        </w:rPr>
        <w:t xml:space="preserve">is data will be tracked over time at </w:t>
      </w:r>
      <w:r w:rsidR="003D078E">
        <w:rPr>
          <w:rFonts w:ascii="Arial" w:hAnsi="Arial" w:cs="Arial"/>
          <w:sz w:val="24"/>
          <w:szCs w:val="24"/>
        </w:rPr>
        <w:t>quarterly</w:t>
      </w:r>
      <w:r w:rsidR="00A906B5" w:rsidRPr="00A906B5">
        <w:rPr>
          <w:rFonts w:ascii="Arial" w:hAnsi="Arial" w:cs="Arial"/>
          <w:sz w:val="24"/>
          <w:szCs w:val="24"/>
        </w:rPr>
        <w:t xml:space="preserve"> intervals. </w:t>
      </w:r>
    </w:p>
    <w:p w:rsidR="003D078E" w:rsidRPr="00380AB4" w:rsidRDefault="003D078E" w:rsidP="00A906B5">
      <w:pPr>
        <w:pStyle w:val="ListParagraph"/>
        <w:numPr>
          <w:ilvl w:val="1"/>
          <w:numId w:val="1"/>
        </w:numPr>
        <w:spacing w:before="240" w:after="120" w:line="240" w:lineRule="auto"/>
        <w:rPr>
          <w:rFonts w:ascii="Arial" w:eastAsia="Times New Roman" w:hAnsi="Arial" w:cs="Arial"/>
          <w:b/>
          <w:caps/>
          <w:kern w:val="24"/>
          <w:sz w:val="24"/>
          <w:szCs w:val="24"/>
        </w:rPr>
      </w:pPr>
      <w:r>
        <w:rPr>
          <w:rFonts w:ascii="Arial" w:hAnsi="Arial" w:cs="Arial"/>
          <w:sz w:val="24"/>
          <w:szCs w:val="24"/>
        </w:rPr>
        <w:t xml:space="preserve">It was agreed to collect </w:t>
      </w:r>
      <w:r w:rsidR="00A906B5" w:rsidRPr="003D078E">
        <w:rPr>
          <w:rFonts w:ascii="Arial" w:hAnsi="Arial" w:cs="Arial"/>
          <w:sz w:val="24"/>
          <w:szCs w:val="24"/>
        </w:rPr>
        <w:t xml:space="preserve">data </w:t>
      </w:r>
      <w:r>
        <w:rPr>
          <w:rFonts w:ascii="Arial" w:hAnsi="Arial" w:cs="Arial"/>
          <w:sz w:val="24"/>
          <w:szCs w:val="24"/>
        </w:rPr>
        <w:t xml:space="preserve">for the initial report as at the end of the financial year 2020/21 </w:t>
      </w:r>
      <w:r w:rsidR="00A906B5" w:rsidRPr="003D078E">
        <w:rPr>
          <w:rFonts w:ascii="Arial" w:hAnsi="Arial" w:cs="Arial"/>
          <w:sz w:val="24"/>
          <w:szCs w:val="24"/>
        </w:rPr>
        <w:t xml:space="preserve">(figures to be provided as at month end or closest point) </w:t>
      </w:r>
      <w:r w:rsidR="00115B74">
        <w:rPr>
          <w:rFonts w:ascii="Arial" w:hAnsi="Arial" w:cs="Arial"/>
          <w:sz w:val="24"/>
          <w:szCs w:val="24"/>
        </w:rPr>
        <w:t xml:space="preserve">and then quarterly </w:t>
      </w:r>
      <w:r w:rsidR="00A906B5" w:rsidRPr="003D078E">
        <w:rPr>
          <w:rFonts w:ascii="Arial" w:hAnsi="Arial" w:cs="Arial"/>
          <w:sz w:val="24"/>
          <w:szCs w:val="24"/>
        </w:rPr>
        <w:t>until such time as considered no longer useful or adding value</w:t>
      </w:r>
      <w:r>
        <w:rPr>
          <w:rFonts w:ascii="Arial" w:hAnsi="Arial" w:cs="Arial"/>
          <w:sz w:val="24"/>
          <w:szCs w:val="24"/>
        </w:rPr>
        <w:t>.</w:t>
      </w:r>
    </w:p>
    <w:p w:rsidR="00380AB4" w:rsidRPr="00380AB4" w:rsidRDefault="00380AB4" w:rsidP="00A906B5">
      <w:pPr>
        <w:pStyle w:val="ListParagraph"/>
        <w:numPr>
          <w:ilvl w:val="1"/>
          <w:numId w:val="1"/>
        </w:numPr>
        <w:spacing w:before="240" w:after="120" w:line="240" w:lineRule="auto"/>
        <w:rPr>
          <w:rFonts w:ascii="Arial" w:eastAsia="Times New Roman" w:hAnsi="Arial" w:cs="Arial"/>
          <w:b/>
          <w:caps/>
          <w:kern w:val="24"/>
          <w:sz w:val="24"/>
          <w:szCs w:val="24"/>
        </w:rPr>
      </w:pPr>
      <w:r>
        <w:rPr>
          <w:rFonts w:ascii="Arial" w:hAnsi="Arial" w:cs="Arial"/>
          <w:sz w:val="24"/>
          <w:szCs w:val="24"/>
        </w:rPr>
        <w:t xml:space="preserve">The following providers took part in the benchmarking exercise, though their organisational data is anonymised as agreed by participants: </w:t>
      </w:r>
    </w:p>
    <w:p w:rsidR="00380AB4" w:rsidRPr="00380AB4" w:rsidRDefault="00380AB4" w:rsidP="00380AB4">
      <w:pPr>
        <w:pStyle w:val="ListParagraph"/>
        <w:numPr>
          <w:ilvl w:val="2"/>
          <w:numId w:val="1"/>
        </w:numPr>
        <w:spacing w:before="240" w:after="120" w:line="240" w:lineRule="auto"/>
        <w:ind w:hanging="231"/>
        <w:rPr>
          <w:rFonts w:ascii="Arial" w:eastAsia="Times New Roman" w:hAnsi="Arial" w:cs="Arial"/>
          <w:b/>
          <w:caps/>
          <w:kern w:val="24"/>
          <w:sz w:val="24"/>
          <w:szCs w:val="24"/>
        </w:rPr>
      </w:pPr>
      <w:r>
        <w:rPr>
          <w:rFonts w:ascii="Arial" w:hAnsi="Arial" w:cs="Arial"/>
          <w:sz w:val="24"/>
          <w:szCs w:val="24"/>
        </w:rPr>
        <w:t>Accent</w:t>
      </w:r>
    </w:p>
    <w:p w:rsidR="00380AB4" w:rsidRPr="00380AB4" w:rsidRDefault="00380AB4" w:rsidP="00380AB4">
      <w:pPr>
        <w:pStyle w:val="ListParagraph"/>
        <w:numPr>
          <w:ilvl w:val="2"/>
          <w:numId w:val="1"/>
        </w:numPr>
        <w:spacing w:before="240" w:after="120" w:line="240" w:lineRule="auto"/>
        <w:ind w:hanging="231"/>
        <w:rPr>
          <w:rFonts w:ascii="Arial" w:eastAsia="Times New Roman" w:hAnsi="Arial" w:cs="Arial"/>
          <w:b/>
          <w:caps/>
          <w:kern w:val="24"/>
          <w:sz w:val="24"/>
          <w:szCs w:val="24"/>
        </w:rPr>
      </w:pPr>
      <w:r>
        <w:rPr>
          <w:rFonts w:ascii="Arial" w:hAnsi="Arial" w:cs="Arial"/>
          <w:sz w:val="24"/>
          <w:szCs w:val="24"/>
        </w:rPr>
        <w:t>Cambridge City Council</w:t>
      </w:r>
    </w:p>
    <w:p w:rsidR="00380AB4" w:rsidRPr="00380AB4" w:rsidRDefault="00380AB4" w:rsidP="00380AB4">
      <w:pPr>
        <w:pStyle w:val="ListParagraph"/>
        <w:numPr>
          <w:ilvl w:val="2"/>
          <w:numId w:val="1"/>
        </w:numPr>
        <w:spacing w:before="240" w:after="120" w:line="240" w:lineRule="auto"/>
        <w:ind w:hanging="231"/>
        <w:rPr>
          <w:rFonts w:ascii="Arial" w:eastAsia="Times New Roman" w:hAnsi="Arial" w:cs="Arial"/>
          <w:b/>
          <w:caps/>
          <w:kern w:val="24"/>
          <w:sz w:val="24"/>
          <w:szCs w:val="24"/>
        </w:rPr>
      </w:pPr>
      <w:r>
        <w:rPr>
          <w:rFonts w:ascii="Arial" w:hAnsi="Arial" w:cs="Arial"/>
          <w:sz w:val="24"/>
          <w:szCs w:val="24"/>
        </w:rPr>
        <w:t>Cambridge Housing Society</w:t>
      </w:r>
    </w:p>
    <w:p w:rsidR="00380AB4" w:rsidRPr="00380AB4" w:rsidRDefault="00380AB4" w:rsidP="00380AB4">
      <w:pPr>
        <w:pStyle w:val="ListParagraph"/>
        <w:numPr>
          <w:ilvl w:val="2"/>
          <w:numId w:val="1"/>
        </w:numPr>
        <w:spacing w:before="240" w:after="120" w:line="240" w:lineRule="auto"/>
        <w:ind w:hanging="231"/>
        <w:rPr>
          <w:rFonts w:ascii="Arial" w:eastAsia="Times New Roman" w:hAnsi="Arial" w:cs="Arial"/>
          <w:b/>
          <w:caps/>
          <w:kern w:val="24"/>
          <w:sz w:val="24"/>
          <w:szCs w:val="24"/>
        </w:rPr>
      </w:pPr>
      <w:r>
        <w:rPr>
          <w:rFonts w:ascii="Arial" w:hAnsi="Arial" w:cs="Arial"/>
          <w:sz w:val="24"/>
          <w:szCs w:val="24"/>
        </w:rPr>
        <w:t>Chorus</w:t>
      </w:r>
    </w:p>
    <w:p w:rsidR="00380AB4" w:rsidRPr="00380AB4" w:rsidRDefault="00380AB4" w:rsidP="00380AB4">
      <w:pPr>
        <w:pStyle w:val="ListParagraph"/>
        <w:numPr>
          <w:ilvl w:val="2"/>
          <w:numId w:val="1"/>
        </w:numPr>
        <w:spacing w:before="240" w:after="120" w:line="240" w:lineRule="auto"/>
        <w:ind w:hanging="231"/>
        <w:rPr>
          <w:rFonts w:ascii="Arial" w:eastAsia="Times New Roman" w:hAnsi="Arial" w:cs="Arial"/>
          <w:b/>
          <w:caps/>
          <w:kern w:val="24"/>
          <w:sz w:val="24"/>
          <w:szCs w:val="24"/>
        </w:rPr>
      </w:pPr>
      <w:r>
        <w:rPr>
          <w:rFonts w:ascii="Arial" w:hAnsi="Arial" w:cs="Arial"/>
          <w:sz w:val="24"/>
          <w:szCs w:val="24"/>
        </w:rPr>
        <w:t>Clarion</w:t>
      </w:r>
    </w:p>
    <w:p w:rsidR="00380AB4" w:rsidRPr="00380AB4" w:rsidRDefault="00380AB4" w:rsidP="00380AB4">
      <w:pPr>
        <w:pStyle w:val="ListParagraph"/>
        <w:numPr>
          <w:ilvl w:val="2"/>
          <w:numId w:val="1"/>
        </w:numPr>
        <w:spacing w:before="240" w:after="120" w:line="240" w:lineRule="auto"/>
        <w:ind w:hanging="231"/>
        <w:rPr>
          <w:rFonts w:ascii="Arial" w:eastAsia="Times New Roman" w:hAnsi="Arial" w:cs="Arial"/>
          <w:b/>
          <w:caps/>
          <w:kern w:val="24"/>
          <w:sz w:val="24"/>
          <w:szCs w:val="24"/>
        </w:rPr>
      </w:pPr>
      <w:r>
        <w:rPr>
          <w:rFonts w:ascii="Arial" w:hAnsi="Arial" w:cs="Arial"/>
          <w:sz w:val="24"/>
          <w:szCs w:val="24"/>
        </w:rPr>
        <w:t>Cross Keys Homes</w:t>
      </w:r>
    </w:p>
    <w:p w:rsidR="00380AB4" w:rsidRPr="00380AB4" w:rsidRDefault="00380AB4" w:rsidP="00380AB4">
      <w:pPr>
        <w:pStyle w:val="ListParagraph"/>
        <w:numPr>
          <w:ilvl w:val="2"/>
          <w:numId w:val="1"/>
        </w:numPr>
        <w:spacing w:before="240" w:after="120" w:line="240" w:lineRule="auto"/>
        <w:ind w:hanging="231"/>
        <w:rPr>
          <w:rFonts w:ascii="Arial" w:eastAsia="Times New Roman" w:hAnsi="Arial" w:cs="Arial"/>
          <w:b/>
          <w:caps/>
          <w:kern w:val="24"/>
          <w:sz w:val="24"/>
          <w:szCs w:val="24"/>
        </w:rPr>
      </w:pPr>
      <w:proofErr w:type="spellStart"/>
      <w:r>
        <w:rPr>
          <w:rFonts w:ascii="Arial" w:hAnsi="Arial" w:cs="Arial"/>
          <w:sz w:val="24"/>
          <w:szCs w:val="24"/>
        </w:rPr>
        <w:t>Havebury</w:t>
      </w:r>
      <w:proofErr w:type="spellEnd"/>
      <w:r>
        <w:rPr>
          <w:rFonts w:ascii="Arial" w:hAnsi="Arial" w:cs="Arial"/>
          <w:sz w:val="24"/>
          <w:szCs w:val="24"/>
        </w:rPr>
        <w:t xml:space="preserve"> Housing Partnership</w:t>
      </w:r>
    </w:p>
    <w:p w:rsidR="00380AB4" w:rsidRPr="00380AB4" w:rsidRDefault="00380AB4" w:rsidP="00380AB4">
      <w:pPr>
        <w:pStyle w:val="ListParagraph"/>
        <w:numPr>
          <w:ilvl w:val="2"/>
          <w:numId w:val="1"/>
        </w:numPr>
        <w:spacing w:before="240" w:after="120" w:line="240" w:lineRule="auto"/>
        <w:ind w:hanging="231"/>
        <w:rPr>
          <w:rFonts w:ascii="Arial" w:eastAsia="Times New Roman" w:hAnsi="Arial" w:cs="Arial"/>
          <w:b/>
          <w:caps/>
          <w:kern w:val="24"/>
          <w:sz w:val="24"/>
          <w:szCs w:val="24"/>
        </w:rPr>
      </w:pPr>
      <w:r>
        <w:rPr>
          <w:rFonts w:ascii="Arial" w:hAnsi="Arial" w:cs="Arial"/>
          <w:sz w:val="24"/>
          <w:szCs w:val="24"/>
        </w:rPr>
        <w:t xml:space="preserve">South </w:t>
      </w:r>
      <w:proofErr w:type="spellStart"/>
      <w:r>
        <w:rPr>
          <w:rFonts w:ascii="Arial" w:hAnsi="Arial" w:cs="Arial"/>
          <w:sz w:val="24"/>
          <w:szCs w:val="24"/>
        </w:rPr>
        <w:t>Cambs</w:t>
      </w:r>
      <w:proofErr w:type="spellEnd"/>
      <w:r>
        <w:rPr>
          <w:rFonts w:ascii="Arial" w:hAnsi="Arial" w:cs="Arial"/>
          <w:sz w:val="24"/>
          <w:szCs w:val="24"/>
        </w:rPr>
        <w:t xml:space="preserve"> DC</w:t>
      </w:r>
    </w:p>
    <w:p w:rsidR="00380AB4" w:rsidRPr="00380AB4" w:rsidRDefault="00380AB4" w:rsidP="00380AB4">
      <w:pPr>
        <w:pStyle w:val="ListParagraph"/>
        <w:numPr>
          <w:ilvl w:val="2"/>
          <w:numId w:val="1"/>
        </w:numPr>
        <w:spacing w:before="240" w:after="120" w:line="240" w:lineRule="auto"/>
        <w:ind w:hanging="231"/>
        <w:rPr>
          <w:rFonts w:ascii="Arial" w:eastAsia="Times New Roman" w:hAnsi="Arial" w:cs="Arial"/>
          <w:b/>
          <w:caps/>
          <w:kern w:val="24"/>
          <w:sz w:val="24"/>
          <w:szCs w:val="24"/>
        </w:rPr>
      </w:pPr>
      <w:r>
        <w:rPr>
          <w:rFonts w:ascii="Arial" w:hAnsi="Arial" w:cs="Arial"/>
          <w:sz w:val="24"/>
          <w:szCs w:val="24"/>
        </w:rPr>
        <w:t>Suffolk Housing Group</w:t>
      </w:r>
    </w:p>
    <w:p w:rsidR="00380AB4" w:rsidRPr="003D078E" w:rsidRDefault="00380AB4" w:rsidP="00380AB4">
      <w:pPr>
        <w:pStyle w:val="ListParagraph"/>
        <w:spacing w:before="240" w:after="120" w:line="240" w:lineRule="auto"/>
        <w:ind w:left="1276"/>
        <w:rPr>
          <w:rFonts w:ascii="Arial" w:eastAsia="Times New Roman" w:hAnsi="Arial" w:cs="Arial"/>
          <w:b/>
          <w:caps/>
          <w:kern w:val="24"/>
          <w:sz w:val="24"/>
          <w:szCs w:val="24"/>
        </w:rPr>
      </w:pPr>
    </w:p>
    <w:p w:rsidR="00A906B5" w:rsidRPr="003D078E" w:rsidRDefault="003D078E" w:rsidP="00A906B5">
      <w:pPr>
        <w:pStyle w:val="ListParagraph"/>
        <w:numPr>
          <w:ilvl w:val="1"/>
          <w:numId w:val="1"/>
        </w:numPr>
        <w:spacing w:before="240" w:after="120" w:line="240" w:lineRule="auto"/>
        <w:rPr>
          <w:rFonts w:ascii="Arial" w:eastAsia="Times New Roman" w:hAnsi="Arial" w:cs="Arial"/>
          <w:b/>
          <w:caps/>
          <w:kern w:val="24"/>
          <w:sz w:val="24"/>
          <w:szCs w:val="24"/>
        </w:rPr>
      </w:pPr>
      <w:r>
        <w:rPr>
          <w:rFonts w:ascii="Arial" w:hAnsi="Arial" w:cs="Arial"/>
          <w:sz w:val="24"/>
          <w:szCs w:val="24"/>
        </w:rPr>
        <w:t>The following data was requested:</w:t>
      </w:r>
      <w:r w:rsidR="00A906B5" w:rsidRPr="003D078E">
        <w:rPr>
          <w:rFonts w:ascii="Arial" w:hAnsi="Arial" w:cs="Arial"/>
          <w:sz w:val="24"/>
          <w:szCs w:val="24"/>
        </w:rPr>
        <w:t xml:space="preserve"> </w:t>
      </w:r>
    </w:p>
    <w:p w:rsidR="00115B74" w:rsidRDefault="00115B74" w:rsidP="003D078E">
      <w:pPr>
        <w:pStyle w:val="ListParagraph"/>
        <w:numPr>
          <w:ilvl w:val="0"/>
          <w:numId w:val="2"/>
        </w:numPr>
        <w:ind w:left="1276"/>
        <w:rPr>
          <w:rFonts w:ascii="Arial" w:hAnsi="Arial" w:cs="Arial"/>
          <w:sz w:val="24"/>
          <w:szCs w:val="24"/>
        </w:rPr>
      </w:pPr>
      <w:r>
        <w:rPr>
          <w:rFonts w:ascii="Arial" w:hAnsi="Arial" w:cs="Arial"/>
          <w:sz w:val="24"/>
          <w:szCs w:val="24"/>
        </w:rPr>
        <w:t>Total stock by local authority area</w:t>
      </w:r>
    </w:p>
    <w:p w:rsidR="00A906B5" w:rsidRPr="00A906B5" w:rsidRDefault="00A906B5" w:rsidP="003D078E">
      <w:pPr>
        <w:pStyle w:val="ListParagraph"/>
        <w:numPr>
          <w:ilvl w:val="0"/>
          <w:numId w:val="2"/>
        </w:numPr>
        <w:ind w:left="1276"/>
        <w:rPr>
          <w:rFonts w:ascii="Arial" w:hAnsi="Arial" w:cs="Arial"/>
          <w:sz w:val="24"/>
          <w:szCs w:val="24"/>
        </w:rPr>
      </w:pPr>
      <w:r w:rsidRPr="00A906B5">
        <w:rPr>
          <w:rFonts w:ascii="Arial" w:hAnsi="Arial" w:cs="Arial"/>
          <w:sz w:val="24"/>
          <w:szCs w:val="24"/>
        </w:rPr>
        <w:t>Total number in arrears</w:t>
      </w:r>
    </w:p>
    <w:p w:rsidR="00A906B5" w:rsidRPr="00A906B5" w:rsidRDefault="00A906B5" w:rsidP="003D078E">
      <w:pPr>
        <w:pStyle w:val="ListParagraph"/>
        <w:numPr>
          <w:ilvl w:val="0"/>
          <w:numId w:val="2"/>
        </w:numPr>
        <w:ind w:left="1276"/>
        <w:rPr>
          <w:rFonts w:ascii="Arial" w:hAnsi="Arial" w:cs="Arial"/>
          <w:sz w:val="24"/>
          <w:szCs w:val="24"/>
        </w:rPr>
      </w:pPr>
      <w:r w:rsidRPr="00A906B5">
        <w:rPr>
          <w:rFonts w:ascii="Arial" w:hAnsi="Arial" w:cs="Arial"/>
          <w:sz w:val="24"/>
          <w:szCs w:val="24"/>
        </w:rPr>
        <w:t>%age overall arrears</w:t>
      </w:r>
    </w:p>
    <w:p w:rsidR="00A906B5" w:rsidRPr="00A906B5" w:rsidRDefault="00A906B5" w:rsidP="003D078E">
      <w:pPr>
        <w:pStyle w:val="ListParagraph"/>
        <w:numPr>
          <w:ilvl w:val="0"/>
          <w:numId w:val="2"/>
        </w:numPr>
        <w:ind w:left="1276"/>
        <w:rPr>
          <w:rFonts w:ascii="Arial" w:hAnsi="Arial" w:cs="Arial"/>
          <w:sz w:val="24"/>
          <w:szCs w:val="24"/>
        </w:rPr>
      </w:pPr>
      <w:r w:rsidRPr="00A906B5">
        <w:rPr>
          <w:rFonts w:ascii="Arial" w:hAnsi="Arial" w:cs="Arial"/>
          <w:sz w:val="24"/>
          <w:szCs w:val="24"/>
        </w:rPr>
        <w:t>Average balance</w:t>
      </w:r>
    </w:p>
    <w:p w:rsidR="00A906B5" w:rsidRPr="00A906B5" w:rsidRDefault="00A906B5" w:rsidP="003D078E">
      <w:pPr>
        <w:pStyle w:val="ListParagraph"/>
        <w:numPr>
          <w:ilvl w:val="0"/>
          <w:numId w:val="2"/>
        </w:numPr>
        <w:ind w:left="1276"/>
        <w:rPr>
          <w:rFonts w:ascii="Arial" w:hAnsi="Arial" w:cs="Arial"/>
          <w:sz w:val="24"/>
          <w:szCs w:val="24"/>
        </w:rPr>
      </w:pPr>
      <w:r w:rsidRPr="00A906B5">
        <w:rPr>
          <w:rFonts w:ascii="Arial" w:hAnsi="Arial" w:cs="Arial"/>
          <w:bCs/>
          <w:sz w:val="24"/>
          <w:szCs w:val="24"/>
        </w:rPr>
        <w:t>Number of UC customers in arrears</w:t>
      </w:r>
    </w:p>
    <w:p w:rsidR="00A906B5" w:rsidRPr="00A906B5" w:rsidRDefault="00A906B5" w:rsidP="003D078E">
      <w:pPr>
        <w:pStyle w:val="ListParagraph"/>
        <w:numPr>
          <w:ilvl w:val="0"/>
          <w:numId w:val="2"/>
        </w:numPr>
        <w:ind w:left="1276"/>
        <w:rPr>
          <w:rFonts w:ascii="Arial" w:hAnsi="Arial" w:cs="Arial"/>
          <w:sz w:val="24"/>
          <w:szCs w:val="24"/>
        </w:rPr>
      </w:pPr>
      <w:r w:rsidRPr="00A906B5">
        <w:rPr>
          <w:rFonts w:ascii="Arial" w:hAnsi="Arial" w:cs="Arial"/>
          <w:sz w:val="24"/>
          <w:szCs w:val="24"/>
        </w:rPr>
        <w:t>%</w:t>
      </w:r>
      <w:proofErr w:type="spellStart"/>
      <w:r w:rsidRPr="00A906B5">
        <w:rPr>
          <w:rFonts w:ascii="Arial" w:hAnsi="Arial" w:cs="Arial"/>
          <w:sz w:val="24"/>
          <w:szCs w:val="24"/>
        </w:rPr>
        <w:t>age</w:t>
      </w:r>
      <w:proofErr w:type="spellEnd"/>
      <w:r w:rsidRPr="00A906B5">
        <w:rPr>
          <w:rFonts w:ascii="Arial" w:hAnsi="Arial" w:cs="Arial"/>
          <w:sz w:val="24"/>
          <w:szCs w:val="24"/>
        </w:rPr>
        <w:t xml:space="preserve"> arrears of UC customers</w:t>
      </w:r>
    </w:p>
    <w:p w:rsidR="00A906B5" w:rsidRPr="00A906B5" w:rsidRDefault="00A906B5" w:rsidP="003D078E">
      <w:pPr>
        <w:pStyle w:val="ListParagraph"/>
        <w:numPr>
          <w:ilvl w:val="0"/>
          <w:numId w:val="2"/>
        </w:numPr>
        <w:ind w:left="1276"/>
        <w:rPr>
          <w:rFonts w:ascii="Arial" w:hAnsi="Arial" w:cs="Arial"/>
          <w:sz w:val="24"/>
          <w:szCs w:val="24"/>
        </w:rPr>
      </w:pPr>
      <w:r w:rsidRPr="00A906B5">
        <w:rPr>
          <w:rFonts w:ascii="Arial" w:hAnsi="Arial" w:cs="Arial"/>
          <w:sz w:val="24"/>
          <w:szCs w:val="24"/>
        </w:rPr>
        <w:t>Average balance of UC customers</w:t>
      </w:r>
    </w:p>
    <w:p w:rsidR="00A906B5" w:rsidRPr="00A906B5" w:rsidRDefault="00A906B5" w:rsidP="003D078E">
      <w:pPr>
        <w:pStyle w:val="ListParagraph"/>
        <w:numPr>
          <w:ilvl w:val="0"/>
          <w:numId w:val="2"/>
        </w:numPr>
        <w:ind w:left="1276"/>
        <w:rPr>
          <w:rFonts w:ascii="Arial" w:hAnsi="Arial" w:cs="Arial"/>
          <w:sz w:val="24"/>
          <w:szCs w:val="24"/>
        </w:rPr>
      </w:pPr>
      <w:r w:rsidRPr="00A906B5">
        <w:rPr>
          <w:rFonts w:ascii="Arial" w:hAnsi="Arial" w:cs="Arial"/>
          <w:bCs/>
          <w:sz w:val="24"/>
          <w:szCs w:val="24"/>
        </w:rPr>
        <w:t>Number of Self-payers in arrears</w:t>
      </w:r>
    </w:p>
    <w:p w:rsidR="00A906B5" w:rsidRPr="00A906B5" w:rsidRDefault="00A906B5" w:rsidP="003D078E">
      <w:pPr>
        <w:pStyle w:val="ListParagraph"/>
        <w:numPr>
          <w:ilvl w:val="0"/>
          <w:numId w:val="2"/>
        </w:numPr>
        <w:ind w:left="1276"/>
        <w:rPr>
          <w:rFonts w:ascii="Arial" w:hAnsi="Arial" w:cs="Arial"/>
          <w:sz w:val="24"/>
          <w:szCs w:val="24"/>
        </w:rPr>
      </w:pPr>
      <w:r w:rsidRPr="00A906B5">
        <w:rPr>
          <w:rFonts w:ascii="Arial" w:hAnsi="Arial" w:cs="Arial"/>
          <w:sz w:val="24"/>
          <w:szCs w:val="24"/>
        </w:rPr>
        <w:lastRenderedPageBreak/>
        <w:t>%</w:t>
      </w:r>
      <w:proofErr w:type="spellStart"/>
      <w:r w:rsidRPr="00A906B5">
        <w:rPr>
          <w:rFonts w:ascii="Arial" w:hAnsi="Arial" w:cs="Arial"/>
          <w:sz w:val="24"/>
          <w:szCs w:val="24"/>
        </w:rPr>
        <w:t>age</w:t>
      </w:r>
      <w:proofErr w:type="spellEnd"/>
      <w:r w:rsidRPr="00A906B5">
        <w:rPr>
          <w:rFonts w:ascii="Arial" w:hAnsi="Arial" w:cs="Arial"/>
          <w:sz w:val="24"/>
          <w:szCs w:val="24"/>
        </w:rPr>
        <w:t xml:space="preserve"> arrears of self-payers</w:t>
      </w:r>
    </w:p>
    <w:p w:rsidR="00A906B5" w:rsidRDefault="00A906B5" w:rsidP="003D078E">
      <w:pPr>
        <w:pStyle w:val="ListParagraph"/>
        <w:numPr>
          <w:ilvl w:val="0"/>
          <w:numId w:val="2"/>
        </w:numPr>
        <w:ind w:left="1276"/>
        <w:rPr>
          <w:rFonts w:ascii="Arial" w:hAnsi="Arial" w:cs="Arial"/>
          <w:sz w:val="24"/>
          <w:szCs w:val="24"/>
        </w:rPr>
      </w:pPr>
      <w:r w:rsidRPr="00A906B5">
        <w:rPr>
          <w:rFonts w:ascii="Arial" w:hAnsi="Arial" w:cs="Arial"/>
          <w:sz w:val="24"/>
          <w:szCs w:val="24"/>
        </w:rPr>
        <w:t>Average balance of self-payers</w:t>
      </w:r>
    </w:p>
    <w:p w:rsidR="00115B74" w:rsidRPr="00A906B5" w:rsidRDefault="00115B74" w:rsidP="00115B74">
      <w:pPr>
        <w:pStyle w:val="ListParagraph"/>
        <w:ind w:left="1276"/>
        <w:rPr>
          <w:rFonts w:ascii="Arial" w:hAnsi="Arial" w:cs="Arial"/>
          <w:sz w:val="24"/>
          <w:szCs w:val="24"/>
        </w:rPr>
      </w:pPr>
    </w:p>
    <w:p w:rsidR="00115B74" w:rsidRDefault="00115B74" w:rsidP="00862798">
      <w:pPr>
        <w:pStyle w:val="ListParagraph"/>
        <w:numPr>
          <w:ilvl w:val="0"/>
          <w:numId w:val="1"/>
        </w:numPr>
        <w:spacing w:before="240" w:after="120" w:line="240" w:lineRule="auto"/>
        <w:rPr>
          <w:rFonts w:ascii="Arial" w:eastAsia="Times New Roman" w:hAnsi="Arial" w:cs="Arial"/>
          <w:b/>
          <w:caps/>
          <w:kern w:val="24"/>
          <w:sz w:val="24"/>
          <w:szCs w:val="24"/>
        </w:rPr>
      </w:pPr>
      <w:r>
        <w:rPr>
          <w:rFonts w:ascii="Arial" w:eastAsia="Times New Roman" w:hAnsi="Arial" w:cs="Arial"/>
          <w:b/>
          <w:caps/>
          <w:kern w:val="24"/>
          <w:sz w:val="24"/>
          <w:szCs w:val="24"/>
        </w:rPr>
        <w:t>Findings</w:t>
      </w:r>
      <w:r w:rsidR="00B832F7">
        <w:rPr>
          <w:rFonts w:ascii="Arial" w:eastAsia="Times New Roman" w:hAnsi="Arial" w:cs="Arial"/>
          <w:b/>
          <w:caps/>
          <w:kern w:val="24"/>
          <w:sz w:val="24"/>
          <w:szCs w:val="24"/>
        </w:rPr>
        <w:t xml:space="preserve"> - benchmarking</w:t>
      </w:r>
    </w:p>
    <w:p w:rsidR="00115B74" w:rsidRDefault="00115B74" w:rsidP="00115B74">
      <w:pPr>
        <w:pStyle w:val="ListParagraph"/>
        <w:spacing w:before="240" w:after="120" w:line="240" w:lineRule="auto"/>
        <w:ind w:left="360"/>
        <w:rPr>
          <w:rFonts w:ascii="Arial" w:eastAsia="Times New Roman" w:hAnsi="Arial" w:cs="Arial"/>
          <w:b/>
          <w:caps/>
          <w:kern w:val="24"/>
          <w:sz w:val="24"/>
          <w:szCs w:val="24"/>
        </w:rPr>
      </w:pPr>
    </w:p>
    <w:p w:rsidR="00115B74" w:rsidRPr="005B2742" w:rsidRDefault="00115B74" w:rsidP="00115B74">
      <w:pPr>
        <w:pStyle w:val="ListParagraph"/>
        <w:numPr>
          <w:ilvl w:val="1"/>
          <w:numId w:val="1"/>
        </w:numPr>
        <w:spacing w:before="240" w:after="120" w:line="240" w:lineRule="auto"/>
        <w:rPr>
          <w:rFonts w:ascii="Arial" w:eastAsia="Times New Roman" w:hAnsi="Arial" w:cs="Arial"/>
          <w:b/>
          <w:caps/>
          <w:kern w:val="24"/>
          <w:sz w:val="24"/>
          <w:szCs w:val="24"/>
        </w:rPr>
      </w:pPr>
      <w:r w:rsidRPr="00115B74">
        <w:rPr>
          <w:rFonts w:ascii="Arial" w:eastAsia="Times New Roman" w:hAnsi="Arial" w:cs="Arial"/>
          <w:kern w:val="24"/>
          <w:sz w:val="24"/>
          <w:szCs w:val="24"/>
        </w:rPr>
        <w:t>Nine providers contributed to the benchmarking survey</w:t>
      </w:r>
      <w:r>
        <w:rPr>
          <w:rFonts w:ascii="Arial" w:eastAsia="Times New Roman" w:hAnsi="Arial" w:cs="Arial"/>
          <w:kern w:val="24"/>
          <w:sz w:val="24"/>
          <w:szCs w:val="24"/>
        </w:rPr>
        <w:t>, with a combined stock of 43,253 in the subject area. One provider’s data was as at the end of February 2021; the other eight provided March end data. The data is presented at appendix 1.</w:t>
      </w:r>
    </w:p>
    <w:p w:rsidR="005B2742" w:rsidRDefault="005B2742" w:rsidP="005B2742">
      <w:pPr>
        <w:pStyle w:val="ListParagraph"/>
        <w:spacing w:before="240" w:after="120" w:line="240" w:lineRule="auto"/>
        <w:ind w:left="360"/>
        <w:rPr>
          <w:rFonts w:ascii="Arial" w:eastAsia="Times New Roman" w:hAnsi="Arial" w:cs="Arial"/>
          <w:kern w:val="24"/>
          <w:sz w:val="24"/>
          <w:szCs w:val="24"/>
        </w:rPr>
      </w:pPr>
    </w:p>
    <w:p w:rsidR="005B2742" w:rsidRDefault="001126E4" w:rsidP="005B2742">
      <w:pPr>
        <w:pStyle w:val="ListParagraph"/>
        <w:spacing w:before="240" w:after="120" w:line="240" w:lineRule="auto"/>
        <w:ind w:left="360"/>
        <w:rPr>
          <w:rFonts w:ascii="Arial" w:eastAsia="Times New Roman" w:hAnsi="Arial" w:cs="Arial"/>
          <w:b/>
          <w:kern w:val="24"/>
          <w:sz w:val="24"/>
          <w:szCs w:val="24"/>
        </w:rPr>
      </w:pPr>
      <w:r w:rsidRPr="001126E4">
        <w:rPr>
          <w:rFonts w:ascii="Arial" w:eastAsia="Times New Roman" w:hAnsi="Arial" w:cs="Arial"/>
          <w:b/>
          <w:kern w:val="24"/>
          <w:sz w:val="24"/>
          <w:szCs w:val="24"/>
        </w:rPr>
        <w:t>High level data</w:t>
      </w:r>
    </w:p>
    <w:p w:rsidR="001126E4" w:rsidRPr="001126E4" w:rsidRDefault="001126E4" w:rsidP="005B2742">
      <w:pPr>
        <w:pStyle w:val="ListParagraph"/>
        <w:spacing w:before="240" w:after="120" w:line="240" w:lineRule="auto"/>
        <w:ind w:left="360"/>
        <w:rPr>
          <w:rFonts w:ascii="Arial" w:eastAsia="Times New Roman" w:hAnsi="Arial" w:cs="Arial"/>
          <w:b/>
          <w:caps/>
          <w:kern w:val="24"/>
          <w:sz w:val="24"/>
          <w:szCs w:val="24"/>
        </w:rPr>
      </w:pPr>
    </w:p>
    <w:p w:rsidR="00115B74" w:rsidRPr="004256E9" w:rsidRDefault="00115B74" w:rsidP="00115B74">
      <w:pPr>
        <w:pStyle w:val="ListParagraph"/>
        <w:numPr>
          <w:ilvl w:val="1"/>
          <w:numId w:val="1"/>
        </w:numPr>
        <w:spacing w:before="240" w:after="120" w:line="240" w:lineRule="auto"/>
        <w:rPr>
          <w:rFonts w:ascii="Arial" w:eastAsia="Times New Roman" w:hAnsi="Arial" w:cs="Arial"/>
          <w:b/>
          <w:caps/>
          <w:kern w:val="24"/>
          <w:sz w:val="24"/>
          <w:szCs w:val="24"/>
        </w:rPr>
      </w:pPr>
      <w:r w:rsidRPr="00115B74">
        <w:rPr>
          <w:rFonts w:ascii="Arial" w:eastAsia="Times New Roman" w:hAnsi="Arial" w:cs="Arial"/>
          <w:caps/>
          <w:kern w:val="24"/>
          <w:sz w:val="24"/>
          <w:szCs w:val="24"/>
        </w:rPr>
        <w:t xml:space="preserve">13,494 </w:t>
      </w:r>
      <w:r w:rsidRPr="00115B74">
        <w:rPr>
          <w:rFonts w:ascii="Arial" w:eastAsia="Times New Roman" w:hAnsi="Arial" w:cs="Arial"/>
          <w:kern w:val="24"/>
          <w:sz w:val="24"/>
          <w:szCs w:val="24"/>
        </w:rPr>
        <w:t>accounts (32.1% of the total) were in arrears</w:t>
      </w:r>
      <w:r>
        <w:rPr>
          <w:rFonts w:ascii="Arial" w:eastAsia="Times New Roman" w:hAnsi="Arial" w:cs="Arial"/>
          <w:kern w:val="24"/>
          <w:sz w:val="24"/>
          <w:szCs w:val="24"/>
        </w:rPr>
        <w:t>. Peterborough had the lowest number of accounts in arrears (20.4%), while Fenland had the highest number (47.2%)</w:t>
      </w:r>
    </w:p>
    <w:p w:rsidR="004256E9" w:rsidRPr="005B2742" w:rsidRDefault="004256E9" w:rsidP="004256E9">
      <w:pPr>
        <w:pStyle w:val="ListParagraph"/>
        <w:numPr>
          <w:ilvl w:val="1"/>
          <w:numId w:val="1"/>
        </w:numPr>
        <w:spacing w:before="240" w:after="120" w:line="240" w:lineRule="auto"/>
        <w:rPr>
          <w:rFonts w:ascii="Arial" w:eastAsia="Times New Roman" w:hAnsi="Arial" w:cs="Arial"/>
          <w:b/>
          <w:caps/>
          <w:kern w:val="24"/>
          <w:sz w:val="24"/>
          <w:szCs w:val="24"/>
        </w:rPr>
      </w:pPr>
      <w:r w:rsidRPr="004256E9">
        <w:rPr>
          <w:rFonts w:ascii="Arial" w:eastAsia="Times New Roman" w:hAnsi="Arial" w:cs="Arial"/>
          <w:sz w:val="24"/>
          <w:szCs w:val="24"/>
        </w:rPr>
        <w:t xml:space="preserve">We asked providers to express arrears as a percentage of the rent roll, including when split down into methods of payment. This was, on reflection, not phrased in a clear way and there was a fairly even split in how people interpreted the request for arrears as a %age of rent roll. I don’t think this data is as important as some of the other data so I propose we </w:t>
      </w:r>
      <w:r w:rsidR="005B2742">
        <w:rPr>
          <w:rFonts w:ascii="Arial" w:eastAsia="Times New Roman" w:hAnsi="Arial" w:cs="Arial"/>
          <w:sz w:val="24"/>
          <w:szCs w:val="24"/>
        </w:rPr>
        <w:t>stop collecting it.</w:t>
      </w:r>
    </w:p>
    <w:p w:rsidR="001126E4" w:rsidRPr="001126E4" w:rsidRDefault="005B2742" w:rsidP="004256E9">
      <w:pPr>
        <w:pStyle w:val="ListParagraph"/>
        <w:numPr>
          <w:ilvl w:val="1"/>
          <w:numId w:val="1"/>
        </w:numPr>
        <w:spacing w:before="240" w:after="120" w:line="240" w:lineRule="auto"/>
        <w:rPr>
          <w:rFonts w:ascii="Arial" w:eastAsia="Times New Roman" w:hAnsi="Arial" w:cs="Arial"/>
          <w:b/>
          <w:caps/>
          <w:kern w:val="24"/>
          <w:sz w:val="24"/>
          <w:szCs w:val="24"/>
        </w:rPr>
      </w:pPr>
      <w:r>
        <w:rPr>
          <w:rFonts w:ascii="Arial" w:eastAsia="Times New Roman" w:hAnsi="Arial" w:cs="Arial"/>
          <w:sz w:val="24"/>
          <w:szCs w:val="24"/>
        </w:rPr>
        <w:t>The average arrears balance ranged from £411 (West Suffolk) to Cambridge City (£530). The latter balance may be explained by the likely higher average rent in that area, though I have not undertaken verification of that suspicion.</w:t>
      </w:r>
    </w:p>
    <w:p w:rsidR="001126E4" w:rsidRDefault="001126E4" w:rsidP="001126E4">
      <w:pPr>
        <w:pStyle w:val="ListParagraph"/>
        <w:spacing w:before="240" w:after="120" w:line="240" w:lineRule="auto"/>
        <w:ind w:left="284"/>
        <w:rPr>
          <w:rFonts w:ascii="Arial" w:eastAsia="Times New Roman" w:hAnsi="Arial" w:cs="Arial"/>
          <w:sz w:val="24"/>
          <w:szCs w:val="24"/>
        </w:rPr>
      </w:pPr>
    </w:p>
    <w:p w:rsidR="001126E4" w:rsidRDefault="001126E4" w:rsidP="001126E4">
      <w:pPr>
        <w:pStyle w:val="ListParagraph"/>
        <w:spacing w:before="240" w:after="120" w:line="240" w:lineRule="auto"/>
        <w:ind w:left="284"/>
        <w:rPr>
          <w:rFonts w:ascii="Arial" w:eastAsia="Times New Roman" w:hAnsi="Arial" w:cs="Arial"/>
          <w:b/>
          <w:sz w:val="24"/>
          <w:szCs w:val="24"/>
        </w:rPr>
      </w:pPr>
      <w:r w:rsidRPr="001126E4">
        <w:rPr>
          <w:rFonts w:ascii="Arial" w:eastAsia="Times New Roman" w:hAnsi="Arial" w:cs="Arial"/>
          <w:b/>
          <w:sz w:val="24"/>
          <w:szCs w:val="24"/>
        </w:rPr>
        <w:t>Referrals for money advice</w:t>
      </w:r>
    </w:p>
    <w:p w:rsidR="001126E4" w:rsidRPr="001126E4" w:rsidRDefault="001126E4" w:rsidP="001126E4">
      <w:pPr>
        <w:pStyle w:val="ListParagraph"/>
        <w:spacing w:before="240" w:after="120" w:line="240" w:lineRule="auto"/>
        <w:ind w:left="284"/>
        <w:rPr>
          <w:rFonts w:ascii="Arial" w:eastAsia="Times New Roman" w:hAnsi="Arial" w:cs="Arial"/>
          <w:b/>
          <w:caps/>
          <w:kern w:val="24"/>
          <w:sz w:val="24"/>
          <w:szCs w:val="24"/>
        </w:rPr>
      </w:pPr>
    </w:p>
    <w:p w:rsidR="005B2742" w:rsidRPr="001126E4" w:rsidRDefault="005B2742" w:rsidP="004256E9">
      <w:pPr>
        <w:pStyle w:val="ListParagraph"/>
        <w:numPr>
          <w:ilvl w:val="1"/>
          <w:numId w:val="1"/>
        </w:numPr>
        <w:spacing w:before="240" w:after="120" w:line="240" w:lineRule="auto"/>
        <w:rPr>
          <w:rFonts w:ascii="Arial" w:eastAsia="Times New Roman" w:hAnsi="Arial" w:cs="Arial"/>
          <w:b/>
          <w:caps/>
          <w:kern w:val="24"/>
          <w:sz w:val="24"/>
          <w:szCs w:val="24"/>
        </w:rPr>
      </w:pPr>
      <w:r>
        <w:rPr>
          <w:rFonts w:ascii="Arial" w:eastAsia="Times New Roman" w:hAnsi="Arial" w:cs="Arial"/>
          <w:sz w:val="24"/>
          <w:szCs w:val="24"/>
        </w:rPr>
        <w:t>With one or two notable exceptions, providers are not keeping records of how many households are referred for professional money advice or support.</w:t>
      </w:r>
    </w:p>
    <w:p w:rsidR="001126E4" w:rsidRDefault="001126E4" w:rsidP="001126E4">
      <w:pPr>
        <w:spacing w:before="240" w:after="120" w:line="240" w:lineRule="auto"/>
        <w:ind w:firstLine="360"/>
        <w:rPr>
          <w:rFonts w:ascii="Arial" w:eastAsia="Times New Roman" w:hAnsi="Arial" w:cs="Arial"/>
          <w:b/>
          <w:sz w:val="24"/>
          <w:szCs w:val="24"/>
        </w:rPr>
      </w:pPr>
      <w:r w:rsidRPr="001126E4">
        <w:rPr>
          <w:rFonts w:ascii="Arial" w:eastAsia="Times New Roman" w:hAnsi="Arial" w:cs="Arial"/>
          <w:b/>
          <w:sz w:val="24"/>
          <w:szCs w:val="24"/>
        </w:rPr>
        <w:t>Average arrears balances</w:t>
      </w:r>
    </w:p>
    <w:p w:rsidR="00022F99" w:rsidRDefault="001126E4" w:rsidP="001126E4">
      <w:pPr>
        <w:pStyle w:val="ListParagraph"/>
        <w:numPr>
          <w:ilvl w:val="1"/>
          <w:numId w:val="1"/>
        </w:numPr>
        <w:spacing w:before="240" w:after="120" w:line="240" w:lineRule="auto"/>
        <w:rPr>
          <w:rFonts w:ascii="Arial" w:eastAsia="Times New Roman" w:hAnsi="Arial" w:cs="Arial"/>
          <w:sz w:val="24"/>
          <w:szCs w:val="24"/>
        </w:rPr>
      </w:pPr>
      <w:r w:rsidRPr="001126E4">
        <w:rPr>
          <w:rFonts w:ascii="Arial" w:eastAsia="Times New Roman" w:hAnsi="Arial" w:cs="Arial"/>
          <w:sz w:val="24"/>
          <w:szCs w:val="24"/>
        </w:rPr>
        <w:t xml:space="preserve">Within </w:t>
      </w:r>
      <w:r>
        <w:rPr>
          <w:rFonts w:ascii="Arial" w:eastAsia="Times New Roman" w:hAnsi="Arial" w:cs="Arial"/>
          <w:sz w:val="24"/>
          <w:szCs w:val="24"/>
        </w:rPr>
        <w:t xml:space="preserve">each </w:t>
      </w:r>
      <w:r w:rsidR="00144F24">
        <w:rPr>
          <w:rFonts w:ascii="Arial" w:eastAsia="Times New Roman" w:hAnsi="Arial" w:cs="Arial"/>
          <w:sz w:val="24"/>
          <w:szCs w:val="24"/>
        </w:rPr>
        <w:t xml:space="preserve">local authority area, there were significant variations in average </w:t>
      </w:r>
      <w:r w:rsidR="00DE280F">
        <w:rPr>
          <w:rFonts w:ascii="Arial" w:eastAsia="Times New Roman" w:hAnsi="Arial" w:cs="Arial"/>
          <w:sz w:val="24"/>
          <w:szCs w:val="24"/>
        </w:rPr>
        <w:t>arrears</w:t>
      </w:r>
      <w:r w:rsidR="00144F24">
        <w:rPr>
          <w:rFonts w:ascii="Arial" w:eastAsia="Times New Roman" w:hAnsi="Arial" w:cs="Arial"/>
          <w:sz w:val="24"/>
          <w:szCs w:val="24"/>
        </w:rPr>
        <w:t xml:space="preserve"> levels</w:t>
      </w:r>
      <w:r w:rsidR="00DE280F">
        <w:rPr>
          <w:rFonts w:ascii="Arial" w:eastAsia="Times New Roman" w:hAnsi="Arial" w:cs="Arial"/>
          <w:sz w:val="24"/>
          <w:szCs w:val="24"/>
        </w:rPr>
        <w:t xml:space="preserve"> between providers. There appears to be no obvious pattern to this. In a few cases, where a provider has a small number of properties in a particular LA area, the arrears were distinctly higher, but there were also examples of the opposite.</w:t>
      </w:r>
    </w:p>
    <w:p w:rsidR="00DE280F" w:rsidRPr="00E71B23" w:rsidRDefault="00022F99" w:rsidP="001126E4">
      <w:pPr>
        <w:pStyle w:val="ListParagraph"/>
        <w:numPr>
          <w:ilvl w:val="1"/>
          <w:numId w:val="1"/>
        </w:numPr>
        <w:spacing w:before="240" w:after="120" w:line="240" w:lineRule="auto"/>
        <w:rPr>
          <w:rFonts w:ascii="Arial" w:eastAsia="Times New Roman" w:hAnsi="Arial" w:cs="Arial"/>
          <w:sz w:val="24"/>
          <w:szCs w:val="24"/>
        </w:rPr>
      </w:pPr>
      <w:r w:rsidRPr="00E71B23">
        <w:rPr>
          <w:rFonts w:ascii="Arial" w:eastAsia="Times New Roman" w:hAnsi="Arial" w:cs="Arial"/>
          <w:sz w:val="24"/>
          <w:szCs w:val="24"/>
        </w:rPr>
        <w:t xml:space="preserve">It has been rightly pointed out that one would expect the numbers of accounts in arrears (row 5) to equal the sum of rows 12, 16 &amp; 20. In the majority of cases, it doesn’t. </w:t>
      </w:r>
      <w:r w:rsidR="00E71B23" w:rsidRPr="00E71B23">
        <w:rPr>
          <w:rFonts w:ascii="Arial" w:eastAsia="Times New Roman" w:hAnsi="Arial" w:cs="Arial"/>
          <w:sz w:val="24"/>
          <w:szCs w:val="24"/>
        </w:rPr>
        <w:t>It transpires that the data provided by three of the participants is somewhat flawed. Given the timing</w:t>
      </w:r>
      <w:r w:rsidR="00E71B23">
        <w:rPr>
          <w:rFonts w:ascii="Arial" w:eastAsia="Times New Roman" w:hAnsi="Arial" w:cs="Arial"/>
          <w:sz w:val="24"/>
          <w:szCs w:val="24"/>
        </w:rPr>
        <w:t xml:space="preserve"> (i.e. by the time of Housing Board, we will be in month three of the first quarter)</w:t>
      </w:r>
      <w:r w:rsidR="00E71B23" w:rsidRPr="00E71B23">
        <w:rPr>
          <w:rFonts w:ascii="Arial" w:eastAsia="Times New Roman" w:hAnsi="Arial" w:cs="Arial"/>
          <w:sz w:val="24"/>
          <w:szCs w:val="24"/>
        </w:rPr>
        <w:t xml:space="preserve">, I propose that we correct this for the quarter 1 data collection. </w:t>
      </w:r>
      <w:r w:rsidRPr="00E71B23">
        <w:rPr>
          <w:rFonts w:ascii="Arial" w:eastAsia="Times New Roman" w:hAnsi="Arial" w:cs="Arial"/>
          <w:sz w:val="24"/>
          <w:szCs w:val="24"/>
        </w:rPr>
        <w:t xml:space="preserve"> </w:t>
      </w:r>
      <w:r w:rsidR="00DE280F" w:rsidRPr="00E71B23">
        <w:rPr>
          <w:rFonts w:ascii="Arial" w:eastAsia="Times New Roman" w:hAnsi="Arial" w:cs="Arial"/>
          <w:sz w:val="24"/>
          <w:szCs w:val="24"/>
        </w:rPr>
        <w:t xml:space="preserve"> </w:t>
      </w:r>
    </w:p>
    <w:p w:rsidR="001126E4" w:rsidRDefault="00DE280F" w:rsidP="001126E4">
      <w:pPr>
        <w:pStyle w:val="ListParagraph"/>
        <w:numPr>
          <w:ilvl w:val="1"/>
          <w:numId w:val="1"/>
        </w:numPr>
        <w:spacing w:before="240" w:after="120" w:line="240" w:lineRule="auto"/>
        <w:rPr>
          <w:rFonts w:ascii="Arial" w:eastAsia="Times New Roman" w:hAnsi="Arial" w:cs="Arial"/>
          <w:sz w:val="24"/>
          <w:szCs w:val="24"/>
        </w:rPr>
      </w:pPr>
      <w:r>
        <w:rPr>
          <w:rFonts w:ascii="Arial" w:eastAsia="Times New Roman" w:hAnsi="Arial" w:cs="Arial"/>
          <w:sz w:val="24"/>
          <w:szCs w:val="24"/>
        </w:rPr>
        <w:t xml:space="preserve">Average arrears balances tended to be higher among Universal Credit claimants than those in receipt of Housing Benefit. Self-payers perhaps sit between the two. </w:t>
      </w:r>
      <w:r w:rsidR="00E105E3">
        <w:rPr>
          <w:rFonts w:ascii="Arial" w:eastAsia="Times New Roman" w:hAnsi="Arial" w:cs="Arial"/>
          <w:sz w:val="24"/>
          <w:szCs w:val="24"/>
        </w:rPr>
        <w:t xml:space="preserve">However, again, there was no clear pattern. </w:t>
      </w:r>
    </w:p>
    <w:p w:rsidR="00E105E3" w:rsidRPr="00E105E3" w:rsidRDefault="00E105E3" w:rsidP="001126E4">
      <w:pPr>
        <w:pStyle w:val="ListParagraph"/>
        <w:numPr>
          <w:ilvl w:val="1"/>
          <w:numId w:val="1"/>
        </w:numPr>
        <w:spacing w:before="240" w:after="120" w:line="240" w:lineRule="auto"/>
        <w:rPr>
          <w:rFonts w:ascii="Arial" w:eastAsia="Times New Roman" w:hAnsi="Arial" w:cs="Arial"/>
          <w:sz w:val="24"/>
          <w:szCs w:val="24"/>
        </w:rPr>
      </w:pPr>
      <w:r w:rsidRPr="00E105E3">
        <w:rPr>
          <w:rFonts w:ascii="Arial" w:eastAsia="Times New Roman" w:hAnsi="Arial" w:cs="Arial"/>
          <w:sz w:val="24"/>
          <w:szCs w:val="24"/>
        </w:rPr>
        <w:t xml:space="preserve">On reflection, it would have been useful to collect data on the number of UC and HB claimants and self-payers by provider and by LA. This would have enabled us to assess the relative numbers in arrears by method of payment in each LA area. </w:t>
      </w:r>
      <w:r w:rsidRPr="00E105E3">
        <w:rPr>
          <w:rFonts w:ascii="Arial" w:hAnsi="Arial" w:cs="Arial"/>
          <w:sz w:val="24"/>
          <w:szCs w:val="24"/>
        </w:rPr>
        <w:t xml:space="preserve">Some areas may have higher levels of UC claimants than </w:t>
      </w:r>
      <w:r w:rsidRPr="00E105E3">
        <w:rPr>
          <w:rFonts w:ascii="Arial" w:hAnsi="Arial" w:cs="Arial"/>
          <w:sz w:val="24"/>
          <w:szCs w:val="24"/>
        </w:rPr>
        <w:lastRenderedPageBreak/>
        <w:t xml:space="preserve">others, </w:t>
      </w:r>
      <w:r>
        <w:rPr>
          <w:rFonts w:ascii="Arial" w:hAnsi="Arial" w:cs="Arial"/>
          <w:sz w:val="24"/>
          <w:szCs w:val="24"/>
        </w:rPr>
        <w:t>which could impact on average arrears levels. T</w:t>
      </w:r>
      <w:r w:rsidRPr="00E105E3">
        <w:rPr>
          <w:rFonts w:ascii="Arial" w:hAnsi="Arial" w:cs="Arial"/>
          <w:sz w:val="24"/>
          <w:szCs w:val="24"/>
        </w:rPr>
        <w:t xml:space="preserve">his then may lead to </w:t>
      </w:r>
      <w:r>
        <w:rPr>
          <w:rFonts w:ascii="Arial" w:hAnsi="Arial" w:cs="Arial"/>
          <w:sz w:val="24"/>
          <w:szCs w:val="24"/>
        </w:rPr>
        <w:t xml:space="preserve">the need for </w:t>
      </w:r>
      <w:r w:rsidRPr="00E105E3">
        <w:rPr>
          <w:rFonts w:ascii="Arial" w:hAnsi="Arial" w:cs="Arial"/>
          <w:sz w:val="24"/>
          <w:szCs w:val="24"/>
        </w:rPr>
        <w:t>higher levels of referrals to support.</w:t>
      </w:r>
    </w:p>
    <w:p w:rsidR="001126E4" w:rsidRPr="00E71B23" w:rsidRDefault="00E105E3" w:rsidP="00E105E3">
      <w:pPr>
        <w:pStyle w:val="ListParagraph"/>
        <w:numPr>
          <w:ilvl w:val="1"/>
          <w:numId w:val="1"/>
        </w:numPr>
        <w:spacing w:before="240" w:after="120" w:line="240" w:lineRule="auto"/>
        <w:rPr>
          <w:rFonts w:ascii="Arial" w:eastAsia="Times New Roman" w:hAnsi="Arial" w:cs="Arial"/>
          <w:sz w:val="24"/>
          <w:szCs w:val="24"/>
        </w:rPr>
      </w:pPr>
      <w:r>
        <w:rPr>
          <w:rFonts w:ascii="Arial" w:hAnsi="Arial" w:cs="Arial"/>
          <w:sz w:val="24"/>
          <w:szCs w:val="24"/>
        </w:rPr>
        <w:t xml:space="preserve">This additional data could also enable us </w:t>
      </w:r>
      <w:r w:rsidRPr="00E105E3">
        <w:rPr>
          <w:rFonts w:ascii="Arial" w:hAnsi="Arial" w:cs="Arial"/>
          <w:sz w:val="24"/>
          <w:szCs w:val="24"/>
        </w:rPr>
        <w:t>to see where there are high levels of UC claimants but arrears numbers are low in comparison</w:t>
      </w:r>
      <w:r>
        <w:rPr>
          <w:rFonts w:ascii="Arial" w:hAnsi="Arial" w:cs="Arial"/>
          <w:sz w:val="24"/>
          <w:szCs w:val="24"/>
        </w:rPr>
        <w:t xml:space="preserve">, which could </w:t>
      </w:r>
      <w:r w:rsidRPr="00E105E3">
        <w:rPr>
          <w:rFonts w:ascii="Arial" w:hAnsi="Arial" w:cs="Arial"/>
          <w:sz w:val="24"/>
          <w:szCs w:val="24"/>
        </w:rPr>
        <w:t xml:space="preserve">prompt a conversation about how this has been achieved, </w:t>
      </w:r>
      <w:r>
        <w:rPr>
          <w:rFonts w:ascii="Arial" w:hAnsi="Arial" w:cs="Arial"/>
          <w:sz w:val="24"/>
          <w:szCs w:val="24"/>
        </w:rPr>
        <w:t xml:space="preserve">and </w:t>
      </w:r>
      <w:r w:rsidRPr="00E105E3">
        <w:rPr>
          <w:rFonts w:ascii="Arial" w:hAnsi="Arial" w:cs="Arial"/>
          <w:sz w:val="24"/>
          <w:szCs w:val="24"/>
        </w:rPr>
        <w:t>any learning that can be taken</w:t>
      </w:r>
      <w:r>
        <w:rPr>
          <w:rFonts w:ascii="Arial" w:hAnsi="Arial" w:cs="Arial"/>
          <w:sz w:val="24"/>
          <w:szCs w:val="24"/>
        </w:rPr>
        <w:t xml:space="preserve">. </w:t>
      </w:r>
    </w:p>
    <w:p w:rsidR="00115B74" w:rsidRPr="00115B74" w:rsidRDefault="00115B74" w:rsidP="00115B74">
      <w:pPr>
        <w:pStyle w:val="ListParagraph"/>
        <w:spacing w:before="240" w:after="120" w:line="240" w:lineRule="auto"/>
        <w:ind w:left="360"/>
        <w:rPr>
          <w:rFonts w:ascii="Arial" w:eastAsia="Times New Roman" w:hAnsi="Arial" w:cs="Arial"/>
          <w:caps/>
          <w:kern w:val="24"/>
          <w:sz w:val="24"/>
          <w:szCs w:val="24"/>
        </w:rPr>
      </w:pPr>
      <w:bookmarkStart w:id="0" w:name="_GoBack"/>
      <w:bookmarkEnd w:id="0"/>
    </w:p>
    <w:p w:rsidR="00B832F7" w:rsidRDefault="00B832F7" w:rsidP="00862798">
      <w:pPr>
        <w:pStyle w:val="ListParagraph"/>
        <w:numPr>
          <w:ilvl w:val="0"/>
          <w:numId w:val="1"/>
        </w:numPr>
        <w:spacing w:before="240" w:after="120" w:line="240" w:lineRule="auto"/>
        <w:rPr>
          <w:rFonts w:ascii="Arial" w:eastAsia="Times New Roman" w:hAnsi="Arial" w:cs="Arial"/>
          <w:b/>
          <w:caps/>
          <w:kern w:val="24"/>
          <w:sz w:val="24"/>
          <w:szCs w:val="24"/>
        </w:rPr>
      </w:pPr>
      <w:r>
        <w:rPr>
          <w:rFonts w:ascii="Arial" w:eastAsia="Times New Roman" w:hAnsi="Arial" w:cs="Arial"/>
          <w:b/>
          <w:caps/>
          <w:kern w:val="24"/>
          <w:sz w:val="24"/>
          <w:szCs w:val="24"/>
        </w:rPr>
        <w:t>Findings – survey</w:t>
      </w:r>
    </w:p>
    <w:p w:rsidR="00B832F7" w:rsidRDefault="00B832F7" w:rsidP="00B832F7">
      <w:pPr>
        <w:pStyle w:val="ListParagraph"/>
        <w:spacing w:before="240" w:after="120" w:line="240" w:lineRule="auto"/>
        <w:ind w:left="360"/>
        <w:rPr>
          <w:rFonts w:ascii="Arial" w:eastAsia="Times New Roman" w:hAnsi="Arial" w:cs="Arial"/>
          <w:b/>
          <w:caps/>
          <w:kern w:val="24"/>
          <w:sz w:val="24"/>
          <w:szCs w:val="24"/>
        </w:rPr>
      </w:pPr>
    </w:p>
    <w:p w:rsidR="00B832F7" w:rsidRPr="00E45C55" w:rsidRDefault="00E45C55" w:rsidP="00B832F7">
      <w:pPr>
        <w:pStyle w:val="ListParagraph"/>
        <w:numPr>
          <w:ilvl w:val="1"/>
          <w:numId w:val="1"/>
        </w:numPr>
        <w:spacing w:before="240" w:after="120" w:line="240" w:lineRule="auto"/>
        <w:rPr>
          <w:rFonts w:ascii="Arial" w:eastAsia="Times New Roman" w:hAnsi="Arial" w:cs="Arial"/>
          <w:caps/>
          <w:kern w:val="24"/>
          <w:sz w:val="24"/>
          <w:szCs w:val="24"/>
        </w:rPr>
      </w:pPr>
      <w:r>
        <w:rPr>
          <w:rFonts w:ascii="Arial" w:eastAsia="Times New Roman" w:hAnsi="Arial" w:cs="Arial"/>
          <w:sz w:val="24"/>
          <w:szCs w:val="24"/>
        </w:rPr>
        <w:t>The survey responses (attached as appendix 2) demonstrate a fair degree of commonality in terms of approaches to supporting customers, who struggled financially. The key messages I take from the feedback are as follows:</w:t>
      </w:r>
    </w:p>
    <w:p w:rsidR="00E45C55" w:rsidRPr="00E45C55" w:rsidRDefault="00E45C55" w:rsidP="00E45C55">
      <w:pPr>
        <w:pStyle w:val="ListParagraph"/>
        <w:numPr>
          <w:ilvl w:val="2"/>
          <w:numId w:val="1"/>
        </w:numPr>
        <w:spacing w:before="240" w:after="120" w:line="240" w:lineRule="auto"/>
        <w:rPr>
          <w:rFonts w:ascii="Arial" w:eastAsia="Times New Roman" w:hAnsi="Arial" w:cs="Arial"/>
          <w:caps/>
          <w:kern w:val="24"/>
          <w:sz w:val="24"/>
          <w:szCs w:val="24"/>
        </w:rPr>
      </w:pPr>
      <w:r>
        <w:rPr>
          <w:rFonts w:ascii="Arial" w:eastAsia="Times New Roman" w:hAnsi="Arial" w:cs="Arial"/>
          <w:sz w:val="24"/>
          <w:szCs w:val="24"/>
        </w:rPr>
        <w:t>Many providers saw a changing demographic in terms of the people falling into deb and seeking assistance;</w:t>
      </w:r>
    </w:p>
    <w:p w:rsidR="00E45C55" w:rsidRPr="00E45C55" w:rsidRDefault="00E45C55" w:rsidP="00E45C55">
      <w:pPr>
        <w:pStyle w:val="ListParagraph"/>
        <w:numPr>
          <w:ilvl w:val="2"/>
          <w:numId w:val="1"/>
        </w:numPr>
        <w:spacing w:before="240" w:after="120" w:line="240" w:lineRule="auto"/>
        <w:rPr>
          <w:rFonts w:ascii="Arial" w:eastAsia="Times New Roman" w:hAnsi="Arial" w:cs="Arial"/>
          <w:caps/>
          <w:kern w:val="24"/>
          <w:sz w:val="24"/>
          <w:szCs w:val="24"/>
        </w:rPr>
      </w:pPr>
      <w:r>
        <w:rPr>
          <w:rFonts w:ascii="Arial" w:eastAsia="Times New Roman" w:hAnsi="Arial" w:cs="Arial"/>
          <w:sz w:val="24"/>
          <w:szCs w:val="24"/>
        </w:rPr>
        <w:t xml:space="preserve">The benefits of access to dedicated financial advice is clear; </w:t>
      </w:r>
    </w:p>
    <w:p w:rsidR="00E45C55" w:rsidRPr="00E45C55" w:rsidRDefault="00E45C55" w:rsidP="00E45C55">
      <w:pPr>
        <w:pStyle w:val="ListParagraph"/>
        <w:numPr>
          <w:ilvl w:val="2"/>
          <w:numId w:val="1"/>
        </w:numPr>
        <w:spacing w:before="240" w:after="120" w:line="240" w:lineRule="auto"/>
        <w:rPr>
          <w:rFonts w:ascii="Arial" w:eastAsia="Times New Roman" w:hAnsi="Arial" w:cs="Arial"/>
          <w:caps/>
          <w:kern w:val="24"/>
          <w:sz w:val="24"/>
          <w:szCs w:val="24"/>
        </w:rPr>
      </w:pPr>
      <w:r>
        <w:rPr>
          <w:rFonts w:ascii="Arial" w:eastAsia="Times New Roman" w:hAnsi="Arial" w:cs="Arial"/>
          <w:sz w:val="24"/>
          <w:szCs w:val="24"/>
        </w:rPr>
        <w:t>Practical, financial support was utilised well by several providers;</w:t>
      </w:r>
    </w:p>
    <w:p w:rsidR="00E45C55" w:rsidRPr="00E45C55" w:rsidRDefault="00E45C55" w:rsidP="00E45C55">
      <w:pPr>
        <w:pStyle w:val="ListParagraph"/>
        <w:numPr>
          <w:ilvl w:val="2"/>
          <w:numId w:val="1"/>
        </w:numPr>
        <w:spacing w:before="240" w:after="120" w:line="240" w:lineRule="auto"/>
        <w:rPr>
          <w:rFonts w:ascii="Arial" w:eastAsia="Times New Roman" w:hAnsi="Arial" w:cs="Arial"/>
          <w:caps/>
          <w:kern w:val="24"/>
          <w:sz w:val="24"/>
          <w:szCs w:val="24"/>
        </w:rPr>
      </w:pPr>
      <w:r>
        <w:rPr>
          <w:rFonts w:ascii="Arial" w:eastAsia="Times New Roman" w:hAnsi="Arial" w:cs="Arial"/>
          <w:sz w:val="24"/>
          <w:szCs w:val="24"/>
        </w:rPr>
        <w:t xml:space="preserve">Processes and roles were flexed as appropriate in order to support customers, with a particular focus on support; </w:t>
      </w:r>
    </w:p>
    <w:p w:rsidR="00E45C55" w:rsidRPr="00E45C55" w:rsidRDefault="00E45C55" w:rsidP="00E45C55">
      <w:pPr>
        <w:pStyle w:val="ListParagraph"/>
        <w:numPr>
          <w:ilvl w:val="2"/>
          <w:numId w:val="1"/>
        </w:numPr>
        <w:spacing w:before="240" w:after="120" w:line="240" w:lineRule="auto"/>
        <w:rPr>
          <w:rFonts w:ascii="Arial" w:eastAsia="Times New Roman" w:hAnsi="Arial" w:cs="Arial"/>
          <w:caps/>
          <w:kern w:val="24"/>
          <w:sz w:val="24"/>
          <w:szCs w:val="24"/>
        </w:rPr>
      </w:pPr>
      <w:r>
        <w:rPr>
          <w:rFonts w:ascii="Arial" w:eastAsia="Times New Roman" w:hAnsi="Arial" w:cs="Arial"/>
          <w:sz w:val="24"/>
          <w:szCs w:val="24"/>
        </w:rPr>
        <w:t>Many providers expect those flexed processes ad more supportive approach to arrears management to become long term changes.</w:t>
      </w:r>
    </w:p>
    <w:p w:rsidR="00D43675" w:rsidRDefault="00D43675" w:rsidP="00D43675">
      <w:pPr>
        <w:pStyle w:val="ListParagraph"/>
        <w:spacing w:before="240" w:after="120" w:line="240" w:lineRule="auto"/>
        <w:ind w:left="360"/>
        <w:rPr>
          <w:rFonts w:ascii="Arial" w:eastAsia="Times New Roman" w:hAnsi="Arial" w:cs="Arial"/>
          <w:caps/>
          <w:kern w:val="24"/>
          <w:sz w:val="24"/>
          <w:szCs w:val="24"/>
        </w:rPr>
      </w:pPr>
    </w:p>
    <w:p w:rsidR="004414F7" w:rsidRDefault="00E105E3" w:rsidP="00862798">
      <w:pPr>
        <w:pStyle w:val="ListParagraph"/>
        <w:numPr>
          <w:ilvl w:val="0"/>
          <w:numId w:val="1"/>
        </w:numPr>
        <w:spacing w:before="240" w:after="120" w:line="240" w:lineRule="auto"/>
        <w:rPr>
          <w:rFonts w:ascii="Arial" w:eastAsia="Times New Roman" w:hAnsi="Arial" w:cs="Arial"/>
          <w:b/>
          <w:caps/>
          <w:kern w:val="24"/>
          <w:sz w:val="24"/>
          <w:szCs w:val="24"/>
        </w:rPr>
      </w:pPr>
      <w:r>
        <w:rPr>
          <w:rFonts w:ascii="Arial" w:eastAsia="Times New Roman" w:hAnsi="Arial" w:cs="Arial"/>
          <w:b/>
          <w:caps/>
          <w:kern w:val="24"/>
          <w:sz w:val="24"/>
          <w:szCs w:val="24"/>
        </w:rPr>
        <w:t xml:space="preserve">conclusions and </w:t>
      </w:r>
      <w:r w:rsidR="004414F7" w:rsidRPr="00862798">
        <w:rPr>
          <w:rFonts w:ascii="Arial" w:eastAsia="Times New Roman" w:hAnsi="Arial" w:cs="Arial"/>
          <w:b/>
          <w:caps/>
          <w:kern w:val="24"/>
          <w:sz w:val="24"/>
          <w:szCs w:val="24"/>
        </w:rPr>
        <w:t>RECOMMENDATIONS</w:t>
      </w:r>
    </w:p>
    <w:p w:rsidR="00E105E3" w:rsidRDefault="00E105E3" w:rsidP="00E105E3">
      <w:pPr>
        <w:pStyle w:val="ListParagraph"/>
        <w:spacing w:before="240" w:after="120" w:line="240" w:lineRule="auto"/>
        <w:ind w:left="360"/>
        <w:rPr>
          <w:rFonts w:ascii="Arial" w:eastAsia="Times New Roman" w:hAnsi="Arial" w:cs="Arial"/>
          <w:b/>
          <w:caps/>
          <w:kern w:val="24"/>
          <w:sz w:val="24"/>
          <w:szCs w:val="24"/>
        </w:rPr>
      </w:pPr>
    </w:p>
    <w:p w:rsidR="004414F7" w:rsidRPr="00913D9C" w:rsidRDefault="00913D9C" w:rsidP="00913D9C">
      <w:pPr>
        <w:pStyle w:val="ListParagraph"/>
        <w:numPr>
          <w:ilvl w:val="1"/>
          <w:numId w:val="1"/>
        </w:numPr>
        <w:spacing w:before="240" w:after="120" w:line="240" w:lineRule="auto"/>
        <w:rPr>
          <w:rFonts w:ascii="Arial" w:eastAsia="Times New Roman" w:hAnsi="Arial" w:cs="Arial"/>
          <w:b/>
          <w:caps/>
          <w:kern w:val="24"/>
          <w:sz w:val="24"/>
          <w:szCs w:val="24"/>
        </w:rPr>
      </w:pPr>
      <w:r w:rsidRPr="00913D9C">
        <w:rPr>
          <w:rFonts w:ascii="Arial" w:eastAsia="Times New Roman" w:hAnsi="Arial" w:cs="Arial"/>
          <w:sz w:val="24"/>
          <w:szCs w:val="24"/>
        </w:rPr>
        <w:t xml:space="preserve">This </w:t>
      </w:r>
      <w:r>
        <w:rPr>
          <w:rFonts w:ascii="Arial" w:eastAsia="Times New Roman" w:hAnsi="Arial" w:cs="Arial"/>
          <w:sz w:val="24"/>
          <w:szCs w:val="24"/>
        </w:rPr>
        <w:t xml:space="preserve">has been a useful exercise to begin to understand the financial impact on social housing customers as a result of the pandemic. It would have been useful to have the equivalent data from the end of March 2020 to be able to assess the year on year change. I will approach those providers who participated to see if they are in a position to provide that data (perhaps even at the high level of total accounts by area, rather than broken down by method of payment). </w:t>
      </w:r>
    </w:p>
    <w:p w:rsidR="00E71B23" w:rsidRPr="00E71B23" w:rsidRDefault="00E71B23" w:rsidP="00913D9C">
      <w:pPr>
        <w:pStyle w:val="ListParagraph"/>
        <w:numPr>
          <w:ilvl w:val="1"/>
          <w:numId w:val="1"/>
        </w:numPr>
        <w:spacing w:before="240" w:after="120" w:line="240" w:lineRule="auto"/>
        <w:rPr>
          <w:rFonts w:ascii="Arial" w:eastAsia="Times New Roman" w:hAnsi="Arial" w:cs="Arial"/>
          <w:b/>
          <w:caps/>
          <w:kern w:val="24"/>
          <w:sz w:val="24"/>
          <w:szCs w:val="24"/>
        </w:rPr>
      </w:pPr>
      <w:r>
        <w:rPr>
          <w:rFonts w:ascii="Arial" w:eastAsia="Times New Roman" w:hAnsi="Arial" w:cs="Arial"/>
          <w:sz w:val="24"/>
          <w:szCs w:val="24"/>
        </w:rPr>
        <w:t>The data is somewhat flawed due to some gaps in provision by individual providers. However, I believe it is a useful start in terms of helping us to identify some themes.</w:t>
      </w:r>
    </w:p>
    <w:p w:rsidR="00913D9C" w:rsidRPr="00913D9C" w:rsidRDefault="00913D9C" w:rsidP="00913D9C">
      <w:pPr>
        <w:pStyle w:val="ListParagraph"/>
        <w:numPr>
          <w:ilvl w:val="1"/>
          <w:numId w:val="1"/>
        </w:numPr>
        <w:spacing w:before="240" w:after="120" w:line="240" w:lineRule="auto"/>
        <w:rPr>
          <w:rFonts w:ascii="Arial" w:eastAsia="Times New Roman" w:hAnsi="Arial" w:cs="Arial"/>
          <w:b/>
          <w:caps/>
          <w:kern w:val="24"/>
          <w:sz w:val="24"/>
          <w:szCs w:val="24"/>
        </w:rPr>
      </w:pPr>
      <w:r w:rsidRPr="00913D9C">
        <w:rPr>
          <w:rFonts w:ascii="Arial" w:eastAsia="Times New Roman" w:hAnsi="Arial" w:cs="Arial"/>
          <w:sz w:val="24"/>
          <w:szCs w:val="24"/>
        </w:rPr>
        <w:t xml:space="preserve">There does not appear to be a significant geographical dimension to hardship levels, though, perhaps as expected, UC claimants tend to be in a higher level of arrears. One clear conclusion is that </w:t>
      </w:r>
      <w:r>
        <w:rPr>
          <w:rFonts w:ascii="Arial" w:eastAsia="Times New Roman" w:hAnsi="Arial" w:cs="Arial"/>
          <w:sz w:val="24"/>
          <w:szCs w:val="24"/>
        </w:rPr>
        <w:t>the majority of providers do not record the numbers of customers referred for professional money advice, so we cannot assess whether needs in this area are being met.</w:t>
      </w:r>
    </w:p>
    <w:p w:rsidR="00022F99" w:rsidRPr="00022F99" w:rsidRDefault="00022F99" w:rsidP="00913D9C">
      <w:pPr>
        <w:pStyle w:val="ListParagraph"/>
        <w:numPr>
          <w:ilvl w:val="1"/>
          <w:numId w:val="1"/>
        </w:numPr>
        <w:spacing w:before="240" w:after="120" w:line="240" w:lineRule="auto"/>
        <w:rPr>
          <w:rFonts w:ascii="Arial" w:eastAsia="Times New Roman" w:hAnsi="Arial" w:cs="Arial"/>
          <w:b/>
          <w:caps/>
          <w:kern w:val="24"/>
          <w:sz w:val="24"/>
          <w:szCs w:val="24"/>
        </w:rPr>
      </w:pPr>
      <w:r>
        <w:rPr>
          <w:rFonts w:ascii="Arial" w:eastAsia="Times New Roman" w:hAnsi="Arial" w:cs="Arial"/>
          <w:sz w:val="24"/>
          <w:szCs w:val="24"/>
        </w:rPr>
        <w:t>I would propose the following as actions to take forward:</w:t>
      </w:r>
    </w:p>
    <w:p w:rsidR="00022F99" w:rsidRPr="00022F99" w:rsidRDefault="00022F99" w:rsidP="00022F99">
      <w:pPr>
        <w:pStyle w:val="ListParagraph"/>
        <w:spacing w:before="240" w:after="120" w:line="240" w:lineRule="auto"/>
        <w:ind w:left="1224"/>
        <w:rPr>
          <w:rFonts w:ascii="Arial" w:eastAsia="Times New Roman" w:hAnsi="Arial" w:cs="Arial"/>
          <w:b/>
          <w:caps/>
          <w:kern w:val="24"/>
          <w:sz w:val="24"/>
          <w:szCs w:val="24"/>
        </w:rPr>
      </w:pPr>
    </w:p>
    <w:p w:rsidR="00022F99" w:rsidRPr="00022F99" w:rsidRDefault="00022F99" w:rsidP="00022F99">
      <w:pPr>
        <w:pStyle w:val="ListParagraph"/>
        <w:numPr>
          <w:ilvl w:val="2"/>
          <w:numId w:val="1"/>
        </w:numPr>
        <w:spacing w:before="240" w:after="120" w:line="240" w:lineRule="auto"/>
        <w:rPr>
          <w:rFonts w:ascii="Arial" w:eastAsia="Times New Roman" w:hAnsi="Arial" w:cs="Arial"/>
          <w:b/>
          <w:caps/>
          <w:kern w:val="24"/>
          <w:sz w:val="24"/>
          <w:szCs w:val="24"/>
        </w:rPr>
      </w:pPr>
      <w:r>
        <w:rPr>
          <w:rFonts w:ascii="Arial" w:eastAsia="Times New Roman" w:hAnsi="Arial" w:cs="Arial"/>
          <w:sz w:val="24"/>
          <w:szCs w:val="24"/>
        </w:rPr>
        <w:t xml:space="preserve">To revise the data collection </w:t>
      </w:r>
      <w:proofErr w:type="spellStart"/>
      <w:r w:rsidR="00E71B23">
        <w:rPr>
          <w:rFonts w:ascii="Arial" w:eastAsia="Times New Roman" w:hAnsi="Arial" w:cs="Arial"/>
          <w:sz w:val="24"/>
          <w:szCs w:val="24"/>
        </w:rPr>
        <w:t>proforma</w:t>
      </w:r>
      <w:proofErr w:type="spellEnd"/>
      <w:r w:rsidR="00E71B23">
        <w:rPr>
          <w:rFonts w:ascii="Arial" w:eastAsia="Times New Roman" w:hAnsi="Arial" w:cs="Arial"/>
          <w:sz w:val="24"/>
          <w:szCs w:val="24"/>
        </w:rPr>
        <w:t xml:space="preserve"> </w:t>
      </w:r>
      <w:r>
        <w:rPr>
          <w:rFonts w:ascii="Arial" w:eastAsia="Times New Roman" w:hAnsi="Arial" w:cs="Arial"/>
          <w:sz w:val="24"/>
          <w:szCs w:val="24"/>
        </w:rPr>
        <w:t>to remove the questions around arrears as a percentage of rent roll</w:t>
      </w:r>
      <w:r w:rsidR="00737606">
        <w:rPr>
          <w:rFonts w:ascii="Arial" w:eastAsia="Times New Roman" w:hAnsi="Arial" w:cs="Arial"/>
          <w:sz w:val="24"/>
          <w:szCs w:val="24"/>
        </w:rPr>
        <w:t xml:space="preserve"> and add in data such as number of UC claimants, </w:t>
      </w:r>
      <w:proofErr w:type="spellStart"/>
      <w:r w:rsidR="00737606">
        <w:rPr>
          <w:rFonts w:ascii="Arial" w:eastAsia="Times New Roman" w:hAnsi="Arial" w:cs="Arial"/>
          <w:sz w:val="24"/>
          <w:szCs w:val="24"/>
        </w:rPr>
        <w:t>etc</w:t>
      </w:r>
      <w:proofErr w:type="spellEnd"/>
    </w:p>
    <w:p w:rsidR="00022F99" w:rsidRPr="00022F99" w:rsidRDefault="00022F99" w:rsidP="00022F99">
      <w:pPr>
        <w:pStyle w:val="ListParagraph"/>
        <w:numPr>
          <w:ilvl w:val="2"/>
          <w:numId w:val="1"/>
        </w:numPr>
        <w:spacing w:before="240" w:after="120" w:line="240" w:lineRule="auto"/>
        <w:rPr>
          <w:rFonts w:ascii="Arial" w:eastAsia="Times New Roman" w:hAnsi="Arial" w:cs="Arial"/>
          <w:b/>
          <w:caps/>
          <w:kern w:val="24"/>
          <w:sz w:val="24"/>
          <w:szCs w:val="24"/>
        </w:rPr>
      </w:pPr>
      <w:r>
        <w:rPr>
          <w:rFonts w:ascii="Arial" w:eastAsia="Times New Roman" w:hAnsi="Arial" w:cs="Arial"/>
          <w:sz w:val="24"/>
          <w:szCs w:val="24"/>
        </w:rPr>
        <w:t>To encourage participants (and other providers) to provide a revised data set as at the end of quarter 1 so that we can track changes over time</w:t>
      </w:r>
    </w:p>
    <w:p w:rsidR="00022F99" w:rsidRPr="00E71B23" w:rsidRDefault="00022F99" w:rsidP="00022F99">
      <w:pPr>
        <w:pStyle w:val="ListParagraph"/>
        <w:numPr>
          <w:ilvl w:val="2"/>
          <w:numId w:val="1"/>
        </w:numPr>
        <w:spacing w:before="240" w:after="120" w:line="240" w:lineRule="auto"/>
        <w:rPr>
          <w:rFonts w:ascii="Arial" w:eastAsia="Times New Roman" w:hAnsi="Arial" w:cs="Arial"/>
          <w:b/>
          <w:caps/>
          <w:kern w:val="24"/>
          <w:sz w:val="24"/>
          <w:szCs w:val="24"/>
        </w:rPr>
      </w:pPr>
      <w:r>
        <w:rPr>
          <w:rFonts w:ascii="Arial" w:eastAsia="Times New Roman" w:hAnsi="Arial" w:cs="Arial"/>
          <w:sz w:val="24"/>
          <w:szCs w:val="24"/>
        </w:rPr>
        <w:t>Similarly, to ask participants whether they are able to provide data on the core elements as at the end of financial year 2019/20 so that we can assess changes since the beginning of the pandemic. I would propose this was restricted to high level data, such as number of accounts in arrears</w:t>
      </w:r>
      <w:r w:rsidR="00737606">
        <w:rPr>
          <w:rFonts w:ascii="Arial" w:eastAsia="Times New Roman" w:hAnsi="Arial" w:cs="Arial"/>
          <w:sz w:val="24"/>
          <w:szCs w:val="24"/>
        </w:rPr>
        <w:t xml:space="preserve"> and total arrears by LA area. </w:t>
      </w:r>
    </w:p>
    <w:p w:rsidR="00E71B23" w:rsidRPr="00022F99" w:rsidRDefault="00E71B23" w:rsidP="00022F99">
      <w:pPr>
        <w:pStyle w:val="ListParagraph"/>
        <w:numPr>
          <w:ilvl w:val="2"/>
          <w:numId w:val="1"/>
        </w:numPr>
        <w:spacing w:before="240" w:after="120" w:line="240" w:lineRule="auto"/>
        <w:rPr>
          <w:rFonts w:ascii="Arial" w:eastAsia="Times New Roman" w:hAnsi="Arial" w:cs="Arial"/>
          <w:b/>
          <w:caps/>
          <w:kern w:val="24"/>
          <w:sz w:val="24"/>
          <w:szCs w:val="24"/>
        </w:rPr>
      </w:pPr>
      <w:r>
        <w:rPr>
          <w:rFonts w:ascii="Arial" w:eastAsia="Times New Roman" w:hAnsi="Arial" w:cs="Arial"/>
          <w:sz w:val="24"/>
          <w:szCs w:val="24"/>
        </w:rPr>
        <w:lastRenderedPageBreak/>
        <w:t>To consider how we can encourage housing providers to better record referrals for money advice, so that we can ensure we are making better use of available services to better support our customers.</w:t>
      </w:r>
    </w:p>
    <w:p w:rsidR="004414F7" w:rsidRPr="00E71B23" w:rsidRDefault="00737606" w:rsidP="00737606">
      <w:pPr>
        <w:pStyle w:val="ListParagraph"/>
        <w:numPr>
          <w:ilvl w:val="2"/>
          <w:numId w:val="1"/>
        </w:numPr>
        <w:spacing w:before="240" w:after="120" w:line="240" w:lineRule="auto"/>
        <w:rPr>
          <w:rFonts w:ascii="Arial" w:eastAsia="Times New Roman" w:hAnsi="Arial" w:cs="Arial"/>
          <w:b/>
          <w:caps/>
          <w:kern w:val="24"/>
          <w:sz w:val="24"/>
          <w:szCs w:val="24"/>
        </w:rPr>
      </w:pPr>
      <w:r w:rsidRPr="00737606">
        <w:rPr>
          <w:rFonts w:ascii="Arial" w:eastAsia="Times New Roman" w:hAnsi="Arial" w:cs="Arial"/>
          <w:sz w:val="24"/>
          <w:szCs w:val="24"/>
        </w:rPr>
        <w:t>To take this paper, incorporating Housing Board’s views, to the next meeting of H</w:t>
      </w:r>
      <w:r w:rsidR="004414F7" w:rsidRPr="00737606">
        <w:rPr>
          <w:rFonts w:ascii="Arial" w:hAnsi="Arial" w:cs="Arial"/>
          <w:sz w:val="24"/>
          <w:szCs w:val="24"/>
        </w:rPr>
        <w:t>ome</w:t>
      </w:r>
      <w:r w:rsidRPr="00737606">
        <w:rPr>
          <w:rFonts w:ascii="Arial" w:hAnsi="Arial" w:cs="Arial"/>
          <w:sz w:val="24"/>
          <w:szCs w:val="24"/>
        </w:rPr>
        <w:t>s</w:t>
      </w:r>
      <w:r w:rsidR="004414F7" w:rsidRPr="00737606">
        <w:rPr>
          <w:rFonts w:ascii="Arial" w:hAnsi="Arial" w:cs="Arial"/>
          <w:sz w:val="24"/>
          <w:szCs w:val="24"/>
        </w:rPr>
        <w:t xml:space="preserve"> for Cambridgeshire &amp; Peterborough </w:t>
      </w:r>
      <w:r w:rsidRPr="00737606">
        <w:rPr>
          <w:rFonts w:ascii="Arial" w:hAnsi="Arial" w:cs="Arial"/>
          <w:sz w:val="24"/>
          <w:szCs w:val="24"/>
        </w:rPr>
        <w:t>(</w:t>
      </w:r>
      <w:r w:rsidR="004414F7" w:rsidRPr="00737606">
        <w:rPr>
          <w:rFonts w:ascii="Arial" w:hAnsi="Arial" w:cs="Arial"/>
          <w:sz w:val="24"/>
          <w:szCs w:val="24"/>
        </w:rPr>
        <w:t xml:space="preserve">29 </w:t>
      </w:r>
      <w:r w:rsidRPr="00737606">
        <w:rPr>
          <w:rFonts w:ascii="Arial" w:hAnsi="Arial" w:cs="Arial"/>
          <w:sz w:val="24"/>
          <w:szCs w:val="24"/>
        </w:rPr>
        <w:t xml:space="preserve">June) and the </w:t>
      </w:r>
      <w:r w:rsidR="004414F7" w:rsidRPr="00737606">
        <w:rPr>
          <w:rFonts w:ascii="Arial" w:hAnsi="Arial" w:cs="Arial"/>
          <w:sz w:val="24"/>
          <w:szCs w:val="24"/>
        </w:rPr>
        <w:t>Financial Vulnerability Recovery Group</w:t>
      </w:r>
      <w:r w:rsidRPr="00737606">
        <w:rPr>
          <w:rFonts w:ascii="Arial" w:hAnsi="Arial" w:cs="Arial"/>
          <w:sz w:val="24"/>
          <w:szCs w:val="24"/>
        </w:rPr>
        <w:t xml:space="preserve"> (</w:t>
      </w:r>
      <w:r w:rsidR="004414F7" w:rsidRPr="00737606">
        <w:rPr>
          <w:rFonts w:ascii="Arial" w:hAnsi="Arial" w:cs="Arial"/>
          <w:sz w:val="24"/>
          <w:szCs w:val="24"/>
        </w:rPr>
        <w:t xml:space="preserve">21 </w:t>
      </w:r>
      <w:r w:rsidRPr="00737606">
        <w:rPr>
          <w:rFonts w:ascii="Arial" w:hAnsi="Arial" w:cs="Arial"/>
          <w:sz w:val="24"/>
          <w:szCs w:val="24"/>
        </w:rPr>
        <w:t>June)</w:t>
      </w:r>
      <w:r w:rsidR="00E71B23">
        <w:rPr>
          <w:rFonts w:ascii="Arial" w:hAnsi="Arial" w:cs="Arial"/>
          <w:sz w:val="24"/>
          <w:szCs w:val="24"/>
        </w:rPr>
        <w:t>.</w:t>
      </w:r>
    </w:p>
    <w:p w:rsidR="00E71B23" w:rsidRPr="00737606" w:rsidRDefault="00E71B23" w:rsidP="00737606">
      <w:pPr>
        <w:pStyle w:val="ListParagraph"/>
        <w:numPr>
          <w:ilvl w:val="2"/>
          <w:numId w:val="1"/>
        </w:numPr>
        <w:spacing w:before="240" w:after="120" w:line="240" w:lineRule="auto"/>
        <w:rPr>
          <w:rFonts w:ascii="Arial" w:eastAsia="Times New Roman" w:hAnsi="Arial" w:cs="Arial"/>
          <w:b/>
          <w:caps/>
          <w:kern w:val="24"/>
          <w:sz w:val="24"/>
          <w:szCs w:val="24"/>
        </w:rPr>
      </w:pPr>
      <w:r>
        <w:rPr>
          <w:rFonts w:ascii="Arial" w:hAnsi="Arial" w:cs="Arial"/>
          <w:sz w:val="24"/>
          <w:szCs w:val="24"/>
        </w:rPr>
        <w:t xml:space="preserve">For me to work with Oliver Morley and others to see how we can overlay this data with other, non-housing data, in order to build a batter picture around hardship, need and where we can better target resources. </w:t>
      </w:r>
    </w:p>
    <w:p w:rsidR="004414F7" w:rsidRDefault="004414F7"/>
    <w:p w:rsidR="00E71B23" w:rsidRPr="00E426FE" w:rsidRDefault="00E71B23" w:rsidP="00E71B23">
      <w:pPr>
        <w:jc w:val="right"/>
        <w:rPr>
          <w:rFonts w:ascii="Arial" w:hAnsi="Arial" w:cs="Arial"/>
          <w:b/>
          <w:sz w:val="24"/>
          <w:szCs w:val="24"/>
        </w:rPr>
      </w:pPr>
      <w:r w:rsidRPr="00E426FE">
        <w:rPr>
          <w:rFonts w:ascii="Arial" w:hAnsi="Arial" w:cs="Arial"/>
          <w:b/>
          <w:sz w:val="24"/>
          <w:szCs w:val="24"/>
        </w:rPr>
        <w:t>Damian Roche</w:t>
      </w:r>
    </w:p>
    <w:p w:rsidR="00E71B23" w:rsidRPr="00E426FE" w:rsidRDefault="00E71B23" w:rsidP="00E71B23">
      <w:pPr>
        <w:jc w:val="right"/>
        <w:rPr>
          <w:rFonts w:ascii="Arial" w:hAnsi="Arial" w:cs="Arial"/>
          <w:b/>
          <w:sz w:val="24"/>
          <w:szCs w:val="24"/>
        </w:rPr>
      </w:pPr>
      <w:r w:rsidRPr="00E426FE">
        <w:rPr>
          <w:rFonts w:ascii="Arial" w:hAnsi="Arial" w:cs="Arial"/>
          <w:b/>
          <w:sz w:val="24"/>
          <w:szCs w:val="24"/>
        </w:rPr>
        <w:t>Director of Customer Experience</w:t>
      </w:r>
    </w:p>
    <w:p w:rsidR="00E71B23" w:rsidRPr="00E426FE" w:rsidRDefault="00E426FE" w:rsidP="00E426FE">
      <w:pPr>
        <w:jc w:val="right"/>
        <w:rPr>
          <w:rFonts w:ascii="Arial" w:hAnsi="Arial" w:cs="Arial"/>
          <w:b/>
          <w:sz w:val="24"/>
          <w:szCs w:val="24"/>
        </w:rPr>
      </w:pPr>
      <w:r w:rsidRPr="00E426FE">
        <w:rPr>
          <w:rFonts w:ascii="Arial" w:hAnsi="Arial" w:cs="Arial"/>
          <w:b/>
          <w:sz w:val="24"/>
          <w:szCs w:val="24"/>
        </w:rPr>
        <w:t>Accent</w:t>
      </w:r>
    </w:p>
    <w:sectPr w:rsidR="00E71B23" w:rsidRPr="00E426FE" w:rsidSect="00E426F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B71"/>
    <w:multiLevelType w:val="hybridMultilevel"/>
    <w:tmpl w:val="5B344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F363D3F"/>
    <w:multiLevelType w:val="multilevel"/>
    <w:tmpl w:val="D7C8B43C"/>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9AD41D6"/>
    <w:multiLevelType w:val="hybridMultilevel"/>
    <w:tmpl w:val="C27C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F7"/>
    <w:rsid w:val="00022F99"/>
    <w:rsid w:val="001126E4"/>
    <w:rsid w:val="00115B74"/>
    <w:rsid w:val="00144F24"/>
    <w:rsid w:val="00380AB4"/>
    <w:rsid w:val="003D078E"/>
    <w:rsid w:val="00406C7A"/>
    <w:rsid w:val="004256E9"/>
    <w:rsid w:val="004414F7"/>
    <w:rsid w:val="00591B52"/>
    <w:rsid w:val="005A5208"/>
    <w:rsid w:val="005B2742"/>
    <w:rsid w:val="005E702A"/>
    <w:rsid w:val="00737606"/>
    <w:rsid w:val="00862798"/>
    <w:rsid w:val="00913D9C"/>
    <w:rsid w:val="009C2759"/>
    <w:rsid w:val="00A906B5"/>
    <w:rsid w:val="00B5470C"/>
    <w:rsid w:val="00B832F7"/>
    <w:rsid w:val="00D43675"/>
    <w:rsid w:val="00DE280F"/>
    <w:rsid w:val="00E105E3"/>
    <w:rsid w:val="00E426FE"/>
    <w:rsid w:val="00E45C55"/>
    <w:rsid w:val="00E71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57F3"/>
  <w15:chartTrackingRefBased/>
  <w15:docId w15:val="{97C66096-3FF1-4EE7-B492-6535D8D8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981383">
      <w:bodyDiv w:val="1"/>
      <w:marLeft w:val="0"/>
      <w:marRight w:val="0"/>
      <w:marTop w:val="0"/>
      <w:marBottom w:val="0"/>
      <w:divBdr>
        <w:top w:val="none" w:sz="0" w:space="0" w:color="auto"/>
        <w:left w:val="none" w:sz="0" w:space="0" w:color="auto"/>
        <w:bottom w:val="none" w:sz="0" w:space="0" w:color="auto"/>
        <w:right w:val="none" w:sz="0" w:space="0" w:color="auto"/>
      </w:divBdr>
    </w:div>
    <w:div w:id="1311784823">
      <w:bodyDiv w:val="1"/>
      <w:marLeft w:val="0"/>
      <w:marRight w:val="0"/>
      <w:marTop w:val="0"/>
      <w:marBottom w:val="0"/>
      <w:divBdr>
        <w:top w:val="none" w:sz="0" w:space="0" w:color="auto"/>
        <w:left w:val="none" w:sz="0" w:space="0" w:color="auto"/>
        <w:bottom w:val="none" w:sz="0" w:space="0" w:color="auto"/>
        <w:right w:val="none" w:sz="0" w:space="0" w:color="auto"/>
      </w:divBdr>
    </w:div>
    <w:div w:id="15094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4A20A562FA46D1B470DA06DC71870A"/>
        <w:category>
          <w:name w:val="General"/>
          <w:gallery w:val="placeholder"/>
        </w:category>
        <w:types>
          <w:type w:val="bbPlcHdr"/>
        </w:types>
        <w:behaviors>
          <w:behavior w:val="content"/>
        </w:behaviors>
        <w:guid w:val="{4E84F747-8BEA-4954-B06D-6AC7DD5FEDBE}"/>
      </w:docPartPr>
      <w:docPartBody>
        <w:p w:rsidR="00CA78A4" w:rsidRDefault="00235A6C" w:rsidP="00235A6C">
          <w:pPr>
            <w:pStyle w:val="8F4A20A562FA46D1B470DA06DC71870A"/>
          </w:pPr>
          <w:r w:rsidRPr="00A639B4">
            <w:rPr>
              <w:rStyle w:val="PlaceholderText"/>
              <w:rFonts w:eastAsiaTheme="minorHAnsi"/>
              <w:sz w:val="24"/>
              <w:szCs w:val="24"/>
            </w:rPr>
            <w:t>[date of the meeting in words]</w:t>
          </w:r>
        </w:p>
      </w:docPartBody>
    </w:docPart>
    <w:docPart>
      <w:docPartPr>
        <w:name w:val="9EFC8B049BE24BEAB5C736CE835EC563"/>
        <w:category>
          <w:name w:val="General"/>
          <w:gallery w:val="placeholder"/>
        </w:category>
        <w:types>
          <w:type w:val="bbPlcHdr"/>
        </w:types>
        <w:behaviors>
          <w:behavior w:val="content"/>
        </w:behaviors>
        <w:guid w:val="{0A2F2823-8371-4D3B-96A1-F0EF6316E280}"/>
      </w:docPartPr>
      <w:docPartBody>
        <w:p w:rsidR="00CA78A4" w:rsidRDefault="00235A6C" w:rsidP="00235A6C">
          <w:pPr>
            <w:pStyle w:val="9EFC8B049BE24BEAB5C736CE835EC563"/>
          </w:pPr>
          <w:r w:rsidRPr="009417BC">
            <w:rPr>
              <w:rStyle w:val="PlaceholderText"/>
              <w:rFonts w:eastAsiaTheme="minorHAnsi"/>
            </w:rPr>
            <w:t>[Title</w:t>
          </w:r>
          <w:r>
            <w:rPr>
              <w:rStyle w:val="PlaceholderText"/>
              <w:rFonts w:eastAsiaTheme="minorHAnsi"/>
            </w:rPr>
            <w:t xml:space="preserve"> of the report</w:t>
          </w:r>
          <w:r w:rsidRPr="009417BC">
            <w:rPr>
              <w:rStyle w:val="Placehold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6C"/>
    <w:rsid w:val="00235A6C"/>
    <w:rsid w:val="00CA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A6C"/>
    <w:rPr>
      <w:color w:val="808080"/>
    </w:rPr>
  </w:style>
  <w:style w:type="paragraph" w:customStyle="1" w:styleId="8F4A20A562FA46D1B470DA06DC71870A">
    <w:name w:val="8F4A20A562FA46D1B470DA06DC71870A"/>
    <w:rsid w:val="00235A6C"/>
  </w:style>
  <w:style w:type="paragraph" w:customStyle="1" w:styleId="9EFC8B049BE24BEAB5C736CE835EC563">
    <w:name w:val="9EFC8B049BE24BEAB5C736CE835EC563"/>
    <w:rsid w:val="00235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2021-06-04T00:00:00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5</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Hardship Metrics Benchmarking</vt:lpstr>
    </vt:vector>
  </TitlesOfParts>
  <Company>Accent Housing</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Hardship Metrics Benchmarking</dc:title>
  <dc:subject/>
  <dc:creator>Damian Roche</dc:creator>
  <cp:keywords/>
  <dc:description/>
  <cp:lastModifiedBy>Damian Roche</cp:lastModifiedBy>
  <cp:revision>13</cp:revision>
  <dcterms:created xsi:type="dcterms:W3CDTF">2021-05-21T06:03:00Z</dcterms:created>
  <dcterms:modified xsi:type="dcterms:W3CDTF">2021-05-28T07:20:00Z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-1044771953</vt:i4>
  </property>
  <property fmtid="{D5CDD505-2E9C-101B-9397-08002B2CF9AE}" pid="3" name="_NewReviewCycle">
    <vt:lpwstr/>
  </property>
  <property fmtid="{D5CDD505-2E9C-101B-9397-08002B2CF9AE}" pid="4" name="_EmailSubject">
    <vt:lpwstr>Hardship metrics report for Housing Board</vt:lpwstr>
  </property>
  <property fmtid="{D5CDD505-2E9C-101B-9397-08002B2CF9AE}" pid="5" name="_AuthorEmail">
    <vt:lpwstr>Damian.Roche@AccentGroup.org</vt:lpwstr>
  </property>
  <property fmtid="{D5CDD505-2E9C-101B-9397-08002B2CF9AE}" pid="6" name="_AuthorEmailDisplayName">
    <vt:lpwstr>Damian Roche</vt:lpwstr>
  </property>
</Properties>
</file>