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BA33" w14:textId="6EE326B8" w:rsidR="008C0A52" w:rsidRPr="00B35A9C" w:rsidRDefault="008C0A52">
      <w:pPr>
        <w:rPr>
          <w:b/>
        </w:rPr>
      </w:pPr>
      <w:r w:rsidRPr="00B35A9C">
        <w:rPr>
          <w:b/>
        </w:rPr>
        <w:t xml:space="preserve">Integrated Commissioning Board – </w:t>
      </w:r>
      <w:r w:rsidR="00146E5C">
        <w:rPr>
          <w:b/>
        </w:rPr>
        <w:t>17</w:t>
      </w:r>
      <w:r w:rsidR="00146E5C" w:rsidRPr="00146E5C">
        <w:rPr>
          <w:b/>
          <w:vertAlign w:val="superscript"/>
        </w:rPr>
        <w:t>th</w:t>
      </w:r>
      <w:r w:rsidR="00146E5C">
        <w:rPr>
          <w:b/>
        </w:rPr>
        <w:t xml:space="preserve"> May</w:t>
      </w:r>
      <w:r w:rsidR="004B7890">
        <w:rPr>
          <w:b/>
        </w:rPr>
        <w:t xml:space="preserve"> 2021</w:t>
      </w:r>
    </w:p>
    <w:p w14:paraId="4273F385" w14:textId="18D6D33D" w:rsidR="008C0A52" w:rsidRDefault="008C0A52">
      <w:pPr>
        <w:rPr>
          <w:b/>
        </w:rPr>
      </w:pPr>
      <w:r w:rsidRPr="008C0A52">
        <w:rPr>
          <w:b/>
        </w:rPr>
        <w:t>Early Intervention and Prevention Pseudo</w:t>
      </w:r>
      <w:r w:rsidR="002C189F">
        <w:rPr>
          <w:b/>
        </w:rPr>
        <w:t xml:space="preserve"> Dynamic Purchasing System</w:t>
      </w:r>
    </w:p>
    <w:p w14:paraId="7552099C" w14:textId="77777777" w:rsidR="00F96C63" w:rsidRPr="008C0A52" w:rsidRDefault="00F96C63">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C0A52" w:rsidRPr="0092083C" w14:paraId="40A82BA9" w14:textId="77777777" w:rsidTr="008C0A52">
        <w:tc>
          <w:tcPr>
            <w:tcW w:w="10173" w:type="dxa"/>
            <w:shd w:val="clear" w:color="auto" w:fill="auto"/>
          </w:tcPr>
          <w:p w14:paraId="6747983C" w14:textId="77777777" w:rsidR="008C0A52" w:rsidRPr="0092083C" w:rsidRDefault="008C0A52" w:rsidP="00907FA9">
            <w:r w:rsidRPr="0038721E">
              <w:rPr>
                <w:b/>
                <w:bCs/>
              </w:rPr>
              <w:t>BACKGROUND</w:t>
            </w:r>
          </w:p>
        </w:tc>
      </w:tr>
      <w:tr w:rsidR="008C0A52" w:rsidRPr="0038721E" w14:paraId="539D22F0" w14:textId="77777777" w:rsidTr="008C0A52">
        <w:tc>
          <w:tcPr>
            <w:tcW w:w="10173" w:type="dxa"/>
            <w:shd w:val="clear" w:color="auto" w:fill="auto"/>
          </w:tcPr>
          <w:p w14:paraId="6EBA65E3" w14:textId="77777777" w:rsidR="002633C0" w:rsidRDefault="002633C0" w:rsidP="002C189F">
            <w:pPr>
              <w:autoSpaceDE w:val="0"/>
              <w:autoSpaceDN w:val="0"/>
              <w:adjustRightInd w:val="0"/>
              <w:rPr>
                <w:rFonts w:cs="Arial"/>
                <w:szCs w:val="24"/>
              </w:rPr>
            </w:pPr>
          </w:p>
          <w:p w14:paraId="34CA9FEA" w14:textId="5D61099B" w:rsidR="002C189F" w:rsidRDefault="002C189F" w:rsidP="002C189F">
            <w:pPr>
              <w:autoSpaceDE w:val="0"/>
              <w:autoSpaceDN w:val="0"/>
              <w:adjustRightInd w:val="0"/>
              <w:rPr>
                <w:rFonts w:cstheme="minorHAnsi"/>
              </w:rPr>
            </w:pPr>
            <w:r w:rsidRPr="007C5027">
              <w:rPr>
                <w:rFonts w:cs="Arial"/>
                <w:szCs w:val="24"/>
              </w:rPr>
              <w:t xml:space="preserve">During 2020 the Early Intervention and Prevention Pseudo DPS </w:t>
            </w:r>
            <w:r>
              <w:rPr>
                <w:rFonts w:cs="Arial"/>
                <w:szCs w:val="24"/>
              </w:rPr>
              <w:t xml:space="preserve">(EIP PDPS) </w:t>
            </w:r>
            <w:r w:rsidRPr="007C5027">
              <w:rPr>
                <w:rFonts w:cs="Arial"/>
                <w:szCs w:val="24"/>
              </w:rPr>
              <w:t xml:space="preserve">was developed to </w:t>
            </w:r>
            <w:r>
              <w:rPr>
                <w:rFonts w:cs="Arial"/>
                <w:szCs w:val="24"/>
              </w:rPr>
              <w:t xml:space="preserve">create a method to commission </w:t>
            </w:r>
            <w:r w:rsidR="00752E00">
              <w:rPr>
                <w:rFonts w:cs="Arial"/>
                <w:szCs w:val="24"/>
              </w:rPr>
              <w:t xml:space="preserve">Early Intervention and Prevention </w:t>
            </w:r>
            <w:r>
              <w:rPr>
                <w:rFonts w:cs="Arial"/>
                <w:szCs w:val="24"/>
              </w:rPr>
              <w:t xml:space="preserve">services in order to </w:t>
            </w:r>
            <w:r w:rsidRPr="007F0321">
              <w:rPr>
                <w:rFonts w:cstheme="minorHAnsi"/>
              </w:rPr>
              <w:t>maximise opportunities for innovative service development through increased co-design with the market</w:t>
            </w:r>
            <w:r>
              <w:rPr>
                <w:rFonts w:cstheme="minorHAnsi"/>
              </w:rPr>
              <w:t xml:space="preserve"> and a more joined up and integrated approach to commissioning.  The EIP PDPS was tendered with Peterborough City Council as the Lead Authority but with a</w:t>
            </w:r>
            <w:r w:rsidR="004B7890">
              <w:rPr>
                <w:rFonts w:cstheme="minorHAnsi"/>
              </w:rPr>
              <w:t>n</w:t>
            </w:r>
            <w:r>
              <w:rPr>
                <w:rFonts w:cstheme="minorHAnsi"/>
              </w:rPr>
              <w:t xml:space="preserve"> arrangement in place with Cambridgeshire County and Cambridgeshire and Peterborough CCG enabling the partners to work together</w:t>
            </w:r>
            <w:r w:rsidR="00752E00">
              <w:rPr>
                <w:rFonts w:cstheme="minorHAnsi"/>
              </w:rPr>
              <w:t>,</w:t>
            </w:r>
            <w:r>
              <w:rPr>
                <w:rFonts w:cstheme="minorHAnsi"/>
              </w:rPr>
              <w:t xml:space="preserve"> or for the Local Authorities to commission independently from providers who </w:t>
            </w:r>
            <w:r w:rsidR="00557183">
              <w:rPr>
                <w:rFonts w:cstheme="minorHAnsi"/>
              </w:rPr>
              <w:t xml:space="preserve">had </w:t>
            </w:r>
            <w:r>
              <w:rPr>
                <w:rFonts w:cstheme="minorHAnsi"/>
              </w:rPr>
              <w:t xml:space="preserve">made </w:t>
            </w:r>
            <w:r w:rsidR="00557183">
              <w:rPr>
                <w:rFonts w:cstheme="minorHAnsi"/>
              </w:rPr>
              <w:t xml:space="preserve">a </w:t>
            </w:r>
            <w:r>
              <w:rPr>
                <w:rFonts w:cstheme="minorHAnsi"/>
              </w:rPr>
              <w:t xml:space="preserve">successful application to the EIP PDPS.  </w:t>
            </w:r>
          </w:p>
          <w:p w14:paraId="41418CBB" w14:textId="4F7A0414" w:rsidR="002C189F" w:rsidRPr="002C189F" w:rsidRDefault="002C189F" w:rsidP="002C189F">
            <w:pPr>
              <w:autoSpaceDE w:val="0"/>
              <w:autoSpaceDN w:val="0"/>
              <w:adjustRightInd w:val="0"/>
              <w:rPr>
                <w:rFonts w:cs="Arial"/>
                <w:szCs w:val="24"/>
              </w:rPr>
            </w:pPr>
            <w:r>
              <w:rPr>
                <w:rFonts w:cstheme="minorHAnsi"/>
              </w:rPr>
              <w:t xml:space="preserve">The 4 Lots commissioned as part of the EIP PDPS are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7"/>
              <w:gridCol w:w="5552"/>
            </w:tblGrid>
            <w:tr w:rsidR="002C189F" w:rsidRPr="00D3083A" w14:paraId="6B60320B" w14:textId="77777777" w:rsidTr="00FD6466">
              <w:tc>
                <w:tcPr>
                  <w:tcW w:w="738" w:type="dxa"/>
                  <w:shd w:val="clear" w:color="auto" w:fill="auto"/>
                </w:tcPr>
                <w:p w14:paraId="0AC0C5F7" w14:textId="77777777" w:rsidR="002C189F" w:rsidRPr="00D3083A" w:rsidRDefault="002C189F" w:rsidP="002C189F">
                  <w:pPr>
                    <w:jc w:val="center"/>
                    <w:rPr>
                      <w:b/>
                    </w:rPr>
                  </w:pPr>
                  <w:r w:rsidRPr="00D3083A">
                    <w:rPr>
                      <w:b/>
                    </w:rPr>
                    <w:t>Lot</w:t>
                  </w:r>
                </w:p>
              </w:tc>
              <w:tc>
                <w:tcPr>
                  <w:tcW w:w="2977" w:type="dxa"/>
                  <w:shd w:val="clear" w:color="auto" w:fill="auto"/>
                </w:tcPr>
                <w:p w14:paraId="20775B04" w14:textId="77777777" w:rsidR="002C189F" w:rsidRPr="00D3083A" w:rsidRDefault="002C189F" w:rsidP="002C189F">
                  <w:pPr>
                    <w:jc w:val="center"/>
                    <w:rPr>
                      <w:b/>
                    </w:rPr>
                  </w:pPr>
                  <w:r w:rsidRPr="00D3083A">
                    <w:rPr>
                      <w:b/>
                    </w:rPr>
                    <w:t>Lot Title</w:t>
                  </w:r>
                </w:p>
              </w:tc>
              <w:tc>
                <w:tcPr>
                  <w:tcW w:w="5552" w:type="dxa"/>
                  <w:shd w:val="clear" w:color="auto" w:fill="auto"/>
                </w:tcPr>
                <w:p w14:paraId="1DEB6A78" w14:textId="77777777" w:rsidR="002C189F" w:rsidRPr="00D3083A" w:rsidRDefault="002C189F" w:rsidP="002C189F">
                  <w:pPr>
                    <w:jc w:val="center"/>
                    <w:rPr>
                      <w:b/>
                    </w:rPr>
                  </w:pPr>
                  <w:r w:rsidRPr="00D3083A">
                    <w:rPr>
                      <w:b/>
                    </w:rPr>
                    <w:t>Descriptor</w:t>
                  </w:r>
                </w:p>
              </w:tc>
            </w:tr>
            <w:tr w:rsidR="002C189F" w14:paraId="1D4BF615" w14:textId="77777777" w:rsidTr="00FD6466">
              <w:tc>
                <w:tcPr>
                  <w:tcW w:w="738" w:type="dxa"/>
                  <w:shd w:val="clear" w:color="auto" w:fill="auto"/>
                </w:tcPr>
                <w:p w14:paraId="646CAF87" w14:textId="77777777" w:rsidR="002C189F" w:rsidRDefault="002C189F" w:rsidP="002C189F">
                  <w:pPr>
                    <w:jc w:val="center"/>
                  </w:pPr>
                  <w:r>
                    <w:t>1</w:t>
                  </w:r>
                </w:p>
              </w:tc>
              <w:tc>
                <w:tcPr>
                  <w:tcW w:w="2977" w:type="dxa"/>
                  <w:shd w:val="clear" w:color="auto" w:fill="auto"/>
                </w:tcPr>
                <w:p w14:paraId="3896BEA9" w14:textId="77777777" w:rsidR="002C189F" w:rsidRDefault="002C189F" w:rsidP="002C189F">
                  <w:pPr>
                    <w:jc w:val="center"/>
                  </w:pPr>
                  <w:r>
                    <w:t>Hospital Discharge and Admission Avoidance</w:t>
                  </w:r>
                </w:p>
              </w:tc>
              <w:tc>
                <w:tcPr>
                  <w:tcW w:w="5552" w:type="dxa"/>
                  <w:shd w:val="clear" w:color="auto" w:fill="auto"/>
                </w:tcPr>
                <w:p w14:paraId="0A1D3376" w14:textId="77777777" w:rsidR="002C189F" w:rsidRDefault="002C189F" w:rsidP="002C189F">
                  <w:r>
                    <w:t>Services which will support the timely discharge of people from hospital or to prevent admission/re-admission of individuals into an acute</w:t>
                  </w:r>
                </w:p>
              </w:tc>
            </w:tr>
            <w:tr w:rsidR="002C189F" w14:paraId="41BDC94F" w14:textId="77777777" w:rsidTr="00FD6466">
              <w:tc>
                <w:tcPr>
                  <w:tcW w:w="738" w:type="dxa"/>
                  <w:shd w:val="clear" w:color="auto" w:fill="auto"/>
                </w:tcPr>
                <w:p w14:paraId="062C50A9" w14:textId="77777777" w:rsidR="002C189F" w:rsidRDefault="002C189F" w:rsidP="002C189F">
                  <w:pPr>
                    <w:jc w:val="center"/>
                  </w:pPr>
                  <w:r>
                    <w:t>2</w:t>
                  </w:r>
                </w:p>
              </w:tc>
              <w:tc>
                <w:tcPr>
                  <w:tcW w:w="2977" w:type="dxa"/>
                  <w:shd w:val="clear" w:color="auto" w:fill="auto"/>
                </w:tcPr>
                <w:p w14:paraId="6D1F0C61" w14:textId="77777777" w:rsidR="002C189F" w:rsidRDefault="002C189F" w:rsidP="002C189F">
                  <w:pPr>
                    <w:jc w:val="center"/>
                  </w:pPr>
                  <w:r>
                    <w:t>Information and Advice</w:t>
                  </w:r>
                </w:p>
              </w:tc>
              <w:tc>
                <w:tcPr>
                  <w:tcW w:w="5552" w:type="dxa"/>
                  <w:shd w:val="clear" w:color="auto" w:fill="auto"/>
                </w:tcPr>
                <w:p w14:paraId="13FF3C6C" w14:textId="71F5FE3E" w:rsidR="002C189F" w:rsidRDefault="002C189F" w:rsidP="002C189F">
                  <w:r>
                    <w:t xml:space="preserve">Services which deliver information and advice to improve access and awareness </w:t>
                  </w:r>
                </w:p>
              </w:tc>
            </w:tr>
            <w:tr w:rsidR="002C189F" w14:paraId="1045D348" w14:textId="77777777" w:rsidTr="00FD6466">
              <w:tc>
                <w:tcPr>
                  <w:tcW w:w="738" w:type="dxa"/>
                  <w:tcBorders>
                    <w:bottom w:val="single" w:sz="4" w:space="0" w:color="auto"/>
                  </w:tcBorders>
                  <w:shd w:val="clear" w:color="auto" w:fill="auto"/>
                </w:tcPr>
                <w:p w14:paraId="28E0BFE1" w14:textId="77777777" w:rsidR="002C189F" w:rsidRDefault="002C189F" w:rsidP="002C189F">
                  <w:pPr>
                    <w:jc w:val="center"/>
                  </w:pPr>
                  <w:r>
                    <w:t>3</w:t>
                  </w:r>
                </w:p>
              </w:tc>
              <w:tc>
                <w:tcPr>
                  <w:tcW w:w="2977" w:type="dxa"/>
                  <w:tcBorders>
                    <w:bottom w:val="single" w:sz="4" w:space="0" w:color="auto"/>
                  </w:tcBorders>
                  <w:shd w:val="clear" w:color="auto" w:fill="auto"/>
                </w:tcPr>
                <w:p w14:paraId="512DEEF5" w14:textId="77777777" w:rsidR="002C189F" w:rsidRDefault="002C189F" w:rsidP="002C189F">
                  <w:pPr>
                    <w:jc w:val="center"/>
                  </w:pPr>
                  <w:r>
                    <w:t>Community Support</w:t>
                  </w:r>
                </w:p>
              </w:tc>
              <w:tc>
                <w:tcPr>
                  <w:tcW w:w="5552" w:type="dxa"/>
                  <w:tcBorders>
                    <w:bottom w:val="single" w:sz="4" w:space="0" w:color="auto"/>
                  </w:tcBorders>
                  <w:shd w:val="clear" w:color="auto" w:fill="auto"/>
                </w:tcPr>
                <w:p w14:paraId="6A350D22" w14:textId="77777777" w:rsidR="002C189F" w:rsidRDefault="002C189F" w:rsidP="002C189F">
                  <w:r>
                    <w:t>Services which are delivered in local communities or within people’s homes supporting increasing or prolonging independence and improving social connections</w:t>
                  </w:r>
                </w:p>
              </w:tc>
            </w:tr>
            <w:tr w:rsidR="002C189F" w14:paraId="61D7DF1D" w14:textId="77777777" w:rsidTr="00FD6466">
              <w:tc>
                <w:tcPr>
                  <w:tcW w:w="738" w:type="dxa"/>
                  <w:tcBorders>
                    <w:top w:val="single" w:sz="4" w:space="0" w:color="auto"/>
                    <w:left w:val="single" w:sz="4" w:space="0" w:color="auto"/>
                    <w:bottom w:val="single" w:sz="4" w:space="0" w:color="auto"/>
                    <w:right w:val="single" w:sz="4" w:space="0" w:color="auto"/>
                  </w:tcBorders>
                  <w:shd w:val="clear" w:color="auto" w:fill="auto"/>
                </w:tcPr>
                <w:p w14:paraId="61C72348" w14:textId="77777777" w:rsidR="002C189F" w:rsidRDefault="002C189F" w:rsidP="002C189F">
                  <w:pPr>
                    <w:jc w:val="center"/>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A16EDA" w14:textId="77777777" w:rsidR="002C189F" w:rsidRDefault="002C189F" w:rsidP="002C189F">
                  <w:pPr>
                    <w:jc w:val="center"/>
                  </w:pPr>
                  <w:r>
                    <w:t>Day Opportunities</w:t>
                  </w:r>
                </w:p>
              </w:tc>
              <w:tc>
                <w:tcPr>
                  <w:tcW w:w="5552" w:type="dxa"/>
                  <w:tcBorders>
                    <w:top w:val="single" w:sz="4" w:space="0" w:color="auto"/>
                    <w:left w:val="single" w:sz="4" w:space="0" w:color="auto"/>
                    <w:bottom w:val="single" w:sz="4" w:space="0" w:color="auto"/>
                    <w:right w:val="single" w:sz="4" w:space="0" w:color="auto"/>
                  </w:tcBorders>
                  <w:shd w:val="clear" w:color="auto" w:fill="auto"/>
                </w:tcPr>
                <w:p w14:paraId="5F267809" w14:textId="77777777" w:rsidR="002C189F" w:rsidRDefault="002C189F" w:rsidP="002C189F">
                  <w:r>
                    <w:t>Services which provide centres within local communities where people with support needs can go to meet others, engage in a range of appropriate activities, reducing social isolation and maximising independence</w:t>
                  </w:r>
                </w:p>
              </w:tc>
            </w:tr>
          </w:tbl>
          <w:p w14:paraId="5613CD7E" w14:textId="77777777" w:rsidR="00D65478" w:rsidRDefault="00D65478" w:rsidP="002C189F">
            <w:pPr>
              <w:rPr>
                <w:bCs/>
              </w:rPr>
            </w:pPr>
          </w:p>
          <w:p w14:paraId="7C320C6B" w14:textId="77777777" w:rsidR="002633C0" w:rsidRDefault="002C189F" w:rsidP="002C189F">
            <w:pPr>
              <w:rPr>
                <w:bCs/>
              </w:rPr>
            </w:pPr>
            <w:r w:rsidRPr="00447BFC">
              <w:rPr>
                <w:bCs/>
              </w:rPr>
              <w:t>The Day Opportunities Lo</w:t>
            </w:r>
            <w:r>
              <w:rPr>
                <w:bCs/>
              </w:rPr>
              <w:t xml:space="preserve">t was advertised but </w:t>
            </w:r>
            <w:r w:rsidR="00D65478">
              <w:rPr>
                <w:bCs/>
              </w:rPr>
              <w:t xml:space="preserve">it </w:t>
            </w:r>
            <w:r>
              <w:rPr>
                <w:bCs/>
              </w:rPr>
              <w:t xml:space="preserve">was made clear to bidders this would not be enacted immediately and call-offs would not be advertised for this lot in the near future.   This will enable the EIP PDPS to be considered as a future mechanism for commissioning Day Services following the outcome of the Adults Positive Challenge </w:t>
            </w:r>
            <w:r w:rsidR="0091395C">
              <w:rPr>
                <w:bCs/>
              </w:rPr>
              <w:t xml:space="preserve">(APC) </w:t>
            </w:r>
            <w:r>
              <w:rPr>
                <w:bCs/>
              </w:rPr>
              <w:t>Day Opportunities work stream</w:t>
            </w:r>
            <w:r w:rsidR="004B7890">
              <w:rPr>
                <w:bCs/>
              </w:rPr>
              <w:t xml:space="preserve"> within the Local Authorities</w:t>
            </w:r>
            <w:r w:rsidR="00D65478">
              <w:rPr>
                <w:bCs/>
              </w:rPr>
              <w:t>.</w:t>
            </w:r>
            <w:r w:rsidR="0091395C">
              <w:rPr>
                <w:bCs/>
              </w:rPr>
              <w:t xml:space="preserve">  This workstream will undertake a programme of work designed to review and transform the current day service offer for older people to ensure there is a mix of services designed to meet assessed needs as well as an effective prevention and early intervention offer for local communities.  It is anticipated this work will be completed in 2022. </w:t>
            </w:r>
          </w:p>
          <w:p w14:paraId="2CB20BE4" w14:textId="77777777" w:rsidR="002633C0" w:rsidRDefault="002633C0" w:rsidP="002C189F">
            <w:pPr>
              <w:rPr>
                <w:bCs/>
              </w:rPr>
            </w:pPr>
          </w:p>
          <w:p w14:paraId="01C77F08" w14:textId="77777777" w:rsidR="002633C0" w:rsidRDefault="002633C0" w:rsidP="002C189F">
            <w:pPr>
              <w:rPr>
                <w:bCs/>
              </w:rPr>
            </w:pPr>
          </w:p>
          <w:p w14:paraId="7E81C630" w14:textId="12C3EF7E" w:rsidR="002633C0" w:rsidRPr="00D65478" w:rsidRDefault="002633C0" w:rsidP="002C189F">
            <w:pPr>
              <w:rPr>
                <w:bCs/>
              </w:rPr>
            </w:pPr>
          </w:p>
        </w:tc>
      </w:tr>
      <w:tr w:rsidR="00F96C63" w:rsidRPr="002514C3" w14:paraId="40078BB3" w14:textId="77777777" w:rsidTr="008C0A52">
        <w:tc>
          <w:tcPr>
            <w:tcW w:w="10173" w:type="dxa"/>
            <w:shd w:val="clear" w:color="auto" w:fill="auto"/>
          </w:tcPr>
          <w:p w14:paraId="4E5222A2" w14:textId="537D0786" w:rsidR="00F96C63" w:rsidRPr="00F96C63" w:rsidRDefault="004B7890" w:rsidP="00907FA9">
            <w:pPr>
              <w:rPr>
                <w:rFonts w:cs="Arial"/>
                <w:b/>
                <w:szCs w:val="24"/>
              </w:rPr>
            </w:pPr>
            <w:r w:rsidRPr="00F26611">
              <w:rPr>
                <w:rFonts w:cs="Arial"/>
                <w:b/>
                <w:szCs w:val="24"/>
              </w:rPr>
              <w:lastRenderedPageBreak/>
              <w:t>Finance</w:t>
            </w:r>
          </w:p>
        </w:tc>
      </w:tr>
      <w:tr w:rsidR="008C0A52" w:rsidRPr="002514C3" w14:paraId="0A33644C" w14:textId="77777777" w:rsidTr="00F26611">
        <w:trPr>
          <w:trHeight w:val="4668"/>
        </w:trPr>
        <w:tc>
          <w:tcPr>
            <w:tcW w:w="10173" w:type="dxa"/>
            <w:shd w:val="clear" w:color="auto" w:fill="auto"/>
          </w:tcPr>
          <w:p w14:paraId="1D0465CB" w14:textId="77777777" w:rsidR="00F26611" w:rsidRDefault="00F26611" w:rsidP="004B7890">
            <w:r>
              <w:t>The EIP PDPS has been commissioned with a c</w:t>
            </w:r>
            <w:r w:rsidR="004B7890">
              <w:t xml:space="preserve">ontract term </w:t>
            </w:r>
            <w:r>
              <w:t xml:space="preserve">of </w:t>
            </w:r>
            <w:r w:rsidR="004B7890">
              <w:t>7 years</w:t>
            </w:r>
            <w:r>
              <w:t xml:space="preserve"> (5+2).  The contract will commence </w:t>
            </w:r>
            <w:r w:rsidR="004B7890">
              <w:t>from 3</w:t>
            </w:r>
            <w:r w:rsidR="004B7890" w:rsidRPr="004B7890">
              <w:rPr>
                <w:vertAlign w:val="superscript"/>
              </w:rPr>
              <w:t>rd</w:t>
            </w:r>
            <w:r w:rsidR="004B7890">
              <w:t xml:space="preserve"> May 2021.  </w:t>
            </w:r>
          </w:p>
          <w:p w14:paraId="0C415C80" w14:textId="5984637E" w:rsidR="00F26611" w:rsidRDefault="00F26611" w:rsidP="004B7890">
            <w:r>
              <w:t>Each lot has an indicative v</w:t>
            </w:r>
            <w:r w:rsidR="004B7890">
              <w:t>alue</w:t>
            </w:r>
            <w:r>
              <w:t xml:space="preserve"> over the contract term and was developed utilising the current investment in scoped Early Intervention and Prevention services across each of the commissioning authorities.  Additional flexibility has been built into the overall lot values </w:t>
            </w:r>
            <w:r w:rsidR="004B7890">
              <w:t>should new funding become available.</w:t>
            </w:r>
            <w:r>
              <w:t xml:space="preserve">  The table below shows the scoped annual and entire term indicative budgets across each of the Lots:</w:t>
            </w:r>
          </w:p>
          <w:p w14:paraId="46E9C831" w14:textId="77777777" w:rsidR="002633C0" w:rsidRDefault="002633C0" w:rsidP="004B7890"/>
          <w:tbl>
            <w:tblPr>
              <w:tblStyle w:val="TableGrid"/>
              <w:tblW w:w="5600" w:type="dxa"/>
              <w:tblLook w:val="04A0" w:firstRow="1" w:lastRow="0" w:firstColumn="1" w:lastColumn="0" w:noHBand="0" w:noVBand="1"/>
            </w:tblPr>
            <w:tblGrid>
              <w:gridCol w:w="902"/>
              <w:gridCol w:w="2302"/>
              <w:gridCol w:w="2396"/>
            </w:tblGrid>
            <w:tr w:rsidR="004B7890" w14:paraId="2B4330A6" w14:textId="77777777" w:rsidTr="00FD6466">
              <w:trPr>
                <w:trHeight w:val="709"/>
              </w:trPr>
              <w:tc>
                <w:tcPr>
                  <w:tcW w:w="902" w:type="dxa"/>
                </w:tcPr>
                <w:p w14:paraId="4ED4321F" w14:textId="77777777" w:rsidR="004B7890" w:rsidRPr="00935D69" w:rsidRDefault="004B7890" w:rsidP="004B7890">
                  <w:pPr>
                    <w:jc w:val="center"/>
                    <w:rPr>
                      <w:rFonts w:ascii="Arial" w:hAnsi="Arial" w:cs="Arial"/>
                      <w:b/>
                    </w:rPr>
                  </w:pPr>
                  <w:r w:rsidRPr="00935D69">
                    <w:rPr>
                      <w:rFonts w:ascii="Arial" w:hAnsi="Arial" w:cs="Arial"/>
                      <w:b/>
                    </w:rPr>
                    <w:t>Lot</w:t>
                  </w:r>
                </w:p>
              </w:tc>
              <w:tc>
                <w:tcPr>
                  <w:tcW w:w="2302" w:type="dxa"/>
                </w:tcPr>
                <w:p w14:paraId="3D93AE1F" w14:textId="77777777" w:rsidR="004B7890" w:rsidRPr="00935D69" w:rsidRDefault="004B7890" w:rsidP="004B7890">
                  <w:pPr>
                    <w:jc w:val="center"/>
                    <w:rPr>
                      <w:rFonts w:ascii="Arial" w:hAnsi="Arial" w:cs="Arial"/>
                      <w:b/>
                    </w:rPr>
                  </w:pPr>
                  <w:r w:rsidRPr="00935D69">
                    <w:rPr>
                      <w:rFonts w:ascii="Arial" w:hAnsi="Arial" w:cs="Arial"/>
                      <w:b/>
                    </w:rPr>
                    <w:t>Total Lot Annual Value</w:t>
                  </w:r>
                </w:p>
                <w:p w14:paraId="658BB373" w14:textId="77777777" w:rsidR="004B7890" w:rsidRPr="00935D69" w:rsidRDefault="004B7890" w:rsidP="004B7890">
                  <w:pPr>
                    <w:jc w:val="center"/>
                    <w:rPr>
                      <w:rFonts w:ascii="Arial" w:hAnsi="Arial" w:cs="Arial"/>
                      <w:b/>
                    </w:rPr>
                  </w:pPr>
                  <w:r w:rsidRPr="00935D69">
                    <w:rPr>
                      <w:rFonts w:ascii="Arial" w:hAnsi="Arial" w:cs="Arial"/>
                      <w:b/>
                    </w:rPr>
                    <w:t>(£)</w:t>
                  </w:r>
                </w:p>
              </w:tc>
              <w:tc>
                <w:tcPr>
                  <w:tcW w:w="2396" w:type="dxa"/>
                </w:tcPr>
                <w:p w14:paraId="3B703AF7" w14:textId="77777777" w:rsidR="004B7890" w:rsidRPr="00935D69" w:rsidRDefault="004B7890" w:rsidP="004B7890">
                  <w:pPr>
                    <w:jc w:val="center"/>
                    <w:rPr>
                      <w:rFonts w:ascii="Arial" w:hAnsi="Arial" w:cs="Arial"/>
                      <w:b/>
                    </w:rPr>
                  </w:pPr>
                  <w:r w:rsidRPr="00935D69">
                    <w:rPr>
                      <w:rFonts w:ascii="Arial" w:hAnsi="Arial" w:cs="Arial"/>
                      <w:b/>
                    </w:rPr>
                    <w:t>Total Contract Value (Entire Term)</w:t>
                  </w:r>
                </w:p>
                <w:p w14:paraId="5B92D6B1" w14:textId="77777777" w:rsidR="004B7890" w:rsidRPr="00935D69" w:rsidRDefault="004B7890" w:rsidP="004B7890">
                  <w:pPr>
                    <w:jc w:val="center"/>
                    <w:rPr>
                      <w:rFonts w:ascii="Arial" w:hAnsi="Arial" w:cs="Arial"/>
                      <w:b/>
                    </w:rPr>
                  </w:pPr>
                  <w:r w:rsidRPr="00935D69">
                    <w:rPr>
                      <w:rFonts w:ascii="Arial" w:hAnsi="Arial" w:cs="Arial"/>
                      <w:b/>
                    </w:rPr>
                    <w:t>(£)</w:t>
                  </w:r>
                </w:p>
              </w:tc>
            </w:tr>
            <w:tr w:rsidR="004B7890" w14:paraId="0EF0324F" w14:textId="77777777" w:rsidTr="00FD6466">
              <w:trPr>
                <w:trHeight w:val="177"/>
              </w:trPr>
              <w:tc>
                <w:tcPr>
                  <w:tcW w:w="902" w:type="dxa"/>
                </w:tcPr>
                <w:p w14:paraId="4BAE1CCE" w14:textId="77777777" w:rsidR="004B7890" w:rsidRPr="00935D69" w:rsidRDefault="004B7890" w:rsidP="004B7890">
                  <w:pPr>
                    <w:jc w:val="center"/>
                    <w:rPr>
                      <w:rFonts w:ascii="Arial" w:hAnsi="Arial" w:cs="Arial"/>
                      <w:b/>
                    </w:rPr>
                  </w:pPr>
                  <w:r w:rsidRPr="00935D69">
                    <w:rPr>
                      <w:rFonts w:ascii="Arial" w:hAnsi="Arial" w:cs="Arial"/>
                      <w:b/>
                    </w:rPr>
                    <w:t>1</w:t>
                  </w:r>
                </w:p>
              </w:tc>
              <w:tc>
                <w:tcPr>
                  <w:tcW w:w="2302" w:type="dxa"/>
                </w:tcPr>
                <w:p w14:paraId="7193F621" w14:textId="77777777" w:rsidR="004B7890" w:rsidRPr="00935D69" w:rsidRDefault="004B7890" w:rsidP="004B7890">
                  <w:pPr>
                    <w:jc w:val="center"/>
                    <w:rPr>
                      <w:rFonts w:ascii="Arial" w:hAnsi="Arial" w:cs="Arial"/>
                    </w:rPr>
                  </w:pPr>
                  <w:r w:rsidRPr="00935D69">
                    <w:rPr>
                      <w:rFonts w:ascii="Arial" w:hAnsi="Arial" w:cs="Arial"/>
                    </w:rPr>
                    <w:t>654,231</w:t>
                  </w:r>
                </w:p>
              </w:tc>
              <w:tc>
                <w:tcPr>
                  <w:tcW w:w="2396" w:type="dxa"/>
                </w:tcPr>
                <w:p w14:paraId="54565463" w14:textId="77777777" w:rsidR="004B7890" w:rsidRPr="00935D69" w:rsidRDefault="004B7890" w:rsidP="004B7890">
                  <w:pPr>
                    <w:jc w:val="center"/>
                    <w:rPr>
                      <w:rFonts w:ascii="Arial" w:hAnsi="Arial" w:cs="Arial"/>
                    </w:rPr>
                  </w:pPr>
                  <w:r w:rsidRPr="00935D69">
                    <w:rPr>
                      <w:rFonts w:ascii="Arial" w:hAnsi="Arial" w:cs="Arial"/>
                    </w:rPr>
                    <w:t>4,579,617</w:t>
                  </w:r>
                </w:p>
              </w:tc>
            </w:tr>
            <w:tr w:rsidR="004B7890" w14:paraId="2375A880" w14:textId="77777777" w:rsidTr="00FD6466">
              <w:trPr>
                <w:trHeight w:val="177"/>
              </w:trPr>
              <w:tc>
                <w:tcPr>
                  <w:tcW w:w="902" w:type="dxa"/>
                </w:tcPr>
                <w:p w14:paraId="2FC6BA18" w14:textId="77777777" w:rsidR="004B7890" w:rsidRPr="00935D69" w:rsidRDefault="004B7890" w:rsidP="004B7890">
                  <w:pPr>
                    <w:jc w:val="center"/>
                    <w:rPr>
                      <w:rFonts w:ascii="Arial" w:hAnsi="Arial" w:cs="Arial"/>
                      <w:b/>
                    </w:rPr>
                  </w:pPr>
                  <w:r w:rsidRPr="00935D69">
                    <w:rPr>
                      <w:rFonts w:ascii="Arial" w:hAnsi="Arial" w:cs="Arial"/>
                      <w:b/>
                    </w:rPr>
                    <w:t>2</w:t>
                  </w:r>
                </w:p>
              </w:tc>
              <w:tc>
                <w:tcPr>
                  <w:tcW w:w="2302" w:type="dxa"/>
                </w:tcPr>
                <w:p w14:paraId="75DE09CD" w14:textId="77777777" w:rsidR="004B7890" w:rsidRPr="00935D69" w:rsidRDefault="004B7890" w:rsidP="004B7890">
                  <w:pPr>
                    <w:jc w:val="center"/>
                    <w:rPr>
                      <w:rFonts w:ascii="Arial" w:hAnsi="Arial" w:cs="Arial"/>
                    </w:rPr>
                  </w:pPr>
                  <w:r w:rsidRPr="00935D69">
                    <w:rPr>
                      <w:rFonts w:ascii="Arial" w:hAnsi="Arial" w:cs="Arial"/>
                    </w:rPr>
                    <w:t>566,098</w:t>
                  </w:r>
                </w:p>
              </w:tc>
              <w:tc>
                <w:tcPr>
                  <w:tcW w:w="2396" w:type="dxa"/>
                </w:tcPr>
                <w:p w14:paraId="622AEA91" w14:textId="77777777" w:rsidR="004B7890" w:rsidRPr="00935D69" w:rsidRDefault="004B7890" w:rsidP="004B7890">
                  <w:pPr>
                    <w:jc w:val="center"/>
                    <w:rPr>
                      <w:rFonts w:ascii="Arial" w:hAnsi="Arial" w:cs="Arial"/>
                    </w:rPr>
                  </w:pPr>
                  <w:r w:rsidRPr="00935D69">
                    <w:rPr>
                      <w:rFonts w:ascii="Arial" w:hAnsi="Arial" w:cs="Arial"/>
                    </w:rPr>
                    <w:t>3,962,686</w:t>
                  </w:r>
                </w:p>
              </w:tc>
            </w:tr>
            <w:tr w:rsidR="004B7890" w14:paraId="0C3014E6" w14:textId="77777777" w:rsidTr="00FD6466">
              <w:trPr>
                <w:trHeight w:val="177"/>
              </w:trPr>
              <w:tc>
                <w:tcPr>
                  <w:tcW w:w="902" w:type="dxa"/>
                </w:tcPr>
                <w:p w14:paraId="73CDF895" w14:textId="77777777" w:rsidR="004B7890" w:rsidRPr="00935D69" w:rsidRDefault="004B7890" w:rsidP="004B7890">
                  <w:pPr>
                    <w:jc w:val="center"/>
                    <w:rPr>
                      <w:rFonts w:ascii="Arial" w:hAnsi="Arial" w:cs="Arial"/>
                      <w:b/>
                    </w:rPr>
                  </w:pPr>
                  <w:r w:rsidRPr="00935D69">
                    <w:rPr>
                      <w:rFonts w:ascii="Arial" w:hAnsi="Arial" w:cs="Arial"/>
                      <w:b/>
                    </w:rPr>
                    <w:t>3</w:t>
                  </w:r>
                </w:p>
              </w:tc>
              <w:tc>
                <w:tcPr>
                  <w:tcW w:w="2302" w:type="dxa"/>
                </w:tcPr>
                <w:p w14:paraId="3FC67446" w14:textId="77777777" w:rsidR="004B7890" w:rsidRPr="00935D69" w:rsidRDefault="004B7890" w:rsidP="004B7890">
                  <w:pPr>
                    <w:jc w:val="center"/>
                    <w:rPr>
                      <w:rFonts w:ascii="Arial" w:hAnsi="Arial" w:cs="Arial"/>
                    </w:rPr>
                  </w:pPr>
                  <w:r w:rsidRPr="00935D69">
                    <w:rPr>
                      <w:rFonts w:ascii="Arial" w:hAnsi="Arial" w:cs="Arial"/>
                    </w:rPr>
                    <w:t>809,050</w:t>
                  </w:r>
                </w:p>
              </w:tc>
              <w:tc>
                <w:tcPr>
                  <w:tcW w:w="2396" w:type="dxa"/>
                </w:tcPr>
                <w:p w14:paraId="3B677CEB" w14:textId="77777777" w:rsidR="004B7890" w:rsidRPr="00935D69" w:rsidRDefault="004B7890" w:rsidP="004B7890">
                  <w:pPr>
                    <w:jc w:val="center"/>
                    <w:rPr>
                      <w:rFonts w:ascii="Arial" w:hAnsi="Arial" w:cs="Arial"/>
                    </w:rPr>
                  </w:pPr>
                  <w:r w:rsidRPr="00935D69">
                    <w:rPr>
                      <w:rFonts w:ascii="Arial" w:hAnsi="Arial" w:cs="Arial"/>
                    </w:rPr>
                    <w:t>5,663,350</w:t>
                  </w:r>
                </w:p>
              </w:tc>
            </w:tr>
            <w:tr w:rsidR="004B7890" w14:paraId="615F7FE6" w14:textId="77777777" w:rsidTr="00FD6466">
              <w:trPr>
                <w:trHeight w:val="177"/>
              </w:trPr>
              <w:tc>
                <w:tcPr>
                  <w:tcW w:w="902" w:type="dxa"/>
                </w:tcPr>
                <w:p w14:paraId="2B9E60A5" w14:textId="77B85130" w:rsidR="00F26611" w:rsidRPr="00935D69" w:rsidRDefault="004B7890" w:rsidP="00F26611">
                  <w:pPr>
                    <w:jc w:val="center"/>
                    <w:rPr>
                      <w:rFonts w:ascii="Arial" w:hAnsi="Arial" w:cs="Arial"/>
                      <w:b/>
                    </w:rPr>
                  </w:pPr>
                  <w:r w:rsidRPr="00935D69">
                    <w:rPr>
                      <w:rFonts w:ascii="Arial" w:hAnsi="Arial" w:cs="Arial"/>
                      <w:b/>
                    </w:rPr>
                    <w:t>4</w:t>
                  </w:r>
                </w:p>
              </w:tc>
              <w:tc>
                <w:tcPr>
                  <w:tcW w:w="2302" w:type="dxa"/>
                </w:tcPr>
                <w:p w14:paraId="75EE7068" w14:textId="77777777" w:rsidR="004B7890" w:rsidRPr="00935D69" w:rsidRDefault="004B7890" w:rsidP="004B7890">
                  <w:pPr>
                    <w:jc w:val="center"/>
                    <w:rPr>
                      <w:rFonts w:ascii="Arial" w:hAnsi="Arial" w:cs="Arial"/>
                    </w:rPr>
                  </w:pPr>
                  <w:r w:rsidRPr="00935D69">
                    <w:rPr>
                      <w:rFonts w:ascii="Arial" w:hAnsi="Arial" w:cs="Arial"/>
                    </w:rPr>
                    <w:t>1,017,644</w:t>
                  </w:r>
                </w:p>
              </w:tc>
              <w:tc>
                <w:tcPr>
                  <w:tcW w:w="2396" w:type="dxa"/>
                </w:tcPr>
                <w:p w14:paraId="575B3726" w14:textId="77777777" w:rsidR="004B7890" w:rsidRPr="00935D69" w:rsidRDefault="004B7890" w:rsidP="004B7890">
                  <w:pPr>
                    <w:jc w:val="center"/>
                    <w:rPr>
                      <w:rFonts w:ascii="Arial" w:hAnsi="Arial" w:cs="Arial"/>
                    </w:rPr>
                  </w:pPr>
                  <w:r w:rsidRPr="00935D69">
                    <w:rPr>
                      <w:rFonts w:ascii="Arial" w:hAnsi="Arial" w:cs="Arial"/>
                    </w:rPr>
                    <w:t>7,123,508</w:t>
                  </w:r>
                </w:p>
              </w:tc>
            </w:tr>
          </w:tbl>
          <w:p w14:paraId="2C7B1DCF" w14:textId="7AA93847" w:rsidR="00557183" w:rsidRPr="00F96C63" w:rsidRDefault="00557183" w:rsidP="004B7890"/>
        </w:tc>
      </w:tr>
      <w:tr w:rsidR="00F96C63" w:rsidRPr="00E064F7" w14:paraId="13B5F032" w14:textId="77777777" w:rsidTr="008C0A52">
        <w:tc>
          <w:tcPr>
            <w:tcW w:w="10173" w:type="dxa"/>
            <w:shd w:val="clear" w:color="auto" w:fill="auto"/>
          </w:tcPr>
          <w:p w14:paraId="709B5FC5" w14:textId="2DE4D3CE" w:rsidR="00F26611" w:rsidRPr="00F96C63" w:rsidRDefault="004B7890" w:rsidP="00907FA9">
            <w:pPr>
              <w:rPr>
                <w:b/>
              </w:rPr>
            </w:pPr>
            <w:r>
              <w:rPr>
                <w:b/>
              </w:rPr>
              <w:t>EIP PDPS</w:t>
            </w:r>
            <w:r w:rsidR="00F96C63">
              <w:rPr>
                <w:b/>
              </w:rPr>
              <w:t xml:space="preserve"> Process</w:t>
            </w:r>
          </w:p>
        </w:tc>
      </w:tr>
      <w:tr w:rsidR="008C0A52" w:rsidRPr="00E064F7" w14:paraId="1FE303CE" w14:textId="77777777" w:rsidTr="008C0A52">
        <w:tc>
          <w:tcPr>
            <w:tcW w:w="10173" w:type="dxa"/>
            <w:shd w:val="clear" w:color="auto" w:fill="auto"/>
          </w:tcPr>
          <w:p w14:paraId="09D3DD72" w14:textId="25CC498D" w:rsidR="008C0A52" w:rsidRPr="004B7890" w:rsidRDefault="008C0A52" w:rsidP="004B7890">
            <w:r>
              <w:t xml:space="preserve">Providers will apply to be on the </w:t>
            </w:r>
            <w:r w:rsidR="004B7890">
              <w:t xml:space="preserve">EIP PDPS </w:t>
            </w:r>
            <w:r>
              <w:t>under a particular Lot and will then have the opportunity to bid for any of the service call-off’s that will be procured under the relevant Lot</w:t>
            </w:r>
            <w:r w:rsidR="00F96C63">
              <w:t xml:space="preserve"> through a mini-competition</w:t>
            </w:r>
            <w:r>
              <w:t xml:space="preserve">.  The </w:t>
            </w:r>
            <w:r w:rsidR="004B7890">
              <w:t>EIP PDPS</w:t>
            </w:r>
            <w:r>
              <w:t xml:space="preserve"> enables the </w:t>
            </w:r>
            <w:r w:rsidR="00F96C63">
              <w:t xml:space="preserve">Commissioning Partners </w:t>
            </w:r>
            <w:r>
              <w:t xml:space="preserve">to have a pool of quality-assured providers who we can engage with on a strategic basis to strengthen our approach to Early Intervention and Prevention services.  The </w:t>
            </w:r>
            <w:r w:rsidR="004B7890">
              <w:t xml:space="preserve">EIP PDPS </w:t>
            </w:r>
            <w:r>
              <w:t>will open regularly so that new providers will have the opportunity to apply to ensure a dynamic and developing market.</w:t>
            </w:r>
            <w:r w:rsidR="0091395C">
              <w:t xml:space="preserve">  The EIP PDPS is likely to re-open again in Autumn 2021, approx. 6 months after the contract start date of May 2021.  A further round of engagement will be carried out with both perspective suppliers and those who failed to meet the quality threshold during the initial tender period.  </w:t>
            </w:r>
          </w:p>
        </w:tc>
      </w:tr>
      <w:tr w:rsidR="00F96C63" w:rsidRPr="002514C3" w14:paraId="54B92972" w14:textId="77777777" w:rsidTr="008C0A52">
        <w:tc>
          <w:tcPr>
            <w:tcW w:w="10173" w:type="dxa"/>
            <w:shd w:val="clear" w:color="auto" w:fill="auto"/>
          </w:tcPr>
          <w:p w14:paraId="49341975" w14:textId="404EF65E" w:rsidR="004B7890" w:rsidRDefault="004B7890" w:rsidP="00907FA9">
            <w:pPr>
              <w:rPr>
                <w:b/>
                <w:bCs/>
              </w:rPr>
            </w:pPr>
            <w:r>
              <w:rPr>
                <w:b/>
                <w:bCs/>
              </w:rPr>
              <w:t>Tender Outcome</w:t>
            </w:r>
          </w:p>
          <w:p w14:paraId="7F2852D2" w14:textId="77664195" w:rsidR="00A96420" w:rsidRDefault="004B7890" w:rsidP="00A96420">
            <w:r>
              <w:t xml:space="preserve">Following rigorous market </w:t>
            </w:r>
            <w:r w:rsidR="00A96420">
              <w:t>engagement,</w:t>
            </w:r>
            <w:r>
              <w:t xml:space="preserve"> the procurement for the EIP PDPS went live on 1</w:t>
            </w:r>
            <w:r w:rsidRPr="007C5027">
              <w:rPr>
                <w:vertAlign w:val="superscript"/>
              </w:rPr>
              <w:t>st</w:t>
            </w:r>
            <w:r>
              <w:t xml:space="preserve"> December 2020 with tender submissions expected on the 13</w:t>
            </w:r>
            <w:r w:rsidRPr="007C5027">
              <w:rPr>
                <w:vertAlign w:val="superscript"/>
              </w:rPr>
              <w:t>th</w:t>
            </w:r>
            <w:r>
              <w:t xml:space="preserve"> of January 2021.  This deadline was subsequently extended to the 20</w:t>
            </w:r>
            <w:r w:rsidRPr="007C5027">
              <w:rPr>
                <w:vertAlign w:val="superscript"/>
              </w:rPr>
              <w:t>th</w:t>
            </w:r>
            <w:r>
              <w:t xml:space="preserve"> of January to enable the market as much time as possible to respond to the opportunity in light of operational pressures that may have arisen following the Corona Virus national restrictions announced in early January 2021.</w:t>
            </w:r>
          </w:p>
          <w:p w14:paraId="762AB71E" w14:textId="6FCD1125" w:rsidR="0091395C" w:rsidRDefault="00A96420" w:rsidP="004B7890">
            <w:r>
              <w:t xml:space="preserve">The skills and outcomes required for each lot were outlined in the service specification and </w:t>
            </w:r>
            <w:r>
              <w:t>p</w:t>
            </w:r>
            <w:r w:rsidR="0091395C">
              <w:t>roviders were asked to submit their responses to 3 method statements outlining how their organisation could meet the criteria</w:t>
            </w:r>
            <w:r>
              <w:t xml:space="preserve"> against each of the advertised lots,  An additional question relating to social value also formed part of the evaluation.  The skills and outcome requirement for each of the lots is included at Appendix 1.   Providers were required to meet a quality threshold of 65% to be successfully appointed to the EIP PDPS.</w:t>
            </w:r>
          </w:p>
          <w:p w14:paraId="29DEA7F1" w14:textId="77777777" w:rsidR="00A96420" w:rsidRDefault="00A96420" w:rsidP="00A96420">
            <w:pPr>
              <w:pStyle w:val="ListParagraph"/>
            </w:pPr>
          </w:p>
          <w:p w14:paraId="79BFA525" w14:textId="458046B0" w:rsidR="004B7890" w:rsidRDefault="004B7890" w:rsidP="004B7890">
            <w:r>
              <w:t>The number of bids received for each lot is outlined below:</w:t>
            </w:r>
          </w:p>
          <w:tbl>
            <w:tblPr>
              <w:tblStyle w:val="TableGrid"/>
              <w:tblW w:w="0" w:type="auto"/>
              <w:tblLook w:val="04A0" w:firstRow="1" w:lastRow="0" w:firstColumn="1" w:lastColumn="0" w:noHBand="0" w:noVBand="1"/>
            </w:tblPr>
            <w:tblGrid>
              <w:gridCol w:w="1696"/>
              <w:gridCol w:w="2835"/>
            </w:tblGrid>
            <w:tr w:rsidR="004B7890" w14:paraId="5C19CE83" w14:textId="77777777" w:rsidTr="00FD6466">
              <w:tc>
                <w:tcPr>
                  <w:tcW w:w="1696" w:type="dxa"/>
                </w:tcPr>
                <w:p w14:paraId="482F77B3" w14:textId="77777777" w:rsidR="004B7890" w:rsidRPr="00935D69" w:rsidRDefault="004B7890" w:rsidP="004B7890">
                  <w:pPr>
                    <w:jc w:val="center"/>
                    <w:rPr>
                      <w:rFonts w:ascii="Arial" w:hAnsi="Arial" w:cs="Arial"/>
                      <w:b/>
                      <w:bCs/>
                    </w:rPr>
                  </w:pPr>
                  <w:r w:rsidRPr="00935D69">
                    <w:rPr>
                      <w:rFonts w:ascii="Arial" w:hAnsi="Arial" w:cs="Arial"/>
                      <w:b/>
                      <w:bCs/>
                    </w:rPr>
                    <w:t>Lot</w:t>
                  </w:r>
                </w:p>
              </w:tc>
              <w:tc>
                <w:tcPr>
                  <w:tcW w:w="2835" w:type="dxa"/>
                </w:tcPr>
                <w:p w14:paraId="600FE039" w14:textId="77777777" w:rsidR="004B7890" w:rsidRPr="00935D69" w:rsidRDefault="004B7890" w:rsidP="004B7890">
                  <w:pPr>
                    <w:jc w:val="center"/>
                    <w:rPr>
                      <w:rFonts w:ascii="Arial" w:hAnsi="Arial" w:cs="Arial"/>
                      <w:b/>
                      <w:bCs/>
                    </w:rPr>
                  </w:pPr>
                  <w:r w:rsidRPr="00935D69">
                    <w:rPr>
                      <w:rFonts w:ascii="Arial" w:hAnsi="Arial" w:cs="Arial"/>
                      <w:b/>
                      <w:bCs/>
                    </w:rPr>
                    <w:t>No of Bids Received</w:t>
                  </w:r>
                </w:p>
              </w:tc>
            </w:tr>
            <w:tr w:rsidR="004B7890" w14:paraId="0A451D4E" w14:textId="77777777" w:rsidTr="00FD6466">
              <w:tc>
                <w:tcPr>
                  <w:tcW w:w="1696" w:type="dxa"/>
                </w:tcPr>
                <w:p w14:paraId="65144F54" w14:textId="77777777" w:rsidR="004B7890" w:rsidRPr="00935D69" w:rsidRDefault="004B7890" w:rsidP="004B7890">
                  <w:pPr>
                    <w:jc w:val="center"/>
                    <w:rPr>
                      <w:rFonts w:ascii="Arial" w:hAnsi="Arial" w:cs="Arial"/>
                    </w:rPr>
                  </w:pPr>
                  <w:r w:rsidRPr="00935D69">
                    <w:rPr>
                      <w:rFonts w:ascii="Arial" w:hAnsi="Arial" w:cs="Arial"/>
                    </w:rPr>
                    <w:t>1</w:t>
                  </w:r>
                </w:p>
              </w:tc>
              <w:tc>
                <w:tcPr>
                  <w:tcW w:w="2835" w:type="dxa"/>
                </w:tcPr>
                <w:p w14:paraId="57343E41" w14:textId="77777777" w:rsidR="004B7890" w:rsidRPr="00935D69" w:rsidRDefault="004B7890" w:rsidP="004B7890">
                  <w:pPr>
                    <w:jc w:val="center"/>
                    <w:rPr>
                      <w:rFonts w:ascii="Arial" w:hAnsi="Arial" w:cs="Arial"/>
                    </w:rPr>
                  </w:pPr>
                  <w:r w:rsidRPr="00935D69">
                    <w:rPr>
                      <w:rFonts w:ascii="Arial" w:hAnsi="Arial" w:cs="Arial"/>
                    </w:rPr>
                    <w:t>15</w:t>
                  </w:r>
                </w:p>
              </w:tc>
            </w:tr>
            <w:tr w:rsidR="004B7890" w14:paraId="388CCE76" w14:textId="77777777" w:rsidTr="00FD6466">
              <w:tc>
                <w:tcPr>
                  <w:tcW w:w="1696" w:type="dxa"/>
                </w:tcPr>
                <w:p w14:paraId="1881FD13" w14:textId="77777777" w:rsidR="004B7890" w:rsidRPr="00935D69" w:rsidRDefault="004B7890" w:rsidP="004B7890">
                  <w:pPr>
                    <w:jc w:val="center"/>
                    <w:rPr>
                      <w:rFonts w:ascii="Arial" w:hAnsi="Arial" w:cs="Arial"/>
                    </w:rPr>
                  </w:pPr>
                  <w:r w:rsidRPr="00935D69">
                    <w:rPr>
                      <w:rFonts w:ascii="Arial" w:hAnsi="Arial" w:cs="Arial"/>
                    </w:rPr>
                    <w:t>2</w:t>
                  </w:r>
                </w:p>
              </w:tc>
              <w:tc>
                <w:tcPr>
                  <w:tcW w:w="2835" w:type="dxa"/>
                </w:tcPr>
                <w:p w14:paraId="4DD67D2C" w14:textId="77777777" w:rsidR="004B7890" w:rsidRPr="00935D69" w:rsidRDefault="004B7890" w:rsidP="004B7890">
                  <w:pPr>
                    <w:jc w:val="center"/>
                    <w:rPr>
                      <w:rFonts w:ascii="Arial" w:hAnsi="Arial" w:cs="Arial"/>
                    </w:rPr>
                  </w:pPr>
                  <w:r w:rsidRPr="00935D69">
                    <w:rPr>
                      <w:rFonts w:ascii="Arial" w:hAnsi="Arial" w:cs="Arial"/>
                    </w:rPr>
                    <w:t>13</w:t>
                  </w:r>
                </w:p>
              </w:tc>
            </w:tr>
            <w:tr w:rsidR="004B7890" w14:paraId="1B9BA844" w14:textId="77777777" w:rsidTr="00FD6466">
              <w:tc>
                <w:tcPr>
                  <w:tcW w:w="1696" w:type="dxa"/>
                </w:tcPr>
                <w:p w14:paraId="0CD957AB" w14:textId="77777777" w:rsidR="004B7890" w:rsidRPr="00935D69" w:rsidRDefault="004B7890" w:rsidP="004B7890">
                  <w:pPr>
                    <w:jc w:val="center"/>
                    <w:rPr>
                      <w:rFonts w:ascii="Arial" w:hAnsi="Arial" w:cs="Arial"/>
                    </w:rPr>
                  </w:pPr>
                  <w:r w:rsidRPr="00935D69">
                    <w:rPr>
                      <w:rFonts w:ascii="Arial" w:hAnsi="Arial" w:cs="Arial"/>
                    </w:rPr>
                    <w:t>3</w:t>
                  </w:r>
                </w:p>
              </w:tc>
              <w:tc>
                <w:tcPr>
                  <w:tcW w:w="2835" w:type="dxa"/>
                </w:tcPr>
                <w:p w14:paraId="0904E396" w14:textId="77777777" w:rsidR="004B7890" w:rsidRPr="00935D69" w:rsidRDefault="004B7890" w:rsidP="004B7890">
                  <w:pPr>
                    <w:jc w:val="center"/>
                    <w:rPr>
                      <w:rFonts w:ascii="Arial" w:hAnsi="Arial" w:cs="Arial"/>
                    </w:rPr>
                  </w:pPr>
                  <w:r w:rsidRPr="00935D69">
                    <w:rPr>
                      <w:rFonts w:ascii="Arial" w:hAnsi="Arial" w:cs="Arial"/>
                    </w:rPr>
                    <w:t>15</w:t>
                  </w:r>
                </w:p>
              </w:tc>
            </w:tr>
            <w:tr w:rsidR="004B7890" w14:paraId="229EFD5E" w14:textId="77777777" w:rsidTr="00FD6466">
              <w:tc>
                <w:tcPr>
                  <w:tcW w:w="1696" w:type="dxa"/>
                </w:tcPr>
                <w:p w14:paraId="3D930A13" w14:textId="77777777" w:rsidR="004B7890" w:rsidRPr="00935D69" w:rsidRDefault="004B7890" w:rsidP="004B7890">
                  <w:pPr>
                    <w:jc w:val="center"/>
                    <w:rPr>
                      <w:rFonts w:ascii="Arial" w:hAnsi="Arial" w:cs="Arial"/>
                    </w:rPr>
                  </w:pPr>
                  <w:r w:rsidRPr="00935D69">
                    <w:rPr>
                      <w:rFonts w:ascii="Arial" w:hAnsi="Arial" w:cs="Arial"/>
                    </w:rPr>
                    <w:t>4</w:t>
                  </w:r>
                </w:p>
              </w:tc>
              <w:tc>
                <w:tcPr>
                  <w:tcW w:w="2835" w:type="dxa"/>
                </w:tcPr>
                <w:p w14:paraId="4CF65EC8" w14:textId="77777777" w:rsidR="004B7890" w:rsidRPr="00935D69" w:rsidRDefault="004B7890" w:rsidP="004B7890">
                  <w:pPr>
                    <w:jc w:val="center"/>
                    <w:rPr>
                      <w:rFonts w:ascii="Arial" w:hAnsi="Arial" w:cs="Arial"/>
                    </w:rPr>
                  </w:pPr>
                  <w:r w:rsidRPr="00935D69">
                    <w:rPr>
                      <w:rFonts w:ascii="Arial" w:hAnsi="Arial" w:cs="Arial"/>
                    </w:rPr>
                    <w:t>6</w:t>
                  </w:r>
                </w:p>
              </w:tc>
            </w:tr>
          </w:tbl>
          <w:p w14:paraId="4A6D8D27" w14:textId="309FC4F9" w:rsidR="004B7890" w:rsidRDefault="004B7890" w:rsidP="00907FA9">
            <w:pPr>
              <w:rPr>
                <w:b/>
                <w:bCs/>
              </w:rPr>
            </w:pPr>
          </w:p>
          <w:p w14:paraId="3E295D53" w14:textId="1E447E43" w:rsidR="004B7890" w:rsidRPr="004B7890" w:rsidRDefault="004B7890" w:rsidP="00907FA9">
            <w:r>
              <w:t>Following an evaluation and moderation process the following providers/bids were deemed to have reached the required quality threshold:</w:t>
            </w:r>
          </w:p>
          <w:tbl>
            <w:tblPr>
              <w:tblW w:w="7971" w:type="dxa"/>
              <w:tblLook w:val="04A0" w:firstRow="1" w:lastRow="0" w:firstColumn="1" w:lastColumn="0" w:noHBand="0" w:noVBand="1"/>
            </w:tblPr>
            <w:tblGrid>
              <w:gridCol w:w="3435"/>
              <w:gridCol w:w="850"/>
              <w:gridCol w:w="1473"/>
              <w:gridCol w:w="1065"/>
              <w:gridCol w:w="1148"/>
            </w:tblGrid>
            <w:tr w:rsidR="004B7890" w:rsidRPr="005337F7" w14:paraId="73FED5A7" w14:textId="77777777" w:rsidTr="00FD6466">
              <w:trPr>
                <w:trHeight w:val="271"/>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5F0D0" w14:textId="77777777" w:rsidR="004B7890" w:rsidRPr="00F55B38" w:rsidRDefault="004B7890" w:rsidP="004B7890">
                  <w:pPr>
                    <w:jc w:val="center"/>
                    <w:rPr>
                      <w:rFonts w:eastAsia="Times New Roman" w:cstheme="minorHAnsi"/>
                      <w:b/>
                      <w:bCs/>
                      <w:color w:val="000000"/>
                      <w:u w:val="single"/>
                    </w:rPr>
                  </w:pP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34388C" w14:textId="77777777" w:rsidR="004B7890" w:rsidRDefault="004B7890" w:rsidP="004B7890">
                  <w:pPr>
                    <w:jc w:val="center"/>
                    <w:rPr>
                      <w:rFonts w:eastAsia="Times New Roman" w:cstheme="minorHAnsi"/>
                      <w:b/>
                      <w:bCs/>
                      <w:color w:val="000000"/>
                    </w:rPr>
                  </w:pPr>
                </w:p>
                <w:p w14:paraId="416A3CA9" w14:textId="77777777" w:rsidR="004B7890" w:rsidRPr="00F55B38" w:rsidRDefault="004B7890" w:rsidP="004B7890">
                  <w:pPr>
                    <w:jc w:val="center"/>
                    <w:rPr>
                      <w:rFonts w:eastAsia="Times New Roman" w:cstheme="minorHAnsi"/>
                      <w:b/>
                      <w:bCs/>
                      <w:color w:val="000000"/>
                    </w:rPr>
                  </w:pPr>
                  <w:r w:rsidRPr="005337F7">
                    <w:rPr>
                      <w:rFonts w:eastAsia="Times New Roman" w:cstheme="minorHAnsi"/>
                      <w:b/>
                      <w:bCs/>
                      <w:color w:val="000000"/>
                    </w:rPr>
                    <w:t>Lot 1</w:t>
                  </w:r>
                </w:p>
              </w:tc>
              <w:tc>
                <w:tcPr>
                  <w:tcW w:w="147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A5E528" w14:textId="77777777" w:rsidR="004B7890" w:rsidRDefault="004B7890" w:rsidP="004B7890">
                  <w:pPr>
                    <w:jc w:val="center"/>
                    <w:rPr>
                      <w:rFonts w:eastAsia="Times New Roman" w:cstheme="minorHAnsi"/>
                      <w:b/>
                      <w:bCs/>
                      <w:color w:val="000000"/>
                    </w:rPr>
                  </w:pPr>
                </w:p>
                <w:p w14:paraId="2E54E721" w14:textId="77777777" w:rsidR="004B7890" w:rsidRPr="00F55B38" w:rsidRDefault="004B7890" w:rsidP="004B7890">
                  <w:pPr>
                    <w:jc w:val="center"/>
                    <w:rPr>
                      <w:rFonts w:eastAsia="Times New Roman" w:cstheme="minorHAnsi"/>
                      <w:b/>
                      <w:bCs/>
                      <w:color w:val="000000"/>
                    </w:rPr>
                  </w:pPr>
                  <w:r w:rsidRPr="005337F7">
                    <w:rPr>
                      <w:rFonts w:eastAsia="Times New Roman" w:cstheme="minorHAnsi"/>
                      <w:b/>
                      <w:bCs/>
                      <w:color w:val="000000"/>
                    </w:rPr>
                    <w:t>Lot 2</w:t>
                  </w:r>
                </w:p>
              </w:tc>
              <w:tc>
                <w:tcPr>
                  <w:tcW w:w="10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A33AE4A" w14:textId="77777777" w:rsidR="004B7890" w:rsidRDefault="004B7890" w:rsidP="004B7890">
                  <w:pPr>
                    <w:jc w:val="center"/>
                    <w:rPr>
                      <w:rFonts w:eastAsia="Times New Roman" w:cstheme="minorHAnsi"/>
                      <w:b/>
                      <w:bCs/>
                      <w:color w:val="000000"/>
                    </w:rPr>
                  </w:pPr>
                </w:p>
                <w:p w14:paraId="7BB2036D" w14:textId="77777777" w:rsidR="004B7890" w:rsidRPr="005337F7" w:rsidRDefault="004B7890" w:rsidP="004B7890">
                  <w:pPr>
                    <w:jc w:val="center"/>
                    <w:rPr>
                      <w:rFonts w:eastAsia="Times New Roman" w:cstheme="minorHAnsi"/>
                      <w:b/>
                      <w:bCs/>
                      <w:color w:val="000000"/>
                    </w:rPr>
                  </w:pPr>
                  <w:r w:rsidRPr="005337F7">
                    <w:rPr>
                      <w:rFonts w:eastAsia="Times New Roman" w:cstheme="minorHAnsi"/>
                      <w:b/>
                      <w:bCs/>
                      <w:color w:val="000000"/>
                    </w:rPr>
                    <w:t>Lot 3</w:t>
                  </w:r>
                </w:p>
              </w:tc>
              <w:tc>
                <w:tcPr>
                  <w:tcW w:w="114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3A75CA" w14:textId="77777777" w:rsidR="004B7890" w:rsidRPr="005337F7" w:rsidRDefault="004B7890" w:rsidP="004B7890">
                  <w:pPr>
                    <w:jc w:val="center"/>
                    <w:rPr>
                      <w:rFonts w:eastAsia="Times New Roman" w:cstheme="minorHAnsi"/>
                      <w:b/>
                      <w:bCs/>
                      <w:color w:val="000000"/>
                    </w:rPr>
                  </w:pPr>
                </w:p>
                <w:p w14:paraId="18C5B6B4" w14:textId="77777777" w:rsidR="004B7890" w:rsidRPr="005337F7" w:rsidRDefault="004B7890" w:rsidP="004B7890">
                  <w:pPr>
                    <w:jc w:val="center"/>
                    <w:rPr>
                      <w:rFonts w:eastAsia="Times New Roman" w:cstheme="minorHAnsi"/>
                      <w:b/>
                      <w:bCs/>
                      <w:color w:val="000000"/>
                    </w:rPr>
                  </w:pPr>
                  <w:r w:rsidRPr="005337F7">
                    <w:rPr>
                      <w:rFonts w:eastAsia="Times New Roman" w:cstheme="minorHAnsi"/>
                      <w:b/>
                      <w:bCs/>
                      <w:color w:val="000000"/>
                    </w:rPr>
                    <w:t>Lot 4</w:t>
                  </w:r>
                </w:p>
              </w:tc>
            </w:tr>
            <w:tr w:rsidR="004B7890" w:rsidRPr="005337F7" w14:paraId="1ACCFCE8"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65B3"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P3 Charity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54B96"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17EE1"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08BD38DC"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5E3B0F76" w14:textId="77777777" w:rsidR="004B7890" w:rsidRPr="005337F7" w:rsidRDefault="004B7890" w:rsidP="004B7890">
                  <w:pPr>
                    <w:jc w:val="center"/>
                    <w:rPr>
                      <w:rFonts w:eastAsia="Times New Roman" w:cstheme="minorHAnsi"/>
                      <w:color w:val="000000"/>
                    </w:rPr>
                  </w:pPr>
                </w:p>
              </w:tc>
            </w:tr>
            <w:tr w:rsidR="004B7890" w:rsidRPr="005337F7" w14:paraId="08AFAF65"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F1E5B"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Huntingdonshire Society for the Blind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C6D3C"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9162"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2E21165F" w14:textId="77777777" w:rsidR="004B7890" w:rsidRPr="005337F7" w:rsidRDefault="004B7890" w:rsidP="004B7890">
                  <w:pPr>
                    <w:jc w:val="center"/>
                    <w:rPr>
                      <w:rFonts w:eastAsia="Times New Roman" w:cstheme="minorHAnsi"/>
                      <w:color w:val="000000"/>
                    </w:rPr>
                  </w:pPr>
                  <w:r w:rsidRPr="005337F7">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46641613"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r>
            <w:tr w:rsidR="004B7890" w:rsidRPr="005337F7" w14:paraId="57D62805"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87D06"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Caring Together Charity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12606"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7BAA"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3750E72D" w14:textId="77777777" w:rsidR="004B7890" w:rsidRPr="005337F7" w:rsidRDefault="004B7890" w:rsidP="004B7890">
                  <w:pPr>
                    <w:jc w:val="center"/>
                    <w:rPr>
                      <w:rFonts w:eastAsia="Times New Roman" w:cstheme="minorHAnsi"/>
                      <w:color w:val="000000"/>
                    </w:rPr>
                  </w:pPr>
                  <w:r w:rsidRPr="005337F7">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35C16897"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r>
            <w:tr w:rsidR="004B7890" w:rsidRPr="005337F7" w14:paraId="2B8EF4A5"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2660"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British Red Cross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138E"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10E5"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32AAE0A8" w14:textId="77777777" w:rsidR="004B7890" w:rsidRPr="005337F7" w:rsidRDefault="004B7890" w:rsidP="004B7890">
                  <w:pPr>
                    <w:jc w:val="center"/>
                    <w:rPr>
                      <w:rFonts w:eastAsia="Times New Roman" w:cstheme="minorHAnsi"/>
                      <w:color w:val="000000"/>
                    </w:rPr>
                  </w:pPr>
                  <w:r w:rsidRPr="005337F7">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60796119" w14:textId="77777777" w:rsidR="004B7890" w:rsidRPr="005337F7" w:rsidRDefault="004B7890" w:rsidP="004B7890">
                  <w:pPr>
                    <w:jc w:val="center"/>
                    <w:rPr>
                      <w:rFonts w:eastAsia="Times New Roman" w:cstheme="minorHAnsi"/>
                      <w:color w:val="000000"/>
                    </w:rPr>
                  </w:pPr>
                </w:p>
              </w:tc>
            </w:tr>
            <w:tr w:rsidR="004B7890" w:rsidRPr="005337F7" w14:paraId="4D704B7D"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C1B62"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Stroke Association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35658"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43C57"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91BD5A9" w14:textId="77777777" w:rsidR="004B7890" w:rsidRPr="005337F7" w:rsidRDefault="004B7890" w:rsidP="004B7890">
                  <w:pPr>
                    <w:jc w:val="center"/>
                    <w:rPr>
                      <w:rFonts w:eastAsia="Times New Roman" w:cstheme="minorHAnsi"/>
                      <w:color w:val="000000"/>
                    </w:rPr>
                  </w:pPr>
                  <w:r w:rsidRPr="005337F7">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BE07834" w14:textId="77777777" w:rsidR="004B7890" w:rsidRPr="005337F7" w:rsidRDefault="004B7890" w:rsidP="004B7890">
                  <w:pPr>
                    <w:jc w:val="center"/>
                    <w:rPr>
                      <w:rFonts w:eastAsia="Times New Roman" w:cstheme="minorHAnsi"/>
                      <w:color w:val="000000"/>
                    </w:rPr>
                  </w:pPr>
                </w:p>
              </w:tc>
            </w:tr>
            <w:tr w:rsidR="004B7890" w:rsidRPr="005337F7" w14:paraId="353FC4F0"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EA20"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Cera Care Operations Ltd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C728"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B3B32" w14:textId="77777777" w:rsidR="004B7890" w:rsidRPr="00F55B38" w:rsidRDefault="004B7890" w:rsidP="004B7890">
                  <w:pPr>
                    <w:jc w:val="center"/>
                    <w:rPr>
                      <w:rFonts w:eastAsia="Times New Roman" w:cstheme="minorHAnsi"/>
                      <w:color w:val="000000"/>
                    </w:rPr>
                  </w:pPr>
                </w:p>
              </w:tc>
              <w:tc>
                <w:tcPr>
                  <w:tcW w:w="1065" w:type="dxa"/>
                  <w:tcBorders>
                    <w:top w:val="single" w:sz="4" w:space="0" w:color="auto"/>
                    <w:left w:val="single" w:sz="4" w:space="0" w:color="auto"/>
                    <w:bottom w:val="single" w:sz="4" w:space="0" w:color="auto"/>
                    <w:right w:val="single" w:sz="4" w:space="0" w:color="auto"/>
                  </w:tcBorders>
                </w:tcPr>
                <w:p w14:paraId="180ADC10" w14:textId="77777777" w:rsidR="004B7890" w:rsidRPr="005337F7" w:rsidRDefault="004B7890" w:rsidP="004B7890">
                  <w:pPr>
                    <w:jc w:val="center"/>
                    <w:rPr>
                      <w:rFonts w:eastAsia="Times New Roman" w:cstheme="minorHAnsi"/>
                      <w:color w:val="000000"/>
                    </w:rPr>
                  </w:pPr>
                </w:p>
              </w:tc>
              <w:tc>
                <w:tcPr>
                  <w:tcW w:w="1148" w:type="dxa"/>
                  <w:tcBorders>
                    <w:top w:val="single" w:sz="4" w:space="0" w:color="auto"/>
                    <w:left w:val="single" w:sz="4" w:space="0" w:color="auto"/>
                    <w:bottom w:val="single" w:sz="4" w:space="0" w:color="auto"/>
                    <w:right w:val="single" w:sz="4" w:space="0" w:color="auto"/>
                  </w:tcBorders>
                </w:tcPr>
                <w:p w14:paraId="73A8FEB1" w14:textId="77777777" w:rsidR="004B7890" w:rsidRPr="005337F7" w:rsidRDefault="004B7890" w:rsidP="004B7890">
                  <w:pPr>
                    <w:jc w:val="center"/>
                    <w:rPr>
                      <w:rFonts w:eastAsia="Times New Roman" w:cstheme="minorHAnsi"/>
                      <w:color w:val="000000"/>
                    </w:rPr>
                  </w:pPr>
                </w:p>
              </w:tc>
            </w:tr>
            <w:tr w:rsidR="004B7890" w:rsidRPr="005337F7" w14:paraId="41D8870E"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2EFBF"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HomeLink Healthcare Ltd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453F1" w14:textId="77777777" w:rsidR="004B7890" w:rsidRPr="00F55B38" w:rsidRDefault="004B7890" w:rsidP="004B7890">
                  <w:pPr>
                    <w:jc w:val="center"/>
                    <w:rPr>
                      <w:rFonts w:eastAsia="Times New Roman" w:cstheme="minorHAnsi"/>
                      <w:color w:val="000000"/>
                    </w:rPr>
                  </w:pPr>
                  <w:r w:rsidRPr="005337F7">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316B" w14:textId="77777777" w:rsidR="004B7890" w:rsidRPr="00F55B38" w:rsidRDefault="004B7890" w:rsidP="004B7890">
                  <w:pPr>
                    <w:jc w:val="center"/>
                    <w:rPr>
                      <w:rFonts w:eastAsia="Times New Roman" w:cstheme="minorHAnsi"/>
                      <w:color w:val="000000"/>
                    </w:rPr>
                  </w:pPr>
                </w:p>
              </w:tc>
              <w:tc>
                <w:tcPr>
                  <w:tcW w:w="1065" w:type="dxa"/>
                  <w:tcBorders>
                    <w:top w:val="single" w:sz="4" w:space="0" w:color="auto"/>
                    <w:left w:val="single" w:sz="4" w:space="0" w:color="auto"/>
                    <w:bottom w:val="single" w:sz="4" w:space="0" w:color="auto"/>
                    <w:right w:val="single" w:sz="4" w:space="0" w:color="auto"/>
                  </w:tcBorders>
                </w:tcPr>
                <w:p w14:paraId="1675D327" w14:textId="77777777" w:rsidR="004B7890" w:rsidRPr="005337F7" w:rsidRDefault="004B7890" w:rsidP="004B7890">
                  <w:pPr>
                    <w:jc w:val="center"/>
                    <w:rPr>
                      <w:rFonts w:eastAsia="Times New Roman" w:cstheme="minorHAnsi"/>
                      <w:color w:val="000000"/>
                    </w:rPr>
                  </w:pPr>
                </w:p>
              </w:tc>
              <w:tc>
                <w:tcPr>
                  <w:tcW w:w="1148" w:type="dxa"/>
                  <w:tcBorders>
                    <w:top w:val="single" w:sz="4" w:space="0" w:color="auto"/>
                    <w:left w:val="single" w:sz="4" w:space="0" w:color="auto"/>
                    <w:bottom w:val="single" w:sz="4" w:space="0" w:color="auto"/>
                    <w:right w:val="single" w:sz="4" w:space="0" w:color="auto"/>
                  </w:tcBorders>
                </w:tcPr>
                <w:p w14:paraId="41324D9E" w14:textId="77777777" w:rsidR="004B7890" w:rsidRPr="005337F7" w:rsidRDefault="004B7890" w:rsidP="004B7890">
                  <w:pPr>
                    <w:jc w:val="center"/>
                    <w:rPr>
                      <w:rFonts w:eastAsia="Times New Roman" w:cstheme="minorHAnsi"/>
                      <w:color w:val="000000"/>
                    </w:rPr>
                  </w:pPr>
                </w:p>
              </w:tc>
            </w:tr>
            <w:tr w:rsidR="004B7890" w:rsidRPr="005337F7" w14:paraId="6C83B604"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20A11"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Care Network Cambridgeshire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8E9D1"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EE73D"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36FA1A27" w14:textId="77777777" w:rsidR="004B7890" w:rsidRPr="005337F7" w:rsidRDefault="004B7890" w:rsidP="004B7890">
                  <w:pPr>
                    <w:jc w:val="center"/>
                    <w:rPr>
                      <w:rFonts w:eastAsia="Times New Roman" w:cstheme="minorHAnsi"/>
                      <w:color w:val="000000"/>
                    </w:rPr>
                  </w:pPr>
                  <w:r w:rsidRPr="005337F7">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33CA21E9" w14:textId="77777777" w:rsidR="004B7890" w:rsidRPr="005337F7" w:rsidRDefault="004B7890" w:rsidP="004B7890">
                  <w:pPr>
                    <w:jc w:val="center"/>
                    <w:rPr>
                      <w:rFonts w:eastAsia="Times New Roman" w:cstheme="minorHAnsi"/>
                      <w:color w:val="000000"/>
                    </w:rPr>
                  </w:pPr>
                </w:p>
              </w:tc>
            </w:tr>
            <w:tr w:rsidR="004B7890" w:rsidRPr="005337F7" w14:paraId="1E8BAD18"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B782"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CPSL Mind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EBA0A"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3D3DF" w14:textId="77777777" w:rsidR="004B7890" w:rsidRPr="00F55B38" w:rsidRDefault="004B7890" w:rsidP="004B7890">
                  <w:pPr>
                    <w:jc w:val="center"/>
                    <w:rPr>
                      <w:rFonts w:eastAsia="Times New Roman" w:cstheme="minorHAnsi"/>
                      <w:color w:val="000000"/>
                    </w:rPr>
                  </w:pPr>
                </w:p>
              </w:tc>
              <w:tc>
                <w:tcPr>
                  <w:tcW w:w="1065" w:type="dxa"/>
                  <w:tcBorders>
                    <w:top w:val="single" w:sz="4" w:space="0" w:color="auto"/>
                    <w:left w:val="single" w:sz="4" w:space="0" w:color="auto"/>
                    <w:bottom w:val="single" w:sz="4" w:space="0" w:color="auto"/>
                    <w:right w:val="single" w:sz="4" w:space="0" w:color="auto"/>
                  </w:tcBorders>
                </w:tcPr>
                <w:p w14:paraId="4063DB5E"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51E37851" w14:textId="77777777" w:rsidR="004B7890" w:rsidRPr="005337F7" w:rsidRDefault="004B7890" w:rsidP="004B7890">
                  <w:pPr>
                    <w:jc w:val="center"/>
                    <w:rPr>
                      <w:rFonts w:eastAsia="Times New Roman" w:cstheme="minorHAnsi"/>
                      <w:color w:val="000000"/>
                    </w:rPr>
                  </w:pPr>
                </w:p>
              </w:tc>
            </w:tr>
            <w:tr w:rsidR="004B7890" w:rsidRPr="005337F7" w14:paraId="3422DD35"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C3A3F"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Cam Sight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37C80"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BE67C"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1FA5EE6D"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3BB89B19"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r>
            <w:tr w:rsidR="004B7890" w:rsidRPr="005337F7" w14:paraId="6CB01834"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0CE7"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Age UK Cambridgeshire and Peterborough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4BACF"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F5636"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tcPr>
                <w:p w14:paraId="1BCB4C9B"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tcPr>
                <w:p w14:paraId="61469ADE"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r>
            <w:tr w:rsidR="004B7890" w:rsidRPr="005337F7" w14:paraId="0F555BBC"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6FC3" w14:textId="590727EC" w:rsidR="004B7890" w:rsidRPr="00F55B38" w:rsidRDefault="004B7890" w:rsidP="004B7890">
                  <w:pPr>
                    <w:rPr>
                      <w:rFonts w:eastAsia="Times New Roman" w:cstheme="minorHAnsi"/>
                      <w:color w:val="000000"/>
                    </w:rPr>
                  </w:pPr>
                  <w:r w:rsidRPr="00F55B38">
                    <w:rPr>
                      <w:rFonts w:eastAsia="Times New Roman" w:cstheme="minorHAnsi"/>
                      <w:color w:val="000000"/>
                    </w:rPr>
                    <w:t>Peterborough Association for the Blind</w:t>
                  </w:r>
                  <w:r w:rsidR="00A96420">
                    <w:rPr>
                      <w:rFonts w:eastAsia="Times New Roman" w:cstheme="minorHAnsi"/>
                      <w:color w:val="000000"/>
                    </w:rPr>
                    <w:t xml:space="preserve"> (Peterborough Sight)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562D5"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D5ACC" w14:textId="77777777" w:rsidR="004B7890" w:rsidRPr="00F55B38" w:rsidRDefault="004B7890" w:rsidP="004B7890">
                  <w:pPr>
                    <w:jc w:val="center"/>
                    <w:rPr>
                      <w:rFonts w:eastAsia="Times New Roman" w:cstheme="minorHAnsi"/>
                      <w:color w:val="000000"/>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1D120A5"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DE404B" w14:textId="77777777" w:rsidR="004B7890" w:rsidRPr="005337F7" w:rsidRDefault="004B7890" w:rsidP="004B7890">
                  <w:pPr>
                    <w:jc w:val="center"/>
                    <w:rPr>
                      <w:rFonts w:eastAsia="Times New Roman" w:cstheme="minorHAnsi"/>
                      <w:color w:val="000000"/>
                    </w:rPr>
                  </w:pPr>
                </w:p>
              </w:tc>
            </w:tr>
            <w:tr w:rsidR="004B7890" w:rsidRPr="005337F7" w14:paraId="73EBC6C0"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F0A5"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Cambridgeshire Hearing Help</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D05D"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E8B99"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3BE6AB0" w14:textId="77777777" w:rsidR="004B7890" w:rsidRPr="005337F7" w:rsidRDefault="004B7890" w:rsidP="004B7890">
                  <w:pPr>
                    <w:jc w:val="center"/>
                    <w:rPr>
                      <w:rFonts w:eastAsia="Times New Roman" w:cstheme="minorHAnsi"/>
                      <w:color w:val="00000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B0FB051" w14:textId="77777777" w:rsidR="004B7890" w:rsidRPr="005337F7" w:rsidRDefault="004B7890" w:rsidP="004B7890">
                  <w:pPr>
                    <w:jc w:val="center"/>
                    <w:rPr>
                      <w:rFonts w:eastAsia="Times New Roman" w:cstheme="minorHAnsi"/>
                      <w:color w:val="000000"/>
                    </w:rPr>
                  </w:pPr>
                </w:p>
              </w:tc>
            </w:tr>
            <w:tr w:rsidR="004B7890" w:rsidRPr="005337F7" w14:paraId="5FDB7846" w14:textId="77777777" w:rsidTr="00FD6466">
              <w:trPr>
                <w:trHeight w:val="255"/>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49DD9"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Alzheimer's Society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86F76"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8F5B6"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0BF6F3B4"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BEFF6CB" w14:textId="77777777" w:rsidR="004B7890" w:rsidRPr="005337F7" w:rsidRDefault="004B7890" w:rsidP="004B7890">
                  <w:pPr>
                    <w:jc w:val="center"/>
                    <w:rPr>
                      <w:rFonts w:eastAsia="Times New Roman" w:cstheme="minorHAnsi"/>
                      <w:color w:val="000000"/>
                    </w:rPr>
                  </w:pPr>
                </w:p>
              </w:tc>
            </w:tr>
            <w:tr w:rsidR="004B7890" w:rsidRPr="005337F7" w14:paraId="055951E5" w14:textId="77777777" w:rsidTr="00FD6466">
              <w:trPr>
                <w:trHeight w:val="255"/>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01A20DEB"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Cambridgeshire Deaf Association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CA6D8"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98855"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80FFE59" w14:textId="77777777" w:rsidR="004B7890" w:rsidRPr="005337F7" w:rsidRDefault="004B7890" w:rsidP="004B7890">
                  <w:pPr>
                    <w:jc w:val="center"/>
                    <w:rPr>
                      <w:rFonts w:eastAsia="Times New Roman" w:cstheme="minorHAnsi"/>
                      <w:color w:val="000000"/>
                    </w:rPr>
                  </w:pPr>
                  <w:r>
                    <w:rPr>
                      <w:rFonts w:eastAsia="Times New Roman" w:cstheme="minorHAnsi"/>
                      <w:color w:val="000000"/>
                    </w:rPr>
                    <w:t>X</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89D4B2A" w14:textId="77777777" w:rsidR="004B7890" w:rsidRPr="005337F7" w:rsidRDefault="004B7890" w:rsidP="004B7890">
                  <w:pPr>
                    <w:jc w:val="center"/>
                    <w:rPr>
                      <w:rFonts w:eastAsia="Times New Roman" w:cstheme="minorHAnsi"/>
                      <w:color w:val="000000"/>
                    </w:rPr>
                  </w:pPr>
                </w:p>
              </w:tc>
            </w:tr>
            <w:tr w:rsidR="004B7890" w:rsidRPr="005337F7" w14:paraId="6B2CB927" w14:textId="77777777" w:rsidTr="00FD6466">
              <w:trPr>
                <w:trHeight w:val="255"/>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4EA7642E" w14:textId="77777777" w:rsidR="004B7890" w:rsidRPr="00F55B38" w:rsidRDefault="004B7890" w:rsidP="004B7890">
                  <w:pPr>
                    <w:rPr>
                      <w:rFonts w:eastAsia="Times New Roman" w:cstheme="minorHAnsi"/>
                      <w:color w:val="000000"/>
                    </w:rPr>
                  </w:pPr>
                  <w:r w:rsidRPr="00F55B38">
                    <w:rPr>
                      <w:rFonts w:eastAsia="Times New Roman" w:cstheme="minorHAnsi"/>
                      <w:color w:val="000000"/>
                    </w:rPr>
                    <w:t>Hunts Forum of Voluntary Organisations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B1613" w14:textId="77777777" w:rsidR="004B7890" w:rsidRPr="00F55B38" w:rsidRDefault="004B7890" w:rsidP="004B7890">
                  <w:pPr>
                    <w:jc w:val="center"/>
                    <w:rPr>
                      <w:rFonts w:eastAsia="Times New Roman" w:cstheme="minorHAnsi"/>
                      <w:color w:val="000000"/>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A96D1" w14:textId="77777777" w:rsidR="004B7890" w:rsidRPr="00F55B38" w:rsidRDefault="004B7890" w:rsidP="004B7890">
                  <w:pPr>
                    <w:jc w:val="center"/>
                    <w:rPr>
                      <w:rFonts w:eastAsia="Times New Roman" w:cstheme="minorHAnsi"/>
                      <w:color w:val="000000"/>
                    </w:rPr>
                  </w:pPr>
                  <w:r>
                    <w:rPr>
                      <w:rFonts w:eastAsia="Times New Roman" w:cstheme="minorHAnsi"/>
                      <w:color w:val="000000"/>
                    </w:rPr>
                    <w:t>X</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288A772" w14:textId="77777777" w:rsidR="004B7890" w:rsidRPr="005337F7" w:rsidRDefault="004B7890" w:rsidP="004B7890">
                  <w:pPr>
                    <w:jc w:val="center"/>
                    <w:rPr>
                      <w:rFonts w:eastAsia="Times New Roman" w:cstheme="minorHAnsi"/>
                      <w:color w:val="00000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F8C79E3" w14:textId="77777777" w:rsidR="004B7890" w:rsidRPr="005337F7" w:rsidRDefault="004B7890" w:rsidP="004B7890">
                  <w:pPr>
                    <w:jc w:val="center"/>
                    <w:rPr>
                      <w:rFonts w:eastAsia="Times New Roman" w:cstheme="minorHAnsi"/>
                      <w:color w:val="000000"/>
                    </w:rPr>
                  </w:pPr>
                </w:p>
              </w:tc>
            </w:tr>
            <w:tr w:rsidR="004B7890" w:rsidRPr="005337F7" w14:paraId="39BFEC7A" w14:textId="77777777" w:rsidTr="00FD6466">
              <w:trPr>
                <w:trHeight w:val="255"/>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2DC7F625" w14:textId="184E9080" w:rsidR="004B7890" w:rsidRPr="00F55B38" w:rsidRDefault="004B7890" w:rsidP="004B7890">
                  <w:pPr>
                    <w:jc w:val="right"/>
                    <w:rPr>
                      <w:rFonts w:eastAsia="Times New Roman" w:cstheme="minorHAnsi"/>
                      <w:b/>
                      <w:bCs/>
                      <w:color w:val="000000"/>
                    </w:rPr>
                  </w:pPr>
                  <w:r w:rsidRPr="005337F7">
                    <w:rPr>
                      <w:rFonts w:eastAsia="Times New Roman" w:cstheme="minorHAnsi"/>
                      <w:b/>
                      <w:bCs/>
                      <w:color w:val="000000"/>
                    </w:rPr>
                    <w:t>T</w:t>
                  </w:r>
                  <w:r w:rsidR="0091395C">
                    <w:rPr>
                      <w:rFonts w:eastAsia="Times New Roman" w:cstheme="minorHAnsi"/>
                      <w:b/>
                      <w:bCs/>
                      <w:color w:val="000000"/>
                    </w:rPr>
                    <w:t>otal bids meeting threshold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AAF59" w14:textId="77777777" w:rsidR="004B7890" w:rsidRPr="00F55B38" w:rsidRDefault="004B7890" w:rsidP="004B7890">
                  <w:pPr>
                    <w:jc w:val="center"/>
                    <w:rPr>
                      <w:rFonts w:eastAsia="Times New Roman" w:cstheme="minorHAnsi"/>
                      <w:b/>
                      <w:bCs/>
                      <w:color w:val="000000"/>
                    </w:rPr>
                  </w:pPr>
                  <w:r w:rsidRPr="005337F7">
                    <w:rPr>
                      <w:rFonts w:eastAsia="Times New Roman" w:cstheme="minorHAnsi"/>
                      <w:b/>
                      <w:bCs/>
                      <w:color w:val="000000"/>
                    </w:rPr>
                    <w:t>9</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5D53B" w14:textId="77777777" w:rsidR="004B7890" w:rsidRPr="00F55B38" w:rsidRDefault="004B7890" w:rsidP="004B7890">
                  <w:pPr>
                    <w:jc w:val="center"/>
                    <w:rPr>
                      <w:rFonts w:eastAsia="Times New Roman" w:cstheme="minorHAnsi"/>
                      <w:b/>
                      <w:bCs/>
                      <w:color w:val="000000"/>
                    </w:rPr>
                  </w:pPr>
                  <w:r w:rsidRPr="005337F7">
                    <w:rPr>
                      <w:rFonts w:eastAsia="Times New Roman" w:cstheme="minorHAnsi"/>
                      <w:b/>
                      <w:bCs/>
                      <w:color w:val="000000"/>
                    </w:rPr>
                    <w:t>12</w:t>
                  </w:r>
                </w:p>
              </w:tc>
              <w:tc>
                <w:tcPr>
                  <w:tcW w:w="1065" w:type="dxa"/>
                  <w:tcBorders>
                    <w:top w:val="single" w:sz="4" w:space="0" w:color="auto"/>
                    <w:left w:val="single" w:sz="4" w:space="0" w:color="auto"/>
                    <w:bottom w:val="single" w:sz="4" w:space="0" w:color="auto"/>
                    <w:right w:val="single" w:sz="4" w:space="0" w:color="auto"/>
                  </w:tcBorders>
                </w:tcPr>
                <w:p w14:paraId="6EB2017C" w14:textId="77777777" w:rsidR="004B7890" w:rsidRPr="005337F7" w:rsidRDefault="004B7890" w:rsidP="004B7890">
                  <w:pPr>
                    <w:jc w:val="center"/>
                    <w:rPr>
                      <w:rFonts w:eastAsia="Times New Roman" w:cstheme="minorHAnsi"/>
                      <w:b/>
                      <w:bCs/>
                      <w:color w:val="000000"/>
                    </w:rPr>
                  </w:pPr>
                  <w:r w:rsidRPr="005337F7">
                    <w:rPr>
                      <w:rFonts w:eastAsia="Times New Roman" w:cstheme="minorHAnsi"/>
                      <w:b/>
                      <w:bCs/>
                      <w:color w:val="000000"/>
                    </w:rPr>
                    <w:t>12</w:t>
                  </w:r>
                </w:p>
              </w:tc>
              <w:tc>
                <w:tcPr>
                  <w:tcW w:w="1148" w:type="dxa"/>
                  <w:tcBorders>
                    <w:top w:val="single" w:sz="4" w:space="0" w:color="auto"/>
                    <w:left w:val="single" w:sz="4" w:space="0" w:color="auto"/>
                    <w:bottom w:val="single" w:sz="4" w:space="0" w:color="auto"/>
                    <w:right w:val="single" w:sz="4" w:space="0" w:color="auto"/>
                  </w:tcBorders>
                </w:tcPr>
                <w:p w14:paraId="3DEFF612" w14:textId="77777777" w:rsidR="004B7890" w:rsidRPr="005337F7" w:rsidRDefault="004B7890" w:rsidP="004B7890">
                  <w:pPr>
                    <w:jc w:val="center"/>
                    <w:rPr>
                      <w:rFonts w:eastAsia="Times New Roman" w:cstheme="minorHAnsi"/>
                      <w:b/>
                      <w:bCs/>
                      <w:color w:val="000000"/>
                    </w:rPr>
                  </w:pPr>
                  <w:r w:rsidRPr="005337F7">
                    <w:rPr>
                      <w:rFonts w:eastAsia="Times New Roman" w:cstheme="minorHAnsi"/>
                      <w:b/>
                      <w:bCs/>
                      <w:color w:val="000000"/>
                    </w:rPr>
                    <w:t>4</w:t>
                  </w:r>
                </w:p>
              </w:tc>
            </w:tr>
            <w:tr w:rsidR="0091395C" w:rsidRPr="005337F7" w14:paraId="42FCD4E2" w14:textId="77777777" w:rsidTr="00FD6466">
              <w:trPr>
                <w:trHeight w:val="255"/>
              </w:trPr>
              <w:tc>
                <w:tcPr>
                  <w:tcW w:w="3435" w:type="dxa"/>
                  <w:tcBorders>
                    <w:top w:val="single" w:sz="4" w:space="0" w:color="auto"/>
                    <w:left w:val="single" w:sz="4" w:space="0" w:color="auto"/>
                    <w:bottom w:val="single" w:sz="4" w:space="0" w:color="auto"/>
                    <w:right w:val="nil"/>
                  </w:tcBorders>
                  <w:shd w:val="clear" w:color="auto" w:fill="auto"/>
                  <w:vAlign w:val="center"/>
                </w:tcPr>
                <w:p w14:paraId="7F78A4B8" w14:textId="17CEB7B7" w:rsidR="0091395C" w:rsidRPr="005337F7" w:rsidRDefault="0091395C" w:rsidP="004B7890">
                  <w:pPr>
                    <w:jc w:val="right"/>
                    <w:rPr>
                      <w:rFonts w:eastAsia="Times New Roman" w:cstheme="minorHAnsi"/>
                      <w:b/>
                      <w:bCs/>
                      <w:color w:val="000000"/>
                    </w:rPr>
                  </w:pPr>
                  <w:r>
                    <w:rPr>
                      <w:rFonts w:eastAsia="Times New Roman" w:cstheme="minorHAnsi"/>
                      <w:b/>
                      <w:bCs/>
                      <w:color w:val="000000"/>
                    </w:rPr>
                    <w:t>Total bids not reaching threshold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4313C" w14:textId="706AB33B" w:rsidR="0091395C" w:rsidRPr="005337F7" w:rsidRDefault="0091395C" w:rsidP="004B7890">
                  <w:pPr>
                    <w:jc w:val="center"/>
                    <w:rPr>
                      <w:rFonts w:eastAsia="Times New Roman" w:cstheme="minorHAnsi"/>
                      <w:b/>
                      <w:bCs/>
                      <w:color w:val="000000"/>
                    </w:rPr>
                  </w:pPr>
                  <w:r>
                    <w:rPr>
                      <w:rFonts w:eastAsia="Times New Roman" w:cstheme="minorHAnsi"/>
                      <w:b/>
                      <w:bCs/>
                      <w:color w:val="000000"/>
                    </w:rPr>
                    <w:t>6</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1B786" w14:textId="486AD0C6" w:rsidR="0091395C" w:rsidRPr="005337F7" w:rsidRDefault="0091395C" w:rsidP="004B7890">
                  <w:pPr>
                    <w:jc w:val="center"/>
                    <w:rPr>
                      <w:rFonts w:eastAsia="Times New Roman" w:cstheme="minorHAnsi"/>
                      <w:b/>
                      <w:bCs/>
                      <w:color w:val="000000"/>
                    </w:rPr>
                  </w:pPr>
                  <w:r>
                    <w:rPr>
                      <w:rFonts w:eastAsia="Times New Roman" w:cstheme="minorHAnsi"/>
                      <w:b/>
                      <w:bCs/>
                      <w:color w:val="000000"/>
                    </w:rPr>
                    <w:t>1</w:t>
                  </w:r>
                </w:p>
              </w:tc>
              <w:tc>
                <w:tcPr>
                  <w:tcW w:w="1065" w:type="dxa"/>
                  <w:tcBorders>
                    <w:top w:val="single" w:sz="4" w:space="0" w:color="auto"/>
                    <w:left w:val="single" w:sz="4" w:space="0" w:color="auto"/>
                    <w:bottom w:val="single" w:sz="4" w:space="0" w:color="auto"/>
                    <w:right w:val="single" w:sz="4" w:space="0" w:color="auto"/>
                  </w:tcBorders>
                </w:tcPr>
                <w:p w14:paraId="0E1A324D" w14:textId="44D81CF6" w:rsidR="0091395C" w:rsidRPr="005337F7" w:rsidRDefault="0091395C" w:rsidP="004B7890">
                  <w:pPr>
                    <w:jc w:val="center"/>
                    <w:rPr>
                      <w:rFonts w:eastAsia="Times New Roman" w:cstheme="minorHAnsi"/>
                      <w:b/>
                      <w:bCs/>
                      <w:color w:val="000000"/>
                    </w:rPr>
                  </w:pPr>
                  <w:r>
                    <w:rPr>
                      <w:rFonts w:eastAsia="Times New Roman" w:cstheme="minorHAnsi"/>
                      <w:b/>
                      <w:bCs/>
                      <w:color w:val="000000"/>
                    </w:rPr>
                    <w:t>3</w:t>
                  </w:r>
                </w:p>
              </w:tc>
              <w:tc>
                <w:tcPr>
                  <w:tcW w:w="1148" w:type="dxa"/>
                  <w:tcBorders>
                    <w:top w:val="single" w:sz="4" w:space="0" w:color="auto"/>
                    <w:left w:val="single" w:sz="4" w:space="0" w:color="auto"/>
                    <w:bottom w:val="single" w:sz="4" w:space="0" w:color="auto"/>
                    <w:right w:val="single" w:sz="4" w:space="0" w:color="auto"/>
                  </w:tcBorders>
                </w:tcPr>
                <w:p w14:paraId="1E08644E" w14:textId="31DBEBD3" w:rsidR="0091395C" w:rsidRPr="005337F7" w:rsidRDefault="0091395C" w:rsidP="004B7890">
                  <w:pPr>
                    <w:jc w:val="center"/>
                    <w:rPr>
                      <w:rFonts w:eastAsia="Times New Roman" w:cstheme="minorHAnsi"/>
                      <w:b/>
                      <w:bCs/>
                      <w:color w:val="000000"/>
                    </w:rPr>
                  </w:pPr>
                  <w:r>
                    <w:rPr>
                      <w:rFonts w:eastAsia="Times New Roman" w:cstheme="minorHAnsi"/>
                      <w:b/>
                      <w:bCs/>
                      <w:color w:val="000000"/>
                    </w:rPr>
                    <w:t>2</w:t>
                  </w:r>
                </w:p>
              </w:tc>
            </w:tr>
          </w:tbl>
          <w:p w14:paraId="630E0E42" w14:textId="15AD75F9" w:rsidR="004B7890" w:rsidRDefault="004B7890" w:rsidP="00907FA9">
            <w:pPr>
              <w:rPr>
                <w:b/>
                <w:bCs/>
              </w:rPr>
            </w:pPr>
          </w:p>
          <w:p w14:paraId="3A9392B8" w14:textId="4A707EB3" w:rsidR="004B7890" w:rsidRDefault="004B7890" w:rsidP="00907FA9">
            <w:pPr>
              <w:rPr>
                <w:b/>
                <w:bCs/>
              </w:rPr>
            </w:pPr>
            <w:r>
              <w:t>Those who have been unsuccessful in reaching the required standard will be offered feedback and the opportunity to resubmit a bid when the EIP PDPS re-opens.  This is scheduled for 6 months after the contract start date for the PDPS but there is discretion for commissioners to re-open the EIP PDPS at any time if it is felt that there is a requirement to do so</w:t>
            </w:r>
          </w:p>
          <w:p w14:paraId="4B07210F" w14:textId="13D142CA" w:rsidR="00F26611" w:rsidRDefault="004B7890" w:rsidP="00907FA9">
            <w:r w:rsidRPr="00EA7251">
              <w:t xml:space="preserve">Once providers have been accepted onto the EIP PDPS then the </w:t>
            </w:r>
            <w:r>
              <w:t>c</w:t>
            </w:r>
            <w:r w:rsidRPr="00EA7251">
              <w:t xml:space="preserve">ommissioners can begin to call off specific service requirements under each of the Lots.  </w:t>
            </w:r>
            <w:r>
              <w:t xml:space="preserve">Within the commissioning cycle, commissioners will have the </w:t>
            </w:r>
            <w:r>
              <w:lastRenderedPageBreak/>
              <w:t xml:space="preserve">option to determine whether the service can be commissioned via the PDPS.  </w:t>
            </w:r>
            <w:r w:rsidR="00557183">
              <w:t>Each commissioning authority</w:t>
            </w:r>
            <w:r>
              <w:t xml:space="preserve"> will put in place</w:t>
            </w:r>
            <w:r w:rsidR="00557183">
              <w:t xml:space="preserve"> any individual</w:t>
            </w:r>
            <w:r>
              <w:t xml:space="preserve"> governance </w:t>
            </w:r>
            <w:r w:rsidR="00557183">
              <w:t xml:space="preserve">required </w:t>
            </w:r>
            <w:r>
              <w:t>before it awards any call off contract</w:t>
            </w:r>
            <w:r w:rsidR="00557183">
              <w:t xml:space="preserve">.  </w:t>
            </w:r>
            <w:r>
              <w:t xml:space="preserve"> </w:t>
            </w:r>
            <w:r w:rsidR="00F26611">
              <w:t xml:space="preserve">An </w:t>
            </w:r>
            <w:r w:rsidR="00557183">
              <w:t xml:space="preserve">EIP PDPS Joint Project Board </w:t>
            </w:r>
            <w:r w:rsidR="00F26611">
              <w:t xml:space="preserve">has also been established, </w:t>
            </w:r>
            <w:r w:rsidR="00557183">
              <w:t xml:space="preserve">made up of all the commissioning authorities </w:t>
            </w:r>
            <w:r>
              <w:t>to ensure that</w:t>
            </w:r>
            <w:r w:rsidR="00F26611">
              <w:t>:</w:t>
            </w:r>
          </w:p>
          <w:p w14:paraId="54613360" w14:textId="5DFBF554" w:rsidR="00F26611" w:rsidRDefault="004B7890" w:rsidP="00F26611">
            <w:pPr>
              <w:pStyle w:val="ListParagraph"/>
              <w:numPr>
                <w:ilvl w:val="0"/>
                <w:numId w:val="6"/>
              </w:numPr>
            </w:pPr>
            <w:r>
              <w:t>there</w:t>
            </w:r>
            <w:r w:rsidR="00557183">
              <w:t xml:space="preserve"> has been an integrated approach to the call-off if appropriate</w:t>
            </w:r>
          </w:p>
          <w:p w14:paraId="25FF8F54" w14:textId="2D908B1E" w:rsidR="00F26611" w:rsidRDefault="00F26611" w:rsidP="00F26611">
            <w:pPr>
              <w:pStyle w:val="ListParagraph"/>
              <w:numPr>
                <w:ilvl w:val="0"/>
                <w:numId w:val="6"/>
              </w:numPr>
            </w:pPr>
            <w:r>
              <w:t>there has been a consideration of any duplication of commissioning arrangements</w:t>
            </w:r>
          </w:p>
          <w:p w14:paraId="4DD8B0CB" w14:textId="7C0D84EF" w:rsidR="00F26611" w:rsidRDefault="00557183" w:rsidP="00F26611">
            <w:pPr>
              <w:pStyle w:val="ListParagraph"/>
              <w:numPr>
                <w:ilvl w:val="0"/>
                <w:numId w:val="6"/>
              </w:numPr>
            </w:pPr>
            <w:r>
              <w:t xml:space="preserve"> that</w:t>
            </w:r>
            <w:r w:rsidR="004B7890">
              <w:t xml:space="preserve"> </w:t>
            </w:r>
            <w:r>
              <w:t>the call-off</w:t>
            </w:r>
            <w:r w:rsidR="004B7890">
              <w:t xml:space="preserve"> fit</w:t>
            </w:r>
            <w:r>
              <w:t>s</w:t>
            </w:r>
            <w:r w:rsidR="004B7890">
              <w:t xml:space="preserve"> the aims and lot requirements</w:t>
            </w:r>
            <w:r w:rsidR="00F26611">
              <w:t xml:space="preserve"> of the EIP PDPS</w:t>
            </w:r>
          </w:p>
          <w:p w14:paraId="45EAA9F5" w14:textId="374B97C3" w:rsidR="004B7890" w:rsidRDefault="004B7890" w:rsidP="00F26611">
            <w:pPr>
              <w:pStyle w:val="ListParagraph"/>
              <w:numPr>
                <w:ilvl w:val="0"/>
                <w:numId w:val="6"/>
              </w:numPr>
            </w:pPr>
            <w:r>
              <w:t xml:space="preserve"> that the provider pool on the PDPS is able to respond to the service call-off</w:t>
            </w:r>
          </w:p>
          <w:p w14:paraId="6A09D4A7" w14:textId="77777777" w:rsidR="00D65478" w:rsidRDefault="00D65478" w:rsidP="00D65478">
            <w:pPr>
              <w:pStyle w:val="ListParagraph"/>
              <w:ind w:left="765"/>
            </w:pPr>
          </w:p>
          <w:p w14:paraId="6315C1D0" w14:textId="5F5B2015" w:rsidR="00F26611" w:rsidRPr="00557183" w:rsidRDefault="00F26611" w:rsidP="00F26611">
            <w:pPr>
              <w:pStyle w:val="ListParagraph"/>
              <w:ind w:left="765"/>
            </w:pPr>
          </w:p>
        </w:tc>
      </w:tr>
      <w:tr w:rsidR="008C0A52" w:rsidRPr="002514C3" w14:paraId="02FCA2D4" w14:textId="77777777" w:rsidTr="008C0A52">
        <w:tc>
          <w:tcPr>
            <w:tcW w:w="10173" w:type="dxa"/>
            <w:shd w:val="clear" w:color="auto" w:fill="auto"/>
          </w:tcPr>
          <w:p w14:paraId="476E2186" w14:textId="65FD7CCB" w:rsidR="009C7E27" w:rsidRDefault="009C7E27" w:rsidP="00907FA9">
            <w:pPr>
              <w:rPr>
                <w:b/>
              </w:rPr>
            </w:pPr>
            <w:r>
              <w:rPr>
                <w:b/>
              </w:rPr>
              <w:lastRenderedPageBreak/>
              <w:t>Contract Management</w:t>
            </w:r>
          </w:p>
          <w:p w14:paraId="48A969DD" w14:textId="0367E669" w:rsidR="00A9435C" w:rsidRDefault="00A9435C" w:rsidP="00907FA9">
            <w:pPr>
              <w:rPr>
                <w:rFonts w:cs="Arial"/>
                <w:szCs w:val="24"/>
              </w:rPr>
            </w:pPr>
            <w:r w:rsidRPr="00F61155">
              <w:rPr>
                <w:bCs/>
              </w:rPr>
              <w:t>The overarching</w:t>
            </w:r>
            <w:r>
              <w:rPr>
                <w:b/>
              </w:rPr>
              <w:t xml:space="preserve"> </w:t>
            </w:r>
            <w:r w:rsidR="00F61155" w:rsidRPr="007C5027">
              <w:rPr>
                <w:rFonts w:cs="Arial"/>
                <w:szCs w:val="24"/>
              </w:rPr>
              <w:t>Pseudo</w:t>
            </w:r>
            <w:r w:rsidR="00F61155">
              <w:rPr>
                <w:rFonts w:cs="Arial"/>
                <w:szCs w:val="24"/>
              </w:rPr>
              <w:t xml:space="preserve"> DPS contract will be managed by a Joint Project Board with representatives from each Partner as set out in </w:t>
            </w:r>
            <w:r w:rsidR="002633C0">
              <w:rPr>
                <w:rFonts w:cs="Arial"/>
                <w:szCs w:val="24"/>
              </w:rPr>
              <w:t>an</w:t>
            </w:r>
            <w:r w:rsidR="00F61155">
              <w:rPr>
                <w:rFonts w:cs="Arial"/>
                <w:szCs w:val="24"/>
              </w:rPr>
              <w:t xml:space="preserve"> Inter Authority Agreement</w:t>
            </w:r>
            <w:r w:rsidR="002633C0">
              <w:rPr>
                <w:rFonts w:cs="Arial"/>
                <w:szCs w:val="24"/>
              </w:rPr>
              <w:t xml:space="preserve"> which governs the arrangement</w:t>
            </w:r>
            <w:r w:rsidR="00102ED7">
              <w:rPr>
                <w:rFonts w:cs="Arial"/>
                <w:szCs w:val="24"/>
              </w:rPr>
              <w:t xml:space="preserve">.  </w:t>
            </w:r>
            <w:r w:rsidR="00BF5193">
              <w:rPr>
                <w:rFonts w:cs="Arial"/>
                <w:szCs w:val="24"/>
              </w:rPr>
              <w:t xml:space="preserve">This Board will act as ‘gatekeepers’ for the suitability of services called off </w:t>
            </w:r>
            <w:r w:rsidR="002D4B11">
              <w:rPr>
                <w:rFonts w:cs="Arial"/>
                <w:szCs w:val="24"/>
              </w:rPr>
              <w:t xml:space="preserve">under the contract and ensuring each Partner is sighted on </w:t>
            </w:r>
            <w:r w:rsidR="00E71188">
              <w:rPr>
                <w:rFonts w:cs="Arial"/>
                <w:szCs w:val="24"/>
              </w:rPr>
              <w:t>proposed</w:t>
            </w:r>
            <w:r w:rsidR="00AA00CA">
              <w:rPr>
                <w:rFonts w:cs="Arial"/>
                <w:szCs w:val="24"/>
              </w:rPr>
              <w:t xml:space="preserve"> commissioning of services to avoid duplication and </w:t>
            </w:r>
            <w:r w:rsidR="002633C0">
              <w:rPr>
                <w:rFonts w:cs="Arial"/>
                <w:szCs w:val="24"/>
              </w:rPr>
              <w:t xml:space="preserve">present </w:t>
            </w:r>
            <w:r w:rsidR="00AA00CA">
              <w:rPr>
                <w:rFonts w:cs="Arial"/>
                <w:szCs w:val="24"/>
              </w:rPr>
              <w:t>opportunities for collaboration.</w:t>
            </w:r>
          </w:p>
          <w:p w14:paraId="2BE9E9B1" w14:textId="7D36DF26" w:rsidR="00AA00CA" w:rsidRPr="008271E0" w:rsidRDefault="00827FE1" w:rsidP="00907FA9">
            <w:pPr>
              <w:rPr>
                <w:bCs/>
              </w:rPr>
            </w:pPr>
            <w:r w:rsidRPr="008271E0">
              <w:rPr>
                <w:bCs/>
              </w:rPr>
              <w:t xml:space="preserve">The Board will also be responsible for </w:t>
            </w:r>
            <w:r w:rsidR="00123764" w:rsidRPr="008271E0">
              <w:rPr>
                <w:bCs/>
              </w:rPr>
              <w:t xml:space="preserve">ensuring </w:t>
            </w:r>
            <w:r w:rsidR="008271E0" w:rsidRPr="008271E0">
              <w:rPr>
                <w:bCs/>
              </w:rPr>
              <w:t>delivery against the desired outcomes of the contract.</w:t>
            </w:r>
          </w:p>
          <w:p w14:paraId="3A8FBCD2" w14:textId="75689020" w:rsidR="00D65478" w:rsidRDefault="00F26611" w:rsidP="00907FA9">
            <w:pPr>
              <w:rPr>
                <w:b/>
              </w:rPr>
            </w:pPr>
            <w:r w:rsidRPr="00F26611">
              <w:rPr>
                <w:b/>
              </w:rPr>
              <w:t>Next Steps</w:t>
            </w:r>
          </w:p>
          <w:p w14:paraId="3DCFDB31" w14:textId="183B35F6" w:rsidR="00A971F6" w:rsidRDefault="008C0A52" w:rsidP="00907FA9">
            <w:pPr>
              <w:rPr>
                <w:bCs/>
              </w:rPr>
            </w:pPr>
            <w:r>
              <w:rPr>
                <w:bCs/>
              </w:rPr>
              <w:t>A phased approach to call-offs</w:t>
            </w:r>
            <w:r w:rsidR="004B7890">
              <w:rPr>
                <w:bCs/>
              </w:rPr>
              <w:t xml:space="preserve"> </w:t>
            </w:r>
            <w:r>
              <w:rPr>
                <w:bCs/>
              </w:rPr>
              <w:t>is being developed</w:t>
            </w:r>
            <w:r w:rsidR="00A971F6">
              <w:rPr>
                <w:bCs/>
              </w:rPr>
              <w:t xml:space="preserve">, shown in Appendix </w:t>
            </w:r>
            <w:r w:rsidR="00A96420">
              <w:rPr>
                <w:bCs/>
              </w:rPr>
              <w:t>2</w:t>
            </w:r>
            <w:r w:rsidR="00A971F6">
              <w:rPr>
                <w:bCs/>
              </w:rPr>
              <w:t xml:space="preserve"> </w:t>
            </w:r>
            <w:r>
              <w:rPr>
                <w:bCs/>
              </w:rPr>
              <w:t>to ensure that there is sufficient market and commission</w:t>
            </w:r>
            <w:r w:rsidR="008335F7">
              <w:rPr>
                <w:bCs/>
              </w:rPr>
              <w:t>ing</w:t>
            </w:r>
            <w:r>
              <w:rPr>
                <w:bCs/>
              </w:rPr>
              <w:t xml:space="preserve"> capacity to enable a robust mini-competition for each service requirement.</w:t>
            </w:r>
            <w:r w:rsidR="004B7890">
              <w:rPr>
                <w:bCs/>
              </w:rPr>
              <w:t xml:space="preserve">  </w:t>
            </w:r>
            <w:r w:rsidR="00A971F6">
              <w:rPr>
                <w:bCs/>
              </w:rPr>
              <w:t xml:space="preserve"> This will also allow time for commissioners to work together and with providers, service users and other stakeholders to review and develop service specifications and call-off details. </w:t>
            </w:r>
          </w:p>
          <w:p w14:paraId="0595D2AD" w14:textId="79EA5E72" w:rsidR="008C0A52" w:rsidRDefault="00A971F6" w:rsidP="00907FA9">
            <w:pPr>
              <w:rPr>
                <w:bCs/>
              </w:rPr>
            </w:pPr>
            <w:r>
              <w:rPr>
                <w:bCs/>
              </w:rPr>
              <w:t>Currently a range of Soft Market Testing documents are being developed which will be shared with the providers on each of the lots</w:t>
            </w:r>
            <w:r w:rsidR="00D65478">
              <w:rPr>
                <w:bCs/>
              </w:rPr>
              <w:t xml:space="preserve"> following the start of the contract</w:t>
            </w:r>
            <w:r>
              <w:rPr>
                <w:bCs/>
              </w:rPr>
              <w:t>.  This will help support development of individual service pathways, highlight innovation and best practice as well as providing commissioners with valuable insight into the current market.</w:t>
            </w:r>
          </w:p>
          <w:p w14:paraId="215D1B54" w14:textId="5DA6A15C" w:rsidR="00D65478" w:rsidRDefault="00D65478" w:rsidP="00557183">
            <w:pPr>
              <w:rPr>
                <w:bCs/>
              </w:rPr>
            </w:pPr>
            <w:r>
              <w:rPr>
                <w:bCs/>
              </w:rPr>
              <w:t xml:space="preserve">There are currently 5 call-off requirements in development which are likely to be published between May-July.  </w:t>
            </w:r>
          </w:p>
          <w:p w14:paraId="08706123" w14:textId="6E48B42E" w:rsidR="00D65478" w:rsidRDefault="00D65478" w:rsidP="00D65478">
            <w:pPr>
              <w:pStyle w:val="ListParagraph"/>
              <w:numPr>
                <w:ilvl w:val="0"/>
                <w:numId w:val="7"/>
              </w:numPr>
              <w:rPr>
                <w:bCs/>
              </w:rPr>
            </w:pPr>
            <w:r>
              <w:rPr>
                <w:bCs/>
              </w:rPr>
              <w:t>Care Home Trusted Assessors (specifications being redefined in light of D2A) – CCC/PCC</w:t>
            </w:r>
          </w:p>
          <w:p w14:paraId="1F971F43" w14:textId="484B2AC9" w:rsidR="00D65478" w:rsidRDefault="00D65478" w:rsidP="00D65478">
            <w:pPr>
              <w:pStyle w:val="ListParagraph"/>
              <w:numPr>
                <w:ilvl w:val="0"/>
                <w:numId w:val="7"/>
              </w:numPr>
              <w:rPr>
                <w:bCs/>
              </w:rPr>
            </w:pPr>
            <w:r>
              <w:rPr>
                <w:bCs/>
              </w:rPr>
              <w:t>Handyperson Service - CCC</w:t>
            </w:r>
          </w:p>
          <w:p w14:paraId="3F6F97D7" w14:textId="7F94EEBC" w:rsidR="00D65478" w:rsidRDefault="00D65478" w:rsidP="00D65478">
            <w:pPr>
              <w:pStyle w:val="ListParagraph"/>
              <w:numPr>
                <w:ilvl w:val="0"/>
                <w:numId w:val="7"/>
              </w:numPr>
              <w:rPr>
                <w:bCs/>
              </w:rPr>
            </w:pPr>
            <w:r>
              <w:rPr>
                <w:bCs/>
              </w:rPr>
              <w:t>Community Navigators - CCC</w:t>
            </w:r>
          </w:p>
          <w:p w14:paraId="356BB646" w14:textId="44FC8511" w:rsidR="00D65478" w:rsidRDefault="00D65478" w:rsidP="00D65478">
            <w:pPr>
              <w:pStyle w:val="ListParagraph"/>
              <w:numPr>
                <w:ilvl w:val="0"/>
                <w:numId w:val="7"/>
              </w:numPr>
              <w:rPr>
                <w:bCs/>
              </w:rPr>
            </w:pPr>
            <w:r>
              <w:rPr>
                <w:bCs/>
              </w:rPr>
              <w:t>Stroke Recovery Service - PCC</w:t>
            </w:r>
          </w:p>
          <w:p w14:paraId="149EB0E5" w14:textId="27A68A04" w:rsidR="00D65478" w:rsidRDefault="00D65478" w:rsidP="00D65478">
            <w:pPr>
              <w:pStyle w:val="ListParagraph"/>
              <w:numPr>
                <w:ilvl w:val="0"/>
                <w:numId w:val="7"/>
              </w:numPr>
              <w:rPr>
                <w:bCs/>
              </w:rPr>
            </w:pPr>
            <w:r>
              <w:rPr>
                <w:bCs/>
              </w:rPr>
              <w:t>Dementia Service - Information and Advice – CCC</w:t>
            </w:r>
          </w:p>
          <w:p w14:paraId="3B0993A5" w14:textId="77777777" w:rsidR="00D65478" w:rsidRDefault="00D65478" w:rsidP="00D65478">
            <w:pPr>
              <w:pStyle w:val="ListParagraph"/>
              <w:rPr>
                <w:bCs/>
              </w:rPr>
            </w:pPr>
          </w:p>
          <w:p w14:paraId="60930390" w14:textId="7971F2C3" w:rsidR="00D65478" w:rsidRPr="00D65478" w:rsidRDefault="00D65478" w:rsidP="00D65478">
            <w:pPr>
              <w:rPr>
                <w:bCs/>
              </w:rPr>
            </w:pPr>
            <w:r>
              <w:rPr>
                <w:bCs/>
              </w:rPr>
              <w:t>This is subject to the final commissioning decisions and budgets of each of the individual authorities.</w:t>
            </w:r>
          </w:p>
        </w:tc>
      </w:tr>
    </w:tbl>
    <w:p w14:paraId="12C70D9D" w14:textId="77777777" w:rsidR="002C189F" w:rsidRDefault="002C189F" w:rsidP="00F96C63">
      <w:pPr>
        <w:rPr>
          <w:b/>
        </w:rPr>
      </w:pPr>
    </w:p>
    <w:p w14:paraId="175910E9" w14:textId="77777777" w:rsidR="002C189F" w:rsidRDefault="002C189F" w:rsidP="00F96C63">
      <w:pPr>
        <w:rPr>
          <w:b/>
        </w:rPr>
      </w:pPr>
    </w:p>
    <w:p w14:paraId="6B9D726F" w14:textId="77777777" w:rsidR="00146E5C" w:rsidRDefault="00146E5C" w:rsidP="00F96C63">
      <w:pPr>
        <w:rPr>
          <w:b/>
        </w:rPr>
      </w:pPr>
    </w:p>
    <w:p w14:paraId="20471C01" w14:textId="77777777" w:rsidR="00A96420" w:rsidRDefault="00A96420" w:rsidP="00F96C63">
      <w:pPr>
        <w:rPr>
          <w:b/>
        </w:rPr>
      </w:pPr>
    </w:p>
    <w:p w14:paraId="16A24BD6" w14:textId="77777777" w:rsidR="00A96420" w:rsidRDefault="00A96420" w:rsidP="00F96C63">
      <w:pPr>
        <w:rPr>
          <w:b/>
        </w:rPr>
      </w:pPr>
    </w:p>
    <w:p w14:paraId="2B5A0A68" w14:textId="77777777" w:rsidR="00A96420" w:rsidRDefault="00A96420" w:rsidP="00F96C63">
      <w:pPr>
        <w:rPr>
          <w:b/>
        </w:rPr>
      </w:pPr>
    </w:p>
    <w:p w14:paraId="2212FFF5" w14:textId="77777777" w:rsidR="00A96420" w:rsidRDefault="00A96420" w:rsidP="00F96C63">
      <w:pPr>
        <w:rPr>
          <w:b/>
        </w:rPr>
      </w:pPr>
    </w:p>
    <w:p w14:paraId="5E968455" w14:textId="77777777" w:rsidR="00A96420" w:rsidRDefault="00A96420" w:rsidP="00F96C63">
      <w:pPr>
        <w:rPr>
          <w:b/>
        </w:rPr>
      </w:pPr>
    </w:p>
    <w:p w14:paraId="65181E2B" w14:textId="4F5F889F" w:rsidR="00A96420" w:rsidRDefault="00A96420" w:rsidP="00F96C63">
      <w:pPr>
        <w:rPr>
          <w:b/>
        </w:rPr>
        <w:sectPr w:rsidR="00A96420" w:rsidSect="002633C0">
          <w:pgSz w:w="11906" w:h="16838"/>
          <w:pgMar w:top="1440" w:right="1080" w:bottom="1440" w:left="1080" w:header="708" w:footer="708" w:gutter="0"/>
          <w:cols w:space="708"/>
          <w:docGrid w:linePitch="360"/>
        </w:sectPr>
      </w:pPr>
    </w:p>
    <w:p w14:paraId="20B9EB85" w14:textId="6CAC4264" w:rsidR="00A96420" w:rsidRDefault="00A96420" w:rsidP="00A96420">
      <w:pPr>
        <w:rPr>
          <w:b/>
        </w:rPr>
      </w:pPr>
      <w:r>
        <w:rPr>
          <w:b/>
        </w:rPr>
        <w:lastRenderedPageBreak/>
        <w:t xml:space="preserve">Appendix 1 – Early Intervention and Prevention </w:t>
      </w:r>
      <w:r>
        <w:rPr>
          <w:b/>
        </w:rPr>
        <w:t>PDPS</w:t>
      </w:r>
      <w:r>
        <w:rPr>
          <w:b/>
        </w:rPr>
        <w:t xml:space="preserve"> </w:t>
      </w:r>
      <w:r>
        <w:rPr>
          <w:b/>
        </w:rPr>
        <w:t>- Lot</w:t>
      </w:r>
      <w:r>
        <w:rPr>
          <w:b/>
        </w:rPr>
        <w:t xml:space="preserve"> Description and Outcomes</w:t>
      </w:r>
    </w:p>
    <w:p w14:paraId="188F2FF9" w14:textId="38E1D907" w:rsidR="00A96420" w:rsidRPr="008A190D" w:rsidRDefault="00A96420" w:rsidP="00A96420">
      <w:pPr>
        <w:rPr>
          <w:b/>
        </w:rPr>
      </w:pPr>
      <w:r w:rsidRPr="008A190D">
        <w:rPr>
          <w:b/>
        </w:rPr>
        <w:t>LOT 1 – SUPPORT FOR HOSPITAL DISCHARGE AND ADMISSION AVOIDANCE</w:t>
      </w:r>
    </w:p>
    <w:tbl>
      <w:tblPr>
        <w:tblStyle w:val="TableGrid"/>
        <w:tblW w:w="0" w:type="auto"/>
        <w:tblLook w:val="04A0" w:firstRow="1" w:lastRow="0" w:firstColumn="1" w:lastColumn="0" w:noHBand="0" w:noVBand="1"/>
      </w:tblPr>
      <w:tblGrid>
        <w:gridCol w:w="6974"/>
        <w:gridCol w:w="6974"/>
      </w:tblGrid>
      <w:tr w:rsidR="00A96420" w14:paraId="35FFF349" w14:textId="77777777" w:rsidTr="007A5890">
        <w:tc>
          <w:tcPr>
            <w:tcW w:w="13948" w:type="dxa"/>
            <w:gridSpan w:val="2"/>
          </w:tcPr>
          <w:p w14:paraId="48300FE4" w14:textId="77777777" w:rsidR="00A96420" w:rsidRPr="00693601" w:rsidRDefault="00A96420" w:rsidP="007A5890">
            <w:pPr>
              <w:rPr>
                <w:b/>
              </w:rPr>
            </w:pPr>
            <w:r w:rsidRPr="00693601">
              <w:rPr>
                <w:b/>
              </w:rPr>
              <w:t>Lot Description</w:t>
            </w:r>
          </w:p>
          <w:p w14:paraId="76DE6CA6" w14:textId="77777777" w:rsidR="00A96420" w:rsidRDefault="00A96420" w:rsidP="007A5890">
            <w:r>
              <w:t>Services which will support the timely discharge of people from hospital or to prevent admission/re-admission of individuals into an acute setting</w:t>
            </w:r>
          </w:p>
          <w:p w14:paraId="4DFB1FCE" w14:textId="77777777" w:rsidR="00A96420" w:rsidRDefault="00A96420" w:rsidP="007A5890"/>
        </w:tc>
      </w:tr>
      <w:tr w:rsidR="00A96420" w14:paraId="7B003744" w14:textId="77777777" w:rsidTr="007A5890">
        <w:tc>
          <w:tcPr>
            <w:tcW w:w="6974" w:type="dxa"/>
          </w:tcPr>
          <w:p w14:paraId="3724FC01" w14:textId="77777777" w:rsidR="00A96420" w:rsidRDefault="00A96420" w:rsidP="007A5890">
            <w:r>
              <w:t xml:space="preserve">Provider Skills </w:t>
            </w:r>
          </w:p>
        </w:tc>
        <w:tc>
          <w:tcPr>
            <w:tcW w:w="6974" w:type="dxa"/>
          </w:tcPr>
          <w:p w14:paraId="20E48CF4" w14:textId="77777777" w:rsidR="00A96420" w:rsidRDefault="00A96420" w:rsidP="007A5890">
            <w:r>
              <w:t>High Level Outcomes</w:t>
            </w:r>
          </w:p>
        </w:tc>
      </w:tr>
      <w:tr w:rsidR="00A96420" w14:paraId="7DF9909F" w14:textId="77777777" w:rsidTr="007A5890">
        <w:tc>
          <w:tcPr>
            <w:tcW w:w="6974" w:type="dxa"/>
          </w:tcPr>
          <w:p w14:paraId="5255289C" w14:textId="77777777" w:rsidR="00A96420" w:rsidRDefault="00A96420" w:rsidP="00A96420">
            <w:pPr>
              <w:pStyle w:val="ListParagraph"/>
              <w:numPr>
                <w:ilvl w:val="0"/>
                <w:numId w:val="4"/>
              </w:numPr>
              <w:contextualSpacing/>
            </w:pPr>
            <w:r>
              <w:t>Developed partnerships with acute and social care settings</w:t>
            </w:r>
          </w:p>
          <w:p w14:paraId="2803BAB8" w14:textId="77777777" w:rsidR="00A96420" w:rsidRDefault="00A96420" w:rsidP="00A96420">
            <w:pPr>
              <w:pStyle w:val="ListParagraph"/>
              <w:numPr>
                <w:ilvl w:val="0"/>
                <w:numId w:val="4"/>
              </w:numPr>
              <w:contextualSpacing/>
            </w:pPr>
            <w:r>
              <w:t>Able to effectively communicate and work with statutory services across health and social care</w:t>
            </w:r>
          </w:p>
          <w:p w14:paraId="321EFAB6" w14:textId="77777777" w:rsidR="00A96420" w:rsidRDefault="00A96420" w:rsidP="00A96420">
            <w:pPr>
              <w:pStyle w:val="ListParagraph"/>
              <w:numPr>
                <w:ilvl w:val="0"/>
                <w:numId w:val="4"/>
              </w:numPr>
              <w:contextualSpacing/>
            </w:pPr>
            <w:r>
              <w:t xml:space="preserve">Able to effectively and pro-actively communicate with service users and carers </w:t>
            </w:r>
          </w:p>
          <w:p w14:paraId="6984F819" w14:textId="77777777" w:rsidR="00A96420" w:rsidRDefault="00A96420" w:rsidP="00A96420">
            <w:pPr>
              <w:pStyle w:val="ListParagraph"/>
              <w:numPr>
                <w:ilvl w:val="0"/>
                <w:numId w:val="4"/>
              </w:numPr>
              <w:contextualSpacing/>
            </w:pPr>
            <w:r>
              <w:t xml:space="preserve">Recovery and re-ablement focussed delivery which promotes and enables independence </w:t>
            </w:r>
          </w:p>
          <w:p w14:paraId="2D2ECB13" w14:textId="77777777" w:rsidR="00A96420" w:rsidRDefault="00A96420" w:rsidP="00A96420">
            <w:pPr>
              <w:pStyle w:val="ListParagraph"/>
              <w:numPr>
                <w:ilvl w:val="0"/>
                <w:numId w:val="4"/>
              </w:numPr>
              <w:contextualSpacing/>
            </w:pPr>
            <w:r>
              <w:t>Ability to signpost effectively where requirements fall outside of service scope</w:t>
            </w:r>
          </w:p>
          <w:p w14:paraId="77315245" w14:textId="77777777" w:rsidR="00A96420" w:rsidRDefault="00A96420" w:rsidP="00A96420">
            <w:pPr>
              <w:pStyle w:val="ListParagraph"/>
              <w:numPr>
                <w:ilvl w:val="0"/>
                <w:numId w:val="4"/>
              </w:numPr>
              <w:contextualSpacing/>
            </w:pPr>
            <w:r>
              <w:t>Able to assess and manage risk effectively</w:t>
            </w:r>
          </w:p>
          <w:p w14:paraId="3A2E0E03" w14:textId="45B2CC7A" w:rsidR="00A96420" w:rsidRDefault="00A96420" w:rsidP="00A96420">
            <w:pPr>
              <w:pStyle w:val="ListParagraph"/>
              <w:numPr>
                <w:ilvl w:val="0"/>
                <w:numId w:val="4"/>
              </w:numPr>
              <w:contextualSpacing/>
            </w:pPr>
            <w:r>
              <w:t xml:space="preserve">Service users and carers are consistently involved in the co-production, </w:t>
            </w:r>
            <w:r>
              <w:t>development,</w:t>
            </w:r>
            <w:r>
              <w:t xml:space="preserve"> and delivery of services </w:t>
            </w:r>
          </w:p>
          <w:p w14:paraId="13DC6721" w14:textId="77777777" w:rsidR="00A96420" w:rsidRDefault="00A96420" w:rsidP="00A96420">
            <w:pPr>
              <w:pStyle w:val="ListParagraph"/>
              <w:numPr>
                <w:ilvl w:val="0"/>
                <w:numId w:val="4"/>
              </w:numPr>
              <w:contextualSpacing/>
            </w:pPr>
            <w:r>
              <w:t xml:space="preserve">Awareness of other services, technology enabled care and equipment that can support individual outcomes </w:t>
            </w:r>
          </w:p>
        </w:tc>
        <w:tc>
          <w:tcPr>
            <w:tcW w:w="6974" w:type="dxa"/>
          </w:tcPr>
          <w:p w14:paraId="096D0EE5" w14:textId="77777777" w:rsidR="00A96420" w:rsidRDefault="00A96420" w:rsidP="00A96420">
            <w:pPr>
              <w:pStyle w:val="ListParagraph"/>
              <w:numPr>
                <w:ilvl w:val="0"/>
                <w:numId w:val="4"/>
              </w:numPr>
              <w:contextualSpacing/>
            </w:pPr>
            <w:r>
              <w:t>Reduction in discharge times from acute settings</w:t>
            </w:r>
          </w:p>
          <w:p w14:paraId="37E1199E" w14:textId="77777777" w:rsidR="00A96420" w:rsidRDefault="00A96420" w:rsidP="00A96420">
            <w:pPr>
              <w:pStyle w:val="ListParagraph"/>
              <w:numPr>
                <w:ilvl w:val="0"/>
                <w:numId w:val="4"/>
              </w:numPr>
              <w:contextualSpacing/>
            </w:pPr>
            <w:r>
              <w:t xml:space="preserve">Support effective discharge processes </w:t>
            </w:r>
          </w:p>
          <w:p w14:paraId="51A0A59A" w14:textId="77777777" w:rsidR="00A96420" w:rsidRDefault="00A96420" w:rsidP="00A96420">
            <w:pPr>
              <w:pStyle w:val="ListParagraph"/>
              <w:numPr>
                <w:ilvl w:val="0"/>
                <w:numId w:val="4"/>
              </w:numPr>
              <w:contextualSpacing/>
            </w:pPr>
            <w:r>
              <w:t>Prevent of admission and re-admission wherever possible</w:t>
            </w:r>
          </w:p>
          <w:p w14:paraId="1AFDF1AB" w14:textId="77777777" w:rsidR="00A96420" w:rsidRDefault="00A96420" w:rsidP="00A96420">
            <w:pPr>
              <w:pStyle w:val="ListParagraph"/>
              <w:numPr>
                <w:ilvl w:val="0"/>
                <w:numId w:val="4"/>
              </w:numPr>
              <w:contextualSpacing/>
            </w:pPr>
            <w:r>
              <w:t>Provide high quality assessments for support needs</w:t>
            </w:r>
          </w:p>
          <w:p w14:paraId="1B2CF61B" w14:textId="77777777" w:rsidR="00A96420" w:rsidRDefault="00A96420" w:rsidP="00A96420">
            <w:pPr>
              <w:pStyle w:val="ListParagraph"/>
              <w:numPr>
                <w:ilvl w:val="0"/>
                <w:numId w:val="4"/>
              </w:numPr>
              <w:contextualSpacing/>
            </w:pPr>
            <w:r>
              <w:t>Identification and mitigation of risk</w:t>
            </w:r>
          </w:p>
          <w:p w14:paraId="26EA1A24" w14:textId="77777777" w:rsidR="00A96420" w:rsidRDefault="00A96420" w:rsidP="00A96420">
            <w:pPr>
              <w:pStyle w:val="ListParagraph"/>
              <w:numPr>
                <w:ilvl w:val="0"/>
                <w:numId w:val="4"/>
              </w:numPr>
              <w:contextualSpacing/>
            </w:pPr>
            <w:r>
              <w:t xml:space="preserve">Service users are supported to increase confidence, independence and improve their quality of life </w:t>
            </w:r>
          </w:p>
        </w:tc>
      </w:tr>
    </w:tbl>
    <w:p w14:paraId="0446AD97" w14:textId="77777777" w:rsidR="00A96420" w:rsidRDefault="00A96420" w:rsidP="00A96420">
      <w:pPr>
        <w:rPr>
          <w:b/>
        </w:rPr>
      </w:pPr>
    </w:p>
    <w:p w14:paraId="4FB81D68" w14:textId="5152FE77" w:rsidR="00A96420" w:rsidRPr="00330EE4" w:rsidRDefault="00A96420" w:rsidP="00A96420">
      <w:pPr>
        <w:rPr>
          <w:b/>
        </w:rPr>
      </w:pPr>
      <w:r w:rsidRPr="008A190D">
        <w:rPr>
          <w:b/>
        </w:rPr>
        <w:t xml:space="preserve">LOT 2 – INFORMATION AND ADVICE SERVICES </w:t>
      </w:r>
    </w:p>
    <w:tbl>
      <w:tblPr>
        <w:tblStyle w:val="TableGrid"/>
        <w:tblW w:w="0" w:type="auto"/>
        <w:tblLook w:val="04A0" w:firstRow="1" w:lastRow="0" w:firstColumn="1" w:lastColumn="0" w:noHBand="0" w:noVBand="1"/>
      </w:tblPr>
      <w:tblGrid>
        <w:gridCol w:w="6974"/>
        <w:gridCol w:w="6974"/>
      </w:tblGrid>
      <w:tr w:rsidR="00A96420" w14:paraId="42BA2D82" w14:textId="77777777" w:rsidTr="007A5890">
        <w:tc>
          <w:tcPr>
            <w:tcW w:w="13948" w:type="dxa"/>
            <w:gridSpan w:val="2"/>
          </w:tcPr>
          <w:p w14:paraId="654CFE17" w14:textId="77777777" w:rsidR="00A96420" w:rsidRPr="00693601" w:rsidRDefault="00A96420" w:rsidP="007A5890">
            <w:pPr>
              <w:rPr>
                <w:b/>
              </w:rPr>
            </w:pPr>
            <w:r w:rsidRPr="00693601">
              <w:rPr>
                <w:b/>
              </w:rPr>
              <w:t>Lot Description</w:t>
            </w:r>
          </w:p>
          <w:p w14:paraId="55BC93FE" w14:textId="77777777" w:rsidR="00A96420" w:rsidRDefault="00A96420" w:rsidP="007A5890">
            <w:r>
              <w:t xml:space="preserve">Services which deliver information and advice to improve access and awareness </w:t>
            </w:r>
          </w:p>
          <w:p w14:paraId="3E8656BC" w14:textId="77777777" w:rsidR="00A96420" w:rsidRDefault="00A96420" w:rsidP="007A5890"/>
        </w:tc>
      </w:tr>
      <w:tr w:rsidR="00A96420" w14:paraId="11DE4B20" w14:textId="77777777" w:rsidTr="007A5890">
        <w:tc>
          <w:tcPr>
            <w:tcW w:w="6974" w:type="dxa"/>
          </w:tcPr>
          <w:p w14:paraId="7B70AB71" w14:textId="77777777" w:rsidR="00A96420" w:rsidRDefault="00A96420" w:rsidP="007A5890">
            <w:r>
              <w:t xml:space="preserve">Provider Skills </w:t>
            </w:r>
          </w:p>
        </w:tc>
        <w:tc>
          <w:tcPr>
            <w:tcW w:w="6974" w:type="dxa"/>
          </w:tcPr>
          <w:p w14:paraId="2C6DF860" w14:textId="77777777" w:rsidR="00A96420" w:rsidRDefault="00A96420" w:rsidP="007A5890">
            <w:r>
              <w:t>High Level Outcomes</w:t>
            </w:r>
          </w:p>
        </w:tc>
      </w:tr>
      <w:tr w:rsidR="00A96420" w14:paraId="2ADD8F1E" w14:textId="77777777" w:rsidTr="007A5890">
        <w:tc>
          <w:tcPr>
            <w:tcW w:w="6974" w:type="dxa"/>
          </w:tcPr>
          <w:p w14:paraId="17F4D2B5" w14:textId="77777777" w:rsidR="00A96420" w:rsidRPr="00330EE4" w:rsidRDefault="00A96420" w:rsidP="00A96420">
            <w:pPr>
              <w:pStyle w:val="ListParagraph"/>
              <w:numPr>
                <w:ilvl w:val="0"/>
                <w:numId w:val="4"/>
              </w:numPr>
              <w:contextualSpacing/>
            </w:pPr>
            <w:r w:rsidRPr="00330EE4">
              <w:t>Able to deliver high quality advice and information through a variety of methods and media appropriate to specific cohorts</w:t>
            </w:r>
          </w:p>
          <w:p w14:paraId="2644398E" w14:textId="77777777" w:rsidR="00A96420" w:rsidRDefault="00A96420" w:rsidP="00A96420">
            <w:pPr>
              <w:pStyle w:val="ListParagraph"/>
              <w:numPr>
                <w:ilvl w:val="0"/>
                <w:numId w:val="4"/>
              </w:numPr>
              <w:contextualSpacing/>
            </w:pPr>
            <w:r w:rsidRPr="00330EE4">
              <w:t>Knowledge of local systems and pathways to support accurate and timely information and advice</w:t>
            </w:r>
          </w:p>
          <w:p w14:paraId="2260C139" w14:textId="77777777" w:rsidR="00A96420" w:rsidRPr="00330EE4" w:rsidRDefault="00A96420" w:rsidP="00A96420">
            <w:pPr>
              <w:pStyle w:val="ListParagraph"/>
              <w:numPr>
                <w:ilvl w:val="0"/>
                <w:numId w:val="4"/>
              </w:numPr>
              <w:contextualSpacing/>
            </w:pPr>
            <w:r>
              <w:lastRenderedPageBreak/>
              <w:t xml:space="preserve">Able to effectively and pro-actively communicate with service users and carers </w:t>
            </w:r>
          </w:p>
          <w:p w14:paraId="74E169DE" w14:textId="77777777" w:rsidR="00A96420" w:rsidRPr="00330EE4" w:rsidRDefault="00A96420" w:rsidP="00A96420">
            <w:pPr>
              <w:pStyle w:val="ListParagraph"/>
              <w:numPr>
                <w:ilvl w:val="0"/>
                <w:numId w:val="4"/>
              </w:numPr>
              <w:contextualSpacing/>
            </w:pPr>
            <w:r w:rsidRPr="00330EE4">
              <w:t>Delivery of services to support independence and enable people to self-service wherever possible</w:t>
            </w:r>
          </w:p>
          <w:p w14:paraId="06A75267" w14:textId="77777777" w:rsidR="00A96420" w:rsidRDefault="00A96420" w:rsidP="00A96420">
            <w:pPr>
              <w:pStyle w:val="ListParagraph"/>
              <w:numPr>
                <w:ilvl w:val="0"/>
                <w:numId w:val="4"/>
              </w:numPr>
              <w:contextualSpacing/>
            </w:pPr>
            <w:r w:rsidRPr="00330EE4">
              <w:t>Ability to signpost effectively where requirements fall outside of service scope</w:t>
            </w:r>
          </w:p>
          <w:p w14:paraId="5C10EA7F" w14:textId="77777777" w:rsidR="00A96420" w:rsidRPr="00330EE4" w:rsidRDefault="00A96420" w:rsidP="00A96420">
            <w:pPr>
              <w:pStyle w:val="ListParagraph"/>
              <w:numPr>
                <w:ilvl w:val="0"/>
                <w:numId w:val="4"/>
              </w:numPr>
              <w:contextualSpacing/>
            </w:pPr>
            <w:r w:rsidRPr="00330EE4">
              <w:t>Able to assess and manage risk effectively</w:t>
            </w:r>
          </w:p>
          <w:p w14:paraId="1000E301" w14:textId="2C5BE159" w:rsidR="00A96420" w:rsidRDefault="00A96420" w:rsidP="00A96420">
            <w:pPr>
              <w:pStyle w:val="ListParagraph"/>
              <w:numPr>
                <w:ilvl w:val="0"/>
                <w:numId w:val="4"/>
              </w:numPr>
              <w:contextualSpacing/>
            </w:pPr>
            <w:r>
              <w:t xml:space="preserve">Service users and carers are consistently involved in the co-production, </w:t>
            </w:r>
            <w:r>
              <w:t>development,</w:t>
            </w:r>
            <w:r>
              <w:t xml:space="preserve"> and delivery of services</w:t>
            </w:r>
          </w:p>
        </w:tc>
        <w:tc>
          <w:tcPr>
            <w:tcW w:w="6974" w:type="dxa"/>
          </w:tcPr>
          <w:p w14:paraId="0D11612D" w14:textId="77777777" w:rsidR="00A96420" w:rsidRDefault="00A96420" w:rsidP="00A96420">
            <w:pPr>
              <w:pStyle w:val="ListParagraph"/>
              <w:numPr>
                <w:ilvl w:val="0"/>
                <w:numId w:val="4"/>
              </w:numPr>
              <w:contextualSpacing/>
            </w:pPr>
            <w:r>
              <w:lastRenderedPageBreak/>
              <w:t xml:space="preserve"> Information is accessible to the individual and can be easily understood</w:t>
            </w:r>
          </w:p>
          <w:p w14:paraId="6EC9BD95" w14:textId="77777777" w:rsidR="00A96420" w:rsidRDefault="00A96420" w:rsidP="00A96420">
            <w:pPr>
              <w:pStyle w:val="ListParagraph"/>
              <w:numPr>
                <w:ilvl w:val="0"/>
                <w:numId w:val="4"/>
              </w:numPr>
              <w:contextualSpacing/>
            </w:pPr>
            <w:r>
              <w:t xml:space="preserve">Advice for individuals is available to meet their specific circumstances </w:t>
            </w:r>
          </w:p>
          <w:p w14:paraId="4C7AECD9" w14:textId="77777777" w:rsidR="00A96420" w:rsidRDefault="00A96420" w:rsidP="00A96420">
            <w:pPr>
              <w:pStyle w:val="ListParagraph"/>
              <w:numPr>
                <w:ilvl w:val="0"/>
                <w:numId w:val="4"/>
              </w:numPr>
              <w:contextualSpacing/>
            </w:pPr>
            <w:r>
              <w:lastRenderedPageBreak/>
              <w:t>Services are able to measure access to information</w:t>
            </w:r>
          </w:p>
          <w:p w14:paraId="22DD1414" w14:textId="77777777" w:rsidR="00A96420" w:rsidRDefault="00A96420" w:rsidP="00A96420">
            <w:pPr>
              <w:pStyle w:val="ListParagraph"/>
              <w:numPr>
                <w:ilvl w:val="0"/>
                <w:numId w:val="4"/>
              </w:numPr>
              <w:contextualSpacing/>
            </w:pPr>
            <w:r>
              <w:t xml:space="preserve">The impact of information and advice provided is measurable </w:t>
            </w:r>
          </w:p>
          <w:p w14:paraId="1658158A" w14:textId="77F8FC42" w:rsidR="00A96420" w:rsidRDefault="00A96420" w:rsidP="00A96420">
            <w:pPr>
              <w:pStyle w:val="ListParagraph"/>
              <w:numPr>
                <w:ilvl w:val="0"/>
                <w:numId w:val="4"/>
              </w:numPr>
              <w:contextualSpacing/>
            </w:pPr>
            <w:r>
              <w:t xml:space="preserve">Self-service digital resources are available to support delivery of services </w:t>
            </w:r>
          </w:p>
          <w:p w14:paraId="4C3F138B" w14:textId="77777777" w:rsidR="00A96420" w:rsidRDefault="00A96420" w:rsidP="00A96420">
            <w:pPr>
              <w:pStyle w:val="ListParagraph"/>
              <w:numPr>
                <w:ilvl w:val="0"/>
                <w:numId w:val="4"/>
              </w:numPr>
              <w:contextualSpacing/>
            </w:pPr>
            <w:r>
              <w:t xml:space="preserve">Services are delivered in an inclusive way which meets the needs of specific cohorts and hard to engage communities </w:t>
            </w:r>
          </w:p>
        </w:tc>
      </w:tr>
    </w:tbl>
    <w:p w14:paraId="6D64F678" w14:textId="77777777" w:rsidR="00A96420" w:rsidRDefault="00A96420" w:rsidP="00A96420">
      <w:pPr>
        <w:rPr>
          <w:b/>
        </w:rPr>
      </w:pPr>
    </w:p>
    <w:p w14:paraId="05EB005C" w14:textId="25F278CC" w:rsidR="00A96420" w:rsidRPr="009775BE" w:rsidRDefault="00A96420" w:rsidP="00A96420">
      <w:pPr>
        <w:rPr>
          <w:b/>
        </w:rPr>
      </w:pPr>
      <w:r w:rsidRPr="00A978E5">
        <w:rPr>
          <w:b/>
        </w:rPr>
        <w:t xml:space="preserve">LOT 3 – COMMUNITY SUPPORT </w:t>
      </w:r>
    </w:p>
    <w:tbl>
      <w:tblPr>
        <w:tblStyle w:val="TableGrid"/>
        <w:tblW w:w="0" w:type="auto"/>
        <w:tblLook w:val="04A0" w:firstRow="1" w:lastRow="0" w:firstColumn="1" w:lastColumn="0" w:noHBand="0" w:noVBand="1"/>
      </w:tblPr>
      <w:tblGrid>
        <w:gridCol w:w="6974"/>
        <w:gridCol w:w="6974"/>
      </w:tblGrid>
      <w:tr w:rsidR="00A96420" w14:paraId="5D6A370B" w14:textId="77777777" w:rsidTr="007A5890">
        <w:tc>
          <w:tcPr>
            <w:tcW w:w="13948" w:type="dxa"/>
            <w:gridSpan w:val="2"/>
          </w:tcPr>
          <w:p w14:paraId="23798C43" w14:textId="77777777" w:rsidR="00A96420" w:rsidRPr="00693601" w:rsidRDefault="00A96420" w:rsidP="007A5890">
            <w:pPr>
              <w:rPr>
                <w:b/>
              </w:rPr>
            </w:pPr>
            <w:r w:rsidRPr="00693601">
              <w:rPr>
                <w:b/>
              </w:rPr>
              <w:t>Lot Description</w:t>
            </w:r>
          </w:p>
          <w:p w14:paraId="09069AB8" w14:textId="77777777" w:rsidR="00A96420" w:rsidRDefault="00A96420" w:rsidP="007A5890">
            <w:r>
              <w:t>Services which are delivered in local communities or within people’s homes supporting increasing or prolonging independence and improving social connections</w:t>
            </w:r>
          </w:p>
        </w:tc>
      </w:tr>
      <w:tr w:rsidR="00A96420" w14:paraId="30C511C2" w14:textId="77777777" w:rsidTr="007A5890">
        <w:tc>
          <w:tcPr>
            <w:tcW w:w="6974" w:type="dxa"/>
          </w:tcPr>
          <w:p w14:paraId="4ECE95A9" w14:textId="77777777" w:rsidR="00A96420" w:rsidRDefault="00A96420" w:rsidP="007A5890">
            <w:r>
              <w:t xml:space="preserve">Provider Skills </w:t>
            </w:r>
          </w:p>
        </w:tc>
        <w:tc>
          <w:tcPr>
            <w:tcW w:w="6974" w:type="dxa"/>
          </w:tcPr>
          <w:p w14:paraId="6650471D" w14:textId="77777777" w:rsidR="00A96420" w:rsidRDefault="00A96420" w:rsidP="007A5890">
            <w:r>
              <w:t>High Level Outcomes</w:t>
            </w:r>
          </w:p>
        </w:tc>
      </w:tr>
      <w:tr w:rsidR="00A96420" w14:paraId="68C5B039" w14:textId="77777777" w:rsidTr="007A5890">
        <w:tc>
          <w:tcPr>
            <w:tcW w:w="6974" w:type="dxa"/>
          </w:tcPr>
          <w:p w14:paraId="1346FA60" w14:textId="77777777" w:rsidR="00A96420" w:rsidRDefault="00A96420" w:rsidP="00A96420">
            <w:pPr>
              <w:pStyle w:val="ListParagraph"/>
              <w:numPr>
                <w:ilvl w:val="0"/>
                <w:numId w:val="4"/>
              </w:numPr>
              <w:contextualSpacing/>
            </w:pPr>
            <w:r w:rsidRPr="009775BE">
              <w:t>Able to effectively communicate and work across pathways within local communities</w:t>
            </w:r>
          </w:p>
          <w:p w14:paraId="24FFDF83" w14:textId="77777777" w:rsidR="00A96420" w:rsidRPr="009775BE" w:rsidRDefault="00A96420" w:rsidP="00A96420">
            <w:pPr>
              <w:pStyle w:val="ListParagraph"/>
              <w:numPr>
                <w:ilvl w:val="0"/>
                <w:numId w:val="4"/>
              </w:numPr>
              <w:contextualSpacing/>
            </w:pPr>
            <w:r>
              <w:t>Able to adapt and develop local responses to meet needs</w:t>
            </w:r>
          </w:p>
          <w:p w14:paraId="072E65A2" w14:textId="77777777" w:rsidR="00A96420" w:rsidRPr="009775BE" w:rsidRDefault="00A96420" w:rsidP="00A96420">
            <w:pPr>
              <w:pStyle w:val="ListParagraph"/>
              <w:numPr>
                <w:ilvl w:val="0"/>
                <w:numId w:val="4"/>
              </w:numPr>
              <w:contextualSpacing/>
            </w:pPr>
            <w:r w:rsidRPr="009775BE">
              <w:t xml:space="preserve">Recovery and reablement focussed delivery which promotes and enables independence </w:t>
            </w:r>
          </w:p>
          <w:p w14:paraId="19FD9E71" w14:textId="77777777" w:rsidR="00A96420" w:rsidRPr="009775BE" w:rsidRDefault="00A96420" w:rsidP="00A96420">
            <w:pPr>
              <w:pStyle w:val="ListParagraph"/>
              <w:numPr>
                <w:ilvl w:val="0"/>
                <w:numId w:val="4"/>
              </w:numPr>
              <w:contextualSpacing/>
            </w:pPr>
            <w:r w:rsidRPr="009775BE">
              <w:t>Understand the importance of social connections and impact on health and wellbeing</w:t>
            </w:r>
          </w:p>
          <w:p w14:paraId="31B41D6F" w14:textId="77777777" w:rsidR="00A96420" w:rsidRPr="009775BE" w:rsidRDefault="00A96420" w:rsidP="00A96420">
            <w:pPr>
              <w:pStyle w:val="ListParagraph"/>
              <w:numPr>
                <w:ilvl w:val="0"/>
                <w:numId w:val="4"/>
              </w:numPr>
              <w:contextualSpacing/>
            </w:pPr>
            <w:r w:rsidRPr="009775BE">
              <w:t>Ability to signpost effectively where requirements fall outside of service scope</w:t>
            </w:r>
          </w:p>
          <w:p w14:paraId="65D9F0A2" w14:textId="77777777" w:rsidR="00A96420" w:rsidRPr="009775BE" w:rsidRDefault="00A96420" w:rsidP="00A96420">
            <w:pPr>
              <w:pStyle w:val="ListParagraph"/>
              <w:numPr>
                <w:ilvl w:val="0"/>
                <w:numId w:val="4"/>
              </w:numPr>
              <w:contextualSpacing/>
            </w:pPr>
            <w:r w:rsidRPr="009775BE">
              <w:t>Able to assess and manage risk effectively</w:t>
            </w:r>
          </w:p>
          <w:p w14:paraId="74F1515D" w14:textId="0444C8A6" w:rsidR="00A96420" w:rsidRDefault="00A96420" w:rsidP="00A96420">
            <w:pPr>
              <w:pStyle w:val="ListParagraph"/>
              <w:numPr>
                <w:ilvl w:val="0"/>
                <w:numId w:val="4"/>
              </w:numPr>
              <w:contextualSpacing/>
            </w:pPr>
            <w:r>
              <w:t xml:space="preserve">Service users and carers are consistently involved in the co-production, </w:t>
            </w:r>
            <w:r>
              <w:t>development,</w:t>
            </w:r>
            <w:r>
              <w:t xml:space="preserve"> and delivery of services</w:t>
            </w:r>
          </w:p>
          <w:p w14:paraId="68CB46CE" w14:textId="77777777" w:rsidR="00A96420" w:rsidRDefault="00A96420" w:rsidP="00A96420">
            <w:pPr>
              <w:pStyle w:val="ListParagraph"/>
              <w:numPr>
                <w:ilvl w:val="0"/>
                <w:numId w:val="4"/>
              </w:numPr>
              <w:contextualSpacing/>
            </w:pPr>
            <w:r>
              <w:t>Awareness of other services, technology enabled care and equipment that can support individual outcomes</w:t>
            </w:r>
          </w:p>
        </w:tc>
        <w:tc>
          <w:tcPr>
            <w:tcW w:w="6974" w:type="dxa"/>
          </w:tcPr>
          <w:p w14:paraId="59684DF0" w14:textId="77777777" w:rsidR="00A96420" w:rsidRPr="00BD7DEF" w:rsidRDefault="00A96420" w:rsidP="00A96420">
            <w:pPr>
              <w:pStyle w:val="ListParagraph"/>
              <w:numPr>
                <w:ilvl w:val="0"/>
                <w:numId w:val="4"/>
              </w:numPr>
              <w:contextualSpacing/>
            </w:pPr>
            <w:r w:rsidRPr="00BD7DEF">
              <w:t xml:space="preserve">Individuals are able to maintain their independence </w:t>
            </w:r>
          </w:p>
          <w:p w14:paraId="1182C8C2" w14:textId="77777777" w:rsidR="00A96420" w:rsidRPr="00BD7DEF" w:rsidRDefault="00A96420" w:rsidP="00A96420">
            <w:pPr>
              <w:pStyle w:val="ListParagraph"/>
              <w:numPr>
                <w:ilvl w:val="0"/>
                <w:numId w:val="4"/>
              </w:numPr>
              <w:contextualSpacing/>
            </w:pPr>
            <w:r w:rsidRPr="00BD7DEF">
              <w:t xml:space="preserve">Individuals feel more connected to their communities </w:t>
            </w:r>
          </w:p>
          <w:p w14:paraId="615C6269" w14:textId="77777777" w:rsidR="00A96420" w:rsidRPr="00BD7DEF" w:rsidRDefault="00A96420" w:rsidP="00A96420">
            <w:pPr>
              <w:pStyle w:val="ListParagraph"/>
              <w:numPr>
                <w:ilvl w:val="0"/>
                <w:numId w:val="4"/>
              </w:numPr>
              <w:contextualSpacing/>
            </w:pPr>
            <w:r w:rsidRPr="00BD7DEF">
              <w:t>Provide quality assessments for support needs and identification and mitigation of risk</w:t>
            </w:r>
          </w:p>
          <w:p w14:paraId="30384F3B" w14:textId="77777777" w:rsidR="00A96420" w:rsidRDefault="00A96420" w:rsidP="00A96420">
            <w:pPr>
              <w:pStyle w:val="ListParagraph"/>
              <w:numPr>
                <w:ilvl w:val="0"/>
                <w:numId w:val="4"/>
              </w:numPr>
              <w:contextualSpacing/>
            </w:pPr>
            <w:r>
              <w:t>Service users are supported to increase confidence, independence and improve quality of life</w:t>
            </w:r>
          </w:p>
          <w:p w14:paraId="7B445249" w14:textId="77777777" w:rsidR="00A96420" w:rsidRDefault="00A96420" w:rsidP="00A96420">
            <w:pPr>
              <w:pStyle w:val="ListParagraph"/>
              <w:numPr>
                <w:ilvl w:val="0"/>
                <w:numId w:val="4"/>
              </w:numPr>
              <w:contextualSpacing/>
            </w:pPr>
            <w:r>
              <w:t>Opportunities for peer support are available</w:t>
            </w:r>
          </w:p>
          <w:p w14:paraId="0715C225" w14:textId="77777777" w:rsidR="00A96420" w:rsidRDefault="00A96420" w:rsidP="007A5890">
            <w:pPr>
              <w:pStyle w:val="ListParagraph"/>
            </w:pPr>
          </w:p>
        </w:tc>
      </w:tr>
    </w:tbl>
    <w:p w14:paraId="512553C1" w14:textId="6210F7A9" w:rsidR="00A96420" w:rsidRDefault="00A96420" w:rsidP="00A96420">
      <w:pPr>
        <w:rPr>
          <w:b/>
        </w:rPr>
      </w:pPr>
      <w:r>
        <w:rPr>
          <w:b/>
        </w:rPr>
        <w:br/>
      </w:r>
    </w:p>
    <w:p w14:paraId="200AE1B7" w14:textId="3FF9E829" w:rsidR="00A96420" w:rsidRPr="00FA7DF0" w:rsidRDefault="00A96420" w:rsidP="00A96420">
      <w:pPr>
        <w:rPr>
          <w:b/>
        </w:rPr>
      </w:pPr>
      <w:r w:rsidRPr="00391E85">
        <w:rPr>
          <w:b/>
        </w:rPr>
        <w:lastRenderedPageBreak/>
        <w:t>LOT 4 – DAY OPPORTUNITIES</w:t>
      </w:r>
      <w:r>
        <w:rPr>
          <w:b/>
        </w:rPr>
        <w:t xml:space="preserve">  </w:t>
      </w:r>
    </w:p>
    <w:tbl>
      <w:tblPr>
        <w:tblStyle w:val="TableGrid"/>
        <w:tblW w:w="0" w:type="auto"/>
        <w:tblLook w:val="04A0" w:firstRow="1" w:lastRow="0" w:firstColumn="1" w:lastColumn="0" w:noHBand="0" w:noVBand="1"/>
      </w:tblPr>
      <w:tblGrid>
        <w:gridCol w:w="6974"/>
        <w:gridCol w:w="6974"/>
      </w:tblGrid>
      <w:tr w:rsidR="00A96420" w14:paraId="4DE77DF3" w14:textId="77777777" w:rsidTr="007A5890">
        <w:tc>
          <w:tcPr>
            <w:tcW w:w="13948" w:type="dxa"/>
            <w:gridSpan w:val="2"/>
          </w:tcPr>
          <w:p w14:paraId="5C81F1B6" w14:textId="77777777" w:rsidR="00A96420" w:rsidRPr="00693601" w:rsidRDefault="00A96420" w:rsidP="007A5890">
            <w:pPr>
              <w:rPr>
                <w:b/>
              </w:rPr>
            </w:pPr>
            <w:r w:rsidRPr="00693601">
              <w:rPr>
                <w:b/>
              </w:rPr>
              <w:t>Lot Description</w:t>
            </w:r>
          </w:p>
          <w:p w14:paraId="0022B0DB" w14:textId="714C3798" w:rsidR="00A96420" w:rsidRDefault="00A96420" w:rsidP="007A5890">
            <w:r>
              <w:t>Services which provide centres within local communities where people with support needs can go to meet others, engage in a range of appropriate activities, reducing social isolation and maximising independence</w:t>
            </w:r>
          </w:p>
        </w:tc>
      </w:tr>
      <w:tr w:rsidR="00A96420" w14:paraId="1C2DBC14" w14:textId="77777777" w:rsidTr="007A5890">
        <w:tc>
          <w:tcPr>
            <w:tcW w:w="6974" w:type="dxa"/>
          </w:tcPr>
          <w:p w14:paraId="44D7BC8E" w14:textId="77777777" w:rsidR="00A96420" w:rsidRDefault="00A96420" w:rsidP="007A5890">
            <w:r>
              <w:t xml:space="preserve">Provider Skills </w:t>
            </w:r>
          </w:p>
        </w:tc>
        <w:tc>
          <w:tcPr>
            <w:tcW w:w="6974" w:type="dxa"/>
          </w:tcPr>
          <w:p w14:paraId="23695D51" w14:textId="77777777" w:rsidR="00A96420" w:rsidRDefault="00A96420" w:rsidP="007A5890">
            <w:r>
              <w:t>High Level Outcomes</w:t>
            </w:r>
          </w:p>
        </w:tc>
      </w:tr>
      <w:tr w:rsidR="00A96420" w14:paraId="72B66646" w14:textId="77777777" w:rsidTr="007A5890">
        <w:tc>
          <w:tcPr>
            <w:tcW w:w="6974" w:type="dxa"/>
          </w:tcPr>
          <w:p w14:paraId="219501F7" w14:textId="77777777" w:rsidR="00A96420" w:rsidRPr="004440F2" w:rsidRDefault="00A96420" w:rsidP="00A96420">
            <w:pPr>
              <w:pStyle w:val="ListParagraph"/>
              <w:numPr>
                <w:ilvl w:val="0"/>
                <w:numId w:val="4"/>
              </w:numPr>
              <w:contextualSpacing/>
            </w:pPr>
            <w:r w:rsidRPr="004440F2">
              <w:t xml:space="preserve">Developed partnerships </w:t>
            </w:r>
            <w:r>
              <w:t xml:space="preserve">with </w:t>
            </w:r>
            <w:r w:rsidRPr="004440F2">
              <w:t>social care</w:t>
            </w:r>
            <w:r>
              <w:t xml:space="preserve"> and community</w:t>
            </w:r>
            <w:r w:rsidRPr="004440F2">
              <w:t xml:space="preserve"> settings</w:t>
            </w:r>
          </w:p>
          <w:p w14:paraId="6C792B22" w14:textId="77777777" w:rsidR="00A96420" w:rsidRDefault="00A96420" w:rsidP="00A96420">
            <w:pPr>
              <w:pStyle w:val="ListParagraph"/>
              <w:numPr>
                <w:ilvl w:val="0"/>
                <w:numId w:val="4"/>
              </w:numPr>
              <w:contextualSpacing/>
            </w:pPr>
            <w:r w:rsidRPr="004440F2">
              <w:t>Able to effectively communicate and work with statutory services</w:t>
            </w:r>
          </w:p>
          <w:p w14:paraId="7F789F59" w14:textId="77777777" w:rsidR="00A96420" w:rsidRPr="004440F2" w:rsidRDefault="00A96420" w:rsidP="00A96420">
            <w:pPr>
              <w:pStyle w:val="ListParagraph"/>
              <w:numPr>
                <w:ilvl w:val="0"/>
                <w:numId w:val="4"/>
              </w:numPr>
              <w:contextualSpacing/>
            </w:pPr>
            <w:r>
              <w:t>Able to adapt/flex offer to meet the preferences of those using services</w:t>
            </w:r>
          </w:p>
          <w:p w14:paraId="51861E07" w14:textId="77777777" w:rsidR="00A96420" w:rsidRPr="004440F2" w:rsidRDefault="00A96420" w:rsidP="00A96420">
            <w:pPr>
              <w:pStyle w:val="ListParagraph"/>
              <w:numPr>
                <w:ilvl w:val="0"/>
                <w:numId w:val="4"/>
              </w:numPr>
              <w:contextualSpacing/>
            </w:pPr>
            <w:r w:rsidRPr="004440F2">
              <w:t xml:space="preserve">Recovery and reablement focussed delivery ethos which promotes and enable independence </w:t>
            </w:r>
          </w:p>
          <w:p w14:paraId="213AE6C2" w14:textId="77777777" w:rsidR="00A96420" w:rsidRPr="004440F2" w:rsidRDefault="00A96420" w:rsidP="00A96420">
            <w:pPr>
              <w:pStyle w:val="ListParagraph"/>
              <w:numPr>
                <w:ilvl w:val="0"/>
                <w:numId w:val="4"/>
              </w:numPr>
              <w:contextualSpacing/>
            </w:pPr>
            <w:r w:rsidRPr="004440F2">
              <w:t>Ability to signpost effectively where requirements fall outside of service scope</w:t>
            </w:r>
          </w:p>
          <w:p w14:paraId="6BB36FC0" w14:textId="77777777" w:rsidR="00A96420" w:rsidRPr="004440F2" w:rsidRDefault="00A96420" w:rsidP="00A96420">
            <w:pPr>
              <w:pStyle w:val="ListParagraph"/>
              <w:numPr>
                <w:ilvl w:val="0"/>
                <w:numId w:val="4"/>
              </w:numPr>
              <w:contextualSpacing/>
            </w:pPr>
            <w:r w:rsidRPr="004440F2">
              <w:t>Able to assess and manage risk effectively</w:t>
            </w:r>
          </w:p>
          <w:p w14:paraId="5DD2F955" w14:textId="75A40905" w:rsidR="00A96420" w:rsidRDefault="00A96420" w:rsidP="00A96420">
            <w:pPr>
              <w:pStyle w:val="ListParagraph"/>
              <w:numPr>
                <w:ilvl w:val="0"/>
                <w:numId w:val="4"/>
              </w:numPr>
              <w:contextualSpacing/>
            </w:pPr>
            <w:r>
              <w:t xml:space="preserve">Service users and carers are consistently involved in the co-production, </w:t>
            </w:r>
            <w:r>
              <w:t>development,</w:t>
            </w:r>
            <w:r>
              <w:t xml:space="preserve"> and delivery of services</w:t>
            </w:r>
          </w:p>
        </w:tc>
        <w:tc>
          <w:tcPr>
            <w:tcW w:w="6974" w:type="dxa"/>
          </w:tcPr>
          <w:p w14:paraId="01B410F8" w14:textId="77777777" w:rsidR="00A96420" w:rsidRDefault="00A96420" w:rsidP="00A96420">
            <w:pPr>
              <w:pStyle w:val="ListParagraph"/>
              <w:numPr>
                <w:ilvl w:val="0"/>
                <w:numId w:val="4"/>
              </w:numPr>
              <w:contextualSpacing/>
            </w:pPr>
            <w:r>
              <w:t xml:space="preserve"> Individuals increase their social connections </w:t>
            </w:r>
          </w:p>
          <w:p w14:paraId="73FB9A76" w14:textId="77777777" w:rsidR="00A96420" w:rsidRPr="004440F2" w:rsidRDefault="00A96420" w:rsidP="00A96420">
            <w:pPr>
              <w:pStyle w:val="ListParagraph"/>
              <w:numPr>
                <w:ilvl w:val="0"/>
                <w:numId w:val="4"/>
              </w:numPr>
              <w:contextualSpacing/>
            </w:pPr>
            <w:r>
              <w:t xml:space="preserve">Informal carers are provided with an opportunity for a break from their caring responsibilities </w:t>
            </w:r>
          </w:p>
          <w:p w14:paraId="16618CB2" w14:textId="77777777" w:rsidR="00A96420" w:rsidRPr="004440F2" w:rsidRDefault="00A96420" w:rsidP="00A96420">
            <w:pPr>
              <w:pStyle w:val="ListParagraph"/>
              <w:numPr>
                <w:ilvl w:val="0"/>
                <w:numId w:val="4"/>
              </w:numPr>
              <w:contextualSpacing/>
            </w:pPr>
            <w:r w:rsidRPr="004440F2">
              <w:t>Provide quality assessments for support needs and identification and mitigation of risk</w:t>
            </w:r>
          </w:p>
          <w:p w14:paraId="375F3B64" w14:textId="77777777" w:rsidR="00A96420" w:rsidRDefault="00A96420" w:rsidP="00A96420">
            <w:pPr>
              <w:pStyle w:val="ListParagraph"/>
              <w:numPr>
                <w:ilvl w:val="0"/>
                <w:numId w:val="4"/>
              </w:numPr>
              <w:contextualSpacing/>
            </w:pPr>
            <w:r>
              <w:t>Service users are supported to maintain/increase independence and improve quality of life</w:t>
            </w:r>
          </w:p>
          <w:p w14:paraId="5B76440B" w14:textId="77777777" w:rsidR="00A96420" w:rsidRDefault="00A96420" w:rsidP="00A96420">
            <w:pPr>
              <w:pStyle w:val="ListParagraph"/>
              <w:numPr>
                <w:ilvl w:val="0"/>
                <w:numId w:val="4"/>
              </w:numPr>
              <w:contextualSpacing/>
            </w:pPr>
            <w:r>
              <w:t>Opportunities for peer support are available</w:t>
            </w:r>
          </w:p>
          <w:p w14:paraId="631D363B" w14:textId="77777777" w:rsidR="00A96420" w:rsidRDefault="00A96420" w:rsidP="007A5890">
            <w:pPr>
              <w:pStyle w:val="ListParagraph"/>
            </w:pPr>
          </w:p>
        </w:tc>
      </w:tr>
    </w:tbl>
    <w:p w14:paraId="5A7E7A66" w14:textId="77777777" w:rsidR="00A96420" w:rsidRDefault="00A96420" w:rsidP="00A96420"/>
    <w:p w14:paraId="7794479C" w14:textId="77777777" w:rsidR="00A96420" w:rsidRDefault="00A96420" w:rsidP="00F96C63">
      <w:pPr>
        <w:rPr>
          <w:b/>
        </w:rPr>
      </w:pPr>
    </w:p>
    <w:p w14:paraId="32A44050" w14:textId="77777777" w:rsidR="00A96420" w:rsidRDefault="00A96420" w:rsidP="00F96C63">
      <w:pPr>
        <w:rPr>
          <w:b/>
        </w:rPr>
      </w:pPr>
    </w:p>
    <w:p w14:paraId="6743E3B4" w14:textId="77777777" w:rsidR="00A96420" w:rsidRDefault="00A96420" w:rsidP="00F96C63">
      <w:pPr>
        <w:rPr>
          <w:b/>
        </w:rPr>
      </w:pPr>
    </w:p>
    <w:p w14:paraId="73D19370" w14:textId="77777777" w:rsidR="00A96420" w:rsidRDefault="00A96420" w:rsidP="00F96C63">
      <w:pPr>
        <w:rPr>
          <w:b/>
        </w:rPr>
      </w:pPr>
    </w:p>
    <w:p w14:paraId="32EA1BDC" w14:textId="77777777" w:rsidR="00A96420" w:rsidRDefault="00A96420" w:rsidP="00F96C63">
      <w:pPr>
        <w:rPr>
          <w:b/>
        </w:rPr>
      </w:pPr>
    </w:p>
    <w:p w14:paraId="3B9ED581" w14:textId="77777777" w:rsidR="00A96420" w:rsidRDefault="00A96420" w:rsidP="00F96C63">
      <w:pPr>
        <w:rPr>
          <w:b/>
        </w:rPr>
      </w:pPr>
    </w:p>
    <w:p w14:paraId="2594E010" w14:textId="13FDC618" w:rsidR="00A96420" w:rsidRDefault="00A96420" w:rsidP="00F96C63">
      <w:pPr>
        <w:rPr>
          <w:b/>
        </w:rPr>
      </w:pPr>
    </w:p>
    <w:p w14:paraId="09A55493" w14:textId="77777777" w:rsidR="00A96420" w:rsidRDefault="00A96420" w:rsidP="00F96C63">
      <w:pPr>
        <w:rPr>
          <w:b/>
        </w:rPr>
      </w:pPr>
    </w:p>
    <w:p w14:paraId="3AE6A287" w14:textId="77777777" w:rsidR="00A96420" w:rsidRDefault="00A96420" w:rsidP="00F96C63">
      <w:pPr>
        <w:rPr>
          <w:b/>
        </w:rPr>
      </w:pPr>
    </w:p>
    <w:p w14:paraId="694A3C66" w14:textId="1DEB425C" w:rsidR="00F96C63" w:rsidRDefault="00F96C63" w:rsidP="00F96C63">
      <w:pPr>
        <w:rPr>
          <w:b/>
        </w:rPr>
      </w:pPr>
      <w:r>
        <w:rPr>
          <w:b/>
        </w:rPr>
        <w:lastRenderedPageBreak/>
        <w:t xml:space="preserve">Appendix </w:t>
      </w:r>
      <w:r w:rsidR="00A96420">
        <w:rPr>
          <w:b/>
        </w:rPr>
        <w:t>2</w:t>
      </w:r>
      <w:r>
        <w:rPr>
          <w:b/>
        </w:rPr>
        <w:t xml:space="preserve"> – Early Intervention and Prevention </w:t>
      </w:r>
      <w:r w:rsidR="00D65478">
        <w:rPr>
          <w:b/>
        </w:rPr>
        <w:t>Pseudo DPS</w:t>
      </w:r>
      <w:r>
        <w:rPr>
          <w:b/>
        </w:rPr>
        <w:t xml:space="preserve"> </w:t>
      </w:r>
      <w:r w:rsidR="00A96420">
        <w:rPr>
          <w:b/>
        </w:rPr>
        <w:t>- Phasing</w:t>
      </w:r>
      <w:r w:rsidR="00146E5C">
        <w:rPr>
          <w:b/>
        </w:rPr>
        <w:t xml:space="preserve"> Schedule</w:t>
      </w:r>
    </w:p>
    <w:p w14:paraId="7348BBAE" w14:textId="4854E963" w:rsidR="00D65478" w:rsidRDefault="00D65478" w:rsidP="00F96C63">
      <w:pPr>
        <w:rPr>
          <w:b/>
        </w:rPr>
      </w:pPr>
    </w:p>
    <w:p w14:paraId="5925C230" w14:textId="77777777" w:rsidR="00146E5C" w:rsidRPr="00A96420" w:rsidRDefault="00146E5C" w:rsidP="00146E5C">
      <w:pPr>
        <w:rPr>
          <w:rFonts w:cstheme="minorHAnsi"/>
          <w:b/>
          <w:bCs/>
        </w:rPr>
      </w:pPr>
      <w:r w:rsidRPr="00A96420">
        <w:rPr>
          <w:rFonts w:cstheme="minorHAnsi"/>
          <w:b/>
          <w:bCs/>
        </w:rPr>
        <w:t>EIP Lot Phasing Schedule*</w:t>
      </w:r>
    </w:p>
    <w:p w14:paraId="1897880D" w14:textId="77777777" w:rsidR="00146E5C" w:rsidRPr="00A96420" w:rsidRDefault="00146E5C" w:rsidP="00146E5C">
      <w:pPr>
        <w:rPr>
          <w:rFonts w:cstheme="minorHAnsi"/>
        </w:rPr>
      </w:pPr>
      <w:r w:rsidRPr="00A96420">
        <w:rPr>
          <w:rFonts w:cstheme="minorHAnsi"/>
        </w:rPr>
        <w:t>*The below dates are indicative and may be subject to change</w:t>
      </w:r>
    </w:p>
    <w:tbl>
      <w:tblPr>
        <w:tblStyle w:val="TableGrid"/>
        <w:tblW w:w="0" w:type="auto"/>
        <w:tblLook w:val="04A0" w:firstRow="1" w:lastRow="0" w:firstColumn="1" w:lastColumn="0" w:noHBand="0" w:noVBand="1"/>
      </w:tblPr>
      <w:tblGrid>
        <w:gridCol w:w="3492"/>
        <w:gridCol w:w="3487"/>
        <w:gridCol w:w="3487"/>
        <w:gridCol w:w="3482"/>
      </w:tblGrid>
      <w:tr w:rsidR="00146E5C" w:rsidRPr="00A96420" w14:paraId="7B8C2745" w14:textId="77777777" w:rsidTr="00DC0C26">
        <w:tc>
          <w:tcPr>
            <w:tcW w:w="3543" w:type="dxa"/>
          </w:tcPr>
          <w:p w14:paraId="084B21AF" w14:textId="77777777" w:rsidR="00146E5C" w:rsidRPr="00A96420" w:rsidRDefault="00146E5C" w:rsidP="00DC0C26">
            <w:pPr>
              <w:rPr>
                <w:rFonts w:cstheme="minorHAnsi"/>
                <w:b/>
                <w:bCs/>
              </w:rPr>
            </w:pPr>
            <w:r w:rsidRPr="00A96420">
              <w:rPr>
                <w:rFonts w:cstheme="minorHAnsi"/>
                <w:b/>
                <w:bCs/>
              </w:rPr>
              <w:t>Lot</w:t>
            </w:r>
          </w:p>
        </w:tc>
        <w:tc>
          <w:tcPr>
            <w:tcW w:w="3543" w:type="dxa"/>
          </w:tcPr>
          <w:p w14:paraId="4557EA93" w14:textId="77777777" w:rsidR="00146E5C" w:rsidRPr="00A96420" w:rsidRDefault="00146E5C" w:rsidP="00DC0C26">
            <w:pPr>
              <w:rPr>
                <w:rFonts w:cstheme="minorHAnsi"/>
                <w:b/>
                <w:bCs/>
              </w:rPr>
            </w:pPr>
            <w:r w:rsidRPr="00A96420">
              <w:rPr>
                <w:rFonts w:cstheme="minorHAnsi"/>
                <w:b/>
                <w:bCs/>
              </w:rPr>
              <w:t>Description</w:t>
            </w:r>
          </w:p>
        </w:tc>
        <w:tc>
          <w:tcPr>
            <w:tcW w:w="3544" w:type="dxa"/>
          </w:tcPr>
          <w:p w14:paraId="58CEE57D" w14:textId="77777777" w:rsidR="00146E5C" w:rsidRPr="00A96420" w:rsidRDefault="00146E5C" w:rsidP="00DC0C26">
            <w:pPr>
              <w:rPr>
                <w:rFonts w:cstheme="minorHAnsi"/>
                <w:b/>
                <w:bCs/>
              </w:rPr>
            </w:pPr>
            <w:r w:rsidRPr="00A96420">
              <w:rPr>
                <w:rFonts w:cstheme="minorHAnsi"/>
                <w:b/>
                <w:bCs/>
              </w:rPr>
              <w:t>Specification published</w:t>
            </w:r>
          </w:p>
        </w:tc>
        <w:tc>
          <w:tcPr>
            <w:tcW w:w="3544" w:type="dxa"/>
          </w:tcPr>
          <w:p w14:paraId="1446CF52" w14:textId="77777777" w:rsidR="00146E5C" w:rsidRPr="00A96420" w:rsidRDefault="00146E5C" w:rsidP="00DC0C26">
            <w:pPr>
              <w:rPr>
                <w:rFonts w:cstheme="minorHAnsi"/>
                <w:b/>
                <w:bCs/>
              </w:rPr>
            </w:pPr>
            <w:r w:rsidRPr="00A96420">
              <w:rPr>
                <w:rFonts w:cstheme="minorHAnsi"/>
                <w:b/>
                <w:bCs/>
              </w:rPr>
              <w:t>Contract start</w:t>
            </w:r>
          </w:p>
        </w:tc>
      </w:tr>
      <w:tr w:rsidR="00146E5C" w:rsidRPr="00A96420" w14:paraId="1F236EDF" w14:textId="77777777" w:rsidTr="00DC0C26">
        <w:tc>
          <w:tcPr>
            <w:tcW w:w="3543" w:type="dxa"/>
            <w:vMerge w:val="restart"/>
          </w:tcPr>
          <w:p w14:paraId="4ACB81E5" w14:textId="77777777" w:rsidR="00146E5C" w:rsidRPr="00A96420" w:rsidRDefault="00146E5C" w:rsidP="00DC0C26">
            <w:pPr>
              <w:rPr>
                <w:rFonts w:cstheme="minorHAnsi"/>
                <w:b/>
              </w:rPr>
            </w:pPr>
            <w:r w:rsidRPr="00A96420">
              <w:rPr>
                <w:rFonts w:cstheme="minorHAnsi"/>
                <w:b/>
              </w:rPr>
              <w:t>LOT 1 – SUPPORT FOR HOSPITAL DISCHARGE AND ADMISSION AVOIDANCE</w:t>
            </w:r>
          </w:p>
          <w:p w14:paraId="7C430388" w14:textId="77777777" w:rsidR="00146E5C" w:rsidRPr="00A96420" w:rsidRDefault="00146E5C" w:rsidP="00DC0C26">
            <w:pPr>
              <w:rPr>
                <w:rFonts w:cstheme="minorHAnsi"/>
              </w:rPr>
            </w:pPr>
          </w:p>
        </w:tc>
        <w:tc>
          <w:tcPr>
            <w:tcW w:w="3543" w:type="dxa"/>
          </w:tcPr>
          <w:p w14:paraId="31EB7457" w14:textId="77777777" w:rsidR="00146E5C" w:rsidRPr="00A96420" w:rsidRDefault="00146E5C" w:rsidP="00DC0C26">
            <w:pPr>
              <w:rPr>
                <w:rFonts w:cstheme="minorHAnsi"/>
              </w:rPr>
            </w:pPr>
            <w:r w:rsidRPr="00A96420">
              <w:rPr>
                <w:rFonts w:cstheme="minorHAnsi"/>
              </w:rPr>
              <w:t>Care Home Trusted Assessor</w:t>
            </w:r>
          </w:p>
        </w:tc>
        <w:tc>
          <w:tcPr>
            <w:tcW w:w="3544" w:type="dxa"/>
          </w:tcPr>
          <w:p w14:paraId="30DAF1DE" w14:textId="77777777" w:rsidR="00146E5C" w:rsidRPr="00A96420" w:rsidRDefault="00146E5C" w:rsidP="00DC0C26">
            <w:pPr>
              <w:rPr>
                <w:rFonts w:cstheme="minorHAnsi"/>
              </w:rPr>
            </w:pPr>
            <w:r w:rsidRPr="00A96420">
              <w:rPr>
                <w:rFonts w:cstheme="minorHAnsi"/>
              </w:rPr>
              <w:t>July 2021</w:t>
            </w:r>
          </w:p>
        </w:tc>
        <w:tc>
          <w:tcPr>
            <w:tcW w:w="3544" w:type="dxa"/>
          </w:tcPr>
          <w:p w14:paraId="5A7D9755" w14:textId="77777777" w:rsidR="00146E5C" w:rsidRPr="00A96420" w:rsidRDefault="00146E5C" w:rsidP="00DC0C26">
            <w:pPr>
              <w:rPr>
                <w:rFonts w:cstheme="minorHAnsi"/>
              </w:rPr>
            </w:pPr>
            <w:r w:rsidRPr="00A96420">
              <w:rPr>
                <w:rFonts w:cstheme="minorHAnsi"/>
              </w:rPr>
              <w:t>September 2021</w:t>
            </w:r>
          </w:p>
        </w:tc>
      </w:tr>
      <w:tr w:rsidR="00146E5C" w:rsidRPr="00A96420" w14:paraId="7C916DE7" w14:textId="77777777" w:rsidTr="00DC0C26">
        <w:tc>
          <w:tcPr>
            <w:tcW w:w="3543" w:type="dxa"/>
            <w:vMerge/>
          </w:tcPr>
          <w:p w14:paraId="2D61366E" w14:textId="77777777" w:rsidR="00146E5C" w:rsidRPr="00A96420" w:rsidRDefault="00146E5C" w:rsidP="00DC0C26">
            <w:pPr>
              <w:rPr>
                <w:rFonts w:cstheme="minorHAnsi"/>
              </w:rPr>
            </w:pPr>
          </w:p>
        </w:tc>
        <w:tc>
          <w:tcPr>
            <w:tcW w:w="3543" w:type="dxa"/>
          </w:tcPr>
          <w:p w14:paraId="0571F680" w14:textId="77777777" w:rsidR="00146E5C" w:rsidRPr="00A96420" w:rsidRDefault="00146E5C" w:rsidP="00DC0C26">
            <w:pPr>
              <w:rPr>
                <w:rFonts w:cstheme="minorHAnsi"/>
              </w:rPr>
            </w:pPr>
            <w:r w:rsidRPr="00A96420">
              <w:rPr>
                <w:rFonts w:cstheme="minorHAnsi"/>
              </w:rPr>
              <w:t>Discharge Support</w:t>
            </w:r>
          </w:p>
        </w:tc>
        <w:tc>
          <w:tcPr>
            <w:tcW w:w="3544" w:type="dxa"/>
          </w:tcPr>
          <w:p w14:paraId="000A4C7E" w14:textId="77777777" w:rsidR="00146E5C" w:rsidRPr="00A96420" w:rsidRDefault="00146E5C" w:rsidP="00DC0C26">
            <w:pPr>
              <w:rPr>
                <w:rFonts w:cstheme="minorHAnsi"/>
              </w:rPr>
            </w:pPr>
            <w:r w:rsidRPr="00A96420">
              <w:rPr>
                <w:rFonts w:cstheme="minorHAnsi"/>
              </w:rPr>
              <w:t>August 2021</w:t>
            </w:r>
          </w:p>
        </w:tc>
        <w:tc>
          <w:tcPr>
            <w:tcW w:w="3544" w:type="dxa"/>
          </w:tcPr>
          <w:p w14:paraId="262535E6" w14:textId="77777777" w:rsidR="00146E5C" w:rsidRPr="00A96420" w:rsidRDefault="00146E5C" w:rsidP="00DC0C26">
            <w:pPr>
              <w:rPr>
                <w:rFonts w:cstheme="minorHAnsi"/>
              </w:rPr>
            </w:pPr>
            <w:r w:rsidRPr="00A96420">
              <w:rPr>
                <w:rFonts w:cstheme="minorHAnsi"/>
              </w:rPr>
              <w:t>October 2021</w:t>
            </w:r>
          </w:p>
        </w:tc>
      </w:tr>
      <w:tr w:rsidR="00146E5C" w:rsidRPr="00A96420" w14:paraId="059C9170" w14:textId="77777777" w:rsidTr="00DC0C26">
        <w:tc>
          <w:tcPr>
            <w:tcW w:w="3543" w:type="dxa"/>
            <w:vMerge w:val="restart"/>
          </w:tcPr>
          <w:p w14:paraId="72322AFB" w14:textId="77777777" w:rsidR="00146E5C" w:rsidRPr="00A96420" w:rsidRDefault="00146E5C" w:rsidP="00DC0C26">
            <w:pPr>
              <w:rPr>
                <w:rFonts w:cstheme="minorHAnsi"/>
                <w:b/>
              </w:rPr>
            </w:pPr>
            <w:r w:rsidRPr="00A96420">
              <w:rPr>
                <w:rFonts w:cstheme="minorHAnsi"/>
                <w:b/>
              </w:rPr>
              <w:t xml:space="preserve">LOT 2 – INFORMATION AND ADVICE SERVICES </w:t>
            </w:r>
          </w:p>
          <w:p w14:paraId="09A7C6F7" w14:textId="77777777" w:rsidR="00146E5C" w:rsidRPr="00A96420" w:rsidRDefault="00146E5C" w:rsidP="00DC0C26">
            <w:pPr>
              <w:rPr>
                <w:rFonts w:cstheme="minorHAnsi"/>
              </w:rPr>
            </w:pPr>
          </w:p>
        </w:tc>
        <w:tc>
          <w:tcPr>
            <w:tcW w:w="3543" w:type="dxa"/>
          </w:tcPr>
          <w:p w14:paraId="048894E0" w14:textId="77777777" w:rsidR="00146E5C" w:rsidRPr="00A96420" w:rsidRDefault="00146E5C" w:rsidP="00DC0C26">
            <w:pPr>
              <w:rPr>
                <w:rFonts w:cstheme="minorHAnsi"/>
              </w:rPr>
            </w:pPr>
            <w:r w:rsidRPr="00A96420">
              <w:rPr>
                <w:rFonts w:cstheme="minorHAnsi"/>
              </w:rPr>
              <w:t>Community Navigators</w:t>
            </w:r>
          </w:p>
        </w:tc>
        <w:tc>
          <w:tcPr>
            <w:tcW w:w="3544" w:type="dxa"/>
          </w:tcPr>
          <w:p w14:paraId="06C4101F" w14:textId="77777777" w:rsidR="00146E5C" w:rsidRPr="00A96420" w:rsidRDefault="00146E5C" w:rsidP="00DC0C26">
            <w:pPr>
              <w:rPr>
                <w:rFonts w:cstheme="minorHAnsi"/>
              </w:rPr>
            </w:pPr>
            <w:r w:rsidRPr="00A96420">
              <w:rPr>
                <w:rFonts w:cstheme="minorHAnsi"/>
              </w:rPr>
              <w:t>June 2021</w:t>
            </w:r>
          </w:p>
        </w:tc>
        <w:tc>
          <w:tcPr>
            <w:tcW w:w="3544" w:type="dxa"/>
          </w:tcPr>
          <w:p w14:paraId="2AAB3853" w14:textId="77777777" w:rsidR="00146E5C" w:rsidRPr="00A96420" w:rsidRDefault="00146E5C" w:rsidP="00DC0C26">
            <w:pPr>
              <w:rPr>
                <w:rFonts w:cstheme="minorHAnsi"/>
              </w:rPr>
            </w:pPr>
            <w:r w:rsidRPr="00A96420">
              <w:rPr>
                <w:rFonts w:cstheme="minorHAnsi"/>
              </w:rPr>
              <w:t>October 2021</w:t>
            </w:r>
          </w:p>
        </w:tc>
      </w:tr>
      <w:tr w:rsidR="00146E5C" w:rsidRPr="00A96420" w14:paraId="2EB0BE4C" w14:textId="77777777" w:rsidTr="00DC0C26">
        <w:tc>
          <w:tcPr>
            <w:tcW w:w="3543" w:type="dxa"/>
            <w:vMerge/>
          </w:tcPr>
          <w:p w14:paraId="62841B86" w14:textId="77777777" w:rsidR="00146E5C" w:rsidRPr="00A96420" w:rsidRDefault="00146E5C" w:rsidP="00DC0C26">
            <w:pPr>
              <w:rPr>
                <w:rFonts w:cstheme="minorHAnsi"/>
              </w:rPr>
            </w:pPr>
          </w:p>
        </w:tc>
        <w:tc>
          <w:tcPr>
            <w:tcW w:w="3543" w:type="dxa"/>
          </w:tcPr>
          <w:p w14:paraId="0120D979" w14:textId="77777777" w:rsidR="00146E5C" w:rsidRPr="00A96420" w:rsidRDefault="00146E5C" w:rsidP="00DC0C26">
            <w:pPr>
              <w:rPr>
                <w:rFonts w:cstheme="minorHAnsi"/>
              </w:rPr>
            </w:pPr>
            <w:r w:rsidRPr="00A96420">
              <w:rPr>
                <w:rFonts w:cstheme="minorHAnsi"/>
              </w:rPr>
              <w:t>Information and Advice (Older People)</w:t>
            </w:r>
          </w:p>
        </w:tc>
        <w:tc>
          <w:tcPr>
            <w:tcW w:w="3544" w:type="dxa"/>
          </w:tcPr>
          <w:p w14:paraId="644398BF" w14:textId="77777777" w:rsidR="00146E5C" w:rsidRPr="00A96420" w:rsidRDefault="00146E5C" w:rsidP="00DC0C26">
            <w:pPr>
              <w:rPr>
                <w:rFonts w:cstheme="minorHAnsi"/>
              </w:rPr>
            </w:pPr>
            <w:r w:rsidRPr="00A96420">
              <w:rPr>
                <w:rFonts w:cstheme="minorHAnsi"/>
              </w:rPr>
              <w:t>November 2021</w:t>
            </w:r>
          </w:p>
        </w:tc>
        <w:tc>
          <w:tcPr>
            <w:tcW w:w="3544" w:type="dxa"/>
          </w:tcPr>
          <w:p w14:paraId="1047D485" w14:textId="77777777" w:rsidR="00146E5C" w:rsidRPr="00A96420" w:rsidRDefault="00146E5C" w:rsidP="00DC0C26">
            <w:pPr>
              <w:rPr>
                <w:rFonts w:cstheme="minorHAnsi"/>
              </w:rPr>
            </w:pPr>
            <w:r w:rsidRPr="00A96420">
              <w:rPr>
                <w:rFonts w:cstheme="minorHAnsi"/>
              </w:rPr>
              <w:t>January 2021</w:t>
            </w:r>
          </w:p>
        </w:tc>
      </w:tr>
      <w:tr w:rsidR="00146E5C" w:rsidRPr="00A96420" w14:paraId="0642DC38" w14:textId="77777777" w:rsidTr="00DC0C26">
        <w:tc>
          <w:tcPr>
            <w:tcW w:w="3543" w:type="dxa"/>
            <w:vMerge/>
          </w:tcPr>
          <w:p w14:paraId="4D812421" w14:textId="77777777" w:rsidR="00146E5C" w:rsidRPr="00A96420" w:rsidRDefault="00146E5C" w:rsidP="00DC0C26">
            <w:pPr>
              <w:rPr>
                <w:rFonts w:cstheme="minorHAnsi"/>
              </w:rPr>
            </w:pPr>
          </w:p>
        </w:tc>
        <w:tc>
          <w:tcPr>
            <w:tcW w:w="3543" w:type="dxa"/>
          </w:tcPr>
          <w:p w14:paraId="6E53DA81" w14:textId="77777777" w:rsidR="00146E5C" w:rsidRPr="00A96420" w:rsidRDefault="00146E5C" w:rsidP="00DC0C26">
            <w:pPr>
              <w:rPr>
                <w:rFonts w:cstheme="minorHAnsi"/>
              </w:rPr>
            </w:pPr>
            <w:r w:rsidRPr="00A96420">
              <w:rPr>
                <w:rFonts w:cstheme="minorHAnsi"/>
              </w:rPr>
              <w:t>Information and support (Alzheimer’s)</w:t>
            </w:r>
          </w:p>
        </w:tc>
        <w:tc>
          <w:tcPr>
            <w:tcW w:w="3544" w:type="dxa"/>
          </w:tcPr>
          <w:p w14:paraId="21F282DF" w14:textId="77777777" w:rsidR="00146E5C" w:rsidRPr="00A96420" w:rsidRDefault="00146E5C" w:rsidP="00DC0C26">
            <w:pPr>
              <w:rPr>
                <w:rFonts w:cstheme="minorHAnsi"/>
              </w:rPr>
            </w:pPr>
            <w:r w:rsidRPr="00A96420">
              <w:rPr>
                <w:rFonts w:cstheme="minorHAnsi"/>
              </w:rPr>
              <w:t>May 2021</w:t>
            </w:r>
          </w:p>
        </w:tc>
        <w:tc>
          <w:tcPr>
            <w:tcW w:w="3544" w:type="dxa"/>
          </w:tcPr>
          <w:p w14:paraId="6F93702A" w14:textId="77777777" w:rsidR="00146E5C" w:rsidRPr="00A96420" w:rsidRDefault="00146E5C" w:rsidP="00DC0C26">
            <w:pPr>
              <w:rPr>
                <w:rFonts w:cstheme="minorHAnsi"/>
              </w:rPr>
            </w:pPr>
            <w:r w:rsidRPr="00A96420">
              <w:rPr>
                <w:rFonts w:cstheme="minorHAnsi"/>
              </w:rPr>
              <w:t>August 2021</w:t>
            </w:r>
          </w:p>
        </w:tc>
      </w:tr>
      <w:tr w:rsidR="00146E5C" w:rsidRPr="00A96420" w14:paraId="5EF55BA9" w14:textId="77777777" w:rsidTr="00DC0C26">
        <w:tc>
          <w:tcPr>
            <w:tcW w:w="3543" w:type="dxa"/>
            <w:vMerge w:val="restart"/>
          </w:tcPr>
          <w:p w14:paraId="4E07059E" w14:textId="77777777" w:rsidR="00146E5C" w:rsidRPr="00A96420" w:rsidRDefault="00146E5C" w:rsidP="00DC0C26">
            <w:pPr>
              <w:rPr>
                <w:rFonts w:cstheme="minorHAnsi"/>
                <w:b/>
              </w:rPr>
            </w:pPr>
          </w:p>
          <w:p w14:paraId="7E6F5DDB" w14:textId="77777777" w:rsidR="00146E5C" w:rsidRPr="00A96420" w:rsidRDefault="00146E5C" w:rsidP="00DC0C26">
            <w:pPr>
              <w:rPr>
                <w:rFonts w:cstheme="minorHAnsi"/>
                <w:b/>
              </w:rPr>
            </w:pPr>
            <w:r w:rsidRPr="00A96420">
              <w:rPr>
                <w:rFonts w:cstheme="minorHAnsi"/>
                <w:b/>
              </w:rPr>
              <w:t xml:space="preserve">LOT 3 – COMMUNITY SUPPORT </w:t>
            </w:r>
          </w:p>
          <w:p w14:paraId="11708423" w14:textId="77777777" w:rsidR="00146E5C" w:rsidRPr="00A96420" w:rsidRDefault="00146E5C" w:rsidP="00DC0C26">
            <w:pPr>
              <w:rPr>
                <w:rFonts w:cstheme="minorHAnsi"/>
              </w:rPr>
            </w:pPr>
          </w:p>
        </w:tc>
        <w:tc>
          <w:tcPr>
            <w:tcW w:w="3543" w:type="dxa"/>
          </w:tcPr>
          <w:p w14:paraId="2489E3A5" w14:textId="77777777" w:rsidR="00146E5C" w:rsidRPr="00A96420" w:rsidRDefault="00146E5C" w:rsidP="00DC0C26">
            <w:pPr>
              <w:rPr>
                <w:rFonts w:cstheme="minorHAnsi"/>
              </w:rPr>
            </w:pPr>
            <w:r w:rsidRPr="00A96420">
              <w:rPr>
                <w:rFonts w:cstheme="minorHAnsi"/>
              </w:rPr>
              <w:t>Practical and Social Support (Older People)</w:t>
            </w:r>
          </w:p>
        </w:tc>
        <w:tc>
          <w:tcPr>
            <w:tcW w:w="3544" w:type="dxa"/>
          </w:tcPr>
          <w:p w14:paraId="58EEFBDE" w14:textId="77777777" w:rsidR="00146E5C" w:rsidRPr="00A96420" w:rsidRDefault="00146E5C" w:rsidP="00DC0C26">
            <w:pPr>
              <w:rPr>
                <w:rFonts w:cstheme="minorHAnsi"/>
              </w:rPr>
            </w:pPr>
            <w:r w:rsidRPr="00A96420">
              <w:rPr>
                <w:rFonts w:cstheme="minorHAnsi"/>
              </w:rPr>
              <w:t>March 2022</w:t>
            </w:r>
          </w:p>
        </w:tc>
        <w:tc>
          <w:tcPr>
            <w:tcW w:w="3544" w:type="dxa"/>
          </w:tcPr>
          <w:p w14:paraId="63416610" w14:textId="77777777" w:rsidR="00146E5C" w:rsidRPr="00A96420" w:rsidRDefault="00146E5C" w:rsidP="00DC0C26">
            <w:pPr>
              <w:rPr>
                <w:rFonts w:cstheme="minorHAnsi"/>
              </w:rPr>
            </w:pPr>
            <w:r w:rsidRPr="00A96420">
              <w:rPr>
                <w:rFonts w:cstheme="minorHAnsi"/>
              </w:rPr>
              <w:t>July 2022</w:t>
            </w:r>
          </w:p>
        </w:tc>
      </w:tr>
      <w:tr w:rsidR="00146E5C" w:rsidRPr="00A96420" w14:paraId="7CB05C1C" w14:textId="77777777" w:rsidTr="00DC0C26">
        <w:tc>
          <w:tcPr>
            <w:tcW w:w="3543" w:type="dxa"/>
            <w:vMerge/>
          </w:tcPr>
          <w:p w14:paraId="05CA5929" w14:textId="77777777" w:rsidR="00146E5C" w:rsidRPr="00A96420" w:rsidRDefault="00146E5C" w:rsidP="00DC0C26">
            <w:pPr>
              <w:rPr>
                <w:rFonts w:cstheme="minorHAnsi"/>
              </w:rPr>
            </w:pPr>
          </w:p>
        </w:tc>
        <w:tc>
          <w:tcPr>
            <w:tcW w:w="3543" w:type="dxa"/>
          </w:tcPr>
          <w:p w14:paraId="3ECB298D" w14:textId="77777777" w:rsidR="00146E5C" w:rsidRPr="00A96420" w:rsidRDefault="00146E5C" w:rsidP="00DC0C26">
            <w:pPr>
              <w:rPr>
                <w:rFonts w:cstheme="minorHAnsi"/>
              </w:rPr>
            </w:pPr>
            <w:r w:rsidRPr="00A96420">
              <w:rPr>
                <w:rFonts w:cstheme="minorHAnsi"/>
              </w:rPr>
              <w:t>Handyperson Service</w:t>
            </w:r>
          </w:p>
        </w:tc>
        <w:tc>
          <w:tcPr>
            <w:tcW w:w="3544" w:type="dxa"/>
          </w:tcPr>
          <w:p w14:paraId="1305CDC8" w14:textId="77777777" w:rsidR="00146E5C" w:rsidRPr="00A96420" w:rsidRDefault="00146E5C" w:rsidP="00DC0C26">
            <w:pPr>
              <w:rPr>
                <w:rFonts w:cstheme="minorHAnsi"/>
              </w:rPr>
            </w:pPr>
            <w:r w:rsidRPr="00A96420">
              <w:rPr>
                <w:rFonts w:cstheme="minorHAnsi"/>
              </w:rPr>
              <w:t>June 2021</w:t>
            </w:r>
          </w:p>
        </w:tc>
        <w:tc>
          <w:tcPr>
            <w:tcW w:w="3544" w:type="dxa"/>
          </w:tcPr>
          <w:p w14:paraId="60B4370A" w14:textId="77777777" w:rsidR="00146E5C" w:rsidRPr="00A96420" w:rsidRDefault="00146E5C" w:rsidP="00DC0C26">
            <w:pPr>
              <w:rPr>
                <w:rFonts w:cstheme="minorHAnsi"/>
              </w:rPr>
            </w:pPr>
            <w:r w:rsidRPr="00A96420">
              <w:rPr>
                <w:rFonts w:cstheme="minorHAnsi"/>
              </w:rPr>
              <w:t>October 2021</w:t>
            </w:r>
          </w:p>
        </w:tc>
      </w:tr>
      <w:tr w:rsidR="00146E5C" w:rsidRPr="00A96420" w14:paraId="469FAD7B" w14:textId="77777777" w:rsidTr="00DC0C26">
        <w:tc>
          <w:tcPr>
            <w:tcW w:w="3543" w:type="dxa"/>
            <w:vMerge/>
          </w:tcPr>
          <w:p w14:paraId="14CAAA71" w14:textId="77777777" w:rsidR="00146E5C" w:rsidRPr="00A96420" w:rsidRDefault="00146E5C" w:rsidP="00DC0C26">
            <w:pPr>
              <w:rPr>
                <w:rFonts w:cstheme="minorHAnsi"/>
              </w:rPr>
            </w:pPr>
          </w:p>
        </w:tc>
        <w:tc>
          <w:tcPr>
            <w:tcW w:w="3543" w:type="dxa"/>
          </w:tcPr>
          <w:p w14:paraId="3DF965BA" w14:textId="77777777" w:rsidR="00146E5C" w:rsidRPr="00A96420" w:rsidRDefault="00146E5C" w:rsidP="00DC0C26">
            <w:pPr>
              <w:rPr>
                <w:rFonts w:cstheme="minorHAnsi"/>
              </w:rPr>
            </w:pPr>
            <w:r w:rsidRPr="00A96420">
              <w:rPr>
                <w:rFonts w:cstheme="minorHAnsi"/>
              </w:rPr>
              <w:t>Community Support (Stroke)</w:t>
            </w:r>
          </w:p>
        </w:tc>
        <w:tc>
          <w:tcPr>
            <w:tcW w:w="3544" w:type="dxa"/>
          </w:tcPr>
          <w:p w14:paraId="23C05EA6" w14:textId="77777777" w:rsidR="00146E5C" w:rsidRPr="00A96420" w:rsidRDefault="00146E5C" w:rsidP="00DC0C26">
            <w:pPr>
              <w:rPr>
                <w:rFonts w:cstheme="minorHAnsi"/>
              </w:rPr>
            </w:pPr>
            <w:r w:rsidRPr="00A96420">
              <w:rPr>
                <w:rFonts w:cstheme="minorHAnsi"/>
              </w:rPr>
              <w:t>June 2021</w:t>
            </w:r>
          </w:p>
        </w:tc>
        <w:tc>
          <w:tcPr>
            <w:tcW w:w="3544" w:type="dxa"/>
          </w:tcPr>
          <w:p w14:paraId="25FBC41F" w14:textId="77777777" w:rsidR="00146E5C" w:rsidRPr="00A96420" w:rsidRDefault="00146E5C" w:rsidP="00DC0C26">
            <w:pPr>
              <w:rPr>
                <w:rFonts w:cstheme="minorHAnsi"/>
              </w:rPr>
            </w:pPr>
            <w:r w:rsidRPr="00A96420">
              <w:rPr>
                <w:rFonts w:cstheme="minorHAnsi"/>
              </w:rPr>
              <w:t>October 2021</w:t>
            </w:r>
          </w:p>
        </w:tc>
      </w:tr>
      <w:tr w:rsidR="00146E5C" w:rsidRPr="00A96420" w14:paraId="02FF15E1" w14:textId="77777777" w:rsidTr="00DC0C26">
        <w:tc>
          <w:tcPr>
            <w:tcW w:w="3543" w:type="dxa"/>
            <w:vMerge/>
          </w:tcPr>
          <w:p w14:paraId="76CF27D0" w14:textId="77777777" w:rsidR="00146E5C" w:rsidRPr="00A96420" w:rsidRDefault="00146E5C" w:rsidP="00DC0C26">
            <w:pPr>
              <w:rPr>
                <w:rFonts w:cstheme="minorHAnsi"/>
              </w:rPr>
            </w:pPr>
          </w:p>
        </w:tc>
        <w:tc>
          <w:tcPr>
            <w:tcW w:w="3543" w:type="dxa"/>
          </w:tcPr>
          <w:p w14:paraId="0437587E" w14:textId="77777777" w:rsidR="00146E5C" w:rsidRPr="00A96420" w:rsidRDefault="00146E5C" w:rsidP="00DC0C26">
            <w:pPr>
              <w:rPr>
                <w:rFonts w:cstheme="minorHAnsi"/>
              </w:rPr>
            </w:pPr>
            <w:r w:rsidRPr="00A96420">
              <w:rPr>
                <w:rFonts w:cstheme="minorHAnsi"/>
              </w:rPr>
              <w:t>Sensory Support</w:t>
            </w:r>
          </w:p>
        </w:tc>
        <w:tc>
          <w:tcPr>
            <w:tcW w:w="3544" w:type="dxa"/>
          </w:tcPr>
          <w:p w14:paraId="5A4A8C0D" w14:textId="77777777" w:rsidR="00146E5C" w:rsidRPr="00A96420" w:rsidRDefault="00146E5C" w:rsidP="00DC0C26">
            <w:pPr>
              <w:rPr>
                <w:rFonts w:cstheme="minorHAnsi"/>
              </w:rPr>
            </w:pPr>
            <w:r w:rsidRPr="00A96420">
              <w:rPr>
                <w:rFonts w:cstheme="minorHAnsi"/>
              </w:rPr>
              <w:t>September 2021</w:t>
            </w:r>
          </w:p>
        </w:tc>
        <w:tc>
          <w:tcPr>
            <w:tcW w:w="3544" w:type="dxa"/>
          </w:tcPr>
          <w:p w14:paraId="78EBA3FD" w14:textId="77777777" w:rsidR="00146E5C" w:rsidRPr="00A96420" w:rsidRDefault="00146E5C" w:rsidP="00DC0C26">
            <w:pPr>
              <w:rPr>
                <w:rFonts w:cstheme="minorHAnsi"/>
              </w:rPr>
            </w:pPr>
            <w:r w:rsidRPr="00A96420">
              <w:rPr>
                <w:rFonts w:cstheme="minorHAnsi"/>
              </w:rPr>
              <w:t>February 2022</w:t>
            </w:r>
          </w:p>
        </w:tc>
      </w:tr>
    </w:tbl>
    <w:p w14:paraId="0EF6FAAF" w14:textId="77777777" w:rsidR="00146E5C" w:rsidRPr="00A96420" w:rsidRDefault="00146E5C" w:rsidP="00146E5C">
      <w:pPr>
        <w:rPr>
          <w:rFonts w:cstheme="minorHAnsi"/>
        </w:rPr>
      </w:pPr>
      <w:r w:rsidRPr="00A96420">
        <w:rPr>
          <w:rFonts w:cstheme="minorHAnsi"/>
        </w:rPr>
        <w:t xml:space="preserve"> </w:t>
      </w:r>
      <w:r w:rsidRPr="00A96420">
        <w:rPr>
          <w:rFonts w:cstheme="minorHAnsi"/>
          <w:b/>
        </w:rPr>
        <w:t>LOT 4 – DAY OPPORTUNITIES  - This lot is subject to review. No schedules have been drafted at this time.</w:t>
      </w:r>
    </w:p>
    <w:p w14:paraId="5FFBFAA8" w14:textId="77777777" w:rsidR="00F96C63" w:rsidRDefault="00F96C63" w:rsidP="00F96C63">
      <w:pPr>
        <w:rPr>
          <w:b/>
        </w:rPr>
      </w:pPr>
    </w:p>
    <w:sectPr w:rsidR="00F96C63" w:rsidSect="00F96C6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ACB"/>
    <w:multiLevelType w:val="hybridMultilevel"/>
    <w:tmpl w:val="0A98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351D"/>
    <w:multiLevelType w:val="hybridMultilevel"/>
    <w:tmpl w:val="BD9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6567E"/>
    <w:multiLevelType w:val="multilevel"/>
    <w:tmpl w:val="D9DA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E59A2"/>
    <w:multiLevelType w:val="hybridMultilevel"/>
    <w:tmpl w:val="07C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40D42"/>
    <w:multiLevelType w:val="hybridMultilevel"/>
    <w:tmpl w:val="95043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FB3"/>
    <w:multiLevelType w:val="hybridMultilevel"/>
    <w:tmpl w:val="723CC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8B79D4"/>
    <w:multiLevelType w:val="hybridMultilevel"/>
    <w:tmpl w:val="068812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0A7AF7"/>
    <w:multiLevelType w:val="hybridMultilevel"/>
    <w:tmpl w:val="2CBEDCD2"/>
    <w:lvl w:ilvl="0" w:tplc="461E5A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D68A2"/>
    <w:multiLevelType w:val="hybridMultilevel"/>
    <w:tmpl w:val="7FAE9886"/>
    <w:lvl w:ilvl="0" w:tplc="EFDEBC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52"/>
    <w:rsid w:val="00102ED7"/>
    <w:rsid w:val="00123764"/>
    <w:rsid w:val="00146E5C"/>
    <w:rsid w:val="002242E9"/>
    <w:rsid w:val="002633C0"/>
    <w:rsid w:val="002C189F"/>
    <w:rsid w:val="002D4B11"/>
    <w:rsid w:val="003164ED"/>
    <w:rsid w:val="004A651A"/>
    <w:rsid w:val="004A66FC"/>
    <w:rsid w:val="004B7890"/>
    <w:rsid w:val="00557183"/>
    <w:rsid w:val="00752E00"/>
    <w:rsid w:val="008271E0"/>
    <w:rsid w:val="00827FE1"/>
    <w:rsid w:val="008335F7"/>
    <w:rsid w:val="008C0A52"/>
    <w:rsid w:val="00912833"/>
    <w:rsid w:val="0091395C"/>
    <w:rsid w:val="009C7E27"/>
    <w:rsid w:val="00A9435C"/>
    <w:rsid w:val="00A96420"/>
    <w:rsid w:val="00A971F6"/>
    <w:rsid w:val="00AA00CA"/>
    <w:rsid w:val="00B205DD"/>
    <w:rsid w:val="00B35A9C"/>
    <w:rsid w:val="00BF5193"/>
    <w:rsid w:val="00D65478"/>
    <w:rsid w:val="00E71188"/>
    <w:rsid w:val="00F26611"/>
    <w:rsid w:val="00F61155"/>
    <w:rsid w:val="00F9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0B9"/>
  <w15:chartTrackingRefBased/>
  <w15:docId w15:val="{64DA2286-6028-4EA4-BD38-274432F4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52"/>
    <w:pPr>
      <w:spacing w:after="0" w:line="240" w:lineRule="auto"/>
      <w:ind w:left="720"/>
    </w:pPr>
    <w:rPr>
      <w:rFonts w:ascii="Calibri" w:eastAsia="Calibri" w:hAnsi="Calibri" w:cs="Times New Roman"/>
    </w:rPr>
  </w:style>
  <w:style w:type="table" w:styleId="TableGrid">
    <w:name w:val="Table Grid"/>
    <w:basedOn w:val="TableNormal"/>
    <w:uiPriority w:val="39"/>
    <w:rsid w:val="00F9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29909">
      <w:bodyDiv w:val="1"/>
      <w:marLeft w:val="0"/>
      <w:marRight w:val="0"/>
      <w:marTop w:val="0"/>
      <w:marBottom w:val="0"/>
      <w:divBdr>
        <w:top w:val="none" w:sz="0" w:space="0" w:color="auto"/>
        <w:left w:val="none" w:sz="0" w:space="0" w:color="auto"/>
        <w:bottom w:val="none" w:sz="0" w:space="0" w:color="auto"/>
        <w:right w:val="none" w:sz="0" w:space="0" w:color="auto"/>
      </w:divBdr>
    </w:div>
    <w:div w:id="11485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CA417592B1645B5E726E35C81E87B" ma:contentTypeVersion="12" ma:contentTypeDescription="Create a new document." ma:contentTypeScope="" ma:versionID="6c072c6ba3a5223bedabcaa630a3690e">
  <xsd:schema xmlns:xsd="http://www.w3.org/2001/XMLSchema" xmlns:xs="http://www.w3.org/2001/XMLSchema" xmlns:p="http://schemas.microsoft.com/office/2006/metadata/properties" xmlns:ns2="8b22987c-7642-4f60-bdad-6a63ae37d08d" xmlns:ns3="8f0e4762-0647-4515-854e-54c39e301341" targetNamespace="http://schemas.microsoft.com/office/2006/metadata/properties" ma:root="true" ma:fieldsID="e0d6c4c603987a10e644a9f6dbc49154" ns2:_="" ns3:_="">
    <xsd:import namespace="8b22987c-7642-4f60-bdad-6a63ae37d08d"/>
    <xsd:import namespace="8f0e4762-0647-4515-854e-54c39e3013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987c-7642-4f60-bdad-6a63ae37d0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e4762-0647-4515-854e-54c39e3013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3609A-3FD0-4710-8B43-0F0360A1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987c-7642-4f60-bdad-6a63ae37d08d"/>
    <ds:schemaRef ds:uri="8f0e4762-0647-4515-854e-54c39e301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08F5E-9529-4B56-9A46-7C32E6B59770}">
  <ds:schemaRefs>
    <ds:schemaRef ds:uri="http://schemas.microsoft.com/sharepoint/v3/contenttype/forms"/>
  </ds:schemaRefs>
</ds:datastoreItem>
</file>

<file path=customXml/itemProps3.xml><?xml version="1.0" encoding="utf-8"?>
<ds:datastoreItem xmlns:ds="http://schemas.openxmlformats.org/officeDocument/2006/customXml" ds:itemID="{AFEFFC7B-19E4-495E-BD99-68DB0D76103F}">
  <ds:schemaRefs>
    <ds:schemaRef ds:uri="http://schemas.microsoft.com/office/infopath/2007/PartnerControls"/>
    <ds:schemaRef ds:uri="http://purl.org/dc/terms/"/>
    <ds:schemaRef ds:uri="8f0e4762-0647-4515-854e-54c39e301341"/>
    <ds:schemaRef ds:uri="http://schemas.microsoft.com/office/2006/documentManagement/types"/>
    <ds:schemaRef ds:uri="http://schemas.openxmlformats.org/package/2006/metadata/core-properties"/>
    <ds:schemaRef ds:uri="8b22987c-7642-4f60-bdad-6a63ae37d08d"/>
    <ds:schemaRef ds:uri="http://purl.org/dc/elements/1.1/"/>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 Sarah</dc:creator>
  <cp:keywords/>
  <dc:description/>
  <cp:lastModifiedBy>Sarah Bye</cp:lastModifiedBy>
  <cp:revision>4</cp:revision>
  <dcterms:created xsi:type="dcterms:W3CDTF">2021-05-12T06:51:00Z</dcterms:created>
  <dcterms:modified xsi:type="dcterms:W3CDTF">2021-05-12T07:01:00Z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0x010100DC8CA417592B1645B5E726E35C81E87B</vt:lpwstr>
  </property>
</Properties>
</file>