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B2676" w14:textId="32388AE8" w:rsidR="00227013" w:rsidRDefault="00227013" w:rsidP="00137C2F">
      <w:pPr>
        <w:shd w:val="clear" w:color="auto" w:fill="FFFFFF"/>
        <w:spacing w:before="100" w:beforeAutospacing="1" w:after="100" w:afterAutospacing="1" w:line="240" w:lineRule="auto"/>
        <w:contextualSpacing/>
        <w:jc w:val="center"/>
        <w:rPr>
          <w:rFonts w:ascii="Verdana" w:eastAsia="Times New Roman" w:hAnsi="Verdana" w:cs="Arial"/>
          <w:b/>
          <w:bCs/>
          <w:color w:val="000000" w:themeColor="text1"/>
          <w:sz w:val="22"/>
          <w:lang w:eastAsia="en-GB"/>
        </w:rPr>
      </w:pPr>
      <w:r>
        <w:rPr>
          <w:noProof/>
        </w:rPr>
        <w:drawing>
          <wp:inline distT="0" distB="0" distL="0" distR="0" wp14:anchorId="3E35B1BC" wp14:editId="5F4E4031">
            <wp:extent cx="2352040" cy="831850"/>
            <wp:effectExtent l="0" t="0" r="0" b="6350"/>
            <wp:docPr id="3" name="Picture 2">
              <a:extLst xmlns:a="http://schemas.openxmlformats.org/drawingml/2006/main">
                <a:ext uri="{FF2B5EF4-FFF2-40B4-BE49-F238E27FC236}">
                  <a16:creationId xmlns:a16="http://schemas.microsoft.com/office/drawing/2014/main" id="{D9711842-1733-4228-8DE3-221DFB4385DB}"/>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9711842-1733-4228-8DE3-221DFB4385DB}"/>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3925" cy="839590"/>
                    </a:xfrm>
                    <a:prstGeom prst="rect">
                      <a:avLst/>
                    </a:prstGeom>
                    <a:noFill/>
                    <a:ln>
                      <a:noFill/>
                    </a:ln>
                  </pic:spPr>
                </pic:pic>
              </a:graphicData>
            </a:graphic>
          </wp:inline>
        </w:drawing>
      </w:r>
    </w:p>
    <w:p w14:paraId="71F7260E" w14:textId="77777777" w:rsidR="00227013" w:rsidRDefault="00227013" w:rsidP="00137C2F">
      <w:pPr>
        <w:shd w:val="clear" w:color="auto" w:fill="FFFFFF"/>
        <w:spacing w:before="100" w:beforeAutospacing="1" w:after="100" w:afterAutospacing="1" w:line="240" w:lineRule="auto"/>
        <w:contextualSpacing/>
        <w:jc w:val="center"/>
        <w:rPr>
          <w:rFonts w:ascii="Verdana" w:eastAsia="Times New Roman" w:hAnsi="Verdana" w:cs="Arial"/>
          <w:b/>
          <w:bCs/>
          <w:color w:val="000000" w:themeColor="text1"/>
          <w:sz w:val="22"/>
          <w:lang w:eastAsia="en-GB"/>
        </w:rPr>
      </w:pPr>
    </w:p>
    <w:p w14:paraId="458C5720" w14:textId="4A39A04D" w:rsidR="00137C2F" w:rsidRPr="008C3D45" w:rsidRDefault="00137C2F" w:rsidP="00137C2F">
      <w:pPr>
        <w:shd w:val="clear" w:color="auto" w:fill="FFFFFF"/>
        <w:spacing w:before="100" w:beforeAutospacing="1" w:after="100" w:afterAutospacing="1" w:line="240" w:lineRule="auto"/>
        <w:contextualSpacing/>
        <w:jc w:val="center"/>
        <w:rPr>
          <w:rFonts w:eastAsia="Times New Roman" w:cs="Arial"/>
          <w:b/>
          <w:bCs/>
          <w:color w:val="000000" w:themeColor="text1"/>
          <w:sz w:val="22"/>
          <w:lang w:eastAsia="en-GB"/>
        </w:rPr>
      </w:pPr>
      <w:r w:rsidRPr="008C3D45">
        <w:rPr>
          <w:rFonts w:eastAsia="Times New Roman" w:cs="Arial"/>
          <w:b/>
          <w:bCs/>
          <w:color w:val="000000" w:themeColor="text1"/>
          <w:sz w:val="22"/>
          <w:lang w:eastAsia="en-GB"/>
        </w:rPr>
        <w:t>Cambridgeshire and West Suffolk Home-</w:t>
      </w:r>
      <w:r w:rsidR="00227013" w:rsidRPr="008C3D45">
        <w:rPr>
          <w:rFonts w:eastAsia="Times New Roman" w:cs="Arial"/>
          <w:b/>
          <w:bCs/>
          <w:color w:val="000000" w:themeColor="text1"/>
          <w:sz w:val="22"/>
          <w:lang w:eastAsia="en-GB"/>
        </w:rPr>
        <w:t>L</w:t>
      </w:r>
      <w:r w:rsidRPr="008C3D45">
        <w:rPr>
          <w:rFonts w:eastAsia="Times New Roman" w:cs="Arial"/>
          <w:b/>
          <w:bCs/>
          <w:color w:val="000000" w:themeColor="text1"/>
          <w:sz w:val="22"/>
          <w:lang w:eastAsia="en-GB"/>
        </w:rPr>
        <w:t>ink partnership</w:t>
      </w:r>
    </w:p>
    <w:p w14:paraId="33F72F3B" w14:textId="59D5061C" w:rsidR="00137C2F" w:rsidRPr="008C3D45" w:rsidRDefault="00137C2F" w:rsidP="00137C2F">
      <w:pPr>
        <w:shd w:val="clear" w:color="auto" w:fill="FFFFFF"/>
        <w:spacing w:before="100" w:beforeAutospacing="1" w:after="100" w:afterAutospacing="1" w:line="240" w:lineRule="auto"/>
        <w:contextualSpacing/>
        <w:jc w:val="center"/>
        <w:rPr>
          <w:rFonts w:eastAsia="Times New Roman" w:cs="Arial"/>
          <w:b/>
          <w:bCs/>
          <w:color w:val="000000" w:themeColor="text1"/>
          <w:sz w:val="22"/>
          <w:lang w:eastAsia="en-GB"/>
        </w:rPr>
      </w:pPr>
      <w:r w:rsidRPr="008C3D45">
        <w:rPr>
          <w:rFonts w:eastAsia="Times New Roman" w:cs="Arial"/>
          <w:b/>
          <w:bCs/>
          <w:color w:val="000000" w:themeColor="text1"/>
          <w:sz w:val="22"/>
          <w:lang w:eastAsia="en-GB"/>
        </w:rPr>
        <w:t>Note for Regional Housing Board - Lettings Policy Update</w:t>
      </w:r>
    </w:p>
    <w:p w14:paraId="2CDBC4A6" w14:textId="77777777" w:rsidR="00137C2F" w:rsidRPr="008C3D45" w:rsidRDefault="00137C2F" w:rsidP="00137C2F">
      <w:pPr>
        <w:shd w:val="clear" w:color="auto" w:fill="FFFFFF"/>
        <w:spacing w:before="100" w:beforeAutospacing="1" w:after="100" w:afterAutospacing="1" w:line="240" w:lineRule="auto"/>
        <w:contextualSpacing/>
        <w:rPr>
          <w:rFonts w:eastAsia="Times New Roman" w:cs="Arial"/>
          <w:color w:val="000000" w:themeColor="text1"/>
          <w:sz w:val="22"/>
          <w:lang w:eastAsia="en-GB"/>
        </w:rPr>
      </w:pPr>
    </w:p>
    <w:p w14:paraId="0613E275" w14:textId="77777777" w:rsidR="00137C2F" w:rsidRPr="008C3D45" w:rsidRDefault="00137C2F" w:rsidP="00137C2F">
      <w:pPr>
        <w:shd w:val="clear" w:color="auto" w:fill="FFFFFF"/>
        <w:spacing w:before="100" w:beforeAutospacing="1" w:after="100" w:afterAutospacing="1" w:line="240" w:lineRule="auto"/>
        <w:contextualSpacing/>
        <w:rPr>
          <w:rFonts w:eastAsia="Times New Roman" w:cs="Arial"/>
          <w:b/>
          <w:bCs/>
          <w:color w:val="000000" w:themeColor="text1"/>
          <w:sz w:val="22"/>
          <w:lang w:eastAsia="en-GB"/>
        </w:rPr>
      </w:pPr>
      <w:r w:rsidRPr="008C3D45">
        <w:rPr>
          <w:rFonts w:eastAsia="Times New Roman" w:cs="Arial"/>
          <w:b/>
          <w:bCs/>
          <w:color w:val="000000" w:themeColor="text1"/>
          <w:sz w:val="22"/>
          <w:lang w:eastAsia="en-GB"/>
        </w:rPr>
        <w:t>Introduction</w:t>
      </w:r>
    </w:p>
    <w:p w14:paraId="43E3674A" w14:textId="77777777" w:rsidR="00137C2F" w:rsidRPr="008C3D45" w:rsidRDefault="00137C2F" w:rsidP="00137C2F">
      <w:pPr>
        <w:shd w:val="clear" w:color="auto" w:fill="FFFFFF"/>
        <w:spacing w:before="100" w:beforeAutospacing="1" w:after="100" w:afterAutospacing="1" w:line="240" w:lineRule="auto"/>
        <w:contextualSpacing/>
        <w:rPr>
          <w:rFonts w:eastAsia="Times New Roman" w:cs="Arial"/>
          <w:b/>
          <w:bCs/>
          <w:color w:val="000000" w:themeColor="text1"/>
          <w:sz w:val="22"/>
          <w:lang w:eastAsia="en-GB"/>
        </w:rPr>
      </w:pPr>
    </w:p>
    <w:p w14:paraId="47902890" w14:textId="4DCC12F1" w:rsidR="00137C2F" w:rsidRPr="008C3D45" w:rsidRDefault="00137C2F" w:rsidP="00137C2F">
      <w:pPr>
        <w:shd w:val="clear" w:color="auto" w:fill="FFFFFF"/>
        <w:spacing w:before="100" w:beforeAutospacing="1" w:after="100" w:afterAutospacing="1" w:line="240" w:lineRule="auto"/>
        <w:contextualSpacing/>
        <w:rPr>
          <w:rFonts w:eastAsia="Arial" w:cs="Arial"/>
          <w:color w:val="000000" w:themeColor="text1"/>
          <w:sz w:val="22"/>
        </w:rPr>
      </w:pPr>
      <w:r w:rsidRPr="008C3D45">
        <w:rPr>
          <w:rFonts w:eastAsia="Times New Roman" w:cs="Arial"/>
          <w:color w:val="000000" w:themeColor="text1"/>
          <w:sz w:val="22"/>
          <w:lang w:eastAsia="en-GB"/>
        </w:rPr>
        <w:t xml:space="preserve">The </w:t>
      </w:r>
      <w:r w:rsidR="008D63DA">
        <w:rPr>
          <w:rFonts w:cs="Arial"/>
          <w:color w:val="000000" w:themeColor="text1"/>
          <w:sz w:val="22"/>
        </w:rPr>
        <w:t xml:space="preserve">Cambridgeshire and West Suffolk Home-Link Partnership </w:t>
      </w:r>
      <w:r w:rsidRPr="008C3D45">
        <w:rPr>
          <w:rFonts w:eastAsia="Arial" w:cs="Arial"/>
          <w:color w:val="000000" w:themeColor="text1"/>
          <w:sz w:val="22"/>
        </w:rPr>
        <w:t xml:space="preserve">has </w:t>
      </w:r>
      <w:r w:rsidR="00FE5921" w:rsidRPr="008C3D45">
        <w:rPr>
          <w:rFonts w:eastAsia="Arial" w:cs="Arial"/>
          <w:color w:val="000000" w:themeColor="text1"/>
          <w:sz w:val="22"/>
        </w:rPr>
        <w:t xml:space="preserve">undertaken a full review of the </w:t>
      </w:r>
      <w:r w:rsidRPr="008C3D45">
        <w:rPr>
          <w:rFonts w:eastAsia="Arial" w:cs="Arial"/>
          <w:color w:val="000000" w:themeColor="text1"/>
          <w:sz w:val="22"/>
        </w:rPr>
        <w:t xml:space="preserve">Lettings Policy.  The last major policy review and consultation took place in 2012.  Some minor policy amendments were approved in 2018 to incorporate changes in legislation relating to the Homeless Reduction Act and also to ensure compliance with GDPR regulations.  </w:t>
      </w:r>
    </w:p>
    <w:p w14:paraId="09C53AA7" w14:textId="77777777" w:rsidR="00137C2F" w:rsidRPr="008C3D45" w:rsidRDefault="00137C2F" w:rsidP="00137C2F">
      <w:pPr>
        <w:shd w:val="clear" w:color="auto" w:fill="FFFFFF"/>
        <w:spacing w:before="100" w:beforeAutospacing="1" w:after="100" w:afterAutospacing="1" w:line="240" w:lineRule="auto"/>
        <w:contextualSpacing/>
        <w:rPr>
          <w:rFonts w:eastAsia="Arial" w:cs="Arial"/>
          <w:color w:val="000000" w:themeColor="text1"/>
          <w:sz w:val="22"/>
        </w:rPr>
      </w:pPr>
    </w:p>
    <w:p w14:paraId="5668DB1C" w14:textId="6CD5BC0B" w:rsidR="00137C2F" w:rsidRPr="008C3D45" w:rsidRDefault="00137C2F" w:rsidP="00137C2F">
      <w:pPr>
        <w:shd w:val="clear" w:color="auto" w:fill="FFFFFF"/>
        <w:spacing w:before="100" w:beforeAutospacing="1" w:after="100" w:afterAutospacing="1" w:line="240" w:lineRule="auto"/>
        <w:contextualSpacing/>
        <w:rPr>
          <w:rFonts w:eastAsia="Arial" w:cs="Arial"/>
          <w:color w:val="000000" w:themeColor="text1"/>
          <w:sz w:val="22"/>
        </w:rPr>
      </w:pPr>
      <w:r w:rsidRPr="008C3D45">
        <w:rPr>
          <w:rFonts w:eastAsia="Arial" w:cs="Arial"/>
          <w:color w:val="000000" w:themeColor="text1"/>
          <w:sz w:val="22"/>
        </w:rPr>
        <w:t>The 2020 review was undertaken by a group of housing staff from local authorities and RSLs across the Home</w:t>
      </w:r>
      <w:r w:rsidR="00FE5921" w:rsidRPr="008C3D45">
        <w:rPr>
          <w:rFonts w:eastAsia="Arial" w:cs="Arial"/>
          <w:color w:val="000000" w:themeColor="text1"/>
          <w:sz w:val="22"/>
        </w:rPr>
        <w:t>-L</w:t>
      </w:r>
      <w:r w:rsidRPr="008C3D45">
        <w:rPr>
          <w:rFonts w:eastAsia="Arial" w:cs="Arial"/>
          <w:color w:val="000000" w:themeColor="text1"/>
          <w:sz w:val="22"/>
        </w:rPr>
        <w:t xml:space="preserve">ink partnership.  They have looked through the policy line by line and discussed whether the </w:t>
      </w:r>
      <w:r w:rsidR="00FE5921" w:rsidRPr="008C3D45">
        <w:rPr>
          <w:rFonts w:eastAsia="Arial" w:cs="Arial"/>
          <w:color w:val="000000" w:themeColor="text1"/>
          <w:sz w:val="22"/>
        </w:rPr>
        <w:t xml:space="preserve">aims of the policy remain relevant and whether the </w:t>
      </w:r>
      <w:r w:rsidRPr="008C3D45">
        <w:rPr>
          <w:rFonts w:eastAsia="Arial" w:cs="Arial"/>
          <w:color w:val="000000" w:themeColor="text1"/>
          <w:sz w:val="22"/>
        </w:rPr>
        <w:t xml:space="preserve">policy </w:t>
      </w:r>
      <w:r w:rsidR="00FE5921" w:rsidRPr="008C3D45">
        <w:rPr>
          <w:rFonts w:eastAsia="Arial" w:cs="Arial"/>
          <w:color w:val="000000" w:themeColor="text1"/>
          <w:sz w:val="22"/>
        </w:rPr>
        <w:t>continues to meet its stated objectives.  This i</w:t>
      </w:r>
      <w:r w:rsidRPr="008C3D45">
        <w:rPr>
          <w:rFonts w:eastAsia="Arial" w:cs="Arial"/>
          <w:color w:val="000000" w:themeColor="text1"/>
          <w:sz w:val="22"/>
        </w:rPr>
        <w:t>nclud</w:t>
      </w:r>
      <w:r w:rsidR="00FE5921" w:rsidRPr="008C3D45">
        <w:rPr>
          <w:rFonts w:eastAsia="Arial" w:cs="Arial"/>
          <w:color w:val="000000" w:themeColor="text1"/>
          <w:sz w:val="22"/>
        </w:rPr>
        <w:t xml:space="preserve">es </w:t>
      </w:r>
      <w:r w:rsidRPr="008C3D45">
        <w:rPr>
          <w:rFonts w:eastAsia="Arial" w:cs="Arial"/>
          <w:color w:val="000000" w:themeColor="text1"/>
          <w:sz w:val="22"/>
        </w:rPr>
        <w:t>detailed discussion around the employment related local connection criteria and the current system of banding.</w:t>
      </w:r>
    </w:p>
    <w:p w14:paraId="1FCA2B19" w14:textId="784BE9B6" w:rsidR="00137C2F" w:rsidRPr="008C3D45" w:rsidRDefault="00137C2F" w:rsidP="00137C2F">
      <w:pPr>
        <w:shd w:val="clear" w:color="auto" w:fill="FFFFFF"/>
        <w:spacing w:before="100" w:beforeAutospacing="1" w:after="100" w:afterAutospacing="1" w:line="240" w:lineRule="auto"/>
        <w:contextualSpacing/>
        <w:rPr>
          <w:rFonts w:eastAsia="Arial" w:cs="Arial"/>
          <w:color w:val="000000" w:themeColor="text1"/>
          <w:sz w:val="22"/>
        </w:rPr>
      </w:pPr>
    </w:p>
    <w:p w14:paraId="05FE51FC" w14:textId="7DE46EFF" w:rsidR="00137C2F" w:rsidRPr="008C3D45" w:rsidRDefault="00FE5921" w:rsidP="00137C2F">
      <w:pPr>
        <w:shd w:val="clear" w:color="auto" w:fill="FFFFFF"/>
        <w:spacing w:before="100" w:beforeAutospacing="1" w:after="100" w:afterAutospacing="1" w:line="240" w:lineRule="auto"/>
        <w:contextualSpacing/>
        <w:rPr>
          <w:rFonts w:eastAsia="Arial" w:cs="Arial"/>
          <w:color w:val="000000" w:themeColor="text1"/>
          <w:sz w:val="22"/>
        </w:rPr>
      </w:pPr>
      <w:r w:rsidRPr="008C3D45">
        <w:rPr>
          <w:rFonts w:cs="Arial"/>
          <w:sz w:val="22"/>
        </w:rPr>
        <w:t xml:space="preserve">The review found that the objectives remain relevant and appropriate and that, subject to minor amendments, the revised policy is able to continue meeting these objectives.  Therefore, </w:t>
      </w:r>
      <w:r w:rsidR="00137C2F" w:rsidRPr="008C3D45">
        <w:rPr>
          <w:rFonts w:eastAsia="Arial" w:cs="Arial"/>
          <w:color w:val="000000" w:themeColor="text1"/>
          <w:sz w:val="22"/>
        </w:rPr>
        <w:t>the overall policy remains largely unchanged, although there are some minor wording changes to aid clarification, some changes to incorporate legislative updates and greater detail in relation to the employment criteria.  Further detail on these amendments and points of clarification which are set out below.</w:t>
      </w:r>
    </w:p>
    <w:p w14:paraId="089BEAB2" w14:textId="77777777" w:rsidR="00137C2F" w:rsidRPr="008C3D45" w:rsidRDefault="00137C2F" w:rsidP="00137C2F">
      <w:pPr>
        <w:shd w:val="clear" w:color="auto" w:fill="FFFFFF"/>
        <w:spacing w:before="100" w:beforeAutospacing="1" w:after="100" w:afterAutospacing="1" w:line="240" w:lineRule="auto"/>
        <w:contextualSpacing/>
        <w:rPr>
          <w:rFonts w:eastAsia="Arial" w:cs="Arial"/>
          <w:sz w:val="22"/>
        </w:rPr>
      </w:pPr>
    </w:p>
    <w:p w14:paraId="60876057" w14:textId="77777777" w:rsidR="00137C2F" w:rsidRPr="008C3D45" w:rsidRDefault="00137C2F" w:rsidP="00137C2F">
      <w:pPr>
        <w:spacing w:line="240" w:lineRule="auto"/>
        <w:contextualSpacing/>
        <w:rPr>
          <w:rFonts w:cs="Arial"/>
          <w:b/>
          <w:bCs/>
          <w:sz w:val="22"/>
        </w:rPr>
      </w:pPr>
      <w:r w:rsidRPr="008C3D45">
        <w:rPr>
          <w:rFonts w:cs="Arial"/>
          <w:b/>
          <w:bCs/>
          <w:sz w:val="22"/>
        </w:rPr>
        <w:t>Purpose of the Lettings Policy</w:t>
      </w:r>
    </w:p>
    <w:p w14:paraId="4487D3DB" w14:textId="77777777" w:rsidR="00137C2F" w:rsidRPr="008C3D45" w:rsidRDefault="00137C2F" w:rsidP="00137C2F">
      <w:pPr>
        <w:shd w:val="clear" w:color="auto" w:fill="FFFFFF"/>
        <w:spacing w:before="100" w:beforeAutospacing="1" w:after="100" w:afterAutospacing="1" w:line="240" w:lineRule="auto"/>
        <w:contextualSpacing/>
        <w:rPr>
          <w:rFonts w:eastAsia="Arial" w:cs="Arial"/>
          <w:sz w:val="22"/>
        </w:rPr>
      </w:pPr>
    </w:p>
    <w:p w14:paraId="29D741C4" w14:textId="77777777" w:rsidR="00137C2F" w:rsidRPr="008C3D45" w:rsidRDefault="00137C2F" w:rsidP="00137C2F">
      <w:pPr>
        <w:tabs>
          <w:tab w:val="left" w:pos="700"/>
        </w:tabs>
        <w:spacing w:line="240" w:lineRule="auto"/>
        <w:ind w:right="780"/>
        <w:contextualSpacing/>
        <w:rPr>
          <w:rFonts w:eastAsia="Arial" w:cs="Arial"/>
          <w:sz w:val="22"/>
        </w:rPr>
      </w:pPr>
      <w:r w:rsidRPr="008C3D45">
        <w:rPr>
          <w:rFonts w:eastAsia="Arial" w:cs="Arial"/>
          <w:sz w:val="22"/>
        </w:rPr>
        <w:t>The overall aims of the policy remain unchanged and seek:</w:t>
      </w:r>
    </w:p>
    <w:p w14:paraId="4202C170" w14:textId="77777777" w:rsidR="00137C2F" w:rsidRPr="008C3D45" w:rsidRDefault="00137C2F" w:rsidP="00137C2F">
      <w:pPr>
        <w:spacing w:line="240" w:lineRule="auto"/>
        <w:contextualSpacing/>
        <w:rPr>
          <w:rFonts w:cs="Arial"/>
          <w:sz w:val="22"/>
        </w:rPr>
      </w:pPr>
    </w:p>
    <w:p w14:paraId="7EC3B93B" w14:textId="77777777" w:rsidR="00137C2F" w:rsidRPr="008C3D45" w:rsidRDefault="00137C2F" w:rsidP="00137C2F">
      <w:pPr>
        <w:numPr>
          <w:ilvl w:val="0"/>
          <w:numId w:val="2"/>
        </w:numPr>
        <w:tabs>
          <w:tab w:val="left" w:pos="1440"/>
        </w:tabs>
        <w:spacing w:line="240" w:lineRule="auto"/>
        <w:ind w:left="851" w:right="840" w:hanging="851"/>
        <w:contextualSpacing/>
        <w:rPr>
          <w:rFonts w:eastAsia="Arial" w:cs="Arial"/>
          <w:sz w:val="22"/>
        </w:rPr>
      </w:pPr>
      <w:r w:rsidRPr="008C3D45">
        <w:rPr>
          <w:rFonts w:eastAsia="Arial" w:cs="Arial"/>
          <w:sz w:val="22"/>
        </w:rPr>
        <w:t>To meet the legal requirements for the allocation of social housing as set out in the Housing Act 1996 (as amended);</w:t>
      </w:r>
    </w:p>
    <w:p w14:paraId="35A5FA94" w14:textId="77777777" w:rsidR="00137C2F" w:rsidRPr="008C3D45" w:rsidRDefault="00137C2F" w:rsidP="00137C2F">
      <w:pPr>
        <w:spacing w:line="240" w:lineRule="auto"/>
        <w:ind w:left="851" w:hanging="851"/>
        <w:contextualSpacing/>
        <w:rPr>
          <w:rFonts w:eastAsia="Arial" w:cs="Arial"/>
          <w:sz w:val="22"/>
        </w:rPr>
      </w:pPr>
    </w:p>
    <w:p w14:paraId="3B8ADA34" w14:textId="77777777" w:rsidR="00137C2F" w:rsidRPr="008C3D45" w:rsidRDefault="00137C2F" w:rsidP="00137C2F">
      <w:pPr>
        <w:numPr>
          <w:ilvl w:val="0"/>
          <w:numId w:val="2"/>
        </w:numPr>
        <w:tabs>
          <w:tab w:val="left" w:pos="1440"/>
        </w:tabs>
        <w:spacing w:line="240" w:lineRule="auto"/>
        <w:ind w:left="851" w:hanging="851"/>
        <w:contextualSpacing/>
        <w:rPr>
          <w:rFonts w:eastAsia="Arial" w:cs="Arial"/>
          <w:sz w:val="22"/>
        </w:rPr>
      </w:pPr>
      <w:r w:rsidRPr="008C3D45">
        <w:rPr>
          <w:rFonts w:eastAsia="Arial" w:cs="Arial"/>
          <w:sz w:val="22"/>
        </w:rPr>
        <w:t>To assist applicants in the highest assessed need;</w:t>
      </w:r>
    </w:p>
    <w:p w14:paraId="58E1DFF2" w14:textId="77777777" w:rsidR="00137C2F" w:rsidRPr="008C3D45" w:rsidRDefault="00137C2F" w:rsidP="00137C2F">
      <w:pPr>
        <w:spacing w:line="240" w:lineRule="auto"/>
        <w:ind w:left="851" w:hanging="851"/>
        <w:contextualSpacing/>
        <w:rPr>
          <w:rFonts w:eastAsia="Arial" w:cs="Arial"/>
          <w:sz w:val="22"/>
        </w:rPr>
      </w:pPr>
    </w:p>
    <w:p w14:paraId="6C5925B2" w14:textId="77777777" w:rsidR="00137C2F" w:rsidRPr="008C3D45" w:rsidRDefault="00137C2F" w:rsidP="00137C2F">
      <w:pPr>
        <w:numPr>
          <w:ilvl w:val="0"/>
          <w:numId w:val="2"/>
        </w:numPr>
        <w:tabs>
          <w:tab w:val="left" w:pos="1440"/>
        </w:tabs>
        <w:spacing w:line="240" w:lineRule="auto"/>
        <w:ind w:left="851" w:right="1400" w:hanging="851"/>
        <w:contextualSpacing/>
        <w:rPr>
          <w:rFonts w:eastAsia="Arial" w:cs="Arial"/>
          <w:sz w:val="22"/>
        </w:rPr>
      </w:pPr>
      <w:r w:rsidRPr="008C3D45">
        <w:rPr>
          <w:rFonts w:eastAsia="Arial" w:cs="Arial"/>
          <w:sz w:val="22"/>
        </w:rPr>
        <w:t>To let properties in a fair and transparent way and provide a consistent lettings process;</w:t>
      </w:r>
    </w:p>
    <w:p w14:paraId="33081540" w14:textId="77777777" w:rsidR="00137C2F" w:rsidRPr="008C3D45" w:rsidRDefault="00137C2F" w:rsidP="00137C2F">
      <w:pPr>
        <w:numPr>
          <w:ilvl w:val="0"/>
          <w:numId w:val="2"/>
        </w:numPr>
        <w:tabs>
          <w:tab w:val="left" w:pos="1440"/>
        </w:tabs>
        <w:spacing w:line="240" w:lineRule="auto"/>
        <w:ind w:left="851" w:hanging="851"/>
        <w:contextualSpacing/>
        <w:rPr>
          <w:rFonts w:eastAsia="Arial" w:cs="Arial"/>
          <w:sz w:val="22"/>
        </w:rPr>
      </w:pPr>
      <w:r w:rsidRPr="008C3D45">
        <w:rPr>
          <w:rFonts w:eastAsia="Arial" w:cs="Arial"/>
          <w:sz w:val="22"/>
        </w:rPr>
        <w:t>To make best use of housing stock;</w:t>
      </w:r>
    </w:p>
    <w:p w14:paraId="58240E31" w14:textId="77777777" w:rsidR="00137C2F" w:rsidRPr="008C3D45" w:rsidRDefault="00137C2F" w:rsidP="00137C2F">
      <w:pPr>
        <w:spacing w:line="240" w:lineRule="auto"/>
        <w:ind w:left="851" w:hanging="851"/>
        <w:contextualSpacing/>
        <w:rPr>
          <w:rFonts w:eastAsia="Arial" w:cs="Arial"/>
          <w:sz w:val="22"/>
        </w:rPr>
      </w:pPr>
    </w:p>
    <w:p w14:paraId="7A4154C0" w14:textId="77777777" w:rsidR="00137C2F" w:rsidRPr="008C3D45" w:rsidRDefault="00137C2F" w:rsidP="00137C2F">
      <w:pPr>
        <w:numPr>
          <w:ilvl w:val="0"/>
          <w:numId w:val="2"/>
        </w:numPr>
        <w:tabs>
          <w:tab w:val="left" w:pos="1440"/>
        </w:tabs>
        <w:spacing w:line="240" w:lineRule="auto"/>
        <w:ind w:left="851" w:right="1000" w:hanging="851"/>
        <w:contextualSpacing/>
        <w:rPr>
          <w:rFonts w:eastAsia="Arial" w:cs="Arial"/>
          <w:sz w:val="22"/>
        </w:rPr>
      </w:pPr>
      <w:r w:rsidRPr="008C3D45">
        <w:rPr>
          <w:rFonts w:eastAsia="Arial" w:cs="Arial"/>
          <w:sz w:val="22"/>
        </w:rPr>
        <w:t>To ensure that applicants are not unlawfully discriminated against, whether directly or indirectly;</w:t>
      </w:r>
    </w:p>
    <w:p w14:paraId="375D399E" w14:textId="77777777" w:rsidR="00137C2F" w:rsidRPr="008C3D45" w:rsidRDefault="00137C2F" w:rsidP="00137C2F">
      <w:pPr>
        <w:spacing w:line="240" w:lineRule="auto"/>
        <w:ind w:left="851" w:hanging="851"/>
        <w:contextualSpacing/>
        <w:rPr>
          <w:rFonts w:eastAsia="Arial" w:cs="Arial"/>
          <w:sz w:val="22"/>
        </w:rPr>
      </w:pPr>
    </w:p>
    <w:p w14:paraId="0E784395" w14:textId="77777777" w:rsidR="00137C2F" w:rsidRPr="008C3D45" w:rsidRDefault="00137C2F" w:rsidP="00137C2F">
      <w:pPr>
        <w:numPr>
          <w:ilvl w:val="0"/>
          <w:numId w:val="2"/>
        </w:numPr>
        <w:tabs>
          <w:tab w:val="left" w:pos="1440"/>
        </w:tabs>
        <w:spacing w:line="240" w:lineRule="auto"/>
        <w:ind w:left="851" w:hanging="851"/>
        <w:contextualSpacing/>
        <w:rPr>
          <w:rFonts w:eastAsia="Arial" w:cs="Arial"/>
          <w:sz w:val="22"/>
        </w:rPr>
      </w:pPr>
      <w:r w:rsidRPr="008C3D45">
        <w:rPr>
          <w:rFonts w:eastAsia="Arial" w:cs="Arial"/>
          <w:sz w:val="22"/>
        </w:rPr>
        <w:t>To support vulnerable applicants;</w:t>
      </w:r>
    </w:p>
    <w:p w14:paraId="36C57529" w14:textId="77777777" w:rsidR="00137C2F" w:rsidRPr="008C3D45" w:rsidRDefault="00137C2F" w:rsidP="00137C2F">
      <w:pPr>
        <w:pStyle w:val="ListParagraph"/>
        <w:ind w:left="851" w:hanging="851"/>
        <w:rPr>
          <w:rFonts w:eastAsia="Arial" w:cs="Arial"/>
          <w:sz w:val="22"/>
        </w:rPr>
      </w:pPr>
    </w:p>
    <w:p w14:paraId="502C6B0D" w14:textId="77777777" w:rsidR="00137C2F" w:rsidRPr="008C3D45" w:rsidRDefault="00137C2F" w:rsidP="00137C2F">
      <w:pPr>
        <w:numPr>
          <w:ilvl w:val="0"/>
          <w:numId w:val="2"/>
        </w:numPr>
        <w:tabs>
          <w:tab w:val="left" w:pos="1440"/>
        </w:tabs>
        <w:spacing w:line="240" w:lineRule="auto"/>
        <w:ind w:left="851" w:hanging="851"/>
        <w:contextualSpacing/>
        <w:rPr>
          <w:rFonts w:eastAsia="Arial" w:cs="Arial"/>
          <w:sz w:val="22"/>
        </w:rPr>
      </w:pPr>
      <w:r w:rsidRPr="008C3D45">
        <w:rPr>
          <w:rFonts w:eastAsia="Arial" w:cs="Arial"/>
          <w:sz w:val="22"/>
        </w:rPr>
        <w:t>To provide increased choice and information to applicants;</w:t>
      </w:r>
    </w:p>
    <w:p w14:paraId="5313C4A9" w14:textId="77777777" w:rsidR="00137C2F" w:rsidRPr="008C3D45" w:rsidRDefault="00137C2F" w:rsidP="00137C2F">
      <w:pPr>
        <w:spacing w:line="240" w:lineRule="auto"/>
        <w:ind w:left="851" w:hanging="851"/>
        <w:contextualSpacing/>
        <w:rPr>
          <w:rFonts w:eastAsia="Arial" w:cs="Arial"/>
          <w:sz w:val="22"/>
        </w:rPr>
      </w:pPr>
    </w:p>
    <w:p w14:paraId="386C79A9" w14:textId="77777777" w:rsidR="00137C2F" w:rsidRPr="008C3D45" w:rsidRDefault="00137C2F" w:rsidP="00137C2F">
      <w:pPr>
        <w:numPr>
          <w:ilvl w:val="0"/>
          <w:numId w:val="2"/>
        </w:numPr>
        <w:tabs>
          <w:tab w:val="left" w:pos="1440"/>
        </w:tabs>
        <w:spacing w:line="240" w:lineRule="auto"/>
        <w:ind w:left="851" w:right="1400" w:hanging="851"/>
        <w:contextualSpacing/>
        <w:rPr>
          <w:rFonts w:eastAsia="Arial" w:cs="Arial"/>
          <w:sz w:val="22"/>
        </w:rPr>
      </w:pPr>
      <w:r w:rsidRPr="008C3D45">
        <w:rPr>
          <w:rFonts w:eastAsia="Arial" w:cs="Arial"/>
          <w:sz w:val="22"/>
        </w:rPr>
        <w:t>To provide information and feedback on homes that are let through the Home-Link scheme;</w:t>
      </w:r>
    </w:p>
    <w:p w14:paraId="3484224F" w14:textId="77777777" w:rsidR="00137C2F" w:rsidRPr="008C3D45" w:rsidRDefault="00137C2F" w:rsidP="00137C2F">
      <w:pPr>
        <w:spacing w:line="240" w:lineRule="auto"/>
        <w:ind w:left="851" w:hanging="851"/>
        <w:contextualSpacing/>
        <w:rPr>
          <w:rFonts w:eastAsia="Arial" w:cs="Arial"/>
          <w:sz w:val="22"/>
        </w:rPr>
      </w:pPr>
    </w:p>
    <w:p w14:paraId="4C250957" w14:textId="77777777" w:rsidR="00137C2F" w:rsidRPr="008C3D45" w:rsidRDefault="00137C2F" w:rsidP="00137C2F">
      <w:pPr>
        <w:numPr>
          <w:ilvl w:val="0"/>
          <w:numId w:val="2"/>
        </w:numPr>
        <w:tabs>
          <w:tab w:val="left" w:pos="1440"/>
        </w:tabs>
        <w:spacing w:line="240" w:lineRule="auto"/>
        <w:ind w:left="851" w:hanging="851"/>
        <w:contextualSpacing/>
        <w:rPr>
          <w:rFonts w:eastAsia="Arial" w:cs="Arial"/>
          <w:sz w:val="22"/>
        </w:rPr>
      </w:pPr>
      <w:r w:rsidRPr="008C3D45">
        <w:rPr>
          <w:rFonts w:eastAsia="Arial" w:cs="Arial"/>
          <w:sz w:val="22"/>
        </w:rPr>
        <w:t>To improve mobility across the Cambridgeshire and West Suffolk; and</w:t>
      </w:r>
    </w:p>
    <w:p w14:paraId="43E423E0" w14:textId="77777777" w:rsidR="00137C2F" w:rsidRPr="008C3D45" w:rsidRDefault="00137C2F" w:rsidP="00137C2F">
      <w:pPr>
        <w:pStyle w:val="ListParagraph"/>
        <w:ind w:left="851" w:hanging="851"/>
        <w:rPr>
          <w:rFonts w:eastAsia="Arial" w:cs="Arial"/>
          <w:sz w:val="22"/>
        </w:rPr>
      </w:pPr>
    </w:p>
    <w:p w14:paraId="224116FA" w14:textId="77777777" w:rsidR="00137C2F" w:rsidRPr="008C3D45" w:rsidRDefault="00137C2F" w:rsidP="00137C2F">
      <w:pPr>
        <w:numPr>
          <w:ilvl w:val="0"/>
          <w:numId w:val="2"/>
        </w:numPr>
        <w:tabs>
          <w:tab w:val="left" w:pos="1440"/>
        </w:tabs>
        <w:spacing w:line="240" w:lineRule="auto"/>
        <w:ind w:left="851" w:right="1400" w:hanging="851"/>
        <w:contextualSpacing/>
        <w:rPr>
          <w:rFonts w:eastAsia="Arial" w:cs="Arial"/>
          <w:color w:val="000000" w:themeColor="text1"/>
          <w:sz w:val="22"/>
        </w:rPr>
      </w:pPr>
      <w:r w:rsidRPr="008C3D45">
        <w:rPr>
          <w:rFonts w:eastAsia="Arial" w:cs="Arial"/>
          <w:sz w:val="22"/>
        </w:rPr>
        <w:t>To promote social inclusion and help achieve sustainable communities.</w:t>
      </w:r>
    </w:p>
    <w:p w14:paraId="361B3D0D" w14:textId="77777777" w:rsidR="00137C2F" w:rsidRPr="008C3D45" w:rsidRDefault="00137C2F" w:rsidP="00137C2F">
      <w:pPr>
        <w:tabs>
          <w:tab w:val="left" w:pos="1440"/>
        </w:tabs>
        <w:spacing w:line="240" w:lineRule="auto"/>
        <w:ind w:left="851" w:right="1400" w:hanging="851"/>
        <w:contextualSpacing/>
        <w:rPr>
          <w:rFonts w:eastAsia="Arial" w:cs="Arial"/>
          <w:color w:val="000000" w:themeColor="text1"/>
          <w:sz w:val="22"/>
        </w:rPr>
      </w:pPr>
    </w:p>
    <w:p w14:paraId="4E01F975" w14:textId="77777777" w:rsidR="00137C2F" w:rsidRPr="008C3D45" w:rsidRDefault="00137C2F" w:rsidP="00137C2F">
      <w:pPr>
        <w:rPr>
          <w:rFonts w:cs="Arial"/>
          <w:sz w:val="22"/>
        </w:rPr>
      </w:pPr>
      <w:r w:rsidRPr="008C3D45">
        <w:rPr>
          <w:rFonts w:cs="Arial"/>
          <w:sz w:val="22"/>
        </w:rPr>
        <w:t xml:space="preserve">As </w:t>
      </w:r>
      <w:proofErr w:type="gramStart"/>
      <w:r w:rsidRPr="008C3D45">
        <w:rPr>
          <w:rFonts w:cs="Arial"/>
          <w:sz w:val="22"/>
        </w:rPr>
        <w:t>at</w:t>
      </w:r>
      <w:proofErr w:type="gramEnd"/>
      <w:r w:rsidRPr="008C3D45">
        <w:rPr>
          <w:rFonts w:cs="Arial"/>
          <w:sz w:val="22"/>
        </w:rPr>
        <w:t xml:space="preserve"> 31</w:t>
      </w:r>
      <w:r w:rsidRPr="008C3D45">
        <w:rPr>
          <w:rFonts w:cs="Arial"/>
          <w:sz w:val="22"/>
          <w:vertAlign w:val="superscript"/>
        </w:rPr>
        <w:t>st</w:t>
      </w:r>
      <w:r w:rsidRPr="008C3D45">
        <w:rPr>
          <w:rFonts w:cs="Arial"/>
          <w:sz w:val="22"/>
        </w:rPr>
        <w:t xml:space="preserve"> March 2020 there were 13,271 households registered and waiting for social housing in the Cambridgeshire and West Suffolk Sub-Region.</w:t>
      </w:r>
    </w:p>
    <w:p w14:paraId="3CCBE043" w14:textId="77777777" w:rsidR="00137C2F" w:rsidRPr="008C3D45" w:rsidRDefault="00137C2F" w:rsidP="00137C2F">
      <w:pPr>
        <w:shd w:val="clear" w:color="auto" w:fill="FFFFFF"/>
        <w:spacing w:before="100" w:beforeAutospacing="1" w:after="100" w:afterAutospacing="1" w:line="240" w:lineRule="auto"/>
        <w:contextualSpacing/>
        <w:rPr>
          <w:rFonts w:eastAsia="Times New Roman" w:cs="Arial"/>
          <w:color w:val="000000" w:themeColor="text1"/>
          <w:sz w:val="22"/>
          <w:lang w:eastAsia="en-GB"/>
        </w:rPr>
      </w:pPr>
    </w:p>
    <w:p w14:paraId="74672D3F" w14:textId="77777777" w:rsidR="00137C2F" w:rsidRPr="008C3D45" w:rsidRDefault="00137C2F" w:rsidP="00137C2F">
      <w:pPr>
        <w:shd w:val="clear" w:color="auto" w:fill="FFFFFF"/>
        <w:spacing w:before="100" w:beforeAutospacing="1" w:after="100" w:afterAutospacing="1" w:line="240" w:lineRule="auto"/>
        <w:contextualSpacing/>
        <w:rPr>
          <w:rFonts w:eastAsia="Times New Roman" w:cs="Arial"/>
          <w:color w:val="000000" w:themeColor="text1"/>
          <w:sz w:val="22"/>
          <w:lang w:eastAsia="en-GB"/>
        </w:rPr>
      </w:pPr>
      <w:r w:rsidRPr="008C3D45">
        <w:rPr>
          <w:rFonts w:eastAsia="Times New Roman" w:cs="Arial"/>
          <w:color w:val="000000" w:themeColor="text1"/>
          <w:sz w:val="22"/>
          <w:lang w:eastAsia="en-GB"/>
        </w:rPr>
        <w:t>The draft policy explains who can apply for social housing, the criteria used to prioritise and assess applications and how these properties are nominated.</w:t>
      </w:r>
    </w:p>
    <w:p w14:paraId="353FD1F5" w14:textId="77777777" w:rsidR="00137C2F" w:rsidRPr="008C3D45" w:rsidRDefault="00137C2F" w:rsidP="00137C2F">
      <w:pPr>
        <w:spacing w:line="240" w:lineRule="auto"/>
        <w:contextualSpacing/>
        <w:rPr>
          <w:rFonts w:cs="Arial"/>
          <w:color w:val="0A0A0A"/>
          <w:sz w:val="22"/>
          <w:shd w:val="clear" w:color="auto" w:fill="F9F9F9"/>
        </w:rPr>
      </w:pPr>
    </w:p>
    <w:p w14:paraId="6C667872" w14:textId="77777777" w:rsidR="00137C2F" w:rsidRPr="008C3D45" w:rsidRDefault="00137C2F" w:rsidP="00137C2F">
      <w:pPr>
        <w:spacing w:line="240" w:lineRule="auto"/>
        <w:contextualSpacing/>
        <w:rPr>
          <w:rFonts w:cs="Arial"/>
          <w:color w:val="0A0A0A"/>
          <w:sz w:val="22"/>
          <w:shd w:val="clear" w:color="auto" w:fill="F9F9F9"/>
        </w:rPr>
      </w:pPr>
      <w:r w:rsidRPr="008C3D45">
        <w:rPr>
          <w:rFonts w:cs="Arial"/>
          <w:color w:val="0A0A0A"/>
          <w:sz w:val="22"/>
          <w:shd w:val="clear" w:color="auto" w:fill="F9F9F9"/>
        </w:rPr>
        <w:t xml:space="preserve">The policy must comply with the requirements outlined in Part 6 of the 1996 Housing Act. This includes offering ‘reasonable preference’ to certain categories of people when allocating properties and these legal requirements therefore cannot be changed.  </w:t>
      </w:r>
    </w:p>
    <w:p w14:paraId="3227A274" w14:textId="77777777" w:rsidR="00137C2F" w:rsidRPr="008C3D45" w:rsidRDefault="00137C2F" w:rsidP="00137C2F">
      <w:pPr>
        <w:tabs>
          <w:tab w:val="left" w:pos="1440"/>
        </w:tabs>
        <w:spacing w:line="240" w:lineRule="auto"/>
        <w:ind w:left="851" w:right="1400" w:hanging="851"/>
        <w:contextualSpacing/>
        <w:rPr>
          <w:rFonts w:eastAsia="Arial" w:cs="Arial"/>
          <w:color w:val="000000" w:themeColor="text1"/>
          <w:sz w:val="22"/>
        </w:rPr>
      </w:pPr>
    </w:p>
    <w:p w14:paraId="53296E71" w14:textId="77777777" w:rsidR="00137C2F" w:rsidRPr="008C3D45" w:rsidRDefault="00137C2F" w:rsidP="00137C2F">
      <w:pPr>
        <w:spacing w:line="240" w:lineRule="auto"/>
        <w:contextualSpacing/>
        <w:rPr>
          <w:rFonts w:cs="Arial"/>
          <w:b/>
          <w:bCs/>
          <w:color w:val="0A0A0A"/>
          <w:sz w:val="22"/>
          <w:shd w:val="clear" w:color="auto" w:fill="F9F9F9"/>
        </w:rPr>
      </w:pPr>
      <w:r w:rsidRPr="008C3D45">
        <w:rPr>
          <w:rFonts w:cs="Arial"/>
          <w:b/>
          <w:bCs/>
          <w:color w:val="0A0A0A"/>
          <w:sz w:val="22"/>
          <w:shd w:val="clear" w:color="auto" w:fill="F9F9F9"/>
        </w:rPr>
        <w:t>What is changing?</w:t>
      </w:r>
    </w:p>
    <w:p w14:paraId="777EB61F" w14:textId="77777777" w:rsidR="00137C2F" w:rsidRPr="008C3D45" w:rsidRDefault="00137C2F" w:rsidP="00137C2F">
      <w:pPr>
        <w:spacing w:line="240" w:lineRule="auto"/>
        <w:contextualSpacing/>
        <w:rPr>
          <w:rFonts w:cs="Arial"/>
          <w:color w:val="0A0A0A"/>
          <w:sz w:val="22"/>
          <w:shd w:val="clear" w:color="auto" w:fill="F9F9F9"/>
        </w:rPr>
      </w:pPr>
    </w:p>
    <w:p w14:paraId="531DB1A1" w14:textId="77777777" w:rsidR="00137C2F" w:rsidRPr="008C3D45" w:rsidRDefault="00137C2F" w:rsidP="00137C2F">
      <w:pPr>
        <w:spacing w:line="240" w:lineRule="auto"/>
        <w:contextualSpacing/>
        <w:rPr>
          <w:rFonts w:cs="Arial"/>
          <w:color w:val="0A0A0A"/>
          <w:sz w:val="22"/>
          <w:shd w:val="clear" w:color="auto" w:fill="F9F9F9"/>
        </w:rPr>
      </w:pPr>
      <w:r w:rsidRPr="008C3D45">
        <w:rPr>
          <w:rFonts w:cs="Arial"/>
          <w:color w:val="0A0A0A"/>
          <w:sz w:val="22"/>
          <w:shd w:val="clear" w:color="auto" w:fill="F9F9F9"/>
        </w:rPr>
        <w:t>The majority of the changes to the policy relate to wording changes to make it clearer what the policy actually means and to ensure it is applied consistently across partners. In addition, the policy incorporates changes to the definition of local connection and sets out greater clarity as to what is meant in relation to employment requirements.</w:t>
      </w:r>
    </w:p>
    <w:p w14:paraId="35345CC2" w14:textId="77777777" w:rsidR="00137C2F" w:rsidRPr="008C3D45" w:rsidRDefault="00137C2F" w:rsidP="00137C2F">
      <w:pPr>
        <w:spacing w:line="240" w:lineRule="auto"/>
        <w:contextualSpacing/>
        <w:rPr>
          <w:rFonts w:cs="Arial"/>
          <w:color w:val="0A0A0A"/>
          <w:sz w:val="22"/>
          <w:shd w:val="clear" w:color="auto" w:fill="F9F9F9"/>
        </w:rPr>
      </w:pPr>
    </w:p>
    <w:p w14:paraId="34D74E34" w14:textId="77777777" w:rsidR="00137C2F" w:rsidRPr="008C3D45" w:rsidRDefault="00137C2F" w:rsidP="00137C2F">
      <w:pPr>
        <w:spacing w:line="240" w:lineRule="auto"/>
        <w:contextualSpacing/>
        <w:rPr>
          <w:rFonts w:cs="Arial"/>
          <w:color w:val="0A0A0A"/>
          <w:sz w:val="22"/>
          <w:shd w:val="clear" w:color="auto" w:fill="F9F9F9"/>
        </w:rPr>
      </w:pPr>
      <w:r w:rsidRPr="008C3D45">
        <w:rPr>
          <w:rFonts w:cs="Arial"/>
          <w:color w:val="0A0A0A"/>
          <w:sz w:val="22"/>
          <w:shd w:val="clear" w:color="auto" w:fill="F9F9F9"/>
        </w:rPr>
        <w:t xml:space="preserve">However, some changes to the banding criteria were agreed in 2018 in response to the Homeless Reduction Act.  Limited consultation took place on the understanding that the amendments would be reviewed and more widely consulted on as part of the 2020 full policy review.  Priority bands have been considered in detail and no substantial changes have been made to the 2018 amendments as partners believe them to work as effectively as possible.  </w:t>
      </w:r>
    </w:p>
    <w:p w14:paraId="42DFDE8F" w14:textId="77777777" w:rsidR="00137C2F" w:rsidRPr="008C3D45" w:rsidRDefault="00137C2F" w:rsidP="00137C2F">
      <w:pPr>
        <w:spacing w:line="240" w:lineRule="auto"/>
        <w:contextualSpacing/>
        <w:rPr>
          <w:rFonts w:cs="Arial"/>
          <w:color w:val="0A0A0A"/>
          <w:sz w:val="22"/>
          <w:shd w:val="clear" w:color="auto" w:fill="F9F9F9"/>
        </w:rPr>
      </w:pPr>
    </w:p>
    <w:p w14:paraId="2169DA3C" w14:textId="77777777" w:rsidR="00137C2F" w:rsidRPr="008C3D45" w:rsidRDefault="00137C2F" w:rsidP="00137C2F">
      <w:pPr>
        <w:spacing w:line="240" w:lineRule="auto"/>
        <w:contextualSpacing/>
        <w:rPr>
          <w:rFonts w:cs="Arial"/>
          <w:b/>
          <w:bCs/>
          <w:sz w:val="22"/>
        </w:rPr>
      </w:pPr>
    </w:p>
    <w:p w14:paraId="74E5F1CE" w14:textId="77777777" w:rsidR="00137C2F" w:rsidRPr="008C3D45" w:rsidRDefault="00137C2F" w:rsidP="00137C2F">
      <w:pPr>
        <w:shd w:val="clear" w:color="auto" w:fill="FFFFFF"/>
        <w:spacing w:after="100" w:afterAutospacing="1" w:line="240" w:lineRule="auto"/>
        <w:contextualSpacing/>
        <w:rPr>
          <w:rFonts w:eastAsia="Times New Roman" w:cs="Arial"/>
          <w:b/>
          <w:bCs/>
          <w:color w:val="252525"/>
          <w:sz w:val="22"/>
          <w:lang w:eastAsia="en-GB"/>
        </w:rPr>
      </w:pPr>
      <w:r w:rsidRPr="008C3D45">
        <w:rPr>
          <w:rFonts w:eastAsia="Times New Roman" w:cs="Arial"/>
          <w:b/>
          <w:bCs/>
          <w:color w:val="252525"/>
          <w:sz w:val="22"/>
          <w:lang w:eastAsia="en-GB"/>
        </w:rPr>
        <w:t>The main changes under consideration are:</w:t>
      </w:r>
    </w:p>
    <w:p w14:paraId="347A6D03" w14:textId="77777777" w:rsidR="00137C2F" w:rsidRPr="008C3D45" w:rsidRDefault="00137C2F" w:rsidP="00137C2F">
      <w:pPr>
        <w:shd w:val="clear" w:color="auto" w:fill="FFFFFF"/>
        <w:spacing w:after="100" w:afterAutospacing="1" w:line="240" w:lineRule="auto"/>
        <w:contextualSpacing/>
        <w:rPr>
          <w:rFonts w:eastAsia="Times New Roman" w:cs="Arial"/>
          <w:b/>
          <w:bCs/>
          <w:color w:val="252525"/>
          <w:sz w:val="22"/>
          <w:lang w:eastAsia="en-GB"/>
        </w:rPr>
      </w:pPr>
    </w:p>
    <w:p w14:paraId="57B4EB9F" w14:textId="77777777" w:rsidR="00137C2F" w:rsidRPr="008C3D45" w:rsidRDefault="00137C2F" w:rsidP="00137C2F">
      <w:pPr>
        <w:shd w:val="clear" w:color="auto" w:fill="FFFFFF"/>
        <w:spacing w:after="100" w:afterAutospacing="1" w:line="240" w:lineRule="auto"/>
        <w:contextualSpacing/>
        <w:rPr>
          <w:rFonts w:eastAsia="Times New Roman" w:cs="Arial"/>
          <w:b/>
          <w:bCs/>
          <w:color w:val="252525"/>
          <w:sz w:val="22"/>
          <w:lang w:eastAsia="en-GB"/>
        </w:rPr>
      </w:pPr>
    </w:p>
    <w:p w14:paraId="52C0234E" w14:textId="77777777" w:rsidR="00137C2F" w:rsidRPr="008C3D45" w:rsidRDefault="00137C2F" w:rsidP="00137C2F">
      <w:pPr>
        <w:numPr>
          <w:ilvl w:val="0"/>
          <w:numId w:val="1"/>
        </w:numPr>
        <w:shd w:val="clear" w:color="auto" w:fill="FFFFFF"/>
        <w:spacing w:before="100" w:beforeAutospacing="1" w:after="100" w:afterAutospacing="1" w:line="240" w:lineRule="auto"/>
        <w:contextualSpacing/>
        <w:rPr>
          <w:rFonts w:eastAsia="Times New Roman" w:cs="Arial"/>
          <w:b/>
          <w:bCs/>
          <w:color w:val="252525"/>
          <w:sz w:val="22"/>
          <w:lang w:eastAsia="en-GB"/>
        </w:rPr>
      </w:pPr>
      <w:r w:rsidRPr="008C3D45">
        <w:rPr>
          <w:rFonts w:eastAsia="Times New Roman" w:cs="Arial"/>
          <w:b/>
          <w:bCs/>
          <w:color w:val="252525"/>
          <w:sz w:val="22"/>
          <w:lang w:eastAsia="en-GB"/>
        </w:rPr>
        <w:t>Armed Forces - Ex Partners/Spouses</w:t>
      </w:r>
    </w:p>
    <w:p w14:paraId="30173A6F" w14:textId="77777777" w:rsidR="00137C2F" w:rsidRPr="008C3D45" w:rsidRDefault="00137C2F" w:rsidP="00137C2F">
      <w:pPr>
        <w:shd w:val="clear" w:color="auto" w:fill="FFFFFF"/>
        <w:spacing w:before="100" w:beforeAutospacing="1" w:after="100" w:afterAutospacing="1" w:line="240" w:lineRule="auto"/>
        <w:ind w:left="720"/>
        <w:contextualSpacing/>
        <w:rPr>
          <w:rFonts w:eastAsia="Times New Roman" w:cs="Arial"/>
          <w:b/>
          <w:bCs/>
          <w:color w:val="252525"/>
          <w:sz w:val="22"/>
          <w:lang w:eastAsia="en-GB"/>
        </w:rPr>
      </w:pPr>
    </w:p>
    <w:p w14:paraId="062978AA" w14:textId="77777777" w:rsidR="00137C2F" w:rsidRPr="008C3D45" w:rsidRDefault="00137C2F" w:rsidP="00137C2F">
      <w:pPr>
        <w:shd w:val="clear" w:color="auto" w:fill="FFFFFF"/>
        <w:spacing w:after="100" w:afterAutospacing="1" w:line="240" w:lineRule="auto"/>
        <w:contextualSpacing/>
        <w:rPr>
          <w:rFonts w:eastAsia="Times New Roman" w:cs="Arial"/>
          <w:color w:val="252525"/>
          <w:sz w:val="22"/>
          <w:lang w:eastAsia="en-GB"/>
        </w:rPr>
      </w:pPr>
      <w:r w:rsidRPr="008C3D45">
        <w:rPr>
          <w:rFonts w:eastAsia="Times New Roman" w:cs="Arial"/>
          <w:color w:val="252525"/>
          <w:sz w:val="22"/>
          <w:lang w:eastAsia="en-GB"/>
        </w:rPr>
        <w:t>We propose to give ex-partners/spouses of armed forces personnel the same priority we give their former partners where they must move out of a Ministry of Defence property due to a relationship breakdown.  This change is to ensure the partnership is compliant with the requirements of the Military Covenant.  Section 2.4 of the Lettings Policy refers.</w:t>
      </w:r>
    </w:p>
    <w:p w14:paraId="0006B80D" w14:textId="77777777" w:rsidR="00137C2F" w:rsidRPr="008C3D45" w:rsidRDefault="00137C2F" w:rsidP="00137C2F">
      <w:pPr>
        <w:spacing w:line="240" w:lineRule="auto"/>
        <w:contextualSpacing/>
        <w:rPr>
          <w:rFonts w:cs="Arial"/>
          <w:sz w:val="22"/>
        </w:rPr>
      </w:pPr>
    </w:p>
    <w:p w14:paraId="1CCF773C" w14:textId="77777777" w:rsidR="00137C2F" w:rsidRPr="008C3D45" w:rsidRDefault="00137C2F" w:rsidP="00137C2F">
      <w:pPr>
        <w:spacing w:line="240" w:lineRule="auto"/>
        <w:contextualSpacing/>
        <w:rPr>
          <w:rFonts w:cs="Arial"/>
          <w:sz w:val="22"/>
        </w:rPr>
      </w:pPr>
    </w:p>
    <w:p w14:paraId="5E1DE83A" w14:textId="77777777" w:rsidR="00137C2F" w:rsidRPr="008C3D45" w:rsidRDefault="00137C2F" w:rsidP="00137C2F">
      <w:pPr>
        <w:pStyle w:val="ListParagraph"/>
        <w:numPr>
          <w:ilvl w:val="0"/>
          <w:numId w:val="3"/>
        </w:numPr>
        <w:tabs>
          <w:tab w:val="left" w:pos="700"/>
        </w:tabs>
        <w:spacing w:line="240" w:lineRule="auto"/>
        <w:rPr>
          <w:rFonts w:eastAsia="Arial" w:cs="Arial"/>
          <w:b/>
          <w:bCs/>
          <w:sz w:val="22"/>
        </w:rPr>
      </w:pPr>
      <w:r w:rsidRPr="008C3D45">
        <w:rPr>
          <w:rFonts w:eastAsia="Arial" w:cs="Arial"/>
          <w:b/>
          <w:bCs/>
          <w:sz w:val="22"/>
        </w:rPr>
        <w:t>Multiple Applications</w:t>
      </w:r>
    </w:p>
    <w:p w14:paraId="3C62DFB9" w14:textId="77777777" w:rsidR="00137C2F" w:rsidRPr="008C3D45" w:rsidRDefault="00137C2F" w:rsidP="00137C2F">
      <w:pPr>
        <w:tabs>
          <w:tab w:val="left" w:pos="700"/>
        </w:tabs>
        <w:spacing w:line="240" w:lineRule="auto"/>
        <w:contextualSpacing/>
        <w:rPr>
          <w:rFonts w:eastAsia="Arial" w:cs="Arial"/>
          <w:b/>
          <w:bCs/>
          <w:sz w:val="22"/>
        </w:rPr>
      </w:pPr>
    </w:p>
    <w:p w14:paraId="382D9034" w14:textId="77777777" w:rsidR="00137C2F" w:rsidRPr="008C3D45" w:rsidRDefault="00137C2F" w:rsidP="00137C2F">
      <w:pPr>
        <w:tabs>
          <w:tab w:val="left" w:pos="700"/>
        </w:tabs>
        <w:spacing w:line="240" w:lineRule="auto"/>
        <w:contextualSpacing/>
        <w:rPr>
          <w:rFonts w:eastAsia="Arial" w:cs="Arial"/>
          <w:sz w:val="22"/>
        </w:rPr>
      </w:pPr>
      <w:r w:rsidRPr="008C3D45">
        <w:rPr>
          <w:rFonts w:eastAsia="Arial" w:cs="Arial"/>
          <w:sz w:val="22"/>
        </w:rPr>
        <w:t>We have clarified the wording around multiple applications to explain that an applicant can have only one active application on the housing register at any time where they are the applicant or joint applicant.   However, they may be considered on other applications where they are eligible to be considered as part of another applicant’s household, for example where living with a parent and included as part of their application).  Section 2.5.1 of the Lettings Policy refers.</w:t>
      </w:r>
    </w:p>
    <w:p w14:paraId="4701E61E" w14:textId="77777777" w:rsidR="00137C2F" w:rsidRPr="008C3D45" w:rsidRDefault="00137C2F" w:rsidP="00137C2F">
      <w:pPr>
        <w:tabs>
          <w:tab w:val="left" w:pos="700"/>
        </w:tabs>
        <w:spacing w:line="240" w:lineRule="auto"/>
        <w:ind w:left="700" w:hanging="700"/>
        <w:contextualSpacing/>
        <w:rPr>
          <w:rFonts w:eastAsia="Arial" w:cs="Arial"/>
          <w:sz w:val="22"/>
        </w:rPr>
      </w:pPr>
    </w:p>
    <w:p w14:paraId="2EE5F4D3" w14:textId="77777777" w:rsidR="00137C2F" w:rsidRPr="008C3D45" w:rsidRDefault="00137C2F" w:rsidP="00137C2F">
      <w:pPr>
        <w:pStyle w:val="ListParagraph"/>
        <w:numPr>
          <w:ilvl w:val="0"/>
          <w:numId w:val="3"/>
        </w:numPr>
        <w:tabs>
          <w:tab w:val="left" w:pos="700"/>
        </w:tabs>
        <w:spacing w:line="240" w:lineRule="auto"/>
        <w:rPr>
          <w:rFonts w:eastAsia="Arial" w:cs="Arial"/>
          <w:b/>
          <w:bCs/>
          <w:sz w:val="22"/>
        </w:rPr>
      </w:pPr>
      <w:r w:rsidRPr="008C3D45">
        <w:rPr>
          <w:rFonts w:eastAsia="Arial" w:cs="Arial"/>
          <w:b/>
          <w:bCs/>
          <w:sz w:val="22"/>
        </w:rPr>
        <w:t>Local connection and work requirements:</w:t>
      </w:r>
    </w:p>
    <w:p w14:paraId="46EE1A05" w14:textId="77777777" w:rsidR="00137C2F" w:rsidRPr="008C3D45" w:rsidRDefault="00137C2F" w:rsidP="00137C2F">
      <w:pPr>
        <w:spacing w:line="240" w:lineRule="auto"/>
        <w:contextualSpacing/>
        <w:rPr>
          <w:rFonts w:eastAsia="Arial" w:cs="Arial"/>
          <w:sz w:val="22"/>
        </w:rPr>
      </w:pPr>
    </w:p>
    <w:p w14:paraId="376903B7" w14:textId="77777777" w:rsidR="00137C2F" w:rsidRPr="008C3D45" w:rsidRDefault="00137C2F" w:rsidP="00137C2F">
      <w:pPr>
        <w:spacing w:line="240" w:lineRule="auto"/>
        <w:contextualSpacing/>
        <w:rPr>
          <w:rFonts w:eastAsia="Arial" w:cs="Arial"/>
          <w:sz w:val="22"/>
        </w:rPr>
      </w:pPr>
      <w:r w:rsidRPr="008C3D45">
        <w:rPr>
          <w:rFonts w:eastAsia="Arial" w:cs="Arial"/>
          <w:sz w:val="22"/>
        </w:rPr>
        <w:t>The work requirement has changed to clarify the criteria about the type and nature of qualifying work, including where the work is located.</w:t>
      </w:r>
    </w:p>
    <w:p w14:paraId="52C04B69" w14:textId="77777777" w:rsidR="00137C2F" w:rsidRPr="008C3D45" w:rsidRDefault="00137C2F" w:rsidP="00137C2F">
      <w:pPr>
        <w:spacing w:line="240" w:lineRule="auto"/>
        <w:contextualSpacing/>
        <w:rPr>
          <w:rFonts w:eastAsia="Arial" w:cs="Arial"/>
          <w:sz w:val="22"/>
        </w:rPr>
      </w:pPr>
      <w:r w:rsidRPr="008C3D45">
        <w:rPr>
          <w:rFonts w:eastAsia="Arial" w:cs="Arial"/>
          <w:sz w:val="22"/>
        </w:rPr>
        <w:lastRenderedPageBreak/>
        <w:t>These changes are detailed in Section 3.4.2.</w:t>
      </w:r>
    </w:p>
    <w:p w14:paraId="3619E35F" w14:textId="77777777" w:rsidR="00137C2F" w:rsidRPr="008C3D45" w:rsidRDefault="00137C2F" w:rsidP="00137C2F">
      <w:pPr>
        <w:spacing w:line="240" w:lineRule="auto"/>
        <w:contextualSpacing/>
        <w:rPr>
          <w:rFonts w:eastAsia="Arial" w:cs="Arial"/>
          <w:sz w:val="22"/>
        </w:rPr>
      </w:pPr>
    </w:p>
    <w:p w14:paraId="1A348064" w14:textId="77777777" w:rsidR="00137C2F" w:rsidRPr="008C3D45" w:rsidRDefault="00137C2F" w:rsidP="00137C2F">
      <w:pPr>
        <w:pStyle w:val="ListParagraph"/>
        <w:numPr>
          <w:ilvl w:val="0"/>
          <w:numId w:val="3"/>
        </w:numPr>
        <w:spacing w:line="240" w:lineRule="auto"/>
        <w:rPr>
          <w:rFonts w:eastAsia="Arial" w:cs="Arial"/>
          <w:sz w:val="22"/>
        </w:rPr>
      </w:pPr>
      <w:r w:rsidRPr="008C3D45">
        <w:rPr>
          <w:rFonts w:eastAsia="Arial" w:cs="Arial"/>
          <w:b/>
          <w:bCs/>
          <w:sz w:val="22"/>
        </w:rPr>
        <w:t>Banding</w:t>
      </w:r>
    </w:p>
    <w:p w14:paraId="6B2E3DBD" w14:textId="77777777" w:rsidR="00137C2F" w:rsidRPr="008C3D45" w:rsidRDefault="00137C2F" w:rsidP="00137C2F">
      <w:pPr>
        <w:spacing w:line="240" w:lineRule="auto"/>
        <w:ind w:left="360"/>
        <w:contextualSpacing/>
        <w:rPr>
          <w:rFonts w:eastAsia="Arial" w:cs="Arial"/>
          <w:sz w:val="22"/>
        </w:rPr>
      </w:pPr>
    </w:p>
    <w:p w14:paraId="68036B73" w14:textId="77777777" w:rsidR="00137C2F" w:rsidRPr="008C3D45" w:rsidRDefault="00137C2F" w:rsidP="00137C2F">
      <w:pPr>
        <w:spacing w:line="240" w:lineRule="auto"/>
        <w:contextualSpacing/>
        <w:rPr>
          <w:rFonts w:cs="Arial"/>
          <w:sz w:val="22"/>
        </w:rPr>
      </w:pPr>
      <w:r w:rsidRPr="008C3D45">
        <w:rPr>
          <w:rFonts w:cs="Arial"/>
          <w:sz w:val="22"/>
        </w:rPr>
        <w:t xml:space="preserve">Changes to the banding elements of the policy were introduced in 2018 in relation to the Homeless Reduction Act.   The 2018 changes reflected the fact that new Homeless Prevention and Homeless Relief duties were introduced and needed to be incorporated into the Lettings Policy.  </w:t>
      </w:r>
    </w:p>
    <w:p w14:paraId="663E1B47" w14:textId="77777777" w:rsidR="00137C2F" w:rsidRPr="008C3D45" w:rsidRDefault="00137C2F" w:rsidP="00137C2F">
      <w:pPr>
        <w:spacing w:line="240" w:lineRule="auto"/>
        <w:contextualSpacing/>
        <w:rPr>
          <w:rFonts w:cs="Arial"/>
          <w:sz w:val="22"/>
        </w:rPr>
      </w:pPr>
    </w:p>
    <w:p w14:paraId="77A96056" w14:textId="77777777" w:rsidR="00137C2F" w:rsidRPr="008C3D45" w:rsidRDefault="00137C2F" w:rsidP="00137C2F">
      <w:pPr>
        <w:spacing w:line="240" w:lineRule="auto"/>
        <w:contextualSpacing/>
        <w:rPr>
          <w:rFonts w:cs="Arial"/>
          <w:sz w:val="22"/>
        </w:rPr>
      </w:pPr>
      <w:r w:rsidRPr="008C3D45">
        <w:rPr>
          <w:rFonts w:cs="Arial"/>
          <w:sz w:val="22"/>
        </w:rPr>
        <w:t xml:space="preserve">However, the amendments did not change the fundamental principles of the policy. In particular, the partnership continue to agree that it is a fairer and better use of scarce housing resource to provide a higher priority to those who are owed a main homeless duty rather than those whose housing options were still being explored and assessed at the Prevention and Relief stages.  </w:t>
      </w:r>
    </w:p>
    <w:p w14:paraId="37E1B283" w14:textId="77777777" w:rsidR="00137C2F" w:rsidRPr="008C3D45" w:rsidRDefault="00137C2F" w:rsidP="00137C2F">
      <w:pPr>
        <w:spacing w:line="240" w:lineRule="auto"/>
        <w:contextualSpacing/>
        <w:rPr>
          <w:rFonts w:cs="Arial"/>
          <w:sz w:val="22"/>
        </w:rPr>
      </w:pPr>
    </w:p>
    <w:p w14:paraId="688A1B63" w14:textId="77777777" w:rsidR="00137C2F" w:rsidRPr="008C3D45" w:rsidRDefault="00137C2F" w:rsidP="00137C2F">
      <w:pPr>
        <w:spacing w:line="240" w:lineRule="auto"/>
        <w:contextualSpacing/>
        <w:rPr>
          <w:rFonts w:cs="Arial"/>
          <w:sz w:val="22"/>
        </w:rPr>
      </w:pPr>
      <w:r w:rsidRPr="008C3D45">
        <w:rPr>
          <w:rFonts w:cs="Arial"/>
          <w:sz w:val="22"/>
        </w:rPr>
        <w:t xml:space="preserve">The 2020 review does not seek to change the existing principles but seeks to further clarify some of the wording introduced in 2018.  </w:t>
      </w:r>
    </w:p>
    <w:p w14:paraId="15498FF7" w14:textId="77777777" w:rsidR="00137C2F" w:rsidRPr="008C3D45" w:rsidRDefault="00137C2F" w:rsidP="00137C2F">
      <w:pPr>
        <w:spacing w:line="240" w:lineRule="auto"/>
        <w:contextualSpacing/>
        <w:rPr>
          <w:rFonts w:cs="Arial"/>
          <w:sz w:val="22"/>
        </w:rPr>
      </w:pPr>
    </w:p>
    <w:p w14:paraId="4224B8E4" w14:textId="77777777" w:rsidR="00137C2F" w:rsidRPr="008C3D45" w:rsidRDefault="00137C2F" w:rsidP="00137C2F">
      <w:pPr>
        <w:spacing w:line="240" w:lineRule="auto"/>
        <w:contextualSpacing/>
        <w:rPr>
          <w:rFonts w:eastAsia="Arial" w:cs="Arial"/>
          <w:sz w:val="22"/>
        </w:rPr>
      </w:pPr>
      <w:r w:rsidRPr="008C3D45">
        <w:rPr>
          <w:rFonts w:eastAsia="Arial" w:cs="Arial"/>
          <w:sz w:val="22"/>
        </w:rPr>
        <w:t>In addition, we have further clarified the wording to make it clear that, where a person is owed a homeless prevention or homeless relief duty and is placed in temporary accommodation, they will be awarded a Band B but no additional priority for accommodation related factors.</w:t>
      </w:r>
    </w:p>
    <w:p w14:paraId="15D5EB95" w14:textId="77777777" w:rsidR="00137C2F" w:rsidRPr="008C3D45" w:rsidRDefault="00137C2F" w:rsidP="00137C2F">
      <w:pPr>
        <w:spacing w:line="240" w:lineRule="auto"/>
        <w:contextualSpacing/>
        <w:rPr>
          <w:rFonts w:cs="Arial"/>
          <w:sz w:val="22"/>
        </w:rPr>
      </w:pPr>
    </w:p>
    <w:p w14:paraId="4ABB640F" w14:textId="77777777" w:rsidR="00137C2F" w:rsidRPr="008C3D45" w:rsidRDefault="00137C2F" w:rsidP="00137C2F">
      <w:pPr>
        <w:spacing w:line="240" w:lineRule="auto"/>
        <w:contextualSpacing/>
        <w:rPr>
          <w:rFonts w:cs="Arial"/>
          <w:sz w:val="22"/>
        </w:rPr>
      </w:pPr>
    </w:p>
    <w:p w14:paraId="11FA5E61" w14:textId="77777777" w:rsidR="00137C2F" w:rsidRPr="008C3D45" w:rsidRDefault="00137C2F" w:rsidP="00137C2F">
      <w:pPr>
        <w:spacing w:line="240" w:lineRule="auto"/>
        <w:contextualSpacing/>
        <w:rPr>
          <w:rFonts w:cs="Arial"/>
          <w:sz w:val="22"/>
        </w:rPr>
      </w:pPr>
      <w:r w:rsidRPr="008C3D45">
        <w:rPr>
          <w:rFonts w:cs="Arial"/>
          <w:sz w:val="22"/>
        </w:rPr>
        <w:t xml:space="preserve">Further detail on the banding criteria is set out in Section 4, particularly in parts 4.7 and 4.8. </w:t>
      </w:r>
    </w:p>
    <w:p w14:paraId="4D037B4A" w14:textId="77777777" w:rsidR="00137C2F" w:rsidRPr="008C3D45" w:rsidRDefault="00137C2F" w:rsidP="00137C2F">
      <w:pPr>
        <w:spacing w:line="240" w:lineRule="auto"/>
        <w:contextualSpacing/>
        <w:rPr>
          <w:rFonts w:cs="Arial"/>
          <w:sz w:val="22"/>
        </w:rPr>
      </w:pPr>
    </w:p>
    <w:p w14:paraId="199DADBC" w14:textId="259D16D6" w:rsidR="00137C2F" w:rsidRPr="008C3D45" w:rsidRDefault="00137C2F" w:rsidP="00137C2F">
      <w:pPr>
        <w:spacing w:line="240" w:lineRule="auto"/>
        <w:contextualSpacing/>
        <w:rPr>
          <w:rFonts w:cs="Arial"/>
          <w:sz w:val="22"/>
        </w:rPr>
      </w:pPr>
      <w:r w:rsidRPr="008C3D45">
        <w:rPr>
          <w:rFonts w:cs="Arial"/>
          <w:sz w:val="22"/>
        </w:rPr>
        <w:t>The revised policy also offers greater clarity in circumstances where an applicant has sufficient financial capital or other means to find a housing solution outside of the register.  The revised wording makes it clearer that, in this situation, an assessment of ‘sufficient financial means’ will override the needs assessment band but is subject to review if an applicant’s circumstances change.</w:t>
      </w:r>
    </w:p>
    <w:p w14:paraId="1681D308" w14:textId="0D8991BB" w:rsidR="00137C2F" w:rsidRPr="008C3D45" w:rsidRDefault="00137C2F" w:rsidP="00137C2F">
      <w:pPr>
        <w:spacing w:line="240" w:lineRule="auto"/>
        <w:contextualSpacing/>
        <w:rPr>
          <w:rFonts w:cs="Arial"/>
          <w:sz w:val="22"/>
        </w:rPr>
      </w:pPr>
    </w:p>
    <w:p w14:paraId="71A872C5" w14:textId="523AC785" w:rsidR="00137C2F" w:rsidRPr="008C3D45" w:rsidRDefault="00137C2F" w:rsidP="00137C2F">
      <w:pPr>
        <w:spacing w:line="240" w:lineRule="auto"/>
        <w:contextualSpacing/>
        <w:rPr>
          <w:rFonts w:cs="Arial"/>
          <w:b/>
          <w:bCs/>
          <w:sz w:val="22"/>
        </w:rPr>
      </w:pPr>
      <w:r w:rsidRPr="008C3D45">
        <w:rPr>
          <w:rFonts w:cs="Arial"/>
          <w:b/>
          <w:bCs/>
          <w:sz w:val="22"/>
        </w:rPr>
        <w:t>Consultation and feedback</w:t>
      </w:r>
    </w:p>
    <w:p w14:paraId="340517E1" w14:textId="242285B7" w:rsidR="00137C2F" w:rsidRPr="008C3D45" w:rsidRDefault="00137C2F" w:rsidP="00137C2F">
      <w:pPr>
        <w:spacing w:line="240" w:lineRule="auto"/>
        <w:contextualSpacing/>
        <w:rPr>
          <w:rFonts w:cs="Arial"/>
          <w:sz w:val="22"/>
        </w:rPr>
      </w:pPr>
    </w:p>
    <w:p w14:paraId="5B7087BC" w14:textId="3F135BCD" w:rsidR="00137C2F" w:rsidRPr="008C3D45" w:rsidRDefault="00137C2F" w:rsidP="00137C2F">
      <w:pPr>
        <w:spacing w:line="240" w:lineRule="auto"/>
        <w:contextualSpacing/>
        <w:rPr>
          <w:rFonts w:cs="Arial"/>
          <w:sz w:val="22"/>
        </w:rPr>
      </w:pPr>
      <w:r w:rsidRPr="008C3D45">
        <w:rPr>
          <w:rFonts w:cs="Arial"/>
          <w:sz w:val="22"/>
        </w:rPr>
        <w:t xml:space="preserve">The policy has received external legal scrutiny.  </w:t>
      </w:r>
      <w:proofErr w:type="gramStart"/>
      <w:r w:rsidRPr="008C3D45">
        <w:rPr>
          <w:rFonts w:cs="Arial"/>
          <w:sz w:val="22"/>
        </w:rPr>
        <w:t>Overall</w:t>
      </w:r>
      <w:proofErr w:type="gramEnd"/>
      <w:r w:rsidR="00D7710E" w:rsidRPr="008C3D45">
        <w:rPr>
          <w:rFonts w:cs="Arial"/>
          <w:sz w:val="22"/>
        </w:rPr>
        <w:t xml:space="preserve"> the partnership </w:t>
      </w:r>
      <w:r w:rsidRPr="008C3D45">
        <w:rPr>
          <w:rFonts w:cs="Arial"/>
          <w:sz w:val="22"/>
        </w:rPr>
        <w:t>received good feedback in relation to the draft and some minor wording changes were also suggested.  These have been discussed by Home</w:t>
      </w:r>
      <w:r w:rsidR="00FE5921" w:rsidRPr="008C3D45">
        <w:rPr>
          <w:rFonts w:cs="Arial"/>
          <w:sz w:val="22"/>
        </w:rPr>
        <w:t>-L</w:t>
      </w:r>
      <w:r w:rsidRPr="008C3D45">
        <w:rPr>
          <w:rFonts w:cs="Arial"/>
          <w:sz w:val="22"/>
        </w:rPr>
        <w:t>ink Management Board and incorporated into the final draft in readiness for consultation.</w:t>
      </w:r>
    </w:p>
    <w:p w14:paraId="658CC9A5" w14:textId="6520B2EE" w:rsidR="00137C2F" w:rsidRPr="008C3D45" w:rsidRDefault="00137C2F" w:rsidP="00137C2F">
      <w:pPr>
        <w:spacing w:line="240" w:lineRule="auto"/>
        <w:contextualSpacing/>
        <w:rPr>
          <w:rFonts w:cs="Arial"/>
          <w:sz w:val="22"/>
        </w:rPr>
      </w:pPr>
    </w:p>
    <w:p w14:paraId="327D3532" w14:textId="6F36E8D1" w:rsidR="00137C2F" w:rsidRPr="008C3D45" w:rsidRDefault="00137C2F" w:rsidP="00137C2F">
      <w:pPr>
        <w:spacing w:line="240" w:lineRule="auto"/>
        <w:contextualSpacing/>
        <w:rPr>
          <w:rFonts w:cs="Arial"/>
          <w:sz w:val="22"/>
        </w:rPr>
      </w:pPr>
      <w:r w:rsidRPr="008C3D45">
        <w:rPr>
          <w:rFonts w:cs="Arial"/>
          <w:sz w:val="22"/>
        </w:rPr>
        <w:t xml:space="preserve">Advice has been sought in relation to the appropriate length and breadth of the consultation.  In response to this an </w:t>
      </w:r>
      <w:r w:rsidR="0096294B">
        <w:rPr>
          <w:rFonts w:cs="Arial"/>
          <w:sz w:val="22"/>
        </w:rPr>
        <w:t xml:space="preserve">eight </w:t>
      </w:r>
      <w:r w:rsidRPr="008C3D45">
        <w:rPr>
          <w:rFonts w:cs="Arial"/>
          <w:sz w:val="22"/>
        </w:rPr>
        <w:t>week consultation will commence on 23</w:t>
      </w:r>
      <w:r w:rsidRPr="008C3D45">
        <w:rPr>
          <w:rFonts w:cs="Arial"/>
          <w:sz w:val="22"/>
          <w:vertAlign w:val="superscript"/>
        </w:rPr>
        <w:t>rd</w:t>
      </w:r>
      <w:r w:rsidRPr="008C3D45">
        <w:rPr>
          <w:rFonts w:cs="Arial"/>
          <w:sz w:val="22"/>
        </w:rPr>
        <w:t xml:space="preserve"> October 2020</w:t>
      </w:r>
      <w:r w:rsidR="0096294B">
        <w:rPr>
          <w:rFonts w:cs="Arial"/>
          <w:sz w:val="22"/>
        </w:rPr>
        <w:t xml:space="preserve"> and end on 18</w:t>
      </w:r>
      <w:r w:rsidR="0096294B" w:rsidRPr="0096294B">
        <w:rPr>
          <w:rFonts w:cs="Arial"/>
          <w:sz w:val="22"/>
          <w:vertAlign w:val="superscript"/>
        </w:rPr>
        <w:t>th</w:t>
      </w:r>
      <w:r w:rsidR="0096294B">
        <w:rPr>
          <w:rFonts w:cs="Arial"/>
          <w:sz w:val="22"/>
        </w:rPr>
        <w:t xml:space="preserve"> December 2020</w:t>
      </w:r>
      <w:r w:rsidRPr="008C3D45">
        <w:rPr>
          <w:rFonts w:cs="Arial"/>
          <w:sz w:val="22"/>
        </w:rPr>
        <w:t>.  South Cambridgeshire District Council will host the survey on behalf of all partners, but each partner will be responsible for arranging local publicity and briefing members.</w:t>
      </w:r>
    </w:p>
    <w:p w14:paraId="17227514" w14:textId="1FF230BF" w:rsidR="00FE5921" w:rsidRPr="008C3D45" w:rsidRDefault="00FE5921" w:rsidP="00137C2F">
      <w:pPr>
        <w:spacing w:line="240" w:lineRule="auto"/>
        <w:contextualSpacing/>
        <w:rPr>
          <w:rFonts w:cs="Arial"/>
          <w:sz w:val="22"/>
        </w:rPr>
      </w:pPr>
    </w:p>
    <w:p w14:paraId="2944D6DF" w14:textId="047EBB8C" w:rsidR="00FE5921" w:rsidRPr="008C3D45" w:rsidRDefault="00FE5921" w:rsidP="00137C2F">
      <w:pPr>
        <w:spacing w:line="240" w:lineRule="auto"/>
        <w:contextualSpacing/>
        <w:rPr>
          <w:rFonts w:cs="Arial"/>
          <w:sz w:val="22"/>
        </w:rPr>
      </w:pPr>
      <w:r w:rsidRPr="008C3D45">
        <w:rPr>
          <w:rFonts w:cs="Arial"/>
          <w:sz w:val="22"/>
        </w:rPr>
        <w:t>As part of the consultation respondents will have the opportunity to comment on the policy objectives as well as the specific changes that have been proposed.</w:t>
      </w:r>
    </w:p>
    <w:p w14:paraId="158AEAEF" w14:textId="0D638DB9" w:rsidR="00137C2F" w:rsidRPr="008C3D45" w:rsidRDefault="00137C2F" w:rsidP="00CB3584">
      <w:pPr>
        <w:spacing w:before="100" w:beforeAutospacing="1" w:after="100" w:afterAutospacing="1" w:line="240" w:lineRule="auto"/>
        <w:contextualSpacing/>
        <w:rPr>
          <w:rFonts w:cs="Arial"/>
          <w:sz w:val="22"/>
        </w:rPr>
      </w:pPr>
    </w:p>
    <w:p w14:paraId="26F8E3AF" w14:textId="58018618" w:rsidR="00A77B38" w:rsidRDefault="00712C8A" w:rsidP="00CB3584">
      <w:pPr>
        <w:spacing w:before="100" w:beforeAutospacing="1" w:after="100" w:afterAutospacing="1" w:line="240" w:lineRule="auto"/>
        <w:rPr>
          <w:rFonts w:cs="Arial"/>
          <w:sz w:val="22"/>
        </w:rPr>
      </w:pPr>
      <w:r w:rsidRPr="008C3D45">
        <w:rPr>
          <w:rFonts w:cs="Arial"/>
          <w:sz w:val="22"/>
        </w:rPr>
        <w:t>Home</w:t>
      </w:r>
      <w:r w:rsidR="008C3D45">
        <w:rPr>
          <w:rFonts w:cs="Arial"/>
          <w:sz w:val="22"/>
        </w:rPr>
        <w:t>-L</w:t>
      </w:r>
      <w:r w:rsidRPr="008C3D45">
        <w:rPr>
          <w:rFonts w:cs="Arial"/>
          <w:sz w:val="22"/>
        </w:rPr>
        <w:t>ink Management Board will meet in January 2021 to approve a final version of the policy, incorporating any pertinent points from the consultation period.</w:t>
      </w:r>
      <w:r w:rsidR="00AA0640">
        <w:rPr>
          <w:rFonts w:cs="Arial"/>
          <w:sz w:val="22"/>
        </w:rPr>
        <w:t xml:space="preserve">  Regional Housing Board are invited to respond to the consultation and to indicat</w:t>
      </w:r>
      <w:r w:rsidR="008A0753">
        <w:rPr>
          <w:rFonts w:cs="Arial"/>
          <w:sz w:val="22"/>
        </w:rPr>
        <w:t>e any further updates that are required.</w:t>
      </w:r>
    </w:p>
    <w:p w14:paraId="57F06B30" w14:textId="1737B0A3" w:rsidR="00CB3584" w:rsidRPr="00FB3886" w:rsidRDefault="00CB3584" w:rsidP="00FB3886">
      <w:pPr>
        <w:spacing w:before="100" w:beforeAutospacing="1" w:after="100" w:afterAutospacing="1" w:line="240" w:lineRule="auto"/>
        <w:jc w:val="right"/>
        <w:rPr>
          <w:rFonts w:cs="Arial"/>
          <w:b/>
          <w:bCs/>
          <w:sz w:val="22"/>
        </w:rPr>
      </w:pPr>
      <w:r w:rsidRPr="00FB3886">
        <w:rPr>
          <w:rFonts w:cs="Arial"/>
          <w:b/>
          <w:bCs/>
          <w:sz w:val="22"/>
        </w:rPr>
        <w:t>Heather Wood, Chair of Home-Link Management</w:t>
      </w:r>
      <w:r w:rsidR="00FB3886">
        <w:rPr>
          <w:rFonts w:cs="Arial"/>
          <w:b/>
          <w:bCs/>
          <w:sz w:val="22"/>
        </w:rPr>
        <w:t xml:space="preserve"> Board</w:t>
      </w:r>
      <w:r w:rsidR="00FB3886" w:rsidRPr="00FB3886">
        <w:rPr>
          <w:rFonts w:cs="Arial"/>
          <w:b/>
          <w:bCs/>
          <w:sz w:val="22"/>
        </w:rPr>
        <w:t>, October 2020</w:t>
      </w:r>
    </w:p>
    <w:sectPr w:rsidR="00CB3584" w:rsidRPr="00FB38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4E45"/>
    <w:multiLevelType w:val="hybridMultilevel"/>
    <w:tmpl w:val="C44C1E98"/>
    <w:lvl w:ilvl="0" w:tplc="01C08E74">
      <w:start w:val="1"/>
      <w:numFmt w:val="lowerLetter"/>
      <w:lvlText w:val="%1)"/>
      <w:lvlJc w:val="left"/>
    </w:lvl>
    <w:lvl w:ilvl="1" w:tplc="90743C9A">
      <w:numFmt w:val="decimal"/>
      <w:lvlText w:val=""/>
      <w:lvlJc w:val="left"/>
    </w:lvl>
    <w:lvl w:ilvl="2" w:tplc="47BEA60A">
      <w:numFmt w:val="decimal"/>
      <w:lvlText w:val=""/>
      <w:lvlJc w:val="left"/>
    </w:lvl>
    <w:lvl w:ilvl="3" w:tplc="55B8FC52">
      <w:numFmt w:val="decimal"/>
      <w:lvlText w:val=""/>
      <w:lvlJc w:val="left"/>
    </w:lvl>
    <w:lvl w:ilvl="4" w:tplc="786EA266">
      <w:numFmt w:val="decimal"/>
      <w:lvlText w:val=""/>
      <w:lvlJc w:val="left"/>
    </w:lvl>
    <w:lvl w:ilvl="5" w:tplc="C27C8B4A">
      <w:numFmt w:val="decimal"/>
      <w:lvlText w:val=""/>
      <w:lvlJc w:val="left"/>
    </w:lvl>
    <w:lvl w:ilvl="6" w:tplc="2F08ADC6">
      <w:numFmt w:val="decimal"/>
      <w:lvlText w:val=""/>
      <w:lvlJc w:val="left"/>
    </w:lvl>
    <w:lvl w:ilvl="7" w:tplc="17103FFA">
      <w:numFmt w:val="decimal"/>
      <w:lvlText w:val=""/>
      <w:lvlJc w:val="left"/>
    </w:lvl>
    <w:lvl w:ilvl="8" w:tplc="AC42F372">
      <w:numFmt w:val="decimal"/>
      <w:lvlText w:val=""/>
      <w:lvlJc w:val="left"/>
    </w:lvl>
  </w:abstractNum>
  <w:abstractNum w:abstractNumId="1" w15:restartNumberingAfterBreak="0">
    <w:nsid w:val="3FBA1017"/>
    <w:multiLevelType w:val="hybridMultilevel"/>
    <w:tmpl w:val="C8F62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C368CB"/>
    <w:multiLevelType w:val="multilevel"/>
    <w:tmpl w:val="56A2FA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hint="default"/>
      </w:rPr>
    </w:lvl>
    <w:lvl w:ilvl="2">
      <w:start w:val="1"/>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2F"/>
    <w:rsid w:val="00137C2F"/>
    <w:rsid w:val="001C0C3D"/>
    <w:rsid w:val="001E2A21"/>
    <w:rsid w:val="00227013"/>
    <w:rsid w:val="003D45A4"/>
    <w:rsid w:val="00712C8A"/>
    <w:rsid w:val="008A0753"/>
    <w:rsid w:val="008C3D45"/>
    <w:rsid w:val="008D63DA"/>
    <w:rsid w:val="0096294B"/>
    <w:rsid w:val="00A77B38"/>
    <w:rsid w:val="00AA0640"/>
    <w:rsid w:val="00B64248"/>
    <w:rsid w:val="00C64DCC"/>
    <w:rsid w:val="00C84684"/>
    <w:rsid w:val="00CB3584"/>
    <w:rsid w:val="00D7710E"/>
    <w:rsid w:val="00E41394"/>
    <w:rsid w:val="00E737D1"/>
    <w:rsid w:val="00FB3886"/>
    <w:rsid w:val="00FE5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9DAC"/>
  <w15:chartTrackingRefBased/>
  <w15:docId w15:val="{FBF449EC-11C7-4E76-A1CD-D0BEF402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C2F"/>
    <w:pPr>
      <w:spacing w:line="360" w:lineRule="auto"/>
    </w:pPr>
    <w:rPr>
      <w:rFonts w:ascii="Arial" w:hAnsi="Arial"/>
      <w:sz w:val="24"/>
    </w:rPr>
  </w:style>
  <w:style w:type="paragraph" w:styleId="Heading1">
    <w:name w:val="heading 1"/>
    <w:basedOn w:val="Normal"/>
    <w:next w:val="Normal"/>
    <w:link w:val="Heading1Char"/>
    <w:uiPriority w:val="9"/>
    <w:qFormat/>
    <w:rsid w:val="00E737D1"/>
    <w:pPr>
      <w:keepNext/>
      <w:keepLines/>
      <w:spacing w:after="20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E737D1"/>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E737D1"/>
    <w:pPr>
      <w:keepNext/>
      <w:keepLines/>
      <w:spacing w:before="360" w:after="200"/>
      <w:outlineLvl w:val="3"/>
    </w:pPr>
    <w:rPr>
      <w:rFonts w:eastAsiaTheme="majorEastAsia" w:cstheme="majorBidi"/>
      <w:b/>
      <w:iCs/>
    </w:rPr>
  </w:style>
  <w:style w:type="paragraph" w:styleId="Heading5">
    <w:name w:val="heading 5"/>
    <w:basedOn w:val="Normal"/>
    <w:next w:val="Normal"/>
    <w:link w:val="Heading5Char"/>
    <w:uiPriority w:val="9"/>
    <w:qFormat/>
    <w:rsid w:val="00E737D1"/>
    <w:pPr>
      <w:keepNext/>
      <w:keepLines/>
      <w:spacing w:before="360" w:after="200"/>
      <w:outlineLvl w:val="4"/>
    </w:pPr>
    <w:rPr>
      <w:rFonts w:eastAsiaTheme="majorEastAsia" w:cstheme="majorBidi"/>
      <w:b/>
    </w:rPr>
  </w:style>
  <w:style w:type="paragraph" w:styleId="Heading6">
    <w:name w:val="heading 6"/>
    <w:basedOn w:val="Normal"/>
    <w:next w:val="Normal"/>
    <w:link w:val="Heading6Char"/>
    <w:uiPriority w:val="9"/>
    <w:qFormat/>
    <w:rsid w:val="00E737D1"/>
    <w:pPr>
      <w:keepNext/>
      <w:keepLines/>
      <w:spacing w:before="360" w:after="200"/>
      <w:outlineLvl w:val="5"/>
    </w:pPr>
    <w:rPr>
      <w:rFonts w:eastAsiaTheme="majorEastAsia" w:cstheme="majorBidi"/>
      <w:b/>
    </w:rPr>
  </w:style>
  <w:style w:type="paragraph" w:styleId="Heading7">
    <w:name w:val="heading 7"/>
    <w:basedOn w:val="Normal"/>
    <w:next w:val="Normal"/>
    <w:link w:val="Heading7Char"/>
    <w:uiPriority w:val="9"/>
    <w:qFormat/>
    <w:rsid w:val="00E737D1"/>
    <w:pPr>
      <w:keepNext/>
      <w:keepLines/>
      <w:spacing w:before="360" w:after="200"/>
      <w:outlineLvl w:val="6"/>
    </w:pPr>
    <w:rPr>
      <w:rFonts w:eastAsiaTheme="majorEastAsia" w:cstheme="majorBidi"/>
      <w:b/>
      <w:iCs/>
    </w:rPr>
  </w:style>
  <w:style w:type="paragraph" w:styleId="Heading8">
    <w:name w:val="heading 8"/>
    <w:basedOn w:val="Normal"/>
    <w:next w:val="Normal"/>
    <w:link w:val="Heading8Char"/>
    <w:uiPriority w:val="9"/>
    <w:qFormat/>
    <w:rsid w:val="00E737D1"/>
    <w:pPr>
      <w:keepNext/>
      <w:keepLines/>
      <w:spacing w:before="360" w:after="20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E737D1"/>
    <w:pPr>
      <w:keepNext/>
      <w:keepLines/>
      <w:spacing w:before="360" w:after="20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7D1"/>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E737D1"/>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E737D1"/>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E737D1"/>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E737D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E737D1"/>
    <w:rPr>
      <w:rFonts w:ascii="Arial" w:eastAsiaTheme="majorEastAsia" w:hAnsi="Arial" w:cstheme="majorBidi"/>
      <w:b/>
      <w:sz w:val="24"/>
    </w:rPr>
  </w:style>
  <w:style w:type="character" w:customStyle="1" w:styleId="Heading6Char">
    <w:name w:val="Heading 6 Char"/>
    <w:basedOn w:val="DefaultParagraphFont"/>
    <w:link w:val="Heading6"/>
    <w:uiPriority w:val="9"/>
    <w:rsid w:val="00E737D1"/>
    <w:rPr>
      <w:rFonts w:ascii="Arial" w:eastAsiaTheme="majorEastAsia" w:hAnsi="Arial" w:cstheme="majorBidi"/>
      <w:b/>
      <w:sz w:val="24"/>
    </w:rPr>
  </w:style>
  <w:style w:type="character" w:customStyle="1" w:styleId="Heading7Char">
    <w:name w:val="Heading 7 Char"/>
    <w:basedOn w:val="DefaultParagraphFont"/>
    <w:link w:val="Heading7"/>
    <w:uiPriority w:val="9"/>
    <w:rsid w:val="00E737D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737D1"/>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E737D1"/>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paragraph" w:styleId="ListParagraph">
    <w:name w:val="List Paragraph"/>
    <w:basedOn w:val="Normal"/>
    <w:uiPriority w:val="34"/>
    <w:qFormat/>
    <w:rsid w:val="00137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55446285913B468597AE323D7702A4" ma:contentTypeVersion="11" ma:contentTypeDescription="Create a new document." ma:contentTypeScope="" ma:versionID="424a732b98ea0d9cc4b4d730d0b508d9">
  <xsd:schema xmlns:xsd="http://www.w3.org/2001/XMLSchema" xmlns:xs="http://www.w3.org/2001/XMLSchema" xmlns:p="http://schemas.microsoft.com/office/2006/metadata/properties" xmlns:ns3="df7ac9bd-c61b-437f-a730-09b464e747bb" xmlns:ns4="8efdffcf-30b7-4763-b3b7-531b1a17b235" targetNamespace="http://schemas.microsoft.com/office/2006/metadata/properties" ma:root="true" ma:fieldsID="bdb211b5fb227c82261a31a73d49f758" ns3:_="" ns4:_="">
    <xsd:import namespace="df7ac9bd-c61b-437f-a730-09b464e747bb"/>
    <xsd:import namespace="8efdffcf-30b7-4763-b3b7-531b1a17b2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c9bd-c61b-437f-a730-09b464e747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fdffcf-30b7-4763-b3b7-531b1a17b2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0568C0-C78D-4F66-8530-66FC24D38D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7ABDC9-7DC9-46A7-ADD2-57C4EF4AD55F}">
  <ds:schemaRefs>
    <ds:schemaRef ds:uri="http://schemas.microsoft.com/sharepoint/v3/contenttype/forms"/>
  </ds:schemaRefs>
</ds:datastoreItem>
</file>

<file path=customXml/itemProps3.xml><?xml version="1.0" encoding="utf-8"?>
<ds:datastoreItem xmlns:ds="http://schemas.openxmlformats.org/officeDocument/2006/customXml" ds:itemID="{A87FFBB9-AF4B-41B7-A88F-45D945C94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c9bd-c61b-437f-a730-09b464e747bb"/>
    <ds:schemaRef ds:uri="8efdffcf-30b7-4763-b3b7-531b1a17b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6441</Characters>
  <Application>Microsoft Office Word</Application>
  <DocSecurity>4</DocSecurity>
  <Lines>53</Lines>
  <Paragraphs>15</Paragraphs>
  <ScaleCrop>false</ScaleCrop>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Heather</dc:creator>
  <cp:keywords/>
  <dc:description/>
  <cp:lastModifiedBy>Elaine Field</cp:lastModifiedBy>
  <cp:revision>2</cp:revision>
  <dcterms:created xsi:type="dcterms:W3CDTF">2020-10-19T18:41:00Z</dcterms:created>
  <dcterms:modified xsi:type="dcterms:W3CDTF">2020-10-19T18:41:00Z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0x010100F655446285913B468597AE323D7702A4</vt:lpwstr>
  </property>
</Properties>
</file>